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52037">
      <w:pPr>
        <w:widowControl/>
        <w:shd w:val="clear" w:color="auto" w:fill="auto"/>
        <w:tabs>
          <w:tab w:val="left" w:pos="3119"/>
        </w:tabs>
        <w:jc w:val="center"/>
        <w:rPr>
          <w:rFonts w:hint="eastAsia" w:ascii="宋体" w:hAnsi="宋体" w:eastAsia="宋体" w:cs="宋体"/>
          <w:b/>
          <w:bCs/>
          <w:color w:val="auto"/>
          <w:sz w:val="44"/>
          <w:szCs w:val="44"/>
          <w:highlight w:val="none"/>
          <w:lang w:eastAsia="zh-CN"/>
        </w:rPr>
      </w:pPr>
    </w:p>
    <w:p w14:paraId="753D6EE4">
      <w:pPr>
        <w:widowControl/>
        <w:shd w:val="clear" w:color="auto" w:fill="auto"/>
        <w:tabs>
          <w:tab w:val="left" w:pos="3119"/>
        </w:tabs>
        <w:jc w:val="center"/>
        <w:rPr>
          <w:rFonts w:hint="eastAsia" w:ascii="宋体" w:hAnsi="宋体" w:eastAsia="宋体" w:cs="宋体"/>
          <w:b/>
          <w:bCs/>
          <w:color w:val="auto"/>
          <w:sz w:val="44"/>
          <w:szCs w:val="44"/>
          <w:highlight w:val="none"/>
          <w:lang w:eastAsia="zh-CN"/>
        </w:rPr>
      </w:pPr>
    </w:p>
    <w:p w14:paraId="53BEF4A8">
      <w:pPr>
        <w:widowControl/>
        <w:shd w:val="clear" w:color="auto" w:fill="auto"/>
        <w:tabs>
          <w:tab w:val="left" w:pos="3119"/>
        </w:tabs>
        <w:ind w:left="-19" w:leftChars="-9" w:right="0" w:rightChars="0" w:firstLine="19" w:firstLineChars="0"/>
        <w:jc w:val="center"/>
        <w:rPr>
          <w:rFonts w:hint="eastAsia" w:ascii="宋体" w:hAnsi="宋体" w:eastAsia="宋体" w:cs="宋体"/>
          <w:b/>
          <w:bCs/>
          <w:color w:val="auto"/>
          <w:sz w:val="72"/>
          <w:szCs w:val="72"/>
          <w:highlight w:val="none"/>
        </w:rPr>
      </w:pPr>
      <w:r>
        <w:rPr>
          <w:rFonts w:hint="eastAsia" w:ascii="宋体" w:hAnsi="宋体" w:cs="宋体"/>
          <w:b/>
          <w:bCs/>
          <w:color w:val="auto"/>
          <w:sz w:val="44"/>
          <w:szCs w:val="44"/>
          <w:highlight w:val="none"/>
          <w:lang w:eastAsia="zh-CN"/>
        </w:rPr>
        <w:t>肇庆市港口投资发展有限公司德庆九市作业区可拆装式砂石装船设备项目2号泊位装船服务</w:t>
      </w:r>
    </w:p>
    <w:p w14:paraId="6F9D396C">
      <w:pPr>
        <w:widowControl/>
        <w:shd w:val="clear" w:color="auto" w:fill="auto"/>
        <w:tabs>
          <w:tab w:val="left" w:pos="3119"/>
        </w:tabs>
        <w:jc w:val="center"/>
        <w:rPr>
          <w:rFonts w:hint="eastAsia" w:ascii="宋体" w:hAnsi="宋体" w:eastAsia="宋体" w:cs="宋体"/>
          <w:b/>
          <w:bCs/>
          <w:color w:val="auto"/>
          <w:sz w:val="72"/>
          <w:szCs w:val="72"/>
          <w:highlight w:val="none"/>
        </w:rPr>
      </w:pPr>
    </w:p>
    <w:p w14:paraId="0BCA10C0">
      <w:pPr>
        <w:widowControl/>
        <w:shd w:val="clear" w:color="auto" w:fill="auto"/>
        <w:tabs>
          <w:tab w:val="left" w:pos="3119"/>
        </w:tabs>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招 标 文 件</w:t>
      </w:r>
    </w:p>
    <w:p w14:paraId="5F731989">
      <w:pPr>
        <w:pStyle w:val="11"/>
        <w:shd w:val="clear" w:color="auto" w:fill="auto"/>
        <w:rPr>
          <w:rFonts w:hint="eastAsia" w:ascii="宋体" w:hAnsi="宋体" w:eastAsia="宋体" w:cs="宋体"/>
          <w:color w:val="auto"/>
          <w:sz w:val="20"/>
          <w:highlight w:val="none"/>
        </w:rPr>
      </w:pPr>
    </w:p>
    <w:p w14:paraId="027A0331">
      <w:pPr>
        <w:pStyle w:val="11"/>
        <w:shd w:val="clear" w:color="auto" w:fill="auto"/>
        <w:spacing w:before="10"/>
        <w:rPr>
          <w:rFonts w:hint="eastAsia" w:ascii="宋体" w:hAnsi="宋体" w:eastAsia="宋体" w:cs="宋体"/>
          <w:color w:val="auto"/>
          <w:sz w:val="22"/>
          <w:highlight w:val="none"/>
        </w:rPr>
      </w:pPr>
    </w:p>
    <w:p w14:paraId="402FC5CC">
      <w:pPr>
        <w:shd w:val="clear" w:color="auto" w:fill="auto"/>
        <w:spacing w:line="919" w:lineRule="exact"/>
        <w:ind w:right="490"/>
        <w:jc w:val="center"/>
        <w:rPr>
          <w:rFonts w:hint="eastAsia" w:ascii="宋体" w:hAnsi="宋体" w:eastAsia="宋体" w:cs="宋体"/>
          <w:b/>
          <w:color w:val="auto"/>
          <w:highlight w:val="none"/>
        </w:rPr>
      </w:pPr>
    </w:p>
    <w:p w14:paraId="43B2EFD2">
      <w:pPr>
        <w:pStyle w:val="27"/>
        <w:shd w:val="clear" w:color="auto" w:fill="auto"/>
        <w:rPr>
          <w:rFonts w:hint="eastAsia" w:ascii="宋体" w:hAnsi="宋体" w:eastAsia="宋体" w:cs="宋体"/>
          <w:color w:val="auto"/>
          <w:highlight w:val="none"/>
        </w:rPr>
      </w:pPr>
    </w:p>
    <w:p w14:paraId="66723065">
      <w:pPr>
        <w:pStyle w:val="41"/>
        <w:shd w:val="clear" w:color="auto" w:fill="auto"/>
        <w:rPr>
          <w:rFonts w:hint="eastAsia" w:ascii="宋体" w:hAnsi="宋体" w:eastAsia="宋体" w:cs="宋体"/>
          <w:color w:val="auto"/>
          <w:highlight w:val="none"/>
        </w:rPr>
      </w:pPr>
    </w:p>
    <w:p w14:paraId="133C9E5F">
      <w:pPr>
        <w:shd w:val="clear" w:color="auto" w:fill="auto"/>
        <w:spacing w:line="919" w:lineRule="exact"/>
        <w:jc w:val="center"/>
        <w:rPr>
          <w:rFonts w:hint="eastAsia" w:ascii="宋体" w:hAnsi="宋体" w:eastAsia="宋体" w:cs="宋体"/>
          <w:b/>
          <w:color w:val="auto"/>
          <w:sz w:val="52"/>
          <w:highlight w:val="none"/>
        </w:rPr>
      </w:pPr>
    </w:p>
    <w:p w14:paraId="2CAE6C56">
      <w:pPr>
        <w:shd w:val="clear" w:color="auto" w:fill="auto"/>
        <w:spacing w:line="360" w:lineRule="auto"/>
        <w:jc w:val="center"/>
        <w:rPr>
          <w:rFonts w:hint="eastAsia" w:ascii="宋体" w:hAnsi="宋体" w:eastAsia="宋体" w:cs="宋体"/>
          <w:b/>
          <w:color w:val="auto"/>
          <w:sz w:val="52"/>
          <w:highlight w:val="none"/>
        </w:rPr>
      </w:pPr>
    </w:p>
    <w:p w14:paraId="4DE86B0A">
      <w:pPr>
        <w:shd w:val="clear" w:color="auto" w:fill="auto"/>
        <w:spacing w:line="360" w:lineRule="auto"/>
        <w:ind w:left="0" w:leftChars="0" w:firstLine="1687" w:firstLineChars="525"/>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招标人：</w:t>
      </w:r>
      <w:r>
        <w:rPr>
          <w:rFonts w:hint="eastAsia" w:ascii="宋体" w:hAnsi="宋体" w:cs="宋体"/>
          <w:b/>
          <w:color w:val="auto"/>
          <w:sz w:val="32"/>
          <w:szCs w:val="32"/>
          <w:highlight w:val="none"/>
          <w:lang w:eastAsia="zh-CN"/>
        </w:rPr>
        <w:t>肇庆市港口投资发展有限公司</w:t>
      </w:r>
    </w:p>
    <w:p w14:paraId="6C9CA9A8">
      <w:pPr>
        <w:shd w:val="clear" w:color="auto" w:fill="auto"/>
        <w:spacing w:line="360" w:lineRule="auto"/>
        <w:ind w:left="0" w:leftChars="0" w:firstLine="1687" w:firstLineChars="525"/>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招标代理：</w:t>
      </w:r>
      <w:r>
        <w:rPr>
          <w:rFonts w:hint="eastAsia" w:ascii="宋体" w:hAnsi="宋体" w:cs="宋体"/>
          <w:b/>
          <w:color w:val="auto"/>
          <w:sz w:val="32"/>
          <w:szCs w:val="32"/>
          <w:highlight w:val="none"/>
          <w:lang w:eastAsia="zh-CN"/>
        </w:rPr>
        <w:t>广东华伦招标有限公司</w:t>
      </w:r>
    </w:p>
    <w:p w14:paraId="59E97714">
      <w:pPr>
        <w:shd w:val="clear" w:color="auto" w:fill="auto"/>
        <w:spacing w:line="360" w:lineRule="auto"/>
        <w:ind w:left="0" w:leftChars="0" w:firstLine="1687" w:firstLineChars="525"/>
        <w:rPr>
          <w:rFonts w:hint="eastAsia" w:ascii="宋体" w:hAnsi="宋体" w:eastAsia="宋体" w:cs="宋体"/>
          <w:color w:val="auto"/>
          <w:sz w:val="44"/>
          <w:highlight w:val="none"/>
        </w:rPr>
        <w:sectPr>
          <w:headerReference r:id="rId3" w:type="default"/>
          <w:footerReference r:id="rId4" w:type="default"/>
          <w:pgSz w:w="12240" w:h="15840"/>
          <w:pgMar w:top="1500" w:right="1100" w:bottom="1040" w:left="1060" w:header="0" w:footer="841"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b/>
          <w:color w:val="auto"/>
          <w:sz w:val="32"/>
          <w:szCs w:val="32"/>
          <w:highlight w:val="none"/>
        </w:rPr>
        <w:t>日    期：</w:t>
      </w:r>
      <w:r>
        <w:rPr>
          <w:rFonts w:hint="eastAsia" w:ascii="宋体" w:hAnsi="宋体" w:cs="宋体"/>
          <w:b/>
          <w:color w:val="auto"/>
          <w:sz w:val="32"/>
          <w:szCs w:val="32"/>
          <w:highlight w:val="none"/>
          <w:lang w:eastAsia="zh-CN"/>
        </w:rPr>
        <w:t>二〇二五</w:t>
      </w:r>
      <w:r>
        <w:rPr>
          <w:rFonts w:hint="eastAsia" w:ascii="宋体" w:hAnsi="宋体" w:eastAsia="宋体" w:cs="宋体"/>
          <w:b/>
          <w:color w:val="auto"/>
          <w:sz w:val="32"/>
          <w:szCs w:val="32"/>
          <w:highlight w:val="none"/>
          <w:lang w:val="en-US" w:eastAsia="zh-CN"/>
        </w:rPr>
        <w:t>年</w:t>
      </w:r>
      <w:r>
        <w:rPr>
          <w:rFonts w:hint="eastAsia" w:ascii="宋体" w:hAnsi="宋体" w:cs="宋体"/>
          <w:b/>
          <w:color w:val="auto"/>
          <w:sz w:val="32"/>
          <w:szCs w:val="32"/>
          <w:highlight w:val="none"/>
          <w:lang w:val="en-US" w:eastAsia="zh-CN"/>
        </w:rPr>
        <w:t>七</w:t>
      </w:r>
      <w:r>
        <w:rPr>
          <w:rFonts w:hint="eastAsia" w:ascii="宋体" w:hAnsi="宋体" w:eastAsia="宋体" w:cs="宋体"/>
          <w:b/>
          <w:color w:val="auto"/>
          <w:sz w:val="32"/>
          <w:szCs w:val="32"/>
          <w:highlight w:val="none"/>
        </w:rPr>
        <w:t>月</w:t>
      </w:r>
    </w:p>
    <w:p w14:paraId="40E0E612">
      <w:pPr>
        <w:shd w:val="clear" w:color="auto" w:fill="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目录</w:t>
      </w:r>
    </w:p>
    <w:p w14:paraId="0E3A6EDF">
      <w:pPr>
        <w:pStyle w:val="27"/>
        <w:shd w:val="clear" w:color="auto" w:fill="auto"/>
        <w:ind w:firstLine="880"/>
        <w:rPr>
          <w:rFonts w:hint="eastAsia" w:ascii="宋体" w:hAnsi="宋体" w:eastAsia="宋体" w:cs="宋体"/>
          <w:color w:val="auto"/>
          <w:sz w:val="44"/>
          <w:szCs w:val="44"/>
          <w:highlight w:val="none"/>
        </w:rPr>
      </w:pPr>
    </w:p>
    <w:p w14:paraId="6A1F3629">
      <w:pPr>
        <w:pStyle w:val="27"/>
        <w:shd w:val="clear" w:color="auto" w:fill="auto"/>
        <w:ind w:firstLine="880"/>
        <w:rPr>
          <w:rFonts w:hint="eastAsia" w:ascii="宋体" w:hAnsi="宋体" w:eastAsia="宋体" w:cs="宋体"/>
          <w:color w:val="auto"/>
          <w:sz w:val="44"/>
          <w:szCs w:val="44"/>
          <w:highlight w:val="none"/>
        </w:rPr>
      </w:pPr>
    </w:p>
    <w:p w14:paraId="172E067E">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0BF8DB">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_Toc21148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E87A40">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第三章评标办法（综合评估法）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_Toc29738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9C41B2">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88BF46">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_Toc14869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用户需求书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_Toc14869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E069E4">
      <w:pPr>
        <w:pStyle w:val="21"/>
        <w:keepNext w:val="0"/>
        <w:keepLines w:val="0"/>
        <w:pageBreakBefore w:val="0"/>
        <w:widowControl w:val="0"/>
        <w:tabs>
          <w:tab w:val="right" w:leader="dot" w:pos="100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_Toc16954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11401E">
      <w:pPr>
        <w:pStyle w:val="27"/>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highlight w:val="none"/>
        </w:rPr>
        <w:sectPr>
          <w:headerReference r:id="rId5" w:type="default"/>
          <w:footerReference r:id="rId6" w:type="default"/>
          <w:pgSz w:w="12240" w:h="15840"/>
          <w:pgMar w:top="1440" w:right="1080" w:bottom="1440" w:left="1080" w:header="0" w:footer="841"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 w:val="24"/>
          <w:szCs w:val="24"/>
          <w:highlight w:val="none"/>
        </w:rPr>
        <w:fldChar w:fldCharType="end"/>
      </w:r>
    </w:p>
    <w:p w14:paraId="0ECF2263">
      <w:pPr>
        <w:shd w:val="clear" w:color="auto" w:fill="auto"/>
        <w:adjustRightInd w:val="0"/>
        <w:snapToGrid w:val="0"/>
        <w:spacing w:line="675" w:lineRule="exact"/>
        <w:ind w:right="297"/>
        <w:rPr>
          <w:rFonts w:hint="eastAsia" w:ascii="宋体" w:hAnsi="宋体" w:eastAsia="宋体" w:cs="宋体"/>
          <w:color w:val="auto"/>
          <w:highlight w:val="none"/>
        </w:rPr>
      </w:pPr>
      <w:bookmarkStart w:id="0" w:name="_Toc19724"/>
    </w:p>
    <w:p w14:paraId="03827A39">
      <w:pPr>
        <w:shd w:val="clear" w:color="auto" w:fill="auto"/>
        <w:adjustRightInd w:val="0"/>
        <w:snapToGrid w:val="0"/>
        <w:spacing w:line="675" w:lineRule="exact"/>
        <w:ind w:right="297"/>
        <w:rPr>
          <w:rFonts w:hint="eastAsia" w:ascii="宋体" w:hAnsi="宋体" w:eastAsia="宋体" w:cs="宋体"/>
          <w:color w:val="auto"/>
          <w:highlight w:val="none"/>
        </w:rPr>
      </w:pPr>
    </w:p>
    <w:p w14:paraId="57751D61">
      <w:pPr>
        <w:shd w:val="clear" w:color="auto" w:fill="auto"/>
        <w:adjustRightInd w:val="0"/>
        <w:snapToGrid w:val="0"/>
        <w:spacing w:line="675" w:lineRule="exact"/>
        <w:ind w:right="297"/>
        <w:rPr>
          <w:rFonts w:hint="eastAsia" w:ascii="宋体" w:hAnsi="宋体" w:eastAsia="宋体" w:cs="宋体"/>
          <w:color w:val="auto"/>
          <w:highlight w:val="none"/>
        </w:rPr>
      </w:pPr>
    </w:p>
    <w:p w14:paraId="43304FB2">
      <w:pPr>
        <w:shd w:val="clear" w:color="auto" w:fill="auto"/>
        <w:adjustRightInd w:val="0"/>
        <w:snapToGrid w:val="0"/>
        <w:spacing w:line="675" w:lineRule="exact"/>
        <w:ind w:right="297"/>
        <w:rPr>
          <w:rFonts w:hint="eastAsia" w:ascii="宋体" w:hAnsi="宋体" w:eastAsia="宋体" w:cs="宋体"/>
          <w:color w:val="auto"/>
          <w:highlight w:val="none"/>
        </w:rPr>
      </w:pPr>
    </w:p>
    <w:p w14:paraId="60FF9DCA">
      <w:pPr>
        <w:shd w:val="clear" w:color="auto" w:fill="auto"/>
        <w:adjustRightInd w:val="0"/>
        <w:snapToGrid w:val="0"/>
        <w:spacing w:line="675" w:lineRule="exact"/>
        <w:ind w:right="297"/>
        <w:rPr>
          <w:rFonts w:hint="eastAsia" w:ascii="宋体" w:hAnsi="宋体" w:eastAsia="宋体" w:cs="宋体"/>
          <w:color w:val="auto"/>
          <w:highlight w:val="none"/>
        </w:rPr>
      </w:pPr>
    </w:p>
    <w:p w14:paraId="493C2D56">
      <w:pPr>
        <w:shd w:val="clear" w:color="auto" w:fill="auto"/>
        <w:adjustRightInd w:val="0"/>
        <w:snapToGrid w:val="0"/>
        <w:spacing w:line="675" w:lineRule="exact"/>
        <w:ind w:right="297"/>
        <w:rPr>
          <w:rFonts w:hint="eastAsia" w:ascii="宋体" w:hAnsi="宋体" w:eastAsia="宋体" w:cs="宋体"/>
          <w:color w:val="auto"/>
          <w:highlight w:val="none"/>
        </w:rPr>
      </w:pPr>
    </w:p>
    <w:p w14:paraId="4DEFE537">
      <w:pPr>
        <w:shd w:val="clear" w:color="auto" w:fill="auto"/>
        <w:adjustRightInd w:val="0"/>
        <w:snapToGrid w:val="0"/>
        <w:spacing w:line="675" w:lineRule="exact"/>
        <w:ind w:right="297"/>
        <w:rPr>
          <w:rFonts w:hint="eastAsia" w:ascii="宋体" w:hAnsi="宋体" w:eastAsia="宋体" w:cs="宋体"/>
          <w:color w:val="auto"/>
          <w:highlight w:val="none"/>
        </w:rPr>
      </w:pPr>
    </w:p>
    <w:p w14:paraId="09E113A3">
      <w:pPr>
        <w:pStyle w:val="2"/>
        <w:shd w:val="clear" w:color="auto" w:fill="auto"/>
        <w:adjustRightInd w:val="0"/>
        <w:snapToGrid w:val="0"/>
        <w:spacing w:line="675" w:lineRule="exact"/>
        <w:ind w:right="297"/>
        <w:jc w:val="center"/>
        <w:rPr>
          <w:rFonts w:hint="eastAsia" w:ascii="宋体" w:hAnsi="宋体" w:eastAsia="宋体" w:cs="宋体"/>
          <w:color w:val="auto"/>
          <w:highlight w:val="none"/>
        </w:rPr>
      </w:pPr>
      <w:bookmarkStart w:id="1" w:name="_Toc15364"/>
      <w:r>
        <w:rPr>
          <w:rFonts w:hint="eastAsia" w:ascii="宋体" w:hAnsi="宋体" w:eastAsia="宋体" w:cs="宋体"/>
          <w:color w:val="auto"/>
          <w:highlight w:val="none"/>
        </w:rPr>
        <w:t>第一章招标公告</w:t>
      </w:r>
      <w:bookmarkEnd w:id="0"/>
      <w:bookmarkEnd w:id="1"/>
    </w:p>
    <w:p w14:paraId="15184B51">
      <w:pPr>
        <w:shd w:val="clear" w:color="auto" w:fill="auto"/>
        <w:adjustRightInd w:val="0"/>
        <w:snapToGrid w:val="0"/>
        <w:spacing w:line="675" w:lineRule="exact"/>
        <w:ind w:right="297"/>
        <w:rPr>
          <w:rFonts w:hint="eastAsia" w:ascii="宋体" w:hAnsi="宋体" w:eastAsia="宋体" w:cs="宋体"/>
          <w:color w:val="auto"/>
          <w:highlight w:val="none"/>
        </w:rPr>
      </w:pPr>
    </w:p>
    <w:p w14:paraId="7528DFEA">
      <w:pPr>
        <w:shd w:val="clear" w:color="auto" w:fill="auto"/>
        <w:adjustRightInd w:val="0"/>
        <w:snapToGrid w:val="0"/>
        <w:spacing w:line="360" w:lineRule="auto"/>
        <w:ind w:right="488"/>
        <w:jc w:val="center"/>
        <w:rPr>
          <w:rFonts w:hint="eastAsia" w:ascii="宋体" w:hAnsi="宋体" w:eastAsia="宋体" w:cs="宋体"/>
          <w:b/>
          <w:bCs/>
          <w:color w:val="auto"/>
          <w:sz w:val="32"/>
          <w:szCs w:val="32"/>
          <w:highlight w:val="none"/>
          <w:u w:val="single"/>
        </w:rPr>
        <w:sectPr>
          <w:footerReference r:id="rId7" w:type="default"/>
          <w:pgSz w:w="12240" w:h="15840"/>
          <w:pgMar w:top="1440" w:right="1080" w:bottom="1440" w:left="1080" w:header="0" w:footer="841" w:gutter="0"/>
          <w:pgBorders>
            <w:top w:val="none" w:sz="0" w:space="0"/>
            <w:left w:val="none" w:sz="0" w:space="0"/>
            <w:bottom w:val="none" w:sz="0" w:space="0"/>
            <w:right w:val="none" w:sz="0" w:space="0"/>
          </w:pgBorders>
          <w:pgNumType w:fmt="decimal" w:start="1"/>
          <w:cols w:space="720" w:num="1"/>
        </w:sectPr>
      </w:pPr>
    </w:p>
    <w:p w14:paraId="29617DDC">
      <w:pPr>
        <w:shd w:val="clear" w:color="auto" w:fill="auto"/>
        <w:spacing w:line="56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肇庆市港口投资发展有限公司德庆九市作业区可拆装式砂石装船设备项目2号泊位装船服务</w:t>
      </w:r>
    </w:p>
    <w:p w14:paraId="21485D65">
      <w:pPr>
        <w:shd w:val="clear" w:color="auto" w:fill="auto"/>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招标公告</w:t>
      </w:r>
    </w:p>
    <w:tbl>
      <w:tblPr>
        <w:tblStyle w:val="28"/>
        <w:tblW w:w="5371" w:type="pct"/>
        <w:jc w:val="center"/>
        <w:shd w:val="clear" w:color="auto" w:fill="FFFFFF"/>
        <w:tblLayout w:type="fixed"/>
        <w:tblCellMar>
          <w:top w:w="0" w:type="dxa"/>
          <w:left w:w="108" w:type="dxa"/>
          <w:bottom w:w="0" w:type="dxa"/>
          <w:right w:w="108" w:type="dxa"/>
        </w:tblCellMar>
      </w:tblPr>
      <w:tblGrid>
        <w:gridCol w:w="1831"/>
        <w:gridCol w:w="1579"/>
        <w:gridCol w:w="2062"/>
        <w:gridCol w:w="1747"/>
        <w:gridCol w:w="496"/>
        <w:gridCol w:w="2980"/>
      </w:tblGrid>
      <w:tr w14:paraId="174AA1A6">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6B71F">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投资项目代码</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5209B">
            <w:pPr>
              <w:keepNext w:val="0"/>
              <w:keepLines w:val="0"/>
              <w:pageBreakBefore w:val="0"/>
              <w:widowControl/>
              <w:kinsoku/>
              <w:overflowPunct/>
              <w:topLinePunct w:val="0"/>
              <w:autoSpaceDE/>
              <w:autoSpaceDN/>
              <w:bidi w:val="0"/>
              <w:adjustRightInd/>
              <w:spacing w:line="400" w:lineRule="exact"/>
              <w:jc w:val="left"/>
              <w:textAlignment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w:t>
            </w:r>
          </w:p>
        </w:tc>
      </w:tr>
      <w:tr w14:paraId="0135A356">
        <w:tblPrEx>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A5DF3">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投资项目名称</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2CF56">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val="en-US" w:eastAsia="zh-CN" w:bidi="ar"/>
              </w:rPr>
              <w:t>/</w:t>
            </w:r>
          </w:p>
        </w:tc>
      </w:tr>
      <w:tr w14:paraId="3237C31B">
        <w:tblPrEx>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6C26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招标项目名称</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1E419">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肇庆市港口投资发展有限公司德庆九市作业区可拆装式砂石装船设备项目2号泊位装船服务</w:t>
            </w:r>
          </w:p>
        </w:tc>
      </w:tr>
      <w:tr w14:paraId="080BE67F">
        <w:tblPrEx>
          <w:shd w:val="clear" w:color="auto" w:fill="FFFFFF"/>
          <w:tblCellMar>
            <w:top w:w="0" w:type="dxa"/>
            <w:left w:w="108" w:type="dxa"/>
            <w:bottom w:w="0" w:type="dxa"/>
            <w:right w:w="108" w:type="dxa"/>
          </w:tblCellMar>
        </w:tblPrEx>
        <w:trPr>
          <w:trHeight w:val="90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DAA63">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标段（包）名称</w:t>
            </w:r>
          </w:p>
        </w:tc>
        <w:tc>
          <w:tcPr>
            <w:tcW w:w="1702"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9B2FE">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肇庆市港口投资发展有限公司德庆九市作业区可拆装式砂石装船设备项目2号泊位装船服务</w:t>
            </w:r>
          </w:p>
        </w:tc>
        <w:tc>
          <w:tcPr>
            <w:tcW w:w="8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20F2D">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公告性质</w:t>
            </w:r>
          </w:p>
        </w:tc>
        <w:tc>
          <w:tcPr>
            <w:tcW w:w="162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C5DE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正常</w:t>
            </w:r>
          </w:p>
        </w:tc>
      </w:tr>
      <w:tr w14:paraId="4182312E">
        <w:tblPrEx>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B1D5C">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资格审查方式</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B9D7A">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资格后审</w:t>
            </w:r>
          </w:p>
        </w:tc>
      </w:tr>
      <w:tr w14:paraId="18E7B2B8">
        <w:tblPrEx>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FDCBC">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招标项目实施（交货）地点</w:t>
            </w:r>
          </w:p>
        </w:tc>
        <w:tc>
          <w:tcPr>
            <w:tcW w:w="4144" w:type="pct"/>
            <w:gridSpan w:val="5"/>
            <w:tcBorders>
              <w:top w:val="single" w:color="000000" w:sz="4" w:space="0"/>
              <w:left w:val="single" w:color="000000" w:sz="4" w:space="0"/>
              <w:bottom w:val="nil"/>
              <w:right w:val="single" w:color="000000" w:sz="4" w:space="0"/>
            </w:tcBorders>
            <w:shd w:val="clear" w:color="auto" w:fill="FFFFFF"/>
            <w:noWrap w:val="0"/>
            <w:vAlign w:val="center"/>
          </w:tcPr>
          <w:p w14:paraId="5CACB387">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肇庆市德庆县，本项目位于肇庆市德庆县九市镇西江中游左岸，距离上游德庆西江大桥约18.9千米。</w:t>
            </w:r>
          </w:p>
        </w:tc>
      </w:tr>
      <w:tr w14:paraId="3C26C4F7">
        <w:tblPrEx>
          <w:shd w:val="clear" w:color="auto" w:fill="FFFFFF"/>
          <w:tblCellMar>
            <w:top w:w="0" w:type="dxa"/>
            <w:left w:w="108" w:type="dxa"/>
            <w:bottom w:w="0" w:type="dxa"/>
            <w:right w:w="108" w:type="dxa"/>
          </w:tblCellMar>
        </w:tblPrEx>
        <w:trPr>
          <w:trHeight w:val="681"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01801">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资金来源</w:t>
            </w:r>
          </w:p>
        </w:tc>
        <w:tc>
          <w:tcPr>
            <w:tcW w:w="1702"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F57F5">
            <w:pPr>
              <w:keepNext w:val="0"/>
              <w:keepLines w:val="0"/>
              <w:pageBreakBefore w:val="0"/>
              <w:widowControl/>
              <w:kinsoku/>
              <w:overflowPunct/>
              <w:topLinePunct w:val="0"/>
              <w:autoSpaceDE/>
              <w:autoSpaceDN/>
              <w:bidi w:val="0"/>
              <w:adjustRightInd/>
              <w:spacing w:line="400" w:lineRule="exact"/>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自筹</w:t>
            </w:r>
          </w:p>
        </w:tc>
        <w:tc>
          <w:tcPr>
            <w:tcW w:w="8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5C8A1">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lang w:bidi="ar"/>
              </w:rPr>
              <w:t>资金来源构成</w:t>
            </w:r>
          </w:p>
        </w:tc>
        <w:tc>
          <w:tcPr>
            <w:tcW w:w="162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304CB">
            <w:pPr>
              <w:keepNext w:val="0"/>
              <w:keepLines w:val="0"/>
              <w:pageBreakBefore w:val="0"/>
              <w:widowControl/>
              <w:kinsoku/>
              <w:overflowPunct/>
              <w:topLinePunct w:val="0"/>
              <w:autoSpaceDE/>
              <w:autoSpaceDN/>
              <w:bidi w:val="0"/>
              <w:adjustRightInd/>
              <w:spacing w:line="400" w:lineRule="exact"/>
              <w:jc w:val="left"/>
              <w:textAlignment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100%</w:t>
            </w:r>
          </w:p>
        </w:tc>
      </w:tr>
      <w:tr w14:paraId="2BCA9A41">
        <w:tblPrEx>
          <w:tblCellMar>
            <w:top w:w="0" w:type="dxa"/>
            <w:left w:w="108" w:type="dxa"/>
            <w:bottom w:w="0" w:type="dxa"/>
            <w:right w:w="108" w:type="dxa"/>
          </w:tblCellMar>
        </w:tblPrEx>
        <w:trPr>
          <w:trHeight w:val="1198"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9E0C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招标范围及规模</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4EB35">
            <w:pPr>
              <w:keepNext w:val="0"/>
              <w:keepLines w:val="0"/>
              <w:pageBreakBefore w:val="0"/>
              <w:widowControl/>
              <w:kinsoku/>
              <w:wordWrap w:val="0"/>
              <w:overflowPunct/>
              <w:topLinePunct w:val="0"/>
              <w:autoSpaceDE/>
              <w:autoSpaceDN/>
              <w:bidi w:val="0"/>
              <w:adjustRightInd/>
              <w:snapToGrid/>
              <w:spacing w:line="40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项目规模及</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内容：位于肇庆市德庆县九市镇伦冲村西江左岸，具体位置为德庆县九市镇下圩村与伦冲村。</w:t>
            </w:r>
          </w:p>
        </w:tc>
      </w:tr>
      <w:tr w14:paraId="5D383317">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BE021">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招标内容</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CB23E">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按照国家和广东省有关的法律、法规、标准、规定及合同的要求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u w:val="none"/>
                <w:lang w:val="en-US" w:eastAsia="zh-CN"/>
              </w:rPr>
              <w:t>肇庆市港口投资发展有限公司德庆九市作业区可拆装式砂石装船设备项目2号泊位装船服务工作</w:t>
            </w:r>
            <w:r>
              <w:rPr>
                <w:rFonts w:hint="eastAsia" w:ascii="宋体" w:hAnsi="宋体" w:eastAsia="宋体" w:cs="宋体"/>
                <w:b w:val="0"/>
                <w:bCs w:val="0"/>
                <w:color w:val="auto"/>
                <w:kern w:val="0"/>
                <w:sz w:val="21"/>
                <w:szCs w:val="21"/>
                <w:highlight w:val="none"/>
                <w:lang w:bidi="ar"/>
              </w:rPr>
              <w:t>。</w:t>
            </w:r>
          </w:p>
        </w:tc>
      </w:tr>
      <w:tr w14:paraId="3633AD3E">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2D21B">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工期（交货期）</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D8661">
            <w:pPr>
              <w:keepNext w:val="0"/>
              <w:keepLines w:val="0"/>
              <w:pageBreakBefore w:val="0"/>
              <w:widowControl/>
              <w:kinsoku/>
              <w:overflowPunct/>
              <w:topLinePunct w:val="0"/>
              <w:autoSpaceDE/>
              <w:autoSpaceDN/>
              <w:bidi w:val="0"/>
              <w:adjustRightIn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服务期：</w:t>
            </w:r>
            <w:r>
              <w:rPr>
                <w:rFonts w:hint="eastAsia"/>
                <w:color w:val="auto"/>
                <w:highlight w:val="none"/>
                <w:lang w:val="en-US" w:eastAsia="zh-CN"/>
              </w:rPr>
              <w:t>自合同签订之日起至2026年4月11日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bidi="ar"/>
              </w:rPr>
              <w:t xml:space="preserve"> </w:t>
            </w:r>
          </w:p>
        </w:tc>
      </w:tr>
      <w:tr w14:paraId="63F0F33C">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EBF46">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lang w:eastAsia="zh-CN"/>
              </w:rPr>
            </w:pPr>
            <w:bookmarkStart w:id="2" w:name="OLE_LINK18"/>
            <w:r>
              <w:rPr>
                <w:rFonts w:hint="eastAsia" w:ascii="宋体" w:hAnsi="宋体" w:eastAsia="宋体" w:cs="宋体"/>
                <w:b/>
                <w:bCs/>
                <w:color w:val="auto"/>
                <w:kern w:val="0"/>
                <w:sz w:val="22"/>
                <w:szCs w:val="22"/>
                <w:highlight w:val="none"/>
                <w:lang w:bidi="ar"/>
              </w:rPr>
              <w:t>最高投标限价</w:t>
            </w:r>
            <w:bookmarkEnd w:id="2"/>
            <w:r>
              <w:rPr>
                <w:rFonts w:hint="eastAsia" w:ascii="宋体" w:hAnsi="宋体" w:cs="宋体"/>
                <w:b/>
                <w:bCs/>
                <w:color w:val="auto"/>
                <w:kern w:val="0"/>
                <w:sz w:val="22"/>
                <w:szCs w:val="22"/>
                <w:highlight w:val="none"/>
                <w:lang w:eastAsia="zh-CN" w:bidi="ar"/>
              </w:rPr>
              <w:t>（</w:t>
            </w:r>
            <w:r>
              <w:rPr>
                <w:rFonts w:hint="eastAsia" w:ascii="宋体" w:hAnsi="宋体" w:cs="宋体"/>
                <w:b/>
                <w:bCs/>
                <w:color w:val="auto"/>
                <w:kern w:val="0"/>
                <w:sz w:val="22"/>
                <w:szCs w:val="22"/>
                <w:highlight w:val="none"/>
                <w:lang w:val="en-US" w:eastAsia="zh-CN" w:bidi="ar"/>
              </w:rPr>
              <w:t>万元</w:t>
            </w:r>
            <w:r>
              <w:rPr>
                <w:rFonts w:hint="eastAsia" w:ascii="宋体" w:hAnsi="宋体" w:cs="宋体"/>
                <w:b/>
                <w:bCs/>
                <w:color w:val="auto"/>
                <w:kern w:val="0"/>
                <w:sz w:val="22"/>
                <w:szCs w:val="22"/>
                <w:highlight w:val="none"/>
                <w:lang w:eastAsia="zh-CN" w:bidi="ar"/>
              </w:rPr>
              <w:t>）</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20159">
            <w:pPr>
              <w:keepNext w:val="0"/>
              <w:keepLines w:val="0"/>
              <w:pageBreakBefore w:val="0"/>
              <w:widowControl/>
              <w:kinsoku/>
              <w:overflowPunct/>
              <w:topLinePunct w:val="0"/>
              <w:autoSpaceDE/>
              <w:autoSpaceDN/>
              <w:bidi w:val="0"/>
              <w:adjustRightInd/>
              <w:spacing w:line="400" w:lineRule="exact"/>
              <w:jc w:val="left"/>
              <w:textAlignment w:val="center"/>
              <w:rPr>
                <w:rFonts w:hint="default" w:ascii="宋体" w:hAnsi="宋体" w:eastAsia="宋体" w:cs="宋体"/>
                <w:b/>
                <w:color w:val="auto"/>
                <w:sz w:val="21"/>
                <w:szCs w:val="21"/>
                <w:highlight w:val="none"/>
                <w:lang w:val="en-US" w:eastAsia="zh-CN"/>
              </w:rPr>
            </w:pPr>
            <w:r>
              <w:rPr>
                <w:rFonts w:hint="eastAsia" w:ascii="宋体" w:hAnsi="宋体" w:cs="宋体"/>
                <w:color w:val="auto"/>
                <w:sz w:val="24"/>
                <w:szCs w:val="24"/>
                <w:highlight w:val="none"/>
                <w:lang w:val="en-US" w:eastAsia="zh-CN"/>
              </w:rPr>
              <w:t>363.6</w:t>
            </w:r>
          </w:p>
        </w:tc>
      </w:tr>
      <w:tr w14:paraId="3EFD02E2">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6D0B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是否接受联合体投标</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A39E5">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r>
      <w:tr w14:paraId="729C2B85">
        <w:tblPrEx>
          <w:tblCellMar>
            <w:top w:w="0" w:type="dxa"/>
            <w:left w:w="108" w:type="dxa"/>
            <w:bottom w:w="0" w:type="dxa"/>
            <w:right w:w="108" w:type="dxa"/>
          </w:tblCellMar>
        </w:tblPrEx>
        <w:trPr>
          <w:trHeight w:val="513" w:hRule="atLeast"/>
          <w:jc w:val="center"/>
        </w:trPr>
        <w:tc>
          <w:tcPr>
            <w:tcW w:w="85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BE13B">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投标资格能力要求（包括但不限于资质人员、业绩等要求）</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50578">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投标人资格要求</w:t>
            </w:r>
          </w:p>
        </w:tc>
        <w:tc>
          <w:tcPr>
            <w:tcW w:w="3406"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835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bookmarkStart w:id="3" w:name="_Hlt8378657"/>
            <w:r>
              <w:rPr>
                <w:rFonts w:hint="eastAsia" w:ascii="宋体" w:hAnsi="宋体" w:eastAsia="宋体" w:cs="宋体"/>
                <w:color w:val="auto"/>
                <w:sz w:val="21"/>
                <w:szCs w:val="21"/>
                <w:highlight w:val="none"/>
              </w:rPr>
              <w:t>投标人必须是在中华人民共和国境内注册的法人或其他组织，具有从事本项目的技术和服务能力</w:t>
            </w:r>
            <w:r>
              <w:rPr>
                <w:rFonts w:hint="eastAsia" w:ascii="宋体" w:hAnsi="宋体" w:eastAsia="宋体" w:cs="宋体"/>
                <w:color w:val="auto"/>
                <w:sz w:val="21"/>
                <w:szCs w:val="21"/>
                <w:highlight w:val="none"/>
                <w:lang w:eastAsia="zh-CN"/>
              </w:rPr>
              <w:t>；</w:t>
            </w:r>
          </w:p>
          <w:bookmarkEnd w:id="3"/>
          <w:p w14:paraId="42AB611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2、投标人未被列入“中国执行信息公开网”</w:t>
            </w:r>
            <w:r>
              <w:rPr>
                <w:rFonts w:hint="eastAsia" w:ascii="宋体" w:hAnsi="宋体" w:eastAsia="宋体" w:cs="宋体"/>
                <w:bCs/>
                <w:color w:val="auto"/>
                <w:sz w:val="21"/>
                <w:szCs w:val="21"/>
                <w:highlight w:val="none"/>
              </w:rPr>
              <w:t>网站的</w:t>
            </w:r>
            <w:r>
              <w:rPr>
                <w:rFonts w:hint="eastAsia" w:ascii="宋体" w:hAnsi="宋体" w:eastAsia="宋体" w:cs="宋体"/>
                <w:color w:val="auto"/>
                <w:sz w:val="21"/>
                <w:szCs w:val="21"/>
                <w:highlight w:val="none"/>
                <w:lang w:val="en-US" w:eastAsia="zh-CN"/>
              </w:rPr>
              <w:t>“失信被执行人”；未被列入“信用中国”</w:t>
            </w:r>
            <w:r>
              <w:rPr>
                <w:rFonts w:hint="eastAsia" w:ascii="宋体" w:hAnsi="宋体" w:eastAsia="宋体" w:cs="宋体"/>
                <w:bCs/>
                <w:color w:val="auto"/>
                <w:sz w:val="21"/>
                <w:szCs w:val="21"/>
                <w:highlight w:val="none"/>
              </w:rPr>
              <w:t>网站的</w:t>
            </w:r>
            <w:r>
              <w:rPr>
                <w:rFonts w:hint="eastAsia" w:ascii="宋体" w:hAnsi="宋体" w:eastAsia="宋体" w:cs="宋体"/>
                <w:color w:val="auto"/>
                <w:sz w:val="21"/>
                <w:szCs w:val="21"/>
                <w:highlight w:val="none"/>
                <w:lang w:val="en-US" w:eastAsia="zh-CN"/>
              </w:rPr>
              <w:t>“重大税收违法失信主体”和“严重失信主体名单”；未被列入“国家企业信用信息公示系统”网站的“经营异常名录、严重违法失信名单（黑名单）”；（提供相关网页查询截图或打印件，招标人保留查证的权利。）</w:t>
            </w:r>
          </w:p>
          <w:p w14:paraId="2FFCF0B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3、单位负责人为同一人或者存在控股、管理关系的不同单位，不得同时参加本项目投标。</w:t>
            </w:r>
          </w:p>
          <w:p w14:paraId="1D24427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bookmarkStart w:id="4" w:name="OLE_LINK22"/>
            <w:r>
              <w:rPr>
                <w:rFonts w:hint="eastAsia" w:ascii="宋体" w:hAnsi="宋体" w:cs="宋体"/>
                <w:color w:val="auto"/>
                <w:szCs w:val="21"/>
                <w:highlight w:val="none"/>
              </w:rPr>
              <w:t>投标人应当具备：</w:t>
            </w:r>
            <w:r>
              <w:rPr>
                <w:rFonts w:hint="eastAsia" w:ascii="宋体" w:hAnsi="宋体" w:eastAsia="宋体" w:cs="宋体"/>
                <w:color w:val="auto"/>
                <w:sz w:val="21"/>
                <w:szCs w:val="21"/>
                <w:highlight w:val="none"/>
              </w:rPr>
              <w:t>经交通主管部门</w:t>
            </w:r>
            <w:bookmarkEnd w:id="4"/>
            <w:bookmarkStart w:id="5" w:name="OLE_LINK23"/>
            <w:r>
              <w:rPr>
                <w:rFonts w:hint="eastAsia" w:ascii="宋体" w:hAnsi="宋体" w:eastAsia="宋体" w:cs="宋体"/>
                <w:color w:val="auto"/>
                <w:sz w:val="21"/>
                <w:szCs w:val="21"/>
                <w:highlight w:val="none"/>
              </w:rPr>
              <w:t>批准颁发</w:t>
            </w:r>
            <w:r>
              <w:rPr>
                <w:rFonts w:hint="eastAsia" w:ascii="宋体" w:hAnsi="宋体" w:cs="宋体"/>
                <w:color w:val="auto"/>
                <w:szCs w:val="21"/>
                <w:highlight w:val="none"/>
              </w:rPr>
              <w:t>的</w:t>
            </w:r>
            <w:bookmarkEnd w:id="5"/>
            <w:r>
              <w:rPr>
                <w:rFonts w:hint="eastAsia" w:ascii="宋体" w:hAnsi="宋体" w:cs="宋体"/>
                <w:color w:val="auto"/>
                <w:szCs w:val="21"/>
                <w:highlight w:val="none"/>
                <w:lang w:eastAsia="zh-CN"/>
              </w:rPr>
              <w:t>有效期内的水路运输经营许可证</w:t>
            </w:r>
            <w:r>
              <w:rPr>
                <w:rFonts w:hint="eastAsia" w:ascii="宋体" w:hAnsi="宋体" w:eastAsia="宋体" w:cs="宋体"/>
                <w:color w:val="auto"/>
                <w:sz w:val="21"/>
                <w:szCs w:val="21"/>
                <w:highlight w:val="none"/>
                <w:lang w:val="en-US" w:eastAsia="zh-CN"/>
              </w:rPr>
              <w:t>。</w:t>
            </w:r>
          </w:p>
          <w:p w14:paraId="1AF2A0D6">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、本项目不接受联合体投标。</w:t>
            </w:r>
          </w:p>
        </w:tc>
      </w:tr>
      <w:tr w14:paraId="42BCE1B0">
        <w:tblPrEx>
          <w:shd w:val="clear" w:color="auto" w:fill="FFFFFF"/>
          <w:tblCellMar>
            <w:top w:w="0" w:type="dxa"/>
            <w:left w:w="108" w:type="dxa"/>
            <w:bottom w:w="0" w:type="dxa"/>
            <w:right w:w="108" w:type="dxa"/>
          </w:tblCellMar>
        </w:tblPrEx>
        <w:trPr>
          <w:trHeight w:val="460" w:hRule="atLeast"/>
          <w:jc w:val="center"/>
        </w:trPr>
        <w:tc>
          <w:tcPr>
            <w:tcW w:w="85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17B4F">
            <w:pPr>
              <w:keepNext w:val="0"/>
              <w:keepLines w:val="0"/>
              <w:pageBreakBefore w:val="0"/>
              <w:kinsoku/>
              <w:overflowPunct/>
              <w:topLinePunct w:val="0"/>
              <w:autoSpaceDE/>
              <w:autoSpaceDN/>
              <w:bidi w:val="0"/>
              <w:adjustRightInd/>
              <w:spacing w:line="400" w:lineRule="exact"/>
              <w:jc w:val="center"/>
              <w:rPr>
                <w:rFonts w:hint="eastAsia" w:ascii="宋体" w:hAnsi="宋体" w:eastAsia="宋体" w:cs="宋体"/>
                <w:b/>
                <w:bCs/>
                <w:color w:val="auto"/>
                <w:sz w:val="22"/>
                <w:szCs w:val="22"/>
                <w:highlight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9095D">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投标人业绩要求</w:t>
            </w:r>
          </w:p>
        </w:tc>
        <w:tc>
          <w:tcPr>
            <w:tcW w:w="3406"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F7BAC">
            <w:pPr>
              <w:keepNext w:val="0"/>
              <w:keepLines w:val="0"/>
              <w:pageBreakBefore w:val="0"/>
              <w:kinsoku/>
              <w:overflowPunct/>
              <w:topLinePunct w:val="0"/>
              <w:autoSpaceDE/>
              <w:autoSpaceDN/>
              <w:bidi w:val="0"/>
              <w:adjustRightInd/>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6B934256">
        <w:tblPrEx>
          <w:tblCellMar>
            <w:top w:w="0" w:type="dxa"/>
            <w:left w:w="108" w:type="dxa"/>
            <w:bottom w:w="0" w:type="dxa"/>
            <w:right w:w="108" w:type="dxa"/>
          </w:tblCellMar>
        </w:tblPrEx>
        <w:trPr>
          <w:trHeight w:val="860" w:hRule="atLeast"/>
          <w:jc w:val="center"/>
        </w:trPr>
        <w:tc>
          <w:tcPr>
            <w:tcW w:w="85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37B6A">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是否采用电子招</w:t>
            </w:r>
            <w:bookmarkStart w:id="123" w:name="_GoBack"/>
            <w:bookmarkEnd w:id="123"/>
            <w:r>
              <w:rPr>
                <w:rFonts w:hint="eastAsia" w:ascii="宋体" w:hAnsi="宋体" w:eastAsia="宋体" w:cs="宋体"/>
                <w:b/>
                <w:bCs/>
                <w:color w:val="auto"/>
                <w:kern w:val="0"/>
                <w:sz w:val="22"/>
                <w:szCs w:val="22"/>
                <w:highlight w:val="none"/>
                <w:lang w:bidi="ar"/>
              </w:rPr>
              <w:t>标投标方式</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D4119">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是</w:t>
            </w:r>
          </w:p>
        </w:tc>
        <w:tc>
          <w:tcPr>
            <w:tcW w:w="96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ABAC5">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获取资格预审/招标文件的方式</w:t>
            </w:r>
          </w:p>
        </w:tc>
        <w:tc>
          <w:tcPr>
            <w:tcW w:w="1049"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8D0CF">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下载资格预审/招标文件的网络地址</w:t>
            </w:r>
          </w:p>
        </w:tc>
        <w:tc>
          <w:tcPr>
            <w:tcW w:w="1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3EF66">
            <w:pPr>
              <w:keepNext w:val="0"/>
              <w:keepLines w:val="0"/>
              <w:pageBreakBefore w:val="0"/>
              <w:widowControl/>
              <w:kinsoku/>
              <w:wordWrap w:val="0"/>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电子版招标文件由各意向投标人</w:t>
            </w:r>
            <w:r>
              <w:rPr>
                <w:rFonts w:hint="eastAsia" w:ascii="宋体" w:hAnsi="宋体" w:eastAsia="宋体" w:cs="宋体"/>
                <w:i w:val="0"/>
                <w:iCs w:val="0"/>
                <w:color w:val="auto"/>
                <w:spacing w:val="0"/>
                <w:w w:val="100"/>
                <w:position w:val="0"/>
                <w:sz w:val="21"/>
                <w:szCs w:val="21"/>
                <w:highlight w:val="none"/>
                <w:u w:val="none"/>
              </w:rPr>
              <w:t>登录广州公共资源交易中心数字交易平台（网址：http://www.gzggzy.cn）办理网上投标登记手续，投标手续登记完成后自行下载电子招标文件。</w:t>
            </w:r>
          </w:p>
        </w:tc>
      </w:tr>
      <w:tr w14:paraId="3670E76E">
        <w:tblPrEx>
          <w:tblCellMar>
            <w:top w:w="0" w:type="dxa"/>
            <w:left w:w="108" w:type="dxa"/>
            <w:bottom w:w="0" w:type="dxa"/>
            <w:right w:w="108" w:type="dxa"/>
          </w:tblCellMar>
        </w:tblPrEx>
        <w:trPr>
          <w:trHeight w:val="780" w:hRule="atLeast"/>
          <w:jc w:val="center"/>
        </w:trPr>
        <w:tc>
          <w:tcPr>
            <w:tcW w:w="85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0DD79">
            <w:pPr>
              <w:keepNext w:val="0"/>
              <w:keepLines w:val="0"/>
              <w:pageBreakBefore w:val="0"/>
              <w:kinsoku/>
              <w:overflowPunct/>
              <w:topLinePunct w:val="0"/>
              <w:autoSpaceDE/>
              <w:autoSpaceDN/>
              <w:bidi w:val="0"/>
              <w:adjustRightInd/>
              <w:spacing w:line="400" w:lineRule="exact"/>
              <w:jc w:val="center"/>
              <w:rPr>
                <w:rFonts w:hint="eastAsia" w:ascii="宋体" w:hAnsi="宋体" w:eastAsia="宋体" w:cs="宋体"/>
                <w:b/>
                <w:bCs/>
                <w:color w:val="auto"/>
                <w:sz w:val="22"/>
                <w:szCs w:val="22"/>
                <w:highlight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F55D9">
            <w:pPr>
              <w:keepNext w:val="0"/>
              <w:keepLines w:val="0"/>
              <w:pageBreakBefore w:val="0"/>
              <w:kinsoku/>
              <w:overflowPunct/>
              <w:topLinePunct w:val="0"/>
              <w:autoSpaceDE/>
              <w:autoSpaceDN/>
              <w:bidi w:val="0"/>
              <w:adjustRightInd/>
              <w:spacing w:line="400" w:lineRule="exact"/>
              <w:jc w:val="left"/>
              <w:rPr>
                <w:rFonts w:hint="eastAsia" w:ascii="宋体" w:hAnsi="宋体" w:eastAsia="宋体" w:cs="宋体"/>
                <w:color w:val="auto"/>
                <w:sz w:val="22"/>
                <w:szCs w:val="22"/>
                <w:highlight w:val="none"/>
              </w:rPr>
            </w:pPr>
          </w:p>
        </w:tc>
        <w:tc>
          <w:tcPr>
            <w:tcW w:w="9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47B2C">
            <w:pPr>
              <w:keepNext w:val="0"/>
              <w:keepLines w:val="0"/>
              <w:pageBreakBefore w:val="0"/>
              <w:kinsoku/>
              <w:overflowPunct/>
              <w:topLinePunct w:val="0"/>
              <w:autoSpaceDE/>
              <w:autoSpaceDN/>
              <w:bidi w:val="0"/>
              <w:adjustRightInd/>
              <w:spacing w:line="400" w:lineRule="exact"/>
              <w:jc w:val="center"/>
              <w:rPr>
                <w:rFonts w:hint="eastAsia" w:ascii="宋体" w:hAnsi="宋体" w:eastAsia="宋体" w:cs="宋体"/>
                <w:b/>
                <w:bCs/>
                <w:color w:val="auto"/>
                <w:sz w:val="22"/>
                <w:szCs w:val="22"/>
                <w:highlight w:val="none"/>
              </w:rPr>
            </w:pPr>
          </w:p>
        </w:tc>
        <w:tc>
          <w:tcPr>
            <w:tcW w:w="1049"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BC041">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获取纸质资格预审/招标文件的方式</w:t>
            </w:r>
          </w:p>
        </w:tc>
        <w:tc>
          <w:tcPr>
            <w:tcW w:w="13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AFC2E">
            <w:pPr>
              <w:keepNext w:val="0"/>
              <w:keepLines w:val="0"/>
              <w:pageBreakBefore w:val="0"/>
              <w:kinsoku/>
              <w:wordWrap w:val="0"/>
              <w:overflowPunct/>
              <w:topLinePunct w:val="0"/>
              <w:autoSpaceDE/>
              <w:autoSpaceDN/>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电子版招标文件由各意向投标人</w:t>
            </w:r>
            <w:r>
              <w:rPr>
                <w:rFonts w:hint="eastAsia" w:ascii="宋体" w:hAnsi="宋体" w:eastAsia="宋体" w:cs="宋体"/>
                <w:i w:val="0"/>
                <w:iCs w:val="0"/>
                <w:color w:val="auto"/>
                <w:spacing w:val="0"/>
                <w:w w:val="100"/>
                <w:position w:val="0"/>
                <w:sz w:val="21"/>
                <w:szCs w:val="21"/>
                <w:highlight w:val="none"/>
                <w:u w:val="none"/>
              </w:rPr>
              <w:t>登录广州公共资源交易中心数字交易平台（网址：http://www.gzggzy.cn）办理网上投标登记手续，投标手续登记完成后自行下载电子招标文件。</w:t>
            </w:r>
          </w:p>
        </w:tc>
      </w:tr>
      <w:tr w14:paraId="0C39CDE2">
        <w:tblPrEx>
          <w:tblCellMar>
            <w:top w:w="0" w:type="dxa"/>
            <w:left w:w="108" w:type="dxa"/>
            <w:bottom w:w="0" w:type="dxa"/>
            <w:right w:w="108" w:type="dxa"/>
          </w:tblCellMar>
        </w:tblPrEx>
        <w:trPr>
          <w:trHeight w:val="853"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7811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获取资格预审/招标文件开始时间</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2B107">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按系统生成</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F35A6">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获取资格预审/招标文件截止时间</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30850">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按系统生成</w:t>
            </w:r>
          </w:p>
        </w:tc>
      </w:tr>
      <w:tr w14:paraId="09C1EE90">
        <w:tblPrEx>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E3904">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递交资格预审/投标文件截止时间</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F7E79">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按系统生成</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5815F">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资格预审/投标文件递交方式</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8BE5D">
            <w:pPr>
              <w:keepNext w:val="0"/>
              <w:keepLines w:val="0"/>
              <w:pageBreakBefore w:val="0"/>
              <w:widowControl/>
              <w:kinsoku/>
              <w:wordWrap w:val="0"/>
              <w:overflowPunct/>
              <w:topLinePunct w:val="0"/>
              <w:autoSpaceDE/>
              <w:autoSpaceDN/>
              <w:bidi w:val="0"/>
              <w:adjustRightInd/>
              <w:spacing w:line="40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电子投标项目由</w:t>
            </w:r>
            <w:r>
              <w:rPr>
                <w:rFonts w:hint="eastAsia" w:ascii="宋体" w:hAnsi="宋体" w:eastAsia="宋体" w:cs="宋体"/>
                <w:color w:val="auto"/>
                <w:sz w:val="21"/>
                <w:szCs w:val="21"/>
                <w:highlight w:val="none"/>
              </w:rPr>
              <w:t>投标人在截止时间前通过广州交易集团有限公司(广州公共资源交易中心)网站(以下简称"交易平台"，登录网址为:</w:t>
            </w:r>
            <w:r>
              <w:rPr>
                <w:rFonts w:hint="eastAsia" w:ascii="宋体" w:hAnsi="宋体" w:eastAsia="宋体" w:cs="宋体"/>
                <w:i w:val="0"/>
                <w:iCs w:val="0"/>
                <w:color w:val="auto"/>
                <w:spacing w:val="0"/>
                <w:w w:val="100"/>
                <w:position w:val="0"/>
                <w:sz w:val="21"/>
                <w:szCs w:val="21"/>
                <w:highlight w:val="none"/>
                <w:u w:val="none"/>
              </w:rPr>
              <w:t>http://www.gzggzy.cn</w:t>
            </w:r>
            <w:r>
              <w:rPr>
                <w:rFonts w:hint="eastAsia" w:ascii="宋体" w:hAnsi="宋体" w:eastAsia="宋体" w:cs="宋体"/>
                <w:color w:val="auto"/>
                <w:sz w:val="21"/>
                <w:szCs w:val="21"/>
                <w:highlight w:val="none"/>
              </w:rPr>
              <w:t>)递交电子投标文件。</w:t>
            </w:r>
          </w:p>
        </w:tc>
      </w:tr>
      <w:tr w14:paraId="3B032C28">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FFCC">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开标时间</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A3844">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按系统生成</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37707">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lang w:bidi="ar"/>
              </w:rPr>
              <w:t>开标地点</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C0883">
            <w:pPr>
              <w:keepNext w:val="0"/>
              <w:keepLines w:val="0"/>
              <w:pageBreakBefore w:val="0"/>
              <w:widowControl/>
              <w:kinsoku/>
              <w:overflowPunct/>
              <w:topLinePunct w:val="0"/>
              <w:autoSpaceDE/>
              <w:autoSpaceDN/>
              <w:bidi w:val="0"/>
              <w:adjustRightInd/>
              <w:spacing w:line="400" w:lineRule="exact"/>
              <w:jc w:val="lef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详见招标公告</w:t>
            </w:r>
          </w:p>
        </w:tc>
      </w:tr>
      <w:tr w14:paraId="3C71A4B5">
        <w:tblPrEx>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BBE85">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发布公告媒介</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42016">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eastAsia="zh-CN"/>
              </w:rPr>
              <w:t>广州公共资源交易中心网站（http://www.gzggzy.cn/）</w:t>
            </w:r>
            <w:r>
              <w:rPr>
                <w:rFonts w:hint="eastAsia" w:ascii="宋体" w:hAnsi="宋体" w:eastAsia="宋体" w:cs="宋体"/>
                <w:color w:val="auto"/>
                <w:sz w:val="21"/>
                <w:szCs w:val="21"/>
                <w:highlight w:val="none"/>
              </w:rPr>
              <w:t>、中国招标投标公共服务平台（http://www.cebpubservice.com/）、中国采购与招标网（https://www.chinabidding.com.cn/）、广东华伦招标有限公司网（www.gdhualun.com.cn/）</w:t>
            </w:r>
          </w:p>
        </w:tc>
      </w:tr>
      <w:tr w14:paraId="46118093">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869BC">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招标人</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549F4">
            <w:pPr>
              <w:keepNext w:val="0"/>
              <w:keepLines w:val="0"/>
              <w:pageBreakBefore w:val="0"/>
              <w:widowControl/>
              <w:kinsoku/>
              <w:wordWrap w:val="0"/>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肇庆市港口投资发展有限公司</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9BB3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联系地址</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D1D05">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eastAsia="zh-CN"/>
              </w:rPr>
            </w:pPr>
            <w:r>
              <w:rPr>
                <w:rFonts w:hint="eastAsia"/>
                <w:highlight w:val="none"/>
              </w:rPr>
              <w:t>肇庆市端州区站前西路交通大楼四楼401室</w:t>
            </w:r>
          </w:p>
        </w:tc>
      </w:tr>
      <w:tr w14:paraId="7D63AF30">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DE7F1">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招标人联系人</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7A46D">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石</w:t>
            </w:r>
            <w:r>
              <w:rPr>
                <w:rFonts w:hint="eastAsia" w:ascii="宋体" w:hAnsi="宋体" w:cs="宋体"/>
                <w:color w:val="auto"/>
                <w:sz w:val="21"/>
                <w:szCs w:val="21"/>
                <w:highlight w:val="none"/>
                <w:lang w:val="en-US" w:eastAsia="zh-CN"/>
              </w:rPr>
              <w:t>先生</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9E5A8">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联系电话</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6AA3D">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13450162062</w:t>
            </w:r>
          </w:p>
        </w:tc>
      </w:tr>
      <w:tr w14:paraId="57B86DEB">
        <w:tblPrEx>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93E56">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招标代理机构</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DEF15">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广东华伦招标有限公司</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D46A5">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联系地址</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55764">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肇庆市端州区天宁北路75号广发银行大厦24楼</w:t>
            </w:r>
          </w:p>
        </w:tc>
      </w:tr>
      <w:tr w14:paraId="77E58FD0">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6676D">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招标代理联系人</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A868B">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伦小姐</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96DC2">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联系电话</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72FA0">
            <w:pPr>
              <w:keepNext w:val="0"/>
              <w:keepLines w:val="0"/>
              <w:pageBreakBefore w:val="0"/>
              <w:widowControl/>
              <w:kinsoku/>
              <w:overflowPunct/>
              <w:topLinePunct w:val="0"/>
              <w:autoSpaceDE/>
              <w:autoSpaceDN/>
              <w:bidi w:val="0"/>
              <w:adjustRightInd/>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0758-2313165</w:t>
            </w:r>
          </w:p>
        </w:tc>
      </w:tr>
      <w:tr w14:paraId="6DF0F1A6">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31DE0">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bookmarkStart w:id="6" w:name="OLE_LINK5"/>
            <w:r>
              <w:rPr>
                <w:rFonts w:hint="eastAsia" w:ascii="宋体" w:hAnsi="宋体" w:eastAsia="宋体" w:cs="宋体"/>
                <w:b/>
                <w:bCs/>
                <w:color w:val="auto"/>
                <w:kern w:val="0"/>
                <w:sz w:val="22"/>
                <w:szCs w:val="22"/>
                <w:highlight w:val="none"/>
                <w:lang w:bidi="ar"/>
              </w:rPr>
              <w:t>招标监督机构</w:t>
            </w:r>
            <w:bookmarkEnd w:id="6"/>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B0227">
            <w:pPr>
              <w:keepNext w:val="0"/>
              <w:keepLines w:val="0"/>
              <w:pageBreakBefore w:val="0"/>
              <w:kinsoku/>
              <w:wordWrap/>
              <w:overflowPunct/>
              <w:topLinePunct w:val="0"/>
              <w:bidi w:val="0"/>
              <w:adjustRightInd w:val="0"/>
              <w:snapToGrid w:val="0"/>
              <w:spacing w:line="400" w:lineRule="exact"/>
              <w:ind w:left="105" w:leftChars="0" w:right="105" w:rightChars="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肇庆市交通集团有限公司</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98E50">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联系电话</w:t>
            </w:r>
          </w:p>
        </w:tc>
        <w:tc>
          <w:tcPr>
            <w:tcW w:w="244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5DEF6">
            <w:pPr>
              <w:keepNext w:val="0"/>
              <w:keepLines w:val="0"/>
              <w:pageBreakBefore w:val="0"/>
              <w:kinsoku/>
              <w:wordWrap/>
              <w:overflowPunct/>
              <w:topLinePunct w:val="0"/>
              <w:bidi w:val="0"/>
              <w:adjustRightInd w:val="0"/>
              <w:snapToGrid w:val="0"/>
              <w:spacing w:line="400" w:lineRule="exact"/>
              <w:ind w:left="105" w:leftChars="50" w:right="105" w:rightChars="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0758-2909855</w:t>
            </w:r>
          </w:p>
        </w:tc>
      </w:tr>
      <w:tr w14:paraId="4BA926ED">
        <w:tblPrEx>
          <w:shd w:val="clear" w:color="auto" w:fill="FFFFFF"/>
          <w:tblCellMar>
            <w:top w:w="0" w:type="dxa"/>
            <w:left w:w="108" w:type="dxa"/>
            <w:bottom w:w="0" w:type="dxa"/>
            <w:right w:w="108" w:type="dxa"/>
          </w:tblCellMar>
        </w:tblPrEx>
        <w:trPr>
          <w:trHeight w:val="640" w:hRule="atLeast"/>
          <w:jc w:val="center"/>
        </w:trPr>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3AB95">
            <w:pPr>
              <w:keepNext w:val="0"/>
              <w:keepLines w:val="0"/>
              <w:pageBreakBefore w:val="0"/>
              <w:widowControl/>
              <w:kinsoku/>
              <w:overflowPunct/>
              <w:topLinePunct w:val="0"/>
              <w:autoSpaceDE/>
              <w:autoSpaceDN/>
              <w:bidi w:val="0"/>
              <w:adjustRightInd/>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其他依法应当载明的内容</w:t>
            </w:r>
          </w:p>
        </w:tc>
        <w:tc>
          <w:tcPr>
            <w:tcW w:w="4144"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F55F2">
            <w:pPr>
              <w:keepNext w:val="0"/>
              <w:keepLines w:val="0"/>
              <w:pageBreakBefore w:val="0"/>
              <w:widowControl w:val="0"/>
              <w:numPr>
                <w:ilvl w:val="0"/>
                <w:numId w:val="1"/>
              </w:numPr>
              <w:kinsoku/>
              <w:wordWrap w:val="0"/>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1"/>
                <w:szCs w:val="21"/>
                <w:highlight w:val="none"/>
              </w:rPr>
              <w:t>投标人的投标报价不得超出最高投标限价</w:t>
            </w:r>
            <w:r>
              <w:rPr>
                <w:rFonts w:hint="eastAsia" w:ascii="宋体" w:hAnsi="宋体" w:cs="宋体"/>
                <w:color w:val="auto"/>
                <w:kern w:val="0"/>
                <w:sz w:val="21"/>
                <w:szCs w:val="21"/>
                <w:highlight w:val="none"/>
                <w:lang w:val="en-US" w:eastAsia="zh-CN"/>
              </w:rPr>
              <w:t>单价</w:t>
            </w:r>
            <w:r>
              <w:rPr>
                <w:rFonts w:hint="eastAsia" w:ascii="宋体" w:hAnsi="宋体" w:eastAsia="宋体" w:cs="宋体"/>
                <w:color w:val="auto"/>
                <w:kern w:val="0"/>
                <w:sz w:val="21"/>
                <w:szCs w:val="21"/>
                <w:highlight w:val="none"/>
              </w:rPr>
              <w:t>人民币2</w:t>
            </w:r>
            <w:r>
              <w:rPr>
                <w:rFonts w:hint="eastAsia" w:ascii="宋体" w:hAnsi="宋体" w:cs="宋体"/>
                <w:color w:val="auto"/>
                <w:kern w:val="0"/>
                <w:sz w:val="21"/>
                <w:szCs w:val="21"/>
                <w:highlight w:val="none"/>
                <w:lang w:val="en-US" w:eastAsia="zh-CN"/>
              </w:rPr>
              <w:t>.02</w:t>
            </w:r>
            <w:r>
              <w:rPr>
                <w:rFonts w:hint="eastAsia" w:ascii="宋体" w:hAnsi="宋体" w:eastAsia="宋体" w:cs="宋体"/>
                <w:color w:val="auto"/>
                <w:kern w:val="0"/>
                <w:sz w:val="21"/>
                <w:szCs w:val="21"/>
                <w:highlight w:val="none"/>
              </w:rPr>
              <w:t>元/吨，实际装船服务量具体以招标人需求</w:t>
            </w:r>
            <w:r>
              <w:rPr>
                <w:rFonts w:hint="eastAsia" w:ascii="宋体" w:hAnsi="宋体" w:cs="宋体"/>
                <w:color w:val="auto"/>
                <w:kern w:val="0"/>
                <w:sz w:val="21"/>
                <w:szCs w:val="21"/>
                <w:highlight w:val="none"/>
                <w:lang w:val="en-US" w:eastAsia="zh-CN"/>
              </w:rPr>
              <w:t>为准</w:t>
            </w:r>
            <w:r>
              <w:rPr>
                <w:rFonts w:hint="eastAsia" w:ascii="宋体" w:hAnsi="宋体" w:eastAsia="宋体" w:cs="宋体"/>
                <w:color w:val="auto"/>
                <w:kern w:val="0"/>
                <w:sz w:val="21"/>
                <w:szCs w:val="21"/>
                <w:highlight w:val="none"/>
              </w:rPr>
              <w:t>，最终按照不超过</w:t>
            </w:r>
            <w:r>
              <w:rPr>
                <w:rFonts w:hint="eastAsia" w:ascii="宋体" w:hAnsi="宋体" w:cs="宋体"/>
                <w:color w:val="auto"/>
                <w:kern w:val="0"/>
                <w:sz w:val="21"/>
                <w:szCs w:val="21"/>
                <w:highlight w:val="none"/>
                <w:lang w:val="en-US" w:eastAsia="zh-CN"/>
              </w:rPr>
              <w:t>招标阶段最高投标限价人民币</w:t>
            </w:r>
            <w:r>
              <w:rPr>
                <w:rFonts w:hint="eastAsia" w:ascii="宋体" w:hAnsi="宋体" w:cs="宋体"/>
                <w:color w:val="auto"/>
                <w:kern w:val="0"/>
                <w:sz w:val="21"/>
                <w:szCs w:val="21"/>
                <w:highlight w:val="none"/>
                <w:lang w:eastAsia="zh-CN"/>
              </w:rPr>
              <w:t>363.6</w:t>
            </w:r>
            <w:r>
              <w:rPr>
                <w:rFonts w:hint="eastAsia" w:ascii="宋体" w:hAnsi="宋体" w:eastAsia="宋体" w:cs="宋体"/>
                <w:color w:val="auto"/>
                <w:kern w:val="0"/>
                <w:sz w:val="21"/>
                <w:szCs w:val="21"/>
                <w:highlight w:val="none"/>
              </w:rPr>
              <w:t>万元控制。否则其报价将作无效报价处理。</w:t>
            </w:r>
          </w:p>
          <w:p w14:paraId="436357F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本项目采用资格后审方式，由评标委员会负责资格审查。满足资格审查合格条件的投标人不足 3 名或通过形式审查的投标人不足3名时为招标失败。</w:t>
            </w:r>
          </w:p>
        </w:tc>
      </w:tr>
    </w:tbl>
    <w:p w14:paraId="5857C2E1">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4A49DB6">
      <w:pPr>
        <w:pStyle w:val="2"/>
        <w:keepNext w:val="0"/>
        <w:keepLines w:val="0"/>
        <w:pageBreakBefore w:val="0"/>
        <w:widowControl w:val="0"/>
        <w:shd w:val="clear" w:color="auto" w:fill="auto"/>
        <w:kinsoku/>
        <w:wordWrap/>
        <w:overflowPunct/>
        <w:topLinePunct w:val="0"/>
        <w:autoSpaceDE/>
        <w:autoSpaceDN/>
        <w:bidi w:val="0"/>
        <w:adjustRightInd/>
        <w:snapToGrid/>
        <w:ind w:left="2954"/>
        <w:textAlignment w:val="auto"/>
        <w:rPr>
          <w:rFonts w:hint="eastAsia" w:ascii="宋体" w:hAnsi="宋体" w:eastAsia="宋体" w:cs="宋体"/>
          <w:color w:val="auto"/>
          <w:highlight w:val="none"/>
        </w:rPr>
      </w:pPr>
      <w:bookmarkStart w:id="7" w:name="_Toc21148"/>
      <w:r>
        <w:rPr>
          <w:rFonts w:hint="eastAsia" w:ascii="宋体" w:hAnsi="宋体" w:eastAsia="宋体" w:cs="宋体"/>
          <w:color w:val="auto"/>
          <w:highlight w:val="none"/>
        </w:rPr>
        <w:t>第二章投标人须知</w:t>
      </w:r>
      <w:bookmarkEnd w:id="7"/>
    </w:p>
    <w:p w14:paraId="1EC970DA">
      <w:pPr>
        <w:pStyle w:val="3"/>
        <w:shd w:val="clear" w:color="auto" w:fill="auto"/>
        <w:ind w:left="400" w:firstLine="0"/>
        <w:jc w:val="center"/>
        <w:rPr>
          <w:rFonts w:hint="eastAsia" w:ascii="宋体" w:hAnsi="宋体" w:eastAsia="宋体" w:cs="宋体"/>
          <w:color w:val="auto"/>
          <w:highlight w:val="none"/>
        </w:rPr>
      </w:pPr>
      <w:bookmarkStart w:id="8" w:name="_bookmark19"/>
      <w:bookmarkEnd w:id="8"/>
      <w:r>
        <w:rPr>
          <w:rFonts w:hint="eastAsia" w:ascii="宋体" w:hAnsi="宋体" w:eastAsia="宋体" w:cs="宋体"/>
          <w:color w:val="auto"/>
          <w:highlight w:val="none"/>
        </w:rPr>
        <w:t>投标人须知前附表</w:t>
      </w:r>
    </w:p>
    <w:tbl>
      <w:tblPr>
        <w:tblStyle w:val="28"/>
        <w:tblW w:w="9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2981"/>
        <w:gridCol w:w="5613"/>
      </w:tblGrid>
      <w:tr w14:paraId="6D084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blHeader/>
          <w:jc w:val="center"/>
        </w:trPr>
        <w:tc>
          <w:tcPr>
            <w:tcW w:w="1164" w:type="dxa"/>
            <w:shd w:val="clear" w:color="auto" w:fill="D7D7D7"/>
            <w:noWrap w:val="0"/>
            <w:vAlign w:val="top"/>
          </w:tcPr>
          <w:p w14:paraId="202B333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981" w:type="dxa"/>
            <w:shd w:val="clear" w:color="auto" w:fill="D7D7D7"/>
            <w:noWrap w:val="0"/>
            <w:vAlign w:val="top"/>
          </w:tcPr>
          <w:p w14:paraId="573AF82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613" w:type="dxa"/>
            <w:shd w:val="clear" w:color="auto" w:fill="D7D7D7"/>
            <w:noWrap w:val="0"/>
            <w:vAlign w:val="top"/>
          </w:tcPr>
          <w:p w14:paraId="1ED478E4">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2CC5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jc w:val="center"/>
        </w:trPr>
        <w:tc>
          <w:tcPr>
            <w:tcW w:w="1164" w:type="dxa"/>
            <w:noWrap w:val="0"/>
            <w:vAlign w:val="center"/>
          </w:tcPr>
          <w:p w14:paraId="5BCD8EE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981" w:type="dxa"/>
            <w:noWrap w:val="0"/>
            <w:vAlign w:val="center"/>
          </w:tcPr>
          <w:p w14:paraId="039E149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5613" w:type="dxa"/>
            <w:noWrap w:val="0"/>
            <w:vAlign w:val="top"/>
          </w:tcPr>
          <w:p w14:paraId="681E10BD">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 标 人：</w:t>
            </w:r>
            <w:r>
              <w:rPr>
                <w:rFonts w:hint="eastAsia" w:cs="宋体"/>
                <w:color w:val="auto"/>
                <w:sz w:val="21"/>
                <w:szCs w:val="21"/>
                <w:highlight w:val="none"/>
                <w:lang w:val="en-US" w:eastAsia="zh-CN"/>
              </w:rPr>
              <w:t>肇庆市港口投资发展有限公司</w:t>
            </w:r>
          </w:p>
          <w:p w14:paraId="0B40112A">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w:t>
            </w:r>
            <w:r>
              <w:rPr>
                <w:rFonts w:hint="eastAsia"/>
                <w:highlight w:val="none"/>
              </w:rPr>
              <w:t>肇庆市端州区站前西路交通大楼四楼401室</w:t>
            </w:r>
            <w:r>
              <w:rPr>
                <w:rFonts w:hint="eastAsia" w:ascii="宋体" w:hAnsi="宋体" w:eastAsia="宋体" w:cs="宋体"/>
                <w:color w:val="auto"/>
                <w:sz w:val="21"/>
                <w:szCs w:val="21"/>
                <w:highlight w:val="none"/>
                <w:lang w:val="en-US" w:eastAsia="zh-CN"/>
              </w:rPr>
              <w:t xml:space="preserve"> </w:t>
            </w:r>
          </w:p>
          <w:p w14:paraId="3B669F88">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cs="宋体"/>
                <w:color w:val="auto"/>
                <w:sz w:val="21"/>
                <w:szCs w:val="21"/>
                <w:highlight w:val="none"/>
                <w:lang w:val="en-US" w:eastAsia="zh-CN"/>
              </w:rPr>
              <w:t>石先生</w:t>
            </w:r>
          </w:p>
          <w:p w14:paraId="0749E20F">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cs="宋体"/>
                <w:color w:val="auto"/>
                <w:sz w:val="21"/>
                <w:szCs w:val="21"/>
                <w:highlight w:val="none"/>
                <w:lang w:val="en-US" w:eastAsia="zh-CN"/>
              </w:rPr>
              <w:t>13450162062</w:t>
            </w:r>
            <w:r>
              <w:rPr>
                <w:rFonts w:hint="eastAsia" w:ascii="宋体" w:hAnsi="宋体" w:eastAsia="宋体" w:cs="宋体"/>
                <w:color w:val="auto"/>
                <w:sz w:val="21"/>
                <w:szCs w:val="21"/>
                <w:highlight w:val="none"/>
                <w:lang w:val="en-US" w:eastAsia="zh-CN"/>
              </w:rPr>
              <w:t xml:space="preserve"> </w:t>
            </w:r>
          </w:p>
          <w:p w14:paraId="10A980FC">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电子邮箱：/   </w:t>
            </w:r>
          </w:p>
        </w:tc>
      </w:tr>
      <w:tr w14:paraId="43B2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jc w:val="center"/>
        </w:trPr>
        <w:tc>
          <w:tcPr>
            <w:tcW w:w="1164" w:type="dxa"/>
            <w:noWrap w:val="0"/>
            <w:vAlign w:val="center"/>
          </w:tcPr>
          <w:p w14:paraId="04D03D2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981" w:type="dxa"/>
            <w:noWrap w:val="0"/>
            <w:vAlign w:val="center"/>
          </w:tcPr>
          <w:p w14:paraId="19C62AB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5613" w:type="dxa"/>
            <w:noWrap w:val="0"/>
            <w:vAlign w:val="top"/>
          </w:tcPr>
          <w:p w14:paraId="5D88B6EF">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招标代理机构：</w:t>
            </w:r>
            <w:r>
              <w:rPr>
                <w:rFonts w:hint="eastAsia" w:cs="宋体"/>
                <w:color w:val="auto"/>
                <w:sz w:val="21"/>
                <w:szCs w:val="21"/>
                <w:highlight w:val="none"/>
                <w:lang w:val="en-US" w:eastAsia="zh-CN"/>
              </w:rPr>
              <w:t>广东华伦招标有限公司</w:t>
            </w:r>
          </w:p>
          <w:p w14:paraId="45F8B966">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地    址：</w:t>
            </w:r>
            <w:r>
              <w:rPr>
                <w:rFonts w:hint="eastAsia" w:cs="宋体"/>
                <w:color w:val="auto"/>
                <w:sz w:val="21"/>
                <w:szCs w:val="21"/>
                <w:highlight w:val="none"/>
                <w:lang w:val="en-US" w:eastAsia="zh-CN"/>
              </w:rPr>
              <w:t>广东省肇庆市端州区天宁北路75号广发银行大厦24楼</w:t>
            </w:r>
          </w:p>
          <w:p w14:paraId="45BC960C">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rPr>
              <w:t>联 系 人：</w:t>
            </w:r>
            <w:r>
              <w:rPr>
                <w:rFonts w:hint="eastAsia" w:cs="宋体"/>
                <w:color w:val="auto"/>
                <w:spacing w:val="0"/>
                <w:sz w:val="21"/>
                <w:szCs w:val="21"/>
                <w:highlight w:val="none"/>
                <w:lang w:val="en-US" w:eastAsia="zh-CN"/>
              </w:rPr>
              <w:t>伦小姐</w:t>
            </w:r>
          </w:p>
          <w:p w14:paraId="1A2E6809">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rPr>
              <w:t>电    话：</w:t>
            </w:r>
            <w:r>
              <w:rPr>
                <w:rFonts w:hint="eastAsia" w:cs="宋体"/>
                <w:color w:val="auto"/>
                <w:spacing w:val="0"/>
                <w:sz w:val="21"/>
                <w:szCs w:val="21"/>
                <w:highlight w:val="none"/>
                <w:lang w:val="en-US" w:eastAsia="zh-CN"/>
              </w:rPr>
              <w:t>0758-2313165</w:t>
            </w:r>
          </w:p>
          <w:p w14:paraId="5AF75172">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电子邮箱：</w:t>
            </w:r>
            <w:r>
              <w:rPr>
                <w:rFonts w:hint="eastAsia" w:cs="宋体"/>
                <w:color w:val="auto"/>
                <w:sz w:val="21"/>
                <w:szCs w:val="21"/>
                <w:highlight w:val="none"/>
                <w:lang w:val="en-US" w:eastAsia="zh-CN"/>
              </w:rPr>
              <w:t>zqhlzb@163.com</w:t>
            </w:r>
          </w:p>
        </w:tc>
      </w:tr>
      <w:tr w14:paraId="741AC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164" w:type="dxa"/>
            <w:noWrap w:val="0"/>
            <w:vAlign w:val="center"/>
          </w:tcPr>
          <w:p w14:paraId="06C53795">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981" w:type="dxa"/>
            <w:noWrap w:val="0"/>
            <w:vAlign w:val="center"/>
          </w:tcPr>
          <w:p w14:paraId="157768C4">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5613" w:type="dxa"/>
            <w:noWrap w:val="0"/>
            <w:vAlign w:val="center"/>
          </w:tcPr>
          <w:p w14:paraId="66D873D9">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肇庆市港口投资发展有限公司德庆九市作业区可拆装式砂石装船设备项目2号泊位装船服务</w:t>
            </w:r>
          </w:p>
        </w:tc>
      </w:tr>
      <w:tr w14:paraId="54121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164" w:type="dxa"/>
            <w:noWrap w:val="0"/>
            <w:vAlign w:val="center"/>
          </w:tcPr>
          <w:p w14:paraId="5661FB0C">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981" w:type="dxa"/>
            <w:noWrap w:val="0"/>
            <w:vAlign w:val="center"/>
          </w:tcPr>
          <w:p w14:paraId="33CF8CA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5613" w:type="dxa"/>
            <w:noWrap w:val="0"/>
            <w:vAlign w:val="center"/>
          </w:tcPr>
          <w:p w14:paraId="07ED7593">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自筹资金，100%</w:t>
            </w:r>
          </w:p>
        </w:tc>
      </w:tr>
      <w:tr w14:paraId="0974D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164" w:type="dxa"/>
            <w:noWrap w:val="0"/>
            <w:vAlign w:val="center"/>
          </w:tcPr>
          <w:p w14:paraId="0F4582D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981" w:type="dxa"/>
            <w:noWrap w:val="0"/>
            <w:vAlign w:val="center"/>
          </w:tcPr>
          <w:p w14:paraId="21755D5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5613" w:type="dxa"/>
            <w:noWrap w:val="0"/>
            <w:vAlign w:val="center"/>
          </w:tcPr>
          <w:p w14:paraId="2C6A1A7C">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已落实</w:t>
            </w:r>
          </w:p>
        </w:tc>
      </w:tr>
      <w:tr w14:paraId="17CD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164" w:type="dxa"/>
            <w:noWrap w:val="0"/>
            <w:vAlign w:val="center"/>
          </w:tcPr>
          <w:p w14:paraId="4F744BC5">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981" w:type="dxa"/>
            <w:noWrap w:val="0"/>
            <w:vAlign w:val="center"/>
          </w:tcPr>
          <w:p w14:paraId="7310B16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5613" w:type="dxa"/>
            <w:noWrap w:val="0"/>
            <w:vAlign w:val="center"/>
          </w:tcPr>
          <w:p w14:paraId="72A5B6E5">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详见招标公告。</w:t>
            </w:r>
          </w:p>
        </w:tc>
      </w:tr>
      <w:tr w14:paraId="63CB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164" w:type="dxa"/>
            <w:noWrap w:val="0"/>
            <w:vAlign w:val="center"/>
          </w:tcPr>
          <w:p w14:paraId="7ABB61D4">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981" w:type="dxa"/>
            <w:noWrap w:val="0"/>
            <w:vAlign w:val="center"/>
          </w:tcPr>
          <w:p w14:paraId="1D05868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期</w:t>
            </w:r>
          </w:p>
        </w:tc>
        <w:tc>
          <w:tcPr>
            <w:tcW w:w="5613" w:type="dxa"/>
            <w:noWrap w:val="0"/>
            <w:vAlign w:val="center"/>
          </w:tcPr>
          <w:p w14:paraId="0ED43FF0">
            <w:pPr>
              <w:pStyle w:val="44"/>
              <w:keepNext w:val="0"/>
              <w:keepLines w:val="0"/>
              <w:pageBreakBefore w:val="0"/>
              <w:shd w:val="clear" w:color="auto" w:fill="auto"/>
              <w:tabs>
                <w:tab w:val="left" w:pos="637"/>
                <w:tab w:val="left" w:pos="1190"/>
                <w:tab w:val="left" w:pos="4694"/>
                <w:tab w:val="left" w:pos="6290"/>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r>
              <w:rPr>
                <w:rFonts w:hint="eastAsia" w:ascii="宋体" w:hAnsi="宋体" w:eastAsia="宋体" w:cs="宋体"/>
                <w:color w:val="auto"/>
                <w:sz w:val="21"/>
                <w:szCs w:val="21"/>
                <w:highlight w:val="none"/>
                <w:lang w:val="en-US"/>
              </w:rPr>
              <w:t>。</w:t>
            </w:r>
          </w:p>
        </w:tc>
      </w:tr>
      <w:tr w14:paraId="0AB41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164" w:type="dxa"/>
            <w:noWrap w:val="0"/>
            <w:vAlign w:val="center"/>
          </w:tcPr>
          <w:p w14:paraId="6833DFE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981" w:type="dxa"/>
            <w:noWrap w:val="0"/>
            <w:vAlign w:val="center"/>
          </w:tcPr>
          <w:p w14:paraId="73DBDF8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5613" w:type="dxa"/>
            <w:noWrap w:val="0"/>
            <w:vAlign w:val="center"/>
          </w:tcPr>
          <w:p w14:paraId="49BA2E9C">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lang w:eastAsia="zh-CN"/>
              </w:rPr>
              <w:t>肇庆市德庆县，本项目位于肇庆市德庆县九市镇西江中游左岸，距离上游德庆西江大桥约18.9千米。</w:t>
            </w:r>
          </w:p>
        </w:tc>
      </w:tr>
      <w:tr w14:paraId="6B1C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164" w:type="dxa"/>
            <w:noWrap w:val="0"/>
            <w:vAlign w:val="center"/>
          </w:tcPr>
          <w:p w14:paraId="14F98AA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2981" w:type="dxa"/>
            <w:noWrap w:val="0"/>
            <w:vAlign w:val="center"/>
          </w:tcPr>
          <w:p w14:paraId="547EED0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技术性能指标</w:t>
            </w:r>
          </w:p>
        </w:tc>
        <w:tc>
          <w:tcPr>
            <w:tcW w:w="5613" w:type="dxa"/>
            <w:noWrap w:val="0"/>
            <w:vAlign w:val="center"/>
          </w:tcPr>
          <w:p w14:paraId="2E344E14">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详见第五章用户需求书。</w:t>
            </w:r>
          </w:p>
          <w:p w14:paraId="3FFD81E2">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质量标准：合格。</w:t>
            </w:r>
          </w:p>
        </w:tc>
      </w:tr>
      <w:tr w14:paraId="1D9AC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75553D2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981" w:type="dxa"/>
            <w:noWrap w:val="0"/>
            <w:vAlign w:val="center"/>
          </w:tcPr>
          <w:p w14:paraId="4DCF4D24">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rPr>
              <w:t>资格条件</w:t>
            </w:r>
          </w:p>
        </w:tc>
        <w:tc>
          <w:tcPr>
            <w:tcW w:w="5613" w:type="dxa"/>
            <w:noWrap w:val="0"/>
            <w:vAlign w:val="center"/>
          </w:tcPr>
          <w:p w14:paraId="6D7482C0">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详见招标公告。</w:t>
            </w:r>
          </w:p>
          <w:p w14:paraId="70ECE28B">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w:t>
            </w:r>
            <w:r>
              <w:rPr>
                <w:rFonts w:hint="eastAsia" w:ascii="宋体" w:hAnsi="宋体" w:eastAsia="宋体" w:cs="宋体"/>
                <w:color w:val="auto"/>
                <w:sz w:val="21"/>
                <w:szCs w:val="21"/>
                <w:highlight w:val="none"/>
                <w:lang w:val="en-US" w:eastAsia="zh-CN"/>
              </w:rPr>
              <w:t>无。</w:t>
            </w:r>
          </w:p>
          <w:p w14:paraId="2D029BB3">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w:t>
            </w:r>
            <w:r>
              <w:rPr>
                <w:rFonts w:hint="eastAsia" w:ascii="宋体" w:hAnsi="宋体" w:eastAsia="宋体" w:cs="宋体"/>
                <w:color w:val="auto"/>
                <w:sz w:val="21"/>
                <w:szCs w:val="21"/>
                <w:highlight w:val="none"/>
                <w:lang w:val="en-US" w:eastAsia="zh-CN"/>
              </w:rPr>
              <w:t>详见招标公告。</w:t>
            </w:r>
          </w:p>
          <w:p w14:paraId="1DEBF507">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w:t>
            </w:r>
            <w:r>
              <w:rPr>
                <w:rFonts w:hint="eastAsia" w:ascii="宋体" w:hAnsi="宋体" w:eastAsia="宋体" w:cs="宋体"/>
                <w:color w:val="auto"/>
                <w:sz w:val="21"/>
                <w:szCs w:val="21"/>
                <w:highlight w:val="none"/>
                <w:lang w:val="en-US" w:eastAsia="zh-CN"/>
              </w:rPr>
              <w:t>详见招标公告。</w:t>
            </w:r>
          </w:p>
        </w:tc>
      </w:tr>
      <w:tr w14:paraId="2343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521117D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981" w:type="dxa"/>
            <w:noWrap w:val="0"/>
            <w:vAlign w:val="center"/>
          </w:tcPr>
          <w:p w14:paraId="43DF73F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5613" w:type="dxa"/>
            <w:noWrap w:val="0"/>
            <w:vAlign w:val="center"/>
          </w:tcPr>
          <w:p w14:paraId="2AF03AE0">
            <w:pPr>
              <w:keepNext w:val="0"/>
              <w:keepLines w:val="0"/>
              <w:pageBreakBefore w:val="0"/>
              <w:shd w:val="clear" w:color="auto" w:fill="auto"/>
              <w:kinsoku/>
              <w:wordWrap/>
              <w:overflowPunct/>
              <w:topLinePunct w:val="0"/>
              <w:bidi w:val="0"/>
              <w:spacing w:line="400" w:lineRule="exact"/>
              <w:ind w:left="202" w:leftChars="96"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sz w:val="21"/>
                <w:szCs w:val="21"/>
                <w:highlight w:val="none"/>
              </w:rPr>
              <w:t>不接受</w:t>
            </w:r>
          </w:p>
          <w:p w14:paraId="25BB6220">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w:t>
            </w:r>
            <w:r>
              <w:rPr>
                <w:rFonts w:hint="eastAsia" w:ascii="宋体" w:hAnsi="宋体" w:eastAsia="宋体" w:cs="宋体"/>
                <w:color w:val="auto"/>
                <w:sz w:val="21"/>
                <w:szCs w:val="21"/>
                <w:highlight w:val="none"/>
                <w:lang w:val="en-US"/>
              </w:rPr>
              <w:t>。</w:t>
            </w:r>
          </w:p>
        </w:tc>
      </w:tr>
      <w:tr w14:paraId="600B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211ED17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2981" w:type="dxa"/>
            <w:noWrap w:val="0"/>
            <w:vAlign w:val="top"/>
          </w:tcPr>
          <w:p w14:paraId="4E6F4D0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投标人不得存在的其他情形</w:t>
            </w:r>
          </w:p>
        </w:tc>
        <w:tc>
          <w:tcPr>
            <w:tcW w:w="5613" w:type="dxa"/>
            <w:noWrap w:val="0"/>
            <w:vAlign w:val="center"/>
          </w:tcPr>
          <w:p w14:paraId="514C29D7">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59FB4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6C37F01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981" w:type="dxa"/>
            <w:noWrap w:val="0"/>
            <w:vAlign w:val="center"/>
          </w:tcPr>
          <w:p w14:paraId="29677FC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613" w:type="dxa"/>
            <w:noWrap w:val="0"/>
            <w:vAlign w:val="center"/>
          </w:tcPr>
          <w:p w14:paraId="77B2C07E">
            <w:pPr>
              <w:keepNext w:val="0"/>
              <w:keepLines w:val="0"/>
              <w:pageBreakBefore w:val="0"/>
              <w:shd w:val="clear" w:color="auto" w:fill="auto"/>
              <w:kinsoku/>
              <w:wordWrap/>
              <w:overflowPunct/>
              <w:topLinePunct w:val="0"/>
              <w:autoSpaceDE w:val="0"/>
              <w:autoSpaceDN w:val="0"/>
              <w:bidi w:val="0"/>
              <w:adjustRightInd w:val="0"/>
              <w:spacing w:before="49" w:line="400" w:lineRule="exact"/>
              <w:ind w:left="202" w:leftChars="96" w:right="38" w:firstLine="16" w:firstLineChars="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0"/>
                <w:sz w:val="21"/>
                <w:szCs w:val="21"/>
                <w:highlight w:val="none"/>
              </w:rPr>
              <w:t>不召开</w:t>
            </w:r>
          </w:p>
          <w:p w14:paraId="677235CB">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□召开，召开时间：</w:t>
            </w:r>
            <w:r>
              <w:rPr>
                <w:rFonts w:hint="eastAsia" w:ascii="宋体" w:hAnsi="宋体" w:eastAsia="宋体" w:cs="宋体"/>
                <w:color w:val="auto"/>
                <w:kern w:val="0"/>
                <w:sz w:val="21"/>
                <w:szCs w:val="21"/>
                <w:highlight w:val="none"/>
                <w:lang w:val="en-US" w:eastAsia="zh-CN"/>
              </w:rPr>
              <w:t>/</w:t>
            </w:r>
          </w:p>
          <w:p w14:paraId="4218EA9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召开地点：</w:t>
            </w:r>
            <w:r>
              <w:rPr>
                <w:rFonts w:hint="eastAsia" w:ascii="宋体" w:hAnsi="宋体" w:eastAsia="宋体" w:cs="宋体"/>
                <w:color w:val="auto"/>
                <w:kern w:val="0"/>
                <w:sz w:val="21"/>
                <w:szCs w:val="21"/>
                <w:highlight w:val="none"/>
                <w:lang w:val="en-US" w:eastAsia="zh-CN"/>
              </w:rPr>
              <w:t>/</w:t>
            </w:r>
          </w:p>
        </w:tc>
      </w:tr>
      <w:tr w14:paraId="16B9F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3925CD5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2981" w:type="dxa"/>
            <w:noWrap w:val="0"/>
            <w:vAlign w:val="top"/>
          </w:tcPr>
          <w:p w14:paraId="62C09E0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613" w:type="dxa"/>
            <w:noWrap w:val="0"/>
            <w:vAlign w:val="center"/>
          </w:tcPr>
          <w:p w14:paraId="0BB001B2">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snapToGrid w:val="0"/>
                <w:color w:val="auto"/>
                <w:sz w:val="21"/>
                <w:szCs w:val="21"/>
                <w:highlight w:val="none"/>
                <w:lang w:val="en-US" w:eastAsia="zh-CN"/>
              </w:rPr>
              <w:t>/</w:t>
            </w:r>
          </w:p>
        </w:tc>
      </w:tr>
      <w:tr w14:paraId="2DD2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72331D3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981" w:type="dxa"/>
            <w:noWrap w:val="0"/>
            <w:vAlign w:val="center"/>
          </w:tcPr>
          <w:p w14:paraId="3F05D9D7">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613" w:type="dxa"/>
            <w:noWrap w:val="0"/>
            <w:vAlign w:val="top"/>
          </w:tcPr>
          <w:p w14:paraId="0FBEB432">
            <w:pPr>
              <w:keepNext w:val="0"/>
              <w:keepLines w:val="0"/>
              <w:pageBreakBefore w:val="0"/>
              <w:shd w:val="clear" w:color="auto" w:fill="auto"/>
              <w:kinsoku/>
              <w:wordWrap/>
              <w:overflowPunct/>
              <w:topLinePunct w:val="0"/>
              <w:autoSpaceDE w:val="0"/>
              <w:autoSpaceDN w:val="0"/>
              <w:bidi w:val="0"/>
              <w:adjustRightInd w:val="0"/>
              <w:spacing w:before="49" w:line="400" w:lineRule="exact"/>
              <w:ind w:left="202" w:leftChars="96" w:right="38" w:firstLine="16" w:firstLineChars="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0"/>
                <w:sz w:val="21"/>
                <w:szCs w:val="21"/>
                <w:highlight w:val="none"/>
              </w:rPr>
              <w:t>不允许</w:t>
            </w:r>
          </w:p>
          <w:p w14:paraId="2F91C66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□允许</w:t>
            </w:r>
          </w:p>
        </w:tc>
      </w:tr>
      <w:tr w14:paraId="5EBD9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17F7BA3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1.11.1</w:t>
            </w:r>
          </w:p>
        </w:tc>
        <w:tc>
          <w:tcPr>
            <w:tcW w:w="2981" w:type="dxa"/>
            <w:noWrap w:val="0"/>
            <w:vAlign w:val="center"/>
          </w:tcPr>
          <w:p w14:paraId="09D6BE7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5613" w:type="dxa"/>
            <w:noWrap w:val="0"/>
            <w:vAlign w:val="top"/>
          </w:tcPr>
          <w:p w14:paraId="43A9CC5B">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详见</w:t>
            </w:r>
            <w:r>
              <w:rPr>
                <w:rFonts w:hint="eastAsia" w:ascii="宋体" w:hAnsi="宋体" w:eastAsia="宋体" w:cs="宋体"/>
                <w:color w:val="auto"/>
                <w:kern w:val="0"/>
                <w:sz w:val="21"/>
                <w:szCs w:val="21"/>
                <w:highlight w:val="none"/>
                <w:lang w:val="en-US" w:eastAsia="zh-CN"/>
              </w:rPr>
              <w:t>第五章用户需求书的要求。</w:t>
            </w:r>
          </w:p>
        </w:tc>
      </w:tr>
      <w:tr w14:paraId="62EBD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605D045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1.11.3</w:t>
            </w:r>
          </w:p>
        </w:tc>
        <w:tc>
          <w:tcPr>
            <w:tcW w:w="2981" w:type="dxa"/>
            <w:noWrap w:val="0"/>
            <w:vAlign w:val="center"/>
          </w:tcPr>
          <w:p w14:paraId="285CB33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其他可以被接受的技术支持资料</w:t>
            </w:r>
          </w:p>
        </w:tc>
        <w:tc>
          <w:tcPr>
            <w:tcW w:w="5613" w:type="dxa"/>
            <w:noWrap w:val="0"/>
            <w:vAlign w:val="top"/>
          </w:tcPr>
          <w:p w14:paraId="28F2893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设备制造商公开发布的印刷资料（如产品说明书、产品样本），或出厂检验证书，或检测机构出具的检测报告等</w:t>
            </w:r>
            <w:r>
              <w:rPr>
                <w:rFonts w:hint="eastAsia" w:ascii="宋体" w:hAnsi="宋体" w:eastAsia="宋体" w:cs="宋体"/>
                <w:color w:val="auto"/>
                <w:kern w:val="0"/>
                <w:sz w:val="21"/>
                <w:szCs w:val="21"/>
                <w:highlight w:val="none"/>
                <w:lang w:eastAsia="zh-CN"/>
              </w:rPr>
              <w:t>。</w:t>
            </w:r>
          </w:p>
        </w:tc>
      </w:tr>
      <w:tr w14:paraId="40C8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10EDF286">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1.11.4</w:t>
            </w:r>
          </w:p>
        </w:tc>
        <w:tc>
          <w:tcPr>
            <w:tcW w:w="2981" w:type="dxa"/>
            <w:noWrap w:val="0"/>
            <w:vAlign w:val="center"/>
          </w:tcPr>
          <w:p w14:paraId="38C83EE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5613" w:type="dxa"/>
            <w:noWrap w:val="0"/>
            <w:vAlign w:val="top"/>
          </w:tcPr>
          <w:p w14:paraId="40096815">
            <w:pPr>
              <w:pStyle w:val="44"/>
              <w:keepNext w:val="0"/>
              <w:keepLines w:val="0"/>
              <w:pageBreakBefore w:val="0"/>
              <w:shd w:val="clear" w:color="auto" w:fill="auto"/>
              <w:kinsoku/>
              <w:wordWrap/>
              <w:overflowPunct/>
              <w:topLinePunct w:val="0"/>
              <w:bidi w:val="0"/>
              <w:adjustRightInd w:val="0"/>
              <w:snapToGrid w:val="0"/>
              <w:spacing w:beforeLines="50"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0"/>
                <w:sz w:val="21"/>
                <w:szCs w:val="21"/>
                <w:highlight w:val="none"/>
              </w:rPr>
              <w:t>不允许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负偏离</w:t>
            </w:r>
          </w:p>
          <w:p w14:paraId="42655D92">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□允许，偏差范围：</w:t>
            </w:r>
            <w:r>
              <w:rPr>
                <w:rFonts w:hint="eastAsia" w:ascii="宋体" w:hAnsi="宋体" w:eastAsia="宋体" w:cs="宋体"/>
                <w:color w:val="auto"/>
                <w:kern w:val="0"/>
                <w:sz w:val="21"/>
                <w:szCs w:val="21"/>
                <w:highlight w:val="none"/>
                <w:lang w:val="en-US" w:eastAsia="zh-CN"/>
              </w:rPr>
              <w:t>/</w:t>
            </w:r>
          </w:p>
          <w:p w14:paraId="7883A1E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850" w:firstLineChars="405"/>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最高项数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w:t>
            </w:r>
          </w:p>
        </w:tc>
      </w:tr>
      <w:tr w14:paraId="2A8F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673D98D6">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981" w:type="dxa"/>
            <w:noWrap w:val="0"/>
            <w:vAlign w:val="top"/>
          </w:tcPr>
          <w:p w14:paraId="6BF674F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构成招标文件的其他资料</w:t>
            </w:r>
          </w:p>
        </w:tc>
        <w:tc>
          <w:tcPr>
            <w:tcW w:w="5613" w:type="dxa"/>
            <w:noWrap w:val="0"/>
            <w:vAlign w:val="center"/>
          </w:tcPr>
          <w:p w14:paraId="798A66BD">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详见第五章</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color w:val="auto"/>
                <w:sz w:val="21"/>
                <w:szCs w:val="21"/>
                <w:highlight w:val="none"/>
              </w:rPr>
              <w:t>。</w:t>
            </w:r>
          </w:p>
        </w:tc>
      </w:tr>
      <w:tr w14:paraId="7D86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164" w:type="dxa"/>
            <w:vMerge w:val="restart"/>
            <w:noWrap w:val="0"/>
            <w:vAlign w:val="center"/>
          </w:tcPr>
          <w:p w14:paraId="1ED4D75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981" w:type="dxa"/>
            <w:vMerge w:val="restart"/>
            <w:noWrap w:val="0"/>
            <w:vAlign w:val="center"/>
          </w:tcPr>
          <w:p w14:paraId="7E6280D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w:t>
            </w:r>
          </w:p>
        </w:tc>
        <w:tc>
          <w:tcPr>
            <w:tcW w:w="5613" w:type="dxa"/>
            <w:noWrap w:val="0"/>
            <w:vAlign w:val="center"/>
          </w:tcPr>
          <w:p w14:paraId="0DF7812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提问截止时间：在提交投标文件截止时间18天前提出</w:t>
            </w:r>
            <w:r>
              <w:rPr>
                <w:rFonts w:hint="eastAsia" w:ascii="宋体" w:hAnsi="宋体" w:eastAsia="宋体" w:cs="宋体"/>
                <w:color w:val="auto"/>
                <w:sz w:val="21"/>
                <w:szCs w:val="21"/>
                <w:highlight w:val="none"/>
                <w:lang w:val="en-US"/>
              </w:rPr>
              <w:t>。</w:t>
            </w:r>
          </w:p>
        </w:tc>
      </w:tr>
      <w:tr w14:paraId="26975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jc w:val="center"/>
        </w:trPr>
        <w:tc>
          <w:tcPr>
            <w:tcW w:w="1164" w:type="dxa"/>
            <w:vMerge w:val="continue"/>
            <w:noWrap w:val="0"/>
            <w:vAlign w:val="center"/>
          </w:tcPr>
          <w:p w14:paraId="5E32A6F8">
            <w:pPr>
              <w:pStyle w:val="44"/>
              <w:keepNext w:val="0"/>
              <w:keepLines w:val="0"/>
              <w:pageBreakBefore w:val="0"/>
              <w:widowControl w:val="0"/>
              <w:kinsoku/>
              <w:wordWrap/>
              <w:overflowPunct/>
              <w:topLinePunct w:val="0"/>
              <w:autoSpaceDE w:val="0"/>
              <w:autoSpaceDN w:val="0"/>
              <w:bidi w:val="0"/>
              <w:spacing w:before="0" w:line="400" w:lineRule="exact"/>
              <w:ind w:left="0" w:leftChars="0" w:right="0" w:rightChars="0" w:firstLine="0" w:firstLineChars="0"/>
              <w:jc w:val="both"/>
              <w:textAlignment w:val="auto"/>
              <w:rPr>
                <w:rFonts w:hint="eastAsia" w:ascii="宋体" w:hAnsi="宋体" w:eastAsia="宋体" w:cs="宋体"/>
                <w:color w:val="auto"/>
                <w:sz w:val="21"/>
                <w:szCs w:val="21"/>
                <w:highlight w:val="none"/>
              </w:rPr>
            </w:pPr>
          </w:p>
        </w:tc>
        <w:tc>
          <w:tcPr>
            <w:tcW w:w="2981" w:type="dxa"/>
            <w:vMerge w:val="continue"/>
            <w:noWrap w:val="0"/>
            <w:vAlign w:val="center"/>
          </w:tcPr>
          <w:p w14:paraId="41941DD1">
            <w:pPr>
              <w:pStyle w:val="44"/>
              <w:keepNext w:val="0"/>
              <w:keepLines w:val="0"/>
              <w:pageBreakBefore w:val="0"/>
              <w:widowControl w:val="0"/>
              <w:kinsoku/>
              <w:wordWrap/>
              <w:overflowPunct/>
              <w:topLinePunct w:val="0"/>
              <w:autoSpaceDE w:val="0"/>
              <w:autoSpaceDN w:val="0"/>
              <w:bidi w:val="0"/>
              <w:spacing w:before="0" w:line="400" w:lineRule="exact"/>
              <w:ind w:left="0" w:leftChars="0" w:right="0" w:rightChars="0" w:firstLine="0" w:firstLineChars="0"/>
              <w:jc w:val="both"/>
              <w:textAlignment w:val="auto"/>
              <w:rPr>
                <w:rFonts w:hint="eastAsia" w:ascii="宋体" w:hAnsi="宋体" w:eastAsia="宋体" w:cs="宋体"/>
                <w:color w:val="auto"/>
                <w:sz w:val="21"/>
                <w:szCs w:val="21"/>
                <w:highlight w:val="none"/>
              </w:rPr>
            </w:pPr>
          </w:p>
        </w:tc>
        <w:tc>
          <w:tcPr>
            <w:tcW w:w="5613" w:type="dxa"/>
            <w:noWrap w:val="0"/>
            <w:vAlign w:val="center"/>
          </w:tcPr>
          <w:p w14:paraId="55E8BB8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形式：投标人疑问通过广州公共资源交易中心网站进入提问区域将问题提交给招标人或招标代理人，提交问题时一律不得署名。</w:t>
            </w:r>
          </w:p>
          <w:p w14:paraId="5421741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按交易平台关于全流程电子化项目的相关指南。</w:t>
            </w:r>
          </w:p>
        </w:tc>
      </w:tr>
      <w:tr w14:paraId="7991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4D198865">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981" w:type="dxa"/>
            <w:noWrap w:val="0"/>
            <w:vAlign w:val="top"/>
          </w:tcPr>
          <w:p w14:paraId="6732514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招标文件澄清发出的形式</w:t>
            </w:r>
          </w:p>
        </w:tc>
        <w:tc>
          <w:tcPr>
            <w:tcW w:w="5613" w:type="dxa"/>
            <w:noWrap w:val="0"/>
            <w:vAlign w:val="center"/>
          </w:tcPr>
          <w:p w14:paraId="6F3E53F7">
            <w:pPr>
              <w:pStyle w:val="44"/>
              <w:keepNext w:val="0"/>
              <w:keepLines w:val="0"/>
              <w:pageBreakBefore w:val="0"/>
              <w:widowControl w:val="0"/>
              <w:kinsoku/>
              <w:wordWrap/>
              <w:overflowPunct/>
              <w:topLinePunct w:val="0"/>
              <w:autoSpaceDE w:val="0"/>
              <w:autoSpaceDN w:val="0"/>
              <w:bidi w:val="0"/>
              <w:spacing w:before="0" w:line="400" w:lineRule="exact"/>
              <w:ind w:left="0" w:leftChars="0" w:right="0" w:rightChars="0" w:firstLine="210" w:firstLineChars="100"/>
              <w:jc w:val="both"/>
              <w:textAlignment w:val="auto"/>
              <w:rPr>
                <w:rFonts w:hint="eastAsia" w:ascii="宋体" w:hAnsi="宋体" w:eastAsia="宋体" w:cs="宋体"/>
                <w:bCs/>
                <w:snapToGrid w:val="0"/>
                <w:color w:val="auto"/>
                <w:sz w:val="21"/>
                <w:szCs w:val="21"/>
                <w:highlight w:val="none"/>
                <w:lang w:val="en-US"/>
              </w:rPr>
            </w:pPr>
            <w:r>
              <w:rPr>
                <w:rFonts w:hint="eastAsia" w:ascii="宋体" w:hAnsi="宋体" w:eastAsia="宋体" w:cs="宋体"/>
                <w:bCs/>
                <w:snapToGrid w:val="0"/>
                <w:color w:val="auto"/>
                <w:sz w:val="21"/>
                <w:szCs w:val="21"/>
                <w:highlight w:val="none"/>
                <w:lang w:val="en-US"/>
              </w:rPr>
              <w:t>时间：在投标截止时间15日前。</w:t>
            </w:r>
          </w:p>
          <w:p w14:paraId="04C57563">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lang w:val="en-US"/>
              </w:rPr>
              <w:t>形式：通过广州公共资源交易中心网站“项目查询(日程安排、答疑纪要)”专区网上公开发布。</w:t>
            </w:r>
          </w:p>
        </w:tc>
      </w:tr>
      <w:tr w14:paraId="3C279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3E6D7D7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981" w:type="dxa"/>
            <w:noWrap w:val="0"/>
            <w:vAlign w:val="top"/>
          </w:tcPr>
          <w:p w14:paraId="212455A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color w:val="auto"/>
                <w:sz w:val="21"/>
                <w:szCs w:val="21"/>
                <w:highlight w:val="none"/>
              </w:rPr>
              <w:t>投标人确认收到招标文件澄清</w:t>
            </w:r>
          </w:p>
        </w:tc>
        <w:tc>
          <w:tcPr>
            <w:tcW w:w="5613" w:type="dxa"/>
            <w:noWrap w:val="0"/>
            <w:vAlign w:val="center"/>
          </w:tcPr>
          <w:p w14:paraId="1CD3897D">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bCs/>
                <w:snapToGrid w:val="0"/>
                <w:color w:val="auto"/>
                <w:sz w:val="21"/>
                <w:szCs w:val="21"/>
                <w:highlight w:val="none"/>
                <w:lang w:val="en-US"/>
              </w:rPr>
            </w:pPr>
            <w:r>
              <w:rPr>
                <w:rFonts w:hint="eastAsia" w:ascii="宋体" w:hAnsi="宋体" w:eastAsia="宋体" w:cs="宋体"/>
                <w:bCs/>
                <w:snapToGrid w:val="0"/>
                <w:color w:val="auto"/>
                <w:sz w:val="21"/>
                <w:szCs w:val="21"/>
                <w:highlight w:val="none"/>
                <w:lang w:val="en-US"/>
              </w:rPr>
              <w:t>招标文件澄清（招标答疑纪要）一经在广州公共资源交易中心网站发布，视作已发放给所有投标人。</w:t>
            </w:r>
          </w:p>
        </w:tc>
      </w:tr>
      <w:tr w14:paraId="60106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5521539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2981" w:type="dxa"/>
            <w:noWrap w:val="0"/>
            <w:vAlign w:val="top"/>
          </w:tcPr>
          <w:p w14:paraId="129424B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招标文件修改发出的形式</w:t>
            </w:r>
          </w:p>
        </w:tc>
        <w:tc>
          <w:tcPr>
            <w:tcW w:w="5613" w:type="dxa"/>
            <w:noWrap w:val="0"/>
            <w:vAlign w:val="center"/>
          </w:tcPr>
          <w:p w14:paraId="1ACF676D">
            <w:pPr>
              <w:pStyle w:val="44"/>
              <w:keepNext w:val="0"/>
              <w:keepLines w:val="0"/>
              <w:pageBreakBefore w:val="0"/>
              <w:widowControl w:val="0"/>
              <w:kinsoku/>
              <w:wordWrap/>
              <w:overflowPunct/>
              <w:topLinePunct w:val="0"/>
              <w:autoSpaceDE w:val="0"/>
              <w:autoSpaceDN w:val="0"/>
              <w:bidi w:val="0"/>
              <w:spacing w:before="0" w:line="400" w:lineRule="exact"/>
              <w:ind w:left="0" w:leftChars="0" w:right="0" w:rightChars="0" w:firstLine="210" w:firstLineChars="100"/>
              <w:jc w:val="both"/>
              <w:textAlignment w:val="auto"/>
              <w:rPr>
                <w:rFonts w:hint="eastAsia" w:ascii="宋体" w:hAnsi="宋体" w:eastAsia="宋体" w:cs="宋体"/>
                <w:bCs/>
                <w:snapToGrid w:val="0"/>
                <w:color w:val="auto"/>
                <w:sz w:val="21"/>
                <w:szCs w:val="21"/>
                <w:highlight w:val="none"/>
                <w:lang w:val="en-US" w:eastAsia="zh-CN"/>
              </w:rPr>
            </w:pPr>
            <w:r>
              <w:rPr>
                <w:rFonts w:hint="eastAsia" w:ascii="宋体" w:hAnsi="宋体" w:eastAsia="宋体" w:cs="宋体"/>
                <w:bCs/>
                <w:snapToGrid w:val="0"/>
                <w:color w:val="auto"/>
                <w:sz w:val="21"/>
                <w:szCs w:val="21"/>
                <w:highlight w:val="none"/>
                <w:lang w:val="en-US" w:eastAsia="zh-CN"/>
              </w:rPr>
              <w:t>时间：在投标截止时间15日前。</w:t>
            </w:r>
          </w:p>
          <w:p w14:paraId="2F4AADE0">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lang w:val="en-US" w:eastAsia="zh-CN"/>
              </w:rPr>
              <w:t>形式：通过广州公共资源交易中心网站“项目查询(日程安排、答疑纪要)”专区网上公开发布</w:t>
            </w:r>
            <w:r>
              <w:rPr>
                <w:rFonts w:hint="eastAsia" w:ascii="宋体" w:hAnsi="宋体" w:eastAsia="宋体" w:cs="宋体"/>
                <w:bCs/>
                <w:snapToGrid w:val="0"/>
                <w:color w:val="auto"/>
                <w:sz w:val="21"/>
                <w:szCs w:val="21"/>
                <w:highlight w:val="none"/>
              </w:rPr>
              <w:t>。</w:t>
            </w:r>
          </w:p>
        </w:tc>
      </w:tr>
      <w:tr w14:paraId="4C1D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7B41869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val="en-US" w:eastAsia="zh-CN"/>
              </w:rPr>
              <w:t>2.3.2</w:t>
            </w:r>
          </w:p>
        </w:tc>
        <w:tc>
          <w:tcPr>
            <w:tcW w:w="2981" w:type="dxa"/>
            <w:noWrap w:val="0"/>
            <w:vAlign w:val="top"/>
          </w:tcPr>
          <w:p w14:paraId="7A2270E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pacing w:val="0"/>
                <w:sz w:val="21"/>
                <w:szCs w:val="21"/>
                <w:highlight w:val="none"/>
                <w:lang w:val="en-US" w:eastAsia="zh-CN"/>
              </w:rPr>
              <w:t>投标人确认收到招标文件修改</w:t>
            </w:r>
          </w:p>
        </w:tc>
        <w:tc>
          <w:tcPr>
            <w:tcW w:w="5613" w:type="dxa"/>
            <w:noWrap w:val="0"/>
            <w:vAlign w:val="center"/>
          </w:tcPr>
          <w:p w14:paraId="5741F777">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color w:val="auto"/>
                <w:spacing w:val="0"/>
                <w:sz w:val="21"/>
                <w:szCs w:val="21"/>
                <w:highlight w:val="none"/>
                <w:lang w:val="en-US"/>
              </w:rPr>
            </w:pPr>
            <w:r>
              <w:rPr>
                <w:rFonts w:hint="eastAsia" w:ascii="宋体" w:hAnsi="宋体" w:eastAsia="宋体" w:cs="宋体"/>
                <w:color w:val="auto"/>
                <w:sz w:val="21"/>
                <w:szCs w:val="21"/>
                <w:highlight w:val="none"/>
                <w:lang w:val="en-US"/>
              </w:rPr>
              <w:t>时间：从招标文件修改文件发布之日起即视为投标人已确认收到。</w:t>
            </w:r>
          </w:p>
          <w:p w14:paraId="7F6BE8C4">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形式：招标文件修改一经在</w:t>
            </w:r>
            <w:r>
              <w:rPr>
                <w:rFonts w:hint="eastAsia" w:ascii="宋体" w:hAnsi="宋体" w:eastAsia="宋体" w:cs="宋体"/>
                <w:color w:val="auto"/>
                <w:sz w:val="21"/>
                <w:szCs w:val="21"/>
                <w:highlight w:val="none"/>
                <w:lang w:val="en-US" w:eastAsia="zh-CN"/>
              </w:rPr>
              <w:t>广州公共资源交易中心</w:t>
            </w:r>
            <w:r>
              <w:rPr>
                <w:rFonts w:hint="eastAsia" w:ascii="宋体" w:hAnsi="宋体" w:eastAsia="宋体" w:cs="宋体"/>
                <w:color w:val="auto"/>
                <w:sz w:val="21"/>
                <w:szCs w:val="21"/>
                <w:highlight w:val="none"/>
                <w:lang w:val="en-US"/>
              </w:rPr>
              <w:t>网站发布，视作已发放给所有投标人，无需确认。</w:t>
            </w:r>
          </w:p>
          <w:p w14:paraId="00A05FFE">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rightChars="0" w:firstLine="0" w:firstLineChars="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潜在投标人应自行关注招标公告公布的网站公告，招标人不再一一通知。投标人因自身贻误行为导致投标失败的，责任自负。</w:t>
            </w:r>
          </w:p>
        </w:tc>
      </w:tr>
      <w:tr w14:paraId="1DE47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4D90E2C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2981" w:type="dxa"/>
            <w:noWrap w:val="0"/>
            <w:vAlign w:val="top"/>
          </w:tcPr>
          <w:p w14:paraId="3B0B01F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构成投标文件的其他资料</w:t>
            </w:r>
          </w:p>
        </w:tc>
        <w:tc>
          <w:tcPr>
            <w:tcW w:w="5613" w:type="dxa"/>
            <w:noWrap w:val="0"/>
            <w:vAlign w:val="center"/>
          </w:tcPr>
          <w:p w14:paraId="01ABD9FE">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w:t>
            </w:r>
          </w:p>
        </w:tc>
      </w:tr>
      <w:tr w14:paraId="7EE7F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164" w:type="dxa"/>
            <w:noWrap w:val="0"/>
            <w:vAlign w:val="top"/>
          </w:tcPr>
          <w:p w14:paraId="3A31F74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981" w:type="dxa"/>
            <w:noWrap w:val="0"/>
            <w:vAlign w:val="top"/>
          </w:tcPr>
          <w:p w14:paraId="588BD5E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增值税税金的计算方法</w:t>
            </w:r>
          </w:p>
        </w:tc>
        <w:tc>
          <w:tcPr>
            <w:tcW w:w="5613" w:type="dxa"/>
            <w:noWrap w:val="0"/>
            <w:vAlign w:val="center"/>
          </w:tcPr>
          <w:p w14:paraId="071CB788">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本项目报价均为含税价。</w:t>
            </w:r>
          </w:p>
        </w:tc>
      </w:tr>
      <w:tr w14:paraId="06998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164" w:type="dxa"/>
            <w:noWrap w:val="0"/>
            <w:vAlign w:val="center"/>
          </w:tcPr>
          <w:p w14:paraId="0146AB29">
            <w:pPr>
              <w:pStyle w:val="44"/>
              <w:keepNext w:val="0"/>
              <w:keepLines w:val="0"/>
              <w:pageBreakBefore w:val="0"/>
              <w:shd w:val="clear" w:color="auto" w:fill="auto"/>
              <w:kinsoku/>
              <w:wordWrap/>
              <w:overflowPunct/>
              <w:topLinePunct w:val="0"/>
              <w:bidi w:val="0"/>
              <w:adjustRightInd w:val="0"/>
              <w:snapToGrid w:val="0"/>
              <w:spacing w:line="400" w:lineRule="exact"/>
              <w:ind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2981" w:type="dxa"/>
            <w:noWrap w:val="0"/>
            <w:vAlign w:val="center"/>
          </w:tcPr>
          <w:p w14:paraId="5CDA2BF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最高投标限价</w:t>
            </w:r>
            <w:r>
              <w:rPr>
                <w:rFonts w:hint="eastAsia" w:ascii="宋体" w:hAnsi="宋体" w:eastAsia="宋体" w:cs="宋体"/>
                <w:color w:val="auto"/>
                <w:sz w:val="21"/>
                <w:szCs w:val="21"/>
                <w:highlight w:val="none"/>
                <w:lang w:val="en-US" w:eastAsia="zh-CN"/>
              </w:rPr>
              <w:t>（人民币）</w:t>
            </w:r>
          </w:p>
        </w:tc>
        <w:tc>
          <w:tcPr>
            <w:tcW w:w="5613" w:type="dxa"/>
            <w:noWrap w:val="0"/>
            <w:vAlign w:val="top"/>
          </w:tcPr>
          <w:p w14:paraId="6736D68C">
            <w:pPr>
              <w:keepNext w:val="0"/>
              <w:keepLines w:val="0"/>
              <w:pageBreakBefore w:val="0"/>
              <w:kinsoku/>
              <w:wordWrap/>
              <w:overflowPunct/>
              <w:topLinePunct w:val="0"/>
              <w:bidi w:val="0"/>
              <w:spacing w:line="400" w:lineRule="exact"/>
              <w:ind w:left="202" w:leftChars="96"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14:paraId="3602749F">
            <w:pPr>
              <w:pStyle w:val="44"/>
              <w:keepNext w:val="0"/>
              <w:keepLines w:val="0"/>
              <w:pageBreakBefore w:val="0"/>
              <w:shd w:val="clear" w:color="auto" w:fill="auto"/>
              <w:kinsoku/>
              <w:wordWrap/>
              <w:overflowPunct/>
              <w:topLinePunct w:val="0"/>
              <w:bidi w:val="0"/>
              <w:adjustRightInd w:val="0"/>
              <w:spacing w:line="400" w:lineRule="exact"/>
              <w:ind w:left="202" w:leftChars="96" w:right="42" w:rightChars="20" w:firstLine="16" w:firstLineChars="8"/>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sz w:val="21"/>
                <w:szCs w:val="21"/>
                <w:highlight w:val="none"/>
              </w:rPr>
              <w:t>有，</w:t>
            </w:r>
            <w:r>
              <w:rPr>
                <w:rFonts w:hint="eastAsia" w:ascii="宋体" w:hAnsi="宋体" w:eastAsia="宋体" w:cs="宋体"/>
                <w:b/>
                <w:bCs/>
                <w:color w:val="auto"/>
                <w:sz w:val="21"/>
                <w:szCs w:val="21"/>
                <w:highlight w:val="none"/>
                <w:lang w:val="en-US" w:eastAsia="zh-CN"/>
              </w:rPr>
              <w:t>最高投标限价（即招标控制价）：人民币</w:t>
            </w:r>
            <w:r>
              <w:rPr>
                <w:rFonts w:hint="eastAsia" w:cs="宋体"/>
                <w:b/>
                <w:bCs/>
                <w:color w:val="auto"/>
                <w:sz w:val="21"/>
                <w:szCs w:val="21"/>
                <w:highlight w:val="none"/>
                <w:lang w:val="en-US" w:eastAsia="zh-CN"/>
              </w:rPr>
              <w:t>363.6万元</w:t>
            </w:r>
            <w:r>
              <w:rPr>
                <w:rFonts w:hint="eastAsia"/>
                <w:color w:val="auto"/>
                <w:highlight w:val="none"/>
                <w:lang w:val="en-US" w:eastAsia="zh-CN"/>
              </w:rPr>
              <w:t>。</w:t>
            </w:r>
          </w:p>
        </w:tc>
      </w:tr>
      <w:tr w14:paraId="589BA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164" w:type="dxa"/>
            <w:noWrap w:val="0"/>
            <w:vAlign w:val="center"/>
          </w:tcPr>
          <w:p w14:paraId="7A89E59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3.2.5</w:t>
            </w:r>
          </w:p>
        </w:tc>
        <w:tc>
          <w:tcPr>
            <w:tcW w:w="2981" w:type="dxa"/>
            <w:noWrap w:val="0"/>
            <w:vAlign w:val="center"/>
          </w:tcPr>
          <w:p w14:paraId="5771411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投标报价的</w:t>
            </w:r>
            <w:r>
              <w:rPr>
                <w:rFonts w:hint="eastAsia" w:ascii="宋体" w:hAnsi="宋体" w:eastAsia="宋体" w:cs="宋体"/>
                <w:color w:val="auto"/>
                <w:sz w:val="21"/>
                <w:szCs w:val="21"/>
                <w:highlight w:val="none"/>
                <w:lang w:val="en-US" w:eastAsia="zh-CN"/>
              </w:rPr>
              <w:t>其他要求</w:t>
            </w:r>
          </w:p>
        </w:tc>
        <w:tc>
          <w:tcPr>
            <w:tcW w:w="5613" w:type="dxa"/>
            <w:noWrap w:val="0"/>
            <w:vAlign w:val="center"/>
          </w:tcPr>
          <w:p w14:paraId="1638CE7F">
            <w:pPr>
              <w:pStyle w:val="44"/>
              <w:keepNext w:val="0"/>
              <w:keepLines w:val="0"/>
              <w:pageBreakBefore w:val="0"/>
              <w:numPr>
                <w:ilvl w:val="0"/>
                <w:numId w:val="0"/>
              </w:numPr>
              <w:shd w:val="clear" w:color="auto" w:fill="auto"/>
              <w:kinsoku/>
              <w:wordWrap/>
              <w:overflowPunct/>
              <w:topLinePunct w:val="0"/>
              <w:bidi w:val="0"/>
              <w:adjustRightInd w:val="0"/>
              <w:spacing w:line="400" w:lineRule="exact"/>
              <w:ind w:leftChars="104" w:right="42" w:rightChars="20"/>
              <w:jc w:val="both"/>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采用</w:t>
            </w:r>
            <w:r>
              <w:rPr>
                <w:rFonts w:hint="eastAsia" w:cs="宋体"/>
                <w:b/>
                <w:bCs/>
                <w:color w:val="auto"/>
                <w:sz w:val="21"/>
                <w:szCs w:val="21"/>
                <w:highlight w:val="none"/>
                <w:u w:val="single"/>
                <w:lang w:val="en-US" w:eastAsia="zh-CN"/>
              </w:rPr>
              <w:t>综合单价</w:t>
            </w:r>
            <w:r>
              <w:rPr>
                <w:rFonts w:hint="eastAsia" w:ascii="宋体" w:hAnsi="宋体" w:eastAsia="宋体" w:cs="宋体"/>
                <w:b/>
                <w:bCs/>
                <w:color w:val="auto"/>
                <w:sz w:val="21"/>
                <w:szCs w:val="21"/>
                <w:highlight w:val="none"/>
                <w:u w:val="single"/>
                <w:lang w:val="en-US" w:eastAsia="zh-CN"/>
              </w:rPr>
              <w:t>报价方式。</w:t>
            </w:r>
          </w:p>
          <w:p w14:paraId="0EE2161F">
            <w:pPr>
              <w:pStyle w:val="44"/>
              <w:keepNext w:val="0"/>
              <w:keepLines w:val="0"/>
              <w:pageBreakBefore w:val="0"/>
              <w:numPr>
                <w:ilvl w:val="0"/>
                <w:numId w:val="0"/>
              </w:numPr>
              <w:shd w:val="clear" w:color="auto" w:fill="auto"/>
              <w:kinsoku/>
              <w:wordWrap/>
              <w:overflowPunct/>
              <w:topLinePunct w:val="0"/>
              <w:bidi w:val="0"/>
              <w:adjustRightInd w:val="0"/>
              <w:spacing w:line="400" w:lineRule="exact"/>
              <w:ind w:leftChars="104" w:right="42" w:rightChars="20"/>
              <w:jc w:val="both"/>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其他报价要求：</w:t>
            </w:r>
            <w:r>
              <w:rPr>
                <w:rFonts w:hint="eastAsia" w:ascii="宋体" w:hAnsi="宋体" w:cs="宋体"/>
                <w:color w:val="auto"/>
                <w:sz w:val="21"/>
                <w:szCs w:val="21"/>
                <w:highlight w:val="none"/>
                <w:lang w:val="en-US" w:eastAsia="zh-CN"/>
              </w:rPr>
              <w:t>投标人的</w:t>
            </w:r>
            <w:r>
              <w:rPr>
                <w:rFonts w:hint="eastAsia" w:cs="宋体"/>
                <w:color w:val="auto"/>
                <w:sz w:val="21"/>
                <w:szCs w:val="21"/>
                <w:highlight w:val="none"/>
                <w:lang w:val="en-US" w:eastAsia="zh-CN"/>
              </w:rPr>
              <w:t>综合单价</w:t>
            </w:r>
            <w:r>
              <w:rPr>
                <w:rFonts w:hint="eastAsia" w:ascii="宋体" w:hAnsi="宋体" w:cs="宋体"/>
                <w:color w:val="auto"/>
                <w:sz w:val="21"/>
                <w:szCs w:val="21"/>
                <w:highlight w:val="none"/>
                <w:lang w:val="en-US" w:eastAsia="zh-CN"/>
              </w:rPr>
              <w:t>不得超出最高投标限价</w:t>
            </w:r>
            <w:r>
              <w:rPr>
                <w:rFonts w:hint="eastAsia" w:cs="宋体"/>
                <w:color w:val="auto"/>
                <w:sz w:val="21"/>
                <w:szCs w:val="21"/>
                <w:highlight w:val="none"/>
                <w:lang w:val="en-US" w:eastAsia="zh-CN"/>
              </w:rPr>
              <w:t>单价</w:t>
            </w:r>
            <w:r>
              <w:rPr>
                <w:rFonts w:hint="eastAsia" w:ascii="宋体" w:hAnsi="宋体" w:cs="宋体"/>
                <w:color w:val="auto"/>
                <w:sz w:val="21"/>
                <w:szCs w:val="21"/>
                <w:highlight w:val="none"/>
                <w:lang w:val="en-US" w:eastAsia="zh-CN"/>
              </w:rPr>
              <w:t>人民币2</w:t>
            </w:r>
            <w:r>
              <w:rPr>
                <w:rFonts w:hint="eastAsia" w:cs="宋体"/>
                <w:color w:val="auto"/>
                <w:sz w:val="21"/>
                <w:szCs w:val="21"/>
                <w:highlight w:val="none"/>
                <w:lang w:val="en-US" w:eastAsia="zh-CN"/>
              </w:rPr>
              <w:t>.02</w:t>
            </w:r>
            <w:r>
              <w:rPr>
                <w:rFonts w:hint="eastAsia" w:ascii="宋体" w:hAnsi="宋体" w:cs="宋体"/>
                <w:color w:val="auto"/>
                <w:sz w:val="21"/>
                <w:szCs w:val="21"/>
                <w:highlight w:val="none"/>
                <w:lang w:val="en-US" w:eastAsia="zh-CN"/>
              </w:rPr>
              <w:t>元/吨，否则其报价将作无效报价处理</w:t>
            </w:r>
            <w:r>
              <w:rPr>
                <w:rFonts w:hint="eastAsia" w:ascii="宋体" w:hAnsi="宋体" w:eastAsia="宋体" w:cs="宋体"/>
                <w:color w:val="auto"/>
                <w:sz w:val="21"/>
                <w:szCs w:val="21"/>
                <w:highlight w:val="none"/>
                <w:lang w:eastAsia="zh-CN"/>
              </w:rPr>
              <w:t>。</w:t>
            </w:r>
          </w:p>
        </w:tc>
      </w:tr>
      <w:tr w14:paraId="6B2EB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top"/>
          </w:tcPr>
          <w:p w14:paraId="50D13EC3">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981" w:type="dxa"/>
            <w:noWrap w:val="0"/>
            <w:vAlign w:val="top"/>
          </w:tcPr>
          <w:p w14:paraId="27EA7FBC">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613" w:type="dxa"/>
            <w:noWrap w:val="0"/>
            <w:vAlign w:val="center"/>
          </w:tcPr>
          <w:p w14:paraId="50E1771B">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Cs/>
                <w:snapToGrid w:val="0"/>
                <w:color w:val="auto"/>
                <w:sz w:val="21"/>
                <w:szCs w:val="21"/>
                <w:highlight w:val="none"/>
                <w:lang w:val="en-US"/>
              </w:rPr>
            </w:pPr>
            <w:r>
              <w:rPr>
                <w:rFonts w:hint="eastAsia" w:ascii="宋体" w:hAnsi="宋体" w:eastAsia="宋体" w:cs="宋体"/>
                <w:color w:val="auto"/>
                <w:sz w:val="21"/>
                <w:szCs w:val="21"/>
                <w:highlight w:val="none"/>
              </w:rPr>
              <w:t>从投标截止</w:t>
            </w:r>
            <w:r>
              <w:rPr>
                <w:rFonts w:hint="eastAsia" w:ascii="宋体" w:hAnsi="宋体" w:eastAsia="宋体" w:cs="宋体"/>
                <w:color w:val="auto"/>
                <w:sz w:val="21"/>
                <w:szCs w:val="21"/>
                <w:highlight w:val="none"/>
                <w:lang w:val="en-US"/>
              </w:rPr>
              <w:t>之</w:t>
            </w:r>
            <w:r>
              <w:rPr>
                <w:rFonts w:hint="eastAsia" w:ascii="宋体" w:hAnsi="宋体" w:eastAsia="宋体" w:cs="宋体"/>
                <w:color w:val="auto"/>
                <w:sz w:val="21"/>
                <w:szCs w:val="21"/>
                <w:highlight w:val="none"/>
              </w:rPr>
              <w:t>日起，投标有效期为</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天（日历天）</w:t>
            </w:r>
          </w:p>
        </w:tc>
      </w:tr>
      <w:tr w14:paraId="3754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05935FA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981" w:type="dxa"/>
            <w:noWrap w:val="0"/>
            <w:vAlign w:val="center"/>
          </w:tcPr>
          <w:p w14:paraId="2AF57ED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613" w:type="dxa"/>
            <w:noWrap w:val="0"/>
            <w:vAlign w:val="center"/>
          </w:tcPr>
          <w:p w14:paraId="532CCF8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是否要求投标人递交投标保证金：</w:t>
            </w:r>
          </w:p>
          <w:p w14:paraId="51C0B71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b w:val="0"/>
                <w:bCs w:val="0"/>
                <w:color w:val="auto"/>
                <w:spacing w:val="-4"/>
                <w:sz w:val="21"/>
                <w:szCs w:val="21"/>
                <w:highlight w:val="none"/>
                <w:lang w:val="en-US" w:eastAsia="zh-CN"/>
              </w:rPr>
              <w:t>要求</w:t>
            </w:r>
          </w:p>
          <w:p w14:paraId="732392D0">
            <w:pPr>
              <w:pStyle w:val="44"/>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line="400" w:lineRule="exact"/>
              <w:ind w:right="0" w:rightChars="0" w:firstLine="404" w:firstLineChars="200"/>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缴纳金额：人民币柒万元整（¥7</w:t>
            </w:r>
            <w:r>
              <w:rPr>
                <w:rFonts w:hint="eastAsia" w:cs="宋体"/>
                <w:b w:val="0"/>
                <w:bCs w:val="0"/>
                <w:color w:val="auto"/>
                <w:spacing w:val="-4"/>
                <w:sz w:val="21"/>
                <w:szCs w:val="21"/>
                <w:highlight w:val="none"/>
                <w:lang w:val="en-US" w:eastAsia="zh-CN"/>
              </w:rPr>
              <w:t>0000.</w:t>
            </w:r>
            <w:r>
              <w:rPr>
                <w:rFonts w:hint="eastAsia" w:ascii="宋体" w:hAnsi="宋体" w:eastAsia="宋体" w:cs="宋体"/>
                <w:b w:val="0"/>
                <w:bCs w:val="0"/>
                <w:color w:val="auto"/>
                <w:spacing w:val="-4"/>
                <w:sz w:val="21"/>
                <w:szCs w:val="21"/>
                <w:highlight w:val="none"/>
                <w:lang w:val="en-US" w:eastAsia="zh-CN"/>
              </w:rPr>
              <w:t>00元）。</w:t>
            </w:r>
          </w:p>
          <w:p w14:paraId="5FD046A8">
            <w:pPr>
              <w:pStyle w:val="44"/>
              <w:keepNext w:val="0"/>
              <w:keepLines w:val="0"/>
              <w:pageBreakBefore w:val="0"/>
              <w:widowControl w:val="0"/>
              <w:numPr>
                <w:ilvl w:val="0"/>
                <w:numId w:val="2"/>
              </w:numPr>
              <w:shd w:val="clear" w:color="auto" w:fill="auto"/>
              <w:kinsoku/>
              <w:wordWrap/>
              <w:overflowPunct/>
              <w:topLinePunct w:val="0"/>
              <w:autoSpaceDE/>
              <w:autoSpaceDN/>
              <w:bidi w:val="0"/>
              <w:adjustRightInd w:val="0"/>
              <w:snapToGrid w:val="0"/>
              <w:spacing w:line="400" w:lineRule="exact"/>
              <w:ind w:right="0" w:rightChars="0" w:firstLine="420" w:firstLineChars="200"/>
              <w:textAlignment w:val="auto"/>
              <w:rPr>
                <w:rFonts w:hint="eastAsia" w:ascii="宋体" w:hAnsi="宋体"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rPr>
              <w:t>缴纳时间：投标文件递交截止时间前。</w:t>
            </w:r>
          </w:p>
          <w:p w14:paraId="7F8D3115">
            <w:pPr>
              <w:pStyle w:val="44"/>
              <w:keepNext w:val="0"/>
              <w:keepLines w:val="0"/>
              <w:pageBreakBefore w:val="0"/>
              <w:widowControl w:val="0"/>
              <w:numPr>
                <w:ilvl w:val="0"/>
                <w:numId w:val="2"/>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0" w:right="0" w:rightChars="0"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投标人可按以下其中一种形式递交投标保证金：</w:t>
            </w:r>
          </w:p>
          <w:p w14:paraId="2B38164B">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420" w:leftChars="200" w:right="0" w:right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zh-CN"/>
              </w:rPr>
              <w:t>（1）</w:t>
            </w:r>
            <w:r>
              <w:rPr>
                <w:rFonts w:hint="eastAsia" w:ascii="宋体" w:hAnsi="宋体" w:eastAsia="宋体" w:cs="宋体"/>
                <w:color w:val="auto"/>
                <w:spacing w:val="0"/>
                <w:sz w:val="21"/>
                <w:szCs w:val="21"/>
                <w:highlight w:val="none"/>
                <w:lang w:val="en-US" w:eastAsia="zh-CN"/>
              </w:rPr>
              <w:t>投标保证金可采用转账、汇票、本票、支票、</w:t>
            </w:r>
          </w:p>
          <w:p w14:paraId="3BDB2C01">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210" w:leftChars="100" w:right="0" w:rightChars="0" w:firstLine="0" w:firstLine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银行保函、保证保险、专业担保公司担保的形式，须在递交投标文件截止时间前完成缴纳。</w:t>
            </w:r>
          </w:p>
          <w:p w14:paraId="7DCA8BC1">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420" w:leftChars="200" w:right="0" w:rightChars="0" w:firstLine="0" w:firstLine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zh-CN"/>
              </w:rPr>
              <w:t>（2）</w:t>
            </w:r>
            <w:r>
              <w:rPr>
                <w:rFonts w:hint="eastAsia" w:ascii="宋体" w:hAnsi="宋体" w:eastAsia="宋体" w:cs="宋体"/>
                <w:color w:val="auto"/>
                <w:spacing w:val="0"/>
                <w:sz w:val="21"/>
                <w:szCs w:val="21"/>
                <w:highlight w:val="none"/>
                <w:lang w:val="en-US" w:eastAsia="zh-CN"/>
              </w:rPr>
              <w:t>如采用转账、汇票、本票、支票等形式提交</w:t>
            </w:r>
          </w:p>
          <w:p w14:paraId="59320D24">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right="0" w:rightChars="0" w:firstLine="210" w:firstLineChars="1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的由广州公共资源交易中心代收。</w:t>
            </w:r>
          </w:p>
          <w:p w14:paraId="1B597BC7">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Chars="200" w:right="0" w:right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注：</w:t>
            </w:r>
            <w:r>
              <w:rPr>
                <w:rFonts w:hint="eastAsia" w:ascii="宋体" w:hAnsi="宋体" w:eastAsia="宋体" w:cs="宋体"/>
                <w:b/>
                <w:bCs/>
                <w:color w:val="auto"/>
                <w:spacing w:val="0"/>
                <w:sz w:val="21"/>
                <w:szCs w:val="21"/>
                <w:highlight w:val="none"/>
                <w:lang w:val="en-US" w:eastAsia="zh-CN"/>
              </w:rPr>
              <w:t>投标保证金的缴纳分两个步骤进行：</w:t>
            </w:r>
          </w:p>
          <w:p w14:paraId="624F9DE6">
            <w:pPr>
              <w:pStyle w:val="44"/>
              <w:keepNext w:val="0"/>
              <w:keepLines w:val="0"/>
              <w:pageBreakBefore w:val="0"/>
              <w:widowControl w:val="0"/>
              <w:numPr>
                <w:ilvl w:val="0"/>
                <w:numId w:val="3"/>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Chars="200" w:right="0" w:rightChars="0"/>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投标人应从其基本账户将保证金按次汇入该</w:t>
            </w:r>
          </w:p>
          <w:p w14:paraId="583925FC">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right="0" w:rightChars="0" w:firstLine="211" w:firstLineChars="1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账户</w:t>
            </w:r>
            <w:r>
              <w:rPr>
                <w:rFonts w:hint="eastAsia" w:ascii="宋体" w:hAnsi="宋体" w:eastAsia="宋体" w:cs="宋体"/>
                <w:color w:val="auto"/>
                <w:spacing w:val="0"/>
                <w:sz w:val="21"/>
                <w:szCs w:val="21"/>
                <w:highlight w:val="none"/>
                <w:lang w:val="en-US" w:eastAsia="zh-CN"/>
              </w:rPr>
              <w:t>。投标人可登陆交易中心网站查询汇款到账情况。</w:t>
            </w:r>
          </w:p>
          <w:p w14:paraId="656AD190">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right="0" w:rightChars="0" w:firstLine="210" w:firstLineChars="100"/>
              <w:textAlignment w:val="auto"/>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2）</w:t>
            </w:r>
            <w:r>
              <w:rPr>
                <w:rFonts w:hint="eastAsia" w:ascii="宋体" w:hAnsi="宋体" w:eastAsia="宋体" w:cs="宋体"/>
                <w:b/>
                <w:bCs/>
                <w:color w:val="auto"/>
                <w:spacing w:val="0"/>
                <w:sz w:val="21"/>
                <w:szCs w:val="21"/>
                <w:highlight w:val="none"/>
                <w:lang w:val="en-US" w:eastAsia="zh-CN"/>
              </w:rPr>
              <w:t>款项到帐后，投标人在完成投标登记后至开标前，可登陆交易中心网站，在基本户投标保证金栏目内将上述到账资金转到对应的投标项目，完成保证金缴纳</w:t>
            </w:r>
            <w:r>
              <w:rPr>
                <w:rFonts w:hint="eastAsia" w:ascii="宋体" w:hAnsi="宋体" w:eastAsia="宋体" w:cs="宋体"/>
                <w:color w:val="auto"/>
                <w:spacing w:val="0"/>
                <w:sz w:val="21"/>
                <w:szCs w:val="21"/>
                <w:highlight w:val="none"/>
                <w:lang w:val="en-US" w:eastAsia="zh-CN"/>
              </w:rPr>
              <w:t>。具体操作详见“广州公共资源交易中心网站”—“服务指南”栏—“财务相关”目—“关于投标项目保证金操作指引的说明”及附件，递交事宜请自行咨询交易中心：020-28866000。</w:t>
            </w:r>
          </w:p>
          <w:p w14:paraId="3359768E">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420" w:leftChars="200" w:right="0" w:rightChars="0" w:firstLine="0" w:firstLine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zh-CN"/>
              </w:rPr>
              <w:t>（3）</w:t>
            </w:r>
            <w:r>
              <w:rPr>
                <w:rFonts w:hint="eastAsia" w:ascii="宋体" w:hAnsi="宋体" w:eastAsia="宋体" w:cs="宋体"/>
                <w:color w:val="auto"/>
                <w:spacing w:val="0"/>
                <w:sz w:val="21"/>
                <w:szCs w:val="21"/>
                <w:highlight w:val="none"/>
                <w:lang w:val="en-US" w:eastAsia="zh-CN"/>
              </w:rPr>
              <w:t>缴纳时间：请各投标人在投标文件递交截止</w:t>
            </w:r>
          </w:p>
          <w:p w14:paraId="43C48D1D">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210" w:leftChars="100" w:right="0" w:rightChars="0" w:firstLine="0" w:firstLineChars="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时间前按上述金额递交至广州公共资源交易中心，收款单位：广州交易集团有限公司，开户银行：中国建设银行广州天润路支行，银行账号：44001583404059333333。</w:t>
            </w:r>
          </w:p>
          <w:p w14:paraId="5BBE7276">
            <w:pPr>
              <w:pStyle w:val="4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400" w:lineRule="exact"/>
              <w:ind w:left="210" w:leftChars="100" w:right="0" w:rightChars="0" w:firstLine="210" w:firstLineChars="1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如采用银行保函、保证保险、专业担保公司担保等非电子形式提交的，在开标前不强制要求提交纸质原件，由中标候选人在中标候选人公示前提交并在网上公示，但投标人应在投标文件中提交银行保函、保证保险、专业担保公司担保等的扫描件（或复印件）并加盖投标单位电子印章。如投标人选择在开标前提交纸质原件的，可在投标截止时间前单独密封递交至开标室（时间及地点同开标的时间及地点）。[其中采用广州公共资源交易中心电子形式的保函、担保或保证保险的，以广州公共资源交易中心的相关操作指引为准]</w:t>
            </w:r>
          </w:p>
          <w:p w14:paraId="6F9B66D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z w:val="21"/>
                <w:szCs w:val="21"/>
                <w:highlight w:val="none"/>
                <w:lang w:val="en-US"/>
              </w:rPr>
              <w:t>（5）投标保证金有效期应当与投标有效期一致</w:t>
            </w:r>
            <w:r>
              <w:rPr>
                <w:rFonts w:hint="eastAsia" w:ascii="宋体" w:hAnsi="宋体" w:eastAsia="宋体" w:cs="宋体"/>
                <w:color w:val="auto"/>
                <w:spacing w:val="0"/>
                <w:sz w:val="21"/>
                <w:szCs w:val="21"/>
                <w:highlight w:val="none"/>
                <w:lang w:val="en-US" w:eastAsia="zh-CN"/>
              </w:rPr>
              <w:t>。</w:t>
            </w:r>
          </w:p>
          <w:p w14:paraId="268B981B">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
                <w:bCs/>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□不要求</w:t>
            </w:r>
          </w:p>
        </w:tc>
      </w:tr>
      <w:tr w14:paraId="06B27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3B005A4">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w:t>
            </w:r>
          </w:p>
        </w:tc>
        <w:tc>
          <w:tcPr>
            <w:tcW w:w="2981" w:type="dxa"/>
            <w:noWrap w:val="0"/>
            <w:vAlign w:val="center"/>
          </w:tcPr>
          <w:p w14:paraId="68C72E4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bookmarkStart w:id="9" w:name="OLE_LINK7"/>
            <w:r>
              <w:rPr>
                <w:rFonts w:hint="eastAsia" w:ascii="宋体" w:hAnsi="宋体" w:eastAsia="宋体" w:cs="宋体"/>
                <w:color w:val="auto"/>
                <w:sz w:val="21"/>
                <w:szCs w:val="21"/>
                <w:highlight w:val="none"/>
              </w:rPr>
              <w:t>投标保证金</w:t>
            </w:r>
            <w:bookmarkEnd w:id="9"/>
            <w:r>
              <w:rPr>
                <w:rFonts w:hint="eastAsia" w:ascii="宋体" w:hAnsi="宋体" w:eastAsia="宋体" w:cs="宋体"/>
                <w:color w:val="auto"/>
                <w:sz w:val="21"/>
                <w:szCs w:val="21"/>
                <w:highlight w:val="none"/>
              </w:rPr>
              <w:t>的利息计算原则</w:t>
            </w:r>
          </w:p>
        </w:tc>
        <w:tc>
          <w:tcPr>
            <w:tcW w:w="5613" w:type="dxa"/>
            <w:noWrap w:val="0"/>
            <w:vAlign w:val="center"/>
          </w:tcPr>
          <w:p w14:paraId="004E064D">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利息计算原则按广州公共资源交易中心有关说明为准。</w:t>
            </w:r>
          </w:p>
        </w:tc>
      </w:tr>
      <w:tr w14:paraId="5D61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2873DB6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2981" w:type="dxa"/>
            <w:noWrap w:val="0"/>
            <w:vAlign w:val="center"/>
          </w:tcPr>
          <w:p w14:paraId="1D4D86F5">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其他可以不予退还投标保证金的情形</w:t>
            </w:r>
          </w:p>
        </w:tc>
        <w:tc>
          <w:tcPr>
            <w:tcW w:w="5613" w:type="dxa"/>
            <w:noWrap w:val="0"/>
            <w:vAlign w:val="center"/>
          </w:tcPr>
          <w:p w14:paraId="51BEE339">
            <w:pPr>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1.拒绝支付本项目招标代理服务费；</w:t>
            </w:r>
          </w:p>
          <w:p w14:paraId="721B8A4E">
            <w:pPr>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2.投标人在投标有效期内撤销投标文件；</w:t>
            </w:r>
          </w:p>
          <w:p w14:paraId="39E43657">
            <w:pPr>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3.中标人在收到中标通知书后，无正当理由不与招标人订立合同，在签订合同时向招标人提出附加条件，或者不按照招标文件要求提交</w:t>
            </w:r>
            <w:r>
              <w:rPr>
                <w:rFonts w:hint="eastAsia" w:ascii="宋体" w:hAnsi="宋体" w:cs="宋体"/>
                <w:color w:val="auto"/>
                <w:sz w:val="21"/>
                <w:szCs w:val="21"/>
                <w:highlight w:val="none"/>
                <w:lang w:eastAsia="zh-CN"/>
              </w:rPr>
              <w:t>履约担保</w:t>
            </w:r>
            <w:r>
              <w:rPr>
                <w:rFonts w:hint="eastAsia" w:ascii="宋体" w:hAnsi="宋体" w:eastAsia="宋体" w:cs="宋体"/>
                <w:color w:val="auto"/>
                <w:sz w:val="21"/>
                <w:szCs w:val="21"/>
                <w:highlight w:val="none"/>
              </w:rPr>
              <w:t>；</w:t>
            </w:r>
          </w:p>
          <w:p w14:paraId="3C474306">
            <w:pPr>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4.签订合同时提出变更投标文件实质性内容；</w:t>
            </w:r>
          </w:p>
          <w:p w14:paraId="72C2A750">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5.与他人串通投标或投标人提交了虚假资料或在招标投标过程中有其他违规行为经查实的。</w:t>
            </w:r>
          </w:p>
          <w:p w14:paraId="219123E0">
            <w:pPr>
              <w:pStyle w:val="44"/>
              <w:keepNext w:val="0"/>
              <w:keepLines w:val="0"/>
              <w:pageBreakBefore w:val="0"/>
              <w:shd w:val="clear" w:color="auto" w:fill="auto"/>
              <w:tabs>
                <w:tab w:val="left" w:pos="637"/>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val="en-US" w:eastAsia="zh-CN"/>
              </w:rPr>
              <w:t>6.法律或者本招标文件规定的其他情形。</w:t>
            </w:r>
          </w:p>
        </w:tc>
      </w:tr>
      <w:tr w14:paraId="7EFB3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9175756">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981" w:type="dxa"/>
            <w:noWrap w:val="0"/>
            <w:vAlign w:val="center"/>
          </w:tcPr>
          <w:p w14:paraId="219C3FC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资格审查资料的特殊要求</w:t>
            </w:r>
          </w:p>
        </w:tc>
        <w:tc>
          <w:tcPr>
            <w:tcW w:w="5613" w:type="dxa"/>
            <w:noWrap w:val="0"/>
            <w:vAlign w:val="center"/>
          </w:tcPr>
          <w:p w14:paraId="7C69A83C">
            <w:pPr>
              <w:keepNext w:val="0"/>
              <w:keepLines w:val="0"/>
              <w:pageBreakBefore w:val="0"/>
              <w:widowControl/>
              <w:suppressLineNumbers w:val="0"/>
              <w:kinsoku/>
              <w:wordWrap/>
              <w:overflowPunct/>
              <w:topLinePunct w:val="0"/>
              <w:bidi w:val="0"/>
              <w:spacing w:line="400" w:lineRule="exact"/>
              <w:ind w:firstLine="210" w:firstLineChars="1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pacing w:val="0"/>
                <w:kern w:val="0"/>
                <w:sz w:val="21"/>
                <w:szCs w:val="21"/>
                <w:highlight w:val="none"/>
                <w:lang w:val="en-US" w:eastAsia="zh-CN" w:bidi="ar"/>
              </w:rPr>
              <w:t xml:space="preserve">无 </w:t>
            </w:r>
          </w:p>
        </w:tc>
      </w:tr>
      <w:tr w14:paraId="5E6D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3945F0A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2981" w:type="dxa"/>
            <w:noWrap w:val="0"/>
            <w:vAlign w:val="center"/>
          </w:tcPr>
          <w:p w14:paraId="69FE5D9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近年财务状况的要求</w:t>
            </w:r>
          </w:p>
        </w:tc>
        <w:tc>
          <w:tcPr>
            <w:tcW w:w="5613" w:type="dxa"/>
            <w:noWrap w:val="0"/>
            <w:vAlign w:val="center"/>
          </w:tcPr>
          <w:p w14:paraId="0C3E33D1">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280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58F67C73">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3.5.3</w:t>
            </w:r>
          </w:p>
        </w:tc>
        <w:tc>
          <w:tcPr>
            <w:tcW w:w="2981" w:type="dxa"/>
            <w:noWrap w:val="0"/>
            <w:vAlign w:val="center"/>
          </w:tcPr>
          <w:p w14:paraId="58AFC2F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近年完成的类似项目情况的时间要求</w:t>
            </w:r>
          </w:p>
        </w:tc>
        <w:tc>
          <w:tcPr>
            <w:tcW w:w="5613" w:type="dxa"/>
            <w:noWrap w:val="0"/>
            <w:vAlign w:val="center"/>
          </w:tcPr>
          <w:p w14:paraId="48410A52">
            <w:pPr>
              <w:pStyle w:val="44"/>
              <w:keepNext w:val="0"/>
              <w:keepLines w:val="0"/>
              <w:pageBreakBefore w:val="0"/>
              <w:shd w:val="clear" w:color="auto" w:fill="auto"/>
              <w:tabs>
                <w:tab w:val="left" w:pos="803"/>
                <w:tab w:val="left" w:pos="1574"/>
                <w:tab w:val="left" w:pos="2344"/>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cs="宋体"/>
                <w:b w:val="0"/>
                <w:bCs w:val="0"/>
                <w:color w:val="auto"/>
                <w:sz w:val="21"/>
                <w:szCs w:val="21"/>
                <w:highlight w:val="none"/>
                <w:lang w:val="en-US" w:eastAsia="zh-CN"/>
              </w:rPr>
              <w:t>/</w:t>
            </w:r>
          </w:p>
        </w:tc>
      </w:tr>
      <w:tr w14:paraId="5482A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553FF92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pacing w:val="0"/>
                <w:sz w:val="21"/>
                <w:szCs w:val="21"/>
                <w:highlight w:val="none"/>
                <w:lang w:val="en-US" w:eastAsia="zh-CN"/>
              </w:rPr>
              <w:t>3.5.5</w:t>
            </w:r>
          </w:p>
        </w:tc>
        <w:tc>
          <w:tcPr>
            <w:tcW w:w="2981" w:type="dxa"/>
            <w:noWrap w:val="0"/>
            <w:vAlign w:val="center"/>
          </w:tcPr>
          <w:p w14:paraId="3146B7F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近年发生的诉讼及仲裁情况的时间要求</w:t>
            </w:r>
          </w:p>
        </w:tc>
        <w:tc>
          <w:tcPr>
            <w:tcW w:w="5613" w:type="dxa"/>
            <w:noWrap w:val="0"/>
            <w:vAlign w:val="center"/>
          </w:tcPr>
          <w:p w14:paraId="2CB891D4">
            <w:pPr>
              <w:pStyle w:val="44"/>
              <w:keepNext w:val="0"/>
              <w:keepLines w:val="0"/>
              <w:pageBreakBefore w:val="0"/>
              <w:shd w:val="clear" w:color="auto" w:fill="auto"/>
              <w:tabs>
                <w:tab w:val="left" w:pos="803"/>
                <w:tab w:val="left" w:pos="1574"/>
                <w:tab w:val="left" w:pos="2344"/>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u w:val="single"/>
                <w:lang w:val="en-US" w:eastAsia="zh-CN"/>
              </w:rPr>
            </w:pPr>
            <w:r>
              <w:rPr>
                <w:rFonts w:hint="eastAsia" w:cs="宋体"/>
                <w:b w:val="0"/>
                <w:bCs w:val="0"/>
                <w:color w:val="auto"/>
                <w:sz w:val="21"/>
                <w:szCs w:val="21"/>
                <w:highlight w:val="none"/>
                <w:lang w:val="en-US" w:eastAsia="zh-CN"/>
              </w:rPr>
              <w:t>/</w:t>
            </w:r>
          </w:p>
        </w:tc>
      </w:tr>
      <w:tr w14:paraId="174D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2252320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981" w:type="dxa"/>
            <w:noWrap w:val="0"/>
            <w:vAlign w:val="center"/>
          </w:tcPr>
          <w:p w14:paraId="5BED39EF">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5613" w:type="dxa"/>
            <w:noWrap w:val="0"/>
            <w:vAlign w:val="center"/>
          </w:tcPr>
          <w:p w14:paraId="6213EE0E">
            <w:pPr>
              <w:keepNext w:val="0"/>
              <w:keepLines w:val="0"/>
              <w:pageBreakBefore w:val="0"/>
              <w:shd w:val="clear" w:color="auto" w:fill="auto"/>
              <w:kinsoku/>
              <w:wordWrap/>
              <w:overflowPunct/>
              <w:topLinePunct w:val="0"/>
              <w:autoSpaceDE w:val="0"/>
              <w:autoSpaceDN w:val="0"/>
              <w:bidi w:val="0"/>
              <w:adjustRightInd w:val="0"/>
              <w:spacing w:before="49" w:line="400" w:lineRule="exact"/>
              <w:ind w:left="202" w:leftChars="96" w:right="38" w:firstLine="16" w:firstLineChars="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0"/>
                <w:sz w:val="21"/>
                <w:szCs w:val="21"/>
                <w:highlight w:val="none"/>
              </w:rPr>
              <w:t>不允许</w:t>
            </w:r>
          </w:p>
          <w:p w14:paraId="5C0FB40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□允许</w:t>
            </w:r>
          </w:p>
        </w:tc>
      </w:tr>
      <w:tr w14:paraId="14665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6CE3A0C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2981" w:type="dxa"/>
            <w:noWrap w:val="0"/>
            <w:vAlign w:val="center"/>
          </w:tcPr>
          <w:p w14:paraId="40042936">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5613" w:type="dxa"/>
            <w:noWrap w:val="0"/>
            <w:vAlign w:val="center"/>
          </w:tcPr>
          <w:p w14:paraId="66B5B053">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
                <w:color w:val="auto"/>
                <w:sz w:val="21"/>
                <w:szCs w:val="21"/>
                <w:highlight w:val="none"/>
                <w:lang w:val="en-US"/>
              </w:rPr>
            </w:pPr>
            <w:r>
              <w:rPr>
                <w:rFonts w:hint="eastAsia" w:ascii="宋体" w:hAnsi="宋体" w:eastAsia="宋体" w:cs="宋体"/>
                <w:color w:val="auto"/>
                <w:sz w:val="21"/>
                <w:szCs w:val="21"/>
                <w:highlight w:val="none"/>
                <w:u w:val="none"/>
              </w:rPr>
              <w:t>投标文件全部采用电子文档，投标文件所附证书证件均为原件清晰扫描件，并采用单位数字证书，按招标文件要求在相应位置加盖电子印章。投标文件中需个人签字的，应在线下完成后扫描上传。按照交易平台关于全流程电子化项目的相关指南进行操作。</w:t>
            </w:r>
          </w:p>
        </w:tc>
      </w:tr>
      <w:tr w14:paraId="185FF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0A067BE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3.7.4</w:t>
            </w:r>
          </w:p>
        </w:tc>
        <w:tc>
          <w:tcPr>
            <w:tcW w:w="2981" w:type="dxa"/>
            <w:noWrap w:val="0"/>
            <w:vAlign w:val="center"/>
          </w:tcPr>
          <w:p w14:paraId="082B9577">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投标文件副本份数及其他要求</w:t>
            </w:r>
          </w:p>
        </w:tc>
        <w:tc>
          <w:tcPr>
            <w:tcW w:w="5613" w:type="dxa"/>
            <w:noWrap w:val="0"/>
            <w:vAlign w:val="center"/>
          </w:tcPr>
          <w:p w14:paraId="44671FE9">
            <w:pPr>
              <w:numPr>
                <w:ilvl w:val="0"/>
                <w:numId w:val="0"/>
              </w:numPr>
              <w:spacing w:before="24" w:beforeLines="10" w:after="24" w:afterLines="10" w:line="336" w:lineRule="auto"/>
              <w:ind w:leftChars="100" w:right="21" w:rightChars="10"/>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纸质投标文件份数：</w:t>
            </w:r>
            <w:r>
              <w:rPr>
                <w:rFonts w:hint="eastAsia" w:ascii="宋体" w:hAnsi="宋体" w:eastAsia="宋体" w:cs="宋体"/>
                <w:color w:val="auto"/>
                <w:szCs w:val="21"/>
                <w:highlight w:val="none"/>
              </w:rPr>
              <w:t>中标人需提供与递交电子投标文件内容一致且按招标文件要求签字盖章的纸质文件一正</w:t>
            </w:r>
            <w:r>
              <w:rPr>
                <w:rFonts w:hint="eastAsia" w:ascii="宋体" w:hAnsi="宋体" w:eastAsia="宋体" w:cs="宋体"/>
                <w:color w:val="auto"/>
                <w:szCs w:val="21"/>
                <w:highlight w:val="none"/>
                <w:lang w:val="en-US" w:eastAsia="zh-CN"/>
              </w:rPr>
              <w:t>两</w:t>
            </w:r>
            <w:r>
              <w:rPr>
                <w:rFonts w:hint="eastAsia" w:ascii="宋体" w:hAnsi="宋体" w:eastAsia="宋体" w:cs="宋体"/>
                <w:color w:val="auto"/>
                <w:szCs w:val="21"/>
                <w:highlight w:val="none"/>
              </w:rPr>
              <w:t>副及电子文件U盘</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份（U盘投标文件（盖章签字后）的整本扫描件（PDF格式），扫描件的内容要求清晰可辨）。纸质投标文件由中标人在领取中标通知书前，送达招标代理机构。中标人亦可选择快递的方式递交，快递地址联系招标代理机构获取，由此所产生的打印装订费、快递费（如需）等相关费用由中标人支付。</w:t>
            </w:r>
          </w:p>
        </w:tc>
      </w:tr>
      <w:tr w14:paraId="4725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22B7FC4E">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4.1.1</w:t>
            </w:r>
          </w:p>
        </w:tc>
        <w:tc>
          <w:tcPr>
            <w:tcW w:w="2981" w:type="dxa"/>
            <w:noWrap w:val="0"/>
            <w:vAlign w:val="center"/>
          </w:tcPr>
          <w:p w14:paraId="68B499B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5613" w:type="dxa"/>
            <w:noWrap w:val="0"/>
            <w:vAlign w:val="center"/>
          </w:tcPr>
          <w:p w14:paraId="780EF6EB">
            <w:pPr>
              <w:pStyle w:val="44"/>
              <w:keepNext w:val="0"/>
              <w:keepLines w:val="0"/>
              <w:pageBreakBefore w:val="0"/>
              <w:shd w:val="clear" w:color="auto" w:fill="auto"/>
              <w:tabs>
                <w:tab w:val="left" w:pos="1161"/>
              </w:tabs>
              <w:kinsoku/>
              <w:wordWrap/>
              <w:overflowPunct/>
              <w:topLinePunct w:val="0"/>
              <w:bidi w:val="0"/>
              <w:adjustRightInd w:val="0"/>
              <w:snapToGrid w:val="0"/>
              <w:spacing w:line="400" w:lineRule="exact"/>
              <w:ind w:left="210" w:leftChars="100" w:right="42" w:rightChars="20" w:firstLine="0" w:firstLineChars="0"/>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color w:val="auto"/>
                <w:sz w:val="21"/>
                <w:szCs w:val="21"/>
                <w:highlight w:val="none"/>
              </w:rPr>
              <w:t>网上递交的电子投标文件须进行加密。具体操作详见</w:t>
            </w:r>
            <w:r>
              <w:rPr>
                <w:rFonts w:hint="eastAsia" w:ascii="宋体" w:hAnsi="宋体" w:eastAsia="宋体" w:cs="宋体"/>
                <w:color w:val="auto"/>
                <w:sz w:val="21"/>
                <w:szCs w:val="21"/>
                <w:highlight w:val="none"/>
                <w:lang w:val="en-US" w:eastAsia="zh-CN"/>
              </w:rPr>
              <w:t>广州公共资源交易中心</w:t>
            </w:r>
            <w:r>
              <w:rPr>
                <w:rFonts w:hint="eastAsia" w:ascii="宋体" w:hAnsi="宋体" w:eastAsia="宋体" w:cs="宋体"/>
                <w:color w:val="auto"/>
                <w:sz w:val="21"/>
                <w:szCs w:val="21"/>
                <w:highlight w:val="none"/>
              </w:rPr>
              <w:t>网站关于全流程电子化项目的相关指南。</w:t>
            </w:r>
          </w:p>
        </w:tc>
      </w:tr>
      <w:tr w14:paraId="16CFE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3B163A3C">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2981" w:type="dxa"/>
            <w:noWrap w:val="0"/>
            <w:vAlign w:val="center"/>
          </w:tcPr>
          <w:p w14:paraId="6BB2EEE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5613" w:type="dxa"/>
            <w:noWrap w:val="0"/>
            <w:vAlign w:val="center"/>
          </w:tcPr>
          <w:p w14:paraId="55F01994">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256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66CB3E3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2981" w:type="dxa"/>
            <w:noWrap w:val="0"/>
            <w:vAlign w:val="center"/>
          </w:tcPr>
          <w:p w14:paraId="60832DF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5613" w:type="dxa"/>
            <w:noWrap w:val="0"/>
            <w:vAlign w:val="center"/>
          </w:tcPr>
          <w:p w14:paraId="7F0E1D8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61C48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2FE537A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2981" w:type="dxa"/>
            <w:noWrap w:val="0"/>
            <w:vAlign w:val="center"/>
          </w:tcPr>
          <w:p w14:paraId="3FD6529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投标文件是否退还</w:t>
            </w:r>
          </w:p>
        </w:tc>
        <w:tc>
          <w:tcPr>
            <w:tcW w:w="5613" w:type="dxa"/>
            <w:noWrap w:val="0"/>
            <w:vAlign w:val="center"/>
          </w:tcPr>
          <w:p w14:paraId="5B1D9C9C">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否</w:t>
            </w:r>
          </w:p>
        </w:tc>
      </w:tr>
      <w:tr w14:paraId="52F82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C87390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981" w:type="dxa"/>
            <w:noWrap w:val="0"/>
            <w:vAlign w:val="center"/>
          </w:tcPr>
          <w:p w14:paraId="0D6A029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5613" w:type="dxa"/>
            <w:noWrap w:val="0"/>
            <w:vAlign w:val="center"/>
          </w:tcPr>
          <w:p w14:paraId="23DE972D">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招标人在本章第4.2.1项规定的投标截止时间（开标时间）,在</w:t>
            </w:r>
            <w:r>
              <w:rPr>
                <w:rFonts w:hint="eastAsia" w:ascii="宋体" w:hAnsi="宋体" w:eastAsia="宋体" w:cs="宋体"/>
                <w:color w:val="auto"/>
                <w:sz w:val="21"/>
                <w:szCs w:val="21"/>
                <w:highlight w:val="none"/>
                <w:lang w:val="en-US" w:eastAsia="zh-CN"/>
              </w:rPr>
              <w:t>广州公共资源交易中心</w:t>
            </w:r>
            <w:r>
              <w:rPr>
                <w:rFonts w:hint="eastAsia" w:ascii="宋体" w:hAnsi="宋体" w:eastAsia="宋体" w:cs="宋体"/>
                <w:color w:val="auto"/>
                <w:sz w:val="21"/>
                <w:szCs w:val="21"/>
                <w:highlight w:val="none"/>
              </w:rPr>
              <w:t>公开开标，并邀请所有投标人的法定代表人（单位负责人）或其委托代理人准时参加。开标时，投标人代表有权出席开标会，也可以自主决定不参加开标会，若投标人代表对开标过程提出异议，应当在唱标结束后的规定时间内、使用单位数字证书登录交易平台后通过交易平台提出。</w:t>
            </w:r>
          </w:p>
          <w:p w14:paraId="56E804E1">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color w:val="auto"/>
                <w:sz w:val="21"/>
                <w:szCs w:val="21"/>
                <w:highlight w:val="none"/>
              </w:rPr>
              <w:t>同投标截止时间。</w:t>
            </w:r>
          </w:p>
          <w:p w14:paraId="0941AE4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开标地点：同递交投标文件地点。</w:t>
            </w:r>
          </w:p>
          <w:p w14:paraId="09BDA7D4">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本项目采取电子招标投标远程开标的形式，未参与投标解密或因投标人自身原因解密失败的视为放弃投标。</w:t>
            </w:r>
          </w:p>
          <w:p w14:paraId="21BE4E32">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具体时间、地点可以到</w:t>
            </w:r>
            <w:r>
              <w:rPr>
                <w:rFonts w:hint="eastAsia" w:ascii="宋体" w:hAnsi="宋体" w:eastAsia="宋体" w:cs="宋体"/>
                <w:b/>
                <w:bCs/>
                <w:color w:val="auto"/>
                <w:sz w:val="21"/>
                <w:szCs w:val="21"/>
                <w:highlight w:val="none"/>
                <w:lang w:val="en-US" w:eastAsia="zh-CN"/>
              </w:rPr>
              <w:t>广州公共资源交易中心</w:t>
            </w:r>
            <w:r>
              <w:rPr>
                <w:rFonts w:hint="eastAsia" w:ascii="宋体" w:hAnsi="宋体" w:eastAsia="宋体" w:cs="宋体"/>
                <w:b/>
                <w:bCs/>
                <w:color w:val="auto"/>
                <w:sz w:val="21"/>
                <w:szCs w:val="21"/>
                <w:highlight w:val="none"/>
              </w:rPr>
              <w:t>网站的项目查询(日程安排、答疑纪要)中输入本项目编号或项目名称进行查询</w:t>
            </w:r>
            <w:r>
              <w:rPr>
                <w:rFonts w:hint="eastAsia" w:ascii="宋体" w:hAnsi="宋体" w:eastAsia="宋体" w:cs="宋体"/>
                <w:b w:val="0"/>
                <w:bCs/>
                <w:color w:val="auto"/>
                <w:sz w:val="21"/>
                <w:szCs w:val="21"/>
                <w:highlight w:val="none"/>
              </w:rPr>
              <w:t>。</w:t>
            </w:r>
          </w:p>
        </w:tc>
      </w:tr>
      <w:tr w14:paraId="0A1C3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7356BFC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w:t>
            </w:r>
          </w:p>
        </w:tc>
        <w:tc>
          <w:tcPr>
            <w:tcW w:w="2981" w:type="dxa"/>
            <w:noWrap w:val="0"/>
            <w:vAlign w:val="center"/>
          </w:tcPr>
          <w:p w14:paraId="636902C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5613" w:type="dxa"/>
            <w:noWrap w:val="0"/>
            <w:vAlign w:val="center"/>
          </w:tcPr>
          <w:p w14:paraId="75568E8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5.2.1主持人按下列程序对投标文件进行开标：</w:t>
            </w:r>
          </w:p>
          <w:p w14:paraId="5548E26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（1）开标由招标人或其委托的招标代理机构主持，宣布开标纪律；</w:t>
            </w:r>
          </w:p>
          <w:p w14:paraId="52BFC978">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（2）宣布招标人代表、监标人(如有)等有关人姓名；</w:t>
            </w:r>
          </w:p>
          <w:p w14:paraId="32AABAB8">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（3）检查投标文件递交到达的情况。若递交到达投标文件的投标人不足 3 个，则该项目的投标文件不予开标；</w:t>
            </w:r>
          </w:p>
          <w:p w14:paraId="1E78E82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（4） 投标人解密。投标人应在投标截止时间后半小时内对所递交的投标文件进行解密。投标人可远程解密或开标现场解密，开标现场解密的投标人，可自备手提电脑进入开标现场；（注：须要通过加密投标文件时的机构数字证书或业务数字证书解密）</w:t>
            </w:r>
          </w:p>
          <w:p w14:paraId="0C1C2CDE">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（5）招标人解密。招标人在投标人解密截止时间（或所有递交投标文件的投标人均解密成功）后，对投标人解密成功的</w:t>
            </w:r>
            <w:r>
              <w:rPr>
                <w:rFonts w:hint="eastAsia"/>
                <w:color w:val="auto"/>
                <w:szCs w:val="21"/>
                <w:highlight w:val="none"/>
                <w:lang w:val="en-US" w:eastAsia="zh-CN"/>
              </w:rPr>
              <w:t>投标文件</w:t>
            </w:r>
            <w:r>
              <w:rPr>
                <w:rFonts w:hint="eastAsia"/>
                <w:color w:val="auto"/>
                <w:szCs w:val="21"/>
                <w:highlight w:val="none"/>
                <w:lang w:val="en-US"/>
              </w:rPr>
              <w:t>进行解密；</w:t>
            </w:r>
          </w:p>
          <w:p w14:paraId="74AC0229">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（6）公布投标人名称、投标保证金递交情况、解密情况及其他内容，并记录在案；</w:t>
            </w:r>
          </w:p>
          <w:p w14:paraId="21986931">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（7）投标人代表、招标人、监标人（如有）、见证人（如有）等有关人员在开标记录上签字确认，投标人代表未签字确认的视为默认开标结果；</w:t>
            </w:r>
          </w:p>
          <w:p w14:paraId="36C8171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color w:val="auto"/>
                <w:szCs w:val="21"/>
                <w:highlight w:val="none"/>
                <w:lang w:val="en-US"/>
              </w:rPr>
            </w:pPr>
            <w:r>
              <w:rPr>
                <w:rFonts w:hint="eastAsia"/>
                <w:color w:val="auto"/>
                <w:szCs w:val="21"/>
                <w:highlight w:val="none"/>
                <w:lang w:val="en-US"/>
              </w:rPr>
              <w:t>（8） 开标会议结束。</w:t>
            </w:r>
          </w:p>
          <w:p w14:paraId="395FFC89">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b/>
                <w:bCs/>
                <w:color w:val="auto"/>
                <w:sz w:val="21"/>
                <w:szCs w:val="21"/>
                <w:highlight w:val="none"/>
              </w:rPr>
            </w:pPr>
            <w:r>
              <w:rPr>
                <w:rFonts w:hint="eastAsia"/>
                <w:color w:val="auto"/>
                <w:szCs w:val="21"/>
                <w:highlight w:val="none"/>
                <w:lang w:val="en-US"/>
              </w:rPr>
              <w:t>投标截止时间前未完成投标文件传输的，或因投标人之外的原因造成投标文件未解密的，均视为投标人撤回其电子投标文件。因投标人原因造成投标文件未解密的或未在投标截止时间后半小时内解密的，视为撤销其投标文件。</w:t>
            </w:r>
          </w:p>
        </w:tc>
      </w:tr>
      <w:tr w14:paraId="718E5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F2B9D11">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5.4</w:t>
            </w:r>
          </w:p>
        </w:tc>
        <w:tc>
          <w:tcPr>
            <w:tcW w:w="2981" w:type="dxa"/>
            <w:noWrap w:val="0"/>
            <w:vAlign w:val="center"/>
          </w:tcPr>
          <w:p w14:paraId="2293129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开标补救措施</w:t>
            </w:r>
          </w:p>
        </w:tc>
        <w:tc>
          <w:tcPr>
            <w:tcW w:w="5613" w:type="dxa"/>
            <w:noWrap w:val="0"/>
            <w:vAlign w:val="center"/>
          </w:tcPr>
          <w:p w14:paraId="08658DAA">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4</w:t>
            </w:r>
            <w:r>
              <w:rPr>
                <w:rFonts w:hint="eastAsia" w:ascii="宋体" w:hAnsi="宋体"/>
                <w:color w:val="auto"/>
                <w:sz w:val="21"/>
                <w:szCs w:val="21"/>
                <w:highlight w:val="none"/>
              </w:rPr>
              <w:t>.1 开标过程中因出现以下情况，导致系统无法正常运行，应中止电子开标，并在恢复正常后及时安排时间开标。同时，按投标人须知前附表的规定做好后续开标的前期工作。</w:t>
            </w:r>
          </w:p>
          <w:p w14:paraId="3C23C03E">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（1）系统服务器发生故障，无法访问或无法使用系统；</w:t>
            </w:r>
          </w:p>
          <w:p w14:paraId="7D4B8EFD">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（2）系统的软件或数据库出现错误，不能进行正常操作；</w:t>
            </w:r>
          </w:p>
          <w:p w14:paraId="6BA50FA9">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（3）系统发现有安全漏洞，有潜在的泄密危险；</w:t>
            </w:r>
          </w:p>
          <w:p w14:paraId="4C8E99B6">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（4）出现断电事故且短时间内无法恢复供电的；</w:t>
            </w:r>
          </w:p>
          <w:p w14:paraId="2011900A">
            <w:pPr>
              <w:pStyle w:val="27"/>
              <w:keepNext w:val="0"/>
              <w:keepLines w:val="0"/>
              <w:pageBreakBefore w:val="0"/>
              <w:kinsoku/>
              <w:wordWrap/>
              <w:overflowPunct/>
              <w:topLinePunct w:val="0"/>
              <w:bidi w:val="0"/>
              <w:spacing w:after="0" w:line="400" w:lineRule="exact"/>
              <w:ind w:left="118" w:leftChars="56" w:right="141" w:rightChars="67"/>
              <w:textAlignment w:val="auto"/>
              <w:rPr>
                <w:rFonts w:ascii="宋体" w:hAnsi="宋体"/>
                <w:color w:val="auto"/>
                <w:sz w:val="21"/>
                <w:szCs w:val="21"/>
                <w:highlight w:val="none"/>
              </w:rPr>
            </w:pPr>
            <w:r>
              <w:rPr>
                <w:rFonts w:hint="eastAsia" w:ascii="宋体" w:hAnsi="宋体"/>
                <w:color w:val="auto"/>
                <w:sz w:val="21"/>
                <w:szCs w:val="21"/>
                <w:highlight w:val="none"/>
              </w:rPr>
              <w:t>（5）其他无法保证招投标过程正常进行的情形。</w:t>
            </w:r>
          </w:p>
          <w:p w14:paraId="055768E6">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4</w:t>
            </w:r>
            <w:r>
              <w:rPr>
                <w:rFonts w:hint="eastAsia" w:ascii="宋体" w:hAnsi="宋体"/>
                <w:color w:val="auto"/>
                <w:sz w:val="21"/>
                <w:szCs w:val="21"/>
                <w:highlight w:val="none"/>
              </w:rPr>
              <w:t>.2 采取补救措施时，必须对原有资料及信息作出妥善保密处理。</w:t>
            </w:r>
          </w:p>
        </w:tc>
      </w:tr>
      <w:tr w14:paraId="535DE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C68A8AC">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981" w:type="dxa"/>
            <w:noWrap w:val="0"/>
            <w:vAlign w:val="center"/>
          </w:tcPr>
          <w:p w14:paraId="626E49B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5613" w:type="dxa"/>
            <w:noWrap w:val="0"/>
            <w:vAlign w:val="center"/>
          </w:tcPr>
          <w:p w14:paraId="6DF6F5B3">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人，其中招标人（或其委派）代表</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人，专家</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人。</w:t>
            </w:r>
          </w:p>
          <w:p w14:paraId="19F17EC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评标专家确定方式：依法从广东省综合评标评审专家库中随机抽取。</w:t>
            </w:r>
          </w:p>
        </w:tc>
      </w:tr>
      <w:tr w14:paraId="0005B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ED3E47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2981" w:type="dxa"/>
            <w:noWrap w:val="0"/>
            <w:vAlign w:val="center"/>
          </w:tcPr>
          <w:p w14:paraId="64817B2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w:t>
            </w:r>
          </w:p>
        </w:tc>
        <w:tc>
          <w:tcPr>
            <w:tcW w:w="5613" w:type="dxa"/>
            <w:noWrap w:val="0"/>
            <w:vAlign w:val="center"/>
          </w:tcPr>
          <w:p w14:paraId="33C60B8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推荐3名中标候选人。</w:t>
            </w:r>
          </w:p>
        </w:tc>
      </w:tr>
      <w:tr w14:paraId="7CF6E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641DB964">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2981" w:type="dxa"/>
            <w:noWrap w:val="0"/>
            <w:vAlign w:val="center"/>
          </w:tcPr>
          <w:p w14:paraId="2A6A8E6A">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5613" w:type="dxa"/>
            <w:noWrap w:val="0"/>
            <w:vAlign w:val="center"/>
          </w:tcPr>
          <w:p w14:paraId="24275BC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w:t>
            </w:r>
            <w:r>
              <w:rPr>
                <w:rFonts w:hint="eastAsia" w:ascii="宋体" w:hAnsi="宋体" w:eastAsia="宋体" w:cs="宋体"/>
                <w:color w:val="auto"/>
                <w:sz w:val="21"/>
                <w:szCs w:val="21"/>
                <w:highlight w:val="none"/>
                <w:u w:val="single"/>
              </w:rPr>
              <w:t>同招标公告发布媒介</w:t>
            </w:r>
            <w:r>
              <w:rPr>
                <w:rFonts w:hint="eastAsia" w:ascii="宋体" w:hAnsi="宋体" w:eastAsia="宋体" w:cs="宋体"/>
                <w:color w:val="auto"/>
                <w:sz w:val="21"/>
                <w:szCs w:val="21"/>
                <w:highlight w:val="none"/>
              </w:rPr>
              <w:t>。</w:t>
            </w:r>
          </w:p>
          <w:p w14:paraId="100FB687">
            <w:pPr>
              <w:pStyle w:val="44"/>
              <w:keepNext w:val="0"/>
              <w:keepLines w:val="0"/>
              <w:pageBreakBefore w:val="0"/>
              <w:shd w:val="clear" w:color="auto" w:fill="auto"/>
              <w:tabs>
                <w:tab w:val="left" w:pos="2104"/>
              </w:tabs>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限</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lang w:val="en-US"/>
              </w:rPr>
              <w:t>3</w:t>
            </w:r>
            <w:r>
              <w:rPr>
                <w:rFonts w:hint="eastAsia" w:ascii="宋体" w:hAnsi="宋体" w:eastAsia="宋体" w:cs="宋体"/>
                <w:color w:val="auto"/>
                <w:sz w:val="21"/>
                <w:szCs w:val="21"/>
                <w:highlight w:val="none"/>
              </w:rPr>
              <w:t>日（最后一日为工作日）</w:t>
            </w:r>
          </w:p>
        </w:tc>
      </w:tr>
      <w:tr w14:paraId="7EAA7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02BAEF03">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2981" w:type="dxa"/>
            <w:noWrap w:val="0"/>
            <w:vAlign w:val="center"/>
          </w:tcPr>
          <w:p w14:paraId="183AE033">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5613" w:type="dxa"/>
            <w:noWrap w:val="0"/>
            <w:vAlign w:val="center"/>
          </w:tcPr>
          <w:p w14:paraId="1DB39893">
            <w:pPr>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p w14:paraId="2F3A0322">
            <w:pPr>
              <w:keepNext w:val="0"/>
              <w:keepLines w:val="0"/>
              <w:pageBreakBefore w:val="0"/>
              <w:numPr>
                <w:ilvl w:val="0"/>
                <w:numId w:val="4"/>
              </w:numPr>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本项目评标委员会出具评标报告，并按综合得分由高至低排序，</w:t>
            </w:r>
            <w:r>
              <w:rPr>
                <w:rFonts w:hint="eastAsia" w:ascii="宋体" w:hAnsi="宋体" w:cs="宋体"/>
                <w:color w:val="auto"/>
                <w:sz w:val="21"/>
                <w:szCs w:val="21"/>
                <w:highlight w:val="none"/>
                <w:lang w:val="en-US" w:eastAsia="zh-CN"/>
              </w:rPr>
              <w:t>每个标段</w:t>
            </w:r>
            <w:r>
              <w:rPr>
                <w:rFonts w:hint="eastAsia" w:ascii="宋体" w:hAnsi="宋体" w:eastAsia="宋体" w:cs="宋体"/>
                <w:color w:val="auto"/>
                <w:sz w:val="21"/>
                <w:szCs w:val="21"/>
                <w:highlight w:val="none"/>
              </w:rPr>
              <w:t>推荐</w:t>
            </w:r>
            <w:r>
              <w:rPr>
                <w:rFonts w:hint="eastAsia" w:ascii="宋体" w:hAnsi="宋体" w:cs="宋体"/>
                <w:color w:val="auto"/>
                <w:sz w:val="21"/>
                <w:szCs w:val="21"/>
                <w:highlight w:val="none"/>
                <w:lang w:val="en-US" w:eastAsia="zh-CN"/>
              </w:rPr>
              <w:t>不超过</w:t>
            </w:r>
            <w:r>
              <w:rPr>
                <w:rFonts w:hint="eastAsia" w:ascii="宋体" w:hAnsi="宋体" w:eastAsia="宋体" w:cs="宋体"/>
                <w:color w:val="auto"/>
                <w:sz w:val="21"/>
                <w:szCs w:val="21"/>
                <w:highlight w:val="none"/>
              </w:rPr>
              <w:t>3名中标候选人。招标人根据评标委员会递交的评标报告，进行中标候选人公示，最终确定中标单位，中标单位应在规定时间内与</w:t>
            </w:r>
            <w:r>
              <w:rPr>
                <w:rFonts w:hint="eastAsia" w:ascii="宋体" w:hAnsi="宋体" w:eastAsia="宋体" w:cs="宋体"/>
                <w:color w:val="auto"/>
                <w:sz w:val="21"/>
                <w:szCs w:val="21"/>
                <w:highlight w:val="none"/>
                <w:lang w:val="en-US" w:eastAsia="zh-CN"/>
              </w:rPr>
              <w:t>业主方</w:t>
            </w:r>
            <w:r>
              <w:rPr>
                <w:rFonts w:hint="eastAsia" w:ascii="宋体" w:hAnsi="宋体" w:eastAsia="宋体" w:cs="宋体"/>
                <w:color w:val="auto"/>
                <w:sz w:val="21"/>
                <w:szCs w:val="21"/>
                <w:highlight w:val="none"/>
              </w:rPr>
              <w:t>签订合同。</w:t>
            </w:r>
          </w:p>
          <w:p w14:paraId="4FED9DA2">
            <w:pPr>
              <w:keepNext w:val="0"/>
              <w:keepLines w:val="0"/>
              <w:pageBreakBefore w:val="0"/>
              <w:numPr>
                <w:ilvl w:val="0"/>
                <w:numId w:val="4"/>
              </w:numPr>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依法公示后，招标人将依法确定本项目中标人。</w:t>
            </w:r>
          </w:p>
          <w:p w14:paraId="5615EA29">
            <w:pPr>
              <w:keepNext w:val="0"/>
              <w:keepLines w:val="0"/>
              <w:pageBreakBefore w:val="0"/>
              <w:numPr>
                <w:ilvl w:val="0"/>
                <w:numId w:val="4"/>
              </w:numPr>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名第一的中标候选人放弃中标、或因不可抗力提出不能履行合同，或者投标人采用不正当的手段骗取中标经查实的，或者采购文件规定应当提交履约担保而在规定的期限内未能提交的，招标人可以确定排名第二的中标候选人为中标单位或重新招标。</w:t>
            </w:r>
          </w:p>
          <w:p w14:paraId="6E09C9E7">
            <w:pPr>
              <w:keepNext w:val="0"/>
              <w:keepLines w:val="0"/>
              <w:pageBreakBefore w:val="0"/>
              <w:numPr>
                <w:ilvl w:val="0"/>
                <w:numId w:val="4"/>
              </w:numPr>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排名第二的中标候选人出现前款所列的情形的，招标人可以确定排名第三的中标候选人为中标单位或重新招标，依次类推，如果所有的中标候选人均出现前款所列的情形，则招标失败，招标人重新招标。</w:t>
            </w:r>
          </w:p>
        </w:tc>
      </w:tr>
      <w:tr w14:paraId="61C53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7F296153">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tc>
        <w:tc>
          <w:tcPr>
            <w:tcW w:w="2981" w:type="dxa"/>
            <w:noWrap w:val="0"/>
            <w:vAlign w:val="center"/>
          </w:tcPr>
          <w:p w14:paraId="399F4588">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履约担保</w:t>
            </w:r>
          </w:p>
        </w:tc>
        <w:tc>
          <w:tcPr>
            <w:tcW w:w="5613" w:type="dxa"/>
            <w:noWrap w:val="0"/>
            <w:vAlign w:val="top"/>
          </w:tcPr>
          <w:p w14:paraId="47D833EC">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要求中标人提交</w:t>
            </w:r>
            <w:r>
              <w:rPr>
                <w:rFonts w:hint="eastAsia" w:cs="宋体"/>
                <w:color w:val="auto"/>
                <w:sz w:val="21"/>
                <w:szCs w:val="21"/>
                <w:highlight w:val="none"/>
                <w:lang w:eastAsia="zh-CN"/>
              </w:rPr>
              <w:t>履约担保</w:t>
            </w:r>
            <w:r>
              <w:rPr>
                <w:rFonts w:hint="eastAsia" w:ascii="宋体" w:hAnsi="宋体" w:eastAsia="宋体" w:cs="宋体"/>
                <w:color w:val="auto"/>
                <w:sz w:val="21"/>
                <w:szCs w:val="21"/>
                <w:highlight w:val="none"/>
              </w:rPr>
              <w:t>：</w:t>
            </w:r>
          </w:p>
          <w:p w14:paraId="01D564C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缴纳时间：中标人向招标人缴交履约担保（在合同签订之日起14</w:t>
            </w:r>
            <w:r>
              <w:rPr>
                <w:rFonts w:hint="eastAsia" w:cs="宋体"/>
                <w:color w:val="auto"/>
                <w:sz w:val="21"/>
                <w:szCs w:val="21"/>
                <w:highlight w:val="none"/>
                <w:lang w:val="en-US" w:eastAsia="zh-CN"/>
              </w:rPr>
              <w:t>个</w:t>
            </w:r>
            <w:r>
              <w:rPr>
                <w:rFonts w:hint="eastAsia" w:ascii="宋体" w:hAnsi="宋体" w:eastAsia="宋体" w:cs="宋体"/>
                <w:color w:val="auto"/>
                <w:sz w:val="21"/>
                <w:szCs w:val="21"/>
                <w:highlight w:val="none"/>
                <w:lang w:val="en-US"/>
              </w:rPr>
              <w:t>日历日内缴纳）</w:t>
            </w:r>
          </w:p>
          <w:p w14:paraId="1B97D024">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pacing w:val="-3"/>
                <w:sz w:val="21"/>
                <w:szCs w:val="21"/>
                <w:highlight w:val="none"/>
                <w:u w:val="single"/>
                <w:lang w:val="en-US"/>
              </w:rPr>
            </w:pPr>
            <w:r>
              <w:rPr>
                <w:rFonts w:hint="eastAsia" w:ascii="宋体" w:hAnsi="宋体" w:eastAsia="宋体" w:cs="宋体"/>
                <w:color w:val="auto"/>
                <w:sz w:val="21"/>
                <w:szCs w:val="21"/>
                <w:highlight w:val="none"/>
                <w:lang w:val="en-US"/>
              </w:rPr>
              <w:t>缴纳方式：</w:t>
            </w:r>
            <w:r>
              <w:rPr>
                <w:rFonts w:hint="eastAsia" w:ascii="宋体" w:hAnsi="宋体" w:eastAsia="宋体" w:cs="宋体"/>
                <w:color w:val="auto"/>
                <w:spacing w:val="-3"/>
                <w:sz w:val="21"/>
                <w:szCs w:val="21"/>
                <w:highlight w:val="none"/>
                <w:u w:val="single"/>
              </w:rPr>
              <w:t>电汇、银行汇票等非现金形式、</w:t>
            </w:r>
            <w:r>
              <w:rPr>
                <w:rFonts w:hint="eastAsia" w:ascii="宋体" w:hAnsi="宋体" w:eastAsia="宋体" w:cs="宋体"/>
                <w:color w:val="auto"/>
                <w:spacing w:val="-3"/>
                <w:sz w:val="21"/>
                <w:szCs w:val="21"/>
                <w:highlight w:val="none"/>
                <w:u w:val="single"/>
                <w:lang w:val="en-US"/>
              </w:rPr>
              <w:t>银行保函</w:t>
            </w:r>
          </w:p>
          <w:p w14:paraId="3975FA7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缴纳金额：合同金额的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rPr>
              <w:t>%</w:t>
            </w:r>
            <w:r>
              <w:rPr>
                <w:rFonts w:hint="eastAsia" w:cs="宋体"/>
                <w:color w:val="auto"/>
                <w:sz w:val="21"/>
                <w:szCs w:val="21"/>
                <w:highlight w:val="none"/>
                <w:lang w:val="en-US" w:eastAsia="zh-CN"/>
              </w:rPr>
              <w:t>（暂定合同金额363.6万元，</w:t>
            </w:r>
            <w:r>
              <w:rPr>
                <w:rFonts w:hint="eastAsia" w:ascii="宋体" w:hAnsi="宋体" w:eastAsia="宋体" w:cs="宋体"/>
                <w:color w:val="auto"/>
                <w:sz w:val="21"/>
                <w:szCs w:val="21"/>
                <w:highlight w:val="none"/>
                <w:lang w:val="en-US" w:eastAsia="zh-CN"/>
              </w:rPr>
              <w:t>即人民币</w:t>
            </w:r>
            <w:r>
              <w:rPr>
                <w:rFonts w:hint="eastAsia" w:cs="宋体"/>
                <w:color w:val="auto"/>
                <w:sz w:val="21"/>
                <w:szCs w:val="21"/>
                <w:highlight w:val="none"/>
                <w:lang w:val="en-US" w:eastAsia="zh-CN"/>
              </w:rPr>
              <w:t>36.36</w:t>
            </w:r>
            <w:r>
              <w:rPr>
                <w:rFonts w:hint="eastAsia" w:ascii="宋体" w:hAnsi="宋体" w:eastAsia="宋体" w:cs="宋体"/>
                <w:color w:val="auto"/>
                <w:sz w:val="21"/>
                <w:szCs w:val="21"/>
                <w:highlight w:val="none"/>
                <w:lang w:val="en-US" w:eastAsia="zh-CN"/>
              </w:rPr>
              <w:t>万元</w:t>
            </w:r>
            <w:r>
              <w:rPr>
                <w:rFonts w:hint="eastAsia" w:cs="宋体"/>
                <w:color w:val="auto"/>
                <w:sz w:val="21"/>
                <w:szCs w:val="21"/>
                <w:highlight w:val="none"/>
                <w:lang w:val="en-US" w:eastAsia="zh-CN"/>
              </w:rPr>
              <w:t>）。</w:t>
            </w:r>
          </w:p>
          <w:p w14:paraId="6BABFE2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退还时间：待合同终止后</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招标人将</w:t>
            </w:r>
            <w:r>
              <w:rPr>
                <w:rFonts w:hint="eastAsia" w:cs="宋体"/>
                <w:color w:val="auto"/>
                <w:sz w:val="21"/>
                <w:szCs w:val="21"/>
                <w:highlight w:val="none"/>
                <w:lang w:eastAsia="zh-CN"/>
              </w:rPr>
              <w:t>履约担保</w:t>
            </w:r>
            <w:r>
              <w:rPr>
                <w:rFonts w:hint="eastAsia" w:ascii="宋体" w:hAnsi="宋体" w:eastAsia="宋体" w:cs="宋体"/>
                <w:color w:val="auto"/>
                <w:sz w:val="21"/>
                <w:szCs w:val="21"/>
                <w:highlight w:val="none"/>
              </w:rPr>
              <w:t>一次性退还给中标人且不计算利息，</w:t>
            </w:r>
            <w:r>
              <w:rPr>
                <w:rFonts w:hint="eastAsia" w:ascii="宋体" w:hAnsi="宋体" w:eastAsia="宋体" w:cs="宋体"/>
                <w:color w:val="auto"/>
                <w:sz w:val="21"/>
                <w:szCs w:val="21"/>
                <w:highlight w:val="none"/>
                <w:lang w:val="en-US"/>
              </w:rPr>
              <w:t>如有因违规扣减罚金，按扣减后的余额无息退还</w:t>
            </w:r>
            <w:r>
              <w:rPr>
                <w:rFonts w:hint="eastAsia" w:ascii="宋体" w:hAnsi="宋体" w:eastAsia="宋体" w:cs="宋体"/>
                <w:color w:val="auto"/>
                <w:sz w:val="21"/>
                <w:szCs w:val="21"/>
                <w:highlight w:val="none"/>
              </w:rPr>
              <w:t>。</w:t>
            </w:r>
          </w:p>
        </w:tc>
      </w:tr>
      <w:tr w14:paraId="3D5F5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273C97C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8.5.1</w:t>
            </w:r>
          </w:p>
        </w:tc>
        <w:tc>
          <w:tcPr>
            <w:tcW w:w="2981" w:type="dxa"/>
            <w:noWrap w:val="0"/>
            <w:vAlign w:val="center"/>
          </w:tcPr>
          <w:p w14:paraId="32F83239">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bookmarkStart w:id="10" w:name="OLE_LINK8"/>
            <w:r>
              <w:rPr>
                <w:rStyle w:val="59"/>
                <w:rFonts w:hint="eastAsia" w:ascii="宋体" w:hAnsi="宋体" w:eastAsia="宋体"/>
                <w:color w:val="auto"/>
                <w:sz w:val="21"/>
                <w:szCs w:val="21"/>
                <w:highlight w:val="none"/>
              </w:rPr>
              <w:t>监督</w:t>
            </w:r>
            <w:bookmarkEnd w:id="10"/>
            <w:r>
              <w:rPr>
                <w:rStyle w:val="59"/>
                <w:rFonts w:hint="eastAsia" w:ascii="宋体" w:hAnsi="宋体" w:eastAsia="宋体"/>
                <w:color w:val="auto"/>
                <w:sz w:val="21"/>
                <w:szCs w:val="21"/>
                <w:highlight w:val="none"/>
              </w:rPr>
              <w:t>部门</w:t>
            </w:r>
          </w:p>
        </w:tc>
        <w:tc>
          <w:tcPr>
            <w:tcW w:w="5613" w:type="dxa"/>
            <w:noWrap w:val="0"/>
            <w:vAlign w:val="center"/>
          </w:tcPr>
          <w:p w14:paraId="325F4019">
            <w:pPr>
              <w:keepNext w:val="0"/>
              <w:keepLines w:val="0"/>
              <w:pageBreakBefore w:val="0"/>
              <w:kinsoku/>
              <w:wordWrap/>
              <w:overflowPunct/>
              <w:topLinePunct w:val="0"/>
              <w:bidi w:val="0"/>
              <w:adjustRightInd w:val="0"/>
              <w:snapToGrid w:val="0"/>
              <w:spacing w:line="400" w:lineRule="exact"/>
              <w:ind w:left="105" w:leftChars="50" w:right="105" w:rightChars="50"/>
              <w:textAlignment w:val="auto"/>
              <w:rPr>
                <w:rFonts w:hint="eastAsia" w:ascii="宋体" w:hAnsi="宋体" w:eastAsia="宋体" w:cs="MingLiU"/>
                <w:color w:val="auto"/>
                <w:sz w:val="21"/>
                <w:szCs w:val="21"/>
                <w:highlight w:val="none"/>
                <w:lang w:val="en-US" w:eastAsia="zh-CN"/>
              </w:rPr>
            </w:pPr>
            <w:r>
              <w:rPr>
                <w:rFonts w:hint="eastAsia" w:ascii="宋体" w:hAnsi="宋体" w:cs="MingLiU"/>
                <w:color w:val="auto"/>
                <w:sz w:val="21"/>
                <w:szCs w:val="21"/>
                <w:highlight w:val="none"/>
                <w:lang w:val="en-US"/>
              </w:rPr>
              <w:t>监督部门：肇庆市交通集团有限公司</w:t>
            </w:r>
          </w:p>
          <w:p w14:paraId="3BE29781">
            <w:pPr>
              <w:keepNext w:val="0"/>
              <w:keepLines w:val="0"/>
              <w:pageBreakBefore w:val="0"/>
              <w:kinsoku/>
              <w:wordWrap/>
              <w:overflowPunct/>
              <w:topLinePunct w:val="0"/>
              <w:bidi w:val="0"/>
              <w:adjustRightInd w:val="0"/>
              <w:snapToGrid w:val="0"/>
              <w:spacing w:line="400" w:lineRule="exact"/>
              <w:ind w:left="105" w:leftChars="50" w:right="105" w:rightChars="50"/>
              <w:textAlignment w:val="auto"/>
              <w:rPr>
                <w:rFonts w:ascii="宋体" w:hAnsi="宋体" w:cs="MingLiU"/>
                <w:color w:val="auto"/>
                <w:sz w:val="21"/>
                <w:szCs w:val="21"/>
                <w:highlight w:val="none"/>
                <w:lang w:val="en-US"/>
              </w:rPr>
            </w:pPr>
            <w:r>
              <w:rPr>
                <w:rFonts w:hint="eastAsia" w:ascii="宋体" w:hAnsi="宋体" w:cs="MingLiU"/>
                <w:color w:val="auto"/>
                <w:sz w:val="21"/>
                <w:szCs w:val="21"/>
                <w:highlight w:val="none"/>
                <w:lang w:val="en-US"/>
              </w:rPr>
              <w:t>电话：0758-2909855</w:t>
            </w:r>
          </w:p>
          <w:p w14:paraId="5E71EDE2">
            <w:pPr>
              <w:keepNext w:val="0"/>
              <w:keepLines w:val="0"/>
              <w:pageBreakBefore w:val="0"/>
              <w:kinsoku/>
              <w:wordWrap/>
              <w:overflowPunct/>
              <w:topLinePunct w:val="0"/>
              <w:bidi w:val="0"/>
              <w:adjustRightInd w:val="0"/>
              <w:snapToGrid w:val="0"/>
              <w:spacing w:line="400" w:lineRule="exact"/>
              <w:ind w:left="105" w:leftChars="50" w:right="105" w:rightChars="50"/>
              <w:textAlignment w:val="auto"/>
              <w:rPr>
                <w:rFonts w:hint="eastAsia" w:ascii="宋体" w:hAnsi="宋体" w:eastAsia="宋体" w:cs="宋体"/>
                <w:color w:val="auto"/>
                <w:kern w:val="0"/>
                <w:sz w:val="21"/>
                <w:szCs w:val="21"/>
                <w:highlight w:val="none"/>
              </w:rPr>
            </w:pPr>
            <w:r>
              <w:rPr>
                <w:rFonts w:hint="eastAsia" w:ascii="宋体" w:hAnsi="宋体" w:cs="MingLiU"/>
                <w:color w:val="auto"/>
                <w:sz w:val="21"/>
                <w:szCs w:val="21"/>
                <w:highlight w:val="none"/>
                <w:lang w:val="en-US"/>
              </w:rPr>
              <w:t>通信地址：肇庆市站前西路公交大楼内</w:t>
            </w:r>
          </w:p>
        </w:tc>
      </w:tr>
      <w:tr w14:paraId="60B71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7710C15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981" w:type="dxa"/>
            <w:noWrap w:val="0"/>
            <w:vAlign w:val="center"/>
          </w:tcPr>
          <w:p w14:paraId="04F55962">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是否采用电子招标投标</w:t>
            </w:r>
          </w:p>
        </w:tc>
        <w:tc>
          <w:tcPr>
            <w:tcW w:w="5613" w:type="dxa"/>
            <w:noWrap w:val="0"/>
            <w:vAlign w:val="center"/>
          </w:tcPr>
          <w:p w14:paraId="52B44801">
            <w:pPr>
              <w:keepNext w:val="0"/>
              <w:keepLines w:val="0"/>
              <w:pageBreakBefore w:val="0"/>
              <w:shd w:val="clear" w:color="auto" w:fill="auto"/>
              <w:kinsoku/>
              <w:wordWrap/>
              <w:overflowPunct/>
              <w:topLinePunct w:val="0"/>
              <w:autoSpaceDE w:val="0"/>
              <w:autoSpaceDN w:val="0"/>
              <w:bidi w:val="0"/>
              <w:adjustRightInd w:val="0"/>
              <w:spacing w:before="49" w:line="400" w:lineRule="exact"/>
              <w:ind w:left="202" w:leftChars="96" w:right="38" w:firstLine="16" w:firstLineChars="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否</w:t>
            </w:r>
          </w:p>
          <w:p w14:paraId="42E75BB0">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0"/>
                <w:sz w:val="21"/>
                <w:szCs w:val="21"/>
                <w:highlight w:val="none"/>
              </w:rPr>
              <w:t>是，具体要求：</w:t>
            </w:r>
          </w:p>
          <w:p w14:paraId="564AA401">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无纸化项目电子招投标的操作手册，投标人可自行在广州公共资源交易中心网站相关栏目（首页&gt;服务指南&gt;系统帮助&gt;操作手册）下载。电子招标投标解密失败及突发情况的补救措施：</w:t>
            </w:r>
          </w:p>
          <w:p w14:paraId="7C40AC2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1、按照交易平台关于全流程电子化项目的相关指南进行操作。详见广州公共资源交易中心网站发布的电子化招投标交易操作指引最新版操作指引。</w:t>
            </w:r>
          </w:p>
          <w:p w14:paraId="79270DA5">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2、补救方案</w:t>
            </w:r>
          </w:p>
          <w:p w14:paraId="24F814DF">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（1）投标文件解密失败的补救方案：</w:t>
            </w:r>
          </w:p>
          <w:p w14:paraId="363B75A8">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过程中如遇需要中止电子开标的情况发生，可由电子招标投标交易平台或招标人通知所有投标人新的开标时间（含解密时间）、地点、投标人应及时查看并在规定的时间内解密。投标人未到达现场参与开标的，视为默认开标结果。</w:t>
            </w:r>
          </w:p>
          <w:p w14:paraId="4EC532CE">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（2）评标时突发情况的补救方案</w:t>
            </w:r>
          </w:p>
          <w:p w14:paraId="214773F0">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若遇不可抗力发生（包括网络瘫痪、服务器损坏、交易系统故障短期无法恢复等因素），导致系统无法正常运行，应终止评标，并在恢复正常后及时安排时间评标。</w:t>
            </w:r>
          </w:p>
        </w:tc>
      </w:tr>
      <w:tr w14:paraId="06A4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30FB5850">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981" w:type="dxa"/>
            <w:noWrap w:val="0"/>
            <w:vAlign w:val="center"/>
          </w:tcPr>
          <w:p w14:paraId="169687F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集中载明否决投标条款</w:t>
            </w:r>
          </w:p>
        </w:tc>
        <w:tc>
          <w:tcPr>
            <w:tcW w:w="5613" w:type="dxa"/>
            <w:noWrap w:val="0"/>
            <w:vAlign w:val="center"/>
          </w:tcPr>
          <w:p w14:paraId="0BF066C8">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10.1集中载明否决投标条款如下：</w:t>
            </w:r>
          </w:p>
          <w:p w14:paraId="631699FB">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投标人有以下情形之一的，评标委员会应当否决其投标：</w:t>
            </w:r>
          </w:p>
          <w:p w14:paraId="410C9418">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rPr>
              <w:t>对招标文件的实质性要求和条件作出满</w:t>
            </w:r>
            <w:r>
              <w:rPr>
                <w:rFonts w:hint="eastAsia" w:ascii="宋体" w:hAnsi="宋体" w:eastAsia="宋体" w:cs="宋体"/>
                <w:color w:val="auto"/>
                <w:sz w:val="21"/>
                <w:szCs w:val="21"/>
                <w:highlight w:val="none"/>
                <w:lang w:val="en-US" w:eastAsia="zh-CN"/>
              </w:rPr>
              <w:t xml:space="preserve">  </w:t>
            </w:r>
          </w:p>
          <w:p w14:paraId="6D23E101">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足性或更有利于招标人的响应</w:t>
            </w:r>
            <w:r>
              <w:rPr>
                <w:rFonts w:hint="eastAsia" w:ascii="宋体" w:hAnsi="宋体" w:eastAsia="宋体" w:cs="宋体"/>
                <w:color w:val="auto"/>
                <w:sz w:val="21"/>
                <w:szCs w:val="21"/>
                <w:highlight w:val="none"/>
                <w:lang w:eastAsia="zh-CN"/>
              </w:rPr>
              <w:t>；</w:t>
            </w:r>
          </w:p>
          <w:p w14:paraId="2CF5371A">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投标文件中</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r>
              <w:rPr>
                <w:rFonts w:hint="eastAsia" w:ascii="宋体" w:hAnsi="宋体" w:eastAsia="宋体" w:cs="宋体"/>
                <w:color w:val="auto"/>
                <w:sz w:val="21"/>
                <w:szCs w:val="21"/>
                <w:highlight w:val="none"/>
                <w:lang w:eastAsia="zh-CN"/>
              </w:rPr>
              <w:t>；</w:t>
            </w:r>
          </w:p>
          <w:p w14:paraId="77608F34">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（3）招标文件第二章“</w:t>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规定了可以偏差的范围和最高偏差项数的，偏差应当符合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规定的偏差范围和最高项数，超出偏差范围和最高偏差项数的投标将被否决</w:t>
            </w:r>
            <w:r>
              <w:rPr>
                <w:rFonts w:hint="eastAsia" w:ascii="宋体" w:hAnsi="宋体" w:eastAsia="宋体" w:cs="宋体"/>
                <w:color w:val="auto"/>
                <w:sz w:val="21"/>
                <w:szCs w:val="21"/>
                <w:highlight w:val="none"/>
                <w:lang w:eastAsia="zh-CN"/>
              </w:rPr>
              <w:t>；</w:t>
            </w:r>
          </w:p>
          <w:p w14:paraId="742FFA3B">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pacing w:val="-4"/>
                <w:sz w:val="21"/>
                <w:szCs w:val="21"/>
                <w:highlight w:val="none"/>
              </w:rPr>
              <w:t>投标人不按</w:t>
            </w:r>
            <w:r>
              <w:rPr>
                <w:rFonts w:hint="eastAsia" w:ascii="宋体" w:hAnsi="宋体" w:eastAsia="宋体" w:cs="宋体"/>
                <w:color w:val="auto"/>
                <w:spacing w:val="-4"/>
                <w:sz w:val="21"/>
                <w:szCs w:val="21"/>
                <w:highlight w:val="none"/>
                <w:lang w:val="en-US" w:eastAsia="zh-CN"/>
              </w:rPr>
              <w:t>第三章</w:t>
            </w:r>
            <w:r>
              <w:rPr>
                <w:rFonts w:hint="eastAsia" w:ascii="宋体" w:hAnsi="宋体" w:eastAsia="宋体" w:cs="宋体"/>
                <w:color w:val="auto"/>
                <w:spacing w:val="-4"/>
                <w:sz w:val="21"/>
                <w:szCs w:val="21"/>
                <w:highlight w:val="none"/>
              </w:rPr>
              <w:t>第3.4.1项要求提交投标保证金的</w:t>
            </w:r>
            <w:r>
              <w:rPr>
                <w:rFonts w:hint="eastAsia" w:ascii="宋体" w:hAnsi="宋体" w:eastAsia="宋体" w:cs="宋体"/>
                <w:color w:val="auto"/>
                <w:spacing w:val="-4"/>
                <w:sz w:val="21"/>
                <w:szCs w:val="21"/>
                <w:highlight w:val="none"/>
                <w:lang w:eastAsia="zh-CN"/>
              </w:rPr>
              <w:t>；</w:t>
            </w:r>
          </w:p>
          <w:p w14:paraId="58A3C03D">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（5）除</w:t>
            </w:r>
            <w:r>
              <w:rPr>
                <w:rFonts w:hint="eastAsia" w:ascii="宋体" w:hAnsi="宋体" w:eastAsia="宋体" w:cs="宋体"/>
                <w:color w:val="auto"/>
                <w:sz w:val="21"/>
                <w:szCs w:val="21"/>
                <w:highlight w:val="none"/>
                <w:lang w:val="en-US" w:eastAsia="zh-CN"/>
              </w:rPr>
              <w:t>招标文件第二章“</w:t>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规定允许外，投标人不得递交备选投标方案，否则其投标将被否决；</w:t>
            </w:r>
          </w:p>
          <w:p w14:paraId="14542670">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（6）初步评审不符合第三章“评标办法前附表”第2.1.1、2.1.2、2.1.3项规定的任何一种情形的；</w:t>
            </w:r>
          </w:p>
          <w:p w14:paraId="550CA94E">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）第三章“评标办法”第3.1.2、3.3.2、3.3.3、3.3.4项、3.7.4项规定的情形；</w:t>
            </w:r>
          </w:p>
          <w:p w14:paraId="74FF2031">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）投标人的投标报价不得超出招标控制价（即最高投标限价），否则其报价将作无效报价处理；</w:t>
            </w:r>
          </w:p>
          <w:p w14:paraId="1B318766">
            <w:pPr>
              <w:pStyle w:val="44"/>
              <w:keepNext w:val="0"/>
              <w:keepLines w:val="0"/>
              <w:pageBreakBefore w:val="0"/>
              <w:widowControl w:val="0"/>
              <w:kinsoku/>
              <w:wordWrap/>
              <w:overflowPunct/>
              <w:topLinePunct w:val="0"/>
              <w:autoSpaceDE w:val="0"/>
              <w:autoSpaceDN w:val="0"/>
              <w:bidi w:val="0"/>
              <w:spacing w:before="0" w:line="400" w:lineRule="exact"/>
              <w:ind w:left="210" w:leftChars="10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）如投标人不能生成合格的电子投标文件（后缀名为.ZQTF 的电子文件）或未成功解密作无效标处理；</w:t>
            </w:r>
          </w:p>
          <w:p w14:paraId="0C5E3DD8">
            <w:pPr>
              <w:pStyle w:val="44"/>
              <w:keepNext w:val="0"/>
              <w:keepLines w:val="0"/>
              <w:pageBreakBefore w:val="0"/>
              <w:widowControl w:val="0"/>
              <w:kinsoku/>
              <w:wordWrap/>
              <w:overflowPunct/>
              <w:topLinePunct w:val="0"/>
              <w:autoSpaceDE w:val="0"/>
              <w:autoSpaceDN w:val="0"/>
              <w:bidi w:val="0"/>
              <w:spacing w:before="0" w:line="400" w:lineRule="exact"/>
              <w:ind w:left="0" w:right="0"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）法律法规规定的其他否决投标条款。</w:t>
            </w:r>
          </w:p>
        </w:tc>
      </w:tr>
      <w:tr w14:paraId="22BAE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64" w:type="dxa"/>
            <w:noWrap w:val="0"/>
            <w:vAlign w:val="center"/>
          </w:tcPr>
          <w:p w14:paraId="495F4225">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w:t>
            </w:r>
          </w:p>
        </w:tc>
        <w:tc>
          <w:tcPr>
            <w:tcW w:w="8594" w:type="dxa"/>
            <w:gridSpan w:val="2"/>
            <w:noWrap w:val="0"/>
            <w:vAlign w:val="center"/>
          </w:tcPr>
          <w:p w14:paraId="5A06841A">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rPr>
              <w:t>需要补充的其他内容</w:t>
            </w:r>
          </w:p>
        </w:tc>
      </w:tr>
      <w:tr w14:paraId="1A22A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5" w:hRule="atLeast"/>
          <w:jc w:val="center"/>
        </w:trPr>
        <w:tc>
          <w:tcPr>
            <w:tcW w:w="1164" w:type="dxa"/>
            <w:noWrap w:val="0"/>
            <w:vAlign w:val="center"/>
          </w:tcPr>
          <w:p w14:paraId="66D0AD9D">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2</w:t>
            </w:r>
          </w:p>
        </w:tc>
        <w:tc>
          <w:tcPr>
            <w:tcW w:w="8594" w:type="dxa"/>
            <w:gridSpan w:val="2"/>
            <w:noWrap w:val="0"/>
            <w:vAlign w:val="center"/>
          </w:tcPr>
          <w:p w14:paraId="589D7CD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增加</w:t>
            </w:r>
            <w:r>
              <w:rPr>
                <w:rFonts w:hint="eastAsia" w:ascii="宋体" w:hAnsi="宋体" w:eastAsia="宋体" w:cs="宋体"/>
                <w:b/>
                <w:bCs/>
                <w:color w:val="auto"/>
                <w:sz w:val="21"/>
                <w:szCs w:val="21"/>
                <w:highlight w:val="none"/>
                <w:lang w:val="en-US"/>
              </w:rPr>
              <w:t>10.</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项：</w:t>
            </w:r>
          </w:p>
          <w:p w14:paraId="415B7D15">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rPr>
              <w:t>10.1</w:t>
            </w:r>
            <w:r>
              <w:rPr>
                <w:rFonts w:hint="eastAsia" w:ascii="宋体" w:hAnsi="宋体" w:eastAsia="宋体" w:cs="宋体"/>
                <w:b/>
                <w:bCs/>
                <w:color w:val="auto"/>
                <w:sz w:val="21"/>
                <w:szCs w:val="21"/>
                <w:highlight w:val="none"/>
              </w:rPr>
              <w:t>招标代理服务费</w:t>
            </w:r>
          </w:p>
          <w:p w14:paraId="596179F8">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10.1.1</w:t>
            </w:r>
            <w:r>
              <w:rPr>
                <w:rFonts w:hint="eastAsia" w:ascii="宋体" w:hAnsi="宋体" w:eastAsia="宋体" w:cs="宋体"/>
                <w:color w:val="auto"/>
                <w:sz w:val="21"/>
                <w:szCs w:val="21"/>
                <w:highlight w:val="none"/>
                <w:lang w:val="en-US"/>
              </w:rPr>
              <w:t>本项目招标代理服务费由</w:t>
            </w:r>
            <w:r>
              <w:rPr>
                <w:rFonts w:hint="eastAsia" w:ascii="宋体" w:hAnsi="宋体" w:eastAsia="宋体" w:cs="宋体"/>
                <w:color w:val="auto"/>
                <w:sz w:val="21"/>
                <w:szCs w:val="21"/>
                <w:highlight w:val="none"/>
                <w:u w:val="single"/>
              </w:rPr>
              <w:t>中标人支付</w:t>
            </w:r>
            <w:r>
              <w:rPr>
                <w:rFonts w:hint="eastAsia" w:ascii="宋体" w:hAnsi="宋体" w:eastAsia="宋体" w:cs="宋体"/>
                <w:color w:val="auto"/>
                <w:sz w:val="21"/>
                <w:szCs w:val="21"/>
                <w:highlight w:val="none"/>
                <w:lang w:val="en-US"/>
              </w:rPr>
              <w:t>；投标人准备和参加投标活动发生的费用自理。</w:t>
            </w:r>
          </w:p>
          <w:p w14:paraId="1F9DF929">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10.1.2</w:t>
            </w:r>
            <w:r>
              <w:rPr>
                <w:rFonts w:hint="eastAsia" w:ascii="宋体" w:hAnsi="宋体" w:eastAsia="宋体" w:cs="宋体"/>
                <w:color w:val="auto"/>
                <w:sz w:val="22"/>
                <w:szCs w:val="22"/>
                <w:highlight w:val="none"/>
                <w:lang w:val="en-US"/>
              </w:rPr>
              <w:t>中标人应按下列计算结果在领取《中标通知书》前以银行汇款的形式一次性向招标代理公司</w:t>
            </w:r>
            <w:r>
              <w:rPr>
                <w:rFonts w:hint="eastAsia" w:ascii="宋体" w:hAnsi="宋体" w:eastAsia="宋体" w:cs="宋体"/>
                <w:color w:val="auto"/>
                <w:sz w:val="22"/>
                <w:szCs w:val="22"/>
                <w:highlight w:val="none"/>
                <w:lang w:val="en-US" w:eastAsia="zh-CN"/>
              </w:rPr>
              <w:t>广东华伦招标有限公司肇庆分公司</w:t>
            </w:r>
            <w:r>
              <w:rPr>
                <w:rFonts w:hint="eastAsia" w:ascii="宋体" w:hAnsi="宋体" w:eastAsia="宋体" w:cs="宋体"/>
                <w:color w:val="auto"/>
                <w:sz w:val="22"/>
                <w:szCs w:val="22"/>
                <w:highlight w:val="none"/>
                <w:lang w:val="en-US"/>
              </w:rPr>
              <w:t>缴纳招标代理服务费</w:t>
            </w:r>
            <w:r>
              <w:rPr>
                <w:rFonts w:hint="eastAsia" w:ascii="宋体" w:hAnsi="宋体" w:eastAsia="宋体" w:cs="宋体"/>
                <w:color w:val="auto"/>
                <w:sz w:val="22"/>
                <w:szCs w:val="22"/>
                <w:highlight w:val="none"/>
                <w:lang w:val="en-US" w:eastAsia="zh-CN"/>
              </w:rPr>
              <w:t>，并由广东华伦招标有限公司肇庆分公司出具收款发票。</w:t>
            </w:r>
          </w:p>
          <w:p w14:paraId="4478EA33">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10.1.3</w:t>
            </w:r>
            <w:r>
              <w:rPr>
                <w:rFonts w:hint="eastAsia" w:ascii="宋体" w:hAnsi="宋体" w:eastAsia="宋体" w:cs="宋体"/>
                <w:color w:val="auto"/>
                <w:sz w:val="21"/>
                <w:szCs w:val="21"/>
                <w:highlight w:val="none"/>
                <w:lang w:val="en-US"/>
              </w:rPr>
              <w:t>本项目招标代理服务费为</w:t>
            </w:r>
            <w:r>
              <w:rPr>
                <w:rFonts w:hint="eastAsia" w:cs="宋体"/>
                <w:color w:val="auto"/>
                <w:sz w:val="21"/>
                <w:szCs w:val="21"/>
                <w:highlight w:val="none"/>
                <w:lang w:val="en-US" w:eastAsia="zh-CN"/>
              </w:rPr>
              <w:t>：</w:t>
            </w:r>
            <w:r>
              <w:rPr>
                <w:rFonts w:hint="eastAsia" w:ascii="宋体" w:hAnsi="宋体" w:eastAsia="宋体" w:cs="宋体"/>
                <w:color w:val="auto"/>
                <w:sz w:val="22"/>
                <w:szCs w:val="22"/>
                <w:highlight w:val="none"/>
                <w:u w:val="single"/>
                <w:lang w:val="en-US"/>
              </w:rPr>
              <w:t>人民币</w:t>
            </w:r>
            <w:r>
              <w:rPr>
                <w:rFonts w:hint="eastAsia" w:cs="宋体"/>
                <w:color w:val="auto"/>
                <w:sz w:val="22"/>
                <w:szCs w:val="22"/>
                <w:highlight w:val="none"/>
                <w:u w:val="single"/>
                <w:lang w:val="en-US" w:eastAsia="zh-CN"/>
              </w:rPr>
              <w:t>大写贰万柒仟元整（小写：27000</w:t>
            </w:r>
            <w:r>
              <w:rPr>
                <w:rFonts w:hint="eastAsia" w:ascii="宋体" w:hAnsi="宋体" w:eastAsia="宋体" w:cs="宋体"/>
                <w:color w:val="auto"/>
                <w:sz w:val="22"/>
                <w:szCs w:val="22"/>
                <w:highlight w:val="none"/>
                <w:u w:val="single"/>
                <w:lang w:val="en-US"/>
              </w:rPr>
              <w:t>元</w:t>
            </w:r>
            <w:r>
              <w:rPr>
                <w:rFonts w:hint="eastAsia" w:cs="宋体"/>
                <w:color w:val="auto"/>
                <w:sz w:val="22"/>
                <w:szCs w:val="22"/>
                <w:highlight w:val="none"/>
                <w:u w:val="single"/>
                <w:lang w:val="en-US" w:eastAsia="zh-CN"/>
              </w:rPr>
              <w:t>）</w:t>
            </w:r>
            <w:r>
              <w:rPr>
                <w:rFonts w:hint="eastAsia" w:ascii="宋体" w:hAnsi="宋体" w:eastAsia="宋体" w:cs="宋体"/>
                <w:color w:val="auto"/>
                <w:sz w:val="21"/>
                <w:szCs w:val="21"/>
                <w:highlight w:val="none"/>
                <w:lang w:val="en-US"/>
              </w:rPr>
              <w:t>。</w:t>
            </w:r>
          </w:p>
          <w:p w14:paraId="6871FAEC">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10.1.4</w:t>
            </w:r>
            <w:r>
              <w:rPr>
                <w:rFonts w:hint="eastAsia" w:ascii="宋体" w:hAnsi="宋体" w:eastAsia="宋体" w:cs="宋体"/>
                <w:color w:val="auto"/>
                <w:sz w:val="21"/>
                <w:szCs w:val="21"/>
                <w:highlight w:val="none"/>
                <w:lang w:val="en-US"/>
              </w:rPr>
              <w:t>招标代理服务费</w:t>
            </w:r>
            <w:r>
              <w:rPr>
                <w:rFonts w:hint="eastAsia" w:ascii="宋体" w:hAnsi="宋体" w:eastAsia="宋体" w:cs="宋体"/>
                <w:color w:val="auto"/>
                <w:sz w:val="21"/>
                <w:szCs w:val="21"/>
                <w:highlight w:val="none"/>
                <w:lang w:val="en-US" w:eastAsia="zh-CN"/>
              </w:rPr>
              <w:t>已包含在本次投标报价中，但</w:t>
            </w:r>
            <w:r>
              <w:rPr>
                <w:rFonts w:hint="eastAsia" w:ascii="宋体" w:hAnsi="宋体" w:eastAsia="宋体" w:cs="宋体"/>
                <w:color w:val="auto"/>
                <w:sz w:val="21"/>
                <w:szCs w:val="21"/>
                <w:highlight w:val="none"/>
                <w:lang w:val="en-US"/>
              </w:rPr>
              <w:t>不在投标报价中单列。</w:t>
            </w:r>
          </w:p>
          <w:p w14:paraId="5A278341">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10.1.5</w:t>
            </w:r>
            <w:r>
              <w:rPr>
                <w:rFonts w:hint="eastAsia" w:ascii="宋体" w:hAnsi="宋体" w:eastAsia="宋体" w:cs="宋体"/>
                <w:color w:val="auto"/>
                <w:sz w:val="21"/>
                <w:szCs w:val="21"/>
                <w:highlight w:val="none"/>
                <w:lang w:val="en-US"/>
              </w:rPr>
              <w:t>代理服务费请转账划入以下账号：</w:t>
            </w:r>
          </w:p>
          <w:p w14:paraId="7C718006">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开户名称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广东华伦招标有限公司肇庆分公司</w:t>
            </w:r>
          </w:p>
          <w:p w14:paraId="352FB74B">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开户银行</w:t>
            </w:r>
            <w:r>
              <w:rPr>
                <w:rFonts w:hint="eastAsia" w:ascii="宋体" w:hAnsi="宋体" w:eastAsia="宋体" w:cs="宋体"/>
                <w:color w:val="auto"/>
                <w:sz w:val="21"/>
                <w:szCs w:val="21"/>
                <w:highlight w:val="none"/>
                <w:lang w:val="en-US" w:eastAsia="zh-CN"/>
              </w:rPr>
              <w:t>：中国工商银行肇庆第一支行</w:t>
            </w:r>
          </w:p>
          <w:p w14:paraId="4E519C34">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 xml:space="preserve">帐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rPr>
              <w:t>号</w:t>
            </w:r>
            <w:r>
              <w:rPr>
                <w:rFonts w:hint="eastAsia" w:ascii="宋体" w:hAnsi="宋体" w:eastAsia="宋体" w:cs="宋体"/>
                <w:color w:val="auto"/>
                <w:sz w:val="21"/>
                <w:szCs w:val="21"/>
                <w:highlight w:val="none"/>
                <w:lang w:val="en-US" w:eastAsia="zh-CN"/>
              </w:rPr>
              <w:t>：2017002109022156565</w:t>
            </w:r>
          </w:p>
          <w:p w14:paraId="3776FFA3">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财务联系人：刘小姐</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val="en-US"/>
              </w:rPr>
              <w:t>联系电话：0758-2313165</w:t>
            </w:r>
          </w:p>
          <w:p w14:paraId="6CF174AB">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rPr>
              <w:t>转账、汇款时请注明</w:t>
            </w:r>
            <w:r>
              <w:rPr>
                <w:rFonts w:hint="eastAsia" w:ascii="宋体" w:hAnsi="宋体" w:eastAsia="宋体" w:cs="宋体"/>
                <w:color w:val="auto"/>
                <w:sz w:val="21"/>
                <w:szCs w:val="21"/>
                <w:highlight w:val="none"/>
                <w:lang w:val="en-US" w:eastAsia="zh-CN"/>
              </w:rPr>
              <w:t>项目名称</w:t>
            </w:r>
            <w:r>
              <w:rPr>
                <w:rFonts w:hint="eastAsia" w:ascii="宋体" w:hAnsi="宋体" w:eastAsia="宋体" w:cs="宋体"/>
                <w:color w:val="auto"/>
                <w:sz w:val="21"/>
                <w:szCs w:val="21"/>
                <w:highlight w:val="none"/>
                <w:lang w:val="en-US"/>
              </w:rPr>
              <w:t>，凭</w:t>
            </w:r>
            <w:r>
              <w:rPr>
                <w:rFonts w:hint="eastAsia" w:ascii="宋体" w:hAnsi="宋体" w:eastAsia="宋体" w:cs="宋体"/>
                <w:b/>
                <w:bCs/>
                <w:color w:val="auto"/>
                <w:sz w:val="21"/>
                <w:szCs w:val="21"/>
                <w:highlight w:val="none"/>
                <w:lang w:val="en-US"/>
              </w:rPr>
              <w:t>相关单据</w:t>
            </w:r>
            <w:r>
              <w:rPr>
                <w:rFonts w:hint="eastAsia" w:ascii="宋体" w:hAnsi="宋体" w:eastAsia="宋体" w:cs="宋体"/>
                <w:color w:val="auto"/>
                <w:sz w:val="21"/>
                <w:szCs w:val="21"/>
                <w:highlight w:val="none"/>
                <w:lang w:val="en-US"/>
              </w:rPr>
              <w:t>领取中标通知书。</w:t>
            </w:r>
          </w:p>
        </w:tc>
      </w:tr>
      <w:tr w14:paraId="4F8CB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4" w:type="dxa"/>
            <w:noWrap w:val="0"/>
            <w:vAlign w:val="center"/>
          </w:tcPr>
          <w:p w14:paraId="4D8D647B">
            <w:pPr>
              <w:pStyle w:val="44"/>
              <w:keepNext w:val="0"/>
              <w:keepLines w:val="0"/>
              <w:pageBreakBefore w:val="0"/>
              <w:shd w:val="clear" w:color="auto" w:fill="auto"/>
              <w:kinsoku/>
              <w:wordWrap/>
              <w:overflowPunct/>
              <w:topLinePunct w:val="0"/>
              <w:bidi w:val="0"/>
              <w:adjustRightInd w:val="0"/>
              <w:snapToGrid w:val="0"/>
              <w:spacing w:line="400" w:lineRule="exact"/>
              <w:ind w:left="42" w:leftChars="20" w:right="42" w:rightChars="2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w:t>
            </w:r>
          </w:p>
        </w:tc>
        <w:tc>
          <w:tcPr>
            <w:tcW w:w="8594" w:type="dxa"/>
            <w:gridSpan w:val="2"/>
            <w:noWrap w:val="0"/>
            <w:vAlign w:val="center"/>
          </w:tcPr>
          <w:p w14:paraId="5F26D027">
            <w:pPr>
              <w:pStyle w:val="44"/>
              <w:keepNext w:val="0"/>
              <w:keepLines w:val="0"/>
              <w:pageBreakBefore w:val="0"/>
              <w:shd w:val="clear" w:color="auto" w:fill="auto"/>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增加</w:t>
            </w:r>
            <w:r>
              <w:rPr>
                <w:rFonts w:hint="eastAsia" w:ascii="宋体" w:hAnsi="宋体" w:eastAsia="宋体" w:cs="宋体"/>
                <w:b/>
                <w:bCs/>
                <w:color w:val="auto"/>
                <w:sz w:val="21"/>
                <w:szCs w:val="21"/>
                <w:highlight w:val="none"/>
                <w:lang w:val="en-US"/>
              </w:rPr>
              <w:t>10.</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w:t>
            </w:r>
          </w:p>
          <w:p w14:paraId="4E100746">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7" w:firstLineChars="8"/>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10.3广州市公共资源交易中心交易服务费</w:t>
            </w:r>
          </w:p>
          <w:p w14:paraId="116A869F">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10.3.1广州市公共资源交易中心交易服务费由</w:t>
            </w:r>
            <w:r>
              <w:rPr>
                <w:rFonts w:hint="eastAsia" w:ascii="宋体" w:hAnsi="宋体" w:eastAsia="宋体" w:cs="宋体"/>
                <w:color w:val="auto"/>
                <w:sz w:val="21"/>
                <w:szCs w:val="21"/>
                <w:highlight w:val="none"/>
                <w:u w:val="single"/>
                <w:lang w:val="en-US" w:eastAsia="zh-CN"/>
              </w:rPr>
              <w:t>中标人</w:t>
            </w:r>
            <w:r>
              <w:rPr>
                <w:rFonts w:hint="eastAsia" w:ascii="宋体" w:hAnsi="宋体" w:eastAsia="宋体" w:cs="宋体"/>
                <w:color w:val="auto"/>
                <w:sz w:val="21"/>
                <w:szCs w:val="21"/>
                <w:highlight w:val="none"/>
                <w:lang w:val="en-US" w:eastAsia="zh-CN"/>
              </w:rPr>
              <w:t>支付；投标人准备和参加投标活动发生的费用自理。</w:t>
            </w:r>
          </w:p>
          <w:p w14:paraId="49E974C9">
            <w:pPr>
              <w:pStyle w:val="44"/>
              <w:keepNext w:val="0"/>
              <w:keepLines w:val="0"/>
              <w:pageBreakBefore w:val="0"/>
              <w:widowControl w:val="0"/>
              <w:kinsoku/>
              <w:wordWrap/>
              <w:overflowPunct/>
              <w:topLinePunct w:val="0"/>
              <w:bidi w:val="0"/>
              <w:adjustRightInd w:val="0"/>
              <w:snapToGrid w:val="0"/>
              <w:spacing w:line="400" w:lineRule="exact"/>
              <w:ind w:left="202" w:leftChars="96" w:right="42" w:rightChars="20" w:firstLine="16" w:firstLineChars="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10.3.2中标人按《广州市发展改革委转发省发展改革委关于规范公共资源交易服务收费及有关问题的通知》（穗发改〔2017〕811号）文件的规定，向广州交易集团有限公司代缴交易服务费，其费用包含在中标人投标报价中，但不在投标报价中单列。中标人必须在中标通知书发出前支付该笔费用，且前往交易中心办妥出具发票的手续，否则无法出具中标通知书，由于中标人原因导致的延误，由此带来的后果将有中标人自行承担</w:t>
            </w:r>
            <w:r>
              <w:rPr>
                <w:rFonts w:hint="eastAsia" w:ascii="宋体" w:hAnsi="宋体" w:eastAsia="宋体" w:cs="宋体"/>
                <w:color w:val="auto"/>
                <w:spacing w:val="0"/>
                <w:sz w:val="21"/>
                <w:szCs w:val="21"/>
                <w:highlight w:val="none"/>
                <w:lang w:val="en-US" w:eastAsia="zh-CN"/>
              </w:rPr>
              <w:t>。</w:t>
            </w:r>
          </w:p>
        </w:tc>
      </w:tr>
    </w:tbl>
    <w:p w14:paraId="5A50E424">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总则</w:t>
      </w:r>
    </w:p>
    <w:p w14:paraId="15A579BF">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b w:val="0"/>
          <w:bCs w:val="0"/>
          <w:color w:val="auto"/>
          <w:highlight w:val="none"/>
        </w:rPr>
      </w:pPr>
      <w:bookmarkStart w:id="11" w:name="_bookmark21"/>
      <w:bookmarkEnd w:id="11"/>
      <w:r>
        <w:rPr>
          <w:rFonts w:hint="eastAsia" w:ascii="宋体" w:hAnsi="宋体" w:eastAsia="宋体" w:cs="宋体"/>
          <w:b w:val="0"/>
          <w:bCs w:val="0"/>
          <w:color w:val="auto"/>
          <w:spacing w:val="-1"/>
          <w:highlight w:val="none"/>
        </w:rPr>
        <w:t>招标项目概况</w:t>
      </w:r>
    </w:p>
    <w:p w14:paraId="6412B67B">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根据《中华人民共和国招标投标法》、《中华人民共和国招标投标法实施条例》等有关法律、法规和规章的规定，本招标项目已具备招标条件，现对</w:t>
      </w:r>
      <w:r>
        <w:rPr>
          <w:rFonts w:hint="eastAsia" w:ascii="宋体" w:hAnsi="宋体" w:eastAsia="宋体" w:cs="宋体"/>
          <w:color w:val="auto"/>
          <w:sz w:val="22"/>
          <w:szCs w:val="22"/>
          <w:highlight w:val="none"/>
          <w:lang w:val="en-US"/>
        </w:rPr>
        <w:t>该项目</w:t>
      </w:r>
      <w:r>
        <w:rPr>
          <w:rFonts w:hint="eastAsia" w:ascii="宋体" w:hAnsi="宋体" w:eastAsia="宋体" w:cs="宋体"/>
          <w:color w:val="auto"/>
          <w:sz w:val="22"/>
          <w:szCs w:val="22"/>
          <w:highlight w:val="none"/>
        </w:rPr>
        <w:t>进行招标。</w:t>
      </w:r>
    </w:p>
    <w:p w14:paraId="46376BD8">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招标人：见投标人须知前附表。</w:t>
      </w:r>
    </w:p>
    <w:p w14:paraId="643E73E5">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招标代理机构：见投标人须知前附表。</w:t>
      </w:r>
    </w:p>
    <w:p w14:paraId="3D0880EC">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招标项目名称：见投标人须知前附表。</w:t>
      </w:r>
    </w:p>
    <w:p w14:paraId="5E97C636">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4" w:firstLineChars="100"/>
        <w:jc w:val="left"/>
        <w:textAlignment w:val="auto"/>
        <w:rPr>
          <w:rFonts w:hint="eastAsia" w:ascii="宋体" w:hAnsi="宋体" w:eastAsia="宋体" w:cs="宋体"/>
          <w:color w:val="auto"/>
          <w:highlight w:val="none"/>
        </w:rPr>
      </w:pPr>
      <w:bookmarkStart w:id="12" w:name="_bookmark22"/>
      <w:bookmarkEnd w:id="12"/>
      <w:r>
        <w:rPr>
          <w:rFonts w:hint="eastAsia" w:ascii="宋体" w:hAnsi="宋体" w:eastAsia="宋体" w:cs="宋体"/>
          <w:color w:val="auto"/>
          <w:spacing w:val="-3"/>
          <w:highlight w:val="none"/>
        </w:rPr>
        <w:t>招标项目的资金来源和落实情况</w:t>
      </w:r>
    </w:p>
    <w:p w14:paraId="51AEA9C3">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资金来源及比例：见投标人须知前附表。</w:t>
      </w:r>
    </w:p>
    <w:p w14:paraId="1F8A8AD2">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资金落实情况：见投标人须知前附表。</w:t>
      </w:r>
    </w:p>
    <w:p w14:paraId="67F9F7CE">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4" w:firstLineChars="100"/>
        <w:jc w:val="left"/>
        <w:textAlignment w:val="auto"/>
        <w:rPr>
          <w:rFonts w:hint="eastAsia" w:ascii="宋体" w:hAnsi="宋体" w:eastAsia="宋体" w:cs="宋体"/>
          <w:color w:val="auto"/>
          <w:highlight w:val="none"/>
        </w:rPr>
      </w:pPr>
      <w:bookmarkStart w:id="13" w:name="_bookmark23"/>
      <w:bookmarkEnd w:id="13"/>
      <w:r>
        <w:rPr>
          <w:rFonts w:hint="eastAsia" w:ascii="宋体" w:hAnsi="宋体" w:eastAsia="宋体" w:cs="宋体"/>
          <w:color w:val="auto"/>
          <w:spacing w:val="-3"/>
          <w:highlight w:val="none"/>
        </w:rPr>
        <w:t>招标范围、</w:t>
      </w:r>
      <w:r>
        <w:rPr>
          <w:rFonts w:hint="eastAsia" w:ascii="宋体" w:hAnsi="宋体" w:cs="宋体"/>
          <w:color w:val="auto"/>
          <w:spacing w:val="-3"/>
          <w:highlight w:val="none"/>
          <w:lang w:val="en-US" w:eastAsia="zh-CN"/>
        </w:rPr>
        <w:t>服务期</w:t>
      </w:r>
      <w:r>
        <w:rPr>
          <w:rFonts w:hint="eastAsia" w:ascii="宋体" w:hAnsi="宋体" w:eastAsia="宋体" w:cs="宋体"/>
          <w:color w:val="auto"/>
          <w:spacing w:val="-3"/>
          <w:highlight w:val="none"/>
        </w:rPr>
        <w:t>、</w:t>
      </w:r>
      <w:r>
        <w:rPr>
          <w:rFonts w:hint="eastAsia" w:ascii="宋体" w:hAnsi="宋体" w:cs="宋体"/>
          <w:color w:val="auto"/>
          <w:spacing w:val="-3"/>
          <w:highlight w:val="none"/>
          <w:lang w:eastAsia="zh-CN"/>
        </w:rPr>
        <w:t>项目服务地点</w:t>
      </w:r>
    </w:p>
    <w:p w14:paraId="44F05059">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招标范围：见投标人须知前附表。</w:t>
      </w:r>
    </w:p>
    <w:p w14:paraId="1B76A889">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cs="宋体"/>
          <w:color w:val="auto"/>
          <w:spacing w:val="-3"/>
          <w:sz w:val="22"/>
          <w:szCs w:val="22"/>
          <w:highlight w:val="none"/>
          <w:lang w:val="en-US" w:eastAsia="zh-CN"/>
        </w:rPr>
        <w:t>服务</w:t>
      </w:r>
      <w:r>
        <w:rPr>
          <w:rFonts w:hint="eastAsia" w:ascii="宋体" w:hAnsi="宋体" w:eastAsia="宋体" w:cs="宋体"/>
          <w:color w:val="auto"/>
          <w:spacing w:val="-3"/>
          <w:sz w:val="22"/>
          <w:szCs w:val="22"/>
          <w:highlight w:val="none"/>
          <w:lang w:val="en-US" w:eastAsia="zh-CN"/>
        </w:rPr>
        <w:t>期</w:t>
      </w:r>
      <w:r>
        <w:rPr>
          <w:rFonts w:hint="eastAsia" w:ascii="宋体" w:hAnsi="宋体" w:eastAsia="宋体" w:cs="宋体"/>
          <w:color w:val="auto"/>
          <w:spacing w:val="-3"/>
          <w:sz w:val="22"/>
          <w:szCs w:val="22"/>
          <w:highlight w:val="none"/>
        </w:rPr>
        <w:t>：见投标人须知前附表。</w:t>
      </w:r>
    </w:p>
    <w:p w14:paraId="0685D427">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0" w:firstLineChars="200"/>
        <w:jc w:val="left"/>
        <w:textAlignment w:val="auto"/>
        <w:rPr>
          <w:rFonts w:hint="eastAsia" w:ascii="宋体" w:hAnsi="宋体" w:eastAsia="宋体" w:cs="宋体"/>
          <w:color w:val="auto"/>
          <w:sz w:val="22"/>
          <w:szCs w:val="22"/>
          <w:highlight w:val="none"/>
        </w:rPr>
      </w:pPr>
      <w:r>
        <w:rPr>
          <w:rFonts w:hint="eastAsia" w:cs="宋体"/>
          <w:color w:val="auto"/>
          <w:sz w:val="21"/>
          <w:szCs w:val="21"/>
          <w:highlight w:val="none"/>
          <w:lang w:val="en-US" w:eastAsia="zh-CN"/>
        </w:rPr>
        <w:t>项目服务地点</w:t>
      </w:r>
      <w:r>
        <w:rPr>
          <w:rFonts w:hint="eastAsia" w:ascii="宋体" w:hAnsi="宋体" w:eastAsia="宋体" w:cs="宋体"/>
          <w:color w:val="auto"/>
          <w:spacing w:val="-3"/>
          <w:sz w:val="22"/>
          <w:szCs w:val="22"/>
          <w:highlight w:val="none"/>
        </w:rPr>
        <w:t>：见投标人须知前附表。</w:t>
      </w:r>
    </w:p>
    <w:p w14:paraId="1CAB43DF">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14" w:name="_bookmark24"/>
      <w:bookmarkEnd w:id="14"/>
      <w:r>
        <w:rPr>
          <w:rFonts w:hint="eastAsia" w:ascii="宋体" w:hAnsi="宋体" w:eastAsia="宋体" w:cs="宋体"/>
          <w:color w:val="auto"/>
          <w:spacing w:val="-1"/>
          <w:highlight w:val="none"/>
        </w:rPr>
        <w:t>投标人资格要求</w:t>
      </w:r>
    </w:p>
    <w:p w14:paraId="3196D455">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投标人应具备承担本招标项目</w:t>
      </w:r>
      <w:r>
        <w:rPr>
          <w:rFonts w:hint="eastAsia" w:ascii="宋体" w:hAnsi="宋体" w:eastAsia="宋体" w:cs="宋体"/>
          <w:color w:val="auto"/>
          <w:spacing w:val="-3"/>
          <w:sz w:val="22"/>
          <w:szCs w:val="22"/>
          <w:highlight w:val="none"/>
          <w:lang w:val="en-US"/>
        </w:rPr>
        <w:t>的资格要求</w:t>
      </w:r>
      <w:r>
        <w:rPr>
          <w:rFonts w:hint="eastAsia" w:ascii="宋体" w:hAnsi="宋体" w:eastAsia="宋体" w:cs="宋体"/>
          <w:color w:val="auto"/>
          <w:spacing w:val="-3"/>
          <w:sz w:val="22"/>
          <w:szCs w:val="22"/>
          <w:highlight w:val="none"/>
        </w:rPr>
        <w:t>：</w:t>
      </w:r>
    </w:p>
    <w:p w14:paraId="36412798">
      <w:pPr>
        <w:pStyle w:val="40"/>
        <w:keepNext w:val="0"/>
        <w:keepLines w:val="0"/>
        <w:pageBreakBefore w:val="0"/>
        <w:widowControl w:val="0"/>
        <w:numPr>
          <w:ilvl w:val="0"/>
          <w:numId w:val="6"/>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资质要求：见投标人须知前附表；</w:t>
      </w:r>
    </w:p>
    <w:p w14:paraId="6457D0F7">
      <w:pPr>
        <w:pStyle w:val="40"/>
        <w:keepNext w:val="0"/>
        <w:keepLines w:val="0"/>
        <w:pageBreakBefore w:val="0"/>
        <w:widowControl w:val="0"/>
        <w:numPr>
          <w:ilvl w:val="0"/>
          <w:numId w:val="6"/>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val="en-US" w:eastAsia="zh-CN"/>
        </w:rPr>
        <w:t>财务要求：</w:t>
      </w:r>
      <w:r>
        <w:rPr>
          <w:rFonts w:hint="eastAsia" w:ascii="宋体" w:hAnsi="宋体" w:eastAsia="宋体" w:cs="宋体"/>
          <w:color w:val="auto"/>
          <w:spacing w:val="-3"/>
          <w:sz w:val="22"/>
          <w:szCs w:val="22"/>
          <w:highlight w:val="none"/>
        </w:rPr>
        <w:t>见投标人须知前附表；</w:t>
      </w:r>
    </w:p>
    <w:p w14:paraId="1919D1B6">
      <w:pPr>
        <w:pStyle w:val="40"/>
        <w:keepNext w:val="0"/>
        <w:keepLines w:val="0"/>
        <w:pageBreakBefore w:val="0"/>
        <w:widowControl w:val="0"/>
        <w:numPr>
          <w:ilvl w:val="0"/>
          <w:numId w:val="6"/>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val="en-US" w:eastAsia="zh-CN"/>
        </w:rPr>
        <w:t>业绩要求：</w:t>
      </w:r>
      <w:r>
        <w:rPr>
          <w:rFonts w:hint="eastAsia" w:ascii="宋体" w:hAnsi="宋体" w:eastAsia="宋体" w:cs="宋体"/>
          <w:color w:val="auto"/>
          <w:spacing w:val="-3"/>
          <w:sz w:val="22"/>
          <w:szCs w:val="22"/>
          <w:highlight w:val="none"/>
        </w:rPr>
        <w:t>见投标人须知前附表；</w:t>
      </w:r>
    </w:p>
    <w:p w14:paraId="5BB4A7FE">
      <w:pPr>
        <w:pStyle w:val="40"/>
        <w:keepNext w:val="0"/>
        <w:keepLines w:val="0"/>
        <w:pageBreakBefore w:val="0"/>
        <w:widowControl w:val="0"/>
        <w:numPr>
          <w:ilvl w:val="0"/>
          <w:numId w:val="6"/>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val="en-US" w:eastAsia="zh-CN"/>
        </w:rPr>
        <w:t>信誉要求：</w:t>
      </w:r>
      <w:r>
        <w:rPr>
          <w:rFonts w:hint="eastAsia" w:ascii="宋体" w:hAnsi="宋体" w:eastAsia="宋体" w:cs="宋体"/>
          <w:color w:val="auto"/>
          <w:spacing w:val="-3"/>
          <w:sz w:val="22"/>
          <w:szCs w:val="22"/>
          <w:highlight w:val="none"/>
        </w:rPr>
        <w:t>见投标人须知前附表；</w:t>
      </w:r>
    </w:p>
    <w:p w14:paraId="20A83F45">
      <w:pPr>
        <w:pStyle w:val="40"/>
        <w:keepNext w:val="0"/>
        <w:keepLines w:val="0"/>
        <w:pageBreakBefore w:val="0"/>
        <w:widowControl w:val="0"/>
        <w:numPr>
          <w:ilvl w:val="0"/>
          <w:numId w:val="6"/>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其他要求：见投标人须知前附表。</w:t>
      </w:r>
    </w:p>
    <w:p w14:paraId="7C2CBFC2">
      <w:pPr>
        <w:pStyle w:val="40"/>
        <w:keepNext w:val="0"/>
        <w:keepLines w:val="0"/>
        <w:pageBreakBefore w:val="0"/>
        <w:widowControl w:val="0"/>
        <w:numPr>
          <w:ilvl w:val="-1"/>
          <w:numId w:val="0"/>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需要提交的相关证明材料见本章第3.5款的规定。</w:t>
      </w:r>
    </w:p>
    <w:p w14:paraId="2BD4F8E9">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本次招标不接受联合体投标。</w:t>
      </w:r>
    </w:p>
    <w:p w14:paraId="36AB71E3">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投标人不得存在下列情形之一：</w:t>
      </w:r>
    </w:p>
    <w:p w14:paraId="4A58BED7">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(1)与招标人存在利害关系且可能影响招标公正性；</w:t>
      </w:r>
    </w:p>
    <w:p w14:paraId="76BF00C7">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(2)与本招标项目的其他投标人为同一个单位负责人；</w:t>
      </w:r>
    </w:p>
    <w:p w14:paraId="302C7DE8">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(3)与本招标项目的其他投标人存在控股、管理关系；</w:t>
      </w:r>
    </w:p>
    <w:p w14:paraId="286D55CE">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(4)为本招标项目提供过设计、编制技术规范和其他文件的咨询服务；</w:t>
      </w:r>
    </w:p>
    <w:p w14:paraId="275975AE">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rPr>
        <w:t>)为本招标项目的招标代理机构；</w:t>
      </w:r>
    </w:p>
    <w:p w14:paraId="356458B6">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6</w:t>
      </w:r>
      <w:r>
        <w:rPr>
          <w:rFonts w:hint="eastAsia" w:ascii="宋体" w:hAnsi="宋体" w:eastAsia="宋体" w:cs="宋体"/>
          <w:color w:val="auto"/>
          <w:sz w:val="22"/>
          <w:szCs w:val="22"/>
          <w:highlight w:val="none"/>
        </w:rPr>
        <w:t>)与本招标项目的监理人或代建人或招标代理机构同为一个法定代表人；</w:t>
      </w:r>
    </w:p>
    <w:p w14:paraId="646BC0F5">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7</w:t>
      </w:r>
      <w:r>
        <w:rPr>
          <w:rFonts w:hint="eastAsia" w:ascii="宋体" w:hAnsi="宋体" w:eastAsia="宋体" w:cs="宋体"/>
          <w:color w:val="auto"/>
          <w:sz w:val="22"/>
          <w:szCs w:val="22"/>
          <w:highlight w:val="none"/>
        </w:rPr>
        <w:t>)与本招标项目的监理人或代建人或招标代理机构存在控股或参股关系；</w:t>
      </w:r>
    </w:p>
    <w:p w14:paraId="21C7F444">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8</w:t>
      </w:r>
      <w:r>
        <w:rPr>
          <w:rFonts w:hint="eastAsia" w:ascii="宋体" w:hAnsi="宋体" w:eastAsia="宋体" w:cs="宋体"/>
          <w:color w:val="auto"/>
          <w:sz w:val="22"/>
          <w:szCs w:val="22"/>
          <w:highlight w:val="none"/>
        </w:rPr>
        <w:t>)被依法暂停或者取消投标资格；</w:t>
      </w:r>
    </w:p>
    <w:p w14:paraId="7F6A14C2">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9</w:t>
      </w:r>
      <w:r>
        <w:rPr>
          <w:rFonts w:hint="eastAsia" w:ascii="宋体" w:hAnsi="宋体" w:eastAsia="宋体" w:cs="宋体"/>
          <w:color w:val="auto"/>
          <w:sz w:val="22"/>
          <w:szCs w:val="22"/>
          <w:highlight w:val="none"/>
        </w:rPr>
        <w:t>)被责令停产停业、暂扣或者吊销许可证、暂扣或者吊销执照；</w:t>
      </w:r>
    </w:p>
    <w:p w14:paraId="722E53B8">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rPr>
        <w:t>)进入清算程序，或被宣告破产，或其他丧失履约能力的情形；</w:t>
      </w:r>
    </w:p>
    <w:p w14:paraId="5EFBC434">
      <w:pPr>
        <w:pStyle w:val="40"/>
        <w:keepNext w:val="0"/>
        <w:keepLines w:val="0"/>
        <w:pageBreakBefore w:val="0"/>
        <w:widowControl w:val="0"/>
        <w:numPr>
          <w:ilvl w:val="0"/>
          <w:numId w:val="0"/>
        </w:numPr>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rPr>
        <w:t>)法律法规或投标人须知前附表规定的其他情形。</w:t>
      </w:r>
    </w:p>
    <w:p w14:paraId="6202FD4F">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8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费用承担</w:t>
      </w:r>
    </w:p>
    <w:p w14:paraId="57CBFA49">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投标人准备和参加投标活动发生的费用自理。</w:t>
      </w:r>
    </w:p>
    <w:p w14:paraId="5701AA36">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15" w:name="_bookmark26"/>
      <w:bookmarkEnd w:id="15"/>
      <w:r>
        <w:rPr>
          <w:rFonts w:hint="eastAsia" w:ascii="宋体" w:hAnsi="宋体" w:eastAsia="宋体" w:cs="宋体"/>
          <w:color w:val="auto"/>
          <w:highlight w:val="none"/>
        </w:rPr>
        <w:t>保密</w:t>
      </w:r>
    </w:p>
    <w:p w14:paraId="5422832E">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参与招标投标活动的各方应对招标文件和投标文件中的商业和技术等秘密保密，否则应承担相应的法律责任。</w:t>
      </w:r>
    </w:p>
    <w:p w14:paraId="2A5A54AD">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16" w:name="_bookmark27"/>
      <w:bookmarkEnd w:id="16"/>
      <w:r>
        <w:rPr>
          <w:rFonts w:hint="eastAsia" w:ascii="宋体" w:hAnsi="宋体" w:eastAsia="宋体" w:cs="宋体"/>
          <w:color w:val="auto"/>
          <w:highlight w:val="none"/>
        </w:rPr>
        <w:t>语言文字</w:t>
      </w:r>
    </w:p>
    <w:p w14:paraId="07EBED67">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招标投标文件使用的语言文字为中文。专用术语使用外文的，应附有中文注释。</w:t>
      </w:r>
    </w:p>
    <w:p w14:paraId="175D48FB">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17" w:name="_bookmark28"/>
      <w:bookmarkEnd w:id="17"/>
      <w:r>
        <w:rPr>
          <w:rFonts w:hint="eastAsia" w:ascii="宋体" w:hAnsi="宋体" w:eastAsia="宋体" w:cs="宋体"/>
          <w:color w:val="auto"/>
          <w:highlight w:val="none"/>
        </w:rPr>
        <w:t>计量单位</w:t>
      </w:r>
    </w:p>
    <w:p w14:paraId="6800AD07">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所有计量均采用中华人民共和国法定计量单位。</w:t>
      </w:r>
    </w:p>
    <w:p w14:paraId="5F5737EC">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18" w:name="_bookmark29"/>
      <w:bookmarkEnd w:id="18"/>
      <w:r>
        <w:rPr>
          <w:rFonts w:hint="eastAsia" w:ascii="宋体" w:hAnsi="宋体" w:eastAsia="宋体" w:cs="宋体"/>
          <w:color w:val="auto"/>
          <w:spacing w:val="-1"/>
          <w:highlight w:val="none"/>
        </w:rPr>
        <w:t>投标预备会</w:t>
      </w:r>
    </w:p>
    <w:p w14:paraId="47BA63E8">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投标人须知前附表规定召开投标预备会的，招标人按投标人须知前附表规定的时间和地点召开投标预备会，澄清投标人提出的问题。</w:t>
      </w:r>
    </w:p>
    <w:p w14:paraId="1AFFB5C8">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投标人应按投标人须知前附表规定的时间和形式将提出的问题送达招标人，以便招标人在会议期间澄清。</w:t>
      </w:r>
    </w:p>
    <w:p w14:paraId="1ACAEF80">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投标预备会后，招标人将对投标人所提问题的澄清，以投标人须知前附表规定的形式通知所有购买招标文件的投标人。该澄清内容为招标文件的组成部分。</w:t>
      </w:r>
    </w:p>
    <w:p w14:paraId="533F2D74">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19" w:name="_bookmark30"/>
      <w:bookmarkEnd w:id="19"/>
      <w:r>
        <w:rPr>
          <w:rFonts w:hint="eastAsia" w:ascii="宋体" w:hAnsi="宋体" w:eastAsia="宋体" w:cs="宋体"/>
          <w:color w:val="auto"/>
          <w:highlight w:val="none"/>
        </w:rPr>
        <w:t>分包</w:t>
      </w:r>
    </w:p>
    <w:p w14:paraId="07F50A4D">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投标人拟在中标后将中标项目进行分包的，应符合投标人须知前附表规定</w:t>
      </w:r>
      <w:r>
        <w:rPr>
          <w:rFonts w:hint="eastAsia" w:ascii="宋体" w:hAnsi="宋体" w:eastAsia="宋体" w:cs="宋体"/>
          <w:color w:val="auto"/>
          <w:spacing w:val="-3"/>
          <w:sz w:val="22"/>
          <w:szCs w:val="22"/>
          <w:highlight w:val="none"/>
        </w:rPr>
        <w:t>。</w:t>
      </w:r>
    </w:p>
    <w:p w14:paraId="5C5B44C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中标人不得向他人转让中标项目，接受分包的人不得再次分包。中标人应当就分包</w:t>
      </w:r>
      <w:r>
        <w:rPr>
          <w:rFonts w:hint="eastAsia" w:ascii="宋体" w:hAnsi="宋体" w:eastAsia="宋体" w:cs="宋体"/>
          <w:color w:val="auto"/>
          <w:spacing w:val="-3"/>
          <w:sz w:val="22"/>
          <w:szCs w:val="22"/>
          <w:highlight w:val="none"/>
        </w:rPr>
        <w:t>项目向招标人负责，接受分包的人就分包项目承担连带责任。</w:t>
      </w:r>
    </w:p>
    <w:p w14:paraId="12485F05">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18" w:firstLineChars="100"/>
        <w:jc w:val="left"/>
        <w:textAlignment w:val="auto"/>
        <w:rPr>
          <w:rFonts w:hint="eastAsia" w:ascii="宋体" w:hAnsi="宋体" w:eastAsia="宋体" w:cs="宋体"/>
          <w:color w:val="auto"/>
          <w:sz w:val="22"/>
          <w:szCs w:val="22"/>
          <w:highlight w:val="none"/>
        </w:rPr>
      </w:pPr>
      <w:bookmarkStart w:id="20" w:name="_bookmark31"/>
      <w:bookmarkEnd w:id="20"/>
      <w:r>
        <w:rPr>
          <w:rFonts w:hint="eastAsia" w:ascii="宋体" w:hAnsi="宋体" w:eastAsia="宋体" w:cs="宋体"/>
          <w:color w:val="auto"/>
          <w:spacing w:val="-1"/>
          <w:sz w:val="22"/>
          <w:szCs w:val="22"/>
          <w:highlight w:val="none"/>
        </w:rPr>
        <w:t>响应和偏差</w:t>
      </w:r>
    </w:p>
    <w:p w14:paraId="3DF44F73">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投标文件应当对招标文件的实质性要求和条件作出满足性或更有利于招标人的响应，否则，投标人的投标将被否决。实质性要求和条件见投标人须知前附表。</w:t>
      </w:r>
    </w:p>
    <w:p w14:paraId="394EF423">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0"/>
          <w:sz w:val="22"/>
          <w:szCs w:val="22"/>
          <w:highlight w:val="none"/>
        </w:rPr>
        <w:t>投标</w:t>
      </w:r>
      <w:r>
        <w:rPr>
          <w:rFonts w:hint="eastAsia" w:ascii="宋体" w:hAnsi="宋体" w:eastAsia="宋体" w:cs="宋体"/>
          <w:color w:val="auto"/>
          <w:sz w:val="22"/>
          <w:szCs w:val="22"/>
          <w:highlight w:val="none"/>
        </w:rPr>
        <w:t>人应根据招标文件的要求提供投标设备技术性能指标的详细描述、技术支持资</w:t>
      </w:r>
      <w:r>
        <w:rPr>
          <w:rFonts w:hint="eastAsia" w:ascii="宋体" w:hAnsi="宋体" w:eastAsia="宋体" w:cs="宋体"/>
          <w:color w:val="auto"/>
          <w:spacing w:val="0"/>
          <w:sz w:val="22"/>
          <w:szCs w:val="22"/>
          <w:highlight w:val="none"/>
        </w:rPr>
        <w:t>料及</w:t>
      </w:r>
      <w:r>
        <w:rPr>
          <w:rFonts w:hint="eastAsia" w:ascii="宋体" w:hAnsi="宋体" w:eastAsia="宋体" w:cs="宋体"/>
          <w:color w:val="auto"/>
          <w:sz w:val="22"/>
          <w:szCs w:val="22"/>
          <w:highlight w:val="none"/>
        </w:rPr>
        <w:t>技术服务和质保期服务计划等内容以对招标文件作出响应。</w:t>
      </w:r>
    </w:p>
    <w:p w14:paraId="5526C436">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4EEE874">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投标人须知前附表规定了可以偏差的范围和最高偏差项数的，偏差应当符合投标人须知前附表规定的偏差范围和最高项数，超出偏差范围和最高偏差项数的投标将被否决。</w:t>
      </w:r>
    </w:p>
    <w:p w14:paraId="550E32AF">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投标文件对招标文件的全部偏差，均应在投标文件的商务和技术偏差表中列明，除列明的内容外，视为投标人响应招标文件的全部要求。</w:t>
      </w:r>
    </w:p>
    <w:p w14:paraId="06344766">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21" w:name="_bookmark32"/>
      <w:bookmarkEnd w:id="21"/>
      <w:r>
        <w:rPr>
          <w:rFonts w:hint="eastAsia" w:ascii="宋体" w:hAnsi="宋体" w:eastAsia="宋体" w:cs="宋体"/>
          <w:color w:val="auto"/>
          <w:highlight w:val="none"/>
        </w:rPr>
        <w:t>招标文件</w:t>
      </w:r>
    </w:p>
    <w:p w14:paraId="371324D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22" w:name="_bookmark33"/>
      <w:bookmarkEnd w:id="22"/>
      <w:r>
        <w:rPr>
          <w:rFonts w:hint="eastAsia" w:ascii="宋体" w:hAnsi="宋体" w:eastAsia="宋体" w:cs="宋体"/>
          <w:color w:val="auto"/>
          <w:spacing w:val="-1"/>
          <w:highlight w:val="none"/>
        </w:rPr>
        <w:t>招标文件的组成</w:t>
      </w:r>
    </w:p>
    <w:p w14:paraId="26CBB144">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本招标文件包括：</w:t>
      </w:r>
    </w:p>
    <w:p w14:paraId="6B85BF8D">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招标公告；</w:t>
      </w:r>
    </w:p>
    <w:p w14:paraId="18B57042">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投标人须知；</w:t>
      </w:r>
    </w:p>
    <w:p w14:paraId="016DF9FF">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评标办法；</w:t>
      </w:r>
    </w:p>
    <w:p w14:paraId="1E41D7C5">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合同条款及格式；</w:t>
      </w:r>
    </w:p>
    <w:p w14:paraId="72BAAC35">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用户需求书；</w:t>
      </w:r>
    </w:p>
    <w:p w14:paraId="33882106">
      <w:pPr>
        <w:pStyle w:val="40"/>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投标文件格式；</w:t>
      </w:r>
    </w:p>
    <w:p w14:paraId="7A67F993">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28" w:firstLineChars="200"/>
        <w:jc w:val="left"/>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根据本章第1.9款、第2.2款和第2.3款对招标文件所作的澄清、修改，构成招标文件的组成部分。</w:t>
      </w:r>
    </w:p>
    <w:p w14:paraId="096961B4">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23" w:name="_bookmark34"/>
      <w:bookmarkEnd w:id="23"/>
      <w:r>
        <w:rPr>
          <w:rFonts w:hint="eastAsia" w:ascii="宋体" w:hAnsi="宋体" w:eastAsia="宋体" w:cs="宋体"/>
          <w:color w:val="auto"/>
          <w:spacing w:val="-1"/>
          <w:highlight w:val="none"/>
        </w:rPr>
        <w:t>招标文件的澄清</w:t>
      </w:r>
    </w:p>
    <w:p w14:paraId="447CBB7B">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E5C43E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100D8EA3">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0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投标人在收到澄清后，应按投标人须知前附表规定的时间和形式通知招标人，确认已</w:t>
      </w:r>
      <w:r>
        <w:rPr>
          <w:rFonts w:hint="eastAsia" w:ascii="宋体" w:hAnsi="宋体" w:eastAsia="宋体" w:cs="宋体"/>
          <w:color w:val="auto"/>
          <w:spacing w:val="-2"/>
          <w:sz w:val="22"/>
          <w:szCs w:val="22"/>
          <w:highlight w:val="none"/>
        </w:rPr>
        <w:t>收到该澄清。</w:t>
      </w:r>
    </w:p>
    <w:p w14:paraId="774A0DF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除非招标人认为确有必要答复，否则，招标人有权拒绝回复投标人在本章第</w:t>
      </w:r>
      <w:r>
        <w:rPr>
          <w:rFonts w:hint="eastAsia" w:ascii="宋体" w:hAnsi="宋体" w:eastAsia="宋体" w:cs="宋体"/>
          <w:color w:val="auto"/>
          <w:sz w:val="22"/>
          <w:szCs w:val="22"/>
          <w:highlight w:val="none"/>
        </w:rPr>
        <w:t>2.2.1项</w:t>
      </w:r>
      <w:r>
        <w:rPr>
          <w:rFonts w:hint="eastAsia" w:ascii="宋体" w:hAnsi="宋体" w:eastAsia="宋体" w:cs="宋体"/>
          <w:color w:val="auto"/>
          <w:spacing w:val="-3"/>
          <w:sz w:val="22"/>
          <w:szCs w:val="22"/>
          <w:highlight w:val="none"/>
        </w:rPr>
        <w:t>规定的时间后的任何澄清要求。</w:t>
      </w:r>
    </w:p>
    <w:p w14:paraId="075387B8">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24" w:name="_bookmark35"/>
      <w:bookmarkEnd w:id="24"/>
      <w:r>
        <w:rPr>
          <w:rFonts w:hint="eastAsia" w:ascii="宋体" w:hAnsi="宋体" w:eastAsia="宋体" w:cs="宋体"/>
          <w:color w:val="auto"/>
          <w:spacing w:val="-1"/>
          <w:highlight w:val="none"/>
        </w:rPr>
        <w:t>招标文件的修改</w:t>
      </w:r>
    </w:p>
    <w:p w14:paraId="42626C91">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招标人以投标人须知前附表规定的形式修改招标文件，并通知所有已购买招标文件的</w:t>
      </w:r>
      <w:r>
        <w:rPr>
          <w:rFonts w:hint="eastAsia" w:ascii="宋体" w:hAnsi="宋体" w:eastAsia="宋体" w:cs="宋体"/>
          <w:color w:val="auto"/>
          <w:spacing w:val="-5"/>
          <w:sz w:val="22"/>
          <w:szCs w:val="22"/>
          <w:highlight w:val="none"/>
        </w:rPr>
        <w:t>投标人。修改招标文件的时间距本章第</w:t>
      </w:r>
      <w:r>
        <w:rPr>
          <w:rFonts w:hint="eastAsia" w:ascii="宋体" w:hAnsi="宋体" w:eastAsia="宋体" w:cs="宋体"/>
          <w:color w:val="auto"/>
          <w:sz w:val="22"/>
          <w:szCs w:val="22"/>
          <w:highlight w:val="none"/>
        </w:rPr>
        <w:t>4.2.1</w:t>
      </w:r>
      <w:r>
        <w:rPr>
          <w:rFonts w:hint="eastAsia" w:ascii="宋体" w:hAnsi="宋体" w:eastAsia="宋体" w:cs="宋体"/>
          <w:color w:val="auto"/>
          <w:spacing w:val="-6"/>
          <w:sz w:val="22"/>
          <w:szCs w:val="22"/>
          <w:highlight w:val="none"/>
        </w:rPr>
        <w:t>项规定的投标截止时间不足</w:t>
      </w:r>
      <w:r>
        <w:rPr>
          <w:rFonts w:hint="eastAsia" w:ascii="宋体" w:hAnsi="宋体" w:eastAsia="宋体" w:cs="宋体"/>
          <w:color w:val="auto"/>
          <w:sz w:val="22"/>
          <w:szCs w:val="22"/>
          <w:highlight w:val="none"/>
        </w:rPr>
        <w:t>15</w:t>
      </w:r>
      <w:r>
        <w:rPr>
          <w:rFonts w:hint="eastAsia" w:ascii="宋体" w:hAnsi="宋体" w:eastAsia="宋体" w:cs="宋体"/>
          <w:color w:val="auto"/>
          <w:spacing w:val="-3"/>
          <w:sz w:val="22"/>
          <w:szCs w:val="22"/>
          <w:highlight w:val="none"/>
        </w:rPr>
        <w:t>日的，并且修改内容可能影响投标文件编制的，将相应延长投标截止时间。</w:t>
      </w:r>
    </w:p>
    <w:p w14:paraId="7BF8F360">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0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投标人收到修改内容后，应按投标人须知前附表规定的时间和形式通知招标人，确认</w:t>
      </w:r>
      <w:r>
        <w:rPr>
          <w:rFonts w:hint="eastAsia" w:ascii="宋体" w:hAnsi="宋体" w:eastAsia="宋体" w:cs="宋体"/>
          <w:color w:val="auto"/>
          <w:spacing w:val="-5"/>
          <w:sz w:val="22"/>
          <w:szCs w:val="22"/>
          <w:highlight w:val="none"/>
        </w:rPr>
        <w:t>已收到该修改。</w:t>
      </w:r>
    </w:p>
    <w:p w14:paraId="0D506D0F">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25" w:name="_bookmark36"/>
      <w:bookmarkEnd w:id="25"/>
      <w:r>
        <w:rPr>
          <w:rFonts w:hint="eastAsia" w:ascii="宋体" w:hAnsi="宋体" w:eastAsia="宋体" w:cs="宋体"/>
          <w:color w:val="auto"/>
          <w:spacing w:val="-1"/>
          <w:highlight w:val="none"/>
        </w:rPr>
        <w:t>招标文件的异议</w:t>
      </w:r>
    </w:p>
    <w:p w14:paraId="4FABDA4C">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投标人或者其他利害关系人对招标文件有异议的，应当在投标截止时间10日前以书面形式</w:t>
      </w:r>
    </w:p>
    <w:p w14:paraId="6E20A7E2">
      <w:pPr>
        <w:pStyle w:val="11"/>
        <w:keepNext w:val="0"/>
        <w:keepLines w:val="0"/>
        <w:pageBreakBefore w:val="0"/>
        <w:widowControl w:val="0"/>
        <w:shd w:val="clear" w:color="auto" w:fill="auto"/>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提出。招标人将在收到异议之日起3日内作出答复；作出答复前，将暂停招标投标活动。</w:t>
      </w:r>
    </w:p>
    <w:p w14:paraId="35765118">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26" w:name="_bookmark37"/>
      <w:bookmarkEnd w:id="26"/>
      <w:r>
        <w:rPr>
          <w:rFonts w:hint="eastAsia" w:ascii="宋体" w:hAnsi="宋体" w:eastAsia="宋体" w:cs="宋体"/>
          <w:color w:val="auto"/>
          <w:highlight w:val="none"/>
        </w:rPr>
        <w:t>投标文件</w:t>
      </w:r>
    </w:p>
    <w:p w14:paraId="0C94D416">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27" w:name="_bookmark38"/>
      <w:bookmarkEnd w:id="27"/>
      <w:r>
        <w:rPr>
          <w:rFonts w:hint="eastAsia" w:ascii="宋体" w:hAnsi="宋体" w:eastAsia="宋体" w:cs="宋体"/>
          <w:color w:val="auto"/>
          <w:spacing w:val="-1"/>
          <w:highlight w:val="none"/>
        </w:rPr>
        <w:t>投标文件的组成</w:t>
      </w:r>
    </w:p>
    <w:p w14:paraId="31680804">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投标文件应包括下列内容：</w:t>
      </w:r>
    </w:p>
    <w:p w14:paraId="28D6DF6F">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投标函；</w:t>
      </w:r>
    </w:p>
    <w:p w14:paraId="09D159D8">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法定代表人身份证明及授权委托书（注：投标文件由法定代表人签字</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或盖</w:t>
      </w:r>
      <w:r>
        <w:rPr>
          <w:rFonts w:hint="eastAsia" w:cs="宋体"/>
          <w:color w:val="auto"/>
          <w:sz w:val="22"/>
          <w:szCs w:val="22"/>
          <w:highlight w:val="none"/>
          <w:u w:val="single"/>
          <w:lang w:val="en-US" w:eastAsia="zh-CN"/>
        </w:rPr>
        <w:t>私</w:t>
      </w:r>
      <w:r>
        <w:rPr>
          <w:rFonts w:hint="eastAsia" w:ascii="宋体" w:hAnsi="宋体" w:eastAsia="宋体" w:cs="宋体"/>
          <w:color w:val="auto"/>
          <w:sz w:val="22"/>
          <w:szCs w:val="22"/>
          <w:highlight w:val="none"/>
          <w:u w:val="single"/>
          <w:lang w:val="en-US" w:eastAsia="zh-CN"/>
        </w:rPr>
        <w:t>章</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pacing w:val="-4"/>
          <w:sz w:val="22"/>
          <w:szCs w:val="22"/>
          <w:highlight w:val="none"/>
        </w:rPr>
        <w:t>的，应附法定代表人身份证明；投标文件由被授权人签字</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或盖</w:t>
      </w:r>
      <w:r>
        <w:rPr>
          <w:rFonts w:hint="eastAsia" w:cs="宋体"/>
          <w:color w:val="auto"/>
          <w:sz w:val="22"/>
          <w:szCs w:val="22"/>
          <w:highlight w:val="none"/>
          <w:u w:val="single"/>
          <w:lang w:val="en-US" w:eastAsia="zh-CN"/>
        </w:rPr>
        <w:t>私</w:t>
      </w:r>
      <w:r>
        <w:rPr>
          <w:rFonts w:hint="eastAsia" w:ascii="宋体" w:hAnsi="宋体" w:eastAsia="宋体" w:cs="宋体"/>
          <w:color w:val="auto"/>
          <w:sz w:val="22"/>
          <w:szCs w:val="22"/>
          <w:highlight w:val="none"/>
          <w:u w:val="single"/>
          <w:lang w:val="en-US" w:eastAsia="zh-CN"/>
        </w:rPr>
        <w:t>章</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pacing w:val="-4"/>
          <w:sz w:val="22"/>
          <w:szCs w:val="22"/>
          <w:highlight w:val="none"/>
        </w:rPr>
        <w:t>的，应附法定代表人身份证明及授权委托书）；</w:t>
      </w:r>
    </w:p>
    <w:p w14:paraId="3CD7A451">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联合体协议书（如需）；</w:t>
      </w:r>
    </w:p>
    <w:p w14:paraId="388A5C41">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投标保证金；</w:t>
      </w:r>
    </w:p>
    <w:p w14:paraId="0048ED50">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商务和技术偏差表；</w:t>
      </w:r>
    </w:p>
    <w:p w14:paraId="4ED2E458">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资格审查资料；</w:t>
      </w:r>
    </w:p>
    <w:p w14:paraId="03EBA90E">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rPr>
        <w:t>商务技术</w:t>
      </w:r>
      <w:r>
        <w:rPr>
          <w:rFonts w:hint="eastAsia" w:ascii="宋体" w:hAnsi="宋体" w:eastAsia="宋体" w:cs="宋体"/>
          <w:color w:val="auto"/>
          <w:spacing w:val="-4"/>
          <w:sz w:val="22"/>
          <w:szCs w:val="22"/>
          <w:highlight w:val="none"/>
        </w:rPr>
        <w:t>资料</w:t>
      </w:r>
      <w:r>
        <w:rPr>
          <w:rFonts w:hint="eastAsia" w:cs="宋体"/>
          <w:color w:val="auto"/>
          <w:spacing w:val="-4"/>
          <w:sz w:val="22"/>
          <w:szCs w:val="22"/>
          <w:highlight w:val="none"/>
          <w:lang w:val="en-US" w:eastAsia="zh-CN"/>
        </w:rPr>
        <w:t>；</w:t>
      </w:r>
    </w:p>
    <w:p w14:paraId="602CE5D9">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投标报价表</w:t>
      </w:r>
      <w:r>
        <w:rPr>
          <w:rFonts w:hint="eastAsia" w:ascii="宋体" w:hAnsi="宋体" w:eastAsia="宋体" w:cs="宋体"/>
          <w:color w:val="auto"/>
          <w:spacing w:val="-4"/>
          <w:sz w:val="22"/>
          <w:szCs w:val="22"/>
          <w:highlight w:val="none"/>
        </w:rPr>
        <w:t>。</w:t>
      </w:r>
    </w:p>
    <w:p w14:paraId="78439EAF">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缴纳招标代理服务费承诺书</w:t>
      </w:r>
    </w:p>
    <w:p w14:paraId="3B7D02B0">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投标人须知前附表规定的其他资料。</w:t>
      </w:r>
    </w:p>
    <w:p w14:paraId="186C590F">
      <w:pPr>
        <w:pStyle w:val="11"/>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投标人在评标过程中作出的符合法律法规和招标文件规定的澄清确认，构成投标文件的组成部分。</w:t>
      </w:r>
    </w:p>
    <w:p w14:paraId="289B93C9">
      <w:pPr>
        <w:pStyle w:val="40"/>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投标人须知前附表规定不接受联合体投标的，或投标人没有组成联合体的，投标文件不包括本章第3.1.1(3)目所指的联合体协议书。</w:t>
      </w:r>
    </w:p>
    <w:p w14:paraId="563D452B">
      <w:pPr>
        <w:pStyle w:val="40"/>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投标人须</w:t>
      </w:r>
      <w:r>
        <w:rPr>
          <w:rFonts w:hint="eastAsia" w:ascii="宋体" w:hAnsi="宋体" w:eastAsia="宋体" w:cs="宋体"/>
          <w:color w:val="auto"/>
          <w:sz w:val="22"/>
          <w:szCs w:val="22"/>
          <w:highlight w:val="none"/>
        </w:rPr>
        <w:t>知前附表未要求提交投标保证金的，投标文件不包括本章第3.1.1(4)目所指的投标保证金。</w:t>
      </w:r>
    </w:p>
    <w:p w14:paraId="3D66061D">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28" w:name="_bookmark39"/>
      <w:bookmarkEnd w:id="28"/>
      <w:r>
        <w:rPr>
          <w:rFonts w:hint="eastAsia" w:ascii="宋体" w:hAnsi="宋体" w:eastAsia="宋体" w:cs="宋体"/>
          <w:color w:val="auto"/>
          <w:highlight w:val="none"/>
        </w:rPr>
        <w:t>投标报价</w:t>
      </w:r>
    </w:p>
    <w:p w14:paraId="2CF77E35">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投标报价应包括国家规定的增值税税金，除投标人须知前附表另有规定外，增值税税金按一般计税方法计算。投标人应按第六章“投标文件格式”的要求在投标函中进行报价并填写投标报价表。</w:t>
      </w:r>
    </w:p>
    <w:p w14:paraId="36FBFCB6">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投标人应充分了解该项目的总体情况以及影响投标报价的其他要素。</w:t>
      </w:r>
    </w:p>
    <w:p w14:paraId="216F1891">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投标报价为各分项报价金额之和，投标报价与分项报价的</w:t>
      </w:r>
      <w:r>
        <w:rPr>
          <w:rFonts w:hint="eastAsia" w:cs="宋体"/>
          <w:color w:val="auto"/>
          <w:spacing w:val="-4"/>
          <w:sz w:val="22"/>
          <w:szCs w:val="22"/>
          <w:highlight w:val="none"/>
          <w:lang w:eastAsia="zh-CN"/>
        </w:rPr>
        <w:t>总价</w:t>
      </w:r>
      <w:r>
        <w:rPr>
          <w:rFonts w:hint="eastAsia" w:ascii="宋体" w:hAnsi="宋体" w:eastAsia="宋体" w:cs="宋体"/>
          <w:color w:val="auto"/>
          <w:spacing w:val="-4"/>
          <w:sz w:val="22"/>
          <w:szCs w:val="22"/>
          <w:highlight w:val="none"/>
        </w:rPr>
        <w:t>不一致的，应以各分项</w:t>
      </w:r>
      <w:r>
        <w:rPr>
          <w:rFonts w:hint="eastAsia" w:cs="宋体"/>
          <w:color w:val="auto"/>
          <w:spacing w:val="-4"/>
          <w:sz w:val="22"/>
          <w:szCs w:val="22"/>
          <w:highlight w:val="none"/>
          <w:lang w:eastAsia="zh-CN"/>
        </w:rPr>
        <w:t>总价</w:t>
      </w:r>
      <w:r>
        <w:rPr>
          <w:rFonts w:hint="eastAsia" w:ascii="宋体" w:hAnsi="宋体" w:eastAsia="宋体" w:cs="宋体"/>
          <w:color w:val="auto"/>
          <w:spacing w:val="-4"/>
          <w:sz w:val="22"/>
          <w:szCs w:val="22"/>
          <w:highlight w:val="none"/>
        </w:rPr>
        <w:t>累计数为准，修正投标报价；如分项报价中存在缺漏项，则视为缺漏项价格已包含在其他分项报价之中。投标人在投标截止时间前修改投标函中的投标报价，应同时修改投标文件“投标报价表”中的相应报价。此修改须符合本章第4.3款的有关要求。</w:t>
      </w:r>
    </w:p>
    <w:p w14:paraId="22C1DA1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招标人设有最高投标限价的，投标人的投标报价不得超过最高投标限价，最高投标限价在投标人须知前附表中载明。</w:t>
      </w:r>
    </w:p>
    <w:p w14:paraId="7ADB44F9">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投标报价的其他要求见投标人须知前附表。</w:t>
      </w:r>
    </w:p>
    <w:p w14:paraId="793FAC1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29" w:name="_bookmark40"/>
      <w:bookmarkEnd w:id="29"/>
      <w:r>
        <w:rPr>
          <w:rFonts w:hint="eastAsia" w:ascii="宋体" w:hAnsi="宋体" w:eastAsia="宋体" w:cs="宋体"/>
          <w:color w:val="auto"/>
          <w:highlight w:val="none"/>
        </w:rPr>
        <w:t>投标有效期</w:t>
      </w:r>
    </w:p>
    <w:p w14:paraId="17B89E27">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除投标人须知前附表另有规定外，投标有效期为</w:t>
      </w:r>
      <w:r>
        <w:rPr>
          <w:rFonts w:hint="eastAsia" w:ascii="宋体" w:hAnsi="宋体" w:eastAsia="宋体" w:cs="宋体"/>
          <w:color w:val="auto"/>
          <w:spacing w:val="-4"/>
          <w:sz w:val="22"/>
          <w:szCs w:val="22"/>
          <w:highlight w:val="none"/>
          <w:lang w:val="en-US"/>
        </w:rPr>
        <w:t>90</w:t>
      </w:r>
      <w:r>
        <w:rPr>
          <w:rFonts w:hint="eastAsia" w:ascii="宋体" w:hAnsi="宋体" w:eastAsia="宋体" w:cs="宋体"/>
          <w:color w:val="auto"/>
          <w:spacing w:val="-4"/>
          <w:sz w:val="22"/>
          <w:szCs w:val="22"/>
          <w:highlight w:val="none"/>
        </w:rPr>
        <w:t>天。</w:t>
      </w:r>
    </w:p>
    <w:p w14:paraId="0C2D91B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在投标有效期内，投标人撤销投标文件的，应承担招标文件和法律规定的责任。</w:t>
      </w:r>
    </w:p>
    <w:p w14:paraId="163EAC4E">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w:t>
      </w:r>
    </w:p>
    <w:p w14:paraId="69DB14D0">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30" w:name="_bookmark41"/>
      <w:bookmarkEnd w:id="30"/>
      <w:r>
        <w:rPr>
          <w:rFonts w:hint="eastAsia" w:ascii="宋体" w:hAnsi="宋体" w:eastAsia="宋体" w:cs="宋体"/>
          <w:color w:val="auto"/>
          <w:highlight w:val="none"/>
        </w:rPr>
        <w:t>投标保证金</w:t>
      </w:r>
    </w:p>
    <w:p w14:paraId="7925ED87">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投标人在递交投标文件的同时，应按投标人须知前附表规定的金额、形式和第六章“投标文件格式”规定的投标保证金格式递交投标保证金，并作为其投标文件的组成部分。</w:t>
      </w:r>
    </w:p>
    <w:p w14:paraId="64A91E25">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投标人不按本章第3.4.1项要求提交投标保证金的，评标委员会将否决其投标。</w:t>
      </w:r>
    </w:p>
    <w:p w14:paraId="3D31CD3B">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日内向中标人和其他中标候选人退还投标保证金。投标保证金以现金或支票形式递交的，招标人应同时退还投标保证金的银行同期活期存款利息，且退还至投标人的基本账户。利息计算原则见投标人须知前附表</w:t>
      </w:r>
      <w:r>
        <w:rPr>
          <w:rFonts w:hint="eastAsia" w:ascii="宋体" w:hAnsi="宋体" w:eastAsia="宋体" w:cs="宋体"/>
          <w:color w:val="auto"/>
          <w:spacing w:val="-4"/>
          <w:sz w:val="22"/>
          <w:szCs w:val="22"/>
          <w:highlight w:val="none"/>
          <w:lang w:eastAsia="zh-CN"/>
        </w:rPr>
        <w:t>。</w:t>
      </w:r>
    </w:p>
    <w:p w14:paraId="26EC8BBC">
      <w:pPr>
        <w:pStyle w:val="40"/>
        <w:keepNext w:val="0"/>
        <w:keepLines w:val="0"/>
        <w:pageBreakBefore w:val="0"/>
        <w:widowControl w:val="0"/>
        <w:numPr>
          <w:ilvl w:val="2"/>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有下列情形之一的，投标保证金将不予退还：</w:t>
      </w:r>
    </w:p>
    <w:p w14:paraId="78424E8A">
      <w:pPr>
        <w:pStyle w:val="40"/>
        <w:keepNext w:val="0"/>
        <w:keepLines w:val="0"/>
        <w:pageBreakBefore w:val="0"/>
        <w:widowControl w:val="0"/>
        <w:numPr>
          <w:ilvl w:val="3"/>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投标人在投标有效期内撤销投标文件；</w:t>
      </w:r>
    </w:p>
    <w:p w14:paraId="400AFACA">
      <w:pPr>
        <w:pStyle w:val="40"/>
        <w:keepNext w:val="0"/>
        <w:keepLines w:val="0"/>
        <w:pageBreakBefore w:val="0"/>
        <w:widowControl w:val="0"/>
        <w:numPr>
          <w:ilvl w:val="3"/>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中标人在收到中标通知书后，无正当理由不与招标人订立合同，在签订合同时向招标人提出附加条件，或者不按照招标文件要求提交</w:t>
      </w:r>
      <w:r>
        <w:rPr>
          <w:rFonts w:hint="eastAsia" w:cs="宋体"/>
          <w:color w:val="auto"/>
          <w:spacing w:val="-4"/>
          <w:sz w:val="22"/>
          <w:szCs w:val="22"/>
          <w:highlight w:val="none"/>
          <w:lang w:eastAsia="zh-CN"/>
        </w:rPr>
        <w:t>履约担保</w:t>
      </w:r>
      <w:r>
        <w:rPr>
          <w:rFonts w:hint="eastAsia" w:ascii="宋体" w:hAnsi="宋体" w:eastAsia="宋体" w:cs="宋体"/>
          <w:color w:val="auto"/>
          <w:spacing w:val="-4"/>
          <w:sz w:val="22"/>
          <w:szCs w:val="22"/>
          <w:highlight w:val="none"/>
        </w:rPr>
        <w:t>；</w:t>
      </w:r>
    </w:p>
    <w:p w14:paraId="520668E2">
      <w:pPr>
        <w:pStyle w:val="40"/>
        <w:keepNext w:val="0"/>
        <w:keepLines w:val="0"/>
        <w:pageBreakBefore w:val="0"/>
        <w:widowControl w:val="0"/>
        <w:numPr>
          <w:ilvl w:val="3"/>
          <w:numId w:val="5"/>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发生投标人须知前附表规定的其他可以不予退还投标保证金的情形。</w:t>
      </w:r>
    </w:p>
    <w:p w14:paraId="160C0751">
      <w:pPr>
        <w:pStyle w:val="4"/>
        <w:keepNext w:val="0"/>
        <w:keepLines w:val="0"/>
        <w:pageBreakBefore w:val="0"/>
        <w:widowControl w:val="0"/>
        <w:numPr>
          <w:ilvl w:val="1"/>
          <w:numId w:val="8"/>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31" w:name="_bookmark42"/>
      <w:bookmarkEnd w:id="31"/>
      <w:bookmarkStart w:id="32" w:name="_bookmark43"/>
      <w:bookmarkEnd w:id="32"/>
      <w:r>
        <w:rPr>
          <w:rFonts w:hint="eastAsia" w:ascii="宋体" w:hAnsi="宋体" w:eastAsia="宋体" w:cs="宋体"/>
          <w:color w:val="auto"/>
          <w:spacing w:val="-1"/>
          <w:highlight w:val="none"/>
        </w:rPr>
        <w:t>资格审查资料</w:t>
      </w:r>
    </w:p>
    <w:p w14:paraId="21F87B1D">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除投标人须知前附表另有规定外，投标人应按规定提供资格审查资料，以证明其满足本章第1.4款规定的投标人资格要求。</w:t>
      </w:r>
    </w:p>
    <w:p w14:paraId="6DAE5275">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3.5.1“投标人基本情况表”应附投标人资格或者资质证书副本和投标材料检验或认证等材料的扫描件以及：</w:t>
      </w:r>
    </w:p>
    <w:p w14:paraId="059EA9C1">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(1)投标人为企业的，应提交营业执照和组织机构代码证的</w:t>
      </w:r>
      <w:r>
        <w:rPr>
          <w:rFonts w:hint="eastAsia" w:ascii="宋体" w:hAnsi="宋体" w:eastAsia="宋体" w:cs="宋体"/>
          <w:color w:val="auto"/>
          <w:sz w:val="22"/>
          <w:szCs w:val="22"/>
          <w:highlight w:val="none"/>
          <w:lang w:val="en-US" w:eastAsia="zh-CN"/>
        </w:rPr>
        <w:t>扫描件</w:t>
      </w:r>
      <w:r>
        <w:rPr>
          <w:rFonts w:hint="eastAsia" w:ascii="宋体" w:hAnsi="宋体" w:eastAsia="宋体" w:cs="宋体"/>
          <w:color w:val="auto"/>
          <w:sz w:val="22"/>
          <w:szCs w:val="22"/>
          <w:highlight w:val="none"/>
        </w:rPr>
        <w:t>(按照“三证合一”或“五证合一”登记制度进行登记的，可仅提供营业执照</w:t>
      </w:r>
      <w:r>
        <w:rPr>
          <w:rFonts w:hint="eastAsia" w:ascii="宋体" w:hAnsi="宋体" w:eastAsia="宋体" w:cs="宋体"/>
          <w:color w:val="auto"/>
          <w:sz w:val="22"/>
          <w:szCs w:val="22"/>
          <w:highlight w:val="none"/>
          <w:lang w:eastAsia="zh-CN"/>
        </w:rPr>
        <w:t>扫描件</w:t>
      </w:r>
      <w:r>
        <w:rPr>
          <w:rFonts w:hint="eastAsia" w:ascii="宋体" w:hAnsi="宋体" w:eastAsia="宋体" w:cs="宋体"/>
          <w:color w:val="auto"/>
          <w:sz w:val="22"/>
          <w:szCs w:val="22"/>
          <w:highlight w:val="none"/>
        </w:rPr>
        <w:t>)；</w:t>
      </w:r>
    </w:p>
    <w:p w14:paraId="1D005DA8">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(2)投标人为依法允许经营的事业单位的，应提交事业单位法人证书和组织机构代码证的</w:t>
      </w:r>
      <w:r>
        <w:rPr>
          <w:rFonts w:hint="eastAsia" w:ascii="宋体" w:hAnsi="宋体" w:eastAsia="宋体" w:cs="宋体"/>
          <w:color w:val="auto"/>
          <w:sz w:val="22"/>
          <w:szCs w:val="22"/>
          <w:highlight w:val="none"/>
          <w:lang w:eastAsia="zh-CN"/>
        </w:rPr>
        <w:t>扫描件</w:t>
      </w:r>
      <w:r>
        <w:rPr>
          <w:rFonts w:hint="eastAsia" w:ascii="宋体" w:hAnsi="宋体" w:eastAsia="宋体" w:cs="宋体"/>
          <w:color w:val="auto"/>
          <w:sz w:val="22"/>
          <w:szCs w:val="22"/>
          <w:highlight w:val="none"/>
        </w:rPr>
        <w:t>。</w:t>
      </w:r>
    </w:p>
    <w:p w14:paraId="34E53EE7">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投标人须知前附表规定接受联合体投标的，本章第3.5.1项规定的表格和资料应包括联合体各方相关情况。</w:t>
      </w:r>
    </w:p>
    <w:p w14:paraId="08AB6CE8">
      <w:pPr>
        <w:pStyle w:val="4"/>
        <w:keepNext w:val="0"/>
        <w:keepLines w:val="0"/>
        <w:pageBreakBefore w:val="0"/>
        <w:widowControl w:val="0"/>
        <w:numPr>
          <w:ilvl w:val="1"/>
          <w:numId w:val="8"/>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spacing w:val="-1"/>
          <w:highlight w:val="none"/>
        </w:rPr>
      </w:pPr>
      <w:bookmarkStart w:id="33" w:name="_bookmark44"/>
      <w:bookmarkEnd w:id="33"/>
      <w:r>
        <w:rPr>
          <w:rFonts w:hint="eastAsia" w:ascii="宋体" w:hAnsi="宋体" w:eastAsia="宋体" w:cs="宋体"/>
          <w:color w:val="auto"/>
          <w:spacing w:val="-1"/>
          <w:highlight w:val="none"/>
        </w:rPr>
        <w:t>备选投标方案</w:t>
      </w:r>
    </w:p>
    <w:p w14:paraId="2AE89BAB">
      <w:pPr>
        <w:pStyle w:val="40"/>
        <w:keepNext w:val="0"/>
        <w:keepLines w:val="0"/>
        <w:pageBreakBefore w:val="0"/>
        <w:widowControl w:val="0"/>
        <w:numPr>
          <w:ilvl w:val="2"/>
          <w:numId w:val="9"/>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除投标人须知前附表规定允许外，投标人不得递交备选投标方案，否则其投标将被否决。</w:t>
      </w:r>
    </w:p>
    <w:p w14:paraId="101A01DD">
      <w:pPr>
        <w:pStyle w:val="40"/>
        <w:keepNext w:val="0"/>
        <w:keepLines w:val="0"/>
        <w:pageBreakBefore w:val="0"/>
        <w:widowControl w:val="0"/>
        <w:numPr>
          <w:ilvl w:val="2"/>
          <w:numId w:val="9"/>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C0966D4">
      <w:pPr>
        <w:pStyle w:val="40"/>
        <w:keepNext w:val="0"/>
        <w:keepLines w:val="0"/>
        <w:pageBreakBefore w:val="0"/>
        <w:widowControl w:val="0"/>
        <w:numPr>
          <w:ilvl w:val="2"/>
          <w:numId w:val="9"/>
        </w:numPr>
        <w:shd w:val="clear" w:color="auto" w:fill="auto"/>
        <w:kinsoku/>
        <w:wordWrap/>
        <w:overflowPunct/>
        <w:topLinePunct w:val="0"/>
        <w:autoSpaceDE/>
        <w:autoSpaceDN/>
        <w:bidi w:val="0"/>
        <w:spacing w:line="360" w:lineRule="auto"/>
        <w:ind w:left="0" w:leftChars="0" w:firstLine="424" w:firstLineChars="200"/>
        <w:jc w:val="left"/>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投标人提供两个或两个以上投标报价，或者在投标文件中提供一个报价，但同时提供两个或两个以上供货方案的，视为提供备选方案。</w:t>
      </w:r>
    </w:p>
    <w:p w14:paraId="7A09EC2D">
      <w:pPr>
        <w:pStyle w:val="4"/>
        <w:keepNext w:val="0"/>
        <w:keepLines w:val="0"/>
        <w:pageBreakBefore w:val="0"/>
        <w:widowControl w:val="0"/>
        <w:numPr>
          <w:ilvl w:val="1"/>
          <w:numId w:val="8"/>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spacing w:val="-1"/>
          <w:highlight w:val="none"/>
        </w:rPr>
      </w:pPr>
      <w:bookmarkStart w:id="34" w:name="_bookmark45"/>
      <w:bookmarkEnd w:id="34"/>
      <w:r>
        <w:rPr>
          <w:rFonts w:hint="eastAsia" w:ascii="宋体" w:hAnsi="宋体" w:eastAsia="宋体" w:cs="宋体"/>
          <w:color w:val="auto"/>
          <w:spacing w:val="-1"/>
          <w:highlight w:val="none"/>
        </w:rPr>
        <w:t>投标文件的编制</w:t>
      </w:r>
    </w:p>
    <w:p w14:paraId="136102D0">
      <w:pPr>
        <w:pStyle w:val="40"/>
        <w:keepNext w:val="0"/>
        <w:keepLines w:val="0"/>
        <w:pageBreakBefore w:val="0"/>
        <w:widowControl w:val="0"/>
        <w:numPr>
          <w:ilvl w:val="2"/>
          <w:numId w:val="10"/>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投标文件应按第六章</w:t>
      </w:r>
      <w:r>
        <w:rPr>
          <w:rFonts w:hint="eastAsia" w:ascii="宋体" w:hAnsi="宋体" w:eastAsia="宋体" w:cs="宋体"/>
          <w:i/>
          <w:color w:val="auto"/>
          <w:sz w:val="22"/>
          <w:szCs w:val="22"/>
          <w:highlight w:val="none"/>
          <w:lang w:eastAsia="zh-CN"/>
        </w:rPr>
        <w:t>“</w:t>
      </w:r>
      <w:r>
        <w:rPr>
          <w:rFonts w:hint="eastAsia" w:ascii="宋体" w:hAnsi="宋体" w:eastAsia="宋体" w:cs="宋体"/>
          <w:color w:val="auto"/>
          <w:spacing w:val="-3"/>
          <w:sz w:val="22"/>
          <w:szCs w:val="22"/>
          <w:highlight w:val="none"/>
        </w:rPr>
        <w:t>投标文件格式</w:t>
      </w:r>
      <w:r>
        <w:rPr>
          <w:rFonts w:hint="eastAsia" w:ascii="宋体" w:hAnsi="宋体" w:eastAsia="宋体" w:cs="宋体"/>
          <w:i/>
          <w:color w:val="auto"/>
          <w:sz w:val="22"/>
          <w:szCs w:val="22"/>
          <w:highlight w:val="none"/>
          <w:lang w:eastAsia="zh-CN"/>
        </w:rPr>
        <w:t>”</w:t>
      </w:r>
      <w:r>
        <w:rPr>
          <w:rFonts w:hint="eastAsia" w:ascii="宋体" w:hAnsi="宋体" w:eastAsia="宋体" w:cs="宋体"/>
          <w:color w:val="auto"/>
          <w:spacing w:val="-9"/>
          <w:sz w:val="22"/>
          <w:szCs w:val="22"/>
          <w:highlight w:val="none"/>
        </w:rPr>
        <w:t>进行编写，如有必要，可以增加附页，作为投标</w:t>
      </w:r>
      <w:r>
        <w:rPr>
          <w:rFonts w:hint="eastAsia" w:ascii="宋体" w:hAnsi="宋体" w:eastAsia="宋体" w:cs="宋体"/>
          <w:color w:val="auto"/>
          <w:spacing w:val="-5"/>
          <w:sz w:val="22"/>
          <w:szCs w:val="22"/>
          <w:highlight w:val="none"/>
        </w:rPr>
        <w:t>文件的组成部分。</w:t>
      </w:r>
    </w:p>
    <w:p w14:paraId="33897AA9">
      <w:pPr>
        <w:pStyle w:val="40"/>
        <w:keepNext w:val="0"/>
        <w:keepLines w:val="0"/>
        <w:pageBreakBefore w:val="0"/>
        <w:widowControl w:val="0"/>
        <w:numPr>
          <w:ilvl w:val="2"/>
          <w:numId w:val="10"/>
        </w:numPr>
        <w:shd w:val="clear" w:color="auto" w:fill="auto"/>
        <w:kinsoku/>
        <w:wordWrap/>
        <w:overflowPunct/>
        <w:topLinePunct w:val="0"/>
        <w:autoSpaceDE/>
        <w:autoSpaceDN/>
        <w:bidi w:val="0"/>
        <w:adjustRightInd w:val="0"/>
        <w:spacing w:line="360" w:lineRule="auto"/>
        <w:ind w:left="0" w:leftChars="0" w:firstLine="412"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投标文件应当对招标文件有关</w:t>
      </w:r>
      <w:r>
        <w:rPr>
          <w:rFonts w:hint="eastAsia" w:ascii="宋体" w:hAnsi="宋体" w:eastAsia="宋体" w:cs="宋体"/>
          <w:color w:val="auto"/>
          <w:spacing w:val="0"/>
          <w:sz w:val="22"/>
          <w:szCs w:val="22"/>
          <w:highlight w:val="none"/>
          <w:lang w:val="en-US" w:eastAsia="zh-CN"/>
        </w:rPr>
        <w:t>交货期</w:t>
      </w:r>
      <w:r>
        <w:rPr>
          <w:rFonts w:hint="eastAsia" w:ascii="宋体" w:hAnsi="宋体" w:eastAsia="宋体" w:cs="宋体"/>
          <w:color w:val="auto"/>
          <w:spacing w:val="-7"/>
          <w:sz w:val="22"/>
          <w:szCs w:val="22"/>
          <w:highlight w:val="none"/>
        </w:rPr>
        <w:t>、投标有效期、用户需求书、招标范围等实质性内</w:t>
      </w:r>
      <w:r>
        <w:rPr>
          <w:rFonts w:hint="eastAsia" w:ascii="宋体" w:hAnsi="宋体" w:eastAsia="宋体" w:cs="宋体"/>
          <w:color w:val="auto"/>
          <w:spacing w:val="-8"/>
          <w:sz w:val="22"/>
          <w:szCs w:val="22"/>
          <w:highlight w:val="none"/>
        </w:rPr>
        <w:t>容作出响应。投标文件在满足招标文件实质性要求的基础上，可以提出比招标文件要求更有利</w:t>
      </w:r>
      <w:r>
        <w:rPr>
          <w:rFonts w:hint="eastAsia" w:ascii="宋体" w:hAnsi="宋体" w:eastAsia="宋体" w:cs="宋体"/>
          <w:color w:val="auto"/>
          <w:spacing w:val="-3"/>
          <w:sz w:val="22"/>
          <w:szCs w:val="22"/>
          <w:highlight w:val="none"/>
        </w:rPr>
        <w:t>于招标人的承诺。</w:t>
      </w:r>
    </w:p>
    <w:p w14:paraId="51B831CB">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3.7.3</w:t>
      </w:r>
      <w:r>
        <w:rPr>
          <w:rFonts w:hint="eastAsia" w:ascii="宋体" w:hAnsi="宋体" w:eastAsia="宋体" w:cs="宋体"/>
          <w:color w:val="auto"/>
          <w:sz w:val="22"/>
          <w:szCs w:val="22"/>
          <w:highlight w:val="none"/>
          <w:u w:val="single"/>
        </w:rPr>
        <w:t>投标文件全部采用电子文档，除投标人须知前附表另有规定外，投标文件所附证书证件均为原件</w:t>
      </w:r>
      <w:r>
        <w:rPr>
          <w:rFonts w:hint="eastAsia" w:ascii="宋体" w:hAnsi="宋体" w:eastAsia="宋体" w:cs="宋体"/>
          <w:color w:val="auto"/>
          <w:sz w:val="22"/>
          <w:szCs w:val="22"/>
          <w:highlight w:val="none"/>
          <w:u w:val="single"/>
          <w:lang w:val="en-US" w:eastAsia="zh-CN"/>
        </w:rPr>
        <w:t>清晰</w:t>
      </w:r>
      <w:r>
        <w:rPr>
          <w:rFonts w:hint="eastAsia" w:ascii="宋体" w:hAnsi="宋体" w:eastAsia="宋体" w:cs="宋体"/>
          <w:color w:val="auto"/>
          <w:sz w:val="22"/>
          <w:szCs w:val="22"/>
          <w:highlight w:val="none"/>
          <w:u w:val="single"/>
        </w:rPr>
        <w:t>扫描件，并采用单位数字证书，按招标文件要求在相应位置</w:t>
      </w:r>
      <w:r>
        <w:rPr>
          <w:rFonts w:hint="eastAsia" w:ascii="宋体" w:hAnsi="宋体" w:eastAsia="宋体" w:cs="宋体"/>
          <w:color w:val="auto"/>
          <w:sz w:val="22"/>
          <w:szCs w:val="22"/>
          <w:highlight w:val="none"/>
          <w:u w:val="single"/>
          <w:lang w:val="en-US"/>
        </w:rPr>
        <w:t>加盖电子印章</w:t>
      </w:r>
      <w:r>
        <w:rPr>
          <w:rFonts w:hint="eastAsia" w:ascii="宋体" w:hAnsi="宋体" w:eastAsia="宋体" w:cs="宋体"/>
          <w:color w:val="auto"/>
          <w:sz w:val="22"/>
          <w:szCs w:val="22"/>
          <w:highlight w:val="none"/>
          <w:u w:val="single"/>
        </w:rPr>
        <w:t>。</w:t>
      </w:r>
    </w:p>
    <w:p w14:paraId="2BBDBF4E">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由投标人的法定代表人(单位负责人)签字</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或盖</w:t>
      </w:r>
      <w:r>
        <w:rPr>
          <w:rFonts w:hint="eastAsia" w:ascii="宋体" w:hAnsi="宋体" w:cs="宋体"/>
          <w:color w:val="auto"/>
          <w:sz w:val="22"/>
          <w:szCs w:val="22"/>
          <w:highlight w:val="none"/>
          <w:u w:val="single"/>
          <w:lang w:val="en-US" w:eastAsia="zh-CN"/>
        </w:rPr>
        <w:t>私</w:t>
      </w:r>
      <w:r>
        <w:rPr>
          <w:rFonts w:hint="eastAsia" w:ascii="宋体" w:hAnsi="宋体" w:eastAsia="宋体" w:cs="宋体"/>
          <w:color w:val="auto"/>
          <w:sz w:val="22"/>
          <w:szCs w:val="22"/>
          <w:highlight w:val="none"/>
          <w:u w:val="single"/>
          <w:lang w:val="en-US" w:eastAsia="zh-CN"/>
        </w:rPr>
        <w:t>章</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的</w:t>
      </w:r>
      <w:r>
        <w:rPr>
          <w:rFonts w:hint="eastAsia" w:ascii="宋体" w:hAnsi="宋体" w:eastAsia="宋体" w:cs="宋体"/>
          <w:color w:val="auto"/>
          <w:sz w:val="22"/>
          <w:szCs w:val="22"/>
          <w:highlight w:val="none"/>
          <w:u w:val="single"/>
        </w:rPr>
        <w:t>，应附法定代表人(单位负责人)身份证明，由代理人签字</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或盖</w:t>
      </w:r>
      <w:r>
        <w:rPr>
          <w:rFonts w:hint="eastAsia" w:ascii="宋体" w:hAnsi="宋体" w:cs="宋体"/>
          <w:color w:val="auto"/>
          <w:sz w:val="22"/>
          <w:szCs w:val="22"/>
          <w:highlight w:val="none"/>
          <w:u w:val="single"/>
          <w:lang w:val="en-US" w:eastAsia="zh-CN"/>
        </w:rPr>
        <w:t>私</w:t>
      </w:r>
      <w:r>
        <w:rPr>
          <w:rFonts w:hint="eastAsia" w:ascii="宋体" w:hAnsi="宋体" w:eastAsia="宋体" w:cs="宋体"/>
          <w:color w:val="auto"/>
          <w:sz w:val="22"/>
          <w:szCs w:val="22"/>
          <w:highlight w:val="none"/>
          <w:u w:val="single"/>
          <w:lang w:val="en-US" w:eastAsia="zh-CN"/>
        </w:rPr>
        <w:t>章</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的，应附法定代表人身份证明及授权委托书。签字或盖章的具体要求见投标人须知前附表。按照交易平台关于全流程电子化项目的相关指南进行操作。</w:t>
      </w:r>
    </w:p>
    <w:p w14:paraId="031CC7A7">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pacing w:val="2"/>
          <w:sz w:val="22"/>
          <w:szCs w:val="22"/>
          <w:highlight w:val="none"/>
        </w:rPr>
      </w:pPr>
      <w:r>
        <w:rPr>
          <w:rFonts w:hint="eastAsia" w:ascii="宋体" w:hAnsi="宋体" w:cs="宋体"/>
          <w:color w:val="auto"/>
          <w:sz w:val="22"/>
          <w:szCs w:val="22"/>
          <w:highlight w:val="none"/>
          <w:u w:val="single"/>
          <w:lang w:val="en-US" w:eastAsia="zh-CN"/>
        </w:rPr>
        <w:t>3.7.4</w:t>
      </w:r>
      <w:r>
        <w:rPr>
          <w:rFonts w:hint="eastAsia" w:ascii="宋体" w:hAnsi="宋体" w:eastAsia="宋体" w:cs="宋体"/>
          <w:color w:val="auto"/>
          <w:highlight w:val="none"/>
        </w:rPr>
        <w:t>投标文件份数</w:t>
      </w:r>
      <w:r>
        <w:rPr>
          <w:rFonts w:hint="eastAsia" w:ascii="宋体" w:hAnsi="宋体" w:eastAsia="宋体" w:cs="宋体"/>
          <w:color w:val="auto"/>
          <w:highlight w:val="none"/>
          <w:lang w:val="en-US" w:eastAsia="zh-CN"/>
        </w:rPr>
        <w:t>详</w:t>
      </w:r>
      <w:r>
        <w:rPr>
          <w:rFonts w:hint="eastAsia" w:ascii="宋体" w:hAnsi="宋体" w:eastAsia="宋体" w:cs="宋体"/>
          <w:color w:val="auto"/>
          <w:highlight w:val="none"/>
        </w:rPr>
        <w:t>见投标人须知前附表。</w:t>
      </w:r>
    </w:p>
    <w:p w14:paraId="4A801A0D">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35" w:name="_bookmark46"/>
      <w:bookmarkEnd w:id="35"/>
      <w:r>
        <w:rPr>
          <w:rFonts w:hint="eastAsia" w:ascii="宋体" w:hAnsi="宋体" w:eastAsia="宋体" w:cs="宋体"/>
          <w:color w:val="auto"/>
          <w:highlight w:val="none"/>
        </w:rPr>
        <w:t>投标</w:t>
      </w:r>
    </w:p>
    <w:p w14:paraId="47BFFED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highlight w:val="none"/>
        </w:rPr>
      </w:pPr>
      <w:bookmarkStart w:id="36" w:name="_bookmark47"/>
      <w:bookmarkEnd w:id="36"/>
      <w:r>
        <w:rPr>
          <w:rFonts w:hint="eastAsia" w:ascii="宋体" w:hAnsi="宋体" w:eastAsia="宋体" w:cs="宋体"/>
          <w:color w:val="auto"/>
          <w:spacing w:val="-2"/>
          <w:highlight w:val="none"/>
        </w:rPr>
        <w:t>投标文件的密封和标记</w:t>
      </w:r>
    </w:p>
    <w:p w14:paraId="7100757C">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投标人应当按照招标文件和电子招标投标交易平台的要求加密投标文件，具体要求见投标人须知前附表。</w:t>
      </w:r>
    </w:p>
    <w:p w14:paraId="0D2AA1BE">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投标文件封套上应写明的内容见投标人须知前附表。</w:t>
      </w:r>
    </w:p>
    <w:p w14:paraId="1EF5BAD2">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未按本章第4.1.1项要求密封的投标文件，招标人将予以拒收。</w:t>
      </w:r>
    </w:p>
    <w:p w14:paraId="3EE522D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spacing w:val="-2"/>
          <w:highlight w:val="none"/>
        </w:rPr>
      </w:pPr>
      <w:bookmarkStart w:id="37" w:name="_bookmark48"/>
      <w:bookmarkEnd w:id="37"/>
      <w:r>
        <w:rPr>
          <w:rFonts w:hint="eastAsia" w:ascii="宋体" w:hAnsi="宋体" w:eastAsia="宋体" w:cs="宋体"/>
          <w:color w:val="auto"/>
          <w:spacing w:val="-2"/>
          <w:highlight w:val="none"/>
        </w:rPr>
        <w:t>投标文件的递交</w:t>
      </w:r>
    </w:p>
    <w:p w14:paraId="2AF534D4">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投标人应在</w:t>
      </w:r>
      <w:r>
        <w:rPr>
          <w:rFonts w:hint="eastAsia" w:ascii="宋体" w:hAnsi="宋体" w:eastAsia="宋体" w:cs="宋体"/>
          <w:color w:val="auto"/>
          <w:spacing w:val="-1"/>
          <w:sz w:val="22"/>
          <w:szCs w:val="22"/>
          <w:highlight w:val="none"/>
          <w:lang w:val="en-US"/>
        </w:rPr>
        <w:t>投标人须知前附表</w:t>
      </w:r>
      <w:r>
        <w:rPr>
          <w:rFonts w:hint="eastAsia" w:ascii="宋体" w:hAnsi="宋体" w:eastAsia="宋体" w:cs="宋体"/>
          <w:color w:val="auto"/>
          <w:spacing w:val="-1"/>
          <w:sz w:val="22"/>
          <w:szCs w:val="22"/>
          <w:highlight w:val="none"/>
        </w:rPr>
        <w:t>规定的投标截止时间前递交投标文件。</w:t>
      </w:r>
    </w:p>
    <w:p w14:paraId="057318AF">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投标人递交投标文件的地点：投标人通过下载招标文件的电子招标投标交易平台递交电子投标文件。</w:t>
      </w:r>
    </w:p>
    <w:p w14:paraId="6A9DFD2F">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除投标人须知前附表另有规定外，投标人所递交的投标文件不予退还。</w:t>
      </w:r>
    </w:p>
    <w:p w14:paraId="57988FD6">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投标人完成电子投标文件上传后，电子招标投标交易平台即时向投标人发出递交回执通知。递交时间以递交回执通知载明的传输完成时间为准。</w:t>
      </w:r>
    </w:p>
    <w:p w14:paraId="553BB783">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逾期送达的投标文件，电子招标投标交易平台将予以拒收。</w:t>
      </w:r>
    </w:p>
    <w:p w14:paraId="44BB32CD">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spacing w:val="-2"/>
          <w:highlight w:val="none"/>
        </w:rPr>
      </w:pPr>
      <w:bookmarkStart w:id="38" w:name="_bookmark49"/>
      <w:bookmarkEnd w:id="38"/>
      <w:r>
        <w:rPr>
          <w:rFonts w:hint="eastAsia" w:ascii="宋体" w:hAnsi="宋体" w:eastAsia="宋体" w:cs="宋体"/>
          <w:color w:val="auto"/>
          <w:spacing w:val="-2"/>
          <w:highlight w:val="none"/>
        </w:rPr>
        <w:t>投标文件的修改与撤回</w:t>
      </w:r>
    </w:p>
    <w:p w14:paraId="72529628">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在本章第4.2.1项规定的投标截止时间前，投标人可以修改或撤回已递交的投标文件，但需</w:t>
      </w:r>
      <w:r>
        <w:rPr>
          <w:rFonts w:hint="eastAsia" w:ascii="宋体" w:hAnsi="宋体" w:eastAsia="宋体" w:cs="宋体"/>
          <w:color w:val="auto"/>
          <w:spacing w:val="-1"/>
          <w:sz w:val="22"/>
          <w:szCs w:val="22"/>
          <w:highlight w:val="none"/>
          <w:u w:val="single"/>
        </w:rPr>
        <w:t>在交易平台发出撤回通知</w:t>
      </w:r>
      <w:r>
        <w:rPr>
          <w:rFonts w:hint="eastAsia" w:ascii="宋体" w:hAnsi="宋体" w:eastAsia="宋体" w:cs="宋体"/>
          <w:color w:val="auto"/>
          <w:spacing w:val="-1"/>
          <w:sz w:val="22"/>
          <w:szCs w:val="22"/>
          <w:highlight w:val="none"/>
        </w:rPr>
        <w:t>。</w:t>
      </w:r>
    </w:p>
    <w:p w14:paraId="1FCDE8A0">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投标人修改或撤回已递交投标文件的通知，应按照本章第3.7.3项的要求加盖电子印章。电子招标投标交易平台收到通知后，即时向投标人发出确认回执通知。</w:t>
      </w:r>
    </w:p>
    <w:p w14:paraId="1FEFDDB3">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投标人撤回投标文件的，招标人自收到投标人书面撤回通知之日起5日内退还已收取的投标保证金。</w:t>
      </w:r>
    </w:p>
    <w:p w14:paraId="2ACD695E">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修改的内容为投标文件的组成部分。修改的投标文件应按照本章第3条、第4条的规定进行编制、密封、标记和递交，并标明“修改”字样。</w:t>
      </w:r>
    </w:p>
    <w:p w14:paraId="52B8E5F6">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39" w:name="_bookmark50"/>
      <w:bookmarkEnd w:id="39"/>
      <w:r>
        <w:rPr>
          <w:rFonts w:hint="eastAsia" w:ascii="宋体" w:hAnsi="宋体" w:eastAsia="宋体" w:cs="宋体"/>
          <w:color w:val="auto"/>
          <w:highlight w:val="none"/>
        </w:rPr>
        <w:t>开标</w:t>
      </w:r>
    </w:p>
    <w:p w14:paraId="2BAE2F8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40" w:name="_bookmark51"/>
      <w:bookmarkEnd w:id="40"/>
      <w:r>
        <w:rPr>
          <w:rFonts w:hint="eastAsia" w:ascii="宋体" w:hAnsi="宋体" w:eastAsia="宋体" w:cs="宋体"/>
          <w:color w:val="auto"/>
          <w:spacing w:val="-1"/>
          <w:highlight w:val="none"/>
        </w:rPr>
        <w:t>开标时间和地点</w:t>
      </w:r>
    </w:p>
    <w:p w14:paraId="57B0E513">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招标人在本章第4.2.1项规定的投标截止时间（开标时间）,通过电子招标投标交易平台公开开标，所有投标人的法定代表人（单位负责人）或其委托代理人应当准时参加。</w:t>
      </w:r>
    </w:p>
    <w:p w14:paraId="7D3D4C43">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spacing w:val="-1"/>
          <w:highlight w:val="none"/>
        </w:rPr>
      </w:pPr>
      <w:bookmarkStart w:id="41" w:name="_bookmark53"/>
      <w:bookmarkEnd w:id="41"/>
      <w:bookmarkStart w:id="42" w:name="_bookmark52"/>
      <w:bookmarkEnd w:id="42"/>
      <w:r>
        <w:rPr>
          <w:rFonts w:hint="eastAsia" w:ascii="宋体" w:hAnsi="宋体" w:eastAsia="宋体" w:cs="宋体"/>
          <w:color w:val="auto"/>
          <w:spacing w:val="-1"/>
          <w:highlight w:val="none"/>
        </w:rPr>
        <w:t>开标程序</w:t>
      </w:r>
    </w:p>
    <w:p w14:paraId="484F1523">
      <w:pPr>
        <w:pStyle w:val="11"/>
        <w:shd w:val="clear" w:color="auto" w:fill="auto"/>
        <w:adjustRightInd w:val="0"/>
        <w:snapToGrid w:val="0"/>
        <w:spacing w:line="360" w:lineRule="auto"/>
        <w:ind w:left="82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lang w:val="en-US" w:eastAsia="zh-CN"/>
        </w:rPr>
        <w:t>5.2.1</w:t>
      </w:r>
      <w:r>
        <w:rPr>
          <w:rFonts w:hint="eastAsia" w:ascii="宋体" w:hAnsi="宋体" w:eastAsia="宋体" w:cs="宋体"/>
          <w:color w:val="auto"/>
          <w:spacing w:val="0"/>
          <w:sz w:val="22"/>
          <w:szCs w:val="22"/>
          <w:highlight w:val="none"/>
        </w:rPr>
        <w:t>主持人按下列程序</w:t>
      </w:r>
      <w:r>
        <w:rPr>
          <w:rFonts w:hint="eastAsia" w:ascii="宋体" w:hAnsi="宋体" w:eastAsia="宋体" w:cs="宋体"/>
          <w:color w:val="auto"/>
          <w:spacing w:val="0"/>
          <w:sz w:val="22"/>
          <w:szCs w:val="22"/>
          <w:highlight w:val="none"/>
          <w:lang w:val="en-US" w:eastAsia="zh-CN"/>
        </w:rPr>
        <w:t>对投标文件</w:t>
      </w:r>
      <w:r>
        <w:rPr>
          <w:rFonts w:hint="eastAsia" w:ascii="宋体" w:hAnsi="宋体" w:eastAsia="宋体" w:cs="宋体"/>
          <w:color w:val="auto"/>
          <w:spacing w:val="0"/>
          <w:sz w:val="22"/>
          <w:szCs w:val="22"/>
          <w:highlight w:val="none"/>
        </w:rPr>
        <w:t>进行开标：</w:t>
      </w:r>
    </w:p>
    <w:p w14:paraId="39460AC8">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宣布开标纪律；</w:t>
      </w:r>
    </w:p>
    <w:p w14:paraId="6D96ECD0">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公布在投标截止时间前递交投标文件的投标人名称</w:t>
      </w:r>
      <w:r>
        <w:rPr>
          <w:rFonts w:hint="eastAsia" w:ascii="宋体" w:hAnsi="宋体" w:eastAsia="宋体" w:cs="宋体"/>
          <w:color w:val="auto"/>
          <w:spacing w:val="0"/>
          <w:sz w:val="22"/>
          <w:szCs w:val="22"/>
          <w:highlight w:val="none"/>
          <w:lang w:eastAsia="zh-CN"/>
        </w:rPr>
        <w:t>；</w:t>
      </w:r>
    </w:p>
    <w:p w14:paraId="74C31595">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宣布开标人、唱标人、记录人、监标人等有关人员姓名；</w:t>
      </w:r>
    </w:p>
    <w:p w14:paraId="6FFEAF1B">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按照投标人须知前附表规定由投标人推选的代表检查投标文件的密封情况</w:t>
      </w:r>
      <w:r>
        <w:rPr>
          <w:rFonts w:hint="eastAsia" w:ascii="宋体" w:hAnsi="宋体" w:eastAsia="宋体" w:cs="宋体"/>
          <w:color w:val="auto"/>
          <w:spacing w:val="0"/>
          <w:sz w:val="22"/>
          <w:szCs w:val="22"/>
          <w:highlight w:val="none"/>
          <w:lang w:eastAsia="zh-CN"/>
        </w:rPr>
        <w:t>；</w:t>
      </w:r>
    </w:p>
    <w:p w14:paraId="371AFEBB">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按照投标人须知前附表规定的开标顺序当众开标，公布招标项目名称、投标人名称、投标保证金的递交情况、</w:t>
      </w:r>
      <w:r>
        <w:rPr>
          <w:rFonts w:hint="eastAsia" w:cs="宋体"/>
          <w:color w:val="auto"/>
          <w:spacing w:val="0"/>
          <w:sz w:val="22"/>
          <w:szCs w:val="22"/>
          <w:highlight w:val="none"/>
          <w:lang w:eastAsia="zh-CN"/>
        </w:rPr>
        <w:t>服务期</w:t>
      </w:r>
      <w:r>
        <w:rPr>
          <w:rFonts w:hint="eastAsia" w:ascii="宋体" w:hAnsi="宋体" w:eastAsia="宋体" w:cs="宋体"/>
          <w:color w:val="auto"/>
          <w:spacing w:val="0"/>
          <w:sz w:val="22"/>
          <w:szCs w:val="22"/>
          <w:highlight w:val="none"/>
        </w:rPr>
        <w:t>及其他内容，并记录在案</w:t>
      </w:r>
      <w:r>
        <w:rPr>
          <w:rFonts w:hint="eastAsia" w:ascii="宋体" w:hAnsi="宋体" w:eastAsia="宋体" w:cs="宋体"/>
          <w:color w:val="auto"/>
          <w:spacing w:val="0"/>
          <w:sz w:val="22"/>
          <w:szCs w:val="22"/>
          <w:highlight w:val="none"/>
          <w:lang w:eastAsia="zh-CN"/>
        </w:rPr>
        <w:t>；</w:t>
      </w:r>
    </w:p>
    <w:p w14:paraId="6E39A278">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投标人代表、招标人代表、记录人等有关人员在开标记录上签字确认</w:t>
      </w:r>
      <w:r>
        <w:rPr>
          <w:rFonts w:hint="eastAsia" w:ascii="宋体" w:hAnsi="宋体" w:eastAsia="宋体" w:cs="宋体"/>
          <w:color w:val="auto"/>
          <w:spacing w:val="0"/>
          <w:sz w:val="22"/>
          <w:szCs w:val="22"/>
          <w:highlight w:val="none"/>
          <w:lang w:eastAsia="zh-CN"/>
        </w:rPr>
        <w:t>；</w:t>
      </w:r>
    </w:p>
    <w:p w14:paraId="0522A573">
      <w:pPr>
        <w:pStyle w:val="40"/>
        <w:numPr>
          <w:ilvl w:val="2"/>
          <w:numId w:val="11"/>
        </w:numPr>
        <w:shd w:val="clear" w:color="auto" w:fill="auto"/>
        <w:tabs>
          <w:tab w:val="left" w:pos="1350"/>
        </w:tabs>
        <w:adjustRightInd w:val="0"/>
        <w:snapToGrid w:val="0"/>
        <w:spacing w:line="360" w:lineRule="auto"/>
        <w:ind w:hanging="527"/>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开标结束。</w:t>
      </w:r>
    </w:p>
    <w:p w14:paraId="1C0D70E7">
      <w:pPr>
        <w:pStyle w:val="11"/>
        <w:keepNext w:val="0"/>
        <w:keepLines w:val="0"/>
        <w:pageBreakBefore w:val="0"/>
        <w:widowControl w:val="0"/>
        <w:kinsoku/>
        <w:wordWrap/>
        <w:overflowPunct/>
        <w:topLinePunct w:val="0"/>
        <w:autoSpaceDE/>
        <w:autoSpaceDN/>
        <w:bidi w:val="0"/>
        <w:snapToGrid/>
        <w:spacing w:line="360" w:lineRule="auto"/>
        <w:ind w:left="400"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5.2.</w:t>
      </w:r>
      <w:r>
        <w:rPr>
          <w:rFonts w:hint="eastAsia" w:ascii="宋体" w:hAnsi="宋体" w:cs="宋体"/>
          <w:color w:val="auto"/>
          <w:spacing w:val="0"/>
          <w:sz w:val="22"/>
          <w:szCs w:val="22"/>
          <w:highlight w:val="none"/>
          <w:lang w:val="en-US" w:eastAsia="zh-CN"/>
        </w:rPr>
        <w:t>2</w:t>
      </w:r>
      <w:r>
        <w:rPr>
          <w:rFonts w:hint="eastAsia" w:ascii="宋体" w:hAnsi="宋体" w:eastAsia="宋体" w:cs="宋体"/>
          <w:color w:val="auto"/>
          <w:spacing w:val="0"/>
          <w:sz w:val="22"/>
          <w:szCs w:val="22"/>
          <w:highlight w:val="none"/>
        </w:rPr>
        <w:t>在投标文件开标过程中，若招标人宣读的内容与投标文件不符，投标人有权在开标现场提出疑问，经招标人当场核查确认之后，可重新宣读其投标文件。若投标人现场未提出疑问，则认为投标人已确认招标人宣读的内容。</w:t>
      </w:r>
    </w:p>
    <w:p w14:paraId="5A34260B">
      <w:pPr>
        <w:pStyle w:val="4"/>
        <w:numPr>
          <w:ilvl w:val="1"/>
          <w:numId w:val="5"/>
        </w:numPr>
        <w:shd w:val="clear" w:color="auto" w:fill="auto"/>
        <w:tabs>
          <w:tab w:val="left" w:pos="1027"/>
        </w:tabs>
        <w:adjustRightInd w:val="0"/>
        <w:spacing w:line="360" w:lineRule="auto"/>
        <w:ind w:hanging="489"/>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开标异议</w:t>
      </w:r>
    </w:p>
    <w:p w14:paraId="23F40504">
      <w:pPr>
        <w:pStyle w:val="11"/>
        <w:keepNext w:val="0"/>
        <w:keepLines w:val="0"/>
        <w:pageBreakBefore w:val="0"/>
        <w:widowControl w:val="0"/>
        <w:shd w:val="clear" w:color="auto" w:fill="auto"/>
        <w:kinsoku/>
        <w:wordWrap/>
        <w:overflowPunct/>
        <w:topLinePunct w:val="0"/>
        <w:autoSpaceDE/>
        <w:autoSpaceDN/>
        <w:bidi w:val="0"/>
        <w:adjustRightInd w:val="0"/>
        <w:snapToGrid/>
        <w:spacing w:line="360" w:lineRule="auto"/>
        <w:ind w:left="0" w:firstLine="440" w:firstLineChars="200"/>
        <w:textAlignment w:val="auto"/>
        <w:rPr>
          <w:rFonts w:hint="eastAsia" w:ascii="宋体" w:hAnsi="宋体" w:eastAsia="宋体" w:cs="宋体"/>
          <w:color w:val="auto"/>
          <w:spacing w:val="0"/>
          <w:sz w:val="22"/>
          <w:szCs w:val="22"/>
          <w:highlight w:val="none"/>
          <w:u w:val="single"/>
          <w:lang w:eastAsia="zh-CN"/>
        </w:rPr>
      </w:pPr>
      <w:r>
        <w:rPr>
          <w:rFonts w:hint="eastAsia" w:ascii="宋体" w:hAnsi="宋体" w:eastAsia="宋体" w:cs="宋体"/>
          <w:color w:val="auto"/>
          <w:spacing w:val="0"/>
          <w:sz w:val="22"/>
          <w:szCs w:val="22"/>
          <w:highlight w:val="none"/>
          <w:u w:val="single"/>
        </w:rPr>
        <w:t>投标人对开标有异议的，应当在开标现场提出，招标人当场作出答复，并制作记录，有异议的投标人代表、招标人代表、记录人等有关人员在记录上签字确认</w:t>
      </w:r>
      <w:r>
        <w:rPr>
          <w:rFonts w:hint="eastAsia" w:ascii="宋体" w:hAnsi="宋体" w:eastAsia="宋体" w:cs="宋体"/>
          <w:color w:val="auto"/>
          <w:spacing w:val="0"/>
          <w:sz w:val="22"/>
          <w:szCs w:val="22"/>
          <w:highlight w:val="none"/>
          <w:u w:val="single"/>
          <w:lang w:eastAsia="zh-CN"/>
        </w:rPr>
        <w:t>。</w:t>
      </w:r>
    </w:p>
    <w:p w14:paraId="561B9CEE">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43" w:name="_bookmark55"/>
      <w:bookmarkEnd w:id="43"/>
      <w:r>
        <w:rPr>
          <w:rFonts w:hint="eastAsia" w:ascii="宋体" w:hAnsi="宋体" w:eastAsia="宋体" w:cs="宋体"/>
          <w:color w:val="auto"/>
          <w:highlight w:val="none"/>
        </w:rPr>
        <w:t>评标</w:t>
      </w:r>
    </w:p>
    <w:p w14:paraId="77C56957">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44" w:name="_bookmark56"/>
      <w:bookmarkEnd w:id="44"/>
      <w:r>
        <w:rPr>
          <w:rFonts w:hint="eastAsia" w:ascii="宋体" w:hAnsi="宋体" w:eastAsia="宋体" w:cs="宋体"/>
          <w:color w:val="auto"/>
          <w:highlight w:val="none"/>
        </w:rPr>
        <w:t>评标委员会</w:t>
      </w:r>
    </w:p>
    <w:p w14:paraId="028AC675">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12"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评标由招标人依法组建的评标委员会负责。评标委员会由招标人或其委托的招标代理机构熟悉相关业务的代表，以及有关技术、经济等方面的专家组成。评标委员会成员人数以及</w:t>
      </w:r>
      <w:r>
        <w:rPr>
          <w:rFonts w:hint="eastAsia" w:ascii="宋体" w:hAnsi="宋体" w:eastAsia="宋体" w:cs="宋体"/>
          <w:color w:val="auto"/>
          <w:spacing w:val="-5"/>
          <w:sz w:val="22"/>
          <w:szCs w:val="22"/>
          <w:highlight w:val="none"/>
        </w:rPr>
        <w:t>技术、经济等方面专家的确定方式见投标人须知前附表。</w:t>
      </w:r>
    </w:p>
    <w:p w14:paraId="7F5AEF32">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评标委员会成员有下列情形之一的，应当回避：</w:t>
      </w:r>
    </w:p>
    <w:p w14:paraId="0EE26A1D">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投标人或投标人主要负责人的近亲属；</w:t>
      </w:r>
    </w:p>
    <w:p w14:paraId="09A14786">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项目主管部门或者行政监督部门的人员；</w:t>
      </w:r>
    </w:p>
    <w:p w14:paraId="25708C93">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与投标人有经济利益关系，可能影响对投标公正评审的；</w:t>
      </w:r>
    </w:p>
    <w:p w14:paraId="03651827">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val="0"/>
        <w:spacing w:line="360" w:lineRule="auto"/>
        <w:ind w:left="0" w:leftChars="0" w:firstLine="436"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曾因在招标、评标以及其他与招标投标有关活动中从事违法行为而受过行政处罚</w:t>
      </w:r>
      <w:r>
        <w:rPr>
          <w:rFonts w:hint="eastAsia" w:ascii="宋体" w:hAnsi="宋体" w:eastAsia="宋体" w:cs="宋体"/>
          <w:color w:val="auto"/>
          <w:spacing w:val="-2"/>
          <w:sz w:val="22"/>
          <w:szCs w:val="22"/>
          <w:highlight w:val="none"/>
        </w:rPr>
        <w:t>或刑事处罚的；</w:t>
      </w:r>
    </w:p>
    <w:p w14:paraId="00D7CA73">
      <w:pPr>
        <w:pStyle w:val="40"/>
        <w:keepNext w:val="0"/>
        <w:keepLines w:val="0"/>
        <w:pageBreakBefore w:val="0"/>
        <w:widowControl w:val="0"/>
        <w:numPr>
          <w:ilvl w:val="3"/>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与投标人有其他利害关系。</w:t>
      </w:r>
    </w:p>
    <w:p w14:paraId="0C010299">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0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评标过程中，评标委员会成员有回避事由、擅离职守或者因健康等原因不能继续评标</w:t>
      </w:r>
      <w:r>
        <w:rPr>
          <w:rFonts w:hint="eastAsia" w:ascii="宋体" w:hAnsi="宋体" w:eastAsia="宋体" w:cs="宋体"/>
          <w:color w:val="auto"/>
          <w:spacing w:val="-9"/>
          <w:sz w:val="22"/>
          <w:szCs w:val="22"/>
          <w:highlight w:val="none"/>
        </w:rPr>
        <w:t>的，招标人有权更换。被更换的评标委员会成员作出的评审结论无效，由更换后的评标委员会</w:t>
      </w:r>
      <w:r>
        <w:rPr>
          <w:rFonts w:hint="eastAsia" w:ascii="宋体" w:hAnsi="宋体" w:eastAsia="宋体" w:cs="宋体"/>
          <w:color w:val="auto"/>
          <w:spacing w:val="-5"/>
          <w:sz w:val="22"/>
          <w:szCs w:val="22"/>
          <w:highlight w:val="none"/>
        </w:rPr>
        <w:t>成员重新进行评审。</w:t>
      </w:r>
    </w:p>
    <w:p w14:paraId="6D0D3ABE">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45" w:name="_bookmark57"/>
      <w:bookmarkEnd w:id="45"/>
      <w:r>
        <w:rPr>
          <w:rFonts w:hint="eastAsia" w:ascii="宋体" w:hAnsi="宋体" w:eastAsia="宋体" w:cs="宋体"/>
          <w:color w:val="auto"/>
          <w:highlight w:val="none"/>
        </w:rPr>
        <w:t>评标原则</w:t>
      </w:r>
    </w:p>
    <w:p w14:paraId="4B8D41FE">
      <w:pPr>
        <w:pStyle w:val="4"/>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04" w:firstLineChars="200"/>
        <w:jc w:val="left"/>
        <w:textAlignment w:val="auto"/>
        <w:rPr>
          <w:rFonts w:hint="eastAsia" w:ascii="宋体" w:hAnsi="宋体" w:eastAsia="宋体" w:cs="宋体"/>
          <w:color w:val="auto"/>
          <w:spacing w:val="-9"/>
          <w:sz w:val="22"/>
          <w:szCs w:val="22"/>
          <w:highlight w:val="none"/>
        </w:rPr>
      </w:pPr>
      <w:r>
        <w:rPr>
          <w:rFonts w:hint="eastAsia" w:ascii="宋体" w:hAnsi="宋体" w:eastAsia="宋体" w:cs="宋体"/>
          <w:color w:val="auto"/>
          <w:spacing w:val="-9"/>
          <w:sz w:val="22"/>
          <w:szCs w:val="22"/>
          <w:highlight w:val="none"/>
        </w:rPr>
        <w:t>评标活动遵循公平、公正、科学和择优的原则。</w:t>
      </w:r>
      <w:bookmarkStart w:id="46" w:name="_bookmark58"/>
      <w:bookmarkEnd w:id="46"/>
    </w:p>
    <w:p w14:paraId="3A7E06EE">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w:t>
      </w:r>
    </w:p>
    <w:p w14:paraId="32A9A60A">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28"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评标委员会按照第三章</w:t>
      </w:r>
      <w:r>
        <w:rPr>
          <w:rFonts w:hint="eastAsia" w:ascii="宋体" w:hAnsi="宋体" w:eastAsia="宋体" w:cs="宋体"/>
          <w:i/>
          <w:color w:val="auto"/>
          <w:sz w:val="22"/>
          <w:szCs w:val="22"/>
          <w:highlight w:val="none"/>
        </w:rPr>
        <w:t>“</w:t>
      </w:r>
      <w:r>
        <w:rPr>
          <w:rFonts w:hint="eastAsia" w:ascii="宋体" w:hAnsi="宋体" w:eastAsia="宋体" w:cs="宋体"/>
          <w:color w:val="auto"/>
          <w:spacing w:val="-3"/>
          <w:sz w:val="22"/>
          <w:szCs w:val="22"/>
          <w:highlight w:val="none"/>
        </w:rPr>
        <w:t>评标办法</w:t>
      </w:r>
      <w:r>
        <w:rPr>
          <w:rFonts w:hint="eastAsia" w:ascii="宋体" w:hAnsi="宋体" w:eastAsia="宋体" w:cs="宋体"/>
          <w:i/>
          <w:color w:val="auto"/>
          <w:sz w:val="22"/>
          <w:szCs w:val="22"/>
          <w:highlight w:val="none"/>
        </w:rPr>
        <w:t>”</w:t>
      </w:r>
      <w:r>
        <w:rPr>
          <w:rFonts w:hint="eastAsia" w:ascii="宋体" w:hAnsi="宋体" w:eastAsia="宋体" w:cs="宋体"/>
          <w:color w:val="auto"/>
          <w:spacing w:val="-3"/>
          <w:sz w:val="22"/>
          <w:szCs w:val="22"/>
          <w:highlight w:val="none"/>
        </w:rPr>
        <w:t>规定的方法、评审因素、标准和程序对投标文件进行评审。第三章</w:t>
      </w:r>
      <w:r>
        <w:rPr>
          <w:rFonts w:hint="eastAsia" w:ascii="宋体" w:hAnsi="宋体" w:eastAsia="宋体" w:cs="宋体"/>
          <w:i/>
          <w:color w:val="auto"/>
          <w:sz w:val="22"/>
          <w:szCs w:val="22"/>
          <w:highlight w:val="none"/>
        </w:rPr>
        <w:t>“</w:t>
      </w:r>
      <w:r>
        <w:rPr>
          <w:rFonts w:hint="eastAsia" w:ascii="宋体" w:hAnsi="宋体" w:eastAsia="宋体" w:cs="宋体"/>
          <w:color w:val="auto"/>
          <w:spacing w:val="-3"/>
          <w:sz w:val="22"/>
          <w:szCs w:val="22"/>
          <w:highlight w:val="none"/>
        </w:rPr>
        <w:t>评标办法</w:t>
      </w:r>
      <w:r>
        <w:rPr>
          <w:rFonts w:hint="eastAsia" w:ascii="宋体" w:hAnsi="宋体" w:eastAsia="宋体" w:cs="宋体"/>
          <w:i/>
          <w:color w:val="auto"/>
          <w:sz w:val="22"/>
          <w:szCs w:val="22"/>
          <w:highlight w:val="none"/>
        </w:rPr>
        <w:t>”</w:t>
      </w:r>
      <w:r>
        <w:rPr>
          <w:rFonts w:hint="eastAsia" w:ascii="宋体" w:hAnsi="宋体" w:eastAsia="宋体" w:cs="宋体"/>
          <w:color w:val="auto"/>
          <w:spacing w:val="-3"/>
          <w:sz w:val="22"/>
          <w:szCs w:val="22"/>
          <w:highlight w:val="none"/>
        </w:rPr>
        <w:t>没有规定的方法、评审因素和标准，不作为评标依据。</w:t>
      </w:r>
    </w:p>
    <w:p w14:paraId="60429B56">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16"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评标完成后，评标委员会应当向招标人提交书面评标报告和中标候选人名单。评标委</w:t>
      </w:r>
      <w:r>
        <w:rPr>
          <w:rFonts w:hint="eastAsia" w:ascii="宋体" w:hAnsi="宋体" w:eastAsia="宋体" w:cs="宋体"/>
          <w:color w:val="auto"/>
          <w:spacing w:val="-4"/>
          <w:sz w:val="22"/>
          <w:szCs w:val="22"/>
          <w:highlight w:val="none"/>
        </w:rPr>
        <w:t>员会推荐中标候选人的人数见投标人须知前附表。</w:t>
      </w:r>
    </w:p>
    <w:p w14:paraId="3D959F90">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47" w:name="_bookmark59"/>
      <w:bookmarkEnd w:id="47"/>
      <w:r>
        <w:rPr>
          <w:rFonts w:hint="eastAsia" w:ascii="宋体" w:hAnsi="宋体" w:eastAsia="宋体" w:cs="宋体"/>
          <w:color w:val="auto"/>
          <w:highlight w:val="none"/>
        </w:rPr>
        <w:t>合同授予</w:t>
      </w:r>
    </w:p>
    <w:p w14:paraId="62E09A4F">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48" w:name="_bookmark60"/>
      <w:bookmarkEnd w:id="48"/>
      <w:r>
        <w:rPr>
          <w:rFonts w:hint="eastAsia" w:ascii="宋体" w:hAnsi="宋体" w:eastAsia="宋体" w:cs="宋体"/>
          <w:color w:val="auto"/>
          <w:spacing w:val="-1"/>
          <w:highlight w:val="none"/>
        </w:rPr>
        <w:t>中标候选人公示</w:t>
      </w:r>
    </w:p>
    <w:p w14:paraId="617B2553">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招标人在收到评标报告之日起3日内，按照投标人须知前附表规定的公示媒介和期限公示</w:t>
      </w:r>
      <w:r>
        <w:rPr>
          <w:rFonts w:hint="eastAsia" w:ascii="宋体" w:hAnsi="宋体" w:eastAsia="宋体" w:cs="宋体"/>
          <w:color w:val="auto"/>
          <w:spacing w:val="-6"/>
          <w:sz w:val="22"/>
          <w:szCs w:val="22"/>
          <w:highlight w:val="none"/>
        </w:rPr>
        <w:t>中标候选人，公示期不得少于</w:t>
      </w:r>
      <w:r>
        <w:rPr>
          <w:rFonts w:hint="eastAsia" w:ascii="宋体" w:hAnsi="宋体" w:eastAsia="宋体" w:cs="宋体"/>
          <w:color w:val="auto"/>
          <w:sz w:val="22"/>
          <w:szCs w:val="22"/>
          <w:highlight w:val="none"/>
        </w:rPr>
        <w:t>3天（最后一天为工作日）。</w:t>
      </w:r>
    </w:p>
    <w:p w14:paraId="39D80F7D">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8" w:firstLineChars="100"/>
        <w:jc w:val="left"/>
        <w:textAlignment w:val="auto"/>
        <w:rPr>
          <w:rFonts w:hint="eastAsia" w:ascii="宋体" w:hAnsi="宋体" w:eastAsia="宋体" w:cs="宋体"/>
          <w:color w:val="auto"/>
          <w:highlight w:val="none"/>
        </w:rPr>
      </w:pPr>
      <w:bookmarkStart w:id="49" w:name="_bookmark61"/>
      <w:bookmarkEnd w:id="49"/>
      <w:r>
        <w:rPr>
          <w:rFonts w:hint="eastAsia" w:ascii="宋体" w:hAnsi="宋体" w:eastAsia="宋体" w:cs="宋体"/>
          <w:color w:val="auto"/>
          <w:spacing w:val="-1"/>
          <w:highlight w:val="none"/>
        </w:rPr>
        <w:t>评标结果异议</w:t>
      </w:r>
    </w:p>
    <w:p w14:paraId="1C746AD5">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投标人或者其他利害关系人对评标结果有异议的，应当在中标候选人公示期间提出。招标人将在收到异议之日起3日内作出答复；作出答复前，将暂停招标投标活动。</w:t>
      </w:r>
    </w:p>
    <w:p w14:paraId="6F92A691">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highlight w:val="none"/>
        </w:rPr>
      </w:pPr>
      <w:bookmarkStart w:id="50" w:name="_bookmark62"/>
      <w:bookmarkEnd w:id="50"/>
      <w:r>
        <w:rPr>
          <w:rFonts w:hint="eastAsia" w:ascii="宋体" w:hAnsi="宋体" w:eastAsia="宋体" w:cs="宋体"/>
          <w:color w:val="auto"/>
          <w:spacing w:val="-2"/>
          <w:highlight w:val="none"/>
        </w:rPr>
        <w:t>中标候选人履约能力审查</w:t>
      </w:r>
    </w:p>
    <w:p w14:paraId="3746B283">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45C337C">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51" w:name="_bookmark63"/>
      <w:bookmarkEnd w:id="51"/>
      <w:r>
        <w:rPr>
          <w:rFonts w:hint="eastAsia" w:ascii="宋体" w:hAnsi="宋体" w:eastAsia="宋体" w:cs="宋体"/>
          <w:color w:val="auto"/>
          <w:highlight w:val="none"/>
        </w:rPr>
        <w:t>定标</w:t>
      </w:r>
    </w:p>
    <w:p w14:paraId="753AAB9A">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按照投标人须知前附表的规定，招标人或招标人授权的评标委员会依法确定中标人。</w:t>
      </w:r>
    </w:p>
    <w:p w14:paraId="1CECB7D5">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52" w:name="_bookmark64"/>
      <w:bookmarkEnd w:id="52"/>
      <w:r>
        <w:rPr>
          <w:rFonts w:hint="eastAsia" w:ascii="宋体" w:hAnsi="宋体" w:eastAsia="宋体" w:cs="宋体"/>
          <w:color w:val="auto"/>
          <w:highlight w:val="none"/>
        </w:rPr>
        <w:t>中标通知</w:t>
      </w:r>
    </w:p>
    <w:p w14:paraId="5DFAE579">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在本章第 3.3 款规定的投标有效期内，</w:t>
      </w:r>
      <w:r>
        <w:rPr>
          <w:rFonts w:hint="eastAsia" w:ascii="宋体" w:hAnsi="宋体" w:eastAsia="宋体" w:cs="宋体"/>
          <w:color w:val="auto"/>
          <w:sz w:val="22"/>
          <w:szCs w:val="22"/>
          <w:highlight w:val="none"/>
          <w:lang w:val="en-US" w:eastAsia="zh-CN"/>
        </w:rPr>
        <w:t>由</w:t>
      </w:r>
      <w:r>
        <w:rPr>
          <w:rFonts w:hint="eastAsia" w:ascii="宋体" w:hAnsi="宋体" w:eastAsia="宋体" w:cs="宋体"/>
          <w:color w:val="auto"/>
          <w:sz w:val="22"/>
          <w:szCs w:val="22"/>
          <w:highlight w:val="none"/>
          <w:u w:val="single"/>
        </w:rPr>
        <w:t>招标人</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或招标代理</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将中标结果通过</w:t>
      </w:r>
      <w:r>
        <w:rPr>
          <w:rFonts w:hint="eastAsia" w:ascii="宋体" w:hAnsi="宋体" w:eastAsia="宋体" w:cs="宋体"/>
          <w:color w:val="auto"/>
          <w:sz w:val="22"/>
          <w:szCs w:val="22"/>
          <w:highlight w:val="none"/>
          <w:u w:val="single"/>
          <w:lang w:val="en-US" w:eastAsia="zh-CN"/>
        </w:rPr>
        <w:t>广州公共资源交易中心</w:t>
      </w:r>
      <w:r>
        <w:rPr>
          <w:rFonts w:hint="eastAsia" w:ascii="宋体" w:hAnsi="宋体" w:eastAsia="宋体" w:cs="宋体"/>
          <w:color w:val="auto"/>
          <w:spacing w:val="-3"/>
          <w:sz w:val="22"/>
          <w:szCs w:val="22"/>
          <w:highlight w:val="none"/>
          <w:u w:val="single"/>
          <w:lang w:val="en-US" w:eastAsia="zh-CN"/>
        </w:rPr>
        <w:t>网站</w:t>
      </w:r>
      <w:r>
        <w:rPr>
          <w:rFonts w:hint="eastAsia" w:ascii="宋体" w:hAnsi="宋体" w:eastAsia="宋体" w:cs="宋体"/>
          <w:color w:val="auto"/>
          <w:sz w:val="22"/>
          <w:szCs w:val="22"/>
          <w:highlight w:val="none"/>
          <w:u w:val="single"/>
        </w:rPr>
        <w:t>公开发布。中标人须对其投标文件真实性负责，并准备投标文件涉及的所有原件待查，如存在弄虚作假情况或原件不齐或与原件不符的，招标人有权取消其中标人资格，并上报行政主管部门</w:t>
      </w:r>
      <w:r>
        <w:rPr>
          <w:rFonts w:hint="eastAsia" w:ascii="宋体" w:hAnsi="宋体" w:eastAsia="宋体" w:cs="宋体"/>
          <w:color w:val="auto"/>
          <w:sz w:val="22"/>
          <w:szCs w:val="22"/>
          <w:highlight w:val="none"/>
        </w:rPr>
        <w:t>。</w:t>
      </w:r>
    </w:p>
    <w:p w14:paraId="4E3C2DCE">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53" w:name="_bookmark65"/>
      <w:bookmarkEnd w:id="53"/>
      <w:r>
        <w:rPr>
          <w:rFonts w:hint="eastAsia" w:ascii="宋体" w:hAnsi="宋体" w:cs="宋体"/>
          <w:color w:val="auto"/>
          <w:highlight w:val="none"/>
          <w:lang w:eastAsia="zh-CN"/>
        </w:rPr>
        <w:t>履约担保</w:t>
      </w:r>
    </w:p>
    <w:p w14:paraId="3414164B">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7.6.1</w:t>
      </w:r>
      <w:r>
        <w:rPr>
          <w:rFonts w:hint="eastAsia" w:ascii="宋体" w:hAnsi="宋体" w:eastAsia="宋体" w:cs="宋体"/>
          <w:color w:val="auto"/>
          <w:sz w:val="22"/>
          <w:szCs w:val="22"/>
          <w:highlight w:val="none"/>
        </w:rPr>
        <w:t>中标人应按投标人须知前附表规定的形式、金额和招标文件第四章“合同条款及格式”规定的或者事先经过招标人书面认可的</w:t>
      </w:r>
      <w:r>
        <w:rPr>
          <w:rFonts w:hint="eastAsia" w:ascii="宋体" w:hAnsi="宋体" w:cs="宋体"/>
          <w:color w:val="auto"/>
          <w:sz w:val="22"/>
          <w:szCs w:val="22"/>
          <w:highlight w:val="none"/>
          <w:lang w:eastAsia="zh-CN"/>
        </w:rPr>
        <w:t>履约担保</w:t>
      </w:r>
      <w:r>
        <w:rPr>
          <w:rFonts w:hint="eastAsia" w:ascii="宋体" w:hAnsi="宋体" w:eastAsia="宋体" w:cs="宋体"/>
          <w:color w:val="auto"/>
          <w:sz w:val="22"/>
          <w:szCs w:val="22"/>
          <w:highlight w:val="none"/>
        </w:rPr>
        <w:t>形式向招标人提交</w:t>
      </w:r>
      <w:r>
        <w:rPr>
          <w:rFonts w:hint="eastAsia" w:ascii="宋体" w:hAnsi="宋体" w:cs="宋体"/>
          <w:color w:val="auto"/>
          <w:sz w:val="22"/>
          <w:szCs w:val="22"/>
          <w:highlight w:val="none"/>
          <w:lang w:eastAsia="zh-CN"/>
        </w:rPr>
        <w:t>履约担保</w:t>
      </w:r>
      <w:r>
        <w:rPr>
          <w:rFonts w:hint="eastAsia" w:ascii="宋体" w:hAnsi="宋体" w:eastAsia="宋体" w:cs="宋体"/>
          <w:color w:val="auto"/>
          <w:sz w:val="22"/>
          <w:szCs w:val="22"/>
          <w:highlight w:val="none"/>
        </w:rPr>
        <w:t>。联合体中标的，其</w:t>
      </w:r>
      <w:r>
        <w:rPr>
          <w:rFonts w:hint="eastAsia" w:ascii="宋体" w:hAnsi="宋体" w:cs="宋体"/>
          <w:color w:val="auto"/>
          <w:sz w:val="22"/>
          <w:szCs w:val="22"/>
          <w:highlight w:val="none"/>
          <w:lang w:eastAsia="zh-CN"/>
        </w:rPr>
        <w:t>履约担保</w:t>
      </w:r>
      <w:r>
        <w:rPr>
          <w:rFonts w:hint="eastAsia" w:ascii="宋体" w:hAnsi="宋体" w:eastAsia="宋体" w:cs="宋体"/>
          <w:color w:val="auto"/>
          <w:sz w:val="22"/>
          <w:szCs w:val="22"/>
          <w:highlight w:val="none"/>
        </w:rPr>
        <w:t>以联合体各方或者联合体中牵头人的名义提交。</w:t>
      </w:r>
    </w:p>
    <w:p w14:paraId="443B8D29">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7.6.2中标人不能按本章第7.6.1项要求提交</w:t>
      </w:r>
      <w:r>
        <w:rPr>
          <w:rFonts w:hint="eastAsia" w:ascii="宋体" w:hAnsi="宋体" w:cs="宋体"/>
          <w:color w:val="auto"/>
          <w:sz w:val="22"/>
          <w:szCs w:val="22"/>
          <w:highlight w:val="none"/>
          <w:lang w:eastAsia="zh-CN"/>
        </w:rPr>
        <w:t>履约担保</w:t>
      </w:r>
      <w:r>
        <w:rPr>
          <w:rFonts w:hint="eastAsia" w:ascii="宋体" w:hAnsi="宋体" w:eastAsia="宋体" w:cs="宋体"/>
          <w:color w:val="auto"/>
          <w:sz w:val="22"/>
          <w:szCs w:val="22"/>
          <w:highlight w:val="none"/>
        </w:rPr>
        <w:t>的，视为放弃中标，其投标保证金不予退还，给招标人造成的损失超过投标保证金数额的，中标人还应当对超过部分予以赔偿。</w:t>
      </w:r>
    </w:p>
    <w:p w14:paraId="2DAF7712">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54" w:name="_bookmark66"/>
      <w:bookmarkEnd w:id="54"/>
      <w:r>
        <w:rPr>
          <w:rFonts w:hint="eastAsia" w:ascii="宋体" w:hAnsi="宋体" w:eastAsia="宋体" w:cs="宋体"/>
          <w:color w:val="auto"/>
          <w:highlight w:val="none"/>
        </w:rPr>
        <w:t>签订合同</w:t>
      </w:r>
    </w:p>
    <w:p w14:paraId="7230FEFB">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招标人应当在中标通知书发出之日起</w:t>
      </w:r>
      <w:r>
        <w:rPr>
          <w:rFonts w:hint="eastAsia" w:ascii="宋体" w:hAnsi="宋体" w:eastAsia="宋体" w:cs="宋体"/>
          <w:color w:val="auto"/>
          <w:spacing w:val="-3"/>
          <w:sz w:val="22"/>
          <w:szCs w:val="22"/>
          <w:highlight w:val="none"/>
        </w:rPr>
        <w:t>30日内，根据招标文件和中标人的投标文件订立书面合同。中标人无正当理由拒签合同，在签订合同时向招标人提出附加条件，</w:t>
      </w:r>
      <w:r>
        <w:rPr>
          <w:rFonts w:hint="eastAsia" w:ascii="宋体" w:hAnsi="宋体" w:eastAsia="宋体" w:cs="宋体"/>
          <w:color w:val="auto"/>
          <w:spacing w:val="-3"/>
          <w:sz w:val="22"/>
          <w:szCs w:val="22"/>
          <w:highlight w:val="none"/>
          <w:u w:val="single"/>
        </w:rPr>
        <w:t>或者不按照招标文件要求提交</w:t>
      </w:r>
      <w:r>
        <w:rPr>
          <w:rFonts w:hint="eastAsia" w:cs="宋体"/>
          <w:color w:val="auto"/>
          <w:spacing w:val="-3"/>
          <w:sz w:val="22"/>
          <w:szCs w:val="22"/>
          <w:highlight w:val="none"/>
          <w:u w:val="single"/>
          <w:lang w:eastAsia="zh-CN"/>
        </w:rPr>
        <w:t>履约担保</w:t>
      </w:r>
      <w:r>
        <w:rPr>
          <w:rFonts w:hint="eastAsia" w:ascii="宋体" w:hAnsi="宋体" w:eastAsia="宋体" w:cs="宋体"/>
          <w:color w:val="auto"/>
          <w:spacing w:val="-3"/>
          <w:sz w:val="22"/>
          <w:szCs w:val="22"/>
          <w:highlight w:val="none"/>
          <w:u w:val="single"/>
        </w:rPr>
        <w:t>的</w:t>
      </w:r>
      <w:r>
        <w:rPr>
          <w:rFonts w:hint="eastAsia" w:ascii="宋体" w:hAnsi="宋体" w:eastAsia="宋体" w:cs="宋体"/>
          <w:color w:val="auto"/>
          <w:spacing w:val="-3"/>
          <w:sz w:val="22"/>
          <w:szCs w:val="22"/>
          <w:highlight w:val="none"/>
        </w:rPr>
        <w:t>，招标人有权取消其中标资格，其投标保证金不予退还；给招标人造成的损失超过投标保证金数额的，中标人还应当对超过部分予以赔偿。</w:t>
      </w:r>
    </w:p>
    <w:p w14:paraId="0658F75C">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发出中标通知书后，招标人无正当理由拒签合同，或者在签订合同时向中标人提出附加条件的，招标人向中标人退还投标保证金；给中标人造成损失的，还应当赔偿损失。</w:t>
      </w:r>
    </w:p>
    <w:p w14:paraId="5F3BED9A">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联合体中标的，联合体各方应当共同与招标人签订合同，就中标项目向招标人承担连带责任。</w:t>
      </w:r>
    </w:p>
    <w:p w14:paraId="1C959242">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55" w:name="_bookmark67"/>
      <w:bookmarkEnd w:id="55"/>
      <w:r>
        <w:rPr>
          <w:rFonts w:hint="eastAsia" w:ascii="宋体" w:hAnsi="宋体" w:eastAsia="宋体" w:cs="宋体"/>
          <w:color w:val="auto"/>
          <w:highlight w:val="none"/>
        </w:rPr>
        <w:t>纪律和监督</w:t>
      </w:r>
    </w:p>
    <w:p w14:paraId="286C1EB5">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highlight w:val="none"/>
        </w:rPr>
      </w:pPr>
      <w:bookmarkStart w:id="56" w:name="_bookmark68"/>
      <w:bookmarkEnd w:id="56"/>
      <w:r>
        <w:rPr>
          <w:rFonts w:hint="eastAsia" w:ascii="宋体" w:hAnsi="宋体" w:eastAsia="宋体" w:cs="宋体"/>
          <w:color w:val="auto"/>
          <w:spacing w:val="-2"/>
          <w:highlight w:val="none"/>
        </w:rPr>
        <w:t>对招标人的纪律要求</w:t>
      </w:r>
    </w:p>
    <w:p w14:paraId="71DD870B">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16"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招标人不得泄露招标投标活动中应当保密的情况和资料，不得与投标人串通损害国家利益、</w:t>
      </w:r>
      <w:r>
        <w:rPr>
          <w:rFonts w:hint="eastAsia" w:ascii="宋体" w:hAnsi="宋体" w:eastAsia="宋体" w:cs="宋体"/>
          <w:color w:val="auto"/>
          <w:spacing w:val="-4"/>
          <w:sz w:val="22"/>
          <w:szCs w:val="22"/>
          <w:highlight w:val="none"/>
        </w:rPr>
        <w:t>社会公共利益或者他人合法权益。</w:t>
      </w:r>
    </w:p>
    <w:p w14:paraId="00917619">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6" w:firstLineChars="100"/>
        <w:jc w:val="left"/>
        <w:textAlignment w:val="auto"/>
        <w:rPr>
          <w:rFonts w:hint="eastAsia" w:ascii="宋体" w:hAnsi="宋体" w:eastAsia="宋体" w:cs="宋体"/>
          <w:color w:val="auto"/>
          <w:highlight w:val="none"/>
        </w:rPr>
      </w:pPr>
      <w:bookmarkStart w:id="57" w:name="_bookmark69"/>
      <w:bookmarkEnd w:id="57"/>
      <w:r>
        <w:rPr>
          <w:rFonts w:hint="eastAsia" w:ascii="宋体" w:hAnsi="宋体" w:eastAsia="宋体" w:cs="宋体"/>
          <w:color w:val="auto"/>
          <w:spacing w:val="-2"/>
          <w:highlight w:val="none"/>
        </w:rPr>
        <w:t>对投标人的纪律要求</w:t>
      </w:r>
    </w:p>
    <w:p w14:paraId="3EAED4F8">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A01F17B">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4" w:firstLineChars="100"/>
        <w:jc w:val="left"/>
        <w:textAlignment w:val="auto"/>
        <w:rPr>
          <w:rFonts w:hint="eastAsia" w:ascii="宋体" w:hAnsi="宋体" w:eastAsia="宋体" w:cs="宋体"/>
          <w:color w:val="auto"/>
          <w:highlight w:val="none"/>
        </w:rPr>
      </w:pPr>
      <w:bookmarkStart w:id="58" w:name="_bookmark70"/>
      <w:bookmarkEnd w:id="58"/>
      <w:r>
        <w:rPr>
          <w:rFonts w:hint="eastAsia" w:ascii="宋体" w:hAnsi="宋体" w:eastAsia="宋体" w:cs="宋体"/>
          <w:color w:val="auto"/>
          <w:spacing w:val="-3"/>
          <w:highlight w:val="none"/>
        </w:rPr>
        <w:t>对评标委员会成员的纪律要求</w:t>
      </w:r>
    </w:p>
    <w:p w14:paraId="66E373F4">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545C982">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74" w:firstLineChars="100"/>
        <w:jc w:val="left"/>
        <w:textAlignment w:val="auto"/>
        <w:rPr>
          <w:rFonts w:hint="eastAsia" w:ascii="宋体" w:hAnsi="宋体" w:eastAsia="宋体" w:cs="宋体"/>
          <w:color w:val="auto"/>
          <w:highlight w:val="none"/>
        </w:rPr>
      </w:pPr>
      <w:bookmarkStart w:id="59" w:name="_bookmark71"/>
      <w:bookmarkEnd w:id="59"/>
      <w:r>
        <w:rPr>
          <w:rFonts w:hint="eastAsia" w:ascii="宋体" w:hAnsi="宋体" w:eastAsia="宋体" w:cs="宋体"/>
          <w:color w:val="auto"/>
          <w:spacing w:val="-3"/>
          <w:highlight w:val="none"/>
        </w:rPr>
        <w:t>对与评标活动有关的工作人员的纪律要求</w:t>
      </w:r>
    </w:p>
    <w:p w14:paraId="0444D03A">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DDA7ADE">
      <w:pPr>
        <w:pStyle w:val="4"/>
        <w:keepNext w:val="0"/>
        <w:keepLines w:val="0"/>
        <w:pageBreakBefore w:val="0"/>
        <w:widowControl w:val="0"/>
        <w:numPr>
          <w:ilvl w:val="1"/>
          <w:numId w:val="5"/>
        </w:numPr>
        <w:shd w:val="clear" w:color="auto" w:fill="auto"/>
        <w:kinsoku/>
        <w:wordWrap/>
        <w:overflowPunct/>
        <w:topLinePunct w:val="0"/>
        <w:autoSpaceDE/>
        <w:autoSpaceDN/>
        <w:bidi w:val="0"/>
        <w:adjustRightInd w:val="0"/>
        <w:snapToGrid/>
        <w:spacing w:before="60" w:line="360" w:lineRule="auto"/>
        <w:ind w:left="0" w:leftChars="0" w:firstLine="280" w:firstLineChars="100"/>
        <w:jc w:val="left"/>
        <w:textAlignment w:val="auto"/>
        <w:rPr>
          <w:rFonts w:hint="eastAsia" w:ascii="宋体" w:hAnsi="宋体" w:eastAsia="宋体" w:cs="宋体"/>
          <w:color w:val="auto"/>
          <w:highlight w:val="none"/>
        </w:rPr>
      </w:pPr>
      <w:bookmarkStart w:id="60" w:name="_bookmark72"/>
      <w:bookmarkEnd w:id="60"/>
      <w:r>
        <w:rPr>
          <w:rFonts w:hint="eastAsia" w:ascii="宋体" w:hAnsi="宋体" w:eastAsia="宋体" w:cs="宋体"/>
          <w:color w:val="auto"/>
          <w:highlight w:val="none"/>
        </w:rPr>
        <w:t>投诉</w:t>
      </w:r>
    </w:p>
    <w:p w14:paraId="74BBDDA0">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投标人或者其他利害关系人认为招标投标活动不符合法律、行政法规规定的，可以自知道或者应当知道之日起10日内向有关行政监督部门投诉。投诉应当有明确的请求和必要的证明材料。</w:t>
      </w:r>
    </w:p>
    <w:p w14:paraId="2DE91AC8">
      <w:pPr>
        <w:pStyle w:val="40"/>
        <w:keepNext w:val="0"/>
        <w:keepLines w:val="0"/>
        <w:pageBreakBefore w:val="0"/>
        <w:widowControl w:val="0"/>
        <w:numPr>
          <w:ilvl w:val="2"/>
          <w:numId w:val="5"/>
        </w:numPr>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投标人或者其他利害关系人对招标文件、开标和评标结果提出投诉的，应当按照投标人须知第2.4款、第5.3款和第7.2款的规定先向招标人提出异议。异议答复期间不计算在第8.5.1项规定的期限内。</w:t>
      </w:r>
    </w:p>
    <w:p w14:paraId="7EAB59DB">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61" w:name="_bookmark73"/>
      <w:bookmarkEnd w:id="61"/>
      <w:r>
        <w:rPr>
          <w:rFonts w:hint="eastAsia" w:ascii="宋体" w:hAnsi="宋体" w:eastAsia="宋体" w:cs="宋体"/>
          <w:color w:val="auto"/>
          <w:highlight w:val="none"/>
        </w:rPr>
        <w:t>是否采用电子招标投标</w:t>
      </w:r>
    </w:p>
    <w:p w14:paraId="366C458B">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本招标项目是否采用电子招标投标方式，见投标人须知前附表。</w:t>
      </w:r>
    </w:p>
    <w:p w14:paraId="58F30D22">
      <w:pPr>
        <w:pStyle w:val="3"/>
        <w:keepNext w:val="0"/>
        <w:keepLines w:val="0"/>
        <w:pageBreakBefore w:val="0"/>
        <w:widowControl w:val="0"/>
        <w:numPr>
          <w:ilvl w:val="0"/>
          <w:numId w:val="5"/>
        </w:numPr>
        <w:shd w:val="clear" w:color="auto" w:fill="auto"/>
        <w:kinsoku/>
        <w:wordWrap/>
        <w:overflowPunct/>
        <w:topLinePunct w:val="0"/>
        <w:autoSpaceDE/>
        <w:autoSpaceDN/>
        <w:bidi w:val="0"/>
        <w:adjustRightInd w:val="0"/>
        <w:snapToGrid/>
        <w:spacing w:before="178" w:line="360" w:lineRule="auto"/>
        <w:ind w:left="0" w:leftChars="0" w:firstLine="0" w:firstLineChars="0"/>
        <w:jc w:val="left"/>
        <w:textAlignment w:val="auto"/>
        <w:rPr>
          <w:rFonts w:hint="eastAsia" w:ascii="宋体" w:hAnsi="宋体" w:eastAsia="宋体" w:cs="宋体"/>
          <w:color w:val="auto"/>
          <w:highlight w:val="none"/>
        </w:rPr>
      </w:pPr>
      <w:bookmarkStart w:id="62" w:name="_bookmark74"/>
      <w:bookmarkEnd w:id="62"/>
      <w:r>
        <w:rPr>
          <w:rFonts w:hint="eastAsia" w:ascii="宋体" w:hAnsi="宋体" w:eastAsia="宋体" w:cs="宋体"/>
          <w:color w:val="auto"/>
          <w:highlight w:val="none"/>
        </w:rPr>
        <w:t>需要补充的其他内容</w:t>
      </w:r>
    </w:p>
    <w:p w14:paraId="4FFE1A19">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需要补充的其他内容：见投标人须知前附表。</w:t>
      </w:r>
    </w:p>
    <w:p w14:paraId="5F9EE664">
      <w:pPr>
        <w:pStyle w:val="11"/>
        <w:keepNext w:val="0"/>
        <w:keepLines w:val="0"/>
        <w:pageBreakBefore w:val="0"/>
        <w:widowControl w:val="0"/>
        <w:shd w:val="clear" w:color="auto" w:fill="auto"/>
        <w:kinsoku/>
        <w:wordWrap/>
        <w:overflowPunct/>
        <w:topLinePunct w:val="0"/>
        <w:autoSpaceDE/>
        <w:autoSpaceDN/>
        <w:bidi w:val="0"/>
        <w:adjustRightInd w:val="0"/>
        <w:spacing w:line="360" w:lineRule="auto"/>
        <w:ind w:left="820"/>
        <w:textAlignment w:val="auto"/>
        <w:rPr>
          <w:rFonts w:hint="eastAsia" w:ascii="宋体" w:hAnsi="宋体" w:eastAsia="宋体" w:cs="宋体"/>
          <w:color w:val="auto"/>
          <w:sz w:val="24"/>
          <w:szCs w:val="24"/>
          <w:highlight w:val="none"/>
        </w:rPr>
      </w:pPr>
    </w:p>
    <w:p w14:paraId="07092855">
      <w:pPr>
        <w:keepNext w:val="0"/>
        <w:keepLines w:val="0"/>
        <w:pageBreakBefore w:val="0"/>
        <w:widowControl w:val="0"/>
        <w:shd w:val="clear" w:color="auto" w:fill="auto"/>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sectPr>
          <w:footerReference r:id="rId8" w:type="default"/>
          <w:pgSz w:w="12240" w:h="15840"/>
          <w:pgMar w:top="1500" w:right="1100" w:bottom="1120" w:left="1400" w:header="0" w:footer="841" w:gutter="0"/>
          <w:pgBorders>
            <w:top w:val="none" w:sz="0" w:space="0"/>
            <w:left w:val="none" w:sz="0" w:space="0"/>
            <w:bottom w:val="none" w:sz="0" w:space="0"/>
            <w:right w:val="none" w:sz="0" w:space="0"/>
          </w:pgBorders>
          <w:pgNumType w:fmt="decimal"/>
          <w:cols w:space="720" w:num="1"/>
        </w:sectPr>
      </w:pPr>
    </w:p>
    <w:p w14:paraId="559A580A">
      <w:pPr>
        <w:pStyle w:val="2"/>
        <w:shd w:val="clear" w:color="auto" w:fill="auto"/>
        <w:ind w:left="525"/>
        <w:jc w:val="center"/>
        <w:rPr>
          <w:rFonts w:hint="eastAsia" w:ascii="宋体" w:hAnsi="宋体" w:eastAsia="宋体" w:cs="宋体"/>
          <w:color w:val="auto"/>
          <w:highlight w:val="none"/>
        </w:rPr>
      </w:pPr>
      <w:bookmarkStart w:id="63" w:name="_bookmark78"/>
      <w:bookmarkEnd w:id="63"/>
      <w:bookmarkStart w:id="64" w:name="_bookmark75"/>
      <w:bookmarkEnd w:id="64"/>
      <w:bookmarkStart w:id="65" w:name="_bookmark92"/>
      <w:bookmarkEnd w:id="65"/>
      <w:bookmarkStart w:id="66" w:name="_bookmark79"/>
      <w:bookmarkEnd w:id="66"/>
      <w:bookmarkStart w:id="67" w:name="_Toc29738"/>
      <w:bookmarkStart w:id="68" w:name="_Toc31698"/>
      <w:r>
        <w:rPr>
          <w:rFonts w:hint="eastAsia" w:ascii="宋体" w:hAnsi="宋体" w:eastAsia="宋体" w:cs="宋体"/>
          <w:color w:val="auto"/>
          <w:highlight w:val="none"/>
        </w:rPr>
        <w:t>第三章评标办法（综合评估法）</w:t>
      </w:r>
      <w:bookmarkEnd w:id="67"/>
      <w:bookmarkEnd w:id="68"/>
    </w:p>
    <w:p w14:paraId="08111D7A">
      <w:pPr>
        <w:pStyle w:val="3"/>
        <w:shd w:val="clear" w:color="auto" w:fill="auto"/>
        <w:adjustRightInd w:val="0"/>
        <w:snapToGrid w:val="0"/>
        <w:ind w:left="0" w:firstLine="321" w:firstLineChars="100"/>
        <w:jc w:val="center"/>
        <w:rPr>
          <w:rFonts w:hint="eastAsia" w:ascii="宋体" w:hAnsi="宋体" w:eastAsia="宋体" w:cs="宋体"/>
          <w:b w:val="0"/>
          <w:color w:val="auto"/>
          <w:sz w:val="26"/>
          <w:highlight w:val="none"/>
        </w:rPr>
      </w:pPr>
      <w:bookmarkStart w:id="69" w:name="_bookmark93"/>
      <w:bookmarkEnd w:id="69"/>
      <w:r>
        <w:rPr>
          <w:rFonts w:hint="eastAsia" w:ascii="宋体" w:hAnsi="宋体" w:eastAsia="宋体" w:cs="宋体"/>
          <w:color w:val="auto"/>
          <w:highlight w:val="none"/>
        </w:rPr>
        <w:t>评标办法前附表</w:t>
      </w:r>
    </w:p>
    <w:tbl>
      <w:tblPr>
        <w:tblStyle w:val="28"/>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123"/>
        <w:gridCol w:w="1154"/>
        <w:gridCol w:w="1213"/>
        <w:gridCol w:w="4500"/>
        <w:gridCol w:w="834"/>
      </w:tblGrid>
      <w:tr w14:paraId="1B6C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023" w:type="dxa"/>
            <w:gridSpan w:val="2"/>
            <w:shd w:val="clear" w:color="auto" w:fill="auto"/>
            <w:noWrap w:val="0"/>
            <w:vAlign w:val="center"/>
          </w:tcPr>
          <w:p w14:paraId="709BE07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条款号</w:t>
            </w:r>
          </w:p>
        </w:tc>
        <w:tc>
          <w:tcPr>
            <w:tcW w:w="2367" w:type="dxa"/>
            <w:gridSpan w:val="2"/>
            <w:shd w:val="clear" w:color="auto" w:fill="auto"/>
            <w:noWrap w:val="0"/>
            <w:vAlign w:val="center"/>
          </w:tcPr>
          <w:p w14:paraId="68BA0F8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评审因素</w:t>
            </w:r>
          </w:p>
        </w:tc>
        <w:tc>
          <w:tcPr>
            <w:tcW w:w="5334" w:type="dxa"/>
            <w:gridSpan w:val="2"/>
            <w:shd w:val="clear" w:color="auto" w:fill="auto"/>
            <w:noWrap w:val="0"/>
            <w:vAlign w:val="center"/>
          </w:tcPr>
          <w:p w14:paraId="6EDBFD9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评审标准</w:t>
            </w:r>
          </w:p>
        </w:tc>
      </w:tr>
      <w:tr w14:paraId="1289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3" w:hRule="atLeast"/>
          <w:jc w:val="center"/>
        </w:trPr>
        <w:tc>
          <w:tcPr>
            <w:tcW w:w="900" w:type="dxa"/>
            <w:noWrap w:val="0"/>
            <w:vAlign w:val="center"/>
          </w:tcPr>
          <w:p w14:paraId="603A67E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23" w:type="dxa"/>
            <w:noWrap w:val="0"/>
            <w:vAlign w:val="center"/>
          </w:tcPr>
          <w:p w14:paraId="525F4C9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评标方法</w:t>
            </w:r>
          </w:p>
        </w:tc>
        <w:tc>
          <w:tcPr>
            <w:tcW w:w="2367" w:type="dxa"/>
            <w:gridSpan w:val="2"/>
            <w:noWrap w:val="0"/>
            <w:vAlign w:val="center"/>
          </w:tcPr>
          <w:p w14:paraId="3790E9D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w:t>
            </w:r>
            <w:r>
              <w:rPr>
                <w:rFonts w:hint="eastAsia" w:ascii="宋体" w:hAnsi="宋体" w:eastAsia="宋体" w:cs="宋体"/>
                <w:color w:val="auto"/>
                <w:spacing w:val="-2"/>
                <w:kern w:val="0"/>
                <w:sz w:val="24"/>
                <w:szCs w:val="24"/>
                <w:highlight w:val="none"/>
              </w:rPr>
              <w:t>候</w:t>
            </w:r>
            <w:r>
              <w:rPr>
                <w:rFonts w:hint="eastAsia" w:ascii="宋体" w:hAnsi="宋体" w:eastAsia="宋体" w:cs="宋体"/>
                <w:color w:val="auto"/>
                <w:kern w:val="0"/>
                <w:sz w:val="24"/>
                <w:szCs w:val="24"/>
                <w:highlight w:val="none"/>
              </w:rPr>
              <w:t>选</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排</w:t>
            </w:r>
            <w:r>
              <w:rPr>
                <w:rFonts w:hint="eastAsia" w:ascii="宋体" w:hAnsi="宋体" w:eastAsia="宋体" w:cs="宋体"/>
                <w:color w:val="auto"/>
                <w:spacing w:val="-2"/>
                <w:kern w:val="0"/>
                <w:sz w:val="24"/>
                <w:szCs w:val="24"/>
                <w:highlight w:val="none"/>
              </w:rPr>
              <w:t>序</w:t>
            </w:r>
            <w:r>
              <w:rPr>
                <w:rFonts w:hint="eastAsia" w:ascii="宋体" w:hAnsi="宋体" w:eastAsia="宋体" w:cs="宋体"/>
                <w:color w:val="auto"/>
                <w:kern w:val="0"/>
                <w:sz w:val="24"/>
                <w:szCs w:val="24"/>
                <w:highlight w:val="none"/>
              </w:rPr>
              <w:t>方法</w:t>
            </w:r>
          </w:p>
        </w:tc>
        <w:tc>
          <w:tcPr>
            <w:tcW w:w="5334" w:type="dxa"/>
            <w:gridSpan w:val="2"/>
            <w:noWrap w:val="0"/>
            <w:vAlign w:val="center"/>
          </w:tcPr>
          <w:p w14:paraId="2C55D0D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本</w:t>
            </w:r>
            <w:r>
              <w:rPr>
                <w:rFonts w:hint="eastAsia" w:ascii="宋体" w:hAnsi="宋体" w:cs="宋体"/>
                <w:color w:val="auto"/>
                <w:spacing w:val="2"/>
                <w:kern w:val="0"/>
                <w:sz w:val="24"/>
                <w:szCs w:val="24"/>
                <w:highlight w:val="none"/>
                <w:lang w:val="en-US" w:eastAsia="zh-CN"/>
              </w:rPr>
              <w:t>项目</w:t>
            </w:r>
            <w:r>
              <w:rPr>
                <w:rFonts w:hint="eastAsia" w:ascii="宋体" w:hAnsi="宋体" w:eastAsia="宋体" w:cs="宋体"/>
                <w:color w:val="auto"/>
                <w:spacing w:val="2"/>
                <w:kern w:val="0"/>
                <w:sz w:val="24"/>
                <w:szCs w:val="24"/>
                <w:highlight w:val="none"/>
              </w:rPr>
              <w:t>评标采用综合评估法。评标委员会对满足招标文件实质性要求的投标文件，按照本章规定的评分标准进行打分，并按得分由高到低顺序推荐中标候选人，综合得分</w:t>
            </w:r>
            <w:r>
              <w:rPr>
                <w:rFonts w:hint="eastAsia" w:ascii="宋体" w:hAnsi="宋体" w:eastAsia="宋体" w:cs="宋体"/>
                <w:color w:val="auto"/>
                <w:spacing w:val="2"/>
                <w:kern w:val="0"/>
                <w:sz w:val="24"/>
                <w:szCs w:val="24"/>
                <w:highlight w:val="none"/>
                <w:lang w:val="en-US" w:eastAsia="zh-CN"/>
              </w:rPr>
              <w:t>最高，排序</w:t>
            </w:r>
            <w:r>
              <w:rPr>
                <w:rFonts w:hint="eastAsia" w:ascii="宋体" w:hAnsi="宋体" w:eastAsia="宋体" w:cs="宋体"/>
                <w:color w:val="auto"/>
                <w:spacing w:val="2"/>
                <w:kern w:val="0"/>
                <w:sz w:val="24"/>
                <w:szCs w:val="24"/>
                <w:highlight w:val="none"/>
              </w:rPr>
              <w:t>第一名的为第一中标候选人，第二名的为第二中标候选人，第三名的为第三中标候选人。</w:t>
            </w:r>
          </w:p>
          <w:p w14:paraId="2F0AEE88">
            <w:pPr>
              <w:pStyle w:val="34"/>
              <w:rPr>
                <w:rFonts w:hint="eastAsia"/>
                <w:color w:val="auto"/>
                <w:highlight w:val="none"/>
              </w:rPr>
            </w:pPr>
          </w:p>
          <w:p w14:paraId="0902B75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注：综合评分相等时，以投标报价低的优先；投标报价也相等的，以技术得分高的优先；如果技术得分也相等，则由评标委员会评委记名投票方式</w:t>
            </w:r>
            <w:r>
              <w:rPr>
                <w:rFonts w:hint="eastAsia" w:ascii="宋体" w:hAnsi="宋体" w:cs="宋体"/>
                <w:color w:val="auto"/>
                <w:sz w:val="24"/>
                <w:highlight w:val="none"/>
              </w:rPr>
              <w:t>，以得票多的优先</w:t>
            </w:r>
            <w:r>
              <w:rPr>
                <w:rFonts w:hint="eastAsia" w:ascii="宋体" w:hAnsi="宋体" w:eastAsia="宋体" w:cs="宋体"/>
                <w:color w:val="auto"/>
                <w:spacing w:val="2"/>
                <w:kern w:val="0"/>
                <w:sz w:val="24"/>
                <w:szCs w:val="24"/>
                <w:highlight w:val="none"/>
              </w:rPr>
              <w:t>。</w:t>
            </w:r>
          </w:p>
          <w:p w14:paraId="38BFB08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color w:val="auto"/>
                <w:highlight w:val="none"/>
              </w:rPr>
            </w:pPr>
          </w:p>
        </w:tc>
      </w:tr>
      <w:tr w14:paraId="6713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24" w:type="dxa"/>
            <w:gridSpan w:val="6"/>
            <w:noWrap w:val="0"/>
            <w:vAlign w:val="center"/>
          </w:tcPr>
          <w:p w14:paraId="09B057F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b/>
                <w:bCs/>
                <w:color w:val="auto"/>
                <w:spacing w:val="-2"/>
                <w:kern w:val="0"/>
                <w:sz w:val="24"/>
                <w:szCs w:val="24"/>
                <w:highlight w:val="none"/>
              </w:rPr>
              <w:t>初步评审</w:t>
            </w:r>
          </w:p>
        </w:tc>
      </w:tr>
      <w:tr w14:paraId="5686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restart"/>
            <w:noWrap w:val="0"/>
            <w:vAlign w:val="center"/>
          </w:tcPr>
          <w:p w14:paraId="5783535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2.1.1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p>
        </w:tc>
        <w:tc>
          <w:tcPr>
            <w:tcW w:w="1123" w:type="dxa"/>
            <w:vMerge w:val="restart"/>
            <w:noWrap w:val="0"/>
            <w:vAlign w:val="center"/>
          </w:tcPr>
          <w:p w14:paraId="3FA5188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形式评审 标准</w:t>
            </w:r>
          </w:p>
        </w:tc>
        <w:tc>
          <w:tcPr>
            <w:tcW w:w="2367" w:type="dxa"/>
            <w:gridSpan w:val="2"/>
            <w:noWrap w:val="0"/>
            <w:vAlign w:val="center"/>
          </w:tcPr>
          <w:p w14:paraId="5CD04D67">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名称</w:t>
            </w:r>
          </w:p>
        </w:tc>
        <w:tc>
          <w:tcPr>
            <w:tcW w:w="5334" w:type="dxa"/>
            <w:gridSpan w:val="2"/>
            <w:noWrap w:val="0"/>
            <w:vAlign w:val="center"/>
          </w:tcPr>
          <w:p w14:paraId="2CA3DC2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spacing w:val="-2"/>
                <w:kern w:val="0"/>
                <w:sz w:val="24"/>
                <w:szCs w:val="24"/>
                <w:highlight w:val="none"/>
                <w:lang w:eastAsia="zh-CN"/>
              </w:rPr>
            </w:pPr>
            <w:r>
              <w:rPr>
                <w:rFonts w:hint="eastAsia" w:ascii="宋体" w:hAnsi="宋体" w:eastAsia="宋体" w:cs="宋体"/>
                <w:color w:val="auto"/>
                <w:spacing w:val="-2"/>
                <w:kern w:val="0"/>
                <w:sz w:val="24"/>
                <w:szCs w:val="24"/>
                <w:highlight w:val="none"/>
              </w:rPr>
              <w:t>与营业执照或法人登记证一致</w:t>
            </w:r>
            <w:r>
              <w:rPr>
                <w:rFonts w:hint="eastAsia" w:ascii="宋体" w:hAnsi="宋体" w:cs="宋体"/>
                <w:color w:val="auto"/>
                <w:spacing w:val="-2"/>
                <w:kern w:val="0"/>
                <w:sz w:val="24"/>
                <w:szCs w:val="24"/>
                <w:highlight w:val="none"/>
                <w:lang w:eastAsia="zh-CN"/>
              </w:rPr>
              <w:t>。</w:t>
            </w:r>
          </w:p>
        </w:tc>
      </w:tr>
      <w:tr w14:paraId="5CBC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2675B269">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3C552204">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1C7A3F2D">
            <w:pPr>
              <w:keepNext w:val="0"/>
              <w:keepLines w:val="0"/>
              <w:pageBreakBefore w:val="0"/>
              <w:suppressLineNumbers w:val="0"/>
              <w:shd w:val="clear" w:color="auto" w:fill="auto"/>
              <w:kinsoku/>
              <w:wordWrap/>
              <w:overflowPunct/>
              <w:topLinePunct w:val="0"/>
              <w:autoSpaceDE w:val="0"/>
              <w:autoSpaceDN w:val="0"/>
              <w:bidi w:val="0"/>
              <w:adjustRightInd w:val="0"/>
              <w:spacing w:beforeAutospacing="0" w:afterAutospacing="0" w:line="4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w:t>
            </w:r>
            <w:r>
              <w:rPr>
                <w:rFonts w:hint="eastAsia" w:ascii="宋体" w:hAnsi="宋体" w:eastAsia="宋体" w:cs="宋体"/>
                <w:color w:val="auto"/>
                <w:spacing w:val="-2"/>
                <w:kern w:val="0"/>
                <w:sz w:val="24"/>
                <w:szCs w:val="24"/>
                <w:highlight w:val="none"/>
              </w:rPr>
              <w:t>字</w:t>
            </w:r>
            <w:r>
              <w:rPr>
                <w:rFonts w:hint="eastAsia" w:ascii="宋体" w:hAnsi="宋体" w:eastAsia="宋体" w:cs="宋体"/>
                <w:color w:val="auto"/>
                <w:kern w:val="0"/>
                <w:sz w:val="24"/>
                <w:szCs w:val="24"/>
                <w:highlight w:val="none"/>
              </w:rPr>
              <w:t>盖章</w:t>
            </w:r>
          </w:p>
        </w:tc>
        <w:tc>
          <w:tcPr>
            <w:tcW w:w="5334" w:type="dxa"/>
            <w:gridSpan w:val="2"/>
            <w:noWrap w:val="0"/>
            <w:vAlign w:val="center"/>
          </w:tcPr>
          <w:p w14:paraId="6C91D570">
            <w:pPr>
              <w:keepNext w:val="0"/>
              <w:keepLines w:val="0"/>
              <w:pageBreakBefore w:val="0"/>
              <w:numPr>
                <w:ilvl w:val="0"/>
                <w:numId w:val="0"/>
              </w:numPr>
              <w:suppressLineNumbers w:val="0"/>
              <w:shd w:val="clear" w:color="auto" w:fill="auto"/>
              <w:kinsoku/>
              <w:wordWrap/>
              <w:overflowPunct/>
              <w:topLinePunct w:val="0"/>
              <w:autoSpaceDE w:val="0"/>
              <w:autoSpaceDN w:val="0"/>
              <w:bidi w:val="0"/>
              <w:adjustRightInd w:val="0"/>
              <w:spacing w:beforeAutospacing="0" w:afterAutospacing="0" w:line="400" w:lineRule="exact"/>
              <w:ind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投标函</w:t>
            </w:r>
            <w:r>
              <w:rPr>
                <w:rFonts w:hint="eastAsia" w:ascii="宋体" w:hAnsi="宋体" w:eastAsia="宋体" w:cs="宋体"/>
                <w:color w:val="auto"/>
                <w:sz w:val="24"/>
                <w:szCs w:val="24"/>
                <w:highlight w:val="none"/>
              </w:rPr>
              <w:t>有法定代表人（单位负责人）或其委托代理人签字</w:t>
            </w:r>
            <w:r>
              <w:rPr>
                <w:rFonts w:hint="eastAsia" w:ascii="宋体" w:hAnsi="宋体" w:cs="宋体"/>
                <w:color w:val="auto"/>
                <w:sz w:val="24"/>
                <w:szCs w:val="24"/>
                <w:highlight w:val="none"/>
                <w:lang w:val="en-US" w:eastAsia="zh-CN"/>
              </w:rPr>
              <w:t>或盖私章</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rPr>
              <w:t>加盖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。由法定代表人（单位负责人）签字的，应附法定代表人（单位负责人）身份证明，由代理人签字</w:t>
            </w:r>
            <w:r>
              <w:rPr>
                <w:rFonts w:hint="eastAsia" w:ascii="宋体" w:hAnsi="宋体" w:cs="宋体"/>
                <w:color w:val="auto"/>
                <w:sz w:val="24"/>
                <w:szCs w:val="24"/>
                <w:highlight w:val="none"/>
                <w:lang w:val="en-US" w:eastAsia="zh-CN"/>
              </w:rPr>
              <w:t>或盖私章</w:t>
            </w:r>
            <w:r>
              <w:rPr>
                <w:rFonts w:hint="eastAsia" w:ascii="宋体" w:hAnsi="宋体" w:eastAsia="宋体" w:cs="宋体"/>
                <w:color w:val="auto"/>
                <w:sz w:val="24"/>
                <w:szCs w:val="24"/>
                <w:highlight w:val="none"/>
              </w:rPr>
              <w:t>的，应附法定代表人身份证明及授权委托书</w:t>
            </w:r>
            <w:r>
              <w:rPr>
                <w:rFonts w:hint="eastAsia" w:ascii="宋体" w:hAnsi="宋体" w:eastAsia="宋体" w:cs="宋体"/>
                <w:color w:val="auto"/>
                <w:sz w:val="24"/>
                <w:szCs w:val="24"/>
                <w:highlight w:val="none"/>
                <w:lang w:eastAsia="zh-CN"/>
              </w:rPr>
              <w:t>。</w:t>
            </w:r>
          </w:p>
          <w:p w14:paraId="6E8BB24E">
            <w:pPr>
              <w:keepNext w:val="0"/>
              <w:keepLines w:val="0"/>
              <w:pageBreakBefore w:val="0"/>
              <w:numPr>
                <w:ilvl w:val="0"/>
                <w:numId w:val="0"/>
              </w:numPr>
              <w:suppressLineNumbers w:val="0"/>
              <w:shd w:val="clear" w:color="auto" w:fill="auto"/>
              <w:kinsoku/>
              <w:overflowPunct/>
              <w:topLinePunct w:val="0"/>
              <w:autoSpaceDE w:val="0"/>
              <w:autoSpaceDN w:val="0"/>
              <w:bidi w:val="0"/>
              <w:adjustRightInd w:val="0"/>
              <w:spacing w:beforeAutospacing="0" w:afterAutospacing="0" w:line="400" w:lineRule="exact"/>
              <w:ind w:leftChars="0" w:right="0" w:rightChars="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投标文件上法定代表人或其委托代理人的签字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lang w:val="en-US" w:eastAsia="zh-CN"/>
              </w:rPr>
              <w:t>、投标人的</w:t>
            </w:r>
            <w:r>
              <w:rPr>
                <w:rFonts w:hint="eastAsia" w:ascii="宋体" w:hAnsi="宋体" w:cs="宋体"/>
                <w:color w:val="auto"/>
                <w:sz w:val="24"/>
                <w:szCs w:val="24"/>
                <w:highlight w:val="none"/>
                <w:lang w:val="en-US" w:eastAsia="zh-CN"/>
              </w:rPr>
              <w:t>单位公章</w:t>
            </w:r>
            <w:r>
              <w:rPr>
                <w:rFonts w:hint="eastAsia" w:ascii="宋体" w:hAnsi="宋体" w:eastAsia="宋体" w:cs="宋体"/>
                <w:color w:val="auto"/>
                <w:sz w:val="24"/>
                <w:szCs w:val="24"/>
                <w:highlight w:val="none"/>
                <w:lang w:val="en-US" w:eastAsia="zh-CN"/>
              </w:rPr>
              <w:t>盖章齐全，符合招标文件规定。</w:t>
            </w:r>
          </w:p>
        </w:tc>
      </w:tr>
      <w:tr w14:paraId="119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61DE458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05C044E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2C5A20C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备选</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方案</w:t>
            </w:r>
          </w:p>
        </w:tc>
        <w:tc>
          <w:tcPr>
            <w:tcW w:w="5334" w:type="dxa"/>
            <w:gridSpan w:val="2"/>
            <w:noWrap w:val="0"/>
            <w:vAlign w:val="center"/>
          </w:tcPr>
          <w:p w14:paraId="137A88A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2"/>
                <w:kern w:val="0"/>
                <w:sz w:val="24"/>
                <w:szCs w:val="24"/>
                <w:highlight w:val="none"/>
              </w:rPr>
              <w:t>除招标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明</w:t>
            </w:r>
            <w:r>
              <w:rPr>
                <w:rFonts w:hint="eastAsia" w:ascii="宋体" w:hAnsi="宋体" w:eastAsia="宋体" w:cs="宋体"/>
                <w:color w:val="auto"/>
                <w:spacing w:val="2"/>
                <w:kern w:val="0"/>
                <w:sz w:val="24"/>
                <w:szCs w:val="24"/>
                <w:highlight w:val="none"/>
              </w:rPr>
              <w:t>确允</w:t>
            </w:r>
            <w:r>
              <w:rPr>
                <w:rFonts w:hint="eastAsia" w:ascii="宋体" w:hAnsi="宋体" w:eastAsia="宋体" w:cs="宋体"/>
                <w:color w:val="auto"/>
                <w:kern w:val="0"/>
                <w:sz w:val="24"/>
                <w:szCs w:val="24"/>
                <w:highlight w:val="none"/>
              </w:rPr>
              <w:t>许</w:t>
            </w:r>
            <w:r>
              <w:rPr>
                <w:rFonts w:hint="eastAsia" w:ascii="宋体" w:hAnsi="宋体" w:eastAsia="宋体" w:cs="宋体"/>
                <w:color w:val="auto"/>
                <w:spacing w:val="2"/>
                <w:kern w:val="0"/>
                <w:sz w:val="24"/>
                <w:szCs w:val="24"/>
                <w:highlight w:val="none"/>
              </w:rPr>
              <w:t>提</w:t>
            </w:r>
            <w:r>
              <w:rPr>
                <w:rFonts w:hint="eastAsia" w:ascii="宋体" w:hAnsi="宋体" w:eastAsia="宋体" w:cs="宋体"/>
                <w:color w:val="auto"/>
                <w:kern w:val="0"/>
                <w:sz w:val="24"/>
                <w:szCs w:val="24"/>
                <w:highlight w:val="none"/>
              </w:rPr>
              <w:t>交</w:t>
            </w:r>
            <w:r>
              <w:rPr>
                <w:rFonts w:hint="eastAsia" w:ascii="宋体" w:hAnsi="宋体" w:eastAsia="宋体" w:cs="宋体"/>
                <w:color w:val="auto"/>
                <w:spacing w:val="2"/>
                <w:kern w:val="0"/>
                <w:sz w:val="24"/>
                <w:szCs w:val="24"/>
                <w:highlight w:val="none"/>
              </w:rPr>
              <w:t>备选投</w:t>
            </w:r>
            <w:r>
              <w:rPr>
                <w:rFonts w:hint="eastAsia" w:ascii="宋体" w:hAnsi="宋体" w:eastAsia="宋体" w:cs="宋体"/>
                <w:color w:val="auto"/>
                <w:spacing w:val="3"/>
                <w:kern w:val="0"/>
                <w:sz w:val="24"/>
                <w:szCs w:val="24"/>
                <w:highlight w:val="none"/>
              </w:rPr>
              <w:t>标</w:t>
            </w:r>
            <w:r>
              <w:rPr>
                <w:rFonts w:hint="eastAsia" w:ascii="宋体" w:hAnsi="宋体" w:eastAsia="宋体" w:cs="宋体"/>
                <w:color w:val="auto"/>
                <w:spacing w:val="2"/>
                <w:kern w:val="0"/>
                <w:sz w:val="24"/>
                <w:szCs w:val="24"/>
                <w:highlight w:val="none"/>
              </w:rPr>
              <w:t>方</w:t>
            </w:r>
            <w:r>
              <w:rPr>
                <w:rFonts w:hint="eastAsia" w:ascii="宋体" w:hAnsi="宋体" w:eastAsia="宋体" w:cs="宋体"/>
                <w:color w:val="auto"/>
                <w:spacing w:val="1"/>
                <w:kern w:val="0"/>
                <w:sz w:val="24"/>
                <w:szCs w:val="24"/>
                <w:highlight w:val="none"/>
              </w:rPr>
              <w:t>案</w:t>
            </w:r>
            <w:r>
              <w:rPr>
                <w:rFonts w:hint="eastAsia" w:ascii="宋体" w:hAnsi="宋体" w:eastAsia="宋体" w:cs="宋体"/>
                <w:color w:val="auto"/>
                <w:spacing w:val="2"/>
                <w:kern w:val="0"/>
                <w:sz w:val="24"/>
                <w:szCs w:val="24"/>
                <w:highlight w:val="none"/>
              </w:rPr>
              <w:t>外，</w:t>
            </w:r>
            <w:r>
              <w:rPr>
                <w:rFonts w:hint="eastAsia" w:ascii="宋体" w:hAnsi="宋体" w:eastAsia="宋体" w:cs="宋体"/>
                <w:color w:val="auto"/>
                <w:kern w:val="0"/>
                <w:sz w:val="24"/>
                <w:szCs w:val="24"/>
                <w:highlight w:val="none"/>
              </w:rPr>
              <w:t>投标人不</w:t>
            </w:r>
            <w:r>
              <w:rPr>
                <w:rFonts w:hint="eastAsia" w:ascii="宋体" w:hAnsi="宋体" w:eastAsia="宋体" w:cs="宋体"/>
                <w:color w:val="auto"/>
                <w:spacing w:val="-2"/>
                <w:kern w:val="0"/>
                <w:sz w:val="24"/>
                <w:szCs w:val="24"/>
                <w:highlight w:val="none"/>
              </w:rPr>
              <w:t>得</w:t>
            </w:r>
            <w:r>
              <w:rPr>
                <w:rFonts w:hint="eastAsia" w:ascii="宋体" w:hAnsi="宋体" w:eastAsia="宋体" w:cs="宋体"/>
                <w:color w:val="auto"/>
                <w:kern w:val="0"/>
                <w:sz w:val="24"/>
                <w:szCs w:val="24"/>
                <w:highlight w:val="none"/>
              </w:rPr>
              <w:t>提</w:t>
            </w:r>
            <w:r>
              <w:rPr>
                <w:rFonts w:hint="eastAsia" w:ascii="宋体" w:hAnsi="宋体" w:eastAsia="宋体" w:cs="宋体"/>
                <w:color w:val="auto"/>
                <w:spacing w:val="-2"/>
                <w:kern w:val="0"/>
                <w:sz w:val="24"/>
                <w:szCs w:val="24"/>
                <w:highlight w:val="none"/>
              </w:rPr>
              <w:t>交</w:t>
            </w:r>
            <w:r>
              <w:rPr>
                <w:rFonts w:hint="eastAsia" w:ascii="宋体" w:hAnsi="宋体" w:eastAsia="宋体" w:cs="宋体"/>
                <w:color w:val="auto"/>
                <w:kern w:val="0"/>
                <w:sz w:val="24"/>
                <w:szCs w:val="24"/>
                <w:highlight w:val="none"/>
              </w:rPr>
              <w:t>备</w:t>
            </w:r>
            <w:r>
              <w:rPr>
                <w:rFonts w:hint="eastAsia" w:ascii="宋体" w:hAnsi="宋体" w:eastAsia="宋体" w:cs="宋体"/>
                <w:color w:val="auto"/>
                <w:spacing w:val="-2"/>
                <w:kern w:val="0"/>
                <w:sz w:val="24"/>
                <w:szCs w:val="24"/>
                <w:highlight w:val="none"/>
              </w:rPr>
              <w:t>选</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方案</w:t>
            </w:r>
            <w:r>
              <w:rPr>
                <w:rFonts w:hint="eastAsia" w:ascii="宋体" w:hAnsi="宋体" w:cs="宋体"/>
                <w:color w:val="auto"/>
                <w:kern w:val="0"/>
                <w:sz w:val="24"/>
                <w:szCs w:val="24"/>
                <w:highlight w:val="none"/>
                <w:lang w:eastAsia="zh-CN"/>
              </w:rPr>
              <w:t>。</w:t>
            </w:r>
          </w:p>
        </w:tc>
      </w:tr>
      <w:tr w14:paraId="528F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2DE3144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770C12E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6F8C86F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投标人机器码</w:t>
            </w:r>
          </w:p>
        </w:tc>
        <w:tc>
          <w:tcPr>
            <w:tcW w:w="5334" w:type="dxa"/>
            <w:gridSpan w:val="2"/>
            <w:noWrap w:val="0"/>
            <w:vAlign w:val="center"/>
          </w:tcPr>
          <w:p w14:paraId="5888E7C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spacing w:val="2"/>
                <w:kern w:val="0"/>
                <w:sz w:val="24"/>
                <w:szCs w:val="24"/>
                <w:highlight w:val="none"/>
                <w:lang w:eastAsia="zh-CN"/>
              </w:rPr>
            </w:pPr>
            <w:r>
              <w:rPr>
                <w:rFonts w:hint="eastAsia" w:ascii="宋体" w:hAnsi="宋体" w:eastAsia="宋体" w:cs="宋体"/>
                <w:color w:val="auto"/>
                <w:spacing w:val="2"/>
                <w:kern w:val="0"/>
                <w:sz w:val="24"/>
                <w:szCs w:val="24"/>
                <w:highlight w:val="none"/>
              </w:rPr>
              <w:t>投标人与本项目其他投标人加密打包投标文件电脑机器特征码一致的(以</w:t>
            </w:r>
            <w:r>
              <w:rPr>
                <w:rFonts w:hint="eastAsia" w:ascii="宋体" w:hAnsi="宋体" w:eastAsia="宋体" w:cs="宋体"/>
                <w:color w:val="auto"/>
                <w:spacing w:val="2"/>
                <w:kern w:val="0"/>
                <w:sz w:val="24"/>
                <w:szCs w:val="24"/>
                <w:highlight w:val="none"/>
                <w:lang w:val="en-US" w:eastAsia="zh-CN"/>
              </w:rPr>
              <w:t>广州公共资源交易中心</w:t>
            </w:r>
            <w:r>
              <w:rPr>
                <w:rFonts w:hint="eastAsia" w:ascii="宋体" w:hAnsi="宋体" w:eastAsia="宋体" w:cs="宋体"/>
                <w:color w:val="auto"/>
                <w:spacing w:val="2"/>
                <w:kern w:val="0"/>
                <w:sz w:val="24"/>
                <w:szCs w:val="24"/>
                <w:highlight w:val="none"/>
              </w:rPr>
              <w:t>评标系统的检索信息为准),其投标将被否决</w:t>
            </w:r>
            <w:r>
              <w:rPr>
                <w:rFonts w:hint="eastAsia" w:ascii="宋体" w:hAnsi="宋体" w:eastAsia="宋体" w:cs="宋体"/>
                <w:color w:val="auto"/>
                <w:spacing w:val="2"/>
                <w:kern w:val="0"/>
                <w:sz w:val="24"/>
                <w:szCs w:val="24"/>
                <w:highlight w:val="none"/>
                <w:lang w:eastAsia="zh-CN"/>
              </w:rPr>
              <w:t>。</w:t>
            </w:r>
          </w:p>
        </w:tc>
      </w:tr>
      <w:tr w14:paraId="6382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2B87C00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6569600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603184E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5334" w:type="dxa"/>
            <w:gridSpan w:val="2"/>
            <w:noWrap w:val="0"/>
            <w:vAlign w:val="center"/>
          </w:tcPr>
          <w:p w14:paraId="01796377">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spacing w:val="2"/>
                <w:kern w:val="0"/>
                <w:sz w:val="24"/>
                <w:szCs w:val="24"/>
                <w:highlight w:val="none"/>
                <w:lang w:eastAsia="zh-CN"/>
              </w:rPr>
            </w:pPr>
            <w:r>
              <w:rPr>
                <w:rFonts w:hint="eastAsia" w:ascii="宋体" w:hAnsi="宋体" w:cs="宋体"/>
                <w:color w:val="auto"/>
                <w:spacing w:val="2"/>
                <w:kern w:val="0"/>
                <w:sz w:val="24"/>
                <w:szCs w:val="24"/>
                <w:highlight w:val="none"/>
                <w:lang w:eastAsia="zh-CN"/>
              </w:rPr>
              <w:t>投标人的综合单价不得超出最高投标限价</w:t>
            </w:r>
            <w:r>
              <w:rPr>
                <w:rFonts w:hint="eastAsia" w:ascii="宋体" w:hAnsi="宋体" w:cs="宋体"/>
                <w:color w:val="auto"/>
                <w:spacing w:val="2"/>
                <w:kern w:val="0"/>
                <w:sz w:val="24"/>
                <w:szCs w:val="24"/>
                <w:highlight w:val="none"/>
                <w:lang w:val="en-US" w:eastAsia="zh-CN"/>
              </w:rPr>
              <w:t>单价</w:t>
            </w:r>
            <w:r>
              <w:rPr>
                <w:rFonts w:hint="eastAsia" w:ascii="宋体" w:hAnsi="宋体" w:cs="宋体"/>
                <w:color w:val="auto"/>
                <w:spacing w:val="2"/>
                <w:kern w:val="0"/>
                <w:sz w:val="24"/>
                <w:szCs w:val="24"/>
                <w:highlight w:val="none"/>
                <w:lang w:eastAsia="zh-CN"/>
              </w:rPr>
              <w:t>人民币2</w:t>
            </w:r>
            <w:r>
              <w:rPr>
                <w:rFonts w:hint="eastAsia" w:ascii="宋体" w:hAnsi="宋体" w:cs="宋体"/>
                <w:color w:val="auto"/>
                <w:spacing w:val="2"/>
                <w:kern w:val="0"/>
                <w:sz w:val="24"/>
                <w:szCs w:val="24"/>
                <w:highlight w:val="none"/>
                <w:lang w:val="en-US" w:eastAsia="zh-CN"/>
              </w:rPr>
              <w:t>.02</w:t>
            </w:r>
            <w:r>
              <w:rPr>
                <w:rFonts w:hint="eastAsia" w:ascii="宋体" w:hAnsi="宋体" w:cs="宋体"/>
                <w:color w:val="auto"/>
                <w:spacing w:val="2"/>
                <w:kern w:val="0"/>
                <w:sz w:val="24"/>
                <w:szCs w:val="24"/>
                <w:highlight w:val="none"/>
                <w:lang w:eastAsia="zh-CN"/>
              </w:rPr>
              <w:t>元/吨，否则其报价将作无效报价处理。</w:t>
            </w:r>
          </w:p>
        </w:tc>
      </w:tr>
      <w:tr w14:paraId="2854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0B571DB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40997C7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3096E21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报价唯一</w:t>
            </w:r>
          </w:p>
        </w:tc>
        <w:tc>
          <w:tcPr>
            <w:tcW w:w="5334" w:type="dxa"/>
            <w:gridSpan w:val="2"/>
            <w:noWrap w:val="0"/>
            <w:vAlign w:val="center"/>
          </w:tcPr>
          <w:p w14:paraId="09D6539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只能有一个有效报价，且没有高于最高</w:t>
            </w:r>
            <w:r>
              <w:rPr>
                <w:rFonts w:hint="eastAsia" w:ascii="宋体" w:hAnsi="宋体" w:eastAsia="宋体" w:cs="宋体"/>
                <w:color w:val="auto"/>
                <w:kern w:val="0"/>
                <w:sz w:val="24"/>
                <w:szCs w:val="24"/>
                <w:highlight w:val="none"/>
                <w:lang w:val="en-US" w:eastAsia="zh-CN"/>
              </w:rPr>
              <w:t>投</w:t>
            </w:r>
            <w:r>
              <w:rPr>
                <w:rFonts w:hint="eastAsia" w:ascii="宋体" w:hAnsi="宋体" w:eastAsia="宋体" w:cs="宋体"/>
                <w:color w:val="auto"/>
                <w:kern w:val="0"/>
                <w:sz w:val="24"/>
                <w:szCs w:val="24"/>
                <w:highlight w:val="none"/>
              </w:rPr>
              <w:t>标限价。</w:t>
            </w:r>
          </w:p>
        </w:tc>
      </w:tr>
      <w:tr w14:paraId="37D8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734F731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6A8F1F89">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64F8A9BB">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投标文件其他情形</w:t>
            </w:r>
          </w:p>
        </w:tc>
        <w:tc>
          <w:tcPr>
            <w:tcW w:w="5334" w:type="dxa"/>
            <w:gridSpan w:val="2"/>
            <w:noWrap w:val="0"/>
            <w:vAlign w:val="center"/>
          </w:tcPr>
          <w:p w14:paraId="6462659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不</w:t>
            </w:r>
            <w:r>
              <w:rPr>
                <w:rFonts w:hint="eastAsia" w:ascii="宋体" w:hAnsi="宋体" w:eastAsia="宋体" w:cs="宋体"/>
                <w:color w:val="auto"/>
                <w:kern w:val="0"/>
                <w:sz w:val="24"/>
                <w:szCs w:val="24"/>
                <w:highlight w:val="none"/>
              </w:rPr>
              <w:t>存在串通投标情形（串通投标情形以《中华人民共和国招标投标法实施条例》的规定为准）</w:t>
            </w:r>
            <w:r>
              <w:rPr>
                <w:rFonts w:hint="eastAsia" w:ascii="宋体" w:hAnsi="宋体" w:eastAsia="宋体" w:cs="宋体"/>
                <w:color w:val="auto"/>
                <w:kern w:val="0"/>
                <w:sz w:val="24"/>
                <w:szCs w:val="24"/>
                <w:highlight w:val="none"/>
                <w:lang w:val="en-US" w:eastAsia="zh-CN"/>
              </w:rPr>
              <w:t>或招标文件规定的无效投标的情形</w:t>
            </w:r>
            <w:r>
              <w:rPr>
                <w:rFonts w:hint="eastAsia" w:ascii="宋体" w:hAnsi="宋体" w:eastAsia="宋体" w:cs="宋体"/>
                <w:color w:val="auto"/>
                <w:kern w:val="0"/>
                <w:sz w:val="24"/>
                <w:szCs w:val="24"/>
                <w:highlight w:val="none"/>
              </w:rPr>
              <w:t>。</w:t>
            </w:r>
          </w:p>
        </w:tc>
      </w:tr>
      <w:tr w14:paraId="71B5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restart"/>
            <w:noWrap w:val="0"/>
            <w:vAlign w:val="center"/>
          </w:tcPr>
          <w:p w14:paraId="23723625">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w:t>
            </w:r>
          </w:p>
        </w:tc>
        <w:tc>
          <w:tcPr>
            <w:tcW w:w="1123" w:type="dxa"/>
            <w:vMerge w:val="restart"/>
            <w:noWrap w:val="0"/>
            <w:vAlign w:val="center"/>
          </w:tcPr>
          <w:p w14:paraId="1684A80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资格评审 标准</w:t>
            </w:r>
          </w:p>
        </w:tc>
        <w:tc>
          <w:tcPr>
            <w:tcW w:w="2367" w:type="dxa"/>
            <w:gridSpan w:val="2"/>
            <w:noWrap w:val="0"/>
            <w:vAlign w:val="center"/>
          </w:tcPr>
          <w:p w14:paraId="663F134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营业执照</w:t>
            </w:r>
          </w:p>
        </w:tc>
        <w:tc>
          <w:tcPr>
            <w:tcW w:w="5334" w:type="dxa"/>
            <w:gridSpan w:val="2"/>
            <w:noWrap w:val="0"/>
            <w:vAlign w:val="center"/>
          </w:tcPr>
          <w:p w14:paraId="4AF73BE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第3.5</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w:t>
            </w:r>
            <w:r>
              <w:rPr>
                <w:rFonts w:hint="eastAsia" w:ascii="宋体" w:hAnsi="宋体" w:eastAsia="宋体" w:cs="宋体"/>
                <w:color w:val="auto"/>
                <w:spacing w:val="-2"/>
                <w:kern w:val="0"/>
                <w:sz w:val="24"/>
                <w:szCs w:val="24"/>
                <w:highlight w:val="none"/>
              </w:rPr>
              <w:t>定</w:t>
            </w:r>
            <w:r>
              <w:rPr>
                <w:rFonts w:hint="eastAsia" w:ascii="宋体" w:hAnsi="宋体" w:eastAsia="宋体" w:cs="宋体"/>
                <w:color w:val="auto"/>
                <w:spacing w:val="-29"/>
                <w:kern w:val="0"/>
                <w:sz w:val="24"/>
                <w:szCs w:val="24"/>
                <w:highlight w:val="none"/>
              </w:rPr>
              <w:t>，</w:t>
            </w:r>
            <w:r>
              <w:rPr>
                <w:rFonts w:hint="eastAsia" w:ascii="宋体" w:hAnsi="宋体" w:eastAsia="宋体" w:cs="宋体"/>
                <w:color w:val="auto"/>
                <w:kern w:val="0"/>
                <w:sz w:val="24"/>
                <w:szCs w:val="24"/>
                <w:highlight w:val="none"/>
              </w:rPr>
              <w:t>具</w:t>
            </w:r>
            <w:r>
              <w:rPr>
                <w:rFonts w:hint="eastAsia" w:ascii="宋体" w:hAnsi="宋体" w:eastAsia="宋体" w:cs="宋体"/>
                <w:color w:val="auto"/>
                <w:spacing w:val="-2"/>
                <w:kern w:val="0"/>
                <w:sz w:val="24"/>
                <w:szCs w:val="24"/>
                <w:highlight w:val="none"/>
              </w:rPr>
              <w:t>备</w:t>
            </w:r>
            <w:r>
              <w:rPr>
                <w:rFonts w:hint="eastAsia" w:ascii="宋体" w:hAnsi="宋体" w:eastAsia="宋体" w:cs="宋体"/>
                <w:color w:val="auto"/>
                <w:kern w:val="0"/>
                <w:sz w:val="24"/>
                <w:szCs w:val="24"/>
                <w:highlight w:val="none"/>
              </w:rPr>
              <w:t>有效的</w:t>
            </w:r>
            <w:r>
              <w:rPr>
                <w:rFonts w:hint="eastAsia" w:ascii="宋体" w:hAnsi="宋体" w:eastAsia="宋体" w:cs="宋体"/>
                <w:color w:val="auto"/>
                <w:spacing w:val="-2"/>
                <w:kern w:val="0"/>
                <w:sz w:val="24"/>
                <w:szCs w:val="24"/>
                <w:highlight w:val="none"/>
              </w:rPr>
              <w:t>营</w:t>
            </w:r>
            <w:r>
              <w:rPr>
                <w:rFonts w:hint="eastAsia" w:ascii="宋体" w:hAnsi="宋体" w:eastAsia="宋体" w:cs="宋体"/>
                <w:color w:val="auto"/>
                <w:kern w:val="0"/>
                <w:sz w:val="24"/>
                <w:szCs w:val="24"/>
                <w:highlight w:val="none"/>
              </w:rPr>
              <w:t>业</w:t>
            </w:r>
            <w:r>
              <w:rPr>
                <w:rFonts w:hint="eastAsia" w:ascii="宋体" w:hAnsi="宋体" w:eastAsia="宋体" w:cs="宋体"/>
                <w:color w:val="auto"/>
                <w:spacing w:val="-2"/>
                <w:kern w:val="0"/>
                <w:sz w:val="24"/>
                <w:szCs w:val="24"/>
                <w:highlight w:val="none"/>
              </w:rPr>
              <w:t>执</w:t>
            </w:r>
            <w:r>
              <w:rPr>
                <w:rFonts w:hint="eastAsia" w:ascii="宋体" w:hAnsi="宋体" w:eastAsia="宋体" w:cs="宋体"/>
                <w:color w:val="auto"/>
                <w:kern w:val="0"/>
                <w:sz w:val="24"/>
                <w:szCs w:val="24"/>
                <w:highlight w:val="none"/>
              </w:rPr>
              <w:t>照</w:t>
            </w:r>
            <w:r>
              <w:rPr>
                <w:rFonts w:hint="eastAsia" w:ascii="宋体" w:hAnsi="宋体" w:cs="宋体"/>
                <w:color w:val="auto"/>
                <w:kern w:val="0"/>
                <w:sz w:val="24"/>
                <w:szCs w:val="24"/>
                <w:highlight w:val="none"/>
                <w:lang w:eastAsia="zh-CN"/>
              </w:rPr>
              <w:t>。</w:t>
            </w:r>
          </w:p>
        </w:tc>
      </w:tr>
      <w:tr w14:paraId="42B9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 w:type="dxa"/>
            <w:vMerge w:val="continue"/>
            <w:noWrap w:val="0"/>
            <w:vAlign w:val="center"/>
          </w:tcPr>
          <w:p w14:paraId="63C4746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0F4C026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7B67E29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资质要求</w:t>
            </w:r>
          </w:p>
        </w:tc>
        <w:tc>
          <w:tcPr>
            <w:tcW w:w="5334" w:type="dxa"/>
            <w:gridSpan w:val="2"/>
            <w:noWrap w:val="0"/>
            <w:vAlign w:val="center"/>
          </w:tcPr>
          <w:p w14:paraId="3E6BA27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第1.4</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100D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017936B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537959F9">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3A69C39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信誉</w:t>
            </w:r>
            <w:r>
              <w:rPr>
                <w:rFonts w:hint="eastAsia" w:ascii="宋体" w:hAnsi="宋体" w:eastAsia="宋体" w:cs="宋体"/>
                <w:color w:val="auto"/>
                <w:spacing w:val="-2"/>
                <w:kern w:val="0"/>
                <w:sz w:val="24"/>
                <w:szCs w:val="24"/>
                <w:highlight w:val="none"/>
              </w:rPr>
              <w:t>要</w:t>
            </w:r>
            <w:r>
              <w:rPr>
                <w:rFonts w:hint="eastAsia" w:ascii="宋体" w:hAnsi="宋体" w:eastAsia="宋体" w:cs="宋体"/>
                <w:color w:val="auto"/>
                <w:kern w:val="0"/>
                <w:sz w:val="24"/>
                <w:szCs w:val="24"/>
                <w:highlight w:val="none"/>
              </w:rPr>
              <w:t>求</w:t>
            </w:r>
          </w:p>
        </w:tc>
        <w:tc>
          <w:tcPr>
            <w:tcW w:w="5334" w:type="dxa"/>
            <w:gridSpan w:val="2"/>
            <w:noWrap w:val="0"/>
            <w:vAlign w:val="center"/>
          </w:tcPr>
          <w:p w14:paraId="4195894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第1.4</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195D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7373A4D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25D9F117">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230AB4E9">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r>
              <w:rPr>
                <w:rFonts w:hint="eastAsia" w:ascii="宋体" w:hAnsi="宋体" w:eastAsia="宋体" w:cs="宋体"/>
                <w:color w:val="auto"/>
                <w:spacing w:val="-2"/>
                <w:kern w:val="0"/>
                <w:sz w:val="24"/>
                <w:szCs w:val="24"/>
                <w:highlight w:val="none"/>
              </w:rPr>
              <w:t>要</w:t>
            </w:r>
            <w:r>
              <w:rPr>
                <w:rFonts w:hint="eastAsia" w:ascii="宋体" w:hAnsi="宋体" w:eastAsia="宋体" w:cs="宋体"/>
                <w:color w:val="auto"/>
                <w:kern w:val="0"/>
                <w:sz w:val="24"/>
                <w:szCs w:val="24"/>
                <w:highlight w:val="none"/>
              </w:rPr>
              <w:t>求</w:t>
            </w:r>
          </w:p>
        </w:tc>
        <w:tc>
          <w:tcPr>
            <w:tcW w:w="5334" w:type="dxa"/>
            <w:gridSpan w:val="2"/>
            <w:noWrap w:val="0"/>
            <w:vAlign w:val="center"/>
          </w:tcPr>
          <w:p w14:paraId="369A009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第1.4</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506C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03A7083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3D0E59E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6D2705B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w:t>
            </w:r>
            <w:r>
              <w:rPr>
                <w:rFonts w:hint="eastAsia" w:ascii="宋体" w:hAnsi="宋体" w:eastAsia="宋体" w:cs="宋体"/>
                <w:color w:val="auto"/>
                <w:spacing w:val="-2"/>
                <w:kern w:val="0"/>
                <w:sz w:val="24"/>
                <w:szCs w:val="24"/>
                <w:highlight w:val="none"/>
              </w:rPr>
              <w:t>体</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人</w:t>
            </w:r>
          </w:p>
        </w:tc>
        <w:tc>
          <w:tcPr>
            <w:tcW w:w="5334" w:type="dxa"/>
            <w:gridSpan w:val="2"/>
            <w:noWrap w:val="0"/>
            <w:vAlign w:val="center"/>
          </w:tcPr>
          <w:p w14:paraId="192F6BA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第1.4</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1A4C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7C67CEA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7952FD94">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0FF84C15">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不存</w:t>
            </w:r>
            <w:r>
              <w:rPr>
                <w:rFonts w:hint="eastAsia" w:ascii="宋体" w:hAnsi="宋体" w:eastAsia="宋体" w:cs="宋体"/>
                <w:color w:val="auto"/>
                <w:spacing w:val="-2"/>
                <w:kern w:val="0"/>
                <w:sz w:val="24"/>
                <w:szCs w:val="24"/>
                <w:highlight w:val="none"/>
              </w:rPr>
              <w:t>在</w:t>
            </w:r>
            <w:r>
              <w:rPr>
                <w:rFonts w:hint="eastAsia" w:ascii="宋体" w:hAnsi="宋体" w:eastAsia="宋体" w:cs="宋体"/>
                <w:color w:val="auto"/>
                <w:kern w:val="0"/>
                <w:sz w:val="24"/>
                <w:szCs w:val="24"/>
                <w:highlight w:val="none"/>
              </w:rPr>
              <w:t>禁</w:t>
            </w:r>
            <w:r>
              <w:rPr>
                <w:rFonts w:hint="eastAsia" w:ascii="宋体" w:hAnsi="宋体" w:eastAsia="宋体" w:cs="宋体"/>
                <w:color w:val="auto"/>
                <w:spacing w:val="-2"/>
                <w:kern w:val="0"/>
                <w:sz w:val="24"/>
                <w:szCs w:val="24"/>
                <w:highlight w:val="none"/>
              </w:rPr>
              <w:t>止</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情</w:t>
            </w:r>
            <w:r>
              <w:rPr>
                <w:rFonts w:hint="eastAsia" w:ascii="宋体" w:hAnsi="宋体" w:eastAsia="宋体" w:cs="宋体"/>
                <w:color w:val="auto"/>
                <w:kern w:val="0"/>
                <w:sz w:val="24"/>
                <w:szCs w:val="24"/>
                <w:highlight w:val="none"/>
              </w:rPr>
              <w:t>形</w:t>
            </w:r>
          </w:p>
        </w:tc>
        <w:tc>
          <w:tcPr>
            <w:tcW w:w="5334" w:type="dxa"/>
            <w:gridSpan w:val="2"/>
            <w:noWrap w:val="0"/>
            <w:vAlign w:val="center"/>
          </w:tcPr>
          <w:p w14:paraId="7F1601D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不存</w:t>
            </w:r>
            <w:r>
              <w:rPr>
                <w:rFonts w:hint="eastAsia" w:ascii="宋体" w:hAnsi="宋体" w:eastAsia="宋体" w:cs="宋体"/>
                <w:color w:val="auto"/>
                <w:spacing w:val="-2"/>
                <w:kern w:val="0"/>
                <w:sz w:val="24"/>
                <w:szCs w:val="24"/>
                <w:highlight w:val="none"/>
              </w:rPr>
              <w:t>在</w:t>
            </w:r>
            <w:r>
              <w:rPr>
                <w:rFonts w:hint="eastAsia" w:ascii="宋体" w:hAnsi="宋体" w:eastAsia="宋体" w:cs="宋体"/>
                <w:color w:val="auto"/>
                <w:kern w:val="0"/>
                <w:sz w:val="24"/>
                <w:szCs w:val="24"/>
                <w:highlight w:val="none"/>
              </w:rPr>
              <w:t>第</w:t>
            </w:r>
            <w:r>
              <w:rPr>
                <w:rFonts w:hint="eastAsia" w:ascii="宋体" w:hAnsi="宋体" w:eastAsia="宋体" w:cs="宋体"/>
                <w:color w:val="auto"/>
                <w:spacing w:val="-2"/>
                <w:kern w:val="0"/>
                <w:sz w:val="24"/>
                <w:szCs w:val="24"/>
                <w:highlight w:val="none"/>
              </w:rPr>
              <w:t>二</w:t>
            </w:r>
            <w:r>
              <w:rPr>
                <w:rFonts w:hint="eastAsia" w:ascii="宋体" w:hAnsi="宋体" w:eastAsia="宋体" w:cs="宋体"/>
                <w:color w:val="auto"/>
                <w:kern w:val="0"/>
                <w:sz w:val="24"/>
                <w:szCs w:val="24"/>
                <w:highlight w:val="none"/>
              </w:rPr>
              <w:t>章</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人</w:t>
            </w:r>
            <w:r>
              <w:rPr>
                <w:rFonts w:hint="eastAsia" w:ascii="宋体" w:hAnsi="宋体" w:eastAsia="宋体" w:cs="宋体"/>
                <w:color w:val="auto"/>
                <w:spacing w:val="-2"/>
                <w:kern w:val="0"/>
                <w:sz w:val="24"/>
                <w:szCs w:val="24"/>
                <w:highlight w:val="none"/>
              </w:rPr>
              <w:t>须</w:t>
            </w:r>
            <w:r>
              <w:rPr>
                <w:rFonts w:hint="eastAsia" w:ascii="宋体" w:hAnsi="宋体" w:eastAsia="宋体" w:cs="宋体"/>
                <w:color w:val="auto"/>
                <w:spacing w:val="-3"/>
                <w:kern w:val="0"/>
                <w:sz w:val="24"/>
                <w:szCs w:val="24"/>
                <w:highlight w:val="none"/>
              </w:rPr>
              <w:t>知</w:t>
            </w:r>
            <w:r>
              <w:rPr>
                <w:rFonts w:hint="eastAsia" w:ascii="宋体" w:hAnsi="宋体" w:eastAsia="宋体" w:cs="宋体"/>
                <w:color w:val="auto"/>
                <w:kern w:val="0"/>
                <w:sz w:val="24"/>
                <w:szCs w:val="24"/>
                <w:highlight w:val="none"/>
              </w:rPr>
              <w:t>”第1.4.3项</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任何一种</w:t>
            </w:r>
            <w:r>
              <w:rPr>
                <w:rFonts w:hint="eastAsia" w:ascii="宋体" w:hAnsi="宋体" w:eastAsia="宋体" w:cs="宋体"/>
                <w:color w:val="auto"/>
                <w:spacing w:val="-2"/>
                <w:kern w:val="0"/>
                <w:sz w:val="24"/>
                <w:szCs w:val="24"/>
                <w:highlight w:val="none"/>
              </w:rPr>
              <w:t>情</w:t>
            </w:r>
            <w:r>
              <w:rPr>
                <w:rFonts w:hint="eastAsia" w:ascii="宋体" w:hAnsi="宋体" w:eastAsia="宋体" w:cs="宋体"/>
                <w:color w:val="auto"/>
                <w:kern w:val="0"/>
                <w:sz w:val="24"/>
                <w:szCs w:val="24"/>
                <w:highlight w:val="none"/>
              </w:rPr>
              <w:t>形</w:t>
            </w:r>
            <w:r>
              <w:rPr>
                <w:rFonts w:hint="eastAsia" w:ascii="宋体" w:hAnsi="宋体" w:cs="宋体"/>
                <w:color w:val="auto"/>
                <w:kern w:val="0"/>
                <w:sz w:val="24"/>
                <w:szCs w:val="24"/>
                <w:highlight w:val="none"/>
                <w:lang w:eastAsia="zh-CN"/>
              </w:rPr>
              <w:t>。</w:t>
            </w:r>
          </w:p>
        </w:tc>
      </w:tr>
      <w:tr w14:paraId="07B8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restart"/>
            <w:noWrap w:val="0"/>
            <w:vAlign w:val="center"/>
          </w:tcPr>
          <w:p w14:paraId="2E7A1AC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w:t>
            </w:r>
          </w:p>
        </w:tc>
        <w:tc>
          <w:tcPr>
            <w:tcW w:w="1123" w:type="dxa"/>
            <w:vMerge w:val="restart"/>
            <w:noWrap w:val="0"/>
            <w:vAlign w:val="center"/>
          </w:tcPr>
          <w:p w14:paraId="4116D6C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w:t>
            </w:r>
            <w:r>
              <w:rPr>
                <w:rFonts w:hint="eastAsia" w:ascii="宋体" w:hAnsi="宋体" w:eastAsia="宋体" w:cs="宋体"/>
                <w:color w:val="auto"/>
                <w:spacing w:val="-2"/>
                <w:kern w:val="0"/>
                <w:sz w:val="24"/>
                <w:szCs w:val="24"/>
                <w:highlight w:val="none"/>
              </w:rPr>
              <w:t>性</w:t>
            </w:r>
            <w:r>
              <w:rPr>
                <w:rFonts w:hint="eastAsia" w:ascii="宋体" w:hAnsi="宋体" w:eastAsia="宋体" w:cs="宋体"/>
                <w:color w:val="auto"/>
                <w:kern w:val="0"/>
                <w:sz w:val="24"/>
                <w:szCs w:val="24"/>
                <w:highlight w:val="none"/>
              </w:rPr>
              <w:t>评审标准</w:t>
            </w:r>
          </w:p>
        </w:tc>
        <w:tc>
          <w:tcPr>
            <w:tcW w:w="2367" w:type="dxa"/>
            <w:gridSpan w:val="2"/>
            <w:noWrap w:val="0"/>
            <w:vAlign w:val="center"/>
          </w:tcPr>
          <w:p w14:paraId="2783C3B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内</w:t>
            </w:r>
            <w:r>
              <w:rPr>
                <w:rFonts w:hint="eastAsia" w:ascii="宋体" w:hAnsi="宋体" w:eastAsia="宋体" w:cs="宋体"/>
                <w:color w:val="auto"/>
                <w:kern w:val="0"/>
                <w:sz w:val="24"/>
                <w:szCs w:val="24"/>
                <w:highlight w:val="none"/>
              </w:rPr>
              <w:t>容</w:t>
            </w:r>
          </w:p>
        </w:tc>
        <w:tc>
          <w:tcPr>
            <w:tcW w:w="5334" w:type="dxa"/>
            <w:gridSpan w:val="2"/>
            <w:noWrap w:val="0"/>
            <w:vAlign w:val="center"/>
          </w:tcPr>
          <w:p w14:paraId="462DC88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第1.3</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6EE4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556C273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3CE32DE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029C442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服务期</w:t>
            </w:r>
          </w:p>
        </w:tc>
        <w:tc>
          <w:tcPr>
            <w:tcW w:w="5334" w:type="dxa"/>
            <w:gridSpan w:val="2"/>
            <w:noWrap w:val="0"/>
            <w:vAlign w:val="center"/>
          </w:tcPr>
          <w:p w14:paraId="55BFD8F7">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第1.3</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7007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6D0EB075">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4D2A12D7">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1433BD1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项目服务地点</w:t>
            </w:r>
          </w:p>
        </w:tc>
        <w:tc>
          <w:tcPr>
            <w:tcW w:w="5334" w:type="dxa"/>
            <w:gridSpan w:val="2"/>
            <w:noWrap w:val="0"/>
            <w:vAlign w:val="center"/>
          </w:tcPr>
          <w:p w14:paraId="47DD13E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第1.3</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3</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4267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4816E0F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5160606D">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477B062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有</w:t>
            </w:r>
            <w:r>
              <w:rPr>
                <w:rFonts w:hint="eastAsia" w:ascii="宋体" w:hAnsi="宋体" w:eastAsia="宋体" w:cs="宋体"/>
                <w:color w:val="auto"/>
                <w:kern w:val="0"/>
                <w:sz w:val="24"/>
                <w:szCs w:val="24"/>
                <w:highlight w:val="none"/>
              </w:rPr>
              <w:t>效期</w:t>
            </w:r>
          </w:p>
        </w:tc>
        <w:tc>
          <w:tcPr>
            <w:tcW w:w="5334" w:type="dxa"/>
            <w:gridSpan w:val="2"/>
            <w:noWrap w:val="0"/>
            <w:vAlign w:val="center"/>
          </w:tcPr>
          <w:p w14:paraId="4B69BFE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第3.3</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21DE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35CFF03A">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618CF86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2E3BD161">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保</w:t>
            </w:r>
            <w:r>
              <w:rPr>
                <w:rFonts w:hint="eastAsia" w:ascii="宋体" w:hAnsi="宋体" w:eastAsia="宋体" w:cs="宋体"/>
                <w:color w:val="auto"/>
                <w:kern w:val="0"/>
                <w:sz w:val="24"/>
                <w:szCs w:val="24"/>
                <w:highlight w:val="none"/>
              </w:rPr>
              <w:t>证金</w:t>
            </w:r>
          </w:p>
        </w:tc>
        <w:tc>
          <w:tcPr>
            <w:tcW w:w="5334" w:type="dxa"/>
            <w:gridSpan w:val="2"/>
            <w:noWrap w:val="0"/>
            <w:vAlign w:val="center"/>
          </w:tcPr>
          <w:p w14:paraId="10C5A782">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符合</w:t>
            </w:r>
            <w:r>
              <w:rPr>
                <w:rFonts w:hint="eastAsia" w:ascii="宋体" w:hAnsi="宋体" w:eastAsia="宋体" w:cs="宋体"/>
                <w:color w:val="auto"/>
                <w:spacing w:val="-2"/>
                <w:kern w:val="0"/>
                <w:sz w:val="24"/>
                <w:szCs w:val="24"/>
                <w:highlight w:val="none"/>
              </w:rPr>
              <w:t>第</w:t>
            </w:r>
            <w:r>
              <w:rPr>
                <w:rFonts w:hint="eastAsia" w:ascii="宋体" w:hAnsi="宋体" w:eastAsia="宋体" w:cs="宋体"/>
                <w:color w:val="auto"/>
                <w:kern w:val="0"/>
                <w:sz w:val="24"/>
                <w:szCs w:val="24"/>
                <w:highlight w:val="none"/>
              </w:rPr>
              <w:t>二</w:t>
            </w:r>
            <w:r>
              <w:rPr>
                <w:rFonts w:hint="eastAsia" w:ascii="宋体" w:hAnsi="宋体" w:eastAsia="宋体" w:cs="宋体"/>
                <w:color w:val="auto"/>
                <w:spacing w:val="-2"/>
                <w:kern w:val="0"/>
                <w:sz w:val="24"/>
                <w:szCs w:val="24"/>
                <w:highlight w:val="none"/>
              </w:rPr>
              <w:t>章</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须知</w:t>
            </w:r>
            <w:r>
              <w:rPr>
                <w:rFonts w:hint="eastAsia" w:ascii="宋体" w:hAnsi="宋体" w:eastAsia="宋体" w:cs="宋体"/>
                <w:color w:val="auto"/>
                <w:spacing w:val="-3"/>
                <w:kern w:val="0"/>
                <w:sz w:val="24"/>
                <w:szCs w:val="24"/>
                <w:highlight w:val="none"/>
              </w:rPr>
              <w:t>”</w:t>
            </w:r>
            <w:r>
              <w:rPr>
                <w:rFonts w:hint="eastAsia" w:ascii="宋体" w:hAnsi="宋体" w:eastAsia="宋体" w:cs="宋体"/>
                <w:color w:val="auto"/>
                <w:kern w:val="0"/>
                <w:sz w:val="24"/>
                <w:szCs w:val="24"/>
                <w:highlight w:val="none"/>
              </w:rPr>
              <w:t>第3.4</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spacing w:val="-2"/>
                <w:kern w:val="0"/>
                <w:sz w:val="24"/>
                <w:szCs w:val="24"/>
                <w:highlight w:val="none"/>
              </w:rPr>
              <w:t>项</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p>
        </w:tc>
      </w:tr>
      <w:tr w14:paraId="0262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0BD47D7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53BF13A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3EA9690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实质性要求和条件</w:t>
            </w:r>
          </w:p>
        </w:tc>
        <w:tc>
          <w:tcPr>
            <w:tcW w:w="5334" w:type="dxa"/>
            <w:gridSpan w:val="2"/>
            <w:noWrap w:val="0"/>
            <w:vAlign w:val="center"/>
          </w:tcPr>
          <w:p w14:paraId="638F532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符合第二章“投标人须知”第1.11.1项规定</w:t>
            </w:r>
            <w:r>
              <w:rPr>
                <w:rFonts w:hint="eastAsia" w:ascii="宋体" w:hAnsi="宋体" w:cs="宋体"/>
                <w:color w:val="auto"/>
                <w:kern w:val="0"/>
                <w:sz w:val="24"/>
                <w:szCs w:val="24"/>
                <w:highlight w:val="none"/>
                <w:lang w:val="en-US" w:eastAsia="zh-CN"/>
              </w:rPr>
              <w:t>。</w:t>
            </w:r>
          </w:p>
        </w:tc>
      </w:tr>
      <w:tr w14:paraId="7E96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00" w:type="dxa"/>
            <w:vMerge w:val="continue"/>
            <w:noWrap w:val="0"/>
            <w:vAlign w:val="center"/>
          </w:tcPr>
          <w:p w14:paraId="70F88524">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23" w:type="dxa"/>
            <w:vMerge w:val="continue"/>
            <w:noWrap w:val="0"/>
            <w:vAlign w:val="center"/>
          </w:tcPr>
          <w:p w14:paraId="6940DD8C">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2367" w:type="dxa"/>
            <w:gridSpan w:val="2"/>
            <w:noWrap w:val="0"/>
            <w:vAlign w:val="center"/>
          </w:tcPr>
          <w:p w14:paraId="3CEE987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投标文件其他情形</w:t>
            </w:r>
          </w:p>
        </w:tc>
        <w:tc>
          <w:tcPr>
            <w:tcW w:w="5334" w:type="dxa"/>
            <w:gridSpan w:val="2"/>
            <w:noWrap w:val="0"/>
            <w:vAlign w:val="center"/>
          </w:tcPr>
          <w:p w14:paraId="2F540FD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不</w:t>
            </w:r>
            <w:r>
              <w:rPr>
                <w:rFonts w:hint="eastAsia" w:ascii="宋体" w:hAnsi="宋体" w:eastAsia="宋体" w:cs="宋体"/>
                <w:color w:val="auto"/>
                <w:kern w:val="0"/>
                <w:sz w:val="24"/>
                <w:szCs w:val="24"/>
                <w:highlight w:val="none"/>
              </w:rPr>
              <w:t>存在串通投标情形（串通投标情形以《中华人民共和国招标投标法实施条例》的规定为准）</w:t>
            </w:r>
            <w:r>
              <w:rPr>
                <w:rFonts w:hint="eastAsia" w:ascii="宋体" w:hAnsi="宋体" w:eastAsia="宋体" w:cs="宋体"/>
                <w:color w:val="auto"/>
                <w:kern w:val="0"/>
                <w:sz w:val="24"/>
                <w:szCs w:val="24"/>
                <w:highlight w:val="none"/>
                <w:lang w:val="en-US" w:eastAsia="zh-CN"/>
              </w:rPr>
              <w:t>或招标文件规定的无效投标的情形</w:t>
            </w:r>
            <w:r>
              <w:rPr>
                <w:rFonts w:hint="eastAsia" w:ascii="宋体" w:hAnsi="宋体" w:cs="宋体"/>
                <w:color w:val="auto"/>
                <w:kern w:val="0"/>
                <w:sz w:val="24"/>
                <w:szCs w:val="24"/>
                <w:highlight w:val="none"/>
                <w:lang w:val="en-US" w:eastAsia="zh-CN"/>
              </w:rPr>
              <w:t>。</w:t>
            </w:r>
          </w:p>
        </w:tc>
      </w:tr>
      <w:tr w14:paraId="77A1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3" w:type="dxa"/>
            <w:gridSpan w:val="2"/>
            <w:noWrap w:val="0"/>
            <w:vAlign w:val="center"/>
          </w:tcPr>
          <w:p w14:paraId="7C89E5F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条款号</w:t>
            </w:r>
          </w:p>
        </w:tc>
        <w:tc>
          <w:tcPr>
            <w:tcW w:w="2367" w:type="dxa"/>
            <w:gridSpan w:val="2"/>
            <w:noWrap w:val="0"/>
            <w:vAlign w:val="center"/>
          </w:tcPr>
          <w:p w14:paraId="3EB750C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条款内容</w:t>
            </w:r>
          </w:p>
        </w:tc>
        <w:tc>
          <w:tcPr>
            <w:tcW w:w="5334" w:type="dxa"/>
            <w:gridSpan w:val="2"/>
            <w:noWrap w:val="0"/>
            <w:vAlign w:val="center"/>
          </w:tcPr>
          <w:p w14:paraId="6DBEBC5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编列内容</w:t>
            </w:r>
          </w:p>
        </w:tc>
      </w:tr>
      <w:tr w14:paraId="44F5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3" w:type="dxa"/>
            <w:gridSpan w:val="2"/>
            <w:noWrap w:val="0"/>
            <w:vAlign w:val="center"/>
          </w:tcPr>
          <w:p w14:paraId="18E4B0B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w:t>
            </w:r>
          </w:p>
        </w:tc>
        <w:tc>
          <w:tcPr>
            <w:tcW w:w="2367" w:type="dxa"/>
            <w:gridSpan w:val="2"/>
            <w:noWrap w:val="0"/>
            <w:vAlign w:val="center"/>
          </w:tcPr>
          <w:p w14:paraId="67400D4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r>
              <w:rPr>
                <w:rFonts w:hint="eastAsia" w:ascii="宋体" w:hAnsi="宋体" w:eastAsia="宋体" w:cs="宋体"/>
                <w:color w:val="auto"/>
                <w:spacing w:val="-2"/>
                <w:kern w:val="0"/>
                <w:sz w:val="24"/>
                <w:szCs w:val="24"/>
                <w:highlight w:val="none"/>
              </w:rPr>
              <w:t>构</w:t>
            </w:r>
            <w:r>
              <w:rPr>
                <w:rFonts w:hint="eastAsia" w:ascii="宋体" w:hAnsi="宋体" w:eastAsia="宋体" w:cs="宋体"/>
                <w:color w:val="auto"/>
                <w:kern w:val="0"/>
                <w:sz w:val="24"/>
                <w:szCs w:val="24"/>
                <w:highlight w:val="none"/>
              </w:rPr>
              <w:t>成</w:t>
            </w:r>
          </w:p>
          <w:p w14:paraId="33064A7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kern w:val="0"/>
                <w:sz w:val="24"/>
                <w:szCs w:val="24"/>
                <w:highlight w:val="none"/>
              </w:rPr>
              <w:t>总分1</w:t>
            </w:r>
            <w:r>
              <w:rPr>
                <w:rFonts w:hint="eastAsia" w:ascii="宋体" w:hAnsi="宋体" w:eastAsia="宋体" w:cs="宋体"/>
                <w:color w:val="auto"/>
                <w:spacing w:val="-2"/>
                <w:kern w:val="0"/>
                <w:sz w:val="24"/>
                <w:szCs w:val="24"/>
                <w:highlight w:val="none"/>
              </w:rPr>
              <w:t>0</w:t>
            </w:r>
            <w:r>
              <w:rPr>
                <w:rFonts w:hint="eastAsia" w:ascii="宋体" w:hAnsi="宋体" w:eastAsia="宋体" w:cs="宋体"/>
                <w:color w:val="auto"/>
                <w:kern w:val="0"/>
                <w:sz w:val="24"/>
                <w:szCs w:val="24"/>
                <w:highlight w:val="none"/>
              </w:rPr>
              <w:t>0)</w:t>
            </w:r>
          </w:p>
        </w:tc>
        <w:tc>
          <w:tcPr>
            <w:tcW w:w="5334" w:type="dxa"/>
            <w:gridSpan w:val="2"/>
            <w:noWrap w:val="0"/>
            <w:vAlign w:val="center"/>
          </w:tcPr>
          <w:p w14:paraId="7CB65284">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rPr>
              <w:t>商务</w:t>
            </w:r>
            <w:r>
              <w:rPr>
                <w:rFonts w:hint="eastAsia" w:ascii="宋体" w:hAnsi="宋体" w:eastAsia="宋体" w:cs="宋体"/>
                <w:color w:val="auto"/>
                <w:spacing w:val="-2"/>
                <w:kern w:val="0"/>
                <w:sz w:val="24"/>
                <w:szCs w:val="24"/>
                <w:highlight w:val="none"/>
              </w:rPr>
              <w:t>部</w:t>
            </w:r>
            <w:r>
              <w:rPr>
                <w:rFonts w:hint="eastAsia" w:ascii="宋体" w:hAnsi="宋体" w:eastAsia="宋体" w:cs="宋体"/>
                <w:color w:val="auto"/>
                <w:kern w:val="0"/>
                <w:sz w:val="24"/>
                <w:szCs w:val="24"/>
                <w:highlight w:val="none"/>
              </w:rPr>
              <w:t>分</w:t>
            </w:r>
            <w:r>
              <w:rPr>
                <w:rFonts w:hint="eastAsia" w:ascii="宋体" w:hAnsi="宋体" w:eastAsia="宋体" w:cs="宋体"/>
                <w:color w:val="auto"/>
                <w:spacing w:val="-2"/>
                <w:kern w:val="0"/>
                <w:sz w:val="24"/>
                <w:szCs w:val="24"/>
                <w:highlight w:val="none"/>
              </w:rPr>
              <w:t>：</w:t>
            </w:r>
            <w:r>
              <w:rPr>
                <w:rFonts w:hint="eastAsia" w:ascii="宋体" w:hAnsi="宋体" w:cs="宋体"/>
                <w:color w:val="auto"/>
                <w:spacing w:val="-2"/>
                <w:kern w:val="0"/>
                <w:sz w:val="24"/>
                <w:szCs w:val="24"/>
                <w:highlight w:val="none"/>
                <w:lang w:val="en-US" w:eastAsia="zh-CN"/>
              </w:rPr>
              <w:t>2</w:t>
            </w:r>
            <w:r>
              <w:rPr>
                <w:rFonts w:hint="eastAsia" w:ascii="宋体" w:hAnsi="宋体" w:eastAsia="宋体" w:cs="宋体"/>
                <w:color w:val="auto"/>
                <w:kern w:val="0"/>
                <w:sz w:val="24"/>
                <w:szCs w:val="24"/>
                <w:highlight w:val="none"/>
                <w:u w:val="none"/>
                <w:lang w:val="en-US" w:eastAsia="zh-CN"/>
              </w:rPr>
              <w:t>0</w:t>
            </w:r>
            <w:r>
              <w:rPr>
                <w:rFonts w:hint="eastAsia" w:ascii="宋体" w:hAnsi="宋体" w:eastAsia="宋体" w:cs="宋体"/>
                <w:color w:val="auto"/>
                <w:kern w:val="0"/>
                <w:sz w:val="24"/>
                <w:szCs w:val="24"/>
                <w:highlight w:val="none"/>
                <w:u w:val="none"/>
              </w:rPr>
              <w:t>分</w:t>
            </w:r>
          </w:p>
          <w:p w14:paraId="66DF8024">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技术</w:t>
            </w:r>
            <w:r>
              <w:rPr>
                <w:rFonts w:hint="eastAsia" w:ascii="宋体" w:hAnsi="宋体" w:eastAsia="宋体" w:cs="宋体"/>
                <w:color w:val="auto"/>
                <w:spacing w:val="-2"/>
                <w:kern w:val="0"/>
                <w:sz w:val="24"/>
                <w:szCs w:val="24"/>
                <w:highlight w:val="none"/>
                <w:u w:val="none"/>
              </w:rPr>
              <w:t>部</w:t>
            </w:r>
            <w:r>
              <w:rPr>
                <w:rFonts w:hint="eastAsia" w:ascii="宋体" w:hAnsi="宋体" w:eastAsia="宋体" w:cs="宋体"/>
                <w:color w:val="auto"/>
                <w:kern w:val="0"/>
                <w:sz w:val="24"/>
                <w:szCs w:val="24"/>
                <w:highlight w:val="none"/>
                <w:u w:val="none"/>
              </w:rPr>
              <w:t>分</w:t>
            </w:r>
            <w:r>
              <w:rPr>
                <w:rFonts w:hint="eastAsia" w:ascii="宋体" w:hAnsi="宋体" w:eastAsia="宋体" w:cs="宋体"/>
                <w:color w:val="auto"/>
                <w:spacing w:val="-2"/>
                <w:kern w:val="0"/>
                <w:sz w:val="24"/>
                <w:szCs w:val="24"/>
                <w:highlight w:val="none"/>
                <w:u w:val="none"/>
              </w:rPr>
              <w:t>：</w:t>
            </w:r>
            <w:r>
              <w:rPr>
                <w:rFonts w:hint="eastAsia" w:ascii="宋体" w:hAnsi="宋体" w:cs="宋体"/>
                <w:color w:val="auto"/>
                <w:kern w:val="0"/>
                <w:sz w:val="24"/>
                <w:szCs w:val="24"/>
                <w:highlight w:val="none"/>
                <w:u w:val="none"/>
                <w:lang w:val="en-US" w:eastAsia="zh-CN"/>
              </w:rPr>
              <w:t>10</w:t>
            </w:r>
            <w:r>
              <w:rPr>
                <w:rFonts w:hint="eastAsia" w:ascii="宋体" w:hAnsi="宋体" w:eastAsia="宋体" w:cs="宋体"/>
                <w:color w:val="auto"/>
                <w:kern w:val="0"/>
                <w:sz w:val="24"/>
                <w:szCs w:val="24"/>
                <w:highlight w:val="none"/>
                <w:u w:val="none"/>
              </w:rPr>
              <w:t>分</w:t>
            </w:r>
          </w:p>
          <w:p w14:paraId="6A2C7B66">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none"/>
              </w:rPr>
              <w:t>投标</w:t>
            </w:r>
            <w:r>
              <w:rPr>
                <w:rFonts w:hint="eastAsia" w:ascii="宋体" w:hAnsi="宋体" w:eastAsia="宋体" w:cs="宋体"/>
                <w:color w:val="auto"/>
                <w:spacing w:val="-2"/>
                <w:kern w:val="0"/>
                <w:sz w:val="24"/>
                <w:szCs w:val="24"/>
                <w:highlight w:val="none"/>
                <w:u w:val="none"/>
              </w:rPr>
              <w:t>报</w:t>
            </w:r>
            <w:r>
              <w:rPr>
                <w:rFonts w:hint="eastAsia" w:ascii="宋体" w:hAnsi="宋体" w:eastAsia="宋体" w:cs="宋体"/>
                <w:color w:val="auto"/>
                <w:kern w:val="0"/>
                <w:sz w:val="24"/>
                <w:szCs w:val="24"/>
                <w:highlight w:val="none"/>
                <w:u w:val="none"/>
              </w:rPr>
              <w:t>价</w:t>
            </w:r>
            <w:r>
              <w:rPr>
                <w:rFonts w:hint="eastAsia" w:ascii="宋体" w:hAnsi="宋体" w:eastAsia="宋体" w:cs="宋体"/>
                <w:color w:val="auto"/>
                <w:spacing w:val="-2"/>
                <w:kern w:val="0"/>
                <w:sz w:val="24"/>
                <w:szCs w:val="24"/>
                <w:highlight w:val="none"/>
                <w:u w:val="none"/>
              </w:rPr>
              <w:t>：</w:t>
            </w:r>
            <w:r>
              <w:rPr>
                <w:rFonts w:hint="eastAsia" w:ascii="宋体" w:hAnsi="宋体" w:cs="宋体"/>
                <w:color w:val="auto"/>
                <w:kern w:val="0"/>
                <w:sz w:val="24"/>
                <w:szCs w:val="24"/>
                <w:highlight w:val="none"/>
                <w:u w:val="none"/>
                <w:lang w:val="en-US" w:eastAsia="zh-CN"/>
              </w:rPr>
              <w:t>70</w:t>
            </w:r>
            <w:r>
              <w:rPr>
                <w:rFonts w:hint="eastAsia" w:ascii="宋体" w:hAnsi="宋体" w:eastAsia="宋体" w:cs="宋体"/>
                <w:color w:val="auto"/>
                <w:kern w:val="0"/>
                <w:sz w:val="24"/>
                <w:szCs w:val="24"/>
                <w:highlight w:val="none"/>
                <w:u w:val="none"/>
              </w:rPr>
              <w:t>分</w:t>
            </w:r>
          </w:p>
        </w:tc>
      </w:tr>
      <w:tr w14:paraId="061F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3" w:type="dxa"/>
            <w:gridSpan w:val="2"/>
            <w:noWrap w:val="0"/>
            <w:vAlign w:val="center"/>
          </w:tcPr>
          <w:p w14:paraId="18543C78">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w:t>
            </w:r>
          </w:p>
        </w:tc>
        <w:tc>
          <w:tcPr>
            <w:tcW w:w="2367" w:type="dxa"/>
            <w:gridSpan w:val="2"/>
            <w:noWrap w:val="0"/>
            <w:vAlign w:val="center"/>
          </w:tcPr>
          <w:p w14:paraId="21AE7946">
            <w:pPr>
              <w:keepNext w:val="0"/>
              <w:keepLines w:val="0"/>
              <w:pageBreakBefore w:val="0"/>
              <w:shd w:val="clear" w:color="auto" w:fill="auto"/>
              <w:tabs>
                <w:tab w:val="left" w:pos="2100"/>
              </w:tabs>
              <w:kinsoku/>
              <w:wordWrap/>
              <w:overflowPunct/>
              <w:topLinePunct w:val="0"/>
              <w:autoSpaceDE w:val="0"/>
              <w:autoSpaceDN w:val="0"/>
              <w:bidi w:val="0"/>
              <w:adjustRightInd w:val="0"/>
              <w:spacing w:line="400" w:lineRule="exact"/>
              <w:ind w:left="0" w:leftChars="0" w:right="0" w:rightChars="0" w:firstLine="0" w:firstLineChars="0"/>
              <w:jc w:val="center"/>
              <w:textAlignment w:val="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0"/>
                <w:kern w:val="0"/>
                <w:sz w:val="24"/>
                <w:szCs w:val="24"/>
                <w:highlight w:val="none"/>
              </w:rPr>
              <w:t>评标基准价计算方法</w:t>
            </w:r>
          </w:p>
        </w:tc>
        <w:tc>
          <w:tcPr>
            <w:tcW w:w="5334" w:type="dxa"/>
            <w:gridSpan w:val="2"/>
            <w:noWrap w:val="0"/>
            <w:vAlign w:val="top"/>
          </w:tcPr>
          <w:p w14:paraId="6BA79A75">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（1）评标价的确定：</w:t>
            </w:r>
          </w:p>
          <w:p w14:paraId="6C0ADACF">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rightChars="0" w:firstLine="480" w:firstLineChars="200"/>
              <w:jc w:val="left"/>
              <w:textAlignment w:val="auto"/>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kern w:val="0"/>
                <w:sz w:val="24"/>
                <w:szCs w:val="24"/>
                <w:highlight w:val="none"/>
              </w:rPr>
              <w:t>评标价=投标函报价</w:t>
            </w:r>
            <w:r>
              <w:rPr>
                <w:rFonts w:hint="eastAsia" w:ascii="宋体" w:hAnsi="宋体" w:eastAsia="宋体" w:cs="宋体"/>
                <w:color w:val="auto"/>
                <w:spacing w:val="0"/>
                <w:kern w:val="0"/>
                <w:sz w:val="24"/>
                <w:szCs w:val="24"/>
                <w:highlight w:val="none"/>
                <w:lang w:val="en-US" w:eastAsia="zh-CN"/>
              </w:rPr>
              <w:t>；</w:t>
            </w:r>
          </w:p>
          <w:p w14:paraId="77632E3E">
            <w:pPr>
              <w:keepNext w:val="0"/>
              <w:keepLines w:val="0"/>
              <w:pageBreakBefore w:val="0"/>
              <w:numPr>
                <w:ilvl w:val="0"/>
                <w:numId w:val="0"/>
              </w:numPr>
              <w:shd w:val="clear" w:color="auto" w:fill="auto"/>
              <w:kinsoku/>
              <w:wordWrap/>
              <w:overflowPunct/>
              <w:topLinePunct w:val="0"/>
              <w:autoSpaceDE w:val="0"/>
              <w:autoSpaceDN w:val="0"/>
              <w:bidi w:val="0"/>
              <w:adjustRightInd w:val="0"/>
              <w:spacing w:line="400" w:lineRule="exact"/>
              <w:ind w:left="0" w:leftChars="0" w:right="0" w:rightChars="0" w:firstLine="0" w:firstLineChars="0"/>
              <w:jc w:val="left"/>
              <w:textAlignment w:val="auto"/>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bidi="ar-SA"/>
              </w:rPr>
              <w:t>（2）</w:t>
            </w:r>
            <w:r>
              <w:rPr>
                <w:rFonts w:hint="eastAsia" w:ascii="宋体" w:hAnsi="宋体" w:eastAsia="宋体" w:cs="宋体"/>
                <w:color w:val="auto"/>
                <w:spacing w:val="0"/>
                <w:kern w:val="0"/>
                <w:sz w:val="24"/>
                <w:szCs w:val="24"/>
                <w:highlight w:val="none"/>
                <w:lang w:val="en-US" w:eastAsia="zh-CN"/>
              </w:rPr>
              <w:t>评标基准价的确定：满足招标文件要求且投标价格最低的投标报价为评标基准价。</w:t>
            </w:r>
          </w:p>
        </w:tc>
      </w:tr>
      <w:tr w14:paraId="37B5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23" w:type="dxa"/>
            <w:gridSpan w:val="2"/>
            <w:noWrap w:val="0"/>
            <w:vAlign w:val="center"/>
          </w:tcPr>
          <w:p w14:paraId="3933C73E">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2.2.3</w:t>
            </w:r>
          </w:p>
        </w:tc>
        <w:tc>
          <w:tcPr>
            <w:tcW w:w="2367" w:type="dxa"/>
            <w:gridSpan w:val="2"/>
            <w:noWrap w:val="0"/>
            <w:vAlign w:val="center"/>
          </w:tcPr>
          <w:p w14:paraId="724647B7">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w:t>
            </w:r>
          </w:p>
        </w:tc>
        <w:tc>
          <w:tcPr>
            <w:tcW w:w="4500" w:type="dxa"/>
            <w:noWrap w:val="0"/>
            <w:vAlign w:val="center"/>
          </w:tcPr>
          <w:p w14:paraId="568188FC">
            <w:pPr>
              <w:keepNext w:val="0"/>
              <w:keepLines w:val="0"/>
              <w:pageBreakBefore w:val="0"/>
              <w:shd w:val="clear" w:color="auto" w:fill="auto"/>
              <w:kinsoku/>
              <w:wordWrap/>
              <w:overflowPunct/>
              <w:topLinePunct w:val="0"/>
              <w:bidi w:val="0"/>
              <w:spacing w:line="40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834" w:type="dxa"/>
            <w:noWrap w:val="0"/>
            <w:vAlign w:val="center"/>
          </w:tcPr>
          <w:p w14:paraId="3887C28C">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p>
        </w:tc>
      </w:tr>
      <w:tr w14:paraId="6F97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23" w:type="dxa"/>
            <w:gridSpan w:val="2"/>
            <w:vMerge w:val="restart"/>
            <w:noWrap w:val="0"/>
            <w:vAlign w:val="center"/>
          </w:tcPr>
          <w:p w14:paraId="4EFC730B">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2.2.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p>
        </w:tc>
        <w:tc>
          <w:tcPr>
            <w:tcW w:w="2367" w:type="dxa"/>
            <w:gridSpan w:val="2"/>
            <w:noWrap w:val="0"/>
            <w:vAlign w:val="center"/>
          </w:tcPr>
          <w:p w14:paraId="3AA039AF">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评审分项</w:t>
            </w:r>
          </w:p>
        </w:tc>
        <w:tc>
          <w:tcPr>
            <w:tcW w:w="4500" w:type="dxa"/>
            <w:noWrap w:val="0"/>
            <w:vAlign w:val="center"/>
          </w:tcPr>
          <w:p w14:paraId="2ADC8421">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834" w:type="dxa"/>
            <w:noWrap w:val="0"/>
            <w:vAlign w:val="center"/>
          </w:tcPr>
          <w:p w14:paraId="05025D0F">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3243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2" w:hRule="atLeast"/>
          <w:jc w:val="center"/>
        </w:trPr>
        <w:tc>
          <w:tcPr>
            <w:tcW w:w="2023" w:type="dxa"/>
            <w:gridSpan w:val="2"/>
            <w:vMerge w:val="continue"/>
            <w:noWrap w:val="0"/>
            <w:vAlign w:val="center"/>
          </w:tcPr>
          <w:p w14:paraId="2CF2D479">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p>
        </w:tc>
        <w:tc>
          <w:tcPr>
            <w:tcW w:w="1154" w:type="dxa"/>
            <w:vMerge w:val="restart"/>
            <w:noWrap w:val="0"/>
            <w:vAlign w:val="center"/>
          </w:tcPr>
          <w:p w14:paraId="75206F13">
            <w:pPr>
              <w:keepNext w:val="0"/>
              <w:keepLines w:val="0"/>
              <w:pageBreakBefore w:val="0"/>
              <w:shd w:val="clear" w:color="auto" w:fill="auto"/>
              <w:kinsoku/>
              <w:wordWrap/>
              <w:overflowPunct/>
              <w:topLinePunct w:val="0"/>
              <w:bidi w:val="0"/>
              <w:snapToGri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技术</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spacing w:val="-2"/>
                <w:kern w:val="0"/>
                <w:sz w:val="24"/>
                <w:szCs w:val="24"/>
                <w:highlight w:val="none"/>
              </w:rPr>
              <w:t>评</w:t>
            </w:r>
            <w:r>
              <w:rPr>
                <w:rFonts w:hint="eastAsia" w:ascii="宋体" w:hAnsi="宋体" w:eastAsia="宋体" w:cs="宋体"/>
                <w:color w:val="auto"/>
                <w:kern w:val="0"/>
                <w:sz w:val="24"/>
                <w:szCs w:val="24"/>
                <w:highlight w:val="none"/>
              </w:rPr>
              <w:t>分标准</w:t>
            </w:r>
          </w:p>
        </w:tc>
        <w:tc>
          <w:tcPr>
            <w:tcW w:w="1213" w:type="dxa"/>
            <w:noWrap w:val="0"/>
            <w:vAlign w:val="center"/>
          </w:tcPr>
          <w:p w14:paraId="3C7083D1">
            <w:pPr>
              <w:keepNext w:val="0"/>
              <w:keepLines w:val="0"/>
              <w:pageBreakBefore w:val="0"/>
              <w:shd w:val="clear" w:color="auto" w:fill="auto"/>
              <w:kinsoku/>
              <w:wordWrap/>
              <w:overflowPunct/>
              <w:topLinePunct w:val="0"/>
              <w:bidi w:val="0"/>
              <w:snapToGrid/>
              <w:spacing w:line="40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技术服务要求响应</w:t>
            </w:r>
          </w:p>
        </w:tc>
        <w:tc>
          <w:tcPr>
            <w:tcW w:w="4500" w:type="dxa"/>
            <w:noWrap w:val="0"/>
            <w:vAlign w:val="center"/>
          </w:tcPr>
          <w:p w14:paraId="4080F47D">
            <w:pPr>
              <w:pStyle w:val="14"/>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szCs w:val="24"/>
                <w:highlight w:val="none"/>
                <w:lang w:val="en-US" w:eastAsia="zh-CN"/>
              </w:rPr>
              <w:t>投标人</w:t>
            </w:r>
            <w:r>
              <w:rPr>
                <w:rFonts w:hint="eastAsia" w:ascii="宋体" w:hAnsi="宋体" w:eastAsia="宋体" w:cs="宋体"/>
                <w:color w:val="auto"/>
                <w:spacing w:val="0"/>
                <w:position w:val="0"/>
                <w:sz w:val="24"/>
                <w:highlight w:val="none"/>
              </w:rPr>
              <w:t>根据</w:t>
            </w:r>
            <w:r>
              <w:rPr>
                <w:rFonts w:hint="eastAsia" w:ascii="宋体" w:hAnsi="宋体" w:eastAsia="宋体" w:cs="宋体"/>
                <w:color w:val="auto"/>
                <w:spacing w:val="0"/>
                <w:position w:val="0"/>
                <w:sz w:val="24"/>
                <w:highlight w:val="none"/>
                <w:lang w:val="en-US" w:eastAsia="zh-CN"/>
              </w:rPr>
              <w:t>用户需求</w:t>
            </w:r>
            <w:r>
              <w:rPr>
                <w:rFonts w:hint="eastAsia" w:ascii="宋体" w:hAnsi="宋体" w:eastAsia="宋体" w:cs="宋体"/>
                <w:color w:val="auto"/>
                <w:spacing w:val="0"/>
                <w:position w:val="0"/>
                <w:sz w:val="24"/>
                <w:highlight w:val="none"/>
              </w:rPr>
              <w:t>，制定</w:t>
            </w:r>
            <w:r>
              <w:rPr>
                <w:rFonts w:hint="eastAsia" w:ascii="宋体" w:hAnsi="宋体" w:eastAsia="宋体" w:cs="宋体"/>
                <w:color w:val="auto"/>
                <w:spacing w:val="0"/>
                <w:position w:val="0"/>
                <w:sz w:val="24"/>
                <w:highlight w:val="none"/>
                <w:lang w:val="en-US" w:eastAsia="zh-CN"/>
              </w:rPr>
              <w:t>项目</w:t>
            </w:r>
            <w:r>
              <w:rPr>
                <w:rFonts w:hint="eastAsia" w:ascii="宋体" w:hAnsi="宋体" w:eastAsia="宋体" w:cs="宋体"/>
                <w:color w:val="auto"/>
                <w:szCs w:val="21"/>
                <w:highlight w:val="none"/>
                <w:lang w:val="en-US" w:eastAsia="zh-CN"/>
              </w:rPr>
              <w:t>技术服务要求响应</w:t>
            </w:r>
            <w:r>
              <w:rPr>
                <w:rFonts w:hint="eastAsia" w:ascii="宋体" w:hAnsi="宋体" w:eastAsia="宋体" w:cs="宋体"/>
                <w:color w:val="auto"/>
                <w:sz w:val="24"/>
                <w:szCs w:val="24"/>
                <w:highlight w:val="none"/>
                <w:lang w:val="en-US" w:eastAsia="zh-CN"/>
              </w:rPr>
              <w:t>方案、</w:t>
            </w:r>
            <w:r>
              <w:rPr>
                <w:rFonts w:hint="eastAsia" w:ascii="宋体" w:hAnsi="宋体" w:cs="宋体"/>
                <w:color w:val="auto"/>
                <w:sz w:val="24"/>
                <w:szCs w:val="24"/>
                <w:highlight w:val="none"/>
                <w:lang w:val="en-US" w:eastAsia="zh-CN"/>
              </w:rPr>
              <w:t>进场</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rPr>
              <w:t>、质量控制、安全</w:t>
            </w:r>
            <w:r>
              <w:rPr>
                <w:rFonts w:hint="eastAsia" w:ascii="宋体" w:hAnsi="宋体" w:eastAsia="宋体" w:cs="宋体"/>
                <w:color w:val="auto"/>
                <w:sz w:val="24"/>
                <w:szCs w:val="24"/>
                <w:highlight w:val="none"/>
                <w:lang w:val="en-US" w:eastAsia="zh-CN"/>
              </w:rPr>
              <w:t>文明措施</w:t>
            </w:r>
            <w:r>
              <w:rPr>
                <w:rFonts w:hint="eastAsia" w:ascii="宋体" w:hAnsi="宋体" w:eastAsia="宋体" w:cs="宋体"/>
                <w:color w:val="auto"/>
                <w:sz w:val="24"/>
                <w:szCs w:val="24"/>
                <w:highlight w:val="none"/>
              </w:rPr>
              <w:t>、配合管理等</w:t>
            </w:r>
            <w:r>
              <w:rPr>
                <w:rFonts w:hint="eastAsia" w:ascii="宋体" w:hAnsi="宋体" w:eastAsia="宋体" w:cs="宋体"/>
                <w:color w:val="auto"/>
                <w:spacing w:val="0"/>
                <w:position w:val="0"/>
                <w:sz w:val="24"/>
                <w:highlight w:val="none"/>
              </w:rPr>
              <w:t>。</w:t>
            </w:r>
          </w:p>
          <w:p w14:paraId="0F7059A1">
            <w:pPr>
              <w:pStyle w:val="11"/>
              <w:keepNext w:val="0"/>
              <w:keepLines w:val="0"/>
              <w:pageBreakBefore w:val="0"/>
              <w:shd w:val="clear" w:color="auto" w:fill="auto"/>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position w:val="0"/>
                <w:sz w:val="24"/>
                <w:highlight w:val="none"/>
                <w:u w:val="none"/>
              </w:rPr>
            </w:pPr>
            <w:r>
              <w:rPr>
                <w:rFonts w:hint="eastAsia" w:ascii="宋体" w:hAnsi="宋体" w:eastAsia="宋体" w:cs="宋体"/>
                <w:color w:val="auto"/>
                <w:spacing w:val="0"/>
                <w:position w:val="0"/>
                <w:sz w:val="24"/>
                <w:highlight w:val="none"/>
              </w:rPr>
              <w:t>评分标准：</w:t>
            </w:r>
            <w:r>
              <w:rPr>
                <w:rFonts w:hint="eastAsia" w:ascii="宋体" w:hAnsi="宋体" w:eastAsia="宋体" w:cs="宋体"/>
                <w:color w:val="auto"/>
                <w:spacing w:val="0"/>
                <w:position w:val="0"/>
                <w:sz w:val="24"/>
                <w:highlight w:val="none"/>
                <w:u w:val="none"/>
                <w:lang w:val="en-US" w:eastAsia="zh-CN"/>
              </w:rPr>
              <w:t>根据方案</w:t>
            </w:r>
            <w:r>
              <w:rPr>
                <w:rFonts w:hint="eastAsia" w:ascii="宋体" w:hAnsi="宋体" w:eastAsia="宋体" w:cs="宋体"/>
                <w:color w:val="auto"/>
                <w:spacing w:val="0"/>
                <w:position w:val="0"/>
                <w:sz w:val="24"/>
                <w:highlight w:val="none"/>
                <w:u w:val="none"/>
              </w:rPr>
              <w:t>的完善情况，合理性进行对比</w:t>
            </w:r>
            <w:bookmarkStart w:id="70" w:name="OLE_LINK31"/>
            <w:r>
              <w:rPr>
                <w:rFonts w:hint="eastAsia" w:ascii="宋体" w:hAnsi="宋体" w:cs="宋体"/>
                <w:color w:val="auto"/>
                <w:spacing w:val="0"/>
                <w:position w:val="0"/>
                <w:sz w:val="24"/>
                <w:highlight w:val="none"/>
                <w:u w:val="none"/>
                <w:lang w:eastAsia="zh-CN"/>
              </w:rPr>
              <w:t>，</w:t>
            </w:r>
            <w:r>
              <w:rPr>
                <w:rFonts w:hint="eastAsia" w:ascii="宋体" w:hAnsi="宋体" w:cs="宋体"/>
                <w:color w:val="auto"/>
                <w:spacing w:val="0"/>
                <w:position w:val="0"/>
                <w:sz w:val="24"/>
                <w:highlight w:val="none"/>
                <w:u w:val="none"/>
                <w:lang w:val="en-US" w:eastAsia="zh-CN"/>
              </w:rPr>
              <w:t>需提供包括但不限于以下证明材料</w:t>
            </w:r>
            <w:r>
              <w:rPr>
                <w:rFonts w:hint="eastAsia" w:ascii="宋体" w:hAnsi="宋体" w:eastAsia="宋体" w:cs="宋体"/>
                <w:b w:val="0"/>
                <w:bCs w:val="0"/>
                <w:color w:val="auto"/>
                <w:spacing w:val="0"/>
                <w:position w:val="0"/>
                <w:sz w:val="24"/>
                <w:highlight w:val="none"/>
                <w:u w:val="none"/>
                <w:lang w:val="en-US" w:eastAsia="zh-CN"/>
              </w:rPr>
              <w:t>：</w:t>
            </w:r>
            <w:r>
              <w:rPr>
                <w:rFonts w:hint="eastAsia" w:ascii="宋体" w:hAnsi="宋体" w:eastAsia="宋体" w:cs="宋体"/>
                <w:b w:val="0"/>
                <w:bCs w:val="0"/>
                <w:color w:val="auto"/>
                <w:sz w:val="24"/>
                <w:szCs w:val="24"/>
                <w:highlight w:val="none"/>
                <w:lang w:val="en-US" w:eastAsia="zh-CN"/>
              </w:rPr>
              <w:t>装卸船及趸船</w:t>
            </w:r>
            <w:bookmarkEnd w:id="70"/>
            <w:r>
              <w:rPr>
                <w:rFonts w:hint="eastAsia" w:ascii="宋体" w:hAnsi="宋体" w:eastAsia="宋体" w:cs="宋体"/>
                <w:b w:val="0"/>
                <w:bCs w:val="0"/>
                <w:color w:val="auto"/>
                <w:sz w:val="24"/>
                <w:szCs w:val="24"/>
                <w:highlight w:val="none"/>
                <w:lang w:val="en-US" w:eastAsia="zh-CN"/>
              </w:rPr>
              <w:t>需提供</w:t>
            </w:r>
            <w:r>
              <w:rPr>
                <w:rFonts w:hint="eastAsia" w:ascii="宋体" w:hAnsi="宋体" w:cs="宋体"/>
                <w:b w:val="0"/>
                <w:bCs w:val="0"/>
                <w:color w:val="auto"/>
                <w:sz w:val="24"/>
                <w:szCs w:val="24"/>
                <w:highlight w:val="none"/>
                <w:lang w:val="en-US" w:eastAsia="zh-CN"/>
              </w:rPr>
              <w:t>《</w:t>
            </w:r>
            <w:r>
              <w:rPr>
                <w:rStyle w:val="31"/>
                <w:rFonts w:hint="eastAsia" w:ascii="宋体" w:hAnsi="宋体" w:eastAsia="宋体" w:cs="宋体"/>
                <w:b w:val="0"/>
                <w:bCs w:val="0"/>
                <w:i w:val="0"/>
                <w:iCs w:val="0"/>
                <w:caps w:val="0"/>
                <w:color w:val="auto"/>
                <w:spacing w:val="0"/>
                <w:sz w:val="24"/>
                <w:szCs w:val="24"/>
                <w:highlight w:val="none"/>
              </w:rPr>
              <w:t>船舶最低安全配员证书</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船舶国籍证书</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船舶</w:t>
            </w:r>
            <w:r>
              <w:rPr>
                <w:rStyle w:val="31"/>
                <w:rFonts w:hint="eastAsia" w:ascii="宋体" w:hAnsi="宋体" w:cs="宋体"/>
                <w:b w:val="0"/>
                <w:bCs w:val="0"/>
                <w:i w:val="0"/>
                <w:iCs w:val="0"/>
                <w:caps w:val="0"/>
                <w:color w:val="auto"/>
                <w:spacing w:val="0"/>
                <w:sz w:val="24"/>
                <w:szCs w:val="24"/>
                <w:highlight w:val="none"/>
                <w:lang w:val="en-US" w:eastAsia="zh-CN"/>
              </w:rPr>
              <w:t>安全与环保证书</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w:t>
            </w:r>
            <w:r>
              <w:rPr>
                <w:rStyle w:val="31"/>
                <w:rFonts w:hint="eastAsia" w:ascii="宋体" w:hAnsi="宋体" w:cs="宋体"/>
                <w:b w:val="0"/>
                <w:bCs w:val="0"/>
                <w:i w:val="0"/>
                <w:iCs w:val="0"/>
                <w:caps w:val="0"/>
                <w:color w:val="auto"/>
                <w:spacing w:val="0"/>
                <w:sz w:val="24"/>
                <w:szCs w:val="24"/>
                <w:highlight w:val="none"/>
                <w:lang w:eastAsia="zh-CN"/>
              </w:rPr>
              <w:t>《</w:t>
            </w:r>
            <w:r>
              <w:rPr>
                <w:rStyle w:val="31"/>
                <w:rFonts w:hint="eastAsia" w:ascii="宋体" w:hAnsi="宋体" w:eastAsia="宋体" w:cs="宋体"/>
                <w:b w:val="0"/>
                <w:bCs w:val="0"/>
                <w:i w:val="0"/>
                <w:iCs w:val="0"/>
                <w:caps w:val="0"/>
                <w:color w:val="auto"/>
                <w:spacing w:val="0"/>
                <w:sz w:val="24"/>
                <w:szCs w:val="24"/>
                <w:highlight w:val="none"/>
              </w:rPr>
              <w:t>船舶所有权登</w:t>
            </w:r>
            <w:r>
              <w:rPr>
                <w:rStyle w:val="31"/>
                <w:rFonts w:hint="eastAsia" w:ascii="宋体" w:hAnsi="宋体" w:cs="宋体"/>
                <w:b w:val="0"/>
                <w:bCs w:val="0"/>
                <w:i w:val="0"/>
                <w:iCs w:val="0"/>
                <w:caps w:val="0"/>
                <w:color w:val="auto"/>
                <w:spacing w:val="0"/>
                <w:sz w:val="24"/>
                <w:szCs w:val="24"/>
                <w:highlight w:val="none"/>
                <w:lang w:val="en-US" w:eastAsia="zh-CN"/>
              </w:rPr>
              <w:t>记</w:t>
            </w:r>
            <w:r>
              <w:rPr>
                <w:rStyle w:val="31"/>
                <w:rFonts w:hint="eastAsia" w:ascii="宋体" w:hAnsi="宋体" w:eastAsia="宋体" w:cs="宋体"/>
                <w:b w:val="0"/>
                <w:bCs w:val="0"/>
                <w:i w:val="0"/>
                <w:iCs w:val="0"/>
                <w:caps w:val="0"/>
                <w:color w:val="auto"/>
                <w:spacing w:val="0"/>
                <w:sz w:val="24"/>
                <w:szCs w:val="24"/>
                <w:highlight w:val="none"/>
              </w:rPr>
              <w:t>证书</w:t>
            </w:r>
            <w:r>
              <w:rPr>
                <w:rStyle w:val="31"/>
                <w:rFonts w:hint="eastAsia" w:ascii="宋体" w:hAnsi="宋体" w:cs="宋体"/>
                <w:b w:val="0"/>
                <w:bCs w:val="0"/>
                <w:i w:val="0"/>
                <w:iCs w:val="0"/>
                <w:caps w:val="0"/>
                <w:color w:val="auto"/>
                <w:spacing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，若装卸船及趸船为承租第三方时，需提供双方签章的船舶租赁或委托协议，且在有效租赁或委托服务期内。</w:t>
            </w:r>
          </w:p>
          <w:p w14:paraId="0ACC2A83">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88"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szCs w:val="24"/>
                <w:highlight w:val="none"/>
                <w:lang w:val="en-US" w:eastAsia="zh-CN" w:bidi="ar-SA"/>
              </w:rPr>
              <w:t>（1）</w:t>
            </w:r>
            <w:r>
              <w:rPr>
                <w:rFonts w:hint="eastAsia" w:ascii="宋体" w:hAnsi="宋体" w:eastAsia="宋体" w:cs="宋体"/>
                <w:color w:val="auto"/>
                <w:spacing w:val="0"/>
                <w:position w:val="0"/>
                <w:sz w:val="24"/>
                <w:highlight w:val="none"/>
                <w:lang w:val="en-US" w:eastAsia="zh-CN"/>
              </w:rPr>
              <w:t>有实质性的响应、符合项目特点、条理清晰、内容完整、图文并茂</w:t>
            </w:r>
            <w:r>
              <w:rPr>
                <w:rFonts w:hint="eastAsia" w:ascii="宋体" w:hAnsi="宋体" w:cs="宋体"/>
                <w:color w:val="auto"/>
                <w:spacing w:val="0"/>
                <w:position w:val="0"/>
                <w:sz w:val="24"/>
                <w:highlight w:val="none"/>
                <w:lang w:val="en-US" w:eastAsia="zh-CN"/>
              </w:rPr>
              <w:t>，</w:t>
            </w:r>
            <w:r>
              <w:rPr>
                <w:rFonts w:hint="eastAsia" w:ascii="宋体" w:hAnsi="宋体" w:eastAsia="宋体" w:cs="宋体"/>
                <w:color w:val="auto"/>
                <w:spacing w:val="0"/>
                <w:position w:val="0"/>
                <w:sz w:val="24"/>
                <w:highlight w:val="none"/>
                <w:lang w:val="en-US" w:eastAsia="zh-CN"/>
              </w:rPr>
              <w:t>得</w:t>
            </w:r>
            <w:r>
              <w:rPr>
                <w:rFonts w:hint="eastAsia" w:ascii="宋体" w:hAnsi="宋体" w:cs="宋体"/>
                <w:color w:val="auto"/>
                <w:spacing w:val="0"/>
                <w:position w:val="0"/>
                <w:sz w:val="24"/>
                <w:highlight w:val="none"/>
                <w:lang w:val="en-US" w:eastAsia="zh-CN"/>
              </w:rPr>
              <w:t>（4.0，</w:t>
            </w:r>
            <w:r>
              <w:rPr>
                <w:rFonts w:hint="eastAsia" w:ascii="宋体" w:hAnsi="宋体" w:eastAsia="宋体" w:cs="宋体"/>
                <w:color w:val="auto"/>
                <w:spacing w:val="0"/>
                <w:position w:val="0"/>
                <w:sz w:val="24"/>
                <w:highlight w:val="none"/>
                <w:lang w:val="en-US" w:eastAsia="zh-CN"/>
              </w:rPr>
              <w:t>5</w:t>
            </w:r>
            <w:r>
              <w:rPr>
                <w:rFonts w:hint="eastAsia" w:ascii="宋体" w:hAnsi="宋体" w:cs="宋体"/>
                <w:color w:val="auto"/>
                <w:spacing w:val="0"/>
                <w:position w:val="0"/>
                <w:sz w:val="24"/>
                <w:highlight w:val="none"/>
                <w:lang w:val="en-US" w:eastAsia="zh-CN"/>
              </w:rPr>
              <w:t>.0</w:t>
            </w:r>
            <w:r>
              <w:rPr>
                <w:rFonts w:hint="eastAsia" w:ascii="宋体" w:hAnsi="宋体" w:cs="宋体"/>
                <w:color w:val="auto"/>
                <w:sz w:val="24"/>
                <w:szCs w:val="24"/>
                <w:highlight w:val="none"/>
                <w:lang w:val="en-US" w:eastAsia="zh-CN"/>
              </w:rPr>
              <w:t>]</w:t>
            </w:r>
            <w:r>
              <w:rPr>
                <w:rFonts w:hint="eastAsia" w:ascii="宋体" w:hAnsi="宋体" w:eastAsia="宋体" w:cs="宋体"/>
                <w:color w:val="auto"/>
                <w:spacing w:val="0"/>
                <w:position w:val="0"/>
                <w:sz w:val="24"/>
                <w:highlight w:val="none"/>
              </w:rPr>
              <w:t>分</w:t>
            </w:r>
            <w:r>
              <w:rPr>
                <w:rFonts w:hint="eastAsia" w:ascii="宋体" w:hAnsi="宋体" w:eastAsia="宋体" w:cs="宋体"/>
                <w:color w:val="auto"/>
                <w:spacing w:val="0"/>
                <w:position w:val="0"/>
                <w:sz w:val="24"/>
                <w:highlight w:val="none"/>
                <w:lang w:eastAsia="zh-CN"/>
              </w:rPr>
              <w:t>；</w:t>
            </w:r>
          </w:p>
          <w:p w14:paraId="63DF61AE">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88"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pacing w:val="0"/>
                <w:position w:val="0"/>
                <w:sz w:val="24"/>
                <w:highlight w:val="none"/>
                <w:lang w:val="en-US" w:eastAsia="zh-CN"/>
              </w:rPr>
              <w:t>有实质性的响应、条理清晰、基本符合项目特点、内容较为完整</w:t>
            </w:r>
            <w:r>
              <w:rPr>
                <w:rFonts w:hint="eastAsia" w:ascii="宋体" w:hAnsi="宋体" w:cs="宋体"/>
                <w:color w:val="auto"/>
                <w:spacing w:val="0"/>
                <w:position w:val="0"/>
                <w:sz w:val="24"/>
                <w:highlight w:val="none"/>
                <w:lang w:val="en-US" w:eastAsia="zh-CN"/>
              </w:rPr>
              <w:t>，</w:t>
            </w:r>
            <w:r>
              <w:rPr>
                <w:rFonts w:hint="eastAsia" w:ascii="宋体" w:hAnsi="宋体" w:eastAsia="宋体" w:cs="宋体"/>
                <w:color w:val="auto"/>
                <w:spacing w:val="0"/>
                <w:position w:val="0"/>
                <w:sz w:val="24"/>
                <w:szCs w:val="24"/>
                <w:highlight w:val="none"/>
              </w:rPr>
              <w:t>得</w:t>
            </w:r>
            <w:r>
              <w:rPr>
                <w:rFonts w:hint="eastAsia" w:ascii="宋体" w:hAnsi="宋体" w:cs="宋体"/>
                <w:color w:val="auto"/>
                <w:spacing w:val="0"/>
                <w:position w:val="0"/>
                <w:sz w:val="24"/>
                <w:szCs w:val="24"/>
                <w:highlight w:val="none"/>
                <w:lang w:eastAsia="zh-CN"/>
              </w:rPr>
              <w:t>（</w:t>
            </w:r>
            <w:r>
              <w:rPr>
                <w:rFonts w:hint="eastAsia" w:ascii="宋体" w:hAnsi="宋体" w:cs="宋体"/>
                <w:color w:val="auto"/>
                <w:spacing w:val="0"/>
                <w:kern w:val="0"/>
                <w:position w:val="0"/>
                <w:sz w:val="24"/>
                <w:szCs w:val="24"/>
                <w:highlight w:val="none"/>
                <w:lang w:val="en-US" w:eastAsia="zh-CN"/>
              </w:rPr>
              <w:t>2.0</w:t>
            </w:r>
            <w:r>
              <w:rPr>
                <w:rFonts w:hint="eastAsia" w:ascii="宋体" w:hAnsi="宋体" w:cs="宋体"/>
                <w:color w:val="auto"/>
                <w:spacing w:val="0"/>
                <w:position w:val="0"/>
                <w:sz w:val="24"/>
                <w:szCs w:val="24"/>
                <w:highlight w:val="none"/>
                <w:lang w:val="en-US" w:eastAsia="zh-CN"/>
              </w:rPr>
              <w:t>，4.0</w:t>
            </w:r>
            <w:r>
              <w:rPr>
                <w:rFonts w:hint="eastAsia" w:ascii="宋体" w:hAnsi="宋体" w:cs="宋体"/>
                <w:color w:val="auto"/>
                <w:sz w:val="24"/>
                <w:szCs w:val="24"/>
                <w:highlight w:val="none"/>
                <w:lang w:val="en-US" w:eastAsia="zh-CN"/>
              </w:rPr>
              <w:t>]</w:t>
            </w:r>
            <w:r>
              <w:rPr>
                <w:rFonts w:hint="eastAsia" w:ascii="宋体" w:hAnsi="宋体" w:eastAsia="宋体" w:cs="宋体"/>
                <w:color w:val="auto"/>
                <w:spacing w:val="0"/>
                <w:position w:val="0"/>
                <w:sz w:val="24"/>
                <w:szCs w:val="24"/>
                <w:highlight w:val="none"/>
              </w:rPr>
              <w:t>分；</w:t>
            </w:r>
          </w:p>
          <w:p w14:paraId="65F6C60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88"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pacing w:val="0"/>
                <w:position w:val="0"/>
                <w:sz w:val="24"/>
                <w:highlight w:val="none"/>
                <w:lang w:val="en-US" w:eastAsia="zh-CN"/>
              </w:rPr>
              <w:t>对招标文件部分响应、条理、内容一般</w:t>
            </w:r>
            <w:r>
              <w:rPr>
                <w:rFonts w:hint="eastAsia" w:ascii="宋体" w:hAnsi="宋体" w:cs="宋体"/>
                <w:color w:val="auto"/>
                <w:spacing w:val="0"/>
                <w:position w:val="0"/>
                <w:sz w:val="24"/>
                <w:highlight w:val="none"/>
                <w:lang w:val="en-US" w:eastAsia="zh-CN"/>
              </w:rPr>
              <w:t>，</w:t>
            </w:r>
            <w:r>
              <w:rPr>
                <w:rFonts w:hint="eastAsia" w:ascii="宋体" w:hAnsi="宋体" w:eastAsia="宋体" w:cs="宋体"/>
                <w:color w:val="auto"/>
                <w:spacing w:val="0"/>
                <w:position w:val="0"/>
                <w:sz w:val="24"/>
                <w:szCs w:val="24"/>
                <w:highlight w:val="none"/>
              </w:rPr>
              <w:t>得</w:t>
            </w:r>
            <w:r>
              <w:rPr>
                <w:rFonts w:hint="eastAsia" w:ascii="宋体" w:hAnsi="宋体" w:cs="宋体"/>
                <w:color w:val="auto"/>
                <w:spacing w:val="0"/>
                <w:position w:val="0"/>
                <w:sz w:val="24"/>
                <w:szCs w:val="24"/>
                <w:highlight w:val="none"/>
                <w:lang w:eastAsia="zh-CN"/>
              </w:rPr>
              <w:t>（</w:t>
            </w:r>
            <w:r>
              <w:rPr>
                <w:rFonts w:hint="eastAsia" w:ascii="宋体" w:hAnsi="宋体" w:cs="宋体"/>
                <w:color w:val="auto"/>
                <w:spacing w:val="0"/>
                <w:position w:val="0"/>
                <w:sz w:val="24"/>
                <w:szCs w:val="24"/>
                <w:highlight w:val="none"/>
                <w:lang w:val="en-US" w:eastAsia="zh-CN"/>
              </w:rPr>
              <w:t>1.0，2.0</w:t>
            </w:r>
            <w:r>
              <w:rPr>
                <w:rFonts w:hint="eastAsia" w:ascii="宋体" w:hAnsi="宋体" w:cs="宋体"/>
                <w:color w:val="auto"/>
                <w:sz w:val="24"/>
                <w:szCs w:val="24"/>
                <w:highlight w:val="none"/>
                <w:lang w:val="en-US" w:eastAsia="zh-CN"/>
              </w:rPr>
              <w:t>]</w:t>
            </w:r>
            <w:r>
              <w:rPr>
                <w:rFonts w:hint="eastAsia" w:ascii="宋体" w:hAnsi="宋体" w:eastAsia="宋体" w:cs="宋体"/>
                <w:color w:val="auto"/>
                <w:spacing w:val="0"/>
                <w:position w:val="0"/>
                <w:sz w:val="24"/>
                <w:highlight w:val="none"/>
              </w:rPr>
              <w:t>分。</w:t>
            </w:r>
          </w:p>
          <w:p w14:paraId="4186FD42">
            <w:pPr>
              <w:pStyle w:val="15"/>
              <w:keepNext w:val="0"/>
              <w:keepLines w:val="0"/>
              <w:pageBreakBefore w:val="0"/>
              <w:widowControl w:val="0"/>
              <w:kinsoku/>
              <w:wordWrap/>
              <w:overflowPunct/>
              <w:topLinePunct w:val="0"/>
              <w:autoSpaceDE w:val="0"/>
              <w:autoSpaceDN w:val="0"/>
              <w:bidi w:val="0"/>
              <w:adjustRightInd w:val="0"/>
              <w:snapToGrid/>
              <w:spacing w:line="288" w:lineRule="auto"/>
              <w:jc w:val="left"/>
              <w:rPr>
                <w:rFonts w:hint="default"/>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无</w:t>
            </w:r>
            <w:r>
              <w:rPr>
                <w:rFonts w:hint="eastAsia" w:ascii="宋体" w:hAnsi="宋体" w:eastAsia="宋体" w:cs="宋体"/>
                <w:color w:val="auto"/>
                <w:sz w:val="24"/>
                <w:szCs w:val="24"/>
                <w:highlight w:val="none"/>
              </w:rPr>
              <w:t>提供，不得分。</w:t>
            </w:r>
          </w:p>
        </w:tc>
        <w:tc>
          <w:tcPr>
            <w:tcW w:w="834" w:type="dxa"/>
            <w:noWrap w:val="0"/>
            <w:vAlign w:val="center"/>
          </w:tcPr>
          <w:p w14:paraId="700DAC54">
            <w:pPr>
              <w:keepNext w:val="0"/>
              <w:keepLines w:val="0"/>
              <w:pageBreakBefore w:val="0"/>
              <w:shd w:val="clear" w:color="auto" w:fill="auto"/>
              <w:kinsoku/>
              <w:wordWrap/>
              <w:overflowPunct/>
              <w:topLinePunct w:val="0"/>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6769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2" w:hRule="atLeast"/>
          <w:jc w:val="center"/>
        </w:trPr>
        <w:tc>
          <w:tcPr>
            <w:tcW w:w="2023" w:type="dxa"/>
            <w:gridSpan w:val="2"/>
            <w:vMerge w:val="continue"/>
            <w:noWrap w:val="0"/>
            <w:vAlign w:val="center"/>
          </w:tcPr>
          <w:p w14:paraId="3864679C">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rPr>
            </w:pPr>
          </w:p>
        </w:tc>
        <w:tc>
          <w:tcPr>
            <w:tcW w:w="1154" w:type="dxa"/>
            <w:vMerge w:val="continue"/>
            <w:noWrap w:val="0"/>
            <w:vAlign w:val="center"/>
          </w:tcPr>
          <w:p w14:paraId="6166244A">
            <w:pPr>
              <w:keepNext w:val="0"/>
              <w:keepLines w:val="0"/>
              <w:pageBreakBefore w:val="0"/>
              <w:shd w:val="clear" w:color="auto" w:fill="auto"/>
              <w:kinsoku/>
              <w:wordWrap/>
              <w:overflowPunct/>
              <w:topLinePunct w:val="0"/>
              <w:bidi w:val="0"/>
              <w:snapToGri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213" w:type="dxa"/>
            <w:noWrap w:val="0"/>
            <w:vAlign w:val="center"/>
          </w:tcPr>
          <w:p w14:paraId="48D6023C">
            <w:pPr>
              <w:keepNext w:val="0"/>
              <w:keepLines w:val="0"/>
              <w:pageBreakBefore w:val="0"/>
              <w:shd w:val="clear" w:color="auto" w:fill="auto"/>
              <w:kinsoku/>
              <w:wordWrap/>
              <w:overflowPunct/>
              <w:topLinePunct w:val="0"/>
              <w:bidi w:val="0"/>
              <w:snapToGrid/>
              <w:spacing w:line="40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应急处理服务</w:t>
            </w:r>
            <w:r>
              <w:rPr>
                <w:rFonts w:hint="eastAsia" w:ascii="宋体" w:hAnsi="宋体" w:cs="宋体"/>
                <w:color w:val="auto"/>
                <w:sz w:val="24"/>
                <w:szCs w:val="24"/>
                <w:highlight w:val="none"/>
                <w:lang w:val="en-US" w:eastAsia="zh-CN"/>
              </w:rPr>
              <w:t>承诺</w:t>
            </w:r>
          </w:p>
        </w:tc>
        <w:tc>
          <w:tcPr>
            <w:tcW w:w="4500" w:type="dxa"/>
            <w:noWrap w:val="0"/>
            <w:vAlign w:val="center"/>
          </w:tcPr>
          <w:p w14:paraId="43F5C7C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根据投标人提供应急处理服务</w:t>
            </w:r>
            <w:r>
              <w:rPr>
                <w:rFonts w:hint="eastAsia" w:ascii="宋体" w:hAnsi="宋体" w:cs="宋体"/>
                <w:color w:val="auto"/>
                <w:sz w:val="24"/>
                <w:szCs w:val="24"/>
                <w:highlight w:val="none"/>
                <w:lang w:val="en-US" w:eastAsia="zh-CN"/>
              </w:rPr>
              <w:t>承诺</w:t>
            </w:r>
            <w:r>
              <w:rPr>
                <w:rFonts w:hint="eastAsia" w:ascii="宋体" w:hAnsi="宋体" w:eastAsia="宋体" w:cs="宋体"/>
                <w:color w:val="auto"/>
                <w:sz w:val="24"/>
                <w:szCs w:val="24"/>
                <w:highlight w:val="none"/>
              </w:rPr>
              <w:t>的操作性，应急队伍配置、应急预案完善程度进行评审：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包括但不限于</w:t>
            </w:r>
            <w:r>
              <w:rPr>
                <w:rFonts w:hint="eastAsia" w:eastAsia="宋体" w:cs="宋体"/>
                <w:b w:val="0"/>
                <w:bCs w:val="0"/>
                <w:color w:val="auto"/>
                <w:sz w:val="24"/>
                <w:szCs w:val="24"/>
                <w:highlight w:val="none"/>
                <w:u w:val="none"/>
                <w:lang w:val="en-US" w:eastAsia="zh-CN"/>
              </w:rPr>
              <w:t>装卸运营服务</w:t>
            </w:r>
            <w:r>
              <w:rPr>
                <w:rFonts w:hint="eastAsia" w:ascii="Calibri" w:hAnsi="Calibri" w:eastAsia="宋体" w:cs="宋体"/>
                <w:b w:val="0"/>
                <w:bCs w:val="0"/>
                <w:color w:val="auto"/>
                <w:sz w:val="24"/>
                <w:szCs w:val="24"/>
                <w:highlight w:val="none"/>
                <w:u w:val="none"/>
                <w:lang w:val="en-US" w:eastAsia="zh-CN"/>
              </w:rPr>
              <w:t>应满足</w:t>
            </w:r>
            <w:r>
              <w:rPr>
                <w:rFonts w:hint="eastAsia" w:eastAsia="宋体" w:cs="宋体"/>
                <w:b w:val="0"/>
                <w:bCs w:val="0"/>
                <w:color w:val="auto"/>
                <w:sz w:val="24"/>
                <w:szCs w:val="24"/>
                <w:highlight w:val="none"/>
                <w:u w:val="none"/>
                <w:lang w:val="en-US" w:eastAsia="zh-CN"/>
              </w:rPr>
              <w:t>招标人</w:t>
            </w:r>
            <w:r>
              <w:rPr>
                <w:rFonts w:hint="eastAsia" w:ascii="Calibri" w:hAnsi="Calibri" w:eastAsia="宋体" w:cs="宋体"/>
                <w:b w:val="0"/>
                <w:bCs w:val="0"/>
                <w:color w:val="auto"/>
                <w:sz w:val="24"/>
                <w:szCs w:val="24"/>
                <w:highlight w:val="none"/>
                <w:u w:val="none"/>
                <w:lang w:val="en-US" w:eastAsia="zh-CN"/>
              </w:rPr>
              <w:t>及</w:t>
            </w:r>
            <w:r>
              <w:rPr>
                <w:rFonts w:hint="eastAsia" w:eastAsia="宋体" w:cs="宋体"/>
                <w:b w:val="0"/>
                <w:bCs w:val="0"/>
                <w:color w:val="auto"/>
                <w:sz w:val="24"/>
                <w:szCs w:val="24"/>
                <w:highlight w:val="none"/>
                <w:u w:val="none"/>
                <w:lang w:val="en-US" w:eastAsia="zh-CN"/>
              </w:rPr>
              <w:t>其</w:t>
            </w:r>
            <w:r>
              <w:rPr>
                <w:rFonts w:hint="eastAsia" w:ascii="Calibri" w:hAnsi="Calibri" w:eastAsia="宋体" w:cs="宋体"/>
                <w:b w:val="0"/>
                <w:bCs w:val="0"/>
                <w:color w:val="auto"/>
                <w:sz w:val="24"/>
                <w:szCs w:val="24"/>
                <w:highlight w:val="none"/>
                <w:u w:val="none"/>
                <w:lang w:val="en-US" w:eastAsia="zh-CN"/>
              </w:rPr>
              <w:t>上级主管部门的港口码头安全应急管理要求，</w:t>
            </w:r>
            <w:r>
              <w:rPr>
                <w:rFonts w:hint="eastAsia" w:eastAsia="宋体" w:cs="宋体"/>
                <w:b w:val="0"/>
                <w:bCs w:val="0"/>
                <w:color w:val="auto"/>
                <w:sz w:val="24"/>
                <w:szCs w:val="24"/>
                <w:highlight w:val="none"/>
                <w:u w:val="none"/>
                <w:lang w:val="en-US" w:eastAsia="zh-CN"/>
              </w:rPr>
              <w:t>投标人</w:t>
            </w:r>
            <w:r>
              <w:rPr>
                <w:rFonts w:hint="eastAsia" w:ascii="Calibri" w:hAnsi="Calibri" w:eastAsia="宋体" w:cs="宋体"/>
                <w:b w:val="0"/>
                <w:bCs w:val="0"/>
                <w:color w:val="auto"/>
                <w:sz w:val="24"/>
                <w:szCs w:val="24"/>
                <w:highlight w:val="none"/>
                <w:u w:val="none"/>
                <w:lang w:val="en-US" w:eastAsia="zh-CN"/>
              </w:rPr>
              <w:t>除应做好服务范围工作外，还应服从</w:t>
            </w:r>
            <w:r>
              <w:rPr>
                <w:rFonts w:hint="eastAsia" w:eastAsia="宋体" w:cs="宋体"/>
                <w:b w:val="0"/>
                <w:bCs w:val="0"/>
                <w:color w:val="auto"/>
                <w:sz w:val="24"/>
                <w:szCs w:val="24"/>
                <w:highlight w:val="none"/>
                <w:u w:val="none"/>
                <w:lang w:val="en-US" w:eastAsia="zh-CN"/>
              </w:rPr>
              <w:t>招标人</w:t>
            </w:r>
            <w:r>
              <w:rPr>
                <w:rFonts w:hint="eastAsia" w:ascii="Calibri" w:hAnsi="Calibri" w:eastAsia="宋体" w:cs="宋体"/>
                <w:b w:val="0"/>
                <w:bCs w:val="0"/>
                <w:color w:val="auto"/>
                <w:sz w:val="24"/>
                <w:szCs w:val="24"/>
                <w:highlight w:val="none"/>
                <w:u w:val="none"/>
                <w:lang w:val="en-US" w:eastAsia="zh-CN"/>
              </w:rPr>
              <w:t>的统一指挥和调动。如</w:t>
            </w:r>
            <w:r>
              <w:rPr>
                <w:rFonts w:hint="eastAsia" w:eastAsia="宋体" w:cs="宋体"/>
                <w:b w:val="0"/>
                <w:bCs w:val="0"/>
                <w:color w:val="auto"/>
                <w:sz w:val="24"/>
                <w:szCs w:val="24"/>
                <w:highlight w:val="none"/>
                <w:u w:val="none"/>
                <w:lang w:val="en-US" w:eastAsia="zh-CN"/>
              </w:rPr>
              <w:t>码头</w:t>
            </w:r>
            <w:r>
              <w:rPr>
                <w:rFonts w:hint="eastAsia" w:ascii="Calibri" w:hAnsi="Calibri" w:eastAsia="宋体" w:cs="宋体"/>
                <w:b w:val="0"/>
                <w:bCs w:val="0"/>
                <w:color w:val="auto"/>
                <w:sz w:val="24"/>
                <w:szCs w:val="24"/>
                <w:highlight w:val="none"/>
                <w:u w:val="none"/>
                <w:lang w:val="en-US" w:eastAsia="zh-CN"/>
              </w:rPr>
              <w:t>出现涉及突发事件时，须服从</w:t>
            </w:r>
            <w:r>
              <w:rPr>
                <w:rFonts w:hint="eastAsia" w:eastAsia="宋体" w:cs="宋体"/>
                <w:b w:val="0"/>
                <w:bCs w:val="0"/>
                <w:color w:val="auto"/>
                <w:sz w:val="24"/>
                <w:szCs w:val="24"/>
                <w:highlight w:val="none"/>
                <w:u w:val="none"/>
                <w:lang w:val="en-US" w:eastAsia="zh-CN"/>
              </w:rPr>
              <w:t>招标人</w:t>
            </w:r>
            <w:r>
              <w:rPr>
                <w:rFonts w:hint="eastAsia" w:ascii="Calibri" w:hAnsi="Calibri" w:eastAsia="宋体" w:cs="宋体"/>
                <w:b w:val="0"/>
                <w:bCs w:val="0"/>
                <w:color w:val="auto"/>
                <w:sz w:val="24"/>
                <w:szCs w:val="24"/>
                <w:highlight w:val="none"/>
                <w:u w:val="none"/>
                <w:lang w:val="en-US" w:eastAsia="zh-CN"/>
              </w:rPr>
              <w:t>统一调度，协助处置</w:t>
            </w:r>
            <w:r>
              <w:rPr>
                <w:rFonts w:hint="eastAsia" w:eastAsia="宋体" w:cs="宋体"/>
                <w:b w:val="0"/>
                <w:bCs w:val="0"/>
                <w:color w:val="auto"/>
                <w:sz w:val="24"/>
                <w:szCs w:val="24"/>
                <w:highlight w:val="none"/>
                <w:u w:val="none"/>
                <w:lang w:val="en-US" w:eastAsia="zh-CN"/>
              </w:rPr>
              <w:t>，投标人需</w:t>
            </w:r>
            <w:r>
              <w:rPr>
                <w:rFonts w:hint="eastAsia" w:ascii="Calibri" w:hAnsi="Calibri" w:eastAsia="宋体" w:cs="宋体"/>
                <w:b w:val="0"/>
                <w:bCs w:val="0"/>
                <w:color w:val="auto"/>
                <w:sz w:val="24"/>
                <w:szCs w:val="24"/>
                <w:highlight w:val="none"/>
                <w:u w:val="none"/>
                <w:lang w:val="en-US" w:eastAsia="zh-CN"/>
              </w:rPr>
              <w:t>15分钟到</w:t>
            </w:r>
            <w:r>
              <w:rPr>
                <w:rFonts w:hint="eastAsia" w:eastAsia="宋体" w:cs="宋体"/>
                <w:b w:val="0"/>
                <w:bCs w:val="0"/>
                <w:color w:val="auto"/>
                <w:sz w:val="24"/>
                <w:szCs w:val="24"/>
                <w:highlight w:val="none"/>
                <w:u w:val="none"/>
                <w:lang w:val="en-US" w:eastAsia="zh-CN"/>
              </w:rPr>
              <w:t>达现</w:t>
            </w:r>
            <w:r>
              <w:rPr>
                <w:rFonts w:hint="eastAsia" w:ascii="Calibri" w:hAnsi="Calibri" w:eastAsia="宋体" w:cs="宋体"/>
                <w:b w:val="0"/>
                <w:bCs w:val="0"/>
                <w:color w:val="auto"/>
                <w:sz w:val="24"/>
                <w:szCs w:val="24"/>
                <w:highlight w:val="none"/>
                <w:u w:val="none"/>
                <w:lang w:val="en-US" w:eastAsia="zh-CN"/>
              </w:rPr>
              <w:t>场，到场即时开展应急处理</w:t>
            </w:r>
            <w:r>
              <w:rPr>
                <w:rFonts w:hint="eastAsia" w:eastAsia="宋体" w:cs="宋体"/>
                <w:b w:val="0"/>
                <w:bCs w:val="0"/>
                <w:color w:val="auto"/>
                <w:sz w:val="24"/>
                <w:szCs w:val="24"/>
                <w:highlight w:val="none"/>
                <w:u w:val="none"/>
                <w:lang w:val="en-US" w:eastAsia="zh-CN"/>
              </w:rPr>
              <w:t>相关工作</w:t>
            </w:r>
            <w:r>
              <w:rPr>
                <w:rFonts w:hint="eastAsia" w:ascii="Calibri" w:hAnsi="Calibri" w:eastAsia="宋体" w:cs="宋体"/>
                <w:b w:val="0"/>
                <w:bCs w:val="0"/>
                <w:color w:val="auto"/>
                <w:sz w:val="24"/>
                <w:szCs w:val="24"/>
                <w:highlight w:val="none"/>
                <w:u w:val="none"/>
                <w:lang w:val="en-US" w:eastAsia="zh-CN"/>
              </w:rPr>
              <w:t>，</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每日抢修时间累计不得超过</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小时等）</w:t>
            </w:r>
          </w:p>
          <w:p w14:paraId="2617FFA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（1）应急处理服务方案可操作性好，应急队伍配置、应急预案完善，得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4.0，5.0]</w:t>
            </w:r>
            <w:r>
              <w:rPr>
                <w:rFonts w:hint="eastAsia" w:ascii="宋体" w:hAnsi="宋体" w:eastAsia="宋体" w:cs="宋体"/>
                <w:color w:val="auto"/>
                <w:sz w:val="24"/>
                <w:szCs w:val="24"/>
                <w:highlight w:val="none"/>
              </w:rPr>
              <w:t>分；</w:t>
            </w:r>
          </w:p>
          <w:p w14:paraId="2151AC7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（2）应急处理服务方案可操作性较好，应急队的配置、应急预案较完善，得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3.0，4.0]</w:t>
            </w:r>
            <w:r>
              <w:rPr>
                <w:rFonts w:hint="eastAsia" w:ascii="宋体" w:hAnsi="宋体" w:eastAsia="宋体" w:cs="宋体"/>
                <w:color w:val="auto"/>
                <w:sz w:val="24"/>
                <w:szCs w:val="24"/>
                <w:highlight w:val="none"/>
              </w:rPr>
              <w:t>分；</w:t>
            </w:r>
          </w:p>
          <w:p w14:paraId="26F3953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（3）应急处理服务方案可操作性一般，应急队伍配置、应急预案一般,得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2.0，3.0]</w:t>
            </w:r>
            <w:r>
              <w:rPr>
                <w:rFonts w:hint="eastAsia" w:ascii="宋体" w:hAnsi="宋体" w:eastAsia="宋体" w:cs="宋体"/>
                <w:color w:val="auto"/>
                <w:sz w:val="24"/>
                <w:szCs w:val="24"/>
                <w:highlight w:val="none"/>
              </w:rPr>
              <w:t>分；</w:t>
            </w:r>
          </w:p>
          <w:p w14:paraId="6AA2E1C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（4）应急处理服务方案可操作性差，应急队伍配置、应急预案差，得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1.0，2.0]</w:t>
            </w:r>
            <w:r>
              <w:rPr>
                <w:rFonts w:hint="eastAsia" w:ascii="宋体" w:hAnsi="宋体" w:eastAsia="宋体" w:cs="宋体"/>
                <w:color w:val="auto"/>
                <w:sz w:val="24"/>
                <w:szCs w:val="24"/>
                <w:highlight w:val="none"/>
              </w:rPr>
              <w:t>分。</w:t>
            </w:r>
          </w:p>
          <w:p w14:paraId="0E4700CC">
            <w:pPr>
              <w:pStyle w:val="5"/>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（5）无提供，不得分。</w:t>
            </w:r>
          </w:p>
        </w:tc>
        <w:tc>
          <w:tcPr>
            <w:tcW w:w="834" w:type="dxa"/>
            <w:noWrap w:val="0"/>
            <w:vAlign w:val="center"/>
          </w:tcPr>
          <w:p w14:paraId="25293FBA">
            <w:pPr>
              <w:keepNext w:val="0"/>
              <w:keepLines w:val="0"/>
              <w:pageBreakBefore w:val="0"/>
              <w:shd w:val="clear" w:color="auto" w:fill="auto"/>
              <w:kinsoku/>
              <w:wordWrap/>
              <w:overflowPunct/>
              <w:topLinePunct w:val="0"/>
              <w:bidi w:val="0"/>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3A39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9" w:hRule="atLeast"/>
          <w:jc w:val="center"/>
        </w:trPr>
        <w:tc>
          <w:tcPr>
            <w:tcW w:w="2023" w:type="dxa"/>
            <w:gridSpan w:val="2"/>
            <w:vMerge w:val="restart"/>
            <w:noWrap w:val="0"/>
            <w:vAlign w:val="center"/>
          </w:tcPr>
          <w:p w14:paraId="4D4C0823">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2.2.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p>
        </w:tc>
        <w:tc>
          <w:tcPr>
            <w:tcW w:w="1154" w:type="dxa"/>
            <w:vMerge w:val="restart"/>
            <w:noWrap w:val="0"/>
            <w:vAlign w:val="center"/>
          </w:tcPr>
          <w:p w14:paraId="2FC2358D">
            <w:pPr>
              <w:pStyle w:val="44"/>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rPr>
              <w:t>商务</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spacing w:val="-2"/>
                <w:kern w:val="0"/>
                <w:sz w:val="24"/>
                <w:szCs w:val="24"/>
                <w:highlight w:val="none"/>
              </w:rPr>
              <w:t>评</w:t>
            </w:r>
            <w:r>
              <w:rPr>
                <w:rFonts w:hint="eastAsia" w:ascii="宋体" w:hAnsi="宋体" w:eastAsia="宋体" w:cs="宋体"/>
                <w:color w:val="auto"/>
                <w:kern w:val="0"/>
                <w:sz w:val="24"/>
                <w:szCs w:val="24"/>
                <w:highlight w:val="none"/>
              </w:rPr>
              <w:t>分标准</w:t>
            </w:r>
          </w:p>
        </w:tc>
        <w:tc>
          <w:tcPr>
            <w:tcW w:w="1213" w:type="dxa"/>
            <w:noWrap w:val="0"/>
            <w:vAlign w:val="center"/>
          </w:tcPr>
          <w:p w14:paraId="68774290">
            <w:pPr>
              <w:keepNext w:val="0"/>
              <w:keepLines w:val="0"/>
              <w:pageBreakBefore w:val="0"/>
              <w:widowControl/>
              <w:suppressLineNumbers w:val="0"/>
              <w:kinsoku/>
              <w:wordWrap/>
              <w:overflowPunct/>
              <w:topLinePunct w:val="0"/>
              <w:bidi w:val="0"/>
              <w:spacing w:line="400" w:lineRule="exact"/>
              <w:ind w:left="0" w:leftChars="0" w:right="0" w:firstLine="0" w:firstLineChars="0"/>
              <w:jc w:val="center"/>
              <w:textAlignment w:val="auto"/>
              <w:rPr>
                <w:rFonts w:hint="default" w:ascii="宋体" w:hAnsi="宋体" w:eastAsia="宋体" w:cs="宋体"/>
                <w:color w:val="auto"/>
                <w:sz w:val="24"/>
                <w:szCs w:val="24"/>
                <w:highlight w:val="none"/>
                <w:lang w:val="en-US" w:eastAsia="zh-CN" w:bidi="ar-SA"/>
              </w:rPr>
            </w:pPr>
            <w:bookmarkStart w:id="71" w:name="OLE_LINK11"/>
            <w:r>
              <w:rPr>
                <w:rFonts w:hint="eastAsia" w:ascii="宋体" w:hAnsi="宋体" w:cs="宋体"/>
                <w:color w:val="auto"/>
                <w:kern w:val="0"/>
                <w:sz w:val="24"/>
                <w:szCs w:val="24"/>
                <w:highlight w:val="none"/>
                <w:lang w:val="en-US" w:eastAsia="zh-CN" w:bidi="zh-CN"/>
              </w:rPr>
              <w:t>服务团队生产作业人员</w:t>
            </w:r>
            <w:bookmarkEnd w:id="71"/>
          </w:p>
        </w:tc>
        <w:tc>
          <w:tcPr>
            <w:tcW w:w="4500" w:type="dxa"/>
            <w:noWrap w:val="0"/>
            <w:vAlign w:val="center"/>
          </w:tcPr>
          <w:p w14:paraId="46D67EA5">
            <w:pPr>
              <w:keepNext w:val="0"/>
              <w:keepLines w:val="0"/>
              <w:pageBreakBefore w:val="0"/>
              <w:widowControl/>
              <w:suppressLineNumbers w:val="0"/>
              <w:kinsoku/>
              <w:wordWrap/>
              <w:overflowPunct/>
              <w:topLinePunct w:val="0"/>
              <w:autoSpaceDE/>
              <w:autoSpaceDN/>
              <w:bidi w:val="0"/>
              <w:adjustRightInd/>
              <w:snapToGrid/>
              <w:spacing w:line="288" w:lineRule="auto"/>
              <w:ind w:firstLine="240" w:firstLineChars="1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、拟投入的服务团队</w:t>
            </w:r>
            <w:r>
              <w:rPr>
                <w:rFonts w:hint="eastAsia" w:ascii="宋体" w:hAnsi="宋体" w:eastAsia="宋体" w:cs="宋体"/>
                <w:b w:val="0"/>
                <w:bCs w:val="0"/>
                <w:color w:val="auto"/>
                <w:kern w:val="2"/>
                <w:sz w:val="24"/>
                <w:szCs w:val="24"/>
                <w:highlight w:val="none"/>
                <w:lang w:val="en-US" w:eastAsia="zh-CN" w:bidi="ar-SA"/>
              </w:rPr>
              <w:t>生产作业人员</w:t>
            </w:r>
            <w:r>
              <w:rPr>
                <w:rFonts w:hint="default" w:ascii="宋体" w:hAnsi="宋体" w:eastAsia="宋体" w:cs="宋体"/>
                <w:b w:val="0"/>
                <w:bCs w:val="0"/>
                <w:color w:val="auto"/>
                <w:kern w:val="2"/>
                <w:sz w:val="24"/>
                <w:szCs w:val="24"/>
                <w:highlight w:val="none"/>
                <w:lang w:val="en-US" w:eastAsia="zh-CN" w:bidi="ar-SA"/>
              </w:rPr>
              <w:t>具有</w:t>
            </w:r>
            <w:r>
              <w:rPr>
                <w:rFonts w:hint="eastAsia" w:ascii="宋体" w:hAnsi="宋体" w:eastAsia="宋体" w:cs="宋体"/>
                <w:i w:val="0"/>
                <w:iCs w:val="0"/>
                <w:caps w:val="0"/>
                <w:color w:val="auto"/>
                <w:spacing w:val="0"/>
                <w:sz w:val="24"/>
                <w:szCs w:val="24"/>
                <w:shd w:val="clear" w:fill="FFFFFF"/>
              </w:rPr>
              <w:t>海事管理机构签发</w:t>
            </w:r>
            <w:r>
              <w:rPr>
                <w:rFonts w:hint="eastAsia" w:ascii="宋体" w:hAnsi="宋体" w:eastAsia="宋体" w:cs="宋体"/>
                <w:i w:val="0"/>
                <w:iCs w:val="0"/>
                <w:caps w:val="0"/>
                <w:color w:val="auto"/>
                <w:spacing w:val="0"/>
                <w:sz w:val="24"/>
                <w:szCs w:val="24"/>
                <w:shd w:val="clear" w:fill="FFFFFF"/>
                <w:lang w:val="en-US" w:eastAsia="zh-CN"/>
              </w:rPr>
              <w:t>的</w:t>
            </w:r>
            <w:r>
              <w:rPr>
                <w:rFonts w:hint="eastAsia" w:ascii="宋体" w:hAnsi="宋体" w:cs="宋体"/>
                <w:b w:val="0"/>
                <w:bCs w:val="0"/>
                <w:color w:val="auto"/>
                <w:kern w:val="2"/>
                <w:sz w:val="24"/>
                <w:szCs w:val="24"/>
                <w:highlight w:val="none"/>
                <w:lang w:val="en-US" w:eastAsia="zh-CN" w:bidi="ar-SA"/>
              </w:rPr>
              <w:t>中华人民共和国内河船舶船员</w:t>
            </w:r>
            <w:r>
              <w:rPr>
                <w:rFonts w:hint="default" w:ascii="宋体" w:hAnsi="宋体" w:eastAsia="宋体" w:cs="宋体"/>
                <w:b w:val="0"/>
                <w:bCs w:val="0"/>
                <w:color w:val="auto"/>
                <w:kern w:val="2"/>
                <w:sz w:val="24"/>
                <w:szCs w:val="24"/>
                <w:highlight w:val="none"/>
                <w:lang w:val="en-US" w:eastAsia="zh-CN" w:bidi="ar-SA"/>
              </w:rPr>
              <w:t>适任证书</w:t>
            </w:r>
            <w:r>
              <w:rPr>
                <w:rFonts w:hint="eastAsia" w:ascii="宋体" w:hAnsi="宋体" w:cs="宋体"/>
                <w:b w:val="0"/>
                <w:bCs w:val="0"/>
                <w:color w:val="auto"/>
                <w:kern w:val="2"/>
                <w:sz w:val="24"/>
                <w:szCs w:val="24"/>
                <w:highlight w:val="none"/>
                <w:lang w:val="en-US" w:eastAsia="zh-CN" w:bidi="ar-SA"/>
              </w:rPr>
              <w:t>（职务:船长）</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且在有效期内，</w:t>
            </w:r>
            <w:r>
              <w:rPr>
                <w:rFonts w:hint="eastAsia" w:ascii="宋体" w:hAnsi="宋体" w:eastAsia="宋体" w:cs="宋体"/>
                <w:b w:val="0"/>
                <w:bCs w:val="0"/>
                <w:color w:val="auto"/>
                <w:kern w:val="2"/>
                <w:sz w:val="24"/>
                <w:szCs w:val="24"/>
                <w:highlight w:val="none"/>
                <w:lang w:val="en-US" w:eastAsia="zh-CN" w:bidi="ar-SA"/>
              </w:rPr>
              <w:t>每提供1个得1分，最高</w:t>
            </w:r>
            <w:r>
              <w:rPr>
                <w:rFonts w:hint="default" w:ascii="宋体" w:hAnsi="宋体" w:eastAsia="宋体" w:cs="宋体"/>
                <w:b w:val="0"/>
                <w:bCs w:val="0"/>
                <w:color w:val="auto"/>
                <w:kern w:val="2"/>
                <w:sz w:val="24"/>
                <w:szCs w:val="24"/>
                <w:highlight w:val="none"/>
                <w:lang w:val="en-US" w:eastAsia="zh-CN" w:bidi="ar-SA"/>
              </w:rPr>
              <w:t>得</w:t>
            </w: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分。</w:t>
            </w:r>
          </w:p>
          <w:p w14:paraId="7DDCC299">
            <w:pPr>
              <w:pStyle w:val="61"/>
              <w:keepNext w:val="0"/>
              <w:keepLines w:val="0"/>
              <w:pageBreakBefore w:val="0"/>
              <w:widowControl/>
              <w:kinsoku/>
              <w:wordWrap/>
              <w:overflowPunct/>
              <w:topLinePunct w:val="0"/>
              <w:autoSpaceDE/>
              <w:autoSpaceDN/>
              <w:bidi w:val="0"/>
              <w:adjustRightInd/>
              <w:snapToGrid/>
              <w:spacing w:before="0" w:beforeLines="0" w:after="0" w:afterLines="0" w:line="288" w:lineRule="auto"/>
              <w:ind w:left="0" w:leftChars="0" w:firstLine="240" w:firstLineChars="1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、拟投入的服务团队</w:t>
            </w:r>
            <w:r>
              <w:rPr>
                <w:rFonts w:hint="eastAsia" w:ascii="宋体" w:hAnsi="宋体" w:eastAsia="宋体" w:cs="宋体"/>
                <w:b w:val="0"/>
                <w:bCs w:val="0"/>
                <w:color w:val="auto"/>
                <w:kern w:val="2"/>
                <w:sz w:val="24"/>
                <w:szCs w:val="24"/>
                <w:highlight w:val="none"/>
                <w:lang w:val="en-US" w:eastAsia="zh-CN" w:bidi="ar-SA"/>
              </w:rPr>
              <w:t>生产作业人员</w:t>
            </w:r>
            <w:r>
              <w:rPr>
                <w:rFonts w:hint="default" w:ascii="宋体" w:hAnsi="宋体" w:eastAsia="宋体" w:cs="宋体"/>
                <w:b w:val="0"/>
                <w:bCs w:val="0"/>
                <w:color w:val="auto"/>
                <w:kern w:val="2"/>
                <w:sz w:val="24"/>
                <w:szCs w:val="24"/>
                <w:highlight w:val="none"/>
                <w:lang w:val="en-US" w:eastAsia="zh-CN" w:bidi="ar-SA"/>
              </w:rPr>
              <w:t>具有</w:t>
            </w:r>
            <w:r>
              <w:rPr>
                <w:rFonts w:hint="eastAsia" w:ascii="宋体" w:hAnsi="宋体" w:eastAsia="宋体" w:cs="宋体"/>
                <w:b w:val="0"/>
                <w:bCs w:val="0"/>
                <w:color w:val="auto"/>
                <w:kern w:val="2"/>
                <w:sz w:val="24"/>
                <w:szCs w:val="24"/>
                <w:highlight w:val="none"/>
                <w:lang w:val="en-US" w:eastAsia="zh-CN" w:bidi="ar-SA"/>
              </w:rPr>
              <w:t>中华人民共和国海船船员适任</w:t>
            </w:r>
            <w:r>
              <w:rPr>
                <w:rFonts w:hint="default" w:ascii="宋体" w:hAnsi="宋体" w:eastAsia="宋体" w:cs="宋体"/>
                <w:b w:val="0"/>
                <w:bCs w:val="0"/>
                <w:color w:val="auto"/>
                <w:kern w:val="2"/>
                <w:sz w:val="24"/>
                <w:szCs w:val="24"/>
                <w:highlight w:val="none"/>
                <w:lang w:val="en-US" w:eastAsia="zh-CN" w:bidi="ar-SA"/>
              </w:rPr>
              <w:t>证书，且在有效期内，</w:t>
            </w:r>
            <w:r>
              <w:rPr>
                <w:rFonts w:hint="eastAsia" w:ascii="宋体" w:hAnsi="宋体" w:eastAsia="宋体" w:cs="宋体"/>
                <w:b w:val="0"/>
                <w:bCs w:val="0"/>
                <w:color w:val="auto"/>
                <w:kern w:val="2"/>
                <w:sz w:val="24"/>
                <w:szCs w:val="24"/>
                <w:highlight w:val="none"/>
                <w:lang w:val="en-US" w:eastAsia="zh-CN" w:bidi="ar-SA"/>
              </w:rPr>
              <w:t>每提供1个得1分</w:t>
            </w:r>
            <w:r>
              <w:rPr>
                <w:rFonts w:hint="default" w:ascii="宋体" w:hAnsi="宋体" w:eastAsia="宋体" w:cs="宋体"/>
                <w:b w:val="0"/>
                <w:bCs w:val="0"/>
                <w:color w:val="auto"/>
                <w:kern w:val="2"/>
                <w:sz w:val="24"/>
                <w:szCs w:val="24"/>
                <w:highlight w:val="none"/>
                <w:lang w:val="en-US" w:eastAsia="zh-CN" w:bidi="ar-SA"/>
              </w:rPr>
              <w:t>，最高得6分。</w:t>
            </w:r>
          </w:p>
          <w:p w14:paraId="67FC7782">
            <w:pPr>
              <w:pStyle w:val="61"/>
              <w:keepNext w:val="0"/>
              <w:keepLines w:val="0"/>
              <w:pageBreakBefore w:val="0"/>
              <w:widowControl/>
              <w:kinsoku/>
              <w:wordWrap/>
              <w:overflowPunct/>
              <w:topLinePunct w:val="0"/>
              <w:autoSpaceDE/>
              <w:autoSpaceDN/>
              <w:bidi w:val="0"/>
              <w:adjustRightInd/>
              <w:snapToGrid/>
              <w:spacing w:before="0" w:beforeLines="0" w:after="0" w:afterLines="0" w:line="288" w:lineRule="auto"/>
              <w:ind w:left="0" w:leftChars="0" w:firstLine="240" w:firstLineChars="1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在满足招标人需求的服务团队生产作业人员最低配置要求的基础上，</w:t>
            </w:r>
            <w:r>
              <w:rPr>
                <w:rFonts w:hint="default" w:ascii="宋体" w:hAnsi="宋体" w:eastAsia="宋体" w:cs="宋体"/>
                <w:b w:val="0"/>
                <w:bCs w:val="0"/>
                <w:color w:val="auto"/>
                <w:kern w:val="2"/>
                <w:sz w:val="24"/>
                <w:szCs w:val="24"/>
                <w:highlight w:val="none"/>
                <w:lang w:val="en-US" w:eastAsia="zh-CN" w:bidi="ar-SA"/>
              </w:rPr>
              <w:t>每</w:t>
            </w:r>
            <w:r>
              <w:rPr>
                <w:rFonts w:hint="eastAsia" w:ascii="宋体" w:hAnsi="宋体" w:eastAsia="宋体" w:cs="宋体"/>
                <w:b w:val="0"/>
                <w:bCs w:val="0"/>
                <w:color w:val="auto"/>
                <w:kern w:val="2"/>
                <w:sz w:val="24"/>
                <w:szCs w:val="24"/>
                <w:highlight w:val="none"/>
                <w:lang w:val="en-US" w:eastAsia="zh-CN" w:bidi="ar-SA"/>
              </w:rPr>
              <w:t>班每</w:t>
            </w:r>
            <w:r>
              <w:rPr>
                <w:rFonts w:hint="default" w:ascii="宋体" w:hAnsi="宋体" w:eastAsia="宋体" w:cs="宋体"/>
                <w:b w:val="0"/>
                <w:bCs w:val="0"/>
                <w:color w:val="auto"/>
                <w:kern w:val="2"/>
                <w:sz w:val="24"/>
                <w:szCs w:val="24"/>
                <w:highlight w:val="none"/>
                <w:lang w:val="en-US" w:eastAsia="zh-CN" w:bidi="ar-SA"/>
              </w:rPr>
              <w:t>增加一名服务团队</w:t>
            </w:r>
            <w:r>
              <w:rPr>
                <w:rFonts w:hint="eastAsia" w:ascii="宋体" w:hAnsi="宋体" w:eastAsia="宋体" w:cs="宋体"/>
                <w:b w:val="0"/>
                <w:bCs w:val="0"/>
                <w:color w:val="auto"/>
                <w:kern w:val="2"/>
                <w:sz w:val="24"/>
                <w:szCs w:val="24"/>
                <w:highlight w:val="none"/>
                <w:lang w:val="en-US" w:eastAsia="zh-CN" w:bidi="ar-SA"/>
              </w:rPr>
              <w:t>生产作业人员</w:t>
            </w:r>
            <w:r>
              <w:rPr>
                <w:rFonts w:hint="default" w:ascii="宋体" w:hAnsi="宋体" w:eastAsia="宋体" w:cs="宋体"/>
                <w:b w:val="0"/>
                <w:bCs w:val="0"/>
                <w:color w:val="auto"/>
                <w:kern w:val="2"/>
                <w:sz w:val="24"/>
                <w:szCs w:val="24"/>
                <w:highlight w:val="none"/>
                <w:lang w:val="en-US" w:eastAsia="zh-CN" w:bidi="ar-SA"/>
              </w:rPr>
              <w:t>得0.5分，最高得</w:t>
            </w: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分。</w:t>
            </w:r>
          </w:p>
          <w:p w14:paraId="51F9586C">
            <w:pPr>
              <w:keepNext w:val="0"/>
              <w:keepLines w:val="0"/>
              <w:widowControl/>
              <w:suppressLineNumbers w:val="0"/>
              <w:ind w:firstLine="240" w:firstLineChars="100"/>
              <w:jc w:val="left"/>
              <w:rPr>
                <w:rFonts w:hint="eastAsia" w:ascii="宋体" w:hAnsi="宋体" w:eastAsia="宋体" w:cs="宋体"/>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注：</w:t>
            </w:r>
            <w:r>
              <w:rPr>
                <w:rFonts w:hint="eastAsia" w:ascii="宋体" w:hAnsi="宋体" w:cs="宋体"/>
                <w:b w:val="0"/>
                <w:bCs w:val="0"/>
                <w:color w:val="auto"/>
                <w:sz w:val="24"/>
                <w:szCs w:val="24"/>
                <w:highlight w:val="none"/>
                <w:lang w:val="en-US" w:eastAsia="zh-CN"/>
              </w:rPr>
              <w:t>上</w:t>
            </w:r>
            <w:r>
              <w:rPr>
                <w:rFonts w:hint="eastAsia" w:ascii="宋体" w:hAnsi="宋体" w:eastAsia="宋体" w:cs="宋体"/>
                <w:color w:val="000000"/>
                <w:kern w:val="0"/>
                <w:sz w:val="24"/>
                <w:szCs w:val="24"/>
                <w:lang w:val="en-US" w:eastAsia="zh-CN" w:bidi="ar"/>
              </w:rPr>
              <w:t>述各项</w:t>
            </w:r>
            <w:r>
              <w:rPr>
                <w:rFonts w:hint="eastAsia" w:ascii="宋体" w:hAnsi="宋体" w:cs="宋体"/>
                <w:b w:val="0"/>
                <w:bCs w:val="0"/>
                <w:color w:val="auto"/>
                <w:sz w:val="24"/>
                <w:szCs w:val="24"/>
                <w:highlight w:val="none"/>
                <w:lang w:val="en-US" w:eastAsia="zh-CN"/>
              </w:rPr>
              <w:t>人员</w:t>
            </w:r>
            <w:r>
              <w:rPr>
                <w:rFonts w:hint="eastAsia" w:ascii="宋体" w:hAnsi="宋体" w:eastAsia="宋体" w:cs="宋体"/>
                <w:color w:val="000000"/>
                <w:kern w:val="0"/>
                <w:sz w:val="24"/>
                <w:szCs w:val="24"/>
                <w:lang w:val="en-US" w:eastAsia="zh-CN" w:bidi="ar"/>
              </w:rPr>
              <w:t>之间不得互相兼任，</w:t>
            </w:r>
            <w:r>
              <w:rPr>
                <w:rFonts w:hint="default" w:ascii="宋体" w:hAnsi="宋体" w:eastAsia="宋体" w:cs="宋体"/>
                <w:b w:val="0"/>
                <w:bCs w:val="0"/>
                <w:color w:val="auto"/>
                <w:sz w:val="24"/>
                <w:szCs w:val="24"/>
                <w:highlight w:val="none"/>
                <w:lang w:val="en-US" w:eastAsia="zh-CN"/>
              </w:rPr>
              <w:t>不重复得分，须提供以上人员身份证、相关的证明材料及投标人为其缴纳的近3个月内（不含开标时间当月）任意1个月的社保证明复印件，以上资料加盖</w:t>
            </w:r>
            <w:r>
              <w:rPr>
                <w:rFonts w:hint="eastAsia" w:ascii="宋体" w:hAnsi="宋体" w:cs="宋体"/>
                <w:b w:val="0"/>
                <w:bCs w:val="0"/>
                <w:color w:val="auto"/>
                <w:sz w:val="24"/>
                <w:szCs w:val="24"/>
                <w:highlight w:val="none"/>
                <w:lang w:val="en-US" w:eastAsia="zh-CN"/>
              </w:rPr>
              <w:t>投标人</w:t>
            </w:r>
            <w:r>
              <w:rPr>
                <w:rFonts w:hint="default" w:ascii="宋体" w:hAnsi="宋体" w:eastAsia="宋体" w:cs="宋体"/>
                <w:b w:val="0"/>
                <w:bCs w:val="0"/>
                <w:color w:val="auto"/>
                <w:sz w:val="24"/>
                <w:szCs w:val="24"/>
                <w:highlight w:val="none"/>
                <w:lang w:val="en-US" w:eastAsia="zh-CN"/>
              </w:rPr>
              <w:t>公章，否则不得分。</w:t>
            </w:r>
          </w:p>
        </w:tc>
        <w:tc>
          <w:tcPr>
            <w:tcW w:w="834" w:type="dxa"/>
            <w:noWrap w:val="0"/>
            <w:vAlign w:val="center"/>
          </w:tcPr>
          <w:p w14:paraId="2C766CF6">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11分</w:t>
            </w:r>
          </w:p>
        </w:tc>
      </w:tr>
      <w:tr w14:paraId="20C0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jc w:val="center"/>
        </w:trPr>
        <w:tc>
          <w:tcPr>
            <w:tcW w:w="2023" w:type="dxa"/>
            <w:gridSpan w:val="2"/>
            <w:vMerge w:val="continue"/>
            <w:noWrap w:val="0"/>
            <w:vAlign w:val="center"/>
          </w:tcPr>
          <w:p w14:paraId="7BE6E2F0">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54" w:type="dxa"/>
            <w:vMerge w:val="continue"/>
            <w:noWrap w:val="0"/>
            <w:vAlign w:val="center"/>
          </w:tcPr>
          <w:p w14:paraId="5EF9A8A4">
            <w:pPr>
              <w:pStyle w:val="44"/>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rPr>
            </w:pPr>
          </w:p>
        </w:tc>
        <w:tc>
          <w:tcPr>
            <w:tcW w:w="1213" w:type="dxa"/>
            <w:noWrap w:val="0"/>
            <w:vAlign w:val="center"/>
          </w:tcPr>
          <w:p w14:paraId="7DD5EDBE">
            <w:pPr>
              <w:pStyle w:val="44"/>
              <w:keepNext w:val="0"/>
              <w:keepLines w:val="0"/>
              <w:pageBreakBefore w:val="0"/>
              <w:shd w:val="clear" w:color="auto" w:fill="auto"/>
              <w:kinsoku/>
              <w:wordWrap/>
              <w:overflowPunct/>
              <w:topLinePunct w:val="0"/>
              <w:bidi w:val="0"/>
              <w:spacing w:line="400" w:lineRule="exact"/>
              <w:ind w:left="0" w:leftChars="0" w:right="0" w:rightChars="0" w:firstLine="0" w:firstLineChars="0"/>
              <w:jc w:val="center"/>
              <w:textAlignment w:val="auto"/>
              <w:rPr>
                <w:rFonts w:hint="default" w:ascii="宋体" w:hAnsi="宋体" w:eastAsia="宋体" w:cs="宋体"/>
                <w:color w:val="auto"/>
                <w:kern w:val="2"/>
                <w:sz w:val="24"/>
                <w:szCs w:val="24"/>
                <w:highlight w:val="none"/>
                <w:lang w:val="en-US" w:eastAsia="zh-CN" w:bidi="ar-SA"/>
              </w:rPr>
            </w:pPr>
            <w:bookmarkStart w:id="72" w:name="OLE_LINK10"/>
            <w:r>
              <w:rPr>
                <w:rFonts w:hint="eastAsia" w:cs="宋体"/>
                <w:color w:val="auto"/>
                <w:kern w:val="2"/>
                <w:sz w:val="24"/>
                <w:szCs w:val="24"/>
                <w:highlight w:val="none"/>
                <w:lang w:val="en-US" w:eastAsia="zh-CN" w:bidi="ar-SA"/>
              </w:rPr>
              <w:t>服务团队技术人员</w:t>
            </w:r>
            <w:bookmarkEnd w:id="72"/>
          </w:p>
        </w:tc>
        <w:tc>
          <w:tcPr>
            <w:tcW w:w="4500" w:type="dxa"/>
            <w:shd w:val="clear" w:color="auto" w:fill="auto"/>
            <w:noWrap w:val="0"/>
            <w:vAlign w:val="center"/>
          </w:tcPr>
          <w:p w14:paraId="0F372825">
            <w:pPr>
              <w:pStyle w:val="61"/>
              <w:keepNext w:val="0"/>
              <w:keepLines w:val="0"/>
              <w:pageBreakBefore w:val="0"/>
              <w:widowControl/>
              <w:kinsoku/>
              <w:wordWrap/>
              <w:overflowPunct/>
              <w:topLinePunct w:val="0"/>
              <w:autoSpaceDE/>
              <w:autoSpaceDN/>
              <w:bidi w:val="0"/>
              <w:adjustRightInd/>
              <w:snapToGrid/>
              <w:spacing w:before="0" w:beforeLines="0" w:after="0" w:afterLines="0" w:line="288"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default" w:ascii="宋体" w:hAnsi="宋体" w:eastAsia="宋体" w:cs="宋体"/>
                <w:b w:val="0"/>
                <w:bCs w:val="0"/>
                <w:color w:val="auto"/>
                <w:sz w:val="24"/>
                <w:szCs w:val="24"/>
                <w:highlight w:val="none"/>
                <w:lang w:val="en-US" w:eastAsia="zh-CN"/>
              </w:rPr>
              <w:t>、拟投入的服务团队</w:t>
            </w:r>
            <w:r>
              <w:rPr>
                <w:rFonts w:hint="eastAsia" w:ascii="宋体" w:hAnsi="宋体" w:eastAsia="宋体" w:cs="宋体"/>
                <w:b w:val="0"/>
                <w:bCs w:val="0"/>
                <w:color w:val="auto"/>
                <w:sz w:val="24"/>
                <w:szCs w:val="24"/>
                <w:highlight w:val="none"/>
                <w:lang w:val="en-US" w:eastAsia="zh-CN"/>
              </w:rPr>
              <w:t>技术</w:t>
            </w:r>
            <w:r>
              <w:rPr>
                <w:rFonts w:hint="default" w:ascii="宋体" w:hAnsi="宋体" w:eastAsia="宋体" w:cs="宋体"/>
                <w:b w:val="0"/>
                <w:bCs w:val="0"/>
                <w:color w:val="auto"/>
                <w:sz w:val="24"/>
                <w:szCs w:val="24"/>
                <w:highlight w:val="none"/>
                <w:lang w:val="en-US" w:eastAsia="zh-CN"/>
              </w:rPr>
              <w:t>人员具有</w:t>
            </w:r>
            <w:r>
              <w:rPr>
                <w:rFonts w:ascii="宋体" w:hAnsi="宋体" w:eastAsia="宋体" w:cs="宋体"/>
                <w:i w:val="0"/>
                <w:iCs w:val="0"/>
                <w:caps w:val="0"/>
                <w:color w:val="auto"/>
                <w:spacing w:val="0"/>
                <w:sz w:val="24"/>
                <w:szCs w:val="24"/>
                <w:highlight w:val="none"/>
                <w:shd w:val="clear" w:fill="auto"/>
              </w:rPr>
              <w:t>由</w:t>
            </w:r>
            <w:r>
              <w:rPr>
                <w:rFonts w:hint="eastAsia" w:ascii="宋体" w:hAnsi="宋体" w:eastAsia="宋体" w:cs="宋体"/>
                <w:i w:val="0"/>
                <w:iCs w:val="0"/>
                <w:caps w:val="0"/>
                <w:color w:val="auto"/>
                <w:spacing w:val="0"/>
                <w:sz w:val="24"/>
                <w:szCs w:val="24"/>
                <w:highlight w:val="none"/>
                <w:shd w:val="clear" w:fill="auto"/>
              </w:rPr>
              <w:t>中华人民共和国住房和城乡建设部颁发的注册电气工程师注册执业证书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val="en-US" w:eastAsia="zh-CN"/>
              </w:rPr>
              <w:t>或</w:t>
            </w:r>
            <w:r>
              <w:rPr>
                <w:rFonts w:hint="default" w:ascii="宋体" w:hAnsi="宋体" w:eastAsia="宋体" w:cs="宋体"/>
                <w:color w:val="auto"/>
                <w:sz w:val="24"/>
                <w:highlight w:val="none"/>
              </w:rPr>
              <w:t>由地市级</w:t>
            </w:r>
            <w:r>
              <w:rPr>
                <w:rFonts w:hint="eastAsia" w:ascii="宋体" w:hAnsi="宋体" w:eastAsia="宋体" w:cs="宋体"/>
                <w:color w:val="auto"/>
                <w:sz w:val="24"/>
                <w:highlight w:val="none"/>
                <w:lang w:val="en-US" w:eastAsia="zh-CN"/>
              </w:rPr>
              <w:t>或</w:t>
            </w:r>
            <w:r>
              <w:rPr>
                <w:rFonts w:hint="default" w:ascii="宋体" w:hAnsi="宋体" w:eastAsia="宋体" w:cs="宋体"/>
                <w:color w:val="auto"/>
                <w:sz w:val="24"/>
                <w:highlight w:val="none"/>
              </w:rPr>
              <w:t>以上人力资源和社会保障部门认证的电气类</w:t>
            </w:r>
            <w:r>
              <w:rPr>
                <w:rFonts w:hint="eastAsia" w:ascii="宋体" w:hAnsi="宋体" w:eastAsia="宋体" w:cs="宋体"/>
                <w:color w:val="auto"/>
                <w:sz w:val="24"/>
                <w:highlight w:val="none"/>
                <w:lang w:val="en-US" w:eastAsia="zh-CN"/>
              </w:rPr>
              <w:t>专业</w:t>
            </w:r>
            <w:r>
              <w:rPr>
                <w:rFonts w:hint="default" w:ascii="宋体" w:hAnsi="宋体" w:eastAsia="宋体" w:cs="宋体"/>
                <w:color w:val="auto"/>
                <w:sz w:val="24"/>
                <w:highlight w:val="none"/>
              </w:rPr>
              <w:t>工程师</w:t>
            </w:r>
            <w:r>
              <w:rPr>
                <w:rFonts w:hint="eastAsia" w:ascii="宋体" w:hAnsi="宋体" w:eastAsia="宋体" w:cs="宋体"/>
                <w:color w:val="auto"/>
                <w:sz w:val="24"/>
                <w:highlight w:val="none"/>
                <w:lang w:val="en-US" w:eastAsia="zh-CN"/>
              </w:rPr>
              <w:t>或</w:t>
            </w:r>
            <w:r>
              <w:rPr>
                <w:rFonts w:hint="default" w:ascii="宋体" w:hAnsi="宋体" w:eastAsia="宋体" w:cs="宋体"/>
                <w:color w:val="auto"/>
                <w:sz w:val="24"/>
                <w:highlight w:val="none"/>
              </w:rPr>
              <w:t>以上职称证书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val="en-US" w:eastAsia="zh-CN"/>
              </w:rPr>
              <w:t>或</w:t>
            </w:r>
            <w:r>
              <w:rPr>
                <w:rFonts w:hint="default" w:ascii="宋体" w:hAnsi="宋体" w:eastAsia="宋体" w:cs="宋体"/>
                <w:color w:val="auto"/>
                <w:sz w:val="24"/>
                <w:highlight w:val="none"/>
              </w:rPr>
              <w:t>持有住房和城乡建设行政主管部门颁发的机电工程专业二级</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一级注册建造师执业证书</w:t>
            </w:r>
            <w:r>
              <w:rPr>
                <w:rFonts w:hint="eastAsia" w:ascii="宋体" w:hAnsi="宋体" w:eastAsia="宋体" w:cs="宋体"/>
                <w:b w:val="0"/>
                <w:bCs w:val="0"/>
                <w:color w:val="auto"/>
                <w:sz w:val="24"/>
                <w:szCs w:val="24"/>
                <w:highlight w:val="none"/>
                <w:lang w:val="en-US" w:eastAsia="zh-CN"/>
              </w:rPr>
              <w:t>的，每提供1个得1分，最高得3分。</w:t>
            </w:r>
          </w:p>
          <w:p w14:paraId="04BE00BC">
            <w:pPr>
              <w:pStyle w:val="61"/>
              <w:keepNext w:val="0"/>
              <w:keepLines w:val="0"/>
              <w:pageBreakBefore w:val="0"/>
              <w:widowControl/>
              <w:kinsoku/>
              <w:wordWrap/>
              <w:overflowPunct/>
              <w:topLinePunct w:val="0"/>
              <w:autoSpaceDE/>
              <w:autoSpaceDN/>
              <w:bidi w:val="0"/>
              <w:adjustRightInd/>
              <w:snapToGrid/>
              <w:spacing w:before="0" w:beforeLines="0" w:after="0" w:afterLines="0" w:line="288"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2、拟投入的服务团队技术人员具有</w:t>
            </w:r>
            <w:r>
              <w:rPr>
                <w:rFonts w:hint="eastAsia" w:ascii="宋体" w:hAnsi="宋体" w:eastAsia="宋体" w:cs="宋体"/>
                <w:color w:val="auto"/>
                <w:sz w:val="24"/>
                <w:highlight w:val="none"/>
              </w:rPr>
              <w:t>市</w:t>
            </w:r>
            <w:r>
              <w:rPr>
                <w:rFonts w:hint="eastAsia" w:ascii="宋体" w:hAnsi="宋体" w:eastAsia="宋体" w:cs="宋体"/>
                <w:color w:val="auto"/>
                <w:sz w:val="24"/>
                <w:highlight w:val="none"/>
                <w:lang w:val="en-US" w:eastAsia="zh-CN"/>
              </w:rPr>
              <w:t>级或以上</w:t>
            </w:r>
            <w:r>
              <w:rPr>
                <w:rFonts w:hint="eastAsia" w:ascii="宋体" w:hAnsi="宋体" w:eastAsia="宋体" w:cs="宋体"/>
                <w:color w:val="auto"/>
                <w:sz w:val="24"/>
                <w:highlight w:val="none"/>
              </w:rPr>
              <w:t>应急管理协会颁发的有效安全培训合格证书</w:t>
            </w:r>
            <w:r>
              <w:rPr>
                <w:rFonts w:hint="eastAsia" w:ascii="宋体" w:hAnsi="宋体" w:eastAsia="宋体" w:cs="宋体"/>
                <w:b w:val="0"/>
                <w:bCs w:val="0"/>
                <w:color w:val="auto"/>
                <w:sz w:val="24"/>
                <w:szCs w:val="24"/>
                <w:highlight w:val="none"/>
                <w:lang w:val="en-US" w:eastAsia="zh-CN"/>
              </w:rPr>
              <w:t>，每提供1个得1分，最高得3分。</w:t>
            </w:r>
          </w:p>
          <w:p w14:paraId="319DB04B">
            <w:pPr>
              <w:pStyle w:val="61"/>
              <w:keepNext w:val="0"/>
              <w:keepLines w:val="0"/>
              <w:pageBreakBefore w:val="0"/>
              <w:widowControl/>
              <w:kinsoku/>
              <w:wordWrap/>
              <w:overflowPunct/>
              <w:topLinePunct w:val="0"/>
              <w:autoSpaceDE/>
              <w:autoSpaceDN/>
              <w:bidi w:val="0"/>
              <w:adjustRightInd/>
              <w:snapToGrid/>
              <w:spacing w:before="0" w:beforeLines="0" w:after="0" w:afterLines="0" w:line="288" w:lineRule="auto"/>
              <w:ind w:left="0" w:leftChars="0" w:firstLine="480" w:firstLineChars="200"/>
              <w:textAlignment w:val="auto"/>
              <w:rPr>
                <w:rFonts w:hint="eastAsia" w:ascii="宋体" w:hAnsi="宋体" w:eastAsia="宋体" w:cs="宋体"/>
                <w:b w:val="0"/>
                <w:bCs w:val="0"/>
                <w:strike/>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注：上</w:t>
            </w:r>
            <w:r>
              <w:rPr>
                <w:rFonts w:hint="eastAsia" w:ascii="宋体" w:hAnsi="宋体" w:eastAsia="宋体" w:cs="宋体"/>
                <w:color w:val="auto"/>
                <w:kern w:val="2"/>
                <w:sz w:val="24"/>
                <w:szCs w:val="24"/>
                <w:highlight w:val="none"/>
                <w:lang w:val="en-US" w:eastAsia="zh-CN" w:bidi="ar"/>
              </w:rPr>
              <w:t>述各项</w:t>
            </w:r>
            <w:r>
              <w:rPr>
                <w:rFonts w:hint="eastAsia" w:ascii="宋体" w:hAnsi="宋体" w:eastAsia="宋体" w:cs="宋体"/>
                <w:b w:val="0"/>
                <w:bCs w:val="0"/>
                <w:color w:val="auto"/>
                <w:sz w:val="24"/>
                <w:szCs w:val="24"/>
                <w:highlight w:val="none"/>
                <w:lang w:val="en-US" w:eastAsia="zh-CN"/>
              </w:rPr>
              <w:t>人员</w:t>
            </w:r>
            <w:r>
              <w:rPr>
                <w:rFonts w:hint="eastAsia" w:ascii="宋体" w:hAnsi="宋体" w:eastAsia="宋体" w:cs="宋体"/>
                <w:color w:val="auto"/>
                <w:kern w:val="2"/>
                <w:sz w:val="24"/>
                <w:szCs w:val="24"/>
                <w:highlight w:val="none"/>
                <w:lang w:val="en-US" w:eastAsia="zh-CN" w:bidi="ar"/>
              </w:rPr>
              <w:t>之间不得互相兼任，</w:t>
            </w:r>
            <w:r>
              <w:rPr>
                <w:rFonts w:hint="eastAsia" w:ascii="宋体" w:hAnsi="宋体" w:eastAsia="宋体" w:cs="宋体"/>
                <w:b w:val="0"/>
                <w:bCs w:val="0"/>
                <w:color w:val="auto"/>
                <w:sz w:val="24"/>
                <w:szCs w:val="24"/>
                <w:highlight w:val="none"/>
                <w:lang w:val="en-US" w:eastAsia="zh-CN"/>
              </w:rPr>
              <w:t>不重复得分，须提供以上人员</w:t>
            </w:r>
            <w:r>
              <w:rPr>
                <w:rFonts w:hint="default" w:ascii="宋体" w:hAnsi="宋体" w:eastAsia="宋体" w:cs="宋体"/>
                <w:b w:val="0"/>
                <w:bCs w:val="0"/>
                <w:color w:val="auto"/>
                <w:sz w:val="24"/>
                <w:szCs w:val="24"/>
                <w:highlight w:val="none"/>
                <w:lang w:val="en-US" w:eastAsia="zh-CN"/>
              </w:rPr>
              <w:t>身份证、相关的证明材料及投标人为其缴纳的近3个月内（不含开标时间当月）任意1个月的社保证明复印件，以上资料加盖投标人公章，否则不得分。</w:t>
            </w:r>
          </w:p>
        </w:tc>
        <w:tc>
          <w:tcPr>
            <w:tcW w:w="834" w:type="dxa"/>
            <w:shd w:val="clear" w:color="auto" w:fill="auto"/>
            <w:noWrap w:val="0"/>
            <w:vAlign w:val="center"/>
          </w:tcPr>
          <w:p w14:paraId="12810AA7">
            <w:pPr>
              <w:spacing w:line="360" w:lineRule="auto"/>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6分</w:t>
            </w:r>
          </w:p>
        </w:tc>
      </w:tr>
      <w:tr w14:paraId="13A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023" w:type="dxa"/>
            <w:gridSpan w:val="2"/>
            <w:vMerge w:val="continue"/>
            <w:noWrap w:val="0"/>
            <w:vAlign w:val="center"/>
          </w:tcPr>
          <w:p w14:paraId="4BBC3D91">
            <w:pPr>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p>
        </w:tc>
        <w:tc>
          <w:tcPr>
            <w:tcW w:w="1154" w:type="dxa"/>
            <w:vMerge w:val="continue"/>
            <w:noWrap w:val="0"/>
            <w:vAlign w:val="center"/>
          </w:tcPr>
          <w:p w14:paraId="1A4FDA5A">
            <w:pPr>
              <w:pStyle w:val="44"/>
              <w:keepNext w:val="0"/>
              <w:keepLines w:val="0"/>
              <w:pageBreakBefore w:val="0"/>
              <w:shd w:val="clear" w:color="auto" w:fill="auto"/>
              <w:kinsoku/>
              <w:wordWrap/>
              <w:overflowPunct/>
              <w:topLinePunct w:val="0"/>
              <w:bidi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rPr>
            </w:pPr>
          </w:p>
        </w:tc>
        <w:tc>
          <w:tcPr>
            <w:tcW w:w="1213" w:type="dxa"/>
            <w:noWrap w:val="0"/>
            <w:vAlign w:val="center"/>
          </w:tcPr>
          <w:p w14:paraId="2FAA3656">
            <w:pPr>
              <w:pStyle w:val="44"/>
              <w:keepNext w:val="0"/>
              <w:keepLines w:val="0"/>
              <w:pageBreakBefore w:val="0"/>
              <w:shd w:val="clear" w:color="auto" w:fill="auto"/>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体系认证</w:t>
            </w:r>
          </w:p>
        </w:tc>
        <w:tc>
          <w:tcPr>
            <w:tcW w:w="4500" w:type="dxa"/>
            <w:noWrap w:val="0"/>
            <w:vAlign w:val="center"/>
          </w:tcPr>
          <w:p w14:paraId="6B0C191B">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投标人具有有效的质量管理体系认证证书、环境管理体系认证证书、职业健康安全管理体系认证证书且证书在有效期内的，每提供一项得1分，最高得3分。</w:t>
            </w:r>
          </w:p>
          <w:p w14:paraId="7A0B13CF">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注：投标人须提供上述证书复印件或在国家认证认可监督管理委员会官方网站查询的截图作为评审依据，没有提供不得分。</w:t>
            </w:r>
          </w:p>
        </w:tc>
        <w:tc>
          <w:tcPr>
            <w:tcW w:w="834" w:type="dxa"/>
            <w:noWrap w:val="0"/>
            <w:vAlign w:val="center"/>
          </w:tcPr>
          <w:p w14:paraId="48730C33">
            <w:pPr>
              <w:keepNext w:val="0"/>
              <w:keepLines w:val="0"/>
              <w:pageBreakBefore w:val="0"/>
              <w:shd w:val="clear" w:color="auto" w:fill="auto"/>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7A24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3" w:type="dxa"/>
            <w:gridSpan w:val="2"/>
            <w:noWrap w:val="0"/>
            <w:vAlign w:val="center"/>
          </w:tcPr>
          <w:p w14:paraId="6BCD38EB">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2.2.4（3）</w:t>
            </w:r>
          </w:p>
        </w:tc>
        <w:tc>
          <w:tcPr>
            <w:tcW w:w="2367" w:type="dxa"/>
            <w:gridSpan w:val="2"/>
            <w:noWrap w:val="0"/>
            <w:vAlign w:val="center"/>
          </w:tcPr>
          <w:p w14:paraId="08F32445">
            <w:pPr>
              <w:keepNext w:val="0"/>
              <w:keepLines w:val="0"/>
              <w:pageBreakBefore w:val="0"/>
              <w:shd w:val="clear" w:color="auto" w:fill="auto"/>
              <w:kinsoku/>
              <w:wordWrap/>
              <w:overflowPunct/>
              <w:topLinePunct w:val="0"/>
              <w:autoSpaceDE w:val="0"/>
              <w:autoSpaceDN w:val="0"/>
              <w:bidi w:val="0"/>
              <w:adjustRightInd w:val="0"/>
              <w:spacing w:line="400" w:lineRule="exact"/>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3"/>
                <w:sz w:val="24"/>
                <w:szCs w:val="24"/>
                <w:highlight w:val="none"/>
              </w:rPr>
              <w:t>投标报价评分标准</w:t>
            </w:r>
          </w:p>
        </w:tc>
        <w:tc>
          <w:tcPr>
            <w:tcW w:w="5334" w:type="dxa"/>
            <w:gridSpan w:val="2"/>
            <w:noWrap w:val="0"/>
            <w:vAlign w:val="center"/>
          </w:tcPr>
          <w:p w14:paraId="17CD597B">
            <w:pPr>
              <w:keepNext w:val="0"/>
              <w:keepLines w:val="0"/>
              <w:pageBreakBefore w:val="0"/>
              <w:shd w:val="clear" w:color="auto" w:fill="auto"/>
              <w:kinsoku/>
              <w:wordWrap/>
              <w:overflowPunct/>
              <w:topLinePunct w:val="0"/>
              <w:autoSpaceDE w:val="0"/>
              <w:autoSpaceDN w:val="0"/>
              <w:bidi w:val="0"/>
              <w:adjustRightInd w:val="0"/>
              <w:spacing w:line="360" w:lineRule="auto"/>
              <w:ind w:left="0" w:leftChars="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投标报价</w:t>
            </w:r>
            <w:r>
              <w:rPr>
                <w:rFonts w:hint="eastAsia" w:ascii="宋体" w:hAnsi="宋体" w:eastAsia="宋体" w:cs="宋体"/>
                <w:color w:val="auto"/>
                <w:kern w:val="0"/>
                <w:sz w:val="24"/>
                <w:szCs w:val="24"/>
                <w:highlight w:val="none"/>
              </w:rPr>
              <w:t>得分计算公式：</w:t>
            </w:r>
          </w:p>
          <w:p w14:paraId="310D30C0">
            <w:pPr>
              <w:keepNext w:val="0"/>
              <w:keepLines w:val="0"/>
              <w:pageBreakBefore w:val="0"/>
              <w:shd w:val="clear" w:color="auto" w:fill="auto"/>
              <w:kinsoku/>
              <w:wordWrap/>
              <w:overflowPunct/>
              <w:topLinePunct w:val="0"/>
              <w:autoSpaceDE w:val="0"/>
              <w:autoSpaceDN w:val="0"/>
              <w:bidi w:val="0"/>
              <w:adjustRightInd w:val="0"/>
              <w:spacing w:line="360" w:lineRule="auto"/>
              <w:ind w:left="0" w:leftChars="0" w:right="0"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投标报价得分＝（评标基准价/投标报价）×价格分值【注：满足招标文件要求且投标价格最低的投标报价为评标基准价。】最低报价不是中标的唯一依据。</w:t>
            </w:r>
          </w:p>
          <w:p w14:paraId="435A9306">
            <w:pPr>
              <w:keepNext w:val="0"/>
              <w:keepLines w:val="0"/>
              <w:pageBreakBefore w:val="0"/>
              <w:shd w:val="clear" w:color="auto" w:fill="auto"/>
              <w:kinsoku/>
              <w:wordWrap/>
              <w:overflowPunct/>
              <w:topLinePunct w:val="0"/>
              <w:autoSpaceDE w:val="0"/>
              <w:autoSpaceDN w:val="0"/>
              <w:bidi w:val="0"/>
              <w:adjustRightInd w:val="0"/>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注：投标报价得分四舍五入至小数点后两位，</w:t>
            </w:r>
            <w:r>
              <w:rPr>
                <w:rFonts w:hint="eastAsia" w:ascii="宋体" w:hAnsi="宋体" w:eastAsia="宋体" w:cs="宋体"/>
                <w:color w:val="auto"/>
                <w:spacing w:val="-3"/>
                <w:sz w:val="24"/>
                <w:szCs w:val="24"/>
                <w:highlight w:val="none"/>
              </w:rPr>
              <w:t>小数点后第三位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2"/>
                <w:sz w:val="24"/>
                <w:szCs w:val="24"/>
                <w:highlight w:val="none"/>
              </w:rPr>
              <w:t>四舍五入</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rPr>
              <w:t>。</w:t>
            </w:r>
          </w:p>
        </w:tc>
      </w:tr>
    </w:tbl>
    <w:p w14:paraId="440D6068">
      <w:pPr>
        <w:shd w:val="clear" w:color="auto" w:fill="auto"/>
        <w:rPr>
          <w:rFonts w:hint="eastAsia" w:ascii="宋体" w:hAnsi="宋体" w:eastAsia="宋体" w:cs="宋体"/>
          <w:color w:val="auto"/>
          <w:szCs w:val="21"/>
          <w:highlight w:val="none"/>
        </w:rPr>
      </w:pPr>
    </w:p>
    <w:p w14:paraId="496D4A38">
      <w:pPr>
        <w:shd w:val="clear" w:color="auto" w:fill="auto"/>
        <w:rPr>
          <w:rFonts w:hint="eastAsia" w:ascii="宋体" w:hAnsi="宋体" w:eastAsia="宋体" w:cs="宋体"/>
          <w:color w:val="auto"/>
          <w:highlight w:val="none"/>
        </w:rPr>
        <w:sectPr>
          <w:pgSz w:w="12240" w:h="15840"/>
          <w:pgMar w:top="1500" w:right="1100" w:bottom="1120" w:left="1400" w:header="0" w:footer="841" w:gutter="0"/>
          <w:pgBorders>
            <w:top w:val="none" w:sz="0" w:space="0"/>
            <w:left w:val="none" w:sz="0" w:space="0"/>
            <w:bottom w:val="none" w:sz="0" w:space="0"/>
            <w:right w:val="none" w:sz="0" w:space="0"/>
          </w:pgBorders>
          <w:pgNumType w:fmt="decimal"/>
          <w:cols w:space="720" w:num="1"/>
        </w:sectPr>
      </w:pPr>
    </w:p>
    <w:p w14:paraId="75A13A9C">
      <w:pPr>
        <w:pStyle w:val="3"/>
        <w:numPr>
          <w:ilvl w:val="0"/>
          <w:numId w:val="12"/>
        </w:numPr>
        <w:shd w:val="clear" w:color="auto" w:fill="auto"/>
        <w:tabs>
          <w:tab w:val="left" w:pos="802"/>
        </w:tabs>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评标方法、组织及工作程序</w:t>
      </w:r>
    </w:p>
    <w:p w14:paraId="00879BCB">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firstLine="428" w:firstLineChars="200"/>
        <w:textAlignment w:val="auto"/>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本次评标采用经评审的综合评估法。评标委员会对满足招标文件实质性要求的投标文件，根据本章第2.2款规定的评分标准进行打分，并按得分由高到低顺序推荐中标候选人，或根据招标人授权直接确定中标人，但投标报价低于其成本的除外。综合评分相等时，按照评标办法前附表的规定确定中标候选人顺序。</w:t>
      </w:r>
    </w:p>
    <w:p w14:paraId="64ED9F07">
      <w:pPr>
        <w:pStyle w:val="3"/>
        <w:numPr>
          <w:ilvl w:val="0"/>
          <w:numId w:val="12"/>
        </w:numPr>
        <w:shd w:val="clear" w:color="auto" w:fill="auto"/>
        <w:tabs>
          <w:tab w:val="left" w:pos="802"/>
        </w:tabs>
        <w:adjustRightInd w:val="0"/>
        <w:snapToGrid w:val="0"/>
        <w:spacing w:line="360" w:lineRule="auto"/>
        <w:rPr>
          <w:rFonts w:hint="eastAsia" w:ascii="宋体" w:hAnsi="宋体" w:eastAsia="宋体" w:cs="宋体"/>
          <w:color w:val="auto"/>
          <w:highlight w:val="none"/>
        </w:rPr>
      </w:pPr>
      <w:bookmarkStart w:id="73" w:name="_bookmark95"/>
      <w:bookmarkEnd w:id="73"/>
      <w:r>
        <w:rPr>
          <w:rFonts w:hint="eastAsia" w:ascii="宋体" w:hAnsi="宋体" w:eastAsia="宋体" w:cs="宋体"/>
          <w:color w:val="auto"/>
          <w:highlight w:val="none"/>
        </w:rPr>
        <w:t>评审标准</w:t>
      </w:r>
    </w:p>
    <w:p w14:paraId="176418CC">
      <w:pPr>
        <w:pStyle w:val="4"/>
        <w:numPr>
          <w:ilvl w:val="1"/>
          <w:numId w:val="12"/>
        </w:numPr>
        <w:shd w:val="clear" w:color="auto" w:fill="auto"/>
        <w:tabs>
          <w:tab w:val="left" w:pos="1027"/>
        </w:tabs>
        <w:adjustRightInd w:val="0"/>
        <w:snapToGrid w:val="0"/>
        <w:spacing w:line="360" w:lineRule="auto"/>
        <w:ind w:hanging="488"/>
        <w:rPr>
          <w:rFonts w:hint="eastAsia" w:ascii="宋体" w:hAnsi="宋体" w:eastAsia="宋体" w:cs="宋体"/>
          <w:color w:val="auto"/>
          <w:spacing w:val="-1"/>
          <w:highlight w:val="none"/>
        </w:rPr>
      </w:pPr>
      <w:bookmarkStart w:id="74" w:name="_bookmark96"/>
      <w:bookmarkEnd w:id="74"/>
      <w:r>
        <w:rPr>
          <w:rFonts w:hint="eastAsia" w:ascii="宋体" w:hAnsi="宋体" w:eastAsia="宋体" w:cs="宋体"/>
          <w:color w:val="auto"/>
          <w:spacing w:val="-1"/>
          <w:highlight w:val="none"/>
        </w:rPr>
        <w:t>初步评审标准</w:t>
      </w:r>
    </w:p>
    <w:p w14:paraId="6E65115C">
      <w:pPr>
        <w:shd w:val="clear" w:color="auto" w:fill="auto"/>
        <w:adjustRightInd w:val="0"/>
        <w:snapToGrid w:val="0"/>
        <w:spacing w:line="360" w:lineRule="auto"/>
        <w:ind w:left="403" w:firstLine="42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2.1.1 形式评审标准：</w:t>
      </w:r>
      <w:r>
        <w:rPr>
          <w:rFonts w:hint="eastAsia" w:ascii="宋体" w:hAnsi="宋体" w:eastAsia="宋体" w:cs="宋体"/>
          <w:color w:val="auto"/>
          <w:spacing w:val="-3"/>
          <w:sz w:val="24"/>
          <w:szCs w:val="24"/>
          <w:highlight w:val="none"/>
          <w:lang w:eastAsia="zh-CN"/>
        </w:rPr>
        <w:t>：</w:t>
      </w:r>
    </w:p>
    <w:p w14:paraId="2CA902E7">
      <w:pPr>
        <w:shd w:val="clear" w:color="auto" w:fill="auto"/>
        <w:adjustRightInd w:val="0"/>
        <w:snapToGrid w:val="0"/>
        <w:spacing w:line="360" w:lineRule="auto"/>
        <w:ind w:left="403" w:firstLine="42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2.1.1（1）</w:t>
      </w:r>
      <w:r>
        <w:rPr>
          <w:rFonts w:hint="eastAsia" w:ascii="宋体" w:hAnsi="宋体" w:cs="宋体"/>
          <w:color w:val="auto"/>
          <w:spacing w:val="-3"/>
          <w:sz w:val="24"/>
          <w:szCs w:val="24"/>
          <w:highlight w:val="none"/>
          <w:lang w:val="en-US" w:eastAsia="zh-CN"/>
        </w:rPr>
        <w:t>投标文件</w:t>
      </w:r>
      <w:r>
        <w:rPr>
          <w:rFonts w:hint="eastAsia" w:ascii="宋体" w:hAnsi="宋体" w:eastAsia="宋体" w:cs="宋体"/>
          <w:color w:val="auto"/>
          <w:spacing w:val="-3"/>
          <w:sz w:val="24"/>
          <w:szCs w:val="24"/>
          <w:highlight w:val="none"/>
          <w:lang w:val="en-US" w:eastAsia="zh-CN"/>
        </w:rPr>
        <w:t>形式评</w:t>
      </w:r>
      <w:r>
        <w:rPr>
          <w:rFonts w:hint="eastAsia" w:ascii="宋体" w:hAnsi="宋体" w:cs="宋体"/>
          <w:color w:val="auto"/>
          <w:spacing w:val="-3"/>
          <w:sz w:val="24"/>
          <w:szCs w:val="24"/>
          <w:highlight w:val="none"/>
          <w:lang w:val="en-US" w:eastAsia="zh-CN"/>
        </w:rPr>
        <w:t>审</w:t>
      </w:r>
      <w:r>
        <w:rPr>
          <w:rFonts w:hint="eastAsia" w:ascii="宋体" w:hAnsi="宋体" w:eastAsia="宋体" w:cs="宋体"/>
          <w:color w:val="auto"/>
          <w:spacing w:val="-3"/>
          <w:sz w:val="24"/>
          <w:szCs w:val="24"/>
          <w:highlight w:val="none"/>
          <w:lang w:val="en-US" w:eastAsia="zh-CN"/>
        </w:rPr>
        <w:t>标准: 见评标办法前附表。</w:t>
      </w:r>
    </w:p>
    <w:p w14:paraId="46C9297D">
      <w:pPr>
        <w:shd w:val="clear" w:color="auto" w:fill="auto"/>
        <w:adjustRightInd w:val="0"/>
        <w:snapToGrid w:val="0"/>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2.1.2 资格评审标准：见评标办法前附表。</w:t>
      </w:r>
    </w:p>
    <w:p w14:paraId="3B4313CE">
      <w:pPr>
        <w:shd w:val="clear" w:color="auto" w:fill="auto"/>
        <w:adjustRightInd w:val="0"/>
        <w:snapToGrid w:val="0"/>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2.1.3 响应性评审标准：见评标办法前附表。</w:t>
      </w:r>
    </w:p>
    <w:p w14:paraId="0579CF81">
      <w:pPr>
        <w:pStyle w:val="4"/>
        <w:numPr>
          <w:ilvl w:val="1"/>
          <w:numId w:val="12"/>
        </w:numPr>
        <w:shd w:val="clear" w:color="auto" w:fill="auto"/>
        <w:tabs>
          <w:tab w:val="left" w:pos="1027"/>
        </w:tabs>
        <w:adjustRightInd w:val="0"/>
        <w:snapToGrid w:val="0"/>
        <w:spacing w:line="360" w:lineRule="auto"/>
        <w:ind w:hanging="488"/>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分值构成与评分标准</w:t>
      </w:r>
    </w:p>
    <w:p w14:paraId="2C0A47D9">
      <w:pPr>
        <w:pStyle w:val="40"/>
        <w:shd w:val="clear" w:color="auto" w:fill="auto"/>
        <w:tabs>
          <w:tab w:val="left" w:pos="1346"/>
        </w:tabs>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2.2.1 分值构成</w:t>
      </w:r>
    </w:p>
    <w:p w14:paraId="621FE36E">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（1）商务部分：见评标办法前附表；</w:t>
      </w:r>
    </w:p>
    <w:p w14:paraId="737E35D9">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（2）技术部分：见评标办法前附表；</w:t>
      </w:r>
    </w:p>
    <w:p w14:paraId="46A4B3DC">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（3）投标报价：见评标办法前附表</w:t>
      </w:r>
      <w:r>
        <w:rPr>
          <w:rFonts w:hint="eastAsia" w:ascii="宋体" w:hAnsi="宋体" w:eastAsia="宋体" w:cs="宋体"/>
          <w:color w:val="auto"/>
          <w:spacing w:val="-3"/>
          <w:sz w:val="24"/>
          <w:szCs w:val="24"/>
          <w:highlight w:val="none"/>
          <w:lang w:eastAsia="zh-CN"/>
        </w:rPr>
        <w:t>。</w:t>
      </w:r>
    </w:p>
    <w:p w14:paraId="57640E30">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2.2.2 评标基准价计算</w:t>
      </w:r>
    </w:p>
    <w:p w14:paraId="00A34A30">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评标基准价计算方法：见评标办法前附表</w:t>
      </w:r>
    </w:p>
    <w:p w14:paraId="34431643">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2.2.3.投标报价的偏差率</w:t>
      </w:r>
    </w:p>
    <w:p w14:paraId="5F2BAD45">
      <w:pPr>
        <w:pStyle w:val="40"/>
        <w:numPr>
          <w:ilvl w:val="-1"/>
          <w:numId w:val="0"/>
        </w:numPr>
        <w:shd w:val="clear" w:color="auto" w:fill="auto"/>
        <w:tabs>
          <w:tab w:val="left" w:pos="1350"/>
        </w:tabs>
        <w:adjustRightInd w:val="0"/>
        <w:spacing w:line="360" w:lineRule="auto"/>
        <w:ind w:left="820" w:firstLine="0"/>
        <w:rPr>
          <w:rFonts w:hint="eastAsia" w:ascii="宋体" w:hAnsi="宋体" w:eastAsia="宋体" w:cs="宋体"/>
          <w:color w:val="auto"/>
          <w:spacing w:val="-3"/>
          <w:sz w:val="24"/>
          <w:szCs w:val="24"/>
          <w:highlight w:val="none"/>
          <w:lang w:val="en-US"/>
        </w:rPr>
      </w:pPr>
      <w:r>
        <w:rPr>
          <w:rFonts w:hint="eastAsia" w:ascii="宋体" w:hAnsi="宋体" w:eastAsia="宋体" w:cs="宋体"/>
          <w:color w:val="auto"/>
          <w:spacing w:val="-3"/>
          <w:sz w:val="24"/>
          <w:szCs w:val="24"/>
          <w:highlight w:val="none"/>
          <w:lang w:val="en-US"/>
        </w:rPr>
        <w:t>计算投标报价的偏差率计算公式:见评标办法前附表。</w:t>
      </w:r>
    </w:p>
    <w:p w14:paraId="3A0AF717">
      <w:pPr>
        <w:pStyle w:val="40"/>
        <w:shd w:val="clear" w:color="auto" w:fill="auto"/>
        <w:tabs>
          <w:tab w:val="left" w:pos="1346"/>
        </w:tabs>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2.2.</w:t>
      </w:r>
      <w:r>
        <w:rPr>
          <w:rFonts w:hint="eastAsia" w:ascii="宋体" w:hAnsi="宋体" w:eastAsia="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 xml:space="preserve"> 评分标准</w:t>
      </w:r>
    </w:p>
    <w:p w14:paraId="6B998346">
      <w:pPr>
        <w:pStyle w:val="40"/>
        <w:numPr>
          <w:ilvl w:val="-1"/>
          <w:numId w:val="0"/>
        </w:numPr>
        <w:shd w:val="clear" w:color="auto" w:fill="auto"/>
        <w:tabs>
          <w:tab w:val="left" w:pos="1350"/>
        </w:tabs>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（1）商务</w:t>
      </w:r>
      <w:r>
        <w:rPr>
          <w:rFonts w:hint="eastAsia" w:ascii="宋体" w:hAnsi="宋体" w:eastAsia="宋体" w:cs="宋体"/>
          <w:color w:val="auto"/>
          <w:spacing w:val="-3"/>
          <w:sz w:val="24"/>
          <w:szCs w:val="24"/>
          <w:highlight w:val="none"/>
          <w:lang w:val="en-US" w:eastAsia="zh-CN"/>
        </w:rPr>
        <w:t>部分</w:t>
      </w:r>
      <w:r>
        <w:rPr>
          <w:rFonts w:hint="eastAsia" w:ascii="宋体" w:hAnsi="宋体" w:eastAsia="宋体" w:cs="宋体"/>
          <w:color w:val="auto"/>
          <w:spacing w:val="-3"/>
          <w:sz w:val="24"/>
          <w:szCs w:val="24"/>
          <w:highlight w:val="none"/>
        </w:rPr>
        <w:t>评分标准：见评标办法前附表；</w:t>
      </w:r>
    </w:p>
    <w:p w14:paraId="32A3F220">
      <w:pPr>
        <w:pStyle w:val="40"/>
        <w:numPr>
          <w:ilvl w:val="-1"/>
          <w:numId w:val="0"/>
        </w:numPr>
        <w:shd w:val="clear" w:color="auto" w:fill="auto"/>
        <w:tabs>
          <w:tab w:val="left" w:pos="1350"/>
        </w:tabs>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（2）技术</w:t>
      </w:r>
      <w:r>
        <w:rPr>
          <w:rFonts w:hint="eastAsia" w:ascii="宋体" w:hAnsi="宋体" w:eastAsia="宋体" w:cs="宋体"/>
          <w:color w:val="auto"/>
          <w:spacing w:val="-3"/>
          <w:sz w:val="24"/>
          <w:szCs w:val="24"/>
          <w:highlight w:val="none"/>
          <w:lang w:val="en-US" w:eastAsia="zh-CN"/>
        </w:rPr>
        <w:t>部分</w:t>
      </w:r>
      <w:r>
        <w:rPr>
          <w:rFonts w:hint="eastAsia" w:ascii="宋体" w:hAnsi="宋体" w:eastAsia="宋体" w:cs="宋体"/>
          <w:color w:val="auto"/>
          <w:spacing w:val="-3"/>
          <w:sz w:val="24"/>
          <w:szCs w:val="24"/>
          <w:highlight w:val="none"/>
        </w:rPr>
        <w:t>评分标准：见评标办法前附表；</w:t>
      </w:r>
    </w:p>
    <w:p w14:paraId="1E2799FC">
      <w:pPr>
        <w:pStyle w:val="40"/>
        <w:numPr>
          <w:ilvl w:val="-1"/>
          <w:numId w:val="0"/>
        </w:numPr>
        <w:shd w:val="clear" w:color="auto" w:fill="auto"/>
        <w:tabs>
          <w:tab w:val="left" w:pos="1350"/>
        </w:tabs>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（3）投标报价评分标准：见评标办法前附表。</w:t>
      </w:r>
    </w:p>
    <w:p w14:paraId="790C32D9">
      <w:pPr>
        <w:pStyle w:val="3"/>
        <w:numPr>
          <w:ilvl w:val="0"/>
          <w:numId w:val="12"/>
        </w:numPr>
        <w:shd w:val="clear" w:color="auto" w:fill="auto"/>
        <w:tabs>
          <w:tab w:val="left" w:pos="802"/>
        </w:tabs>
        <w:adjustRightInd w:val="0"/>
        <w:snapToGrid w:val="0"/>
        <w:spacing w:line="360" w:lineRule="auto"/>
        <w:rPr>
          <w:rFonts w:hint="eastAsia" w:ascii="宋体" w:hAnsi="宋体" w:eastAsia="宋体" w:cs="宋体"/>
          <w:color w:val="auto"/>
          <w:highlight w:val="none"/>
        </w:rPr>
      </w:pPr>
      <w:bookmarkStart w:id="75" w:name="_bookmark98"/>
      <w:bookmarkEnd w:id="75"/>
      <w:r>
        <w:rPr>
          <w:rFonts w:hint="eastAsia" w:ascii="宋体" w:hAnsi="宋体" w:eastAsia="宋体" w:cs="宋体"/>
          <w:color w:val="auto"/>
          <w:highlight w:val="none"/>
        </w:rPr>
        <w:t>评标程序</w:t>
      </w:r>
    </w:p>
    <w:p w14:paraId="64B0DF62">
      <w:pPr>
        <w:pStyle w:val="4"/>
        <w:shd w:val="clear" w:color="auto" w:fill="auto"/>
        <w:tabs>
          <w:tab w:val="left" w:pos="1027"/>
        </w:tabs>
        <w:spacing w:line="360" w:lineRule="auto"/>
        <w:ind w:left="537" w:firstLine="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3.1初步评审：</w:t>
      </w:r>
    </w:p>
    <w:p w14:paraId="10C5FA3E">
      <w:pPr>
        <w:shd w:val="clear" w:color="auto" w:fill="auto"/>
        <w:spacing w:line="360" w:lineRule="auto"/>
        <w:ind w:left="403" w:firstLine="42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招标人按照第二章“投标人须知”第5.2.1项～第5.2.3项的规定对投标文件进行开标后，评标委员会首先对投标文件按照评标办法前附表第2.1.1（1）项、第2.1.2项、第2.1.3项进行评审，确定通过投标文件评审的投标人名单。</w:t>
      </w:r>
    </w:p>
    <w:p w14:paraId="23953C34">
      <w:pPr>
        <w:shd w:val="clear" w:color="auto" w:fill="auto"/>
        <w:spacing w:line="360" w:lineRule="auto"/>
        <w:ind w:left="403" w:firstLine="420"/>
        <w:rPr>
          <w:rFonts w:hint="eastAsia" w:ascii="宋体" w:hAnsi="宋体" w:eastAsia="宋体" w:cs="宋体"/>
          <w:color w:val="auto"/>
          <w:spacing w:val="-3"/>
          <w:sz w:val="24"/>
          <w:szCs w:val="24"/>
          <w:highlight w:val="none"/>
        </w:rPr>
      </w:pPr>
      <w:bookmarkStart w:id="76" w:name="_bookmark99"/>
      <w:bookmarkEnd w:id="76"/>
      <w:r>
        <w:rPr>
          <w:rFonts w:hint="eastAsia" w:ascii="宋体" w:hAnsi="宋体" w:eastAsia="宋体" w:cs="宋体"/>
          <w:color w:val="auto"/>
          <w:spacing w:val="-3"/>
          <w:sz w:val="24"/>
          <w:szCs w:val="24"/>
          <w:highlight w:val="none"/>
        </w:rPr>
        <w:t>3.1.1 评标委员会依据本章第2.1款规定的标准对投标文件进行初步评审。有一项不符合评审标准的，评标委员会应当否决其投标。</w:t>
      </w:r>
    </w:p>
    <w:p w14:paraId="7FAA954E">
      <w:pPr>
        <w:pStyle w:val="40"/>
        <w:shd w:val="clear" w:color="auto" w:fill="auto"/>
        <w:tabs>
          <w:tab w:val="left" w:pos="1346"/>
        </w:tabs>
        <w:spacing w:line="360" w:lineRule="auto"/>
        <w:ind w:left="820" w:firstLine="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rPr>
        <w:t xml:space="preserve">3.1.2 </w:t>
      </w:r>
      <w:r>
        <w:rPr>
          <w:rFonts w:hint="eastAsia" w:ascii="宋体" w:hAnsi="宋体" w:eastAsia="宋体" w:cs="宋体"/>
          <w:color w:val="auto"/>
          <w:spacing w:val="-3"/>
          <w:sz w:val="24"/>
          <w:szCs w:val="24"/>
          <w:highlight w:val="none"/>
        </w:rPr>
        <w:t>投标人有以下情形之一的，评标委员会应当否决其投标：</w:t>
      </w:r>
    </w:p>
    <w:p w14:paraId="3F1A10D1">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rPr>
        <w:t>1</w:t>
      </w:r>
      <w:r>
        <w:rPr>
          <w:rFonts w:hint="eastAsia" w:ascii="宋体" w:hAnsi="宋体" w:eastAsia="宋体" w:cs="宋体"/>
          <w:color w:val="auto"/>
          <w:spacing w:val="-5"/>
          <w:sz w:val="24"/>
          <w:szCs w:val="24"/>
          <w:highlight w:val="none"/>
        </w:rPr>
        <w:t>）投标文件没有对招标文件的实质性要求和条件作出响应</w:t>
      </w:r>
      <w:r>
        <w:rPr>
          <w:rFonts w:hint="eastAsia" w:ascii="宋体" w:hAnsi="宋体" w:eastAsia="宋体" w:cs="宋体"/>
          <w:color w:val="auto"/>
          <w:spacing w:val="-3"/>
          <w:sz w:val="24"/>
          <w:szCs w:val="24"/>
          <w:highlight w:val="none"/>
        </w:rPr>
        <w:t>；</w:t>
      </w:r>
    </w:p>
    <w:p w14:paraId="761565DA">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rPr>
        <w:t>2</w:t>
      </w:r>
      <w:r>
        <w:rPr>
          <w:rFonts w:hint="eastAsia" w:ascii="宋体" w:hAnsi="宋体" w:eastAsia="宋体" w:cs="宋体"/>
          <w:color w:val="auto"/>
          <w:spacing w:val="-3"/>
          <w:sz w:val="24"/>
          <w:szCs w:val="24"/>
          <w:highlight w:val="none"/>
        </w:rPr>
        <w:t>）有串通投标、弄虚作假、行贿等违法行为</w:t>
      </w:r>
      <w:r>
        <w:rPr>
          <w:rFonts w:hint="eastAsia" w:ascii="宋体" w:hAnsi="宋体" w:eastAsia="宋体" w:cs="宋体"/>
          <w:color w:val="auto"/>
          <w:spacing w:val="-3"/>
          <w:sz w:val="24"/>
          <w:szCs w:val="24"/>
          <w:highlight w:val="none"/>
          <w:lang w:eastAsia="zh-CN"/>
        </w:rPr>
        <w:t>；</w:t>
      </w:r>
    </w:p>
    <w:p w14:paraId="69E351E0">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（3）不按评标委员会要求澄清、说明或补正的。</w:t>
      </w:r>
    </w:p>
    <w:p w14:paraId="36BBE7FE">
      <w:pPr>
        <w:pStyle w:val="4"/>
        <w:shd w:val="clear" w:color="auto" w:fill="auto"/>
        <w:tabs>
          <w:tab w:val="left" w:pos="1027"/>
        </w:tabs>
        <w:spacing w:line="360" w:lineRule="auto"/>
        <w:ind w:left="537" w:firstLine="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3.2详细评审。</w:t>
      </w:r>
    </w:p>
    <w:p w14:paraId="5A2802B3">
      <w:pPr>
        <w:shd w:val="clear" w:color="auto" w:fill="auto"/>
        <w:spacing w:line="360" w:lineRule="auto"/>
        <w:ind w:left="403" w:firstLine="42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3.2.1评标委员会按本章第2.2款规定的量化因素和分值进行打分，并计算出商务及技术评估得分。</w:t>
      </w:r>
    </w:p>
    <w:p w14:paraId="08DEB280">
      <w:pPr>
        <w:pStyle w:val="40"/>
        <w:shd w:val="clear" w:color="auto" w:fill="auto"/>
        <w:tabs>
          <w:tab w:val="left" w:pos="1350"/>
        </w:tabs>
        <w:spacing w:line="360" w:lineRule="auto"/>
        <w:ind w:left="820" w:right="0" w:rightChars="0" w:firstLine="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（1）按本章第2.2.4（2）目规定的评审因素和分值对技术部分评审，各评分因素细分项中取消一个最高、一个最低分后计算算术平均值的和为投标人的最终技术得分A；</w:t>
      </w:r>
    </w:p>
    <w:p w14:paraId="45EBE0BE">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（2）按本章第2.2.4（1）目规定的评审因素和分值对商务评审计算出得分B；</w:t>
      </w:r>
    </w:p>
    <w:p w14:paraId="7F506DAC">
      <w:pPr>
        <w:shd w:val="clear" w:color="auto" w:fill="auto"/>
        <w:spacing w:line="360" w:lineRule="auto"/>
        <w:ind w:left="403" w:firstLine="42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3.2.2评分分值计算保留小数点后两位，小数点后第三位“四舍五入”。</w:t>
      </w:r>
    </w:p>
    <w:p w14:paraId="6C67214E">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3.2.3投标人的商务及技术评估得分=A+B。</w:t>
      </w:r>
    </w:p>
    <w:p w14:paraId="4F134771">
      <w:pPr>
        <w:shd w:val="clear" w:color="auto" w:fill="auto"/>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w:t>
      </w:r>
      <w:r>
        <w:rPr>
          <w:rFonts w:hint="eastAsia" w:ascii="宋体" w:hAnsi="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w:t>
      </w:r>
      <w:r>
        <w:rPr>
          <w:rFonts w:hint="eastAsia" w:ascii="宋体" w:hAnsi="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根据修正完毕的各投标人报价按本章第2.2.4（3）目规定的评审因素和分值对报价计算出得分C；</w:t>
      </w:r>
    </w:p>
    <w:p w14:paraId="03B2064A">
      <w:pPr>
        <w:pStyle w:val="40"/>
        <w:shd w:val="clear" w:color="auto" w:fill="auto"/>
        <w:tabs>
          <w:tab w:val="left" w:pos="1350"/>
        </w:tabs>
        <w:spacing w:line="360" w:lineRule="auto"/>
        <w:ind w:left="820" w:right="691"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w:t>
      </w:r>
      <w:r>
        <w:rPr>
          <w:rFonts w:hint="eastAsia"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w:t>
      </w:r>
      <w:r>
        <w:rPr>
          <w:rFonts w:hint="eastAsia" w:cs="宋体"/>
          <w:color w:val="auto"/>
          <w:spacing w:val="-3"/>
          <w:sz w:val="24"/>
          <w:szCs w:val="24"/>
          <w:highlight w:val="none"/>
          <w:lang w:val="en-US" w:eastAsia="zh-CN"/>
        </w:rPr>
        <w:t>5</w:t>
      </w:r>
      <w:r>
        <w:rPr>
          <w:rFonts w:hint="eastAsia" w:ascii="宋体" w:hAnsi="宋体" w:eastAsia="宋体" w:cs="宋体"/>
          <w:color w:val="auto"/>
          <w:spacing w:val="-3"/>
          <w:sz w:val="24"/>
          <w:szCs w:val="24"/>
          <w:highlight w:val="none"/>
        </w:rPr>
        <w:t>评分分值计算保留小数点后两位，小数点后第三位“四舍五入”。</w:t>
      </w:r>
    </w:p>
    <w:p w14:paraId="73EDB9C2">
      <w:pPr>
        <w:pStyle w:val="4"/>
        <w:shd w:val="clear" w:color="auto" w:fill="auto"/>
        <w:tabs>
          <w:tab w:val="left" w:pos="1027"/>
        </w:tabs>
        <w:spacing w:line="360" w:lineRule="auto"/>
        <w:ind w:left="537" w:firstLine="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3.5综合得分计算：</w:t>
      </w:r>
    </w:p>
    <w:p w14:paraId="41DF4F65">
      <w:pPr>
        <w:shd w:val="clear" w:color="auto" w:fill="auto"/>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评标委员会对投标文件进行评审及综合评分，并推荐中标候选人。</w:t>
      </w:r>
    </w:p>
    <w:p w14:paraId="59C0EB64">
      <w:pPr>
        <w:shd w:val="clear" w:color="auto" w:fill="auto"/>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3.5.1投标人的综合评估得分=A+B+C。</w:t>
      </w:r>
    </w:p>
    <w:p w14:paraId="69D19A06">
      <w:pPr>
        <w:shd w:val="clear" w:color="auto" w:fill="auto"/>
        <w:spacing w:line="360" w:lineRule="auto"/>
        <w:ind w:left="403" w:firstLine="42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3.5.2评分分值计算保留小数点后两位，小数点后第三位“四舍五入”。</w:t>
      </w:r>
    </w:p>
    <w:p w14:paraId="477E867D">
      <w:pPr>
        <w:pStyle w:val="4"/>
        <w:shd w:val="clear" w:color="auto" w:fill="auto"/>
        <w:tabs>
          <w:tab w:val="left" w:pos="1027"/>
        </w:tabs>
        <w:spacing w:line="360" w:lineRule="auto"/>
        <w:ind w:left="537" w:firstLine="0"/>
        <w:rPr>
          <w:rFonts w:hint="eastAsia" w:ascii="宋体" w:hAnsi="宋体" w:eastAsia="宋体" w:cs="宋体"/>
          <w:b/>
          <w:bCs/>
          <w:color w:val="auto"/>
          <w:highlight w:val="none"/>
        </w:rPr>
      </w:pPr>
      <w:bookmarkStart w:id="77" w:name="_bookmark90"/>
      <w:bookmarkEnd w:id="77"/>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 xml:space="preserve"> 投标文件的澄清</w:t>
      </w:r>
    </w:p>
    <w:p w14:paraId="7F837ABA">
      <w:pPr>
        <w:pStyle w:val="40"/>
        <w:shd w:val="clear" w:color="auto" w:fill="auto"/>
        <w:tabs>
          <w:tab w:val="left" w:pos="1346"/>
        </w:tabs>
        <w:adjustRightInd w:val="0"/>
        <w:spacing w:line="360" w:lineRule="auto"/>
        <w:ind w:left="420" w:leftChars="200" w:firstLine="497" w:firstLineChars="220"/>
        <w:rPr>
          <w:rFonts w:hint="eastAsia" w:ascii="宋体" w:hAnsi="宋体" w:eastAsia="宋体" w:cs="宋体"/>
          <w:color w:val="auto"/>
          <w:spacing w:val="-7"/>
          <w:sz w:val="24"/>
          <w:szCs w:val="24"/>
          <w:highlight w:val="none"/>
          <w:lang w:val="en-US"/>
        </w:rPr>
      </w:pPr>
      <w:r>
        <w:rPr>
          <w:rFonts w:hint="eastAsia" w:ascii="宋体" w:hAnsi="宋体" w:eastAsia="宋体" w:cs="宋体"/>
          <w:color w:val="auto"/>
          <w:spacing w:val="-7"/>
          <w:sz w:val="24"/>
          <w:szCs w:val="24"/>
          <w:highlight w:val="none"/>
          <w:lang w:val="en-US"/>
        </w:rPr>
        <w:t>3.</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val="en-US"/>
        </w:rPr>
        <w:t>.1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6B5CBB3">
      <w:pPr>
        <w:pStyle w:val="40"/>
        <w:shd w:val="clear" w:color="auto" w:fill="auto"/>
        <w:tabs>
          <w:tab w:val="left" w:pos="1346"/>
        </w:tabs>
        <w:adjustRightInd w:val="0"/>
        <w:spacing w:line="360" w:lineRule="auto"/>
        <w:ind w:left="420" w:leftChars="200" w:firstLine="497" w:firstLineChars="220"/>
        <w:rPr>
          <w:rFonts w:hint="eastAsia" w:ascii="宋体" w:hAnsi="宋体" w:eastAsia="宋体" w:cs="宋体"/>
          <w:color w:val="auto"/>
          <w:spacing w:val="-7"/>
          <w:sz w:val="24"/>
          <w:szCs w:val="24"/>
          <w:highlight w:val="none"/>
          <w:lang w:val="en-US"/>
        </w:rPr>
      </w:pPr>
      <w:r>
        <w:rPr>
          <w:rFonts w:hint="eastAsia" w:ascii="宋体" w:hAnsi="宋体" w:eastAsia="宋体" w:cs="宋体"/>
          <w:color w:val="auto"/>
          <w:spacing w:val="-7"/>
          <w:sz w:val="24"/>
          <w:szCs w:val="24"/>
          <w:highlight w:val="none"/>
          <w:lang w:val="en-US"/>
        </w:rPr>
        <w:t>3.</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val="en-US"/>
        </w:rPr>
        <w:t>.2 澄清、说明或补正不得超出投标文件的范围且不得改变投标文件的实质性内容，并构成投标文件的组成部分。</w:t>
      </w:r>
    </w:p>
    <w:p w14:paraId="5BAD66DF">
      <w:pPr>
        <w:pStyle w:val="40"/>
        <w:shd w:val="clear" w:color="auto" w:fill="auto"/>
        <w:tabs>
          <w:tab w:val="left" w:pos="1346"/>
        </w:tabs>
        <w:adjustRightInd w:val="0"/>
        <w:spacing w:line="360" w:lineRule="auto"/>
        <w:ind w:left="420" w:leftChars="200" w:firstLine="497" w:firstLineChars="220"/>
        <w:rPr>
          <w:rFonts w:hint="eastAsia" w:ascii="宋体" w:hAnsi="宋体" w:eastAsia="宋体" w:cs="宋体"/>
          <w:color w:val="auto"/>
          <w:spacing w:val="-7"/>
          <w:sz w:val="24"/>
          <w:szCs w:val="24"/>
          <w:highlight w:val="none"/>
          <w:lang w:val="en-US"/>
        </w:rPr>
      </w:pPr>
      <w:r>
        <w:rPr>
          <w:rFonts w:hint="eastAsia" w:ascii="宋体" w:hAnsi="宋体" w:eastAsia="宋体" w:cs="宋体"/>
          <w:color w:val="auto"/>
          <w:spacing w:val="-7"/>
          <w:sz w:val="24"/>
          <w:szCs w:val="24"/>
          <w:highlight w:val="none"/>
          <w:lang w:val="en-US"/>
        </w:rPr>
        <w:t>3.</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val="en-US"/>
        </w:rPr>
        <w:t>.3 评标委员会对投标人提交的澄清、说明或补正有疑问的，可以要求投标人进一步澄清、说明或补正，直至满足评标委员会的要求。</w:t>
      </w:r>
    </w:p>
    <w:p w14:paraId="64A77443">
      <w:pPr>
        <w:pStyle w:val="4"/>
        <w:shd w:val="clear" w:color="auto" w:fill="auto"/>
        <w:tabs>
          <w:tab w:val="left" w:pos="1027"/>
        </w:tabs>
        <w:spacing w:line="360" w:lineRule="auto"/>
        <w:ind w:left="537" w:firstLine="0"/>
        <w:rPr>
          <w:rFonts w:hint="eastAsia" w:ascii="宋体" w:hAnsi="宋体" w:eastAsia="宋体" w:cs="宋体"/>
          <w:b/>
          <w:bCs/>
          <w:color w:val="auto"/>
          <w:highlight w:val="none"/>
        </w:rPr>
      </w:pPr>
      <w:bookmarkStart w:id="78" w:name="_bookmark91"/>
      <w:bookmarkEnd w:id="78"/>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 xml:space="preserve"> 评标结果</w:t>
      </w:r>
    </w:p>
    <w:p w14:paraId="1FEDFC79">
      <w:pPr>
        <w:pStyle w:val="40"/>
        <w:shd w:val="clear" w:color="auto" w:fill="auto"/>
        <w:tabs>
          <w:tab w:val="left" w:pos="1346"/>
        </w:tabs>
        <w:adjustRightInd w:val="0"/>
        <w:spacing w:line="360" w:lineRule="auto"/>
        <w:ind w:left="440" w:firstLine="446" w:firstLineChars="1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rPr>
        <w:t>3.</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lang w:val="en-US"/>
        </w:rPr>
        <w:t xml:space="preserve">.1 </w:t>
      </w:r>
      <w:r>
        <w:rPr>
          <w:rFonts w:hint="eastAsia" w:ascii="宋体" w:hAnsi="宋体" w:eastAsia="宋体" w:cs="宋体"/>
          <w:color w:val="auto"/>
          <w:spacing w:val="-2"/>
          <w:sz w:val="24"/>
          <w:szCs w:val="24"/>
          <w:highlight w:val="none"/>
        </w:rPr>
        <w:t>除第二章</w:t>
      </w:r>
      <w:r>
        <w:rPr>
          <w:rFonts w:hint="eastAsia" w:ascii="宋体" w:hAnsi="宋体" w:eastAsia="宋体" w:cs="宋体"/>
          <w:i/>
          <w:color w:val="auto"/>
          <w:spacing w:val="-3"/>
          <w:sz w:val="24"/>
          <w:szCs w:val="24"/>
          <w:highlight w:val="none"/>
        </w:rPr>
        <w:t>“</w:t>
      </w:r>
      <w:r>
        <w:rPr>
          <w:rFonts w:hint="eastAsia" w:ascii="宋体" w:hAnsi="宋体" w:eastAsia="宋体" w:cs="宋体"/>
          <w:color w:val="auto"/>
          <w:spacing w:val="-3"/>
          <w:sz w:val="24"/>
          <w:szCs w:val="24"/>
          <w:highlight w:val="none"/>
        </w:rPr>
        <w:t>投标人须知</w:t>
      </w:r>
      <w:r>
        <w:rPr>
          <w:rFonts w:hint="eastAsia" w:ascii="宋体" w:hAnsi="宋体" w:eastAsia="宋体" w:cs="宋体"/>
          <w:i/>
          <w:color w:val="auto"/>
          <w:sz w:val="24"/>
          <w:szCs w:val="24"/>
          <w:highlight w:val="none"/>
        </w:rPr>
        <w:t>”</w:t>
      </w:r>
      <w:r>
        <w:rPr>
          <w:rFonts w:hint="eastAsia" w:ascii="宋体" w:hAnsi="宋体" w:eastAsia="宋体" w:cs="宋体"/>
          <w:color w:val="auto"/>
          <w:spacing w:val="-7"/>
          <w:sz w:val="24"/>
          <w:szCs w:val="24"/>
          <w:highlight w:val="none"/>
        </w:rPr>
        <w:t>前附表授权直接确定中标人外，评标委员会按照得分由高到低</w:t>
      </w:r>
      <w:r>
        <w:rPr>
          <w:rFonts w:hint="eastAsia" w:ascii="宋体" w:hAnsi="宋体" w:eastAsia="宋体" w:cs="宋体"/>
          <w:color w:val="auto"/>
          <w:spacing w:val="-5"/>
          <w:sz w:val="24"/>
          <w:szCs w:val="24"/>
          <w:highlight w:val="none"/>
        </w:rPr>
        <w:t>的顺序推荐中标候选人，并标明排序。</w:t>
      </w:r>
    </w:p>
    <w:p w14:paraId="543681EE">
      <w:pPr>
        <w:pStyle w:val="40"/>
        <w:shd w:val="clear" w:color="auto" w:fill="auto"/>
        <w:tabs>
          <w:tab w:val="left" w:pos="1346"/>
        </w:tabs>
        <w:adjustRightInd w:val="0"/>
        <w:spacing w:line="360" w:lineRule="auto"/>
        <w:ind w:left="820" w:firstLine="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rPr>
        <w:t>3.</w:t>
      </w:r>
      <w:r>
        <w:rPr>
          <w:rFonts w:hint="eastAsia" w:ascii="宋体" w:hAnsi="宋体" w:eastAsia="宋体" w:cs="宋体"/>
          <w:color w:val="auto"/>
          <w:spacing w:val="-3"/>
          <w:sz w:val="24"/>
          <w:szCs w:val="24"/>
          <w:highlight w:val="none"/>
          <w:lang w:val="en-US" w:eastAsia="zh-CN"/>
        </w:rPr>
        <w:t>7</w:t>
      </w:r>
      <w:r>
        <w:rPr>
          <w:rFonts w:hint="eastAsia" w:ascii="宋体" w:hAnsi="宋体" w:eastAsia="宋体" w:cs="宋体"/>
          <w:color w:val="auto"/>
          <w:spacing w:val="-3"/>
          <w:sz w:val="24"/>
          <w:szCs w:val="24"/>
          <w:highlight w:val="none"/>
          <w:lang w:val="en-US"/>
        </w:rPr>
        <w:t xml:space="preserve">.2 </w:t>
      </w:r>
      <w:r>
        <w:rPr>
          <w:rFonts w:hint="eastAsia" w:ascii="宋体" w:hAnsi="宋体" w:eastAsia="宋体" w:cs="宋体"/>
          <w:color w:val="auto"/>
          <w:spacing w:val="-3"/>
          <w:sz w:val="24"/>
          <w:szCs w:val="24"/>
          <w:highlight w:val="none"/>
        </w:rPr>
        <w:t>评标委员会完成评标后，应当向招标人提交书面评标报告和中标候选人名单。</w:t>
      </w:r>
    </w:p>
    <w:p w14:paraId="7EE9113B">
      <w:pPr>
        <w:pStyle w:val="40"/>
        <w:shd w:val="clear" w:color="auto" w:fill="auto"/>
        <w:tabs>
          <w:tab w:val="left" w:pos="1346"/>
        </w:tabs>
        <w:adjustRightInd w:val="0"/>
        <w:snapToGrid w:val="0"/>
        <w:spacing w:line="360" w:lineRule="auto"/>
        <w:ind w:left="440" w:firstLine="448" w:firstLineChars="189"/>
        <w:rPr>
          <w:rFonts w:hint="eastAsia" w:ascii="宋体" w:hAnsi="宋体" w:eastAsia="宋体" w:cs="宋体"/>
          <w:b/>
          <w:bCs/>
          <w:color w:val="auto"/>
          <w:spacing w:val="-2"/>
          <w:sz w:val="24"/>
          <w:szCs w:val="24"/>
          <w:highlight w:val="none"/>
          <w:u w:val="single"/>
        </w:rPr>
      </w:pPr>
      <w:r>
        <w:rPr>
          <w:rFonts w:hint="eastAsia" w:ascii="宋体" w:hAnsi="宋体" w:eastAsia="宋体" w:cs="宋体"/>
          <w:b/>
          <w:bCs/>
          <w:color w:val="auto"/>
          <w:spacing w:val="-2"/>
          <w:sz w:val="24"/>
          <w:szCs w:val="24"/>
          <w:highlight w:val="none"/>
          <w:u w:val="single"/>
          <w:lang w:val="en-US"/>
        </w:rPr>
        <w:t>3.</w:t>
      </w:r>
      <w:r>
        <w:rPr>
          <w:rFonts w:hint="eastAsia" w:ascii="宋体" w:hAnsi="宋体" w:eastAsia="宋体" w:cs="宋体"/>
          <w:b/>
          <w:bCs/>
          <w:color w:val="auto"/>
          <w:spacing w:val="-2"/>
          <w:sz w:val="24"/>
          <w:szCs w:val="24"/>
          <w:highlight w:val="none"/>
          <w:u w:val="single"/>
          <w:lang w:val="en-US" w:eastAsia="zh-CN"/>
        </w:rPr>
        <w:t>7</w:t>
      </w:r>
      <w:r>
        <w:rPr>
          <w:rFonts w:hint="eastAsia" w:ascii="宋体" w:hAnsi="宋体" w:eastAsia="宋体" w:cs="宋体"/>
          <w:b/>
          <w:bCs/>
          <w:color w:val="auto"/>
          <w:spacing w:val="-2"/>
          <w:sz w:val="24"/>
          <w:szCs w:val="24"/>
          <w:highlight w:val="none"/>
          <w:u w:val="single"/>
          <w:lang w:val="en-US"/>
        </w:rPr>
        <w:t>.3 递交投标文件少于3个的</w:t>
      </w:r>
      <w:r>
        <w:rPr>
          <w:rFonts w:hint="eastAsia" w:ascii="宋体" w:hAnsi="宋体" w:eastAsia="宋体" w:cs="宋体"/>
          <w:b/>
          <w:bCs/>
          <w:color w:val="auto"/>
          <w:spacing w:val="-2"/>
          <w:sz w:val="24"/>
          <w:szCs w:val="24"/>
          <w:highlight w:val="none"/>
          <w:u w:val="single"/>
        </w:rPr>
        <w:t>则采购失败，招标人</w:t>
      </w:r>
      <w:r>
        <w:rPr>
          <w:rFonts w:hint="eastAsia" w:ascii="宋体" w:hAnsi="宋体" w:eastAsia="宋体" w:cs="宋体"/>
          <w:b/>
          <w:bCs/>
          <w:color w:val="auto"/>
          <w:spacing w:val="-2"/>
          <w:sz w:val="24"/>
          <w:szCs w:val="24"/>
          <w:highlight w:val="none"/>
          <w:u w:val="single"/>
          <w:lang w:val="en-US"/>
        </w:rPr>
        <w:t>可</w:t>
      </w:r>
      <w:r>
        <w:rPr>
          <w:rFonts w:hint="eastAsia" w:ascii="宋体" w:hAnsi="宋体" w:eastAsia="宋体" w:cs="宋体"/>
          <w:b/>
          <w:bCs/>
          <w:color w:val="auto"/>
          <w:spacing w:val="-2"/>
          <w:sz w:val="24"/>
          <w:szCs w:val="24"/>
          <w:highlight w:val="none"/>
          <w:u w:val="single"/>
        </w:rPr>
        <w:t>重新组织招标</w:t>
      </w:r>
      <w:r>
        <w:rPr>
          <w:rFonts w:hint="eastAsia" w:cs="宋体"/>
          <w:b/>
          <w:bCs/>
          <w:color w:val="auto"/>
          <w:spacing w:val="-2"/>
          <w:sz w:val="24"/>
          <w:szCs w:val="24"/>
          <w:highlight w:val="none"/>
          <w:u w:val="single"/>
          <w:lang w:val="en-US" w:eastAsia="zh-CN"/>
        </w:rPr>
        <w:t>或采用其他方式采购</w:t>
      </w:r>
      <w:r>
        <w:rPr>
          <w:rFonts w:hint="eastAsia" w:ascii="宋体" w:hAnsi="宋体" w:eastAsia="宋体" w:cs="宋体"/>
          <w:b/>
          <w:bCs/>
          <w:color w:val="auto"/>
          <w:spacing w:val="-2"/>
          <w:sz w:val="24"/>
          <w:szCs w:val="24"/>
          <w:highlight w:val="none"/>
          <w:u w:val="single"/>
        </w:rPr>
        <w:t>。</w:t>
      </w:r>
    </w:p>
    <w:p w14:paraId="59970A1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EB0FAA">
      <w:pPr>
        <w:pStyle w:val="27"/>
        <w:shd w:val="clear" w:color="auto" w:fill="auto"/>
        <w:ind w:firstLine="0" w:firstLineChars="0"/>
        <w:rPr>
          <w:rFonts w:hint="eastAsia" w:ascii="宋体" w:hAnsi="宋体" w:eastAsia="宋体" w:cs="宋体"/>
          <w:color w:val="auto"/>
          <w:highlight w:val="none"/>
        </w:rPr>
      </w:pPr>
    </w:p>
    <w:p w14:paraId="2091A3B1">
      <w:pPr>
        <w:pStyle w:val="27"/>
        <w:shd w:val="clear" w:color="auto" w:fill="auto"/>
        <w:ind w:firstLine="0" w:firstLineChars="0"/>
        <w:rPr>
          <w:rFonts w:hint="eastAsia" w:ascii="宋体" w:hAnsi="宋体" w:eastAsia="宋体" w:cs="宋体"/>
          <w:color w:val="auto"/>
          <w:highlight w:val="none"/>
        </w:rPr>
      </w:pPr>
    </w:p>
    <w:p w14:paraId="7BF9A253">
      <w:pPr>
        <w:pStyle w:val="2"/>
        <w:shd w:val="clear" w:color="auto" w:fill="auto"/>
        <w:jc w:val="center"/>
        <w:rPr>
          <w:rFonts w:hint="eastAsia" w:ascii="宋体" w:hAnsi="宋体" w:eastAsia="宋体" w:cs="宋体"/>
          <w:color w:val="auto"/>
          <w:highlight w:val="none"/>
        </w:rPr>
      </w:pPr>
      <w:bookmarkStart w:id="79" w:name="_Toc257"/>
      <w:bookmarkStart w:id="80" w:name="_Toc1516"/>
      <w:r>
        <w:rPr>
          <w:rFonts w:hint="eastAsia" w:ascii="宋体" w:hAnsi="宋体" w:eastAsia="宋体" w:cs="宋体"/>
          <w:color w:val="auto"/>
          <w:highlight w:val="none"/>
        </w:rPr>
        <w:t>第四章合同条款及格式</w:t>
      </w:r>
      <w:bookmarkEnd w:id="79"/>
      <w:bookmarkEnd w:id="80"/>
    </w:p>
    <w:p w14:paraId="261EBD6F">
      <w:pPr>
        <w:pStyle w:val="41"/>
        <w:shd w:val="clear" w:color="auto" w:fill="auto"/>
        <w:rPr>
          <w:rFonts w:hint="eastAsia" w:ascii="宋体" w:hAnsi="宋体" w:eastAsia="宋体" w:cs="宋体"/>
          <w:b/>
          <w:snapToGrid w:val="0"/>
          <w:color w:val="auto"/>
          <w:sz w:val="28"/>
          <w:szCs w:val="28"/>
          <w:highlight w:val="none"/>
        </w:rPr>
      </w:pPr>
    </w:p>
    <w:p w14:paraId="64F2FB0B">
      <w:pPr>
        <w:pStyle w:val="41"/>
        <w:shd w:val="clear" w:color="auto" w:fill="auto"/>
        <w:rPr>
          <w:rFonts w:hint="eastAsia" w:ascii="宋体" w:hAnsi="宋体" w:eastAsia="宋体" w:cs="宋体"/>
          <w:b/>
          <w:snapToGrid w:val="0"/>
          <w:color w:val="auto"/>
          <w:sz w:val="28"/>
          <w:szCs w:val="28"/>
          <w:highlight w:val="none"/>
        </w:rPr>
      </w:pPr>
    </w:p>
    <w:p w14:paraId="115C91F2">
      <w:pPr>
        <w:pStyle w:val="41"/>
        <w:shd w:val="clear" w:color="auto" w:fill="auto"/>
        <w:rPr>
          <w:rFonts w:hint="eastAsia" w:ascii="宋体" w:hAnsi="宋体" w:eastAsia="宋体" w:cs="宋体"/>
          <w:b/>
          <w:snapToGrid w:val="0"/>
          <w:color w:val="auto"/>
          <w:sz w:val="28"/>
          <w:szCs w:val="28"/>
          <w:highlight w:val="none"/>
        </w:rPr>
      </w:pPr>
    </w:p>
    <w:p w14:paraId="01BC970A">
      <w:pPr>
        <w:pStyle w:val="41"/>
        <w:shd w:val="clear" w:color="auto" w:fill="auto"/>
        <w:rPr>
          <w:rFonts w:hint="eastAsia" w:ascii="宋体" w:hAnsi="宋体" w:eastAsia="宋体" w:cs="宋体"/>
          <w:b/>
          <w:snapToGrid w:val="0"/>
          <w:color w:val="auto"/>
          <w:sz w:val="28"/>
          <w:szCs w:val="28"/>
          <w:highlight w:val="none"/>
        </w:rPr>
      </w:pPr>
    </w:p>
    <w:p w14:paraId="35774390">
      <w:pPr>
        <w:tabs>
          <w:tab w:val="left" w:pos="1605"/>
          <w:tab w:val="center" w:pos="4819"/>
        </w:tabs>
        <w:adjustRightInd w:val="0"/>
        <w:snapToGrid w:val="0"/>
        <w:spacing w:line="360" w:lineRule="auto"/>
        <w:jc w:val="center"/>
        <w:rPr>
          <w:rFonts w:hint="eastAsia" w:asciiTheme="majorEastAsia" w:hAnsiTheme="majorEastAsia" w:eastAsiaTheme="majorEastAsia" w:cstheme="majorEastAsia"/>
          <w:b/>
          <w:bCs/>
          <w:color w:val="auto"/>
          <w:sz w:val="52"/>
          <w:szCs w:val="52"/>
          <w:highlight w:val="none"/>
          <w:u w:val="single"/>
          <w:lang w:eastAsia="zh-CN"/>
        </w:rPr>
      </w:pPr>
      <w:r>
        <w:rPr>
          <w:rFonts w:hint="eastAsia" w:asciiTheme="majorEastAsia" w:hAnsiTheme="majorEastAsia" w:eastAsiaTheme="majorEastAsia" w:cstheme="majorEastAsia"/>
          <w:b/>
          <w:bCs/>
          <w:color w:val="auto"/>
          <w:sz w:val="52"/>
          <w:szCs w:val="52"/>
          <w:highlight w:val="none"/>
          <w:u w:val="single"/>
          <w:lang w:eastAsia="zh-CN"/>
        </w:rPr>
        <w:t>肇庆市港口投资发展有限公司德庆九市作业区可拆装式砂石装船设备项目2号泊位装船服务</w:t>
      </w:r>
    </w:p>
    <w:p w14:paraId="324AC4D8">
      <w:pPr>
        <w:tabs>
          <w:tab w:val="left" w:pos="1605"/>
          <w:tab w:val="center" w:pos="4819"/>
        </w:tabs>
        <w:adjustRightInd w:val="0"/>
        <w:snapToGrid w:val="0"/>
        <w:spacing w:line="360" w:lineRule="auto"/>
        <w:jc w:val="center"/>
        <w:rPr>
          <w:rFonts w:hint="eastAsia" w:asciiTheme="majorEastAsia" w:hAnsiTheme="majorEastAsia" w:eastAsiaTheme="majorEastAsia" w:cstheme="majorEastAsia"/>
          <w:b/>
          <w:bCs/>
          <w:color w:val="auto"/>
          <w:sz w:val="36"/>
          <w:szCs w:val="36"/>
          <w:highlight w:val="none"/>
          <w:u w:val="single"/>
        </w:rPr>
      </w:pPr>
      <w:r>
        <w:rPr>
          <w:rFonts w:hint="eastAsia" w:asciiTheme="majorEastAsia" w:hAnsiTheme="majorEastAsia" w:eastAsiaTheme="majorEastAsia" w:cstheme="majorEastAsia"/>
          <w:b/>
          <w:bCs/>
          <w:color w:val="auto"/>
          <w:sz w:val="52"/>
          <w:szCs w:val="52"/>
          <w:highlight w:val="none"/>
        </w:rPr>
        <w:t>委托合同</w:t>
      </w:r>
    </w:p>
    <w:p w14:paraId="47CA36AA">
      <w:pPr>
        <w:tabs>
          <w:tab w:val="left" w:pos="1605"/>
          <w:tab w:val="center" w:pos="4819"/>
        </w:tabs>
        <w:adjustRightInd w:val="0"/>
        <w:snapToGrid w:val="0"/>
        <w:spacing w:line="360" w:lineRule="auto"/>
        <w:jc w:val="center"/>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u w:val="single"/>
        </w:rPr>
        <w:t>（此合同条款仅供参考，合同具体细则最终以甲、乙双方协定为准，但不得对招标文件、投标文件作实质性修改）</w:t>
      </w:r>
    </w:p>
    <w:p w14:paraId="08AB0D09">
      <w:pPr>
        <w:tabs>
          <w:tab w:val="left" w:pos="1605"/>
          <w:tab w:val="center" w:pos="4819"/>
        </w:tabs>
        <w:adjustRightInd w:val="0"/>
        <w:snapToGrid w:val="0"/>
        <w:spacing w:line="360" w:lineRule="auto"/>
        <w:rPr>
          <w:rFonts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rPr>
        <w:t>甲方：</w:t>
      </w:r>
      <w:r>
        <w:rPr>
          <w:rFonts w:hint="eastAsia" w:ascii="仿宋" w:hAnsi="仿宋" w:eastAsia="仿宋" w:cs="仿宋"/>
          <w:b/>
          <w:bCs/>
          <w:color w:val="auto"/>
          <w:sz w:val="32"/>
          <w:szCs w:val="32"/>
          <w:highlight w:val="none"/>
          <w:u w:val="single"/>
        </w:rPr>
        <w:t xml:space="preserve">                        </w:t>
      </w:r>
    </w:p>
    <w:p w14:paraId="0312BE80">
      <w:pPr>
        <w:tabs>
          <w:tab w:val="left" w:pos="1605"/>
          <w:tab w:val="center" w:pos="4819"/>
        </w:tabs>
        <w:adjustRightInd w:val="0"/>
        <w:snapToGrid w:val="0"/>
        <w:spacing w:line="360" w:lineRule="auto"/>
        <w:rPr>
          <w:rFonts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rPr>
        <w:t>乙方：</w:t>
      </w:r>
      <w:r>
        <w:rPr>
          <w:rFonts w:hint="eastAsia" w:ascii="仿宋" w:hAnsi="仿宋" w:eastAsia="仿宋" w:cs="仿宋"/>
          <w:b/>
          <w:bCs/>
          <w:color w:val="auto"/>
          <w:sz w:val="32"/>
          <w:szCs w:val="32"/>
          <w:highlight w:val="none"/>
          <w:u w:val="single"/>
        </w:rPr>
        <w:t xml:space="preserve">                        </w:t>
      </w:r>
    </w:p>
    <w:p w14:paraId="0116203E">
      <w:pPr>
        <w:tabs>
          <w:tab w:val="left" w:pos="1605"/>
          <w:tab w:val="center" w:pos="4819"/>
        </w:tabs>
        <w:adjustRightInd w:val="0"/>
        <w:snapToGrid w:val="0"/>
        <w:spacing w:line="360" w:lineRule="auto"/>
        <w:rPr>
          <w:rFonts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rPr>
        <w:t>合同编号：</w:t>
      </w:r>
      <w:r>
        <w:rPr>
          <w:rFonts w:hint="eastAsia" w:ascii="仿宋" w:hAnsi="仿宋" w:eastAsia="仿宋" w:cs="仿宋"/>
          <w:b/>
          <w:bCs/>
          <w:color w:val="auto"/>
          <w:sz w:val="32"/>
          <w:szCs w:val="32"/>
          <w:highlight w:val="none"/>
          <w:u w:val="single"/>
        </w:rPr>
        <w:t xml:space="preserve">                    </w:t>
      </w:r>
    </w:p>
    <w:p w14:paraId="7E1A0558">
      <w:pPr>
        <w:tabs>
          <w:tab w:val="left" w:pos="1605"/>
          <w:tab w:val="center" w:pos="4819"/>
        </w:tabs>
        <w:adjustRightInd w:val="0"/>
        <w:snapToGrid w:val="0"/>
        <w:spacing w:line="360" w:lineRule="auto"/>
        <w:rPr>
          <w:rFonts w:ascii="仿宋" w:hAnsi="仿宋" w:eastAsia="仿宋" w:cs="仿宋"/>
          <w:b/>
          <w:bCs/>
          <w:color w:val="auto"/>
          <w:sz w:val="32"/>
          <w:szCs w:val="32"/>
          <w:highlight w:val="none"/>
          <w:u w:val="single"/>
        </w:rPr>
      </w:pPr>
    </w:p>
    <w:p w14:paraId="1C97B066">
      <w:pPr>
        <w:tabs>
          <w:tab w:val="left" w:pos="1605"/>
          <w:tab w:val="center" w:pos="4819"/>
        </w:tabs>
        <w:adjustRightInd w:val="0"/>
        <w:snapToGrid w:val="0"/>
        <w:spacing w:line="360" w:lineRule="auto"/>
        <w:jc w:val="center"/>
        <w:rPr>
          <w:rFonts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月</w:t>
      </w:r>
    </w:p>
    <w:p w14:paraId="2D694920">
      <w:pPr>
        <w:tabs>
          <w:tab w:val="left" w:pos="1605"/>
          <w:tab w:val="center" w:pos="4819"/>
        </w:tabs>
        <w:adjustRightInd w:val="0"/>
        <w:snapToGrid w:val="0"/>
        <w:spacing w:line="360" w:lineRule="auto"/>
        <w:jc w:val="center"/>
        <w:rPr>
          <w:rFonts w:ascii="仿宋" w:hAnsi="仿宋" w:eastAsia="仿宋" w:cs="仿宋"/>
          <w:b/>
          <w:bCs/>
          <w:color w:val="auto"/>
          <w:sz w:val="32"/>
          <w:szCs w:val="32"/>
          <w:highlight w:val="none"/>
          <w:u w:val="single"/>
        </w:rPr>
        <w:sectPr>
          <w:headerReference r:id="rId9" w:type="default"/>
          <w:pgSz w:w="11906" w:h="16838"/>
          <w:pgMar w:top="1134" w:right="1797" w:bottom="1134"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99A14">
      <w:pPr>
        <w:tabs>
          <w:tab w:val="left" w:pos="1605"/>
          <w:tab w:val="center" w:pos="4819"/>
        </w:tabs>
        <w:adjustRightInd w:val="0"/>
        <w:snapToGrid w:val="0"/>
        <w:spacing w:line="360" w:lineRule="auto"/>
        <w:jc w:val="center"/>
        <w:rPr>
          <w:rFonts w:hint="eastAsia" w:ascii="宋体" w:hAnsi="宋体" w:eastAsia="宋体" w:cs="宋体"/>
          <w:b/>
          <w:bCs/>
          <w:color w:val="auto"/>
          <w:sz w:val="36"/>
          <w:szCs w:val="36"/>
          <w:highlight w:val="none"/>
          <w:u w:val="single"/>
          <w:lang w:eastAsia="zh-CN"/>
        </w:rPr>
      </w:pPr>
      <w:r>
        <w:rPr>
          <w:rFonts w:hint="eastAsia" w:ascii="宋体" w:hAnsi="宋体" w:eastAsia="宋体" w:cs="宋体"/>
          <w:b/>
          <w:bCs/>
          <w:color w:val="auto"/>
          <w:sz w:val="36"/>
          <w:szCs w:val="36"/>
          <w:highlight w:val="none"/>
          <w:u w:val="single"/>
          <w:lang w:eastAsia="zh-CN"/>
        </w:rPr>
        <w:t>肇庆市港口投资发展有限公司德庆九市作业区可拆装式砂石装船设备项目2号泊位装船服务</w:t>
      </w:r>
    </w:p>
    <w:p w14:paraId="2193902F">
      <w:pPr>
        <w:tabs>
          <w:tab w:val="left" w:pos="1605"/>
          <w:tab w:val="center" w:pos="4819"/>
        </w:tabs>
        <w:adjustRightInd w:val="0"/>
        <w:snapToGrid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委托合同</w:t>
      </w:r>
    </w:p>
    <w:p w14:paraId="21B346BA">
      <w:pPr>
        <w:tabs>
          <w:tab w:val="left" w:pos="1080"/>
        </w:tabs>
        <w:wordWrap w:val="0"/>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2892B16">
      <w:pPr>
        <w:tabs>
          <w:tab w:val="left" w:pos="1080"/>
        </w:tabs>
        <w:adjustRightInd w:val="0"/>
        <w:snapToGrid w:val="0"/>
        <w:spacing w:line="360" w:lineRule="auto"/>
        <w:rPr>
          <w:rFonts w:hint="eastAsia" w:ascii="宋体" w:hAnsi="宋体" w:eastAsia="宋体" w:cs="宋体"/>
          <w:b/>
          <w:bCs/>
          <w:color w:val="auto"/>
          <w:kern w:val="24"/>
          <w:sz w:val="24"/>
          <w:szCs w:val="24"/>
          <w:highlight w:val="none"/>
          <w:u w:val="single"/>
          <w:shd w:val="pct10" w:color="auto" w:fill="FFFFFF"/>
        </w:rPr>
      </w:pPr>
      <w:bookmarkStart w:id="81" w:name="_Toc166559800"/>
      <w:r>
        <w:rPr>
          <w:rFonts w:hint="eastAsia" w:ascii="宋体" w:hAnsi="宋体" w:eastAsia="宋体" w:cs="宋体"/>
          <w:b/>
          <w:bCs/>
          <w:color w:val="auto"/>
          <w:kern w:val="24"/>
          <w:sz w:val="24"/>
          <w:szCs w:val="24"/>
          <w:highlight w:val="none"/>
        </w:rPr>
        <w:t>甲方（委托人）：</w:t>
      </w:r>
      <w:r>
        <w:rPr>
          <w:rFonts w:hint="eastAsia" w:ascii="宋体" w:hAnsi="宋体" w:eastAsia="宋体" w:cs="宋体"/>
          <w:b/>
          <w:bCs/>
          <w:color w:val="auto"/>
          <w:kern w:val="24"/>
          <w:sz w:val="24"/>
          <w:szCs w:val="24"/>
          <w:highlight w:val="none"/>
          <w:u w:val="single"/>
        </w:rPr>
        <w:t xml:space="preserve">                                            </w:t>
      </w:r>
    </w:p>
    <w:p w14:paraId="1126E266">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统一社会信用代码：</w:t>
      </w:r>
      <w:r>
        <w:rPr>
          <w:rFonts w:hint="eastAsia" w:ascii="宋体" w:hAnsi="宋体" w:eastAsia="宋体" w:cs="宋体"/>
          <w:b/>
          <w:bCs/>
          <w:color w:val="auto"/>
          <w:kern w:val="24"/>
          <w:sz w:val="24"/>
          <w:szCs w:val="24"/>
          <w:highlight w:val="none"/>
          <w:u w:val="single"/>
        </w:rPr>
        <w:t xml:space="preserve">                                          </w:t>
      </w:r>
    </w:p>
    <w:p w14:paraId="03897698">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法定代表人：</w:t>
      </w:r>
      <w:r>
        <w:rPr>
          <w:rFonts w:hint="eastAsia" w:ascii="宋体" w:hAnsi="宋体" w:eastAsia="宋体" w:cs="宋体"/>
          <w:b/>
          <w:bCs/>
          <w:color w:val="auto"/>
          <w:kern w:val="24"/>
          <w:sz w:val="24"/>
          <w:szCs w:val="24"/>
          <w:highlight w:val="none"/>
          <w:u w:val="single"/>
        </w:rPr>
        <w:t xml:space="preserve">                                                </w:t>
      </w:r>
    </w:p>
    <w:p w14:paraId="7D872C47">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联系地址：</w:t>
      </w:r>
      <w:r>
        <w:rPr>
          <w:rFonts w:hint="eastAsia" w:ascii="宋体" w:hAnsi="宋体" w:eastAsia="宋体" w:cs="宋体"/>
          <w:b/>
          <w:bCs/>
          <w:color w:val="auto"/>
          <w:kern w:val="24"/>
          <w:sz w:val="24"/>
          <w:szCs w:val="24"/>
          <w:highlight w:val="none"/>
          <w:u w:val="single"/>
        </w:rPr>
        <w:t xml:space="preserve">                                                  </w:t>
      </w:r>
    </w:p>
    <w:p w14:paraId="0D08E434">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p>
    <w:p w14:paraId="69276080">
      <w:pPr>
        <w:tabs>
          <w:tab w:val="left" w:pos="1080"/>
        </w:tabs>
        <w:adjustRightInd w:val="0"/>
        <w:snapToGrid w:val="0"/>
        <w:spacing w:line="360" w:lineRule="auto"/>
        <w:rPr>
          <w:rFonts w:hint="eastAsia" w:ascii="宋体" w:hAnsi="宋体" w:eastAsia="宋体" w:cs="宋体"/>
          <w:b/>
          <w:bCs/>
          <w:color w:val="auto"/>
          <w:kern w:val="24"/>
          <w:sz w:val="24"/>
          <w:szCs w:val="24"/>
          <w:highlight w:val="none"/>
          <w:u w:val="single"/>
        </w:rPr>
      </w:pPr>
      <w:r>
        <w:rPr>
          <w:rFonts w:hint="eastAsia" w:ascii="宋体" w:hAnsi="宋体" w:eastAsia="宋体" w:cs="宋体"/>
          <w:b/>
          <w:bCs/>
          <w:color w:val="auto"/>
          <w:kern w:val="24"/>
          <w:sz w:val="24"/>
          <w:szCs w:val="24"/>
          <w:highlight w:val="none"/>
        </w:rPr>
        <w:t>乙方（受托人）：</w:t>
      </w:r>
      <w:r>
        <w:rPr>
          <w:rFonts w:hint="eastAsia" w:ascii="宋体" w:hAnsi="宋体" w:eastAsia="宋体" w:cs="宋体"/>
          <w:b/>
          <w:bCs/>
          <w:color w:val="auto"/>
          <w:kern w:val="24"/>
          <w:sz w:val="24"/>
          <w:szCs w:val="24"/>
          <w:highlight w:val="none"/>
          <w:u w:val="single"/>
        </w:rPr>
        <w:t xml:space="preserve">                                            </w:t>
      </w:r>
    </w:p>
    <w:p w14:paraId="049D6986">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统一社会信用代码：</w:t>
      </w:r>
      <w:r>
        <w:rPr>
          <w:rFonts w:hint="eastAsia" w:ascii="宋体" w:hAnsi="宋体" w:eastAsia="宋体" w:cs="宋体"/>
          <w:b/>
          <w:bCs/>
          <w:color w:val="auto"/>
          <w:kern w:val="24"/>
          <w:sz w:val="24"/>
          <w:szCs w:val="24"/>
          <w:highlight w:val="none"/>
          <w:u w:val="single"/>
        </w:rPr>
        <w:t xml:space="preserve">                                          </w:t>
      </w:r>
    </w:p>
    <w:p w14:paraId="0F6B6B28">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法定代表人：</w:t>
      </w:r>
      <w:r>
        <w:rPr>
          <w:rFonts w:hint="eastAsia" w:ascii="宋体" w:hAnsi="宋体" w:eastAsia="宋体" w:cs="宋体"/>
          <w:b/>
          <w:bCs/>
          <w:color w:val="auto"/>
          <w:kern w:val="24"/>
          <w:sz w:val="24"/>
          <w:szCs w:val="24"/>
          <w:highlight w:val="none"/>
          <w:u w:val="single"/>
        </w:rPr>
        <w:t xml:space="preserve">                                                </w:t>
      </w:r>
    </w:p>
    <w:p w14:paraId="14A6EB9E">
      <w:pPr>
        <w:tabs>
          <w:tab w:val="left" w:pos="1080"/>
        </w:tabs>
        <w:adjustRightInd w:val="0"/>
        <w:snapToGrid w:val="0"/>
        <w:spacing w:line="360" w:lineRule="auto"/>
        <w:rPr>
          <w:rFonts w:hint="eastAsia" w:ascii="宋体" w:hAnsi="宋体" w:eastAsia="宋体" w:cs="宋体"/>
          <w:b/>
          <w:bCs/>
          <w:color w:val="auto"/>
          <w:kern w:val="24"/>
          <w:sz w:val="24"/>
          <w:szCs w:val="24"/>
          <w:highlight w:val="none"/>
        </w:rPr>
      </w:pPr>
      <w:r>
        <w:rPr>
          <w:rFonts w:hint="eastAsia" w:ascii="宋体" w:hAnsi="宋体" w:eastAsia="宋体" w:cs="宋体"/>
          <w:b/>
          <w:bCs/>
          <w:color w:val="auto"/>
          <w:kern w:val="24"/>
          <w:sz w:val="24"/>
          <w:szCs w:val="24"/>
          <w:highlight w:val="none"/>
        </w:rPr>
        <w:t>联系地址：</w:t>
      </w:r>
      <w:r>
        <w:rPr>
          <w:rFonts w:hint="eastAsia" w:ascii="宋体" w:hAnsi="宋体" w:eastAsia="宋体" w:cs="宋体"/>
          <w:b/>
          <w:bCs/>
          <w:color w:val="auto"/>
          <w:kern w:val="24"/>
          <w:sz w:val="24"/>
          <w:szCs w:val="24"/>
          <w:highlight w:val="none"/>
          <w:u w:val="single"/>
        </w:rPr>
        <w:t xml:space="preserve">                                                  </w:t>
      </w:r>
    </w:p>
    <w:p w14:paraId="61433384">
      <w:pPr>
        <w:adjustRightInd w:val="0"/>
        <w:snapToGrid w:val="0"/>
        <w:spacing w:line="360" w:lineRule="auto"/>
        <w:jc w:val="left"/>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　</w:t>
      </w:r>
      <w:r>
        <w:rPr>
          <w:rFonts w:hint="eastAsia" w:ascii="仿宋_GB2312" w:hAnsi="仿宋_GB2312" w:eastAsia="仿宋_GB2312" w:cs="仿宋_GB2312"/>
          <w:b/>
          <w:color w:val="auto"/>
          <w:sz w:val="24"/>
          <w:szCs w:val="24"/>
          <w:highlight w:val="none"/>
          <w:lang w:val="en-US" w:eastAsia="zh-CN"/>
        </w:rPr>
        <w:t xml:space="preserve"> </w:t>
      </w:r>
    </w:p>
    <w:p w14:paraId="7066F479">
      <w:pPr>
        <w:keepNext w:val="0"/>
        <w:keepLines w:val="0"/>
        <w:pageBreakBefore w:val="0"/>
        <w:kinsoku/>
        <w:wordWrap/>
        <w:overflowPunct/>
        <w:topLinePunct w:val="0"/>
        <w:bidi w:val="0"/>
        <w:adjustRightInd w:val="0"/>
        <w:snapToGrid w:val="0"/>
        <w:spacing w:line="360" w:lineRule="auto"/>
        <w:ind w:left="482"/>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第一条</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合同文件</w:t>
      </w:r>
    </w:p>
    <w:p w14:paraId="64CF94C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本合同所附下列文件是构成本合同不可分割的部分：</w:t>
      </w:r>
    </w:p>
    <w:p w14:paraId="51FFADEE">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本合同及各种合同附件（含评审期间和合同谈判过程的澄清文件和补充资料）；</w:t>
      </w:r>
    </w:p>
    <w:p w14:paraId="30397BF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w:t>
      </w:r>
    </w:p>
    <w:p w14:paraId="391FABE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w:t>
      </w:r>
    </w:p>
    <w:p w14:paraId="7991561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的更正公告、变更公告；</w:t>
      </w:r>
    </w:p>
    <w:p w14:paraId="1678B57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p>
    <w:p w14:paraId="4703CD39">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5.其它</w:t>
      </w:r>
      <w:r>
        <w:rPr>
          <w:rFonts w:hint="eastAsia" w:ascii="宋体" w:hAnsi="宋体" w:eastAsia="宋体" w:cs="宋体"/>
          <w:color w:val="auto"/>
          <w:sz w:val="24"/>
          <w:szCs w:val="24"/>
          <w:highlight w:val="none"/>
          <w:lang w:val="en-US" w:eastAsia="zh-CN"/>
        </w:rPr>
        <w:t>合同文件。</w:t>
      </w:r>
    </w:p>
    <w:p w14:paraId="0E06246A">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上述合同文件相互补充和解释。如果合同文件存在矛盾或不一致之处，</w:t>
      </w:r>
      <w:r>
        <w:rPr>
          <w:rFonts w:hint="eastAsia" w:ascii="宋体" w:hAnsi="宋体" w:eastAsia="宋体" w:cs="宋体"/>
          <w:bCs/>
          <w:color w:val="auto"/>
          <w:sz w:val="24"/>
          <w:szCs w:val="24"/>
          <w:highlight w:val="none"/>
        </w:rPr>
        <w:t>以孰利于甲方</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为准。</w:t>
      </w:r>
      <w:r>
        <w:rPr>
          <w:rFonts w:hint="eastAsia" w:ascii="仿宋_GB2312" w:hAnsi="仿宋_GB2312" w:eastAsia="仿宋_GB2312" w:cs="仿宋_GB2312"/>
          <w:b/>
          <w:color w:val="auto"/>
          <w:sz w:val="24"/>
          <w:szCs w:val="24"/>
          <w:highlight w:val="none"/>
        </w:rPr>
        <w:t>　　</w:t>
      </w:r>
    </w:p>
    <w:bookmarkEnd w:id="81"/>
    <w:p w14:paraId="398E1819">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（以下简称甲方）</w:t>
      </w:r>
      <w:r>
        <w:rPr>
          <w:rFonts w:hint="eastAsia" w:ascii="宋体" w:hAnsi="宋体" w:eastAsia="宋体" w:cs="宋体"/>
          <w:color w:val="auto"/>
          <w:kern w:val="0"/>
          <w:sz w:val="24"/>
          <w:szCs w:val="24"/>
          <w:highlight w:val="none"/>
        </w:rPr>
        <w:t>委托</w:t>
      </w:r>
      <w:r>
        <w:rPr>
          <w:rFonts w:hint="eastAsia" w:ascii="宋体" w:hAnsi="宋体" w:eastAsia="宋体" w:cs="宋体"/>
          <w:color w:val="auto"/>
          <w:sz w:val="24"/>
          <w:szCs w:val="24"/>
          <w:highlight w:val="none"/>
          <w:u w:val="single"/>
        </w:rPr>
        <w:t xml:space="preserve">   (中标人名称)    </w:t>
      </w:r>
      <w:r>
        <w:rPr>
          <w:rFonts w:hint="eastAsia" w:ascii="宋体" w:hAnsi="宋体" w:eastAsia="宋体" w:cs="宋体"/>
          <w:color w:val="auto"/>
          <w:sz w:val="24"/>
          <w:szCs w:val="24"/>
          <w:highlight w:val="none"/>
        </w:rPr>
        <w:t xml:space="preserve"> （以下简称乙方）</w:t>
      </w:r>
      <w:r>
        <w:rPr>
          <w:rFonts w:hint="eastAsia" w:ascii="宋体" w:hAnsi="宋体" w:eastAsia="宋体" w:cs="宋体"/>
          <w:color w:val="auto"/>
          <w:kern w:val="0"/>
          <w:sz w:val="24"/>
          <w:szCs w:val="24"/>
          <w:highlight w:val="none"/>
        </w:rPr>
        <w:t>负责</w:t>
      </w:r>
      <w:r>
        <w:rPr>
          <w:rFonts w:hint="eastAsia" w:ascii="宋体" w:hAnsi="宋体" w:eastAsia="宋体" w:cs="宋体"/>
          <w:color w:val="auto"/>
          <w:sz w:val="24"/>
          <w:szCs w:val="24"/>
          <w:highlight w:val="none"/>
          <w:u w:val="single"/>
          <w:lang w:val="en-US" w:eastAsia="zh-CN"/>
        </w:rPr>
        <w:t>肇庆市港口投资发展有限公司德庆九市作业区可拆装式砂石装船设备项目2号泊位装船服务</w:t>
      </w:r>
      <w:r>
        <w:rPr>
          <w:rFonts w:hint="eastAsia" w:ascii="宋体" w:hAnsi="宋体" w:eastAsia="宋体" w:cs="宋体"/>
          <w:color w:val="auto"/>
          <w:sz w:val="24"/>
          <w:szCs w:val="24"/>
          <w:highlight w:val="none"/>
        </w:rPr>
        <w:t>（以下简称“项目”)</w:t>
      </w:r>
      <w:r>
        <w:rPr>
          <w:rFonts w:hint="eastAsia" w:ascii="宋体" w:hAnsi="宋体" w:eastAsia="宋体" w:cs="宋体"/>
          <w:color w:val="auto"/>
          <w:kern w:val="0"/>
          <w:sz w:val="24"/>
          <w:szCs w:val="24"/>
          <w:highlight w:val="none"/>
        </w:rPr>
        <w:t>，合同双方经过平等协商，在真实、充分地表达各自意愿的基础上，根据</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民法典》及相关</w:t>
      </w:r>
      <w:r>
        <w:rPr>
          <w:rFonts w:hint="eastAsia" w:ascii="宋体" w:hAnsi="宋体" w:eastAsia="宋体" w:cs="宋体"/>
          <w:color w:val="auto"/>
          <w:kern w:val="0"/>
          <w:sz w:val="24"/>
          <w:szCs w:val="24"/>
          <w:highlight w:val="none"/>
        </w:rPr>
        <w:t>法律法规达成如下协议，双方共同恪守。</w:t>
      </w:r>
    </w:p>
    <w:p w14:paraId="056AB232">
      <w:pPr>
        <w:keepNext w:val="0"/>
        <w:keepLines w:val="0"/>
        <w:pageBreakBefore w:val="0"/>
        <w:kinsoku/>
        <w:wordWrap/>
        <w:overflowPunct/>
        <w:topLinePunct w:val="0"/>
        <w:bidi w:val="0"/>
        <w:adjustRightInd w:val="0"/>
        <w:snapToGrid w:val="0"/>
        <w:spacing w:line="360" w:lineRule="auto"/>
        <w:ind w:left="482"/>
        <w:textAlignment w:val="auto"/>
        <w:rPr>
          <w:rFonts w:hint="eastAsia" w:ascii="宋体" w:hAnsi="宋体" w:eastAsia="宋体" w:cs="宋体"/>
          <w:bCs/>
          <w:color w:val="auto"/>
          <w:sz w:val="24"/>
          <w:szCs w:val="24"/>
          <w:highlight w:val="none"/>
          <w:shd w:val="pct10" w:color="auto" w:fill="FFFFFF"/>
        </w:rPr>
      </w:pPr>
      <w:r>
        <w:rPr>
          <w:rFonts w:hint="eastAsia" w:ascii="宋体" w:hAnsi="宋体" w:eastAsia="宋体" w:cs="宋体"/>
          <w:b/>
          <w:bCs/>
          <w:color w:val="auto"/>
          <w:kern w:val="0"/>
          <w:sz w:val="24"/>
          <w:szCs w:val="24"/>
          <w:highlight w:val="none"/>
        </w:rPr>
        <w:t>第</w:t>
      </w:r>
      <w:r>
        <w:rPr>
          <w:rFonts w:hint="eastAsia" w:ascii="宋体" w:hAnsi="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条 项目概况</w:t>
      </w:r>
    </w:p>
    <w:p w14:paraId="37262A81">
      <w:pPr>
        <w:pStyle w:val="3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sz w:val="24"/>
          <w:szCs w:val="24"/>
          <w:highlight w:val="none"/>
          <w:lang w:val="en-US" w:eastAsia="zh-CN"/>
        </w:rPr>
        <w:t>项目名称：肇庆市港口投资发展有限公司德庆九市作业区可拆装式砂石装船设备项目</w:t>
      </w:r>
    </w:p>
    <w:p w14:paraId="1DFBC4E1">
      <w:pPr>
        <w:pStyle w:val="3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2.项目服务地点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肇庆市德庆县</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本项目位于肇庆市德庆县九市镇西江中游左岸，距离上游德庆西江大桥约18.9千米。</w:t>
      </w:r>
    </w:p>
    <w:p w14:paraId="7616203E">
      <w:pPr>
        <w:pStyle w:val="3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项目规模及</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内容：德庆九市作业区可拆装式砂石装船设备项目：位于肇庆市德庆县九市镇伦冲村西江左岸，具体位置为德庆县九市镇下圩村与伦冲村。</w:t>
      </w:r>
    </w:p>
    <w:p w14:paraId="52D811D3">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第</w:t>
      </w:r>
      <w:r>
        <w:rPr>
          <w:rFonts w:hint="eastAsia" w:ascii="宋体" w:hAnsi="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条 工作内容与服务要求</w:t>
      </w:r>
    </w:p>
    <w:p w14:paraId="22F7078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1．工作内容：</w:t>
      </w:r>
    </w:p>
    <w:p w14:paraId="4F6A8A33">
      <w:pPr>
        <w:ind w:firstLine="520" w:firstLineChars="200"/>
        <w:rPr>
          <w:rFonts w:hint="eastAsia" w:ascii="宋体" w:hAnsi="宋体" w:eastAsia="宋体" w:cs="宋体"/>
          <w:color w:val="auto"/>
          <w:spacing w:val="10"/>
          <w:kern w:val="0"/>
          <w:sz w:val="24"/>
          <w:szCs w:val="24"/>
          <w:highlight w:val="none"/>
          <w:u w:val="none"/>
          <w:lang w:val="en-US" w:eastAsia="zh-CN"/>
        </w:rPr>
      </w:pPr>
      <w:bookmarkStart w:id="82" w:name="OLE_LINK20"/>
      <w:r>
        <w:rPr>
          <w:rFonts w:hint="eastAsia" w:ascii="宋体" w:hAnsi="宋体" w:cs="宋体"/>
          <w:color w:val="auto"/>
          <w:spacing w:val="10"/>
          <w:kern w:val="0"/>
          <w:sz w:val="24"/>
          <w:szCs w:val="24"/>
          <w:highlight w:val="none"/>
          <w:lang w:val="en-US" w:eastAsia="zh-CN"/>
        </w:rPr>
        <w:t>1.1</w:t>
      </w:r>
      <w:r>
        <w:rPr>
          <w:rFonts w:hint="eastAsia" w:ascii="宋体" w:hAnsi="宋体" w:eastAsia="宋体" w:cs="宋体"/>
          <w:color w:val="auto"/>
          <w:spacing w:val="10"/>
          <w:kern w:val="0"/>
          <w:sz w:val="24"/>
          <w:szCs w:val="24"/>
          <w:highlight w:val="none"/>
          <w:lang w:val="en-US" w:eastAsia="zh-CN"/>
        </w:rPr>
        <w:t>服务内容</w:t>
      </w:r>
      <w:bookmarkEnd w:id="82"/>
      <w:r>
        <w:rPr>
          <w:rFonts w:hint="eastAsia" w:ascii="宋体" w:hAnsi="宋体" w:eastAsia="宋体" w:cs="宋体"/>
          <w:color w:val="auto"/>
          <w:spacing w:val="10"/>
          <w:kern w:val="0"/>
          <w:sz w:val="24"/>
          <w:szCs w:val="24"/>
          <w:highlight w:val="none"/>
          <w:lang w:val="en-US" w:eastAsia="zh-CN"/>
        </w:rPr>
        <w:t>：乙方</w:t>
      </w:r>
      <w:r>
        <w:rPr>
          <w:rFonts w:hint="eastAsia" w:ascii="宋体" w:hAnsi="宋体" w:eastAsia="宋体" w:cs="宋体"/>
          <w:color w:val="auto"/>
          <w:spacing w:val="10"/>
          <w:kern w:val="0"/>
          <w:sz w:val="24"/>
          <w:szCs w:val="24"/>
          <w:highlight w:val="none"/>
        </w:rPr>
        <w:t>按照国家和广东省有关的法律、法规</w:t>
      </w:r>
      <w:r>
        <w:rPr>
          <w:rFonts w:hint="eastAsia" w:ascii="宋体" w:hAnsi="宋体" w:eastAsia="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lang w:val="en-US" w:eastAsia="zh-CN"/>
        </w:rPr>
        <w:t>相关</w:t>
      </w:r>
      <w:r>
        <w:rPr>
          <w:rFonts w:hint="eastAsia" w:ascii="宋体" w:hAnsi="宋体" w:eastAsia="宋体" w:cs="宋体"/>
          <w:color w:val="auto"/>
          <w:spacing w:val="10"/>
          <w:kern w:val="0"/>
          <w:sz w:val="24"/>
          <w:szCs w:val="24"/>
          <w:highlight w:val="none"/>
        </w:rPr>
        <w:t>标准、规定及合同的要求，</w:t>
      </w:r>
      <w:r>
        <w:rPr>
          <w:rFonts w:hint="eastAsia" w:ascii="宋体" w:hAnsi="宋体" w:eastAsia="宋体" w:cs="宋体"/>
          <w:color w:val="auto"/>
          <w:spacing w:val="10"/>
          <w:kern w:val="0"/>
          <w:sz w:val="24"/>
          <w:szCs w:val="24"/>
          <w:highlight w:val="none"/>
          <w:lang w:val="en-US" w:eastAsia="zh-CN"/>
        </w:rPr>
        <w:t>进行</w:t>
      </w:r>
      <w:r>
        <w:rPr>
          <w:rFonts w:hint="eastAsia" w:ascii="宋体" w:hAnsi="宋体" w:eastAsia="宋体" w:cs="宋体"/>
          <w:color w:val="auto"/>
          <w:spacing w:val="10"/>
          <w:kern w:val="0"/>
          <w:sz w:val="24"/>
          <w:szCs w:val="24"/>
          <w:highlight w:val="none"/>
          <w:u w:val="none"/>
          <w:lang w:val="en-US" w:eastAsia="zh-CN"/>
        </w:rPr>
        <w:t>肇庆市港口投资发展有限公司德庆九市作业区可拆装式砂石装船设备项目2号泊位装船服务工作，包括但不限于：负责提供管理运营的德庆九市作业区可拆装式砂石装船设备设施技术条件相适应的装卸船舶（含皮带输送）、趸船等设备设施，并配备足额管理运营人员、运转动力等，按照甲方的运营需要，提供由德庆九市作业区可拆装式砂石装船设备项目</w:t>
      </w:r>
      <w:r>
        <w:rPr>
          <w:rFonts w:hint="eastAsia" w:ascii="宋体" w:hAnsi="宋体" w:cs="宋体"/>
          <w:color w:val="auto"/>
          <w:spacing w:val="10"/>
          <w:kern w:val="0"/>
          <w:sz w:val="24"/>
          <w:szCs w:val="24"/>
          <w:highlight w:val="none"/>
          <w:u w:val="none"/>
          <w:lang w:val="en-US" w:eastAsia="zh-CN"/>
        </w:rPr>
        <w:t>2号</w:t>
      </w:r>
      <w:r>
        <w:rPr>
          <w:rFonts w:hint="eastAsia" w:ascii="宋体" w:hAnsi="宋体" w:eastAsia="宋体" w:cs="宋体"/>
          <w:color w:val="auto"/>
          <w:spacing w:val="10"/>
          <w:kern w:val="0"/>
          <w:sz w:val="24"/>
          <w:szCs w:val="24"/>
          <w:highlight w:val="none"/>
          <w:u w:val="none"/>
          <w:lang w:val="en-US" w:eastAsia="zh-CN"/>
        </w:rPr>
        <w:t>泊位转运设备至待装船舶之间的散货（砂石骨料）装船服务，运输距离约为85米（具体以实际为准）。</w:t>
      </w:r>
    </w:p>
    <w:p w14:paraId="62624B95">
      <w:pPr>
        <w:ind w:firstLine="520" w:firstLineChars="200"/>
        <w:rPr>
          <w:rFonts w:hint="default" w:ascii="Segoe UI" w:hAnsi="Segoe UI" w:eastAsia="宋体" w:cs="Segoe UI"/>
          <w:i w:val="0"/>
          <w:iCs w:val="0"/>
          <w:caps w:val="0"/>
          <w:color w:val="auto"/>
          <w:spacing w:val="0"/>
          <w:sz w:val="24"/>
          <w:szCs w:val="24"/>
          <w:highlight w:val="none"/>
          <w:lang w:val="en-US" w:eastAsia="zh-CN"/>
        </w:rPr>
      </w:pPr>
      <w:r>
        <w:rPr>
          <w:rFonts w:hint="eastAsia" w:ascii="宋体" w:hAnsi="宋体" w:cs="宋体"/>
          <w:color w:val="auto"/>
          <w:spacing w:val="10"/>
          <w:kern w:val="0"/>
          <w:sz w:val="24"/>
          <w:szCs w:val="24"/>
          <w:highlight w:val="none"/>
          <w:u w:val="none"/>
          <w:lang w:val="en-US" w:eastAsia="zh-CN"/>
        </w:rPr>
        <w:t>1.2服</w:t>
      </w:r>
      <w:r>
        <w:rPr>
          <w:rFonts w:hint="eastAsia" w:ascii="宋体" w:hAnsi="宋体" w:eastAsia="宋体" w:cs="宋体"/>
          <w:color w:val="auto"/>
          <w:spacing w:val="10"/>
          <w:kern w:val="0"/>
          <w:sz w:val="24"/>
          <w:szCs w:val="24"/>
          <w:highlight w:val="none"/>
          <w:u w:val="none"/>
          <w:lang w:val="en-US" w:eastAsia="zh-CN"/>
        </w:rPr>
        <w:t>务</w:t>
      </w:r>
      <w:r>
        <w:rPr>
          <w:rFonts w:hint="eastAsia" w:ascii="宋体" w:hAnsi="宋体" w:cs="宋体"/>
          <w:color w:val="auto"/>
          <w:spacing w:val="10"/>
          <w:kern w:val="0"/>
          <w:sz w:val="24"/>
          <w:szCs w:val="24"/>
          <w:highlight w:val="none"/>
          <w:u w:val="none"/>
          <w:lang w:val="en-US" w:eastAsia="zh-CN"/>
        </w:rPr>
        <w:t>期</w:t>
      </w:r>
      <w:r>
        <w:rPr>
          <w:rFonts w:hint="eastAsia" w:ascii="宋体" w:hAnsi="宋体" w:eastAsia="宋体" w:cs="宋体"/>
          <w:color w:val="auto"/>
          <w:spacing w:val="10"/>
          <w:kern w:val="0"/>
          <w:sz w:val="24"/>
          <w:szCs w:val="24"/>
          <w:highlight w:val="none"/>
          <w:u w:val="none"/>
          <w:lang w:val="en-US" w:eastAsia="zh-CN"/>
        </w:rPr>
        <w:t>：</w:t>
      </w:r>
      <w:r>
        <w:rPr>
          <w:rFonts w:hint="eastAsia" w:ascii="宋体" w:hAnsi="宋体" w:cs="宋体"/>
          <w:color w:val="auto"/>
          <w:spacing w:val="10"/>
          <w:kern w:val="0"/>
          <w:sz w:val="24"/>
          <w:szCs w:val="24"/>
          <w:highlight w:val="none"/>
          <w:u w:val="none"/>
          <w:lang w:val="en-US" w:eastAsia="zh-CN"/>
        </w:rPr>
        <w:t>自合同签订之日起至2026年4月11日</w:t>
      </w:r>
      <w:r>
        <w:rPr>
          <w:rFonts w:hint="eastAsia" w:ascii="Segoe UI" w:hAnsi="Segoe UI" w:eastAsia="宋体" w:cs="Segoe UI"/>
          <w:i w:val="0"/>
          <w:iCs w:val="0"/>
          <w:caps w:val="0"/>
          <w:color w:val="auto"/>
          <w:spacing w:val="0"/>
          <w:sz w:val="24"/>
          <w:szCs w:val="24"/>
          <w:highlight w:val="none"/>
          <w:lang w:val="en-US" w:eastAsia="zh-CN"/>
        </w:rPr>
        <w:t>。</w:t>
      </w:r>
    </w:p>
    <w:p w14:paraId="481318E1">
      <w:pPr>
        <w:pStyle w:val="26"/>
        <w:rPr>
          <w:rFonts w:hint="default"/>
          <w:color w:val="auto"/>
          <w:sz w:val="24"/>
          <w:szCs w:val="24"/>
          <w:highlight w:val="none"/>
          <w:lang w:val="en-US" w:eastAsia="zh-CN"/>
        </w:rPr>
      </w:pPr>
    </w:p>
    <w:p w14:paraId="4F06202C">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en-US" w:eastAsia="zh-CN"/>
        </w:rPr>
        <w:t>作业流程</w:t>
      </w:r>
    </w:p>
    <w:p w14:paraId="0B4D8D13">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浮码头</w:t>
      </w:r>
      <w:r>
        <w:rPr>
          <w:rFonts w:hint="eastAsia" w:ascii="宋体" w:hAnsi="宋体" w:eastAsia="宋体" w:cs="宋体"/>
          <w:color w:val="auto"/>
          <w:kern w:val="0"/>
          <w:sz w:val="24"/>
          <w:szCs w:val="24"/>
          <w:highlight w:val="none"/>
          <w:lang w:val="en-US" w:eastAsia="zh-CN"/>
        </w:rPr>
        <w:t>结构</w:t>
      </w:r>
      <w:r>
        <w:rPr>
          <w:rFonts w:hint="eastAsia" w:ascii="宋体" w:hAnsi="宋体" w:eastAsia="宋体" w:cs="宋体"/>
          <w:color w:val="auto"/>
          <w:kern w:val="0"/>
          <w:sz w:val="24"/>
          <w:szCs w:val="24"/>
          <w:highlight w:val="none"/>
        </w:rPr>
        <w:t>配置</w:t>
      </w:r>
    </w:p>
    <w:p w14:paraId="38398CE0">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沿经批准的停泊水域靠岸侧边线纵向布置钢质趸船作为浮码头主体结构，承担货船靠泊、系缆及荷载传递功能</w:t>
      </w:r>
      <w:r>
        <w:rPr>
          <w:rFonts w:hint="eastAsia" w:ascii="宋体" w:hAnsi="宋体" w:eastAsia="宋体" w:cs="宋体"/>
          <w:color w:val="auto"/>
          <w:kern w:val="0"/>
          <w:sz w:val="24"/>
          <w:szCs w:val="24"/>
          <w:highlight w:val="none"/>
          <w:u w:val="none"/>
          <w:lang w:val="en-US" w:eastAsia="zh-CN"/>
        </w:rPr>
        <w:t>。</w:t>
      </w:r>
    </w:p>
    <w:p w14:paraId="2FDD71CD">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装卸系统部署</w:t>
      </w:r>
    </w:p>
    <w:p w14:paraId="4E68906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在转运站落料口与趸船之间水域布设专用装卸船，</w:t>
      </w:r>
      <w:r>
        <w:rPr>
          <w:rFonts w:hint="eastAsia" w:ascii="宋体" w:hAnsi="宋体" w:eastAsia="宋体" w:cs="宋体"/>
          <w:color w:val="auto"/>
          <w:kern w:val="0"/>
          <w:sz w:val="24"/>
          <w:szCs w:val="24"/>
          <w:highlight w:val="none"/>
          <w:u w:val="none"/>
          <w:lang w:val="en-US" w:eastAsia="zh-CN"/>
        </w:rPr>
        <w:t>装卸船</w:t>
      </w:r>
      <w:r>
        <w:rPr>
          <w:rFonts w:hint="eastAsia" w:ascii="宋体" w:hAnsi="宋体" w:eastAsia="宋体" w:cs="宋体"/>
          <w:color w:val="auto"/>
          <w:kern w:val="0"/>
          <w:sz w:val="24"/>
          <w:szCs w:val="24"/>
          <w:highlight w:val="none"/>
          <w:u w:val="none"/>
        </w:rPr>
        <w:t>集成皮带输送系统</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可调节俯仰支架</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除尘系统等设施设备。</w:t>
      </w:r>
    </w:p>
    <w:p w14:paraId="17583B1F">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物料输送路径</w:t>
      </w:r>
    </w:p>
    <w:p w14:paraId="7EA526D2">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垂直输送段：物料经转运站落料口通过溜管重力下落至装卸船受料斗</w:t>
      </w:r>
      <w:r>
        <w:rPr>
          <w:rFonts w:hint="eastAsia" w:ascii="宋体" w:hAnsi="宋体" w:eastAsia="宋体" w:cs="宋体"/>
          <w:color w:val="auto"/>
          <w:kern w:val="0"/>
          <w:sz w:val="24"/>
          <w:szCs w:val="24"/>
          <w:highlight w:val="none"/>
          <w:u w:val="none"/>
          <w:lang w:val="en-US" w:eastAsia="zh-CN"/>
        </w:rPr>
        <w:t>（落料口与水面最大高差约20米）；</w:t>
      </w:r>
    </w:p>
    <w:p w14:paraId="17DB0898">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水平输送段：</w:t>
      </w:r>
      <w:r>
        <w:rPr>
          <w:rFonts w:hint="eastAsia" w:ascii="宋体" w:hAnsi="宋体" w:eastAsia="宋体" w:cs="宋体"/>
          <w:color w:val="auto"/>
          <w:kern w:val="0"/>
          <w:sz w:val="24"/>
          <w:szCs w:val="24"/>
          <w:highlight w:val="none"/>
          <w:u w:val="none"/>
          <w:lang w:val="en-US" w:eastAsia="zh-CN"/>
        </w:rPr>
        <w:t>装卸船皮带机跨越趸船并向停泊水域方向延申至货船船舱正上方，物料</w:t>
      </w:r>
      <w:r>
        <w:rPr>
          <w:rFonts w:hint="eastAsia" w:ascii="宋体" w:hAnsi="宋体" w:eastAsia="宋体" w:cs="宋体"/>
          <w:color w:val="auto"/>
          <w:kern w:val="0"/>
          <w:sz w:val="24"/>
          <w:szCs w:val="24"/>
          <w:highlight w:val="none"/>
          <w:u w:val="none"/>
        </w:rPr>
        <w:t>经装卸船皮带机</w:t>
      </w:r>
      <w:r>
        <w:rPr>
          <w:rFonts w:hint="eastAsia" w:ascii="宋体" w:hAnsi="宋体" w:eastAsia="宋体" w:cs="宋体"/>
          <w:color w:val="auto"/>
          <w:kern w:val="0"/>
          <w:sz w:val="24"/>
          <w:szCs w:val="24"/>
          <w:highlight w:val="none"/>
          <w:u w:val="none"/>
          <w:lang w:val="en-US" w:eastAsia="zh-CN"/>
        </w:rPr>
        <w:t>从船尾</w:t>
      </w:r>
      <w:r>
        <w:rPr>
          <w:rFonts w:hint="eastAsia" w:ascii="宋体" w:hAnsi="宋体" w:eastAsia="宋体" w:cs="宋体"/>
          <w:color w:val="auto"/>
          <w:kern w:val="0"/>
          <w:sz w:val="24"/>
          <w:szCs w:val="24"/>
          <w:highlight w:val="none"/>
          <w:u w:val="none"/>
        </w:rPr>
        <w:t>水平输送</w:t>
      </w:r>
      <w:r>
        <w:rPr>
          <w:rFonts w:hint="eastAsia" w:ascii="宋体" w:hAnsi="宋体" w:eastAsia="宋体" w:cs="宋体"/>
          <w:color w:val="auto"/>
          <w:kern w:val="0"/>
          <w:sz w:val="24"/>
          <w:szCs w:val="24"/>
          <w:highlight w:val="none"/>
          <w:u w:val="none"/>
          <w:lang w:val="en-US" w:eastAsia="zh-CN"/>
        </w:rPr>
        <w:t>至货船船舱</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val="en-US" w:eastAsia="zh-CN"/>
        </w:rPr>
        <w:t>实现装船作业。</w:t>
      </w:r>
    </w:p>
    <w:p w14:paraId="0B1B35E2">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kern w:val="2"/>
          <w:sz w:val="24"/>
          <w:szCs w:val="24"/>
          <w:highlight w:val="none"/>
          <w:u w:val="none"/>
          <w:lang w:val="en-US" w:eastAsia="zh-CN" w:bidi="ar-SA"/>
        </w:rPr>
        <w:t>2.</w:t>
      </w:r>
      <w:r>
        <w:rPr>
          <w:rFonts w:hint="eastAsia" w:ascii="宋体" w:hAnsi="宋体" w:cs="宋体"/>
          <w:color w:val="auto"/>
          <w:kern w:val="0"/>
          <w:sz w:val="24"/>
          <w:szCs w:val="24"/>
          <w:highlight w:val="none"/>
          <w:u w:val="none"/>
          <w:lang w:val="en-US" w:eastAsia="zh-CN"/>
        </w:rPr>
        <w:t>服务要求：</w:t>
      </w:r>
    </w:p>
    <w:p w14:paraId="74065A86">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none"/>
          <w:lang w:val="en-US" w:eastAsia="zh-CN"/>
        </w:rPr>
        <w:t>2.1</w:t>
      </w:r>
      <w:r>
        <w:rPr>
          <w:rFonts w:hint="eastAsia" w:ascii="宋体" w:hAnsi="宋体" w:eastAsia="宋体" w:cs="宋体"/>
          <w:color w:val="auto"/>
          <w:kern w:val="0"/>
          <w:sz w:val="24"/>
          <w:szCs w:val="24"/>
          <w:highlight w:val="none"/>
          <w:u w:val="none"/>
        </w:rPr>
        <w:t>乙方负</w:t>
      </w:r>
      <w:r>
        <w:rPr>
          <w:rFonts w:hint="eastAsia" w:ascii="宋体" w:hAnsi="宋体" w:eastAsia="宋体" w:cs="宋体"/>
          <w:color w:val="auto"/>
          <w:kern w:val="0"/>
          <w:sz w:val="24"/>
          <w:szCs w:val="24"/>
          <w:highlight w:val="none"/>
          <w:u w:val="none"/>
          <w:lang w:val="en-US" w:eastAsia="zh-CN"/>
        </w:rPr>
        <w:t>责</w:t>
      </w:r>
      <w:r>
        <w:rPr>
          <w:rFonts w:hint="eastAsia" w:ascii="宋体" w:hAnsi="宋体" w:eastAsia="宋体" w:cs="宋体"/>
          <w:color w:val="auto"/>
          <w:sz w:val="24"/>
          <w:szCs w:val="24"/>
          <w:highlight w:val="none"/>
          <w:u w:val="none"/>
          <w:lang w:eastAsia="zh-CN"/>
        </w:rPr>
        <w:t>肇庆市港口投资发展有限公司德庆九市作业区可拆装式砂石装船设备项目2号泊位装船服务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服务应当</w:t>
      </w:r>
      <w:r>
        <w:rPr>
          <w:rFonts w:hint="eastAsia" w:ascii="宋体" w:hAnsi="宋体" w:eastAsia="宋体" w:cs="宋体"/>
          <w:color w:val="auto"/>
          <w:sz w:val="24"/>
          <w:szCs w:val="24"/>
          <w:highlight w:val="none"/>
          <w:lang w:eastAsia="zh-CN"/>
        </w:rPr>
        <w:t>满足并符合现行的国家、省、市的法律、法规要求以及行业技术规范、规程、标准要求。</w:t>
      </w:r>
    </w:p>
    <w:p w14:paraId="1C25C152">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color w:val="auto"/>
          <w:kern w:val="0"/>
          <w:sz w:val="24"/>
          <w:szCs w:val="24"/>
          <w:highlight w:val="none"/>
          <w:u w:val="single"/>
          <w:lang w:val="en-US" w:eastAsia="zh-CN"/>
        </w:rPr>
      </w:pP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乙方</w:t>
      </w:r>
      <w:r>
        <w:rPr>
          <w:rFonts w:hint="eastAsia" w:ascii="宋体" w:hAnsi="宋体" w:cs="宋体"/>
          <w:color w:val="auto"/>
          <w:sz w:val="24"/>
          <w:szCs w:val="24"/>
          <w:highlight w:val="none"/>
          <w:lang w:val="en-US" w:eastAsia="zh-CN"/>
        </w:rPr>
        <w:t>在合同签订之日起15个日历日内</w:t>
      </w:r>
      <w:r>
        <w:rPr>
          <w:rFonts w:hint="eastAsia" w:ascii="宋体" w:hAnsi="宋体" w:eastAsia="宋体" w:cs="宋体"/>
          <w:color w:val="auto"/>
          <w:sz w:val="24"/>
          <w:szCs w:val="24"/>
          <w:highlight w:val="none"/>
          <w:lang w:val="en-US" w:eastAsia="zh-CN"/>
        </w:rPr>
        <w:t>需</w:t>
      </w:r>
      <w:r>
        <w:rPr>
          <w:rFonts w:hint="eastAsia" w:ascii="宋体" w:hAnsi="宋体" w:cs="宋体"/>
          <w:color w:val="auto"/>
          <w:sz w:val="24"/>
          <w:szCs w:val="24"/>
          <w:highlight w:val="none"/>
          <w:lang w:val="en-US" w:eastAsia="zh-CN"/>
        </w:rPr>
        <w:t>完成</w:t>
      </w:r>
      <w:r>
        <w:rPr>
          <w:rFonts w:hint="eastAsia" w:ascii="宋体" w:hAnsi="宋体" w:eastAsia="宋体" w:cs="宋体"/>
          <w:color w:val="auto"/>
          <w:sz w:val="24"/>
          <w:szCs w:val="24"/>
          <w:highlight w:val="none"/>
          <w:lang w:eastAsia="zh-CN"/>
        </w:rPr>
        <w:t>装卸</w:t>
      </w:r>
      <w:r>
        <w:rPr>
          <w:rFonts w:hint="eastAsia" w:ascii="宋体" w:hAnsi="宋体" w:eastAsia="宋体" w:cs="宋体"/>
          <w:color w:val="auto"/>
          <w:sz w:val="24"/>
          <w:szCs w:val="24"/>
          <w:highlight w:val="none"/>
          <w:lang w:val="en-US" w:eastAsia="zh-CN"/>
        </w:rPr>
        <w:t>运营的</w:t>
      </w:r>
      <w:r>
        <w:rPr>
          <w:rFonts w:hint="eastAsia" w:ascii="宋体" w:hAnsi="宋体" w:eastAsia="宋体" w:cs="宋体"/>
          <w:color w:val="auto"/>
          <w:sz w:val="24"/>
          <w:szCs w:val="24"/>
          <w:highlight w:val="none"/>
          <w:lang w:eastAsia="zh-CN"/>
        </w:rPr>
        <w:t>船舶设备</w:t>
      </w:r>
      <w:r>
        <w:rPr>
          <w:rFonts w:hint="eastAsia" w:ascii="宋体" w:hAnsi="宋体" w:cs="宋体"/>
          <w:color w:val="auto"/>
          <w:sz w:val="24"/>
          <w:szCs w:val="24"/>
          <w:highlight w:val="none"/>
          <w:lang w:val="en-US" w:eastAsia="zh-CN"/>
        </w:rPr>
        <w:t>进场及重载调试，且</w:t>
      </w:r>
      <w:r>
        <w:rPr>
          <w:rFonts w:hint="eastAsia" w:ascii="宋体" w:hAnsi="宋体" w:eastAsia="宋体" w:cs="宋体"/>
          <w:color w:val="auto"/>
          <w:sz w:val="24"/>
          <w:szCs w:val="24"/>
          <w:highlight w:val="none"/>
          <w:lang w:eastAsia="zh-CN"/>
        </w:rPr>
        <w:t>船舶设备</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符合招标技术参数要求并通过</w:t>
      </w:r>
      <w:bookmarkStart w:id="83" w:name="OLE_LINK26"/>
      <w:r>
        <w:rPr>
          <w:rFonts w:hint="eastAsia" w:ascii="宋体" w:hAnsi="宋体" w:cs="宋体"/>
          <w:color w:val="auto"/>
          <w:sz w:val="24"/>
          <w:highlight w:val="none"/>
        </w:rPr>
        <w:t>功能性验收，具备完成本项目工作内容的条件</w:t>
      </w:r>
      <w:bookmarkEnd w:id="83"/>
      <w:r>
        <w:rPr>
          <w:rFonts w:hint="eastAsia" w:ascii="宋体" w:hAnsi="宋体" w:cs="宋体"/>
          <w:color w:val="auto"/>
          <w:sz w:val="24"/>
          <w:highlight w:val="none"/>
        </w:rPr>
        <w:t>。</w:t>
      </w:r>
    </w:p>
    <w:p w14:paraId="0AB55ABD">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2.2.1</w:t>
      </w:r>
      <w:r>
        <w:rPr>
          <w:rFonts w:hint="eastAsia" w:ascii="宋体" w:hAnsi="宋体" w:eastAsia="宋体" w:cs="宋体"/>
          <w:b/>
          <w:bCs/>
          <w:color w:val="auto"/>
          <w:sz w:val="24"/>
          <w:szCs w:val="24"/>
          <w:highlight w:val="none"/>
          <w:u w:val="none"/>
          <w:lang w:val="en-US" w:eastAsia="zh-CN"/>
        </w:rPr>
        <w:t>装卸船技术要求：</w:t>
      </w:r>
    </w:p>
    <w:p w14:paraId="17173544">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（1）船上皮带输送效率不低于2500t/h；</w:t>
      </w:r>
    </w:p>
    <w:p w14:paraId="4C440A28">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（2）船上接料仓斗容量不低于30m³；</w:t>
      </w:r>
    </w:p>
    <w:p w14:paraId="7EC4DAAA">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船上须配备除尘设备，保证装卸作业过程中不产生粉尘污染；</w:t>
      </w:r>
    </w:p>
    <w:p w14:paraId="468A6703">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）吃水应不超过1.5米，以保证低水位作业需求；</w:t>
      </w:r>
    </w:p>
    <w:p w14:paraId="14CEB15A">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）须配备一条交通锚艇应急；</w:t>
      </w:r>
    </w:p>
    <w:p w14:paraId="62F34FA1">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）满足海事、交通、环保等各部门要求。</w:t>
      </w:r>
    </w:p>
    <w:p w14:paraId="77B7B9D0">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2.2.2</w:t>
      </w:r>
      <w:r>
        <w:rPr>
          <w:rFonts w:hint="eastAsia" w:ascii="宋体" w:hAnsi="宋体" w:eastAsia="宋体" w:cs="宋体"/>
          <w:b/>
          <w:bCs/>
          <w:color w:val="auto"/>
          <w:sz w:val="24"/>
          <w:szCs w:val="24"/>
          <w:highlight w:val="none"/>
          <w:u w:val="none"/>
          <w:lang w:val="en-US" w:eastAsia="zh-CN"/>
        </w:rPr>
        <w:t>趸船技术要求：</w:t>
      </w:r>
    </w:p>
    <w:p w14:paraId="64F7C0C0">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en-US" w:eastAsia="zh-CN"/>
        </w:rPr>
        <w:t>应满足3000吨级货船靠离泊、系缆和装卸作业要求；</w:t>
      </w:r>
    </w:p>
    <w:p w14:paraId="29EBDAE5">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（2）趸船需配备4根固定桩固定船位；</w:t>
      </w:r>
    </w:p>
    <w:p w14:paraId="68748A4B">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（3）需配备4台绞锚机和</w:t>
      </w:r>
      <w:r>
        <w:rPr>
          <w:rFonts w:hint="eastAsia" w:ascii="宋体" w:hAnsi="宋体" w:eastAsia="宋体" w:cs="宋体"/>
          <w:color w:val="auto"/>
          <w:sz w:val="24"/>
          <w:szCs w:val="24"/>
          <w:highlight w:val="none"/>
          <w:u w:val="none"/>
          <w:lang w:eastAsia="zh-CN"/>
        </w:rPr>
        <w:t>4</w:t>
      </w:r>
      <w:r>
        <w:rPr>
          <w:rFonts w:hint="eastAsia" w:ascii="宋体" w:hAnsi="宋体" w:eastAsia="宋体" w:cs="宋体"/>
          <w:color w:val="auto"/>
          <w:sz w:val="24"/>
          <w:szCs w:val="24"/>
          <w:highlight w:val="none"/>
          <w:u w:val="none"/>
          <w:lang w:val="en-US" w:eastAsia="zh-CN"/>
        </w:rPr>
        <w:t>只</w:t>
      </w:r>
      <w:r>
        <w:rPr>
          <w:rFonts w:hint="eastAsia" w:ascii="宋体" w:hAnsi="宋体" w:eastAsia="宋体" w:cs="宋体"/>
          <w:color w:val="auto"/>
          <w:sz w:val="24"/>
          <w:szCs w:val="24"/>
          <w:highlight w:val="none"/>
          <w:u w:val="none"/>
        </w:rPr>
        <w:t>船锚</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单锚重量不低于3吨；</w:t>
      </w:r>
    </w:p>
    <w:p w14:paraId="38DF617B">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（4）趸船船长应不低于50米。</w:t>
      </w:r>
    </w:p>
    <w:p w14:paraId="7E38F092">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（5）满足海事、交通、航道、环保等各部门要求。</w:t>
      </w:r>
    </w:p>
    <w:p w14:paraId="598A5CC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（3）</w:t>
      </w:r>
      <w:r>
        <w:rPr>
          <w:rFonts w:hint="eastAsia" w:cs="宋体"/>
          <w:b w:val="0"/>
          <w:bCs w:val="0"/>
          <w:color w:val="auto"/>
          <w:sz w:val="24"/>
          <w:szCs w:val="24"/>
          <w:highlight w:val="none"/>
          <w:u w:val="none"/>
          <w:lang w:val="en-US" w:eastAsia="zh-CN"/>
        </w:rPr>
        <w:t>乙方装卸运营服务</w:t>
      </w:r>
      <w:r>
        <w:rPr>
          <w:rFonts w:hint="eastAsia" w:ascii="宋体" w:hAnsi="宋体" w:cs="宋体"/>
          <w:b w:val="0"/>
          <w:bCs w:val="0"/>
          <w:color w:val="auto"/>
          <w:sz w:val="24"/>
          <w:szCs w:val="24"/>
          <w:highlight w:val="none"/>
          <w:u w:val="none"/>
          <w:lang w:val="en-US" w:eastAsia="zh-CN"/>
        </w:rPr>
        <w:t>需</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内部规定及港口码头运营及法律法规要求。</w:t>
      </w:r>
    </w:p>
    <w:p w14:paraId="7C524FE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（4）</w:t>
      </w:r>
      <w:r>
        <w:rPr>
          <w:rFonts w:hint="eastAsia" w:cs="宋体"/>
          <w:b w:val="0"/>
          <w:bCs w:val="0"/>
          <w:color w:val="auto"/>
          <w:sz w:val="24"/>
          <w:szCs w:val="24"/>
          <w:highlight w:val="none"/>
          <w:u w:val="none"/>
          <w:lang w:val="en-US" w:eastAsia="zh-CN"/>
        </w:rPr>
        <w:t>乙方装卸运营服务</w:t>
      </w:r>
      <w:r>
        <w:rPr>
          <w:rFonts w:hint="eastAsia" w:ascii="宋体" w:hAnsi="宋体" w:eastAsia="宋体" w:cs="宋体"/>
          <w:color w:val="auto"/>
          <w:sz w:val="24"/>
          <w:szCs w:val="24"/>
          <w:highlight w:val="none"/>
          <w:lang w:val="en-US" w:eastAsia="zh-CN"/>
        </w:rPr>
        <w:t>过程中需采取各种措施防止各类安全事故的发生。</w:t>
      </w:r>
    </w:p>
    <w:p w14:paraId="5851CC6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sz w:val="24"/>
          <w:szCs w:val="24"/>
          <w:highlight w:val="none"/>
          <w:u w:val="none"/>
          <w:lang w:val="en-US" w:eastAsia="zh-CN"/>
        </w:rPr>
        <w:t>乙方必须健全作业质量管理队伍的使用、监督机制，做到分工明确、责任到人，健全管理制度、管理人员分工。乙方须招用身体健康的工作人员以保证服务质量。</w:t>
      </w:r>
    </w:p>
    <w:p w14:paraId="644DD4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2.2.3</w:t>
      </w:r>
      <w:r>
        <w:rPr>
          <w:rFonts w:hint="eastAsia" w:ascii="宋体" w:hAnsi="宋体" w:eastAsia="宋体" w:cs="宋体"/>
          <w:b w:val="0"/>
          <w:bCs w:val="0"/>
          <w:color w:val="auto"/>
          <w:sz w:val="24"/>
          <w:szCs w:val="24"/>
          <w:highlight w:val="none"/>
          <w:u w:val="none"/>
          <w:lang w:val="en-US" w:eastAsia="zh-CN"/>
        </w:rPr>
        <w:t>乙方装卸运营人员的配置要求如下：</w:t>
      </w:r>
    </w:p>
    <w:p w14:paraId="4923AAD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服务团队生产作业人员最低配置要求</w:t>
      </w:r>
    </w:p>
    <w:tbl>
      <w:tblPr>
        <w:tblStyle w:val="28"/>
        <w:tblW w:w="104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
        <w:gridCol w:w="1181"/>
        <w:gridCol w:w="4425"/>
        <w:gridCol w:w="1069"/>
        <w:gridCol w:w="2839"/>
      </w:tblGrid>
      <w:tr w14:paraId="420FC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4E1B23BD">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181" w:type="dxa"/>
            <w:tcBorders>
              <w:top w:val="single" w:color="000000" w:sz="6" w:space="0"/>
              <w:left w:val="single" w:color="000000" w:sz="6" w:space="0"/>
              <w:bottom w:val="single" w:color="000000" w:sz="6" w:space="0"/>
              <w:right w:val="single" w:color="000000" w:sz="6" w:space="0"/>
            </w:tcBorders>
            <w:vAlign w:val="center"/>
          </w:tcPr>
          <w:p w14:paraId="07BF5EE1">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职  务</w:t>
            </w:r>
          </w:p>
        </w:tc>
        <w:tc>
          <w:tcPr>
            <w:tcW w:w="4425" w:type="dxa"/>
            <w:tcBorders>
              <w:top w:val="single" w:color="000000" w:sz="6" w:space="0"/>
              <w:left w:val="single" w:color="000000" w:sz="6" w:space="0"/>
              <w:bottom w:val="single" w:color="000000" w:sz="6" w:space="0"/>
              <w:right w:val="single" w:color="000000" w:sz="6" w:space="0"/>
            </w:tcBorders>
            <w:vAlign w:val="center"/>
          </w:tcPr>
          <w:p w14:paraId="461B4101">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任职人员基本要求</w:t>
            </w:r>
          </w:p>
        </w:tc>
        <w:tc>
          <w:tcPr>
            <w:tcW w:w="1069" w:type="dxa"/>
            <w:tcBorders>
              <w:top w:val="single" w:color="000000" w:sz="6" w:space="0"/>
              <w:left w:val="single" w:color="000000" w:sz="6" w:space="0"/>
              <w:bottom w:val="single" w:color="000000" w:sz="6" w:space="0"/>
              <w:right w:val="single" w:color="000000" w:sz="6" w:space="0"/>
            </w:tcBorders>
            <w:vAlign w:val="center"/>
          </w:tcPr>
          <w:p w14:paraId="022B2CA8">
            <w:pPr>
              <w:spacing w:line="360" w:lineRule="auto"/>
              <w:jc w:val="center"/>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每班</w:t>
            </w:r>
            <w:r>
              <w:rPr>
                <w:rFonts w:hint="eastAsia" w:ascii="宋体" w:hAnsi="宋体" w:eastAsia="宋体" w:cs="宋体"/>
                <w:b/>
                <w:bCs/>
                <w:color w:val="auto"/>
                <w:sz w:val="22"/>
                <w:szCs w:val="22"/>
                <w:highlight w:val="none"/>
              </w:rPr>
              <w:t>人数</w:t>
            </w:r>
          </w:p>
        </w:tc>
        <w:tc>
          <w:tcPr>
            <w:tcW w:w="2839" w:type="dxa"/>
            <w:tcBorders>
              <w:top w:val="single" w:color="000000" w:sz="6" w:space="0"/>
              <w:left w:val="single" w:color="000000" w:sz="6" w:space="0"/>
              <w:bottom w:val="single" w:color="000000" w:sz="6" w:space="0"/>
              <w:right w:val="single" w:color="000000" w:sz="6" w:space="0"/>
            </w:tcBorders>
            <w:vAlign w:val="center"/>
          </w:tcPr>
          <w:p w14:paraId="4A492C87">
            <w:pPr>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备注</w:t>
            </w:r>
          </w:p>
        </w:tc>
      </w:tr>
      <w:tr w14:paraId="6CFE4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43BF18B1">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1181" w:type="dxa"/>
            <w:tcBorders>
              <w:top w:val="single" w:color="000000" w:sz="6" w:space="0"/>
              <w:left w:val="single" w:color="000000" w:sz="6" w:space="0"/>
              <w:bottom w:val="single" w:color="000000" w:sz="6" w:space="0"/>
              <w:right w:val="single" w:color="000000" w:sz="6" w:space="0"/>
            </w:tcBorders>
            <w:vAlign w:val="center"/>
          </w:tcPr>
          <w:p w14:paraId="7CA29AF5">
            <w:pPr>
              <w:spacing w:line="36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船长</w:t>
            </w:r>
          </w:p>
        </w:tc>
        <w:tc>
          <w:tcPr>
            <w:tcW w:w="4425" w:type="dxa"/>
            <w:tcBorders>
              <w:top w:val="single" w:color="000000" w:sz="6" w:space="0"/>
              <w:left w:val="single" w:color="000000" w:sz="6" w:space="0"/>
              <w:bottom w:val="single" w:color="000000" w:sz="6" w:space="0"/>
              <w:right w:val="single" w:color="000000" w:sz="6" w:space="0"/>
            </w:tcBorders>
            <w:vAlign w:val="center"/>
          </w:tcPr>
          <w:p w14:paraId="2C190DB7">
            <w:pPr>
              <w:spacing w:line="360" w:lineRule="auto"/>
              <w:jc w:val="center"/>
              <w:rPr>
                <w:rFonts w:hint="default" w:ascii="宋体" w:hAnsi="宋体" w:eastAsia="宋体" w:cs="宋体"/>
                <w:bCs/>
                <w:color w:val="auto"/>
                <w:sz w:val="22"/>
                <w:szCs w:val="22"/>
                <w:highlight w:val="none"/>
                <w:u w:val="none"/>
                <w:lang w:val="en-US" w:eastAsia="zh-CN"/>
              </w:rPr>
            </w:pPr>
            <w:r>
              <w:rPr>
                <w:rFonts w:hint="eastAsia" w:ascii="宋体" w:hAnsi="宋体" w:eastAsia="宋体" w:cs="宋体"/>
                <w:color w:val="auto"/>
                <w:sz w:val="24"/>
                <w:szCs w:val="24"/>
                <w:highlight w:val="none"/>
                <w:u w:val="none"/>
                <w:lang w:val="en-US" w:eastAsia="zh-CN"/>
              </w:rPr>
              <w:t>人员配置至少满足三班倒需求，每班8小时，每班需配备1名</w:t>
            </w:r>
          </w:p>
        </w:tc>
        <w:tc>
          <w:tcPr>
            <w:tcW w:w="1069" w:type="dxa"/>
            <w:tcBorders>
              <w:top w:val="single" w:color="000000" w:sz="6" w:space="0"/>
              <w:left w:val="single" w:color="000000" w:sz="6" w:space="0"/>
              <w:bottom w:val="single" w:color="000000" w:sz="6" w:space="0"/>
              <w:right w:val="single" w:color="000000" w:sz="6" w:space="0"/>
            </w:tcBorders>
            <w:vAlign w:val="center"/>
          </w:tcPr>
          <w:p w14:paraId="295B861A">
            <w:pPr>
              <w:spacing w:line="360" w:lineRule="auto"/>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w:t>
            </w:r>
          </w:p>
        </w:tc>
        <w:tc>
          <w:tcPr>
            <w:tcW w:w="2839" w:type="dxa"/>
            <w:vMerge w:val="restart"/>
            <w:tcBorders>
              <w:top w:val="single" w:color="000000" w:sz="6" w:space="0"/>
              <w:left w:val="single" w:color="000000" w:sz="6" w:space="0"/>
              <w:right w:val="single" w:color="000000" w:sz="6" w:space="0"/>
            </w:tcBorders>
            <w:vAlign w:val="center"/>
          </w:tcPr>
          <w:p w14:paraId="1689E987">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sz w:val="24"/>
                <w:szCs w:val="24"/>
                <w:highlight w:val="none"/>
                <w:u w:val="none"/>
                <w:lang w:val="en-US" w:eastAsia="zh-CN"/>
              </w:rPr>
              <w:t>趸船和装卸船配置人数应满足作业需求，且每班总人数不低于4人</w:t>
            </w:r>
            <w:r>
              <w:rPr>
                <w:rFonts w:hint="eastAsia" w:ascii="宋体" w:hAnsi="宋体" w:cs="宋体"/>
                <w:color w:val="auto"/>
                <w:sz w:val="24"/>
                <w:szCs w:val="24"/>
                <w:highlight w:val="none"/>
                <w:u w:val="none"/>
                <w:lang w:val="en-US" w:eastAsia="zh-CN"/>
              </w:rPr>
              <w:t>。</w:t>
            </w:r>
          </w:p>
        </w:tc>
      </w:tr>
      <w:tr w14:paraId="3A46E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54B70DEB">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2</w:t>
            </w:r>
          </w:p>
        </w:tc>
        <w:tc>
          <w:tcPr>
            <w:tcW w:w="1181" w:type="dxa"/>
            <w:tcBorders>
              <w:top w:val="single" w:color="000000" w:sz="6" w:space="0"/>
              <w:left w:val="single" w:color="000000" w:sz="6" w:space="0"/>
              <w:bottom w:val="single" w:color="000000" w:sz="6" w:space="0"/>
              <w:right w:val="single" w:color="000000" w:sz="6" w:space="0"/>
            </w:tcBorders>
            <w:vAlign w:val="center"/>
          </w:tcPr>
          <w:p w14:paraId="3A965CE7">
            <w:pPr>
              <w:spacing w:line="36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水手</w:t>
            </w:r>
          </w:p>
        </w:tc>
        <w:tc>
          <w:tcPr>
            <w:tcW w:w="4425" w:type="dxa"/>
            <w:tcBorders>
              <w:top w:val="single" w:color="000000" w:sz="6" w:space="0"/>
              <w:left w:val="single" w:color="000000" w:sz="6" w:space="0"/>
              <w:bottom w:val="single" w:color="000000" w:sz="6" w:space="0"/>
              <w:right w:val="single" w:color="000000" w:sz="6" w:space="0"/>
            </w:tcBorders>
            <w:vAlign w:val="center"/>
          </w:tcPr>
          <w:p w14:paraId="0139407E">
            <w:pPr>
              <w:spacing w:line="360" w:lineRule="auto"/>
              <w:jc w:val="center"/>
              <w:rPr>
                <w:rFonts w:hint="eastAsia" w:ascii="宋体" w:hAnsi="宋体" w:eastAsia="宋体" w:cs="宋体"/>
                <w:bCs/>
                <w:color w:val="auto"/>
                <w:sz w:val="22"/>
                <w:szCs w:val="22"/>
                <w:highlight w:val="none"/>
                <w:u w:val="none"/>
                <w:lang w:eastAsia="zh-CN"/>
              </w:rPr>
            </w:pPr>
            <w:r>
              <w:rPr>
                <w:rFonts w:hint="eastAsia" w:ascii="宋体" w:hAnsi="宋体" w:eastAsia="宋体" w:cs="宋体"/>
                <w:color w:val="auto"/>
                <w:sz w:val="24"/>
                <w:szCs w:val="24"/>
                <w:highlight w:val="none"/>
                <w:u w:val="none"/>
                <w:lang w:val="en-US" w:eastAsia="zh-CN"/>
              </w:rPr>
              <w:t>人员配置至少满足三班倒需求，每班8小时，每班需配备3名</w:t>
            </w:r>
          </w:p>
        </w:tc>
        <w:tc>
          <w:tcPr>
            <w:tcW w:w="1069" w:type="dxa"/>
            <w:tcBorders>
              <w:top w:val="single" w:color="000000" w:sz="6" w:space="0"/>
              <w:left w:val="single" w:color="000000" w:sz="6" w:space="0"/>
              <w:bottom w:val="single" w:color="000000" w:sz="6" w:space="0"/>
              <w:right w:val="single" w:color="000000" w:sz="6" w:space="0"/>
            </w:tcBorders>
            <w:vAlign w:val="center"/>
          </w:tcPr>
          <w:p w14:paraId="798648BD">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cs="宋体"/>
                <w:bCs/>
                <w:color w:val="auto"/>
                <w:sz w:val="22"/>
                <w:szCs w:val="22"/>
                <w:highlight w:val="none"/>
                <w:lang w:val="en-US" w:eastAsia="zh-CN"/>
              </w:rPr>
              <w:t>3</w:t>
            </w:r>
          </w:p>
        </w:tc>
        <w:tc>
          <w:tcPr>
            <w:tcW w:w="2839" w:type="dxa"/>
            <w:vMerge w:val="continue"/>
            <w:tcBorders>
              <w:left w:val="single" w:color="000000" w:sz="6" w:space="0"/>
              <w:bottom w:val="single" w:color="000000" w:sz="6" w:space="0"/>
              <w:right w:val="single" w:color="000000" w:sz="6" w:space="0"/>
            </w:tcBorders>
            <w:vAlign w:val="center"/>
          </w:tcPr>
          <w:p w14:paraId="0986DBC4">
            <w:pPr>
              <w:spacing w:line="360" w:lineRule="auto"/>
              <w:jc w:val="center"/>
              <w:rPr>
                <w:rFonts w:hint="eastAsia" w:ascii="宋体" w:hAnsi="宋体" w:eastAsia="宋体" w:cs="宋体"/>
                <w:bCs/>
                <w:color w:val="auto"/>
                <w:sz w:val="22"/>
                <w:szCs w:val="22"/>
                <w:highlight w:val="none"/>
                <w:lang w:eastAsia="zh-CN"/>
              </w:rPr>
            </w:pPr>
          </w:p>
        </w:tc>
      </w:tr>
    </w:tbl>
    <w:p w14:paraId="243F28E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p>
    <w:p w14:paraId="09E82151">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1）人员配置至少满足三班倒需求，每班8小时；</w:t>
      </w:r>
    </w:p>
    <w:p w14:paraId="7332B308">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2）每班需配备1名人员在转运站落料口负责实时查看落料情况；</w:t>
      </w:r>
    </w:p>
    <w:p w14:paraId="4EE15D56">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3）趸船和装卸船配置人数应满足作业需求，且每班总人数不低于4人；</w:t>
      </w:r>
    </w:p>
    <w:p w14:paraId="6164BF44">
      <w:pPr>
        <w:pStyle w:val="40"/>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4）作业人员需持有效证书上岗；</w:t>
      </w:r>
    </w:p>
    <w:p w14:paraId="2B47981C">
      <w:pPr>
        <w:pStyle w:val="40"/>
        <w:numPr>
          <w:ilvl w:val="0"/>
          <w:numId w:val="0"/>
        </w:numPr>
        <w:spacing w:line="360" w:lineRule="auto"/>
        <w:ind w:firstLine="480" w:firstLineChars="200"/>
        <w:rPr>
          <w:rFonts w:hint="eastAsia" w:ascii="Calibri" w:hAnsi="Calibri" w:eastAsia="宋体" w:cs="宋体"/>
          <w:b w:val="0"/>
          <w:bCs w:val="0"/>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5）满足海事、交通、航道、环保等各部门要求。</w:t>
      </w:r>
    </w:p>
    <w:p w14:paraId="44BB791A">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3.其他：</w:t>
      </w:r>
    </w:p>
    <w:p w14:paraId="75C1D77A">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3.1</w:t>
      </w:r>
      <w:r>
        <w:rPr>
          <w:rFonts w:hint="eastAsia" w:ascii="宋体" w:hAnsi="宋体" w:eastAsia="宋体" w:cs="宋体"/>
          <w:color w:val="auto"/>
          <w:kern w:val="0"/>
          <w:sz w:val="24"/>
          <w:szCs w:val="24"/>
          <w:highlight w:val="none"/>
          <w:u w:val="single"/>
          <w:lang w:val="en-US" w:eastAsia="zh-CN"/>
        </w:rPr>
        <w:t>乙方应按相关部门要求配备各类设施设备和拟定各类预案，针对主管部门提出的要求（包括但不限于设备和人员要求），承包方应无条件整改并自行承担相关费用。</w:t>
      </w:r>
    </w:p>
    <w:p w14:paraId="2DA59D7F">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3.2转运转落料口距货船停泊水域靠岸一侧边线70米，趸船及装卸船等整套作业设备的作业范围应严格控制在此70米范围内。</w:t>
      </w:r>
    </w:p>
    <w:p w14:paraId="6525CB41">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3.3趸船充当浮码头结构使用，趸船不得侵占停泊水域范围，即</w:t>
      </w:r>
      <w:r>
        <w:rPr>
          <w:rFonts w:hint="eastAsia" w:ascii="宋体" w:hAnsi="宋体" w:eastAsia="宋体" w:cs="宋体"/>
          <w:color w:val="auto"/>
          <w:kern w:val="0"/>
          <w:sz w:val="24"/>
          <w:szCs w:val="24"/>
          <w:highlight w:val="none"/>
          <w:u w:val="single"/>
        </w:rPr>
        <w:t>趸船前沿线不得超越停泊水域靠岸侧边线向</w:t>
      </w:r>
      <w:r>
        <w:rPr>
          <w:rFonts w:hint="eastAsia" w:ascii="宋体" w:hAnsi="宋体" w:eastAsia="宋体" w:cs="宋体"/>
          <w:color w:val="auto"/>
          <w:kern w:val="0"/>
          <w:sz w:val="24"/>
          <w:szCs w:val="24"/>
          <w:highlight w:val="none"/>
          <w:u w:val="single"/>
          <w:lang w:val="en-US" w:eastAsia="zh-CN"/>
        </w:rPr>
        <w:t>航道</w:t>
      </w:r>
      <w:r>
        <w:rPr>
          <w:rFonts w:hint="eastAsia" w:ascii="宋体" w:hAnsi="宋体" w:eastAsia="宋体" w:cs="宋体"/>
          <w:color w:val="auto"/>
          <w:kern w:val="0"/>
          <w:sz w:val="24"/>
          <w:szCs w:val="24"/>
          <w:highlight w:val="none"/>
          <w:u w:val="single"/>
        </w:rPr>
        <w:t>侧延伸</w:t>
      </w:r>
      <w:r>
        <w:rPr>
          <w:rFonts w:hint="eastAsia" w:ascii="宋体" w:hAnsi="宋体" w:eastAsia="宋体" w:cs="宋体"/>
          <w:color w:val="auto"/>
          <w:kern w:val="0"/>
          <w:sz w:val="24"/>
          <w:szCs w:val="24"/>
          <w:highlight w:val="none"/>
          <w:u w:val="single"/>
          <w:lang w:val="en-US" w:eastAsia="zh-CN"/>
        </w:rPr>
        <w:t>。同时，</w:t>
      </w:r>
      <w:r>
        <w:rPr>
          <w:rFonts w:hint="eastAsia" w:ascii="宋体" w:hAnsi="宋体" w:eastAsia="宋体" w:cs="宋体"/>
          <w:color w:val="auto"/>
          <w:kern w:val="0"/>
          <w:sz w:val="24"/>
          <w:szCs w:val="24"/>
          <w:highlight w:val="none"/>
          <w:u w:val="single"/>
        </w:rPr>
        <w:t>趸船前沿线与停泊水域靠岸侧边线的间距应≤5米</w:t>
      </w:r>
      <w:r>
        <w:rPr>
          <w:rFonts w:hint="eastAsia" w:ascii="宋体" w:hAnsi="宋体" w:eastAsia="宋体" w:cs="宋体"/>
          <w:color w:val="auto"/>
          <w:kern w:val="0"/>
          <w:sz w:val="24"/>
          <w:szCs w:val="24"/>
          <w:highlight w:val="none"/>
          <w:u w:val="single"/>
          <w:lang w:val="en-US" w:eastAsia="zh-CN"/>
        </w:rPr>
        <w:t>。</w:t>
      </w:r>
    </w:p>
    <w:p w14:paraId="5079B404">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cs="宋体"/>
          <w:b w:val="0"/>
          <w:bCs w:val="0"/>
          <w:color w:val="auto"/>
          <w:sz w:val="24"/>
          <w:szCs w:val="24"/>
          <w:highlight w:val="none"/>
          <w:u w:val="none"/>
          <w:lang w:val="en-US" w:eastAsia="zh-CN"/>
        </w:rPr>
        <w:t>3.4</w:t>
      </w:r>
      <w:r>
        <w:rPr>
          <w:rFonts w:hint="eastAsia" w:eastAsia="宋体" w:cs="宋体"/>
          <w:b w:val="0"/>
          <w:bCs w:val="0"/>
          <w:color w:val="auto"/>
          <w:sz w:val="24"/>
          <w:szCs w:val="24"/>
          <w:highlight w:val="none"/>
          <w:u w:val="none"/>
          <w:lang w:val="en-US" w:eastAsia="zh-CN"/>
        </w:rPr>
        <w:t>乙方装卸运营服务</w:t>
      </w:r>
      <w:r>
        <w:rPr>
          <w:rFonts w:hint="eastAsia" w:ascii="Calibri" w:hAnsi="Calibri" w:eastAsia="宋体" w:cs="宋体"/>
          <w:b w:val="0"/>
          <w:bCs w:val="0"/>
          <w:color w:val="auto"/>
          <w:sz w:val="24"/>
          <w:szCs w:val="24"/>
          <w:highlight w:val="none"/>
          <w:u w:val="none"/>
          <w:lang w:val="en-US" w:eastAsia="zh-CN"/>
        </w:rPr>
        <w:t>应满足甲方及上级主管部门的港口码头安全应急管理要求，乙方除应做好服务范围工作外，还应服从甲方的统一指挥和调动。如</w:t>
      </w:r>
      <w:r>
        <w:rPr>
          <w:rFonts w:hint="eastAsia" w:eastAsia="宋体" w:cs="宋体"/>
          <w:b w:val="0"/>
          <w:bCs w:val="0"/>
          <w:color w:val="auto"/>
          <w:sz w:val="24"/>
          <w:szCs w:val="24"/>
          <w:highlight w:val="none"/>
          <w:u w:val="none"/>
          <w:lang w:val="en-US" w:eastAsia="zh-CN"/>
        </w:rPr>
        <w:t>甲方码头</w:t>
      </w:r>
      <w:r>
        <w:rPr>
          <w:rFonts w:hint="eastAsia" w:ascii="Calibri" w:hAnsi="Calibri" w:eastAsia="宋体" w:cs="宋体"/>
          <w:b w:val="0"/>
          <w:bCs w:val="0"/>
          <w:color w:val="auto"/>
          <w:sz w:val="24"/>
          <w:szCs w:val="24"/>
          <w:highlight w:val="none"/>
          <w:u w:val="none"/>
          <w:lang w:val="en-US" w:eastAsia="zh-CN"/>
        </w:rPr>
        <w:t>出现涉及突发事件时，须服从甲方统一调度，协助处置</w:t>
      </w:r>
      <w:r>
        <w:rPr>
          <w:rFonts w:hint="eastAsia" w:eastAsia="宋体" w:cs="宋体"/>
          <w:b w:val="0"/>
          <w:bCs w:val="0"/>
          <w:color w:val="auto"/>
          <w:sz w:val="24"/>
          <w:szCs w:val="24"/>
          <w:highlight w:val="none"/>
          <w:u w:val="none"/>
          <w:lang w:val="en-US" w:eastAsia="zh-CN"/>
        </w:rPr>
        <w:t>，乙方需</w:t>
      </w:r>
      <w:r>
        <w:rPr>
          <w:rFonts w:hint="eastAsia" w:ascii="Calibri" w:hAnsi="Calibri" w:eastAsia="宋体" w:cs="宋体"/>
          <w:b w:val="0"/>
          <w:bCs w:val="0"/>
          <w:color w:val="auto"/>
          <w:sz w:val="24"/>
          <w:szCs w:val="24"/>
          <w:highlight w:val="none"/>
          <w:u w:val="none"/>
          <w:lang w:val="en-US" w:eastAsia="zh-CN"/>
        </w:rPr>
        <w:t>15分钟到</w:t>
      </w:r>
      <w:r>
        <w:rPr>
          <w:rFonts w:hint="eastAsia" w:eastAsia="宋体" w:cs="宋体"/>
          <w:b w:val="0"/>
          <w:bCs w:val="0"/>
          <w:color w:val="auto"/>
          <w:sz w:val="24"/>
          <w:szCs w:val="24"/>
          <w:highlight w:val="none"/>
          <w:u w:val="none"/>
          <w:lang w:val="en-US" w:eastAsia="zh-CN"/>
        </w:rPr>
        <w:t>达现</w:t>
      </w:r>
      <w:r>
        <w:rPr>
          <w:rFonts w:hint="eastAsia" w:ascii="Calibri" w:hAnsi="Calibri" w:eastAsia="宋体" w:cs="宋体"/>
          <w:b w:val="0"/>
          <w:bCs w:val="0"/>
          <w:color w:val="auto"/>
          <w:sz w:val="24"/>
          <w:szCs w:val="24"/>
          <w:highlight w:val="none"/>
          <w:u w:val="none"/>
          <w:lang w:val="en-US" w:eastAsia="zh-CN"/>
        </w:rPr>
        <w:t>场，到场即时开展应急处理</w:t>
      </w:r>
      <w:r>
        <w:rPr>
          <w:rFonts w:hint="eastAsia" w:eastAsia="宋体" w:cs="宋体"/>
          <w:b w:val="0"/>
          <w:bCs w:val="0"/>
          <w:color w:val="auto"/>
          <w:sz w:val="24"/>
          <w:szCs w:val="24"/>
          <w:highlight w:val="none"/>
          <w:u w:val="none"/>
          <w:lang w:val="en-US" w:eastAsia="zh-CN"/>
        </w:rPr>
        <w:t>相关工作</w:t>
      </w:r>
      <w:r>
        <w:rPr>
          <w:rFonts w:hint="eastAsia" w:ascii="Calibri" w:hAnsi="Calibri" w:eastAsia="宋体" w:cs="宋体"/>
          <w:b w:val="0"/>
          <w:bCs w:val="0"/>
          <w:color w:val="auto"/>
          <w:sz w:val="24"/>
          <w:szCs w:val="24"/>
          <w:highlight w:val="none"/>
          <w:u w:val="none"/>
          <w:lang w:val="en-US" w:eastAsia="zh-CN"/>
        </w:rPr>
        <w:t>，</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每日抢修时间累计不得超过</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小时</w:t>
      </w:r>
      <w:r>
        <w:rPr>
          <w:rFonts w:hint="eastAsia" w:ascii="Calibri" w:hAnsi="Calibri" w:eastAsia="宋体" w:cs="宋体"/>
          <w:b w:val="0"/>
          <w:bCs w:val="0"/>
          <w:color w:val="auto"/>
          <w:sz w:val="24"/>
          <w:szCs w:val="24"/>
          <w:highlight w:val="none"/>
          <w:u w:val="none"/>
          <w:lang w:val="en-US" w:eastAsia="zh-CN"/>
        </w:rPr>
        <w:t>。</w:t>
      </w:r>
    </w:p>
    <w:p w14:paraId="439EEB3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条 合同价及付款方式</w:t>
      </w:r>
    </w:p>
    <w:p w14:paraId="05D11311">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1．本合同</w:t>
      </w:r>
      <w:r>
        <w:rPr>
          <w:rFonts w:hint="eastAsia" w:ascii="宋体" w:hAnsi="宋体" w:eastAsia="宋体" w:cs="宋体"/>
          <w:color w:val="auto"/>
          <w:kern w:val="0"/>
          <w:sz w:val="24"/>
          <w:szCs w:val="24"/>
          <w:highlight w:val="none"/>
          <w:lang w:val="en-US" w:eastAsia="zh-CN"/>
        </w:rPr>
        <w:t>装卸服务费</w:t>
      </w:r>
      <w:r>
        <w:rPr>
          <w:rFonts w:hint="eastAsia" w:ascii="宋体" w:hAnsi="宋体" w:cs="宋体"/>
          <w:color w:val="auto"/>
          <w:kern w:val="0"/>
          <w:sz w:val="24"/>
          <w:szCs w:val="24"/>
          <w:highlight w:val="none"/>
          <w:lang w:val="en-US" w:eastAsia="zh-CN"/>
        </w:rPr>
        <w:t>为</w:t>
      </w:r>
      <w:r>
        <w:rPr>
          <w:rFonts w:hint="eastAsia" w:ascii="宋体" w:hAnsi="宋体" w:eastAsia="宋体" w:cs="宋体"/>
          <w:bCs/>
          <w:color w:val="auto"/>
          <w:sz w:val="24"/>
          <w:szCs w:val="24"/>
          <w:highlight w:val="none"/>
        </w:rPr>
        <w:t>含税</w:t>
      </w:r>
      <w:r>
        <w:rPr>
          <w:rFonts w:hint="eastAsia" w:ascii="宋体" w:hAnsi="宋体" w:eastAsia="宋体" w:cs="宋体"/>
          <w:bCs/>
          <w:color w:val="auto"/>
          <w:sz w:val="24"/>
          <w:szCs w:val="24"/>
          <w:highlight w:val="none"/>
          <w:lang w:val="en-US" w:eastAsia="zh-CN"/>
        </w:rPr>
        <w:t>综合单</w:t>
      </w:r>
      <w:r>
        <w:rPr>
          <w:rFonts w:hint="eastAsia" w:ascii="宋体" w:hAnsi="宋体" w:eastAsia="宋体" w:cs="宋体"/>
          <w:color w:val="auto"/>
          <w:kern w:val="0"/>
          <w:sz w:val="24"/>
          <w:szCs w:val="24"/>
          <w:highlight w:val="none"/>
          <w:lang w:val="en-US"/>
        </w:rPr>
        <w:t>价</w:t>
      </w:r>
      <w:r>
        <w:rPr>
          <w:rFonts w:hint="eastAsia" w:ascii="宋体" w:hAnsi="宋体" w:cs="宋体"/>
          <w:color w:val="auto"/>
          <w:kern w:val="0"/>
          <w:sz w:val="24"/>
          <w:szCs w:val="24"/>
          <w:highlight w:val="none"/>
          <w:lang w:val="en-US" w:eastAsia="zh-CN"/>
        </w:rPr>
        <w:t>。</w:t>
      </w:r>
    </w:p>
    <w:p w14:paraId="357F218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每吨含税综合单价为</w:t>
      </w:r>
      <w:r>
        <w:rPr>
          <w:rFonts w:hint="eastAsia" w:ascii="宋体" w:hAnsi="宋体" w:eastAsia="宋体" w:cs="宋体"/>
          <w:color w:val="auto"/>
          <w:kern w:val="0"/>
          <w:sz w:val="24"/>
          <w:szCs w:val="24"/>
          <w:highlight w:val="none"/>
        </w:rPr>
        <w:t>人民币</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2836C312">
      <w:pPr>
        <w:keepNext w:val="0"/>
        <w:keepLines w:val="0"/>
        <w:pageBreakBefore w:val="0"/>
        <w:kinsoku/>
        <w:wordWrap/>
        <w:overflowPunct/>
        <w:topLinePunct w:val="0"/>
        <w:bidi w:val="0"/>
        <w:adjustRightInd w:val="0"/>
        <w:snapToGrid w:val="0"/>
        <w:spacing w:line="360" w:lineRule="auto"/>
        <w:ind w:left="420" w:leftChars="20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sz w:val="24"/>
          <w:szCs w:val="24"/>
          <w:highlight w:val="none"/>
        </w:rPr>
        <w:t>本合同涉及合同价款处无特别约定的均为含税价</w:t>
      </w:r>
      <w:bookmarkStart w:id="84" w:name="OLE_LINK14"/>
      <w:r>
        <w:rPr>
          <w:rFonts w:hint="eastAsia" w:ascii="宋体" w:hAnsi="宋体" w:cs="宋体"/>
          <w:color w:val="auto"/>
          <w:sz w:val="24"/>
          <w:szCs w:val="24"/>
          <w:highlight w:val="none"/>
          <w:lang w:eastAsia="zh-CN"/>
        </w:rPr>
        <w:t>，本合同价格包含现行增值税税率【</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税率调整后，</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方应在政策生效前【</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】日书面通知</w:t>
      </w:r>
      <w:r>
        <w:rPr>
          <w:rFonts w:hint="eastAsia" w:ascii="宋体" w:hAnsi="宋体" w:cs="宋体"/>
          <w:color w:val="auto"/>
          <w:sz w:val="24"/>
          <w:szCs w:val="24"/>
          <w:highlight w:val="none"/>
          <w:lang w:val="en-US" w:eastAsia="zh-CN"/>
        </w:rPr>
        <w:t>甲</w:t>
      </w:r>
      <w:r>
        <w:rPr>
          <w:rFonts w:hint="eastAsia" w:ascii="宋体" w:hAnsi="宋体" w:cs="宋体"/>
          <w:color w:val="auto"/>
          <w:sz w:val="24"/>
          <w:szCs w:val="24"/>
          <w:highlight w:val="none"/>
        </w:rPr>
        <w:t>方，并附官方政策文件。</w:t>
      </w:r>
      <w:bookmarkEnd w:id="84"/>
    </w:p>
    <w:p w14:paraId="348DF39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本合同采用</w:t>
      </w:r>
      <w:r>
        <w:rPr>
          <w:rFonts w:hint="eastAsia" w:ascii="宋体" w:hAnsi="宋体" w:eastAsia="宋体" w:cs="宋体"/>
          <w:color w:val="auto"/>
          <w:sz w:val="24"/>
          <w:szCs w:val="24"/>
          <w:highlight w:val="none"/>
          <w:lang w:val="en-US" w:eastAsia="zh-CN"/>
        </w:rPr>
        <w:t>综合单</w:t>
      </w:r>
      <w:r>
        <w:rPr>
          <w:rFonts w:hint="eastAsia" w:ascii="宋体" w:hAnsi="宋体" w:eastAsia="宋体" w:cs="宋体"/>
          <w:color w:val="auto"/>
          <w:sz w:val="24"/>
          <w:szCs w:val="24"/>
          <w:highlight w:val="none"/>
        </w:rPr>
        <w:t>价包干形式，包括但不限于装卸船舶设备改装</w:t>
      </w:r>
      <w:r>
        <w:rPr>
          <w:rFonts w:hint="eastAsia" w:ascii="宋体" w:hAnsi="宋体" w:cs="宋体"/>
          <w:color w:val="auto"/>
          <w:sz w:val="24"/>
          <w:szCs w:val="24"/>
          <w:highlight w:val="none"/>
          <w:lang w:val="en-US" w:eastAsia="zh-CN"/>
        </w:rPr>
        <w:t>使用</w:t>
      </w:r>
      <w:r>
        <w:rPr>
          <w:rFonts w:hint="eastAsia" w:ascii="宋体" w:hAnsi="宋体" w:eastAsia="宋体" w:cs="宋体"/>
          <w:color w:val="auto"/>
          <w:sz w:val="24"/>
          <w:szCs w:val="24"/>
          <w:highlight w:val="none"/>
        </w:rPr>
        <w:t>费用、</w:t>
      </w:r>
      <w:r>
        <w:rPr>
          <w:rFonts w:hint="eastAsia" w:ascii="宋体" w:hAnsi="宋体" w:cs="宋体"/>
          <w:color w:val="auto"/>
          <w:sz w:val="24"/>
          <w:szCs w:val="24"/>
          <w:highlight w:val="none"/>
          <w:lang w:val="en-US" w:eastAsia="zh-CN"/>
        </w:rPr>
        <w:t>设备的维护和修理费、</w:t>
      </w:r>
      <w:r>
        <w:rPr>
          <w:rFonts w:hint="eastAsia" w:ascii="宋体" w:hAnsi="宋体" w:eastAsia="宋体" w:cs="宋体"/>
          <w:color w:val="auto"/>
          <w:sz w:val="24"/>
          <w:szCs w:val="24"/>
          <w:highlight w:val="none"/>
        </w:rPr>
        <w:t>能源费用，人工费、安全管理费、保险费、主管部门咨询费、审批手续费用、工作人员交通差旅费、税费、利润，以及履行本合同项下全部义务的一切费用。除双方另有约定外，甲方无须向乙方支付其他任何费用。</w:t>
      </w:r>
    </w:p>
    <w:p w14:paraId="6FDC8290">
      <w:pPr>
        <w:pStyle w:val="40"/>
        <w:spacing w:line="360" w:lineRule="auto"/>
        <w:ind w:left="0" w:leftChars="0"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本项目服务费计费方式根据月度装卸数量计收服</w:t>
      </w:r>
      <w:r>
        <w:rPr>
          <w:rFonts w:hint="eastAsia" w:ascii="宋体" w:hAnsi="宋体" w:eastAsia="宋体" w:cs="宋体"/>
          <w:color w:val="auto"/>
          <w:sz w:val="24"/>
          <w:szCs w:val="24"/>
          <w:highlight w:val="none"/>
          <w:u w:val="none"/>
        </w:rPr>
        <w:t>务费</w:t>
      </w:r>
      <w:r>
        <w:rPr>
          <w:rFonts w:hint="eastAsia" w:ascii="宋体" w:hAnsi="宋体" w:eastAsia="宋体" w:cs="宋体"/>
          <w:color w:val="auto"/>
          <w:kern w:val="2"/>
          <w:sz w:val="24"/>
          <w:szCs w:val="24"/>
          <w:highlight w:val="none"/>
          <w:u w:val="none"/>
          <w:lang w:val="en-US" w:eastAsia="zh-CN" w:bidi="ar-SA"/>
        </w:rPr>
        <w:t>。</w:t>
      </w:r>
    </w:p>
    <w:p w14:paraId="089896B3">
      <w:pPr>
        <w:keepNext w:val="0"/>
        <w:keepLines w:val="0"/>
        <w:pageBreakBefore w:val="0"/>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val="en-US" w:eastAsia="zh-CN"/>
        </w:rPr>
        <w:t>每月15日之前核对上月出货数量，双方确认数量后30</w:t>
      </w:r>
      <w:r>
        <w:rPr>
          <w:rFonts w:hint="eastAsia" w:ascii="宋体" w:hAnsi="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lang w:val="en-US" w:eastAsia="zh-CN"/>
        </w:rPr>
        <w:t>日历日内支付</w:t>
      </w:r>
      <w:r>
        <w:rPr>
          <w:rFonts w:hint="eastAsia" w:ascii="宋体" w:hAnsi="宋体" w:cs="宋体"/>
          <w:color w:val="auto"/>
          <w:kern w:val="0"/>
          <w:sz w:val="24"/>
          <w:szCs w:val="24"/>
          <w:highlight w:val="none"/>
          <w:lang w:val="en-US" w:eastAsia="zh-CN"/>
        </w:rPr>
        <w:t>上月的</w:t>
      </w:r>
      <w:r>
        <w:rPr>
          <w:rFonts w:hint="eastAsia" w:ascii="宋体" w:hAnsi="宋体" w:eastAsia="宋体" w:cs="宋体"/>
          <w:color w:val="auto"/>
          <w:kern w:val="0"/>
          <w:sz w:val="24"/>
          <w:szCs w:val="24"/>
          <w:highlight w:val="none"/>
          <w:lang w:val="en-US" w:eastAsia="zh-CN"/>
        </w:rPr>
        <w:t>服务费用。</w:t>
      </w:r>
    </w:p>
    <w:p w14:paraId="758E0B1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付款条件：付款前须向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b w:val="0"/>
          <w:bCs w:val="0"/>
          <w:color w:val="auto"/>
          <w:sz w:val="24"/>
          <w:szCs w:val="24"/>
          <w:highlight w:val="none"/>
        </w:rPr>
        <w:t>提供书面付款申请，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服务结算单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和相应金额</w:t>
      </w:r>
      <w:r>
        <w:rPr>
          <w:rFonts w:hint="eastAsia" w:ascii="宋体" w:hAnsi="宋体" w:eastAsia="宋体" w:cs="宋体"/>
          <w:color w:val="auto"/>
          <w:sz w:val="24"/>
          <w:szCs w:val="24"/>
          <w:highlight w:val="none"/>
        </w:rPr>
        <w:t>且符合</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所在地税务主管机关要求的增值税专用发票，否则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可拒付并不承担任何责任。</w:t>
      </w:r>
    </w:p>
    <w:p w14:paraId="352F9E8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．乙方账户信息：</w:t>
      </w:r>
    </w:p>
    <w:p w14:paraId="061DB4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账户名称：</w:t>
      </w:r>
      <w:r>
        <w:rPr>
          <w:rFonts w:hint="eastAsia" w:ascii="宋体" w:hAnsi="宋体" w:eastAsia="宋体" w:cs="宋体"/>
          <w:bCs/>
          <w:color w:val="auto"/>
          <w:sz w:val="24"/>
          <w:szCs w:val="24"/>
          <w:highlight w:val="none"/>
          <w:u w:val="single"/>
        </w:rPr>
        <w:t xml:space="preserve">                             </w:t>
      </w:r>
    </w:p>
    <w:p w14:paraId="39D2C1E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账    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cr/>
      </w:r>
      <w:r>
        <w:rPr>
          <w:rFonts w:hint="eastAsia" w:ascii="宋体" w:hAnsi="宋体" w:eastAsia="宋体" w:cs="宋体"/>
          <w:bCs/>
          <w:color w:val="auto"/>
          <w:sz w:val="24"/>
          <w:szCs w:val="24"/>
          <w:highlight w:val="none"/>
        </w:rPr>
        <w:t xml:space="preserve">    开 户 行：</w:t>
      </w:r>
      <w:r>
        <w:rPr>
          <w:rFonts w:hint="eastAsia" w:ascii="宋体" w:hAnsi="宋体" w:eastAsia="宋体" w:cs="宋体"/>
          <w:bCs/>
          <w:color w:val="auto"/>
          <w:sz w:val="24"/>
          <w:szCs w:val="24"/>
          <w:highlight w:val="none"/>
          <w:u w:val="single"/>
        </w:rPr>
        <w:t xml:space="preserve">                             </w:t>
      </w:r>
    </w:p>
    <w:p w14:paraId="1ACED8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u w:val="single"/>
        </w:rPr>
      </w:pPr>
    </w:p>
    <w:p w14:paraId="71B06A16">
      <w:pPr>
        <w:numPr>
          <w:ilvl w:val="0"/>
          <w:numId w:val="0"/>
        </w:numPr>
        <w:adjustRightInd w:val="0"/>
        <w:snapToGrid w:val="0"/>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eastAsia="宋体" w:cs="宋体"/>
          <w:b/>
          <w:color w:val="auto"/>
          <w:kern w:val="2"/>
          <w:sz w:val="24"/>
          <w:szCs w:val="24"/>
          <w:highlight w:val="none"/>
          <w:lang w:val="en-US" w:eastAsia="zh-CN" w:bidi="ar-SA"/>
        </w:rPr>
        <w:t>第</w:t>
      </w:r>
      <w:r>
        <w:rPr>
          <w:rFonts w:hint="eastAsia" w:ascii="宋体" w:hAnsi="宋体" w:cs="宋体"/>
          <w:b/>
          <w:color w:val="auto"/>
          <w:kern w:val="2"/>
          <w:sz w:val="24"/>
          <w:szCs w:val="24"/>
          <w:highlight w:val="none"/>
          <w:lang w:val="en-US" w:eastAsia="zh-CN" w:bidi="ar-SA"/>
        </w:rPr>
        <w:t>五</w:t>
      </w:r>
      <w:r>
        <w:rPr>
          <w:rFonts w:hint="eastAsia" w:ascii="宋体" w:hAnsi="宋体" w:eastAsia="宋体" w:cs="宋体"/>
          <w:b/>
          <w:color w:val="auto"/>
          <w:kern w:val="2"/>
          <w:sz w:val="24"/>
          <w:szCs w:val="24"/>
          <w:highlight w:val="none"/>
          <w:lang w:val="en-US" w:eastAsia="zh-CN" w:bidi="ar-SA"/>
        </w:rPr>
        <w:t>条</w:t>
      </w:r>
      <w:r>
        <w:rPr>
          <w:rFonts w:hint="eastAsia" w:ascii="宋体" w:hAnsi="宋体" w:cs="宋体"/>
          <w:b/>
          <w:color w:val="auto"/>
          <w:kern w:val="2"/>
          <w:sz w:val="24"/>
          <w:szCs w:val="24"/>
          <w:highlight w:val="none"/>
          <w:lang w:val="en-US" w:eastAsia="zh-CN" w:bidi="ar-SA"/>
        </w:rPr>
        <w:t xml:space="preserve"> </w:t>
      </w:r>
      <w:r>
        <w:rPr>
          <w:rFonts w:hint="eastAsia" w:ascii="宋体" w:hAnsi="宋体" w:eastAsia="宋体" w:cs="宋体"/>
          <w:b/>
          <w:color w:val="auto"/>
          <w:sz w:val="24"/>
          <w:szCs w:val="24"/>
          <w:highlight w:val="none"/>
        </w:rPr>
        <w:t>双方</w:t>
      </w:r>
      <w:r>
        <w:rPr>
          <w:rFonts w:hint="eastAsia" w:ascii="宋体" w:hAnsi="宋体" w:cs="宋体"/>
          <w:b/>
          <w:color w:val="auto"/>
          <w:sz w:val="24"/>
          <w:szCs w:val="24"/>
          <w:highlight w:val="none"/>
          <w:lang w:val="en-US" w:eastAsia="zh-CN"/>
        </w:rPr>
        <w:t>权利与义务</w:t>
      </w:r>
    </w:p>
    <w:p w14:paraId="5BCD8FFE">
      <w:pPr>
        <w:numPr>
          <w:ilvl w:val="-1"/>
          <w:numId w:val="0"/>
        </w:numPr>
        <w:adjustRightInd w:val="0"/>
        <w:snapToGrid w:val="0"/>
        <w:spacing w:line="360" w:lineRule="auto"/>
        <w:ind w:firstLine="723" w:firstLineChars="3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1）甲方权利与义务</w:t>
      </w:r>
    </w:p>
    <w:p w14:paraId="2CBD18DD">
      <w:pPr>
        <w:numPr>
          <w:ilvl w:val="0"/>
          <w:numId w:val="13"/>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甲方委派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(电子邮箱：</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)负责与乙方沟通协调。乙方委派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(电子邮箱：</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)负责与甲方沟通协调。</w:t>
      </w:r>
    </w:p>
    <w:p w14:paraId="6835C320">
      <w:pPr>
        <w:numPr>
          <w:ilvl w:val="-1"/>
          <w:numId w:val="0"/>
        </w:numPr>
        <w:adjustRightInd w:val="0"/>
        <w:snapToGrid w:val="0"/>
        <w:spacing w:line="360" w:lineRule="auto"/>
        <w:ind w:firstLine="480" w:firstLineChars="200"/>
        <w:rPr>
          <w:rFonts w:hint="eastAsia" w:ascii="宋体" w:hAnsi="宋体" w:eastAsia="宋体" w:cs="宋体"/>
          <w:bCs/>
          <w:color w:val="auto"/>
          <w:sz w:val="24"/>
          <w:szCs w:val="24"/>
          <w:highlight w:val="none"/>
          <w:shd w:val="clear"/>
          <w:lang w:bidi="ar-SA"/>
        </w:rPr>
      </w:pPr>
      <w:r>
        <w:rPr>
          <w:rFonts w:hint="eastAsia" w:ascii="宋体" w:hAnsi="宋体" w:cs="宋体"/>
          <w:bCs/>
          <w:i w:val="0"/>
          <w:iCs w:val="0"/>
          <w:caps w:val="0"/>
          <w:color w:val="auto"/>
          <w:spacing w:val="0"/>
          <w:sz w:val="24"/>
          <w:szCs w:val="24"/>
          <w:highlight w:val="none"/>
          <w:lang w:val="en-US" w:eastAsia="zh-CN"/>
        </w:rPr>
        <w:t>2.甲方</w:t>
      </w:r>
      <w:r>
        <w:rPr>
          <w:rFonts w:hint="eastAsia" w:ascii="宋体" w:hAnsi="宋体" w:eastAsia="宋体" w:cs="宋体"/>
          <w:bCs/>
          <w:i w:val="0"/>
          <w:iCs w:val="0"/>
          <w:caps w:val="0"/>
          <w:color w:val="auto"/>
          <w:spacing w:val="0"/>
          <w:sz w:val="24"/>
          <w:szCs w:val="24"/>
          <w:highlight w:val="none"/>
        </w:rPr>
        <w:t>提前通知乙方装卸计划，并提供货物清单、装卸要求等必要信息</w:t>
      </w:r>
      <w:r>
        <w:rPr>
          <w:rFonts w:hint="eastAsia" w:ascii="宋体" w:hAnsi="宋体" w:cs="宋体"/>
          <w:bCs/>
          <w:i w:val="0"/>
          <w:iCs w:val="0"/>
          <w:caps w:val="0"/>
          <w:color w:val="auto"/>
          <w:spacing w:val="0"/>
          <w:sz w:val="24"/>
          <w:szCs w:val="24"/>
          <w:highlight w:val="none"/>
          <w:lang w:eastAsia="zh-CN"/>
        </w:rPr>
        <w:t>。</w:t>
      </w:r>
    </w:p>
    <w:p w14:paraId="54ADAB51">
      <w:pPr>
        <w:numPr>
          <w:ilvl w:val="-1"/>
          <w:numId w:val="0"/>
        </w:numPr>
        <w:adjustRightInd w:val="0"/>
        <w:snapToGrid w:val="0"/>
        <w:spacing w:line="360" w:lineRule="auto"/>
        <w:ind w:firstLine="480" w:firstLineChars="200"/>
        <w:rPr>
          <w:rFonts w:hint="eastAsia" w:ascii="宋体" w:hAnsi="宋体" w:cs="宋体"/>
          <w:bCs/>
          <w:color w:val="auto"/>
          <w:kern w:val="2"/>
          <w:sz w:val="24"/>
          <w:szCs w:val="24"/>
          <w:highlight w:val="none"/>
        </w:rPr>
      </w:pPr>
      <w:r>
        <w:rPr>
          <w:rFonts w:hint="eastAsia" w:ascii="宋体" w:hAnsi="宋体" w:cs="宋体"/>
          <w:bCs/>
          <w:i w:val="0"/>
          <w:iCs w:val="0"/>
          <w:caps w:val="0"/>
          <w:color w:val="auto"/>
          <w:spacing w:val="0"/>
          <w:sz w:val="24"/>
          <w:szCs w:val="24"/>
          <w:highlight w:val="none"/>
          <w:lang w:val="en-US" w:eastAsia="zh-CN"/>
        </w:rPr>
        <w:t>3.</w:t>
      </w:r>
      <w:r>
        <w:rPr>
          <w:rFonts w:hint="eastAsia" w:ascii="宋体" w:hAnsi="宋体" w:eastAsia="宋体" w:cs="宋体"/>
          <w:bCs/>
          <w:i w:val="0"/>
          <w:iCs w:val="0"/>
          <w:caps w:val="0"/>
          <w:color w:val="auto"/>
          <w:spacing w:val="0"/>
          <w:sz w:val="24"/>
          <w:szCs w:val="24"/>
          <w:highlight w:val="none"/>
        </w:rPr>
        <w:t>确保货物包装符合安全装卸标准</w:t>
      </w:r>
      <w:r>
        <w:rPr>
          <w:rFonts w:hint="eastAsia" w:ascii="宋体" w:hAnsi="宋体" w:eastAsia="宋体" w:cs="宋体"/>
          <w:bCs/>
          <w:color w:val="auto"/>
          <w:sz w:val="24"/>
          <w:szCs w:val="24"/>
          <w:highlight w:val="none"/>
          <w:shd w:val="clear"/>
          <w:lang w:bidi="ar-SA"/>
        </w:rPr>
        <w:t>在乙方无任何违约情形、过错前提下，甲方依约支付</w:t>
      </w:r>
      <w:r>
        <w:rPr>
          <w:rFonts w:hint="eastAsia" w:ascii="宋体" w:hAnsi="宋体" w:cs="宋体"/>
          <w:bCs/>
          <w:color w:val="auto"/>
          <w:sz w:val="24"/>
          <w:szCs w:val="24"/>
          <w:highlight w:val="none"/>
          <w:shd w:val="clear"/>
          <w:lang w:val="en-US" w:eastAsia="zh-CN" w:bidi="ar-SA"/>
        </w:rPr>
        <w:t>装卸</w:t>
      </w:r>
      <w:r>
        <w:rPr>
          <w:rFonts w:hint="eastAsia" w:ascii="宋体" w:hAnsi="宋体" w:eastAsia="宋体" w:cs="宋体"/>
          <w:bCs/>
          <w:color w:val="auto"/>
          <w:sz w:val="24"/>
          <w:szCs w:val="24"/>
          <w:highlight w:val="none"/>
          <w:shd w:val="clear"/>
          <w:lang w:bidi="ar-SA"/>
        </w:rPr>
        <w:t>服务费用。</w:t>
      </w:r>
    </w:p>
    <w:p w14:paraId="62786BE5">
      <w:pPr>
        <w:numPr>
          <w:ilvl w:val="-1"/>
          <w:numId w:val="0"/>
        </w:numPr>
        <w:adjustRightInd w:val="0"/>
        <w:snapToGrid w:val="0"/>
        <w:spacing w:line="360" w:lineRule="auto"/>
        <w:ind w:firstLine="480" w:firstLineChars="200"/>
        <w:rPr>
          <w:rFonts w:hint="eastAsia" w:ascii="宋体" w:hAnsi="宋体" w:eastAsia="宋体" w:cs="宋体"/>
          <w:bCs/>
          <w:color w:val="auto"/>
          <w:kern w:val="2"/>
          <w:sz w:val="24"/>
          <w:szCs w:val="24"/>
          <w:highlight w:val="none"/>
          <w:shd w:val="clear"/>
          <w:lang w:bidi="ar-SA"/>
        </w:rPr>
      </w:pPr>
      <w:r>
        <w:rPr>
          <w:rFonts w:hint="eastAsia" w:ascii="宋体" w:hAnsi="宋体" w:cs="宋体"/>
          <w:bCs/>
          <w:color w:val="auto"/>
          <w:kern w:val="2"/>
          <w:sz w:val="24"/>
          <w:szCs w:val="24"/>
          <w:highlight w:val="none"/>
          <w:shd w:val="clear"/>
          <w:lang w:val="en-US" w:eastAsia="zh-CN" w:bidi="ar-SA"/>
        </w:rPr>
        <w:t>4.甲方</w:t>
      </w:r>
      <w:r>
        <w:rPr>
          <w:rFonts w:hint="eastAsia" w:ascii="宋体" w:hAnsi="宋体" w:eastAsia="宋体" w:cs="宋体"/>
          <w:bCs/>
          <w:color w:val="auto"/>
          <w:sz w:val="24"/>
          <w:szCs w:val="24"/>
          <w:highlight w:val="none"/>
          <w:shd w:val="clear"/>
          <w:lang w:bidi="ar-SA"/>
        </w:rPr>
        <w:t>有权要求乙方按照本合同约定履行</w:t>
      </w:r>
      <w:r>
        <w:rPr>
          <w:rFonts w:hint="eastAsia" w:ascii="宋体" w:hAnsi="宋体" w:cs="宋体"/>
          <w:bCs/>
          <w:color w:val="auto"/>
          <w:kern w:val="2"/>
          <w:sz w:val="24"/>
          <w:szCs w:val="24"/>
          <w:highlight w:val="none"/>
          <w:shd w:val="clear"/>
          <w:lang w:val="en-US" w:eastAsia="zh-CN" w:bidi="ar-SA"/>
        </w:rPr>
        <w:t>装卸服务等相关合同</w:t>
      </w:r>
      <w:r>
        <w:rPr>
          <w:rFonts w:hint="eastAsia" w:ascii="宋体" w:hAnsi="宋体" w:eastAsia="宋体" w:cs="宋体"/>
          <w:bCs/>
          <w:color w:val="auto"/>
          <w:sz w:val="24"/>
          <w:szCs w:val="24"/>
          <w:highlight w:val="none"/>
          <w:shd w:val="clear"/>
          <w:lang w:bidi="ar-SA"/>
        </w:rPr>
        <w:t>义务。</w:t>
      </w:r>
    </w:p>
    <w:p w14:paraId="444C17F7">
      <w:pPr>
        <w:numPr>
          <w:ilvl w:val="0"/>
          <w:numId w:val="14"/>
        </w:numPr>
        <w:adjustRightInd w:val="0"/>
        <w:snapToGrid w:val="0"/>
        <w:spacing w:line="360" w:lineRule="auto"/>
        <w:ind w:left="315" w:firstLineChars="0"/>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乙方权利与义务</w:t>
      </w:r>
    </w:p>
    <w:p w14:paraId="048ED65E">
      <w:pPr>
        <w:numPr>
          <w:ilvl w:val="-1"/>
          <w:numId w:val="0"/>
        </w:numPr>
        <w:adjustRightInd w:val="0"/>
        <w:snapToGrid w:val="0"/>
        <w:spacing w:line="360" w:lineRule="auto"/>
        <w:ind w:firstLine="480" w:firstLineChars="200"/>
        <w:rPr>
          <w:rFonts w:hint="default" w:ascii="宋体" w:hAnsi="宋体" w:cs="宋体"/>
          <w:bCs/>
          <w:color w:val="auto"/>
          <w:kern w:val="2"/>
          <w:sz w:val="24"/>
          <w:szCs w:val="24"/>
          <w:highlight w:val="none"/>
        </w:rPr>
      </w:pPr>
      <w:r>
        <w:rPr>
          <w:rFonts w:hint="eastAsia" w:ascii="宋体" w:hAnsi="宋体" w:cs="宋体"/>
          <w:bCs/>
          <w:color w:val="auto"/>
          <w:sz w:val="24"/>
          <w:szCs w:val="24"/>
          <w:highlight w:val="none"/>
          <w:lang w:val="en-US" w:eastAsia="zh-CN"/>
        </w:rPr>
        <w:t>1.乙</w:t>
      </w:r>
      <w:r>
        <w:rPr>
          <w:rFonts w:hint="eastAsia" w:ascii="宋体" w:hAnsi="宋体" w:eastAsia="宋体" w:cs="宋体"/>
          <w:bCs/>
          <w:color w:val="auto"/>
          <w:sz w:val="24"/>
          <w:szCs w:val="24"/>
          <w:highlight w:val="none"/>
        </w:rPr>
        <w:t>方委派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(电子邮箱：</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)负责与</w:t>
      </w:r>
      <w:r>
        <w:rPr>
          <w:rFonts w:hint="eastAsia" w:ascii="宋体" w:hAnsi="宋体" w:cs="宋体"/>
          <w:bCs/>
          <w:color w:val="auto"/>
          <w:sz w:val="24"/>
          <w:szCs w:val="24"/>
          <w:highlight w:val="none"/>
          <w:lang w:val="en-US" w:eastAsia="zh-CN"/>
        </w:rPr>
        <w:t>甲</w:t>
      </w:r>
      <w:r>
        <w:rPr>
          <w:rFonts w:hint="eastAsia" w:ascii="宋体" w:hAnsi="宋体" w:eastAsia="宋体" w:cs="宋体"/>
          <w:bCs/>
          <w:color w:val="auto"/>
          <w:sz w:val="24"/>
          <w:szCs w:val="24"/>
          <w:highlight w:val="none"/>
        </w:rPr>
        <w:t>方沟通协调。乙方委派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(电子邮箱：</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)负责与甲方沟通协调。</w:t>
      </w:r>
    </w:p>
    <w:p w14:paraId="0B37045D">
      <w:pPr>
        <w:numPr>
          <w:ilvl w:val="-1"/>
          <w:numId w:val="0"/>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乙方</w:t>
      </w:r>
      <w:r>
        <w:rPr>
          <w:rFonts w:hint="eastAsia" w:ascii="宋体" w:hAnsi="宋体" w:eastAsia="宋体" w:cs="宋体"/>
          <w:bCs/>
          <w:color w:val="auto"/>
          <w:sz w:val="24"/>
          <w:szCs w:val="24"/>
          <w:highlight w:val="none"/>
          <w:lang w:val="en-US" w:eastAsia="zh-CN"/>
        </w:rPr>
        <w:t>进行装卸服务运营</w:t>
      </w:r>
      <w:r>
        <w:rPr>
          <w:rFonts w:hint="eastAsia" w:ascii="宋体" w:hAnsi="宋体" w:eastAsia="宋体" w:cs="宋体"/>
          <w:bCs/>
          <w:color w:val="auto"/>
          <w:sz w:val="24"/>
          <w:szCs w:val="24"/>
          <w:highlight w:val="none"/>
        </w:rPr>
        <w:t>前，应充分征询甲方的意见，及时回复甲方提出的问题，按甲方的书面要求调整</w:t>
      </w:r>
      <w:r>
        <w:rPr>
          <w:rFonts w:hint="eastAsia" w:ascii="宋体" w:hAnsi="宋体" w:cs="宋体"/>
          <w:bCs/>
          <w:color w:val="auto"/>
          <w:sz w:val="24"/>
          <w:szCs w:val="24"/>
          <w:highlight w:val="none"/>
          <w:lang w:val="en-US" w:eastAsia="zh-CN"/>
        </w:rPr>
        <w:t>装卸计划。</w:t>
      </w:r>
    </w:p>
    <w:p w14:paraId="51497455">
      <w:pPr>
        <w:numPr>
          <w:ilvl w:val="0"/>
          <w:numId w:val="13"/>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乙方进行</w:t>
      </w:r>
      <w:r>
        <w:rPr>
          <w:rFonts w:hint="eastAsia" w:ascii="宋体" w:hAnsi="宋体" w:eastAsia="宋体" w:cs="宋体"/>
          <w:bCs/>
          <w:color w:val="auto"/>
          <w:sz w:val="24"/>
          <w:szCs w:val="24"/>
          <w:highlight w:val="none"/>
          <w:lang w:val="en-US" w:eastAsia="zh-CN"/>
        </w:rPr>
        <w:t>装卸</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lang w:val="en-US" w:eastAsia="zh-CN"/>
        </w:rPr>
        <w:t>运营</w:t>
      </w:r>
      <w:r>
        <w:rPr>
          <w:rFonts w:hint="eastAsia" w:ascii="宋体" w:hAnsi="宋体" w:eastAsia="宋体" w:cs="宋体"/>
          <w:bCs/>
          <w:color w:val="auto"/>
          <w:sz w:val="24"/>
          <w:szCs w:val="24"/>
          <w:highlight w:val="none"/>
        </w:rPr>
        <w:t>时，应自觉遵守甲方的安全规定及管理制度。非因甲方原因，乙方人员从事</w:t>
      </w:r>
      <w:r>
        <w:rPr>
          <w:rFonts w:hint="eastAsia" w:ascii="宋体" w:hAnsi="宋体" w:cs="宋体"/>
          <w:bCs/>
          <w:color w:val="auto"/>
          <w:sz w:val="24"/>
          <w:szCs w:val="24"/>
          <w:highlight w:val="none"/>
          <w:lang w:val="en-US" w:eastAsia="zh-CN"/>
        </w:rPr>
        <w:t>装卸服务运营所</w:t>
      </w:r>
      <w:r>
        <w:rPr>
          <w:rFonts w:hint="eastAsia" w:ascii="宋体" w:hAnsi="宋体" w:eastAsia="宋体" w:cs="宋体"/>
          <w:bCs/>
          <w:color w:val="auto"/>
          <w:sz w:val="24"/>
          <w:szCs w:val="24"/>
          <w:highlight w:val="none"/>
        </w:rPr>
        <w:t>造成自身或任何第三方人员遭受人身伤害或财产损失等，均由乙方承担全部责任。因此给甲方造成损失的，乙方需全额赔偿。</w:t>
      </w:r>
    </w:p>
    <w:p w14:paraId="62B67B7B">
      <w:pPr>
        <w:numPr>
          <w:ilvl w:val="0"/>
          <w:numId w:val="13"/>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由于乙方</w:t>
      </w:r>
      <w:r>
        <w:rPr>
          <w:rFonts w:hint="eastAsia" w:ascii="宋体" w:hAnsi="宋体" w:cs="宋体"/>
          <w:bCs/>
          <w:color w:val="auto"/>
          <w:sz w:val="24"/>
          <w:szCs w:val="24"/>
          <w:highlight w:val="none"/>
          <w:lang w:val="en-US" w:eastAsia="zh-CN"/>
        </w:rPr>
        <w:t>的过错</w:t>
      </w:r>
      <w:r>
        <w:rPr>
          <w:rFonts w:hint="eastAsia" w:ascii="宋体" w:hAnsi="宋体" w:eastAsia="宋体" w:cs="宋体"/>
          <w:bCs/>
          <w:color w:val="auto"/>
          <w:sz w:val="24"/>
          <w:szCs w:val="24"/>
          <w:highlight w:val="none"/>
        </w:rPr>
        <w:t>等</w:t>
      </w:r>
      <w:r>
        <w:rPr>
          <w:rFonts w:hint="eastAsia" w:ascii="宋体" w:hAnsi="宋体" w:cs="宋体"/>
          <w:bCs/>
          <w:color w:val="auto"/>
          <w:sz w:val="24"/>
          <w:szCs w:val="24"/>
          <w:highlight w:val="none"/>
          <w:lang w:val="en-US" w:eastAsia="zh-CN"/>
        </w:rPr>
        <w:t>原因</w:t>
      </w:r>
      <w:r>
        <w:rPr>
          <w:rFonts w:hint="eastAsia" w:ascii="宋体" w:hAnsi="宋体" w:eastAsia="宋体" w:cs="宋体"/>
          <w:bCs/>
          <w:color w:val="auto"/>
          <w:sz w:val="24"/>
          <w:szCs w:val="24"/>
          <w:highlight w:val="none"/>
        </w:rPr>
        <w:t>造成</w:t>
      </w:r>
      <w:r>
        <w:rPr>
          <w:rFonts w:hint="eastAsia" w:ascii="宋体" w:hAnsi="宋体" w:cs="宋体"/>
          <w:bCs/>
          <w:color w:val="auto"/>
          <w:sz w:val="24"/>
          <w:szCs w:val="24"/>
          <w:highlight w:val="none"/>
          <w:lang w:val="en-US" w:eastAsia="zh-CN"/>
        </w:rPr>
        <w:t>码头</w:t>
      </w:r>
      <w:r>
        <w:rPr>
          <w:rFonts w:hint="eastAsia" w:ascii="宋体" w:hAnsi="宋体" w:eastAsia="宋体" w:cs="宋体"/>
          <w:bCs/>
          <w:color w:val="auto"/>
          <w:sz w:val="24"/>
          <w:szCs w:val="24"/>
          <w:highlight w:val="none"/>
        </w:rPr>
        <w:t>安全或质量事故，乙方应承担由此产生的责任。</w:t>
      </w:r>
    </w:p>
    <w:p w14:paraId="3CC2C2C0">
      <w:pPr>
        <w:numPr>
          <w:ilvl w:val="0"/>
          <w:numId w:val="13"/>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乙方应根据其专业知识、综合积累的数据资料和经验，根据国家的有关标准和规定</w:t>
      </w:r>
      <w:r>
        <w:rPr>
          <w:rFonts w:hint="eastAsia" w:ascii="宋体" w:hAnsi="宋体" w:cs="宋体"/>
          <w:bCs/>
          <w:color w:val="auto"/>
          <w:sz w:val="24"/>
          <w:szCs w:val="24"/>
          <w:highlight w:val="none"/>
          <w:lang w:val="en-US" w:eastAsia="zh-CN"/>
        </w:rPr>
        <w:t>进行</w:t>
      </w:r>
      <w:r>
        <w:rPr>
          <w:rFonts w:hint="eastAsia" w:ascii="宋体" w:hAnsi="宋体" w:eastAsia="宋体" w:cs="宋体"/>
          <w:bCs/>
          <w:color w:val="auto"/>
          <w:sz w:val="24"/>
          <w:szCs w:val="24"/>
          <w:highlight w:val="none"/>
          <w:lang w:val="en-US" w:eastAsia="zh-CN"/>
        </w:rPr>
        <w:t>装卸服务运营</w:t>
      </w:r>
      <w:r>
        <w:rPr>
          <w:rFonts w:hint="eastAsia" w:ascii="宋体" w:hAnsi="宋体" w:eastAsia="宋体" w:cs="宋体"/>
          <w:bCs/>
          <w:color w:val="auto"/>
          <w:sz w:val="24"/>
          <w:szCs w:val="24"/>
          <w:highlight w:val="none"/>
        </w:rPr>
        <w:t>。</w:t>
      </w:r>
    </w:p>
    <w:p w14:paraId="2538A19E">
      <w:pPr>
        <w:numPr>
          <w:ilvl w:val="-1"/>
          <w:numId w:val="0"/>
        </w:num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为履行本合同，乙方应委派具有丰富经验的专业人员组成专门工作小组，乙方应在本合同签订之日起5个日历天内向甲方提交工作小组名单并经甲方书面确认。未经甲方书面同意，乙方不得擅自更换工作小组成员。甲方要求对工作小组中不称职的成员进行调换的，乙方应在3个工作日内更换至甲方满意，并将结果书面通知甲方。甲方有权根据项目实际情况要求乙方增加或调整相关人员，并且不另支付费用。</w:t>
      </w:r>
    </w:p>
    <w:p w14:paraId="61BD21D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为本项目提供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服务团队</w:t>
      </w:r>
      <w:r>
        <w:rPr>
          <w:rFonts w:hint="eastAsia" w:ascii="宋体" w:hAnsi="宋体" w:eastAsia="宋体" w:cs="宋体"/>
          <w:color w:val="auto"/>
          <w:sz w:val="24"/>
          <w:szCs w:val="24"/>
          <w:highlight w:val="none"/>
          <w:lang w:val="en-US" w:eastAsia="zh-CN"/>
        </w:rPr>
        <w:t>人数应满足24小时作业要求，并符合主管部门的相关规定。</w:t>
      </w:r>
    </w:p>
    <w:p w14:paraId="62C1D451">
      <w:pPr>
        <w:numPr>
          <w:ilvl w:val="0"/>
          <w:numId w:val="0"/>
        </w:numPr>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bookmarkStart w:id="85" w:name="OLE_LINK27"/>
      <w:r>
        <w:rPr>
          <w:rFonts w:hint="eastAsia" w:ascii="宋体" w:hAnsi="宋体" w:eastAsia="宋体" w:cs="宋体"/>
          <w:color w:val="auto"/>
          <w:sz w:val="24"/>
          <w:szCs w:val="24"/>
          <w:highlight w:val="none"/>
          <w:lang w:val="en-US" w:eastAsia="zh-CN"/>
        </w:rPr>
        <w:t>乙方应保证相关作业设备满足海事、航道</w:t>
      </w:r>
      <w:bookmarkEnd w:id="85"/>
      <w:r>
        <w:rPr>
          <w:rFonts w:hint="eastAsia" w:ascii="宋体" w:hAnsi="宋体" w:eastAsia="宋体" w:cs="宋体"/>
          <w:color w:val="auto"/>
          <w:sz w:val="24"/>
          <w:szCs w:val="24"/>
          <w:highlight w:val="none"/>
          <w:lang w:val="en-US" w:eastAsia="zh-CN"/>
        </w:rPr>
        <w:t>、环保等相关主管部门要求</w:t>
      </w:r>
      <w:r>
        <w:rPr>
          <w:rFonts w:hint="eastAsia" w:ascii="宋体" w:hAnsi="宋体" w:cs="宋体"/>
          <w:color w:val="auto"/>
          <w:sz w:val="24"/>
          <w:szCs w:val="24"/>
          <w:highlight w:val="none"/>
          <w:lang w:val="en-US" w:eastAsia="zh-CN"/>
        </w:rPr>
        <w:t>，如相关作业设备未满足</w:t>
      </w:r>
      <w:r>
        <w:rPr>
          <w:rFonts w:hint="eastAsia" w:ascii="宋体" w:hAnsi="宋体" w:eastAsia="宋体" w:cs="宋体"/>
          <w:color w:val="auto"/>
          <w:sz w:val="24"/>
          <w:szCs w:val="24"/>
          <w:highlight w:val="none"/>
          <w:lang w:val="en-US" w:eastAsia="zh-CN"/>
        </w:rPr>
        <w:t>相关主管部门要求</w:t>
      </w:r>
      <w:r>
        <w:rPr>
          <w:rFonts w:hint="eastAsia" w:ascii="宋体" w:hAnsi="宋体" w:cs="宋体"/>
          <w:color w:val="auto"/>
          <w:sz w:val="24"/>
          <w:szCs w:val="24"/>
          <w:highlight w:val="none"/>
          <w:lang w:val="en-US" w:eastAsia="zh-CN"/>
        </w:rPr>
        <w:t>，导致装卸服务运营无法进行，由此造成的损失由乙方全额赔偿</w:t>
      </w:r>
      <w:r>
        <w:rPr>
          <w:rFonts w:hint="eastAsia" w:ascii="宋体" w:hAnsi="宋体" w:eastAsia="宋体" w:cs="宋体"/>
          <w:color w:val="auto"/>
          <w:sz w:val="24"/>
          <w:szCs w:val="24"/>
          <w:highlight w:val="none"/>
          <w:lang w:val="en-US" w:eastAsia="zh-CN"/>
        </w:rPr>
        <w:t>。</w:t>
      </w:r>
    </w:p>
    <w:p w14:paraId="401F53A8">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乙方应保证相关作业设备</w:t>
      </w:r>
      <w:r>
        <w:rPr>
          <w:rFonts w:hint="eastAsia" w:ascii="宋体" w:hAnsi="宋体" w:cs="宋体"/>
          <w:color w:val="auto"/>
          <w:sz w:val="24"/>
          <w:szCs w:val="24"/>
          <w:highlight w:val="none"/>
          <w:lang w:val="en-US" w:eastAsia="zh-CN" w:bidi="ar-SA"/>
        </w:rPr>
        <w:t>正常运行，如相关作业设备需正常检修，至少需要提前3天告知，甲方</w:t>
      </w:r>
      <w:r>
        <w:rPr>
          <w:rFonts w:hint="eastAsia" w:ascii="宋体" w:hAnsi="宋体" w:eastAsia="宋体" w:cs="宋体"/>
          <w:color w:val="auto"/>
          <w:kern w:val="2"/>
          <w:sz w:val="24"/>
          <w:szCs w:val="24"/>
          <w:highlight w:val="none"/>
          <w:shd w:val="clear"/>
          <w:lang w:val="en-US" w:bidi="ar-SA"/>
        </w:rPr>
        <w:t>如遇紧急抢修，乙方需及时主动响应，确保</w:t>
      </w:r>
      <w:bookmarkStart w:id="86" w:name="OLE_LINK28"/>
      <w:r>
        <w:rPr>
          <w:rFonts w:hint="eastAsia" w:ascii="宋体" w:hAnsi="宋体" w:cs="宋体"/>
          <w:color w:val="auto"/>
          <w:sz w:val="24"/>
          <w:highlight w:val="none"/>
        </w:rPr>
        <w:t>设备每日抢修时间累计不得超过 2h</w:t>
      </w:r>
      <w:bookmarkEnd w:id="86"/>
      <w:r>
        <w:rPr>
          <w:rFonts w:hint="eastAsia" w:ascii="宋体" w:hAnsi="宋体" w:eastAsia="宋体" w:cs="宋体"/>
          <w:color w:val="auto"/>
          <w:kern w:val="2"/>
          <w:sz w:val="24"/>
          <w:szCs w:val="24"/>
          <w:highlight w:val="none"/>
          <w:shd w:val="clear"/>
          <w:lang w:val="en-US" w:bidi="ar-SA"/>
        </w:rPr>
        <w:t>。</w:t>
      </w:r>
      <w:r>
        <w:rPr>
          <w:rFonts w:hint="eastAsia" w:ascii="宋体" w:hAnsi="宋体" w:cs="宋体"/>
          <w:color w:val="auto"/>
          <w:sz w:val="24"/>
          <w:szCs w:val="24"/>
          <w:highlight w:val="none"/>
          <w:lang w:val="en-US" w:eastAsia="zh-CN" w:bidi="ar-SA"/>
        </w:rPr>
        <w:t>相关设备无法正常运行（除正常检修外），导致码头装卸服务运营无法进行的，由此造成的损失由乙方全额赔偿</w:t>
      </w:r>
      <w:r>
        <w:rPr>
          <w:rFonts w:hint="eastAsia" w:ascii="宋体" w:hAnsi="宋体" w:eastAsia="宋体" w:cs="宋体"/>
          <w:color w:val="auto"/>
          <w:sz w:val="24"/>
          <w:szCs w:val="24"/>
          <w:highlight w:val="none"/>
          <w:lang w:val="en-US" w:eastAsia="zh-CN" w:bidi="ar-SA"/>
        </w:rPr>
        <w:t>。</w:t>
      </w:r>
    </w:p>
    <w:p w14:paraId="6A66EFC4">
      <w:pPr>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9.乙方</w:t>
      </w:r>
      <w:r>
        <w:rPr>
          <w:rFonts w:hint="eastAsia" w:ascii="宋体" w:hAnsi="宋体" w:eastAsia="宋体" w:cs="宋体"/>
          <w:color w:val="auto"/>
          <w:sz w:val="24"/>
          <w:szCs w:val="24"/>
          <w:highlight w:val="none"/>
          <w:lang w:val="en-US" w:eastAsia="zh-CN" w:bidi="ar-SA"/>
        </w:rPr>
        <w:t>应保证</w:t>
      </w:r>
      <w:r>
        <w:rPr>
          <w:rFonts w:hint="eastAsia" w:ascii="宋体" w:hAnsi="宋体" w:cs="宋体"/>
          <w:color w:val="auto"/>
          <w:sz w:val="24"/>
          <w:szCs w:val="24"/>
          <w:highlight w:val="none"/>
          <w:lang w:val="en-US" w:eastAsia="zh-CN" w:bidi="ar-SA"/>
        </w:rPr>
        <w:t>装卸服务人员的安全，及时为装卸服务人员投保，乙方与装卸服务人员间因装卸服务运营产生的一切纠纷与甲方无关，甲方无需赔偿。如因装卸服务人员的原因导致装卸服务运营无法正常进行的，所造成的损失乙方需全额赔偿。</w:t>
      </w:r>
    </w:p>
    <w:p w14:paraId="7654C4DA">
      <w:pPr>
        <w:numPr>
          <w:ilvl w:val="0"/>
          <w:numId w:val="0"/>
        </w:numPr>
        <w:adjustRightInd w:val="0"/>
        <w:snapToGrid w:val="0"/>
        <w:spacing w:line="360" w:lineRule="auto"/>
        <w:ind w:firstLine="482" w:firstLineChars="2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第六条 履约担保</w:t>
      </w:r>
    </w:p>
    <w:p w14:paraId="63ECADF6">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履约担保自合同</w:t>
      </w:r>
      <w:r>
        <w:rPr>
          <w:rFonts w:hint="eastAsia" w:ascii="宋体" w:hAnsi="宋体" w:eastAsia="宋体" w:cs="宋体"/>
          <w:color w:val="auto"/>
          <w:sz w:val="24"/>
          <w:szCs w:val="24"/>
          <w:highlight w:val="none"/>
          <w:lang w:val="en-US" w:eastAsia="zh-CN"/>
        </w:rPr>
        <w:t>签订</w:t>
      </w:r>
      <w:r>
        <w:rPr>
          <w:rFonts w:hint="eastAsia" w:ascii="宋体" w:hAnsi="宋体" w:eastAsia="宋体" w:cs="宋体"/>
          <w:color w:val="auto"/>
          <w:sz w:val="24"/>
          <w:szCs w:val="24"/>
          <w:highlight w:val="none"/>
          <w:lang w:eastAsia="zh-CN"/>
        </w:rPr>
        <w:t>之日起生效。乙方应在</w:t>
      </w:r>
      <w:r>
        <w:rPr>
          <w:rFonts w:hint="eastAsia" w:ascii="宋体" w:hAnsi="宋体" w:eastAsia="宋体" w:cs="宋体"/>
          <w:color w:val="auto"/>
          <w:sz w:val="24"/>
          <w:szCs w:val="24"/>
          <w:highlight w:val="none"/>
          <w:lang w:val="en-US" w:eastAsia="zh-CN"/>
        </w:rPr>
        <w:t>本合同签订之日起</w:t>
      </w:r>
      <w:r>
        <w:rPr>
          <w:rFonts w:hint="eastAsia" w:ascii="宋体" w:hAnsi="宋体" w:eastAsia="宋体" w:cs="宋体"/>
          <w:color w:val="auto"/>
          <w:sz w:val="24"/>
          <w:szCs w:val="24"/>
          <w:highlight w:val="none"/>
          <w:lang w:eastAsia="zh-CN"/>
        </w:rPr>
        <w:t>14</w:t>
      </w:r>
      <w:r>
        <w:rPr>
          <w:rFonts w:hint="eastAsia" w:ascii="宋体" w:hAnsi="宋体" w:eastAsia="宋体" w:cs="宋体"/>
          <w:color w:val="auto"/>
          <w:sz w:val="24"/>
          <w:szCs w:val="24"/>
          <w:highlight w:val="none"/>
          <w:lang w:val="en-US" w:eastAsia="zh-CN"/>
        </w:rPr>
        <w:t>个日历日</w:t>
      </w:r>
      <w:r>
        <w:rPr>
          <w:rFonts w:hint="eastAsia" w:ascii="宋体" w:hAnsi="宋体" w:eastAsia="宋体" w:cs="宋体"/>
          <w:color w:val="auto"/>
          <w:sz w:val="24"/>
          <w:szCs w:val="24"/>
          <w:highlight w:val="none"/>
          <w:lang w:eastAsia="zh-CN"/>
        </w:rPr>
        <w:t>内，为履行合同向甲方提供履约担保，履约担保金额为</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highlight w:val="none"/>
          <w:lang w:val="en-US" w:eastAsia="zh-CN"/>
        </w:rPr>
        <w:t>人民币</w:t>
      </w:r>
      <w:r>
        <w:rPr>
          <w:rFonts w:hint="eastAsia" w:ascii="宋体" w:hAnsi="宋体" w:eastAsia="宋体" w:cs="宋体"/>
          <w:color w:val="auto"/>
          <w:sz w:val="24"/>
          <w:szCs w:val="24"/>
          <w:highlight w:val="none"/>
          <w:lang w:val="en-US" w:eastAsia="zh-CN"/>
        </w:rPr>
        <w:t>363.6万元</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10%即人民币36.36万元</w:t>
      </w:r>
      <w:r>
        <w:rPr>
          <w:rFonts w:hint="eastAsia" w:ascii="宋体" w:hAnsi="宋体" w:eastAsia="宋体" w:cs="宋体"/>
          <w:color w:val="auto"/>
          <w:sz w:val="24"/>
          <w:szCs w:val="24"/>
          <w:highlight w:val="none"/>
          <w:lang w:eastAsia="zh-CN"/>
        </w:rPr>
        <w:t>，履约担保的形式：电汇、银行汇票等非现金形式、银行保函。</w:t>
      </w:r>
      <w:r>
        <w:rPr>
          <w:rFonts w:hint="eastAsia" w:ascii="宋体" w:hAnsi="宋体" w:eastAsia="宋体" w:cs="宋体"/>
          <w:color w:val="auto"/>
          <w:sz w:val="24"/>
          <w:szCs w:val="24"/>
          <w:highlight w:val="none"/>
        </w:rPr>
        <w:t xml:space="preserve"> </w:t>
      </w:r>
    </w:p>
    <w:p w14:paraId="5DB91DD4">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如果乙方通过电汇、银行汇票等非现金形式提交履约担保的，履约担保应以乙方名义通过银行转账或电汇方式转入甲方指定的银行账户，不接受由其分支机构账户或私人账户、其他单位账户以现金、转账等方式转入的保证金。履约担保有效期满后，履约担保将在乙方申请退还后28天内以银行转账的方式无息退回到乙方原汇入账户。乙方应凭履约担保缴纳银行回单到甲方处换取履约担保收据，作为履约担保缴纳凭据加入合同附件。甲方指定的履约担保有效银行账户如下：</w:t>
      </w:r>
    </w:p>
    <w:p w14:paraId="5A52544D">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账户全称： 肇庆市港口投资发展有限公司</w:t>
      </w:r>
    </w:p>
    <w:p w14:paraId="30E10394">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olor w:val="auto"/>
          <w:szCs w:val="24"/>
          <w:highlight w:val="none"/>
        </w:rPr>
      </w:pPr>
      <w:r>
        <w:rPr>
          <w:rFonts w:hint="eastAsia" w:ascii="宋体" w:hAnsi="宋体" w:eastAsia="宋体"/>
          <w:color w:val="auto"/>
          <w:szCs w:val="24"/>
          <w:highlight w:val="none"/>
        </w:rPr>
        <w:t>开户银行：广发银行股份有限公司肇庆西江支行</w:t>
      </w:r>
    </w:p>
    <w:p w14:paraId="561551D3">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olor w:val="auto"/>
          <w:szCs w:val="24"/>
          <w:highlight w:val="none"/>
        </w:rPr>
        <w:t>账户账号：9550880213573400189</w:t>
      </w:r>
    </w:p>
    <w:p w14:paraId="78C2E4D7">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如果履约担保是以银行履约保函（银行保函）的形式提供。出具保函的银行级别：全国性国有商业银行或股份制商业银行的分支机构，且在肇庆有营业网点。银行保函的格式可采用招标文件中提供的履约保函格式或咨询人可以接受的其他格式。银行履约保函须是无条件地、不可撤销的保函。履约担保有效期满后，履约担保将在乙方申请退还后28天内退还乙方。</w:t>
      </w:r>
    </w:p>
    <w:p w14:paraId="1EA929F0">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乙方提交的银行履约保函是对本合同约定的乙方的全部义务（包括但不限于乙方违约后应支付的违约金和赔偿金）的担保，乙方的任何一次不履行或不完全履行合同义务的行为，甲方均有权向出函银行提出索赔。</w:t>
      </w:r>
    </w:p>
    <w:p w14:paraId="70E52101">
      <w:pPr>
        <w:pStyle w:val="45"/>
        <w:keepNext w:val="0"/>
        <w:keepLines w:val="0"/>
        <w:pageBreakBefore w:val="0"/>
        <w:shd w:val="clear" w:color="auto" w:fill="auto"/>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不履行或不完全履行合同义务的行为导致甲方依据银行履约保函向银行索赔履约保函金额的一部分或者全部的，乙方必须在甲方规定的时间内补充提交银行履约保函，使得本合同履行期间有效的银行履约保函金额等于乙方第一次提交的银行履约保函金额。如果乙方不按甲方的要求及时补充提交银行履约保函，则甲方有权单方面部分解除或解除本合同。</w:t>
      </w:r>
    </w:p>
    <w:p w14:paraId="340017BB">
      <w:pPr>
        <w:pStyle w:val="45"/>
        <w:keepNext w:val="0"/>
        <w:keepLines w:val="0"/>
        <w:pageBreakBefore w:val="0"/>
        <w:shd w:val="clear" w:color="auto" w:fill="auto"/>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在乙方按照合同要求实施和完成本合同项目之前，银行履约保函应一直有效。如果银行履约保函因有效期届满，致使银行履约保函自动失效，而乙方尚未按合同要求实施和完成本合同项目的，乙方应在银行履约保函有效期满前无条件办理续保，新的银行履约保函的有效期与项目工期一致。否则甲方有权从进度款中扣除相应金额作为乙方履约担保。</w:t>
      </w:r>
    </w:p>
    <w:p w14:paraId="3D81603D">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 违约责任</w:t>
      </w:r>
    </w:p>
    <w:p w14:paraId="382D7DC3">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1．因政策调整或甲方原因导致本合同终止的，甲方按照乙方实际完成并经甲方书面确认的合格工作量进行结算，支付相应服务费用。除双方另有约定之外，甲方无需承担其他任何责任。</w:t>
      </w:r>
    </w:p>
    <w:p w14:paraId="6605DD2E">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.乙方</w:t>
      </w:r>
      <w:r>
        <w:rPr>
          <w:rFonts w:hint="eastAsia" w:ascii="宋体" w:hAnsi="宋体" w:eastAsia="宋体" w:cs="宋体"/>
          <w:bCs/>
          <w:color w:val="auto"/>
          <w:sz w:val="24"/>
          <w:szCs w:val="24"/>
          <w:highlight w:val="none"/>
          <w:lang w:val="en-US" w:eastAsia="zh-CN"/>
        </w:rPr>
        <w:t>应</w:t>
      </w:r>
      <w:r>
        <w:rPr>
          <w:rFonts w:hint="eastAsia" w:ascii="宋体" w:hAnsi="宋体" w:eastAsia="宋体" w:cs="宋体"/>
          <w:bCs/>
          <w:color w:val="auto"/>
          <w:sz w:val="24"/>
          <w:szCs w:val="24"/>
          <w:highlight w:val="none"/>
        </w:rPr>
        <w:t>确保在签订及履行本合同过程中具备相应的资质，并赔偿因其不具备相应资质而给对方造成的一切损失。</w:t>
      </w:r>
    </w:p>
    <w:p w14:paraId="12BDBB4A">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如因乙方的</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质量无法满足合同约定及甲方要求的</w:t>
      </w:r>
      <w:r>
        <w:rPr>
          <w:rFonts w:hint="eastAsia" w:ascii="宋体" w:hAnsi="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产生的费用由乙方承担。</w:t>
      </w:r>
    </w:p>
    <w:p w14:paraId="0B7C0356">
      <w:pPr>
        <w:tabs>
          <w:tab w:val="left" w:pos="1080"/>
        </w:tabs>
        <w:adjustRightInd w:val="0"/>
        <w:snapToGrid w:val="0"/>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乙方应按本合同2.2条约定及时完成设备进场，</w:t>
      </w:r>
      <w:r>
        <w:rPr>
          <w:rFonts w:hint="eastAsia" w:ascii="宋体" w:hAnsi="宋体" w:cs="宋体"/>
          <w:color w:val="auto"/>
          <w:sz w:val="24"/>
          <w:highlight w:val="none"/>
          <w:lang w:val="en-US" w:eastAsia="zh-CN"/>
        </w:rPr>
        <w:t>否则甲方有权解除本合同，乙方须按投标最高限价363.6万元的10%金额向甲方支付违约金。</w:t>
      </w:r>
      <w:r>
        <w:rPr>
          <w:rFonts w:hint="eastAsia" w:ascii="宋体" w:hAnsi="宋体" w:eastAsia="宋体" w:cs="宋体"/>
          <w:bCs/>
          <w:color w:val="auto"/>
          <w:sz w:val="24"/>
          <w:szCs w:val="24"/>
          <w:highlight w:val="none"/>
        </w:rPr>
        <w:t>乙方应按甲方要求配置符合甲方要求的工作人员和更换不符合甲方要求的工作人员，否则甲方有权要求乙方按每人每次人民币</w:t>
      </w:r>
      <w:r>
        <w:rPr>
          <w:rFonts w:hint="eastAsia" w:ascii="宋体" w:hAnsi="宋体" w:eastAsia="宋体" w:cs="宋体"/>
          <w:bCs/>
          <w:color w:val="auto"/>
          <w:sz w:val="24"/>
          <w:szCs w:val="24"/>
          <w:highlight w:val="none"/>
          <w:u w:val="single"/>
        </w:rPr>
        <w:t>1000</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元</w:t>
      </w:r>
      <w:r>
        <w:rPr>
          <w:rFonts w:hint="eastAsia" w:ascii="宋体" w:hAnsi="宋体" w:eastAsia="宋体" w:cs="宋体"/>
          <w:bCs/>
          <w:color w:val="auto"/>
          <w:sz w:val="24"/>
          <w:szCs w:val="24"/>
          <w:highlight w:val="none"/>
        </w:rPr>
        <w:t>的标准支付违约金</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并在甲方发出书面通知之日起（含发出当日）七个日历日内，按照甲方要求安排相关人员到位。</w:t>
      </w:r>
    </w:p>
    <w:p w14:paraId="652F9356">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.乙方有下列情形之一的，甲方有权解除合同：</w:t>
      </w:r>
    </w:p>
    <w:p w14:paraId="68F1B9D0">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（1）未按合同约定</w:t>
      </w:r>
      <w:r>
        <w:rPr>
          <w:rFonts w:hint="eastAsia" w:ascii="宋体" w:hAnsi="宋体" w:eastAsia="宋体" w:cs="宋体"/>
          <w:bCs/>
          <w:color w:val="auto"/>
          <w:sz w:val="24"/>
          <w:szCs w:val="24"/>
          <w:highlight w:val="none"/>
          <w:lang w:val="en-US" w:eastAsia="zh-CN"/>
        </w:rPr>
        <w:t>履行工作义务</w:t>
      </w:r>
      <w:r>
        <w:rPr>
          <w:rFonts w:hint="eastAsia" w:ascii="宋体" w:hAnsi="宋体" w:eastAsia="宋体" w:cs="宋体"/>
          <w:bCs/>
          <w:color w:val="auto"/>
          <w:sz w:val="24"/>
          <w:szCs w:val="24"/>
          <w:highlight w:val="none"/>
        </w:rPr>
        <w:t>；</w:t>
      </w:r>
    </w:p>
    <w:p w14:paraId="3115E393">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作业设备、人员配置、</w:t>
      </w:r>
      <w:r>
        <w:rPr>
          <w:rFonts w:hint="eastAsia" w:ascii="宋体" w:hAnsi="宋体" w:eastAsia="宋体" w:cs="宋体"/>
          <w:bCs/>
          <w:color w:val="auto"/>
          <w:sz w:val="24"/>
          <w:szCs w:val="24"/>
          <w:highlight w:val="none"/>
        </w:rPr>
        <w:t>服务质量、工作效率等达不到甲方要求，甲方提出书面要求及具体意见后，乙方的整改仍不能达到甲方要求的；</w:t>
      </w:r>
    </w:p>
    <w:p w14:paraId="4698936A">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）擅自更换项目主要负责人员、拒不更换不合格的工作人员；</w:t>
      </w:r>
    </w:p>
    <w:p w14:paraId="5DAB3BEE">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）转包、擅自分包本合同项目；</w:t>
      </w:r>
    </w:p>
    <w:p w14:paraId="18A1FCEB">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）乙方或其工作人员不具备或丧失相应资质</w:t>
      </w:r>
      <w:r>
        <w:rPr>
          <w:rFonts w:hint="eastAsia" w:ascii="宋体" w:hAnsi="宋体" w:eastAsia="宋体" w:cs="宋体"/>
          <w:bCs/>
          <w:color w:val="auto"/>
          <w:sz w:val="24"/>
          <w:szCs w:val="24"/>
          <w:highlight w:val="none"/>
          <w:lang w:eastAsia="zh-CN"/>
        </w:rPr>
        <w:t>；</w:t>
      </w:r>
    </w:p>
    <w:p w14:paraId="57642C70">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乙方作业设备、设施不满足航道、海事和环保等部门要求。</w:t>
      </w:r>
    </w:p>
    <w:p w14:paraId="077C78DE">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如乙方未履行或不完全履行本合同约定的乙方责任，除本合同有明确约定外，甲方有权视情节轻重要求乙方每次按合同总价</w:t>
      </w:r>
      <w:r>
        <w:rPr>
          <w:rFonts w:hint="eastAsia" w:ascii="宋体" w:hAnsi="宋体" w:eastAsia="宋体" w:cs="宋体"/>
          <w:bCs/>
          <w:color w:val="auto"/>
          <w:sz w:val="24"/>
          <w:szCs w:val="24"/>
          <w:highlight w:val="none"/>
          <w:u w:val="single"/>
        </w:rPr>
        <w:t>2%-5%</w:t>
      </w:r>
      <w:r>
        <w:rPr>
          <w:rFonts w:hint="eastAsia" w:ascii="宋体" w:hAnsi="宋体" w:eastAsia="宋体" w:cs="宋体"/>
          <w:bCs/>
          <w:color w:val="auto"/>
          <w:sz w:val="24"/>
          <w:szCs w:val="24"/>
          <w:highlight w:val="none"/>
        </w:rPr>
        <w:t>的标准支付违约金，并按甲方要求及时纠正。</w:t>
      </w:r>
    </w:p>
    <w:p w14:paraId="5BD9AC38">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服务期间，</w:t>
      </w:r>
      <w:r>
        <w:rPr>
          <w:rFonts w:hint="eastAsia" w:ascii="宋体" w:hAnsi="宋体" w:cs="宋体"/>
          <w:bCs/>
          <w:color w:val="auto"/>
          <w:sz w:val="24"/>
          <w:szCs w:val="24"/>
          <w:highlight w:val="none"/>
          <w:lang w:val="en-US" w:eastAsia="zh-CN"/>
        </w:rPr>
        <w:t>乙方保证</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每日抢修时间累计不得超过</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小时</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否则</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lang w:val="en-US" w:eastAsia="zh-CN"/>
        </w:rPr>
        <w:t>收取人民币</w:t>
      </w:r>
      <w:r>
        <w:rPr>
          <w:rFonts w:hint="eastAsia" w:ascii="宋体" w:hAnsi="宋体" w:eastAsia="宋体" w:cs="宋体"/>
          <w:bCs/>
          <w:color w:val="auto"/>
          <w:sz w:val="24"/>
          <w:szCs w:val="24"/>
          <w:highlight w:val="none"/>
        </w:rPr>
        <w:t>2500元</w:t>
      </w:r>
      <w:r>
        <w:rPr>
          <w:rFonts w:hint="eastAsia" w:ascii="宋体" w:hAnsi="宋体" w:eastAsia="宋体" w:cs="宋体"/>
          <w:bCs/>
          <w:color w:val="auto"/>
          <w:sz w:val="24"/>
          <w:szCs w:val="24"/>
          <w:highlight w:val="none"/>
          <w:lang w:val="en-US" w:eastAsia="zh-CN"/>
        </w:rPr>
        <w:t>/次的违约金，并在当月费用结算单据中予以扣除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情节严重或重复违约的，甲方有权解除合同。</w:t>
      </w:r>
    </w:p>
    <w:p w14:paraId="486788C5">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.乙方无法定或约定事由解除合同，或甲方因乙方违约解除合同的，甲方按照乙方实际完成并经甲方书面确认的合格工作量结算，且甲方有权要求乙方支付本合同总价</w:t>
      </w:r>
      <w:r>
        <w:rPr>
          <w:rFonts w:hint="eastAsia"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的违约金。</w:t>
      </w:r>
    </w:p>
    <w:p w14:paraId="7D523076">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.本合同及甲方的相关管理规定中对违约金的约定不一致的，甲方有权选择按较高者执行。</w:t>
      </w:r>
    </w:p>
    <w:p w14:paraId="3DBC8724">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.乙方所支付的违约金不足弥补甲方实际损失的，乙方还应赔偿。本合同所称乙方应承担的违约金和赔偿金，甲方有权从应付款项中扣除。</w:t>
      </w:r>
    </w:p>
    <w:p w14:paraId="14FFC344">
      <w:pPr>
        <w:tabs>
          <w:tab w:val="left" w:pos="108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.本合同约定的赔偿责任包括但不限于合理的律师费、诉讼或仲裁费、差旅费、评估费、鉴定费、赔偿款、保全费、执行费。</w:t>
      </w:r>
    </w:p>
    <w:p w14:paraId="01D9D97E">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 保密条款</w:t>
      </w:r>
    </w:p>
    <w:p w14:paraId="30763C6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合同工作成果、甲方提供的图纸、技术资料以及其它在签订或履行合同过程中所获取的甲方非公开资料（包括本合同内容），乙方负有保密义务。未经甲方书面同意，乙方及其工作人员不得将上述资料复制、泄露、公开、转让或使用于本合同之外的其它用途。否则，甲方有权要求乙方赔偿一切损失。但根据法律法规须提供的除外。本条约定长期有效，不受本合同终止及效力的约束。</w:t>
      </w:r>
    </w:p>
    <w:p w14:paraId="23C4AA28">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 知识产权及合法性条款</w:t>
      </w:r>
    </w:p>
    <w:p w14:paraId="69D7257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非经甲方书面同意，乙方不得撤回所提交的任何工作成果。经甲方认可的工作成果，其知识产权归甲方所有。未经甲方书面同意，乙方无权将所涉及的工作成果使用于本合同之外的任何其它目的，否则须承担由此引发的一切后果并承担赔偿责任。本约定不受本合同终止约束。</w:t>
      </w:r>
    </w:p>
    <w:p w14:paraId="058BA70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确保其履行本合同（包括但不限于提交的任何资料、文件、成果及所使用的技术、专利等）未侵犯第三方合法权益，并保证甲方免受任何第三方的索赔或诉讼。若乙方合同履行过程中使用他人的专利、专有技术等，乙方应自行承担相关费用。因违反本条产生的一切纠纷，由乙方负责解决，并承担全部赔偿责任。本约定长期有效，不受本合同终止及效力约束。</w:t>
      </w:r>
    </w:p>
    <w:p w14:paraId="648D607A">
      <w:pPr>
        <w:adjustRightInd w:val="0"/>
        <w:snapToGrid w:val="0"/>
        <w:spacing w:line="360" w:lineRule="auto"/>
        <w:ind w:firstLine="482" w:firstLineChars="200"/>
        <w:rPr>
          <w:rFonts w:hint="eastAsia" w:ascii="宋体" w:hAnsi="宋体" w:eastAsia="宋体" w:cs="宋体"/>
          <w:b/>
          <w:color w:val="auto"/>
          <w:kern w:val="44"/>
          <w:sz w:val="24"/>
          <w:szCs w:val="24"/>
          <w:highlight w:val="none"/>
        </w:rPr>
      </w:pPr>
      <w:r>
        <w:rPr>
          <w:rFonts w:hint="eastAsia" w:ascii="宋体" w:hAnsi="宋体" w:eastAsia="宋体" w:cs="宋体"/>
          <w:b/>
          <w:color w:val="auto"/>
          <w:sz w:val="24"/>
          <w:szCs w:val="24"/>
          <w:highlight w:val="none"/>
        </w:rPr>
        <w:t>第</w:t>
      </w:r>
      <w:r>
        <w:rPr>
          <w:rFonts w:hint="eastAsia" w:ascii="宋体" w:hAnsi="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 合规承诺</w:t>
      </w:r>
    </w:p>
    <w:p w14:paraId="758D6934">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承诺，在履行本合同过程中，严格遵守所有适用的法律、法规和公认行业标准，包括但不限于反贿赂、反腐败相关的法律或法规，不实施任何行贿受贿行为，不以贿赂或变相贿赂的方式，谋取不当利益或损害对方权益。</w:t>
      </w:r>
    </w:p>
    <w:p w14:paraId="694A1559">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1.乙方承诺不从事欺瞒甚至欺诈的不诚实行为，包括但不限于：与其他服务商共谋定价，抬高或压低报价；提交虚假的报价信息及/或资质文件；在接受主体背景资料核实过程中隐瞒重要信息及/或提供虚假信息。 </w:t>
      </w:r>
    </w:p>
    <w:p w14:paraId="72754C6D">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承诺在其最大的认知范围内，不存在利益冲突或在履行相关协议/合同中所规定的义务中可能会引发利益冲突。如果乙方的利益和甲方或者其相关方的利益发生冲突，乙方应第一时间向甲方进行披露，并采取适当的措施来确保该利益冲突被消除或者控制，以避免给甲方或者其相关方造成任何损害。 </w:t>
      </w:r>
    </w:p>
    <w:p w14:paraId="08A93830">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乙方承诺依法纳税，其提交的增值税专用发票真实有效。一旦有任何发票作废行为或者和税收有关的问题影响到甲方或者其相关利益方，乙方必须第一时间以书面形式告知甲方并采取适当的措施来避免给甲方或者其相关方造成任何损害。 </w:t>
      </w:r>
    </w:p>
    <w:p w14:paraId="40795D7A">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4.乙方承诺维持准确的财务记录，真实准确地在财务账簿中反映其与本合同服务有关的所有费用，并妥善保留相关财务凭证。甲方有权随时要求乙方提供与本合同服务有关的财务账簿及财务凭证。</w:t>
      </w:r>
    </w:p>
    <w:p w14:paraId="4EBDC386">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5.乙方违反上述合规承诺内容的，甲方有权解除合同。此时，乙方无权主张甲方违约，并应当向甲方承担违约金或其他的损害赔偿责任。</w:t>
      </w:r>
    </w:p>
    <w:p w14:paraId="5E15B250">
      <w:pPr>
        <w:adjustRightInd w:val="0"/>
        <w:snapToGrid w:val="0"/>
        <w:spacing w:line="360" w:lineRule="auto"/>
        <w:ind w:left="947" w:leftChars="200" w:hanging="52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 不可抗力</w:t>
      </w:r>
    </w:p>
    <w:p w14:paraId="3BB4CF41">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本合同中"不可抗力"，指不能预知、无法避免并不能克服的事件，包括但不限于地震、台风、洪水、火灾、战争、疫情国家法律法规政策发生变化或商事惯例认可的其他事件。</w:t>
      </w:r>
    </w:p>
    <w:p w14:paraId="77EE18F3">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由于不可抗力事件，致使一方在履行其在本合同项下的义务的过程中遇到障碍或延误，不能按规定的条款全部或部分履行其义务的，遇到不可抗力的一方（"受阻方"），只要满足下列所有条件，不应视为违反本合同：</w:t>
      </w:r>
    </w:p>
    <w:p w14:paraId="17D32D7C">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受阻方不能全部或部分履行其义务，是由于不可抗力事件直接造成的，且在不可抗力事件发生前受阻方不存在迟延履行相关义务的情形；</w:t>
      </w:r>
    </w:p>
    <w:p w14:paraId="47BF8860">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2</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受阻方已尽最大努力履行其义务并减少由于不可抗力事件给另一方造成的损失；</w:t>
      </w:r>
    </w:p>
    <w:p w14:paraId="345F2FA1">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3</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不可抗力事件发生时，受阻方已立即通知对方，并在不可抗力事件发生后的十五天内提供有关该事件的书面说明，书面说明中应当包括对延迟履行或部分履行本合同的原因说明。</w:t>
      </w:r>
    </w:p>
    <w:p w14:paraId="6C765E7D">
      <w:pPr>
        <w:widowControl/>
        <w:shd w:val="clear" w:color="auto" w:fill="FFFFFF"/>
        <w:adjustRightInd w:val="0"/>
        <w:snapToGrid w:val="0"/>
        <w:spacing w:before="0" w:beforeAutospacing="0" w:after="0" w:afterAutospacing="0" w:line="360" w:lineRule="auto"/>
        <w:ind w:firstLine="600" w:firstLineChars="25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不可抗力事件终止或被排除后，受阻方应继续履行本合同，并应尽快通知另一方。受阻方应可延长履行义务的时间，延长期应当相当于不可抗力事件实际造成延误的时间。</w:t>
      </w:r>
    </w:p>
    <w:p w14:paraId="6A296060">
      <w:pPr>
        <w:widowControl w:val="0"/>
        <w:adjustRightInd w:val="0"/>
        <w:snapToGrid w:val="0"/>
        <w:spacing w:line="360" w:lineRule="auto"/>
        <w:ind w:left="0" w:firstLine="600" w:firstLineChars="250"/>
        <w:rPr>
          <w:rFonts w:hint="eastAsia" w:ascii="宋体" w:hAnsi="宋体" w:eastAsia="宋体" w:cs="宋体"/>
          <w:b w:val="0"/>
          <w:color w:val="auto"/>
          <w:sz w:val="24"/>
          <w:szCs w:val="24"/>
          <w:highlight w:val="none"/>
          <w:shd w:val="clear" w:color="auto" w:fill="FFFFFF"/>
          <w:lang w:bidi="ar"/>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如不可抗力事件的影响</w:t>
      </w:r>
      <w:r>
        <w:rPr>
          <w:rFonts w:hint="eastAsia" w:ascii="宋体" w:hAnsi="宋体" w:eastAsia="宋体" w:cs="宋体"/>
          <w:color w:val="auto"/>
          <w:sz w:val="24"/>
          <w:szCs w:val="24"/>
          <w:highlight w:val="none"/>
          <w:shd w:val="clear" w:color="auto" w:fill="FFFFFF"/>
          <w:lang w:val="en-US" w:eastAsia="zh-CN"/>
        </w:rPr>
        <w:t>预计</w:t>
      </w:r>
      <w:r>
        <w:rPr>
          <w:rFonts w:hint="eastAsia" w:ascii="宋体" w:hAnsi="宋体" w:eastAsia="宋体" w:cs="宋体"/>
          <w:color w:val="auto"/>
          <w:sz w:val="24"/>
          <w:szCs w:val="24"/>
          <w:highlight w:val="none"/>
          <w:shd w:val="clear" w:color="auto" w:fill="FFFFFF"/>
        </w:rPr>
        <w:t>持续达30天，且该事件导致本合同全部或部分无法履行，受影响一方应在事件发生后【10】天内向另一方提供不可抗力事件的材料证明，并通知另一方启动协商程序。双方应在通知后【10】天内启动协商，并根据事件对合同履行的影响程度（包括完全无法履行、部分履行或延迟履行），以友好合作、尽力消除影响及合理弥补受影响一方为原则，协商对本合同相关条款的修改。</w:t>
      </w:r>
    </w:p>
    <w:p w14:paraId="1FA830A1">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 争议解决</w:t>
      </w:r>
    </w:p>
    <w:p w14:paraId="63088E0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本合同履行中发生争议的，双方应及时协商解决。协商或调解不成的，提交甲方所在地有管辖权的人民法院诉讼解决。</w:t>
      </w:r>
    </w:p>
    <w:p w14:paraId="455421E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第</w:t>
      </w:r>
      <w:r>
        <w:rPr>
          <w:rFonts w:hint="eastAsia" w:ascii="宋体" w:hAnsi="宋体" w:eastAsia="宋体" w:cs="宋体"/>
          <w:b/>
          <w:bCs w:val="0"/>
          <w:color w:val="auto"/>
          <w:kern w:val="2"/>
          <w:sz w:val="24"/>
          <w:szCs w:val="24"/>
          <w:highlight w:val="none"/>
          <w:lang w:val="en-US" w:eastAsia="zh-CN"/>
        </w:rPr>
        <w:t>十</w:t>
      </w:r>
      <w:r>
        <w:rPr>
          <w:rFonts w:hint="eastAsia" w:ascii="宋体" w:hAnsi="宋体" w:cs="宋体"/>
          <w:b/>
          <w:bCs w:val="0"/>
          <w:color w:val="auto"/>
          <w:kern w:val="2"/>
          <w:sz w:val="24"/>
          <w:szCs w:val="24"/>
          <w:highlight w:val="none"/>
          <w:lang w:val="en-US" w:eastAsia="zh-CN"/>
        </w:rPr>
        <w:t>三</w:t>
      </w:r>
      <w:r>
        <w:rPr>
          <w:rFonts w:hint="eastAsia" w:ascii="宋体" w:hAnsi="宋体" w:eastAsia="宋体" w:cs="宋体"/>
          <w:b/>
          <w:bCs w:val="0"/>
          <w:color w:val="auto"/>
          <w:kern w:val="2"/>
          <w:sz w:val="24"/>
          <w:szCs w:val="24"/>
          <w:highlight w:val="none"/>
        </w:rPr>
        <w:t>条 合同</w:t>
      </w:r>
      <w:r>
        <w:rPr>
          <w:rFonts w:hint="eastAsia" w:ascii="宋体" w:hAnsi="宋体" w:eastAsia="宋体" w:cs="宋体"/>
          <w:b/>
          <w:bCs w:val="0"/>
          <w:color w:val="auto"/>
          <w:kern w:val="2"/>
          <w:sz w:val="24"/>
          <w:szCs w:val="24"/>
          <w:highlight w:val="none"/>
          <w:lang w:val="en-US" w:eastAsia="zh-CN"/>
        </w:rPr>
        <w:t>终止条款</w:t>
      </w:r>
    </w:p>
    <w:p w14:paraId="51AC589E">
      <w:pPr>
        <w:adjustRightInd w:val="0"/>
        <w:snapToGrid w:val="0"/>
        <w:spacing w:line="360" w:lineRule="auto"/>
        <w:ind w:firstLine="480" w:firstLineChars="200"/>
        <w:rPr>
          <w:rFonts w:hint="eastAsia" w:ascii="宋体" w:hAnsi="宋体" w:cs="宋体"/>
          <w:color w:val="auto"/>
          <w:sz w:val="24"/>
          <w:szCs w:val="24"/>
          <w:highlight w:val="none"/>
          <w:lang w:val="en-US" w:eastAsia="zh-CN"/>
        </w:rPr>
      </w:pPr>
      <w:bookmarkStart w:id="87" w:name="OLE_LINK33"/>
      <w:r>
        <w:rPr>
          <w:rFonts w:hint="eastAsia" w:ascii="宋体" w:hAnsi="宋体" w:cs="宋体"/>
          <w:color w:val="auto"/>
          <w:sz w:val="24"/>
          <w:szCs w:val="24"/>
          <w:highlight w:val="none"/>
          <w:lang w:val="en-US" w:eastAsia="zh-CN"/>
        </w:rPr>
        <w:t>双方一致同意，当合同履行过程中出现</w:t>
      </w:r>
      <w:r>
        <w:rPr>
          <w:rFonts w:ascii="Arial" w:hAnsi="Arial" w:eastAsia="宋体" w:cs="Arial"/>
          <w:i w:val="0"/>
          <w:iCs w:val="0"/>
          <w:caps w:val="0"/>
          <w:color w:val="auto"/>
          <w:spacing w:val="0"/>
          <w:sz w:val="24"/>
          <w:szCs w:val="24"/>
          <w:highlight w:val="none"/>
          <w:shd w:val="clear" w:fill="F8F8F8"/>
        </w:rPr>
        <w:t>下列情形之一的</w:t>
      </w:r>
      <w:r>
        <w:rPr>
          <w:rFonts w:hint="eastAsia" w:ascii="宋体" w:hAnsi="宋体" w:cs="宋体"/>
          <w:color w:val="auto"/>
          <w:sz w:val="24"/>
          <w:szCs w:val="24"/>
          <w:highlight w:val="none"/>
          <w:lang w:val="en-US" w:eastAsia="zh-CN"/>
        </w:rPr>
        <w:t>，本服务合同自动终止，但不影响合同终止前该合同权利义务等内容的履行。</w:t>
      </w:r>
    </w:p>
    <w:p w14:paraId="2843B359">
      <w:pPr>
        <w:numPr>
          <w:ilvl w:val="0"/>
          <w:numId w:val="0"/>
        </w:num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szCs w:val="24"/>
          <w:highlight w:val="none"/>
          <w:lang w:val="en-US" w:eastAsia="zh-CN"/>
        </w:rPr>
        <w:t>本合同结算总价达到本项目招标文件中载明的最高投标限价人民币363.6万元；</w:t>
      </w:r>
    </w:p>
    <w:p w14:paraId="33BF5149">
      <w:pPr>
        <w:numPr>
          <w:ilvl w:val="0"/>
          <w:numId w:val="0"/>
        </w:num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szCs w:val="24"/>
          <w:highlight w:val="none"/>
          <w:lang w:val="en-US" w:eastAsia="zh-CN"/>
        </w:rPr>
        <w:t>本合同约定的服务期限届满。</w:t>
      </w:r>
    </w:p>
    <w:p w14:paraId="3C80076C">
      <w:pPr>
        <w:numPr>
          <w:ilvl w:val="0"/>
          <w:numId w:val="0"/>
        </w:numPr>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3.因</w:t>
      </w:r>
      <w:r>
        <w:rPr>
          <w:rFonts w:hint="eastAsia" w:ascii="宋体" w:hAnsi="宋体" w:cs="宋体"/>
          <w:color w:val="auto"/>
          <w:kern w:val="2"/>
          <w:sz w:val="24"/>
          <w:szCs w:val="24"/>
          <w:highlight w:val="none"/>
          <w:lang w:val="en-US" w:eastAsia="zh-CN" w:bidi="ar-SA"/>
        </w:rPr>
        <w:t>政府</w:t>
      </w:r>
      <w:r>
        <w:rPr>
          <w:rFonts w:hint="eastAsia" w:ascii="宋体" w:hAnsi="宋体" w:eastAsia="宋体" w:cs="宋体"/>
          <w:color w:val="auto"/>
          <w:kern w:val="2"/>
          <w:sz w:val="24"/>
          <w:szCs w:val="24"/>
          <w:highlight w:val="none"/>
          <w:lang w:val="en-US" w:eastAsia="zh-CN" w:bidi="ar-SA"/>
        </w:rPr>
        <w:t>部门</w:t>
      </w:r>
      <w:r>
        <w:rPr>
          <w:rFonts w:hint="eastAsia" w:ascii="宋体" w:hAnsi="宋体" w:cs="宋体"/>
          <w:color w:val="auto"/>
          <w:kern w:val="2"/>
          <w:sz w:val="24"/>
          <w:szCs w:val="24"/>
          <w:highlight w:val="none"/>
          <w:lang w:val="en-US" w:eastAsia="zh-CN" w:bidi="ar-SA"/>
        </w:rPr>
        <w:t>原因</w:t>
      </w:r>
      <w:r>
        <w:rPr>
          <w:rFonts w:hint="eastAsia" w:ascii="宋体" w:hAnsi="宋体" w:eastAsia="宋体" w:cs="宋体"/>
          <w:color w:val="auto"/>
          <w:spacing w:val="10"/>
          <w:kern w:val="0"/>
          <w:sz w:val="24"/>
          <w:szCs w:val="24"/>
          <w:highlight w:val="none"/>
          <w:u w:val="none"/>
          <w:lang w:val="en-US" w:eastAsia="zh-CN"/>
        </w:rPr>
        <w:t>德庆九市作业区可拆装式砂石装船设备项目</w:t>
      </w:r>
      <w:r>
        <w:rPr>
          <w:rFonts w:hint="eastAsia" w:ascii="宋体" w:hAnsi="宋体" w:eastAsia="宋体" w:cs="宋体"/>
          <w:color w:val="auto"/>
          <w:kern w:val="2"/>
          <w:sz w:val="24"/>
          <w:szCs w:val="24"/>
          <w:highlight w:val="none"/>
          <w:lang w:val="en-US" w:eastAsia="zh-CN" w:bidi="ar-SA"/>
        </w:rPr>
        <w:t>2号泊位停止货物出运。</w:t>
      </w:r>
      <w:bookmarkEnd w:id="87"/>
    </w:p>
    <w:p w14:paraId="7C38321A">
      <w:pPr>
        <w:adjustRightInd w:val="0"/>
        <w:snapToGrid w:val="0"/>
        <w:spacing w:line="360" w:lineRule="auto"/>
        <w:ind w:firstLine="482" w:firstLineChars="200"/>
        <w:rPr>
          <w:rFonts w:hint="eastAsia" w:ascii="宋体" w:hAnsi="宋体" w:eastAsia="宋体" w:cs="宋体"/>
          <w:b/>
          <w:color w:val="auto"/>
          <w:sz w:val="24"/>
          <w:szCs w:val="24"/>
          <w:highlight w:val="none"/>
        </w:rPr>
      </w:pPr>
    </w:p>
    <w:p w14:paraId="32E6BD1C">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 附则</w:t>
      </w:r>
    </w:p>
    <w:p w14:paraId="3926829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在本合同履行过程中相互发出或者提供的所有通知、文件、文书、资料等，均以本合同所列明的或一方向对方书面通知的地址送达。一方未在本合同中载明送达地址的，则视为其认可工商注册地址或户籍登记地址为有效送达地址。双方约定的送达地址适用范围包括双方非诉时各类通知、协议等文件以及就合同发生纠纷时相关文件和法律文书的送达，同时包括在争议进入仲裁、民事诉讼程序后的一审、二审、再审和执行程序。一方如果迁址或者变更联系方式的，应当书面通知对方。未履行通知义务的，另一方按原地址邮寄相关材料即视为已履行送达义务；当面交付上述材料的，在交付之时视为送达；以特快专递（指EMS）或顺丰速运方式交付的，寄出后三日即视为送达（签收日较早的，以签收日为准）。</w:t>
      </w:r>
    </w:p>
    <w:p w14:paraId="7CD6B9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w:t>
      </w:r>
      <w:r>
        <w:rPr>
          <w:rFonts w:hint="eastAsia" w:ascii="宋体" w:hAnsi="宋体" w:cs="宋体"/>
          <w:color w:val="auto"/>
          <w:sz w:val="24"/>
          <w:szCs w:val="24"/>
          <w:highlight w:val="none"/>
          <w:lang w:val="en-US" w:eastAsia="zh-CN"/>
        </w:rPr>
        <w:t>自下列条件均具备之后</w:t>
      </w:r>
      <w:r>
        <w:rPr>
          <w:rFonts w:hint="eastAsia" w:ascii="宋体" w:hAnsi="宋体" w:eastAsia="宋体" w:cs="宋体"/>
          <w:color w:val="auto"/>
          <w:sz w:val="24"/>
          <w:szCs w:val="24"/>
          <w:highlight w:val="none"/>
        </w:rPr>
        <w:t>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1）须由</w:t>
      </w:r>
      <w:r>
        <w:rPr>
          <w:rFonts w:hint="eastAsia" w:ascii="宋体" w:hAnsi="宋体" w:eastAsia="宋体" w:cs="宋体"/>
          <w:color w:val="auto"/>
          <w:sz w:val="24"/>
          <w:szCs w:val="24"/>
          <w:highlight w:val="none"/>
        </w:rPr>
        <w:t>双方法定代表人或</w:t>
      </w:r>
      <w:r>
        <w:rPr>
          <w:rFonts w:hint="eastAsia" w:ascii="宋体" w:hAnsi="宋体" w:cs="宋体"/>
          <w:color w:val="auto"/>
          <w:sz w:val="24"/>
          <w:szCs w:val="24"/>
          <w:highlight w:val="none"/>
          <w:lang w:eastAsia="zh-CN"/>
        </w:rPr>
        <w:t>其委托代理人</w:t>
      </w:r>
      <w:r>
        <w:rPr>
          <w:rFonts w:hint="eastAsia" w:ascii="宋体" w:hAnsi="宋体" w:eastAsia="宋体" w:cs="宋体"/>
          <w:color w:val="auto"/>
          <w:sz w:val="24"/>
          <w:szCs w:val="24"/>
          <w:highlight w:val="none"/>
        </w:rPr>
        <w:t>签字（或</w:t>
      </w:r>
      <w:r>
        <w:rPr>
          <w:rFonts w:hint="eastAsia" w:ascii="宋体" w:hAnsi="宋体" w:cs="宋体"/>
          <w:color w:val="auto"/>
          <w:sz w:val="24"/>
          <w:szCs w:val="24"/>
          <w:highlight w:val="none"/>
          <w:lang w:val="en-US" w:eastAsia="zh-CN"/>
        </w:rPr>
        <w:t>盖私</w:t>
      </w:r>
      <w:r>
        <w:rPr>
          <w:rFonts w:hint="eastAsia" w:ascii="宋体" w:hAnsi="宋体" w:eastAsia="宋体" w:cs="宋体"/>
          <w:color w:val="auto"/>
          <w:sz w:val="24"/>
          <w:szCs w:val="24"/>
          <w:highlight w:val="none"/>
        </w:rPr>
        <w:t>章），并加盖</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公章或合同专用章</w:t>
      </w:r>
      <w:r>
        <w:rPr>
          <w:rFonts w:hint="eastAsia" w:ascii="宋体" w:hAnsi="宋体" w:cs="宋体"/>
          <w:color w:val="auto"/>
          <w:sz w:val="24"/>
          <w:szCs w:val="24"/>
          <w:highlight w:val="none"/>
          <w:lang w:val="en-US" w:eastAsia="zh-CN"/>
        </w:rPr>
        <w:t>；（2）乙方已缴纳履约担保</w:t>
      </w:r>
      <w:r>
        <w:rPr>
          <w:rFonts w:hint="eastAsia" w:ascii="宋体" w:hAnsi="宋体" w:eastAsia="宋体" w:cs="宋体"/>
          <w:color w:val="auto"/>
          <w:sz w:val="24"/>
          <w:szCs w:val="24"/>
          <w:highlight w:val="none"/>
        </w:rPr>
        <w:t>。</w:t>
      </w:r>
    </w:p>
    <w:p w14:paraId="5A88C47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3.本合同壹式</w:t>
      </w:r>
      <w:r>
        <w:rPr>
          <w:rFonts w:hint="eastAsia" w:ascii="宋体" w:hAnsi="宋体" w:eastAsia="宋体" w:cs="宋体"/>
          <w:color w:val="auto"/>
          <w:sz w:val="24"/>
          <w:szCs w:val="24"/>
          <w:highlight w:val="none"/>
          <w:u w:val="single"/>
        </w:rPr>
        <w:t>捌</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肆</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肆</w:t>
      </w:r>
      <w:r>
        <w:rPr>
          <w:rFonts w:hint="eastAsia" w:ascii="宋体" w:hAnsi="宋体" w:eastAsia="宋体" w:cs="宋体"/>
          <w:color w:val="auto"/>
          <w:sz w:val="24"/>
          <w:szCs w:val="24"/>
          <w:highlight w:val="none"/>
        </w:rPr>
        <w:t>份，均具有同等法律效力。</w:t>
      </w:r>
    </w:p>
    <w:p w14:paraId="557CA06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4．本合同签订于广东省肇庆市</w:t>
      </w:r>
      <w:r>
        <w:rPr>
          <w:rFonts w:hint="eastAsia" w:ascii="宋体" w:hAnsi="宋体" w:eastAsia="宋体" w:cs="宋体"/>
          <w:color w:val="auto"/>
          <w:sz w:val="24"/>
          <w:szCs w:val="24"/>
          <w:highlight w:val="none"/>
          <w:u w:val="single"/>
        </w:rPr>
        <w:t>端州区</w:t>
      </w:r>
      <w:r>
        <w:rPr>
          <w:rFonts w:hint="eastAsia" w:ascii="宋体" w:hAnsi="宋体" w:eastAsia="宋体" w:cs="宋体"/>
          <w:color w:val="auto"/>
          <w:sz w:val="24"/>
          <w:szCs w:val="24"/>
          <w:highlight w:val="none"/>
        </w:rPr>
        <w:t>。</w:t>
      </w:r>
    </w:p>
    <w:p w14:paraId="7F392D9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5.本合同附件为本合同重要组成部分，与本合同正文具有同等法律效力。</w:t>
      </w:r>
    </w:p>
    <w:p w14:paraId="4760B57C">
      <w:pPr>
        <w:pStyle w:val="13"/>
        <w:rPr>
          <w:rFonts w:hint="eastAsia"/>
          <w:color w:val="auto"/>
          <w:highlight w:val="none"/>
        </w:rPr>
      </w:pPr>
      <w:r>
        <w:rPr>
          <w:rFonts w:hint="eastAsia" w:ascii="宋体" w:hAnsi="宋体" w:cs="宋体"/>
          <w:color w:val="auto"/>
          <w:sz w:val="24"/>
          <w:szCs w:val="24"/>
          <w:highlight w:val="none"/>
          <w:lang w:val="en-US" w:eastAsia="zh-CN"/>
        </w:rPr>
        <w:t xml:space="preserve">    </w:t>
      </w:r>
    </w:p>
    <w:p w14:paraId="3AAF6D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39401381">
      <w:pPr>
        <w:numPr>
          <w:ilvl w:val="0"/>
          <w:numId w:val="1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廉洁从业承诺书；</w:t>
      </w:r>
    </w:p>
    <w:p w14:paraId="2120CA39">
      <w:pPr>
        <w:numPr>
          <w:ilvl w:val="0"/>
          <w:numId w:val="1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安全生产合同</w:t>
      </w:r>
      <w:r>
        <w:rPr>
          <w:rFonts w:hint="eastAsia" w:ascii="宋体" w:hAnsi="宋体" w:eastAsia="宋体" w:cs="宋体"/>
          <w:color w:val="auto"/>
          <w:sz w:val="24"/>
          <w:szCs w:val="24"/>
          <w:highlight w:val="none"/>
        </w:rPr>
        <w:t>；</w:t>
      </w:r>
    </w:p>
    <w:p w14:paraId="1DE23A68">
      <w:pPr>
        <w:numPr>
          <w:ilvl w:val="0"/>
          <w:numId w:val="1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服务结算单</w:t>
      </w:r>
    </w:p>
    <w:p w14:paraId="5F42B8AF">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（以下无正文）</w:t>
      </w:r>
    </w:p>
    <w:p w14:paraId="63DB926F">
      <w:pPr>
        <w:adjustRightInd w:val="0"/>
        <w:snapToGrid w:val="0"/>
        <w:spacing w:line="360" w:lineRule="auto"/>
        <w:rPr>
          <w:rFonts w:hint="eastAsia" w:ascii="宋体" w:hAnsi="宋体" w:eastAsia="宋体" w:cs="宋体"/>
          <w:b/>
          <w:color w:val="auto"/>
          <w:sz w:val="24"/>
          <w:szCs w:val="24"/>
          <w:highlight w:val="none"/>
          <w:shd w:val="pct10" w:color="auto" w:fill="FFFFFF"/>
        </w:rPr>
      </w:pPr>
    </w:p>
    <w:p w14:paraId="39B250D9">
      <w:pPr>
        <w:autoSpaceDE w:val="0"/>
        <w:autoSpaceDN w:val="0"/>
        <w:adjustRightInd w:val="0"/>
        <w:snapToGrid w:val="0"/>
        <w:spacing w:line="360" w:lineRule="auto"/>
        <w:ind w:right="72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甲方（盖</w:t>
      </w:r>
      <w:r>
        <w:rPr>
          <w:rFonts w:hint="eastAsia" w:ascii="宋体" w:hAnsi="宋体" w:cs="宋体"/>
          <w:bCs/>
          <w:color w:val="auto"/>
          <w:kern w:val="0"/>
          <w:sz w:val="24"/>
          <w:szCs w:val="24"/>
          <w:highlight w:val="none"/>
          <w:lang w:val="en-US" w:eastAsia="zh-CN"/>
        </w:rPr>
        <w:t>单位公</w:t>
      </w:r>
      <w:r>
        <w:rPr>
          <w:rFonts w:hint="eastAsia" w:ascii="宋体" w:hAnsi="宋体" w:eastAsia="宋体" w:cs="宋体"/>
          <w:bCs/>
          <w:color w:val="auto"/>
          <w:kern w:val="0"/>
          <w:sz w:val="24"/>
          <w:szCs w:val="24"/>
          <w:highlight w:val="none"/>
        </w:rPr>
        <w:t>章）：                       乙方（盖</w:t>
      </w:r>
      <w:r>
        <w:rPr>
          <w:rFonts w:hint="eastAsia" w:ascii="宋体" w:hAnsi="宋体" w:cs="宋体"/>
          <w:bCs/>
          <w:color w:val="auto"/>
          <w:kern w:val="0"/>
          <w:sz w:val="24"/>
          <w:szCs w:val="24"/>
          <w:highlight w:val="none"/>
          <w:lang w:val="en-US" w:eastAsia="zh-CN"/>
        </w:rPr>
        <w:t>单位公</w:t>
      </w:r>
      <w:r>
        <w:rPr>
          <w:rFonts w:hint="eastAsia" w:ascii="宋体" w:hAnsi="宋体" w:eastAsia="宋体" w:cs="宋体"/>
          <w:bCs/>
          <w:color w:val="auto"/>
          <w:kern w:val="0"/>
          <w:sz w:val="24"/>
          <w:szCs w:val="24"/>
          <w:highlight w:val="none"/>
        </w:rPr>
        <w:t>章）：</w:t>
      </w:r>
    </w:p>
    <w:p w14:paraId="6B4EDF5E">
      <w:pPr>
        <w:tabs>
          <w:tab w:val="left" w:pos="1080"/>
        </w:tabs>
        <w:adjustRightInd w:val="0"/>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019C8268">
      <w:pPr>
        <w:tabs>
          <w:tab w:val="left" w:pos="1080"/>
        </w:tabs>
        <w:adjustRightInd w:val="0"/>
        <w:snapToGrid w:val="0"/>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法定代表人</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 xml:space="preserve">单位负责人）                   </w:t>
      </w:r>
      <w:r>
        <w:rPr>
          <w:rFonts w:hint="eastAsia" w:ascii="宋体" w:hAnsi="宋体" w:eastAsia="宋体" w:cs="宋体"/>
          <w:bCs/>
          <w:color w:val="auto"/>
          <w:sz w:val="24"/>
          <w:szCs w:val="24"/>
          <w:highlight w:val="none"/>
        </w:rPr>
        <w:t>法定代表人</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单位负责人）</w:t>
      </w:r>
    </w:p>
    <w:p w14:paraId="5B4E764C">
      <w:pPr>
        <w:tabs>
          <w:tab w:val="left" w:pos="1080"/>
        </w:tabs>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或其委托代理人（签字或盖私章）</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或其委托代理人（签字或盖私章）</w:t>
      </w:r>
      <w:r>
        <w:rPr>
          <w:rFonts w:hint="eastAsia" w:ascii="宋体" w:hAnsi="宋体" w:eastAsia="宋体" w:cs="宋体"/>
          <w:bCs/>
          <w:color w:val="auto"/>
          <w:sz w:val="24"/>
          <w:szCs w:val="24"/>
          <w:highlight w:val="none"/>
        </w:rPr>
        <w:t xml:space="preserve">： </w:t>
      </w:r>
    </w:p>
    <w:p w14:paraId="614E914F">
      <w:pPr>
        <w:tabs>
          <w:tab w:val="left" w:pos="1080"/>
        </w:tabs>
        <w:adjustRightInd w:val="0"/>
        <w:snapToGrid w:val="0"/>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101FDA5">
      <w:pPr>
        <w:tabs>
          <w:tab w:val="left" w:pos="1080"/>
        </w:tabs>
        <w:adjustRightInd w:val="0"/>
        <w:snapToGrid w:val="0"/>
        <w:spacing w:line="360" w:lineRule="auto"/>
        <w:rPr>
          <w:rFonts w:hint="eastAsia" w:ascii="宋体" w:hAnsi="宋体" w:eastAsia="宋体" w:cs="宋体"/>
          <w:bCs/>
          <w:color w:val="auto"/>
          <w:sz w:val="24"/>
          <w:szCs w:val="24"/>
          <w:highlight w:val="none"/>
          <w:u w:val="single"/>
        </w:rPr>
      </w:pPr>
    </w:p>
    <w:p w14:paraId="0241FF1F">
      <w:pPr>
        <w:tabs>
          <w:tab w:val="left" w:pos="108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签约日期：     年   月   日         签约日期：    年   月  日</w:t>
      </w:r>
    </w:p>
    <w:p w14:paraId="714BB4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EEC2F4A">
      <w:pPr>
        <w:kinsoku w:val="0"/>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14:paraId="716A85F4">
      <w:pPr>
        <w:kinsoku w:val="0"/>
        <w:overflowPunct w:val="0"/>
        <w:autoSpaceDE w:val="0"/>
        <w:autoSpaceDN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廉洁从业承诺书</w:t>
      </w:r>
    </w:p>
    <w:p w14:paraId="0ABF0F67">
      <w:pPr>
        <w:kinsoku w:val="0"/>
        <w:overflowPunct w:val="0"/>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rPr>
      </w:pPr>
    </w:p>
    <w:p w14:paraId="43532F7C">
      <w:pPr>
        <w:kinsoku w:val="0"/>
        <w:overflowPunct w:val="0"/>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肇庆市港口投资发展有限公司</w:t>
      </w:r>
      <w:r>
        <w:rPr>
          <w:rFonts w:hint="eastAsia" w:ascii="宋体" w:hAnsi="宋体" w:eastAsia="宋体" w:cs="宋体"/>
          <w:color w:val="auto"/>
          <w:sz w:val="24"/>
          <w:szCs w:val="24"/>
          <w:highlight w:val="none"/>
        </w:rPr>
        <w:t>：</w:t>
      </w:r>
    </w:p>
    <w:p w14:paraId="183AC479">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为进一步规范合同管理工作，杜绝在合同签署过程中的 不正之风和腐败现象，防止各种不正当行为的发生，根据国 家和地方有关规定，我单位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(填写公司全称) 自愿同意遵守如下承诺事项，并按承诺书的要求 承担相应的经济责任：</w:t>
      </w:r>
    </w:p>
    <w:p w14:paraId="01765BB1">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一、承诺内容</w:t>
      </w:r>
    </w:p>
    <w:p w14:paraId="2668AB9E">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1、承诺不赠送贵公司工作人员礼金、有价证券、物品等，不为贵公司工作人员报销任何费用；</w:t>
      </w:r>
    </w:p>
    <w:p w14:paraId="59CCBCCB">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2、承诺不给予贵公司工作人员账外暗中支付各种回扣、佣金或任何变相贿赂 (如购物折扣等)；</w:t>
      </w:r>
    </w:p>
    <w:p w14:paraId="696F1503">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3、承诺不以洽谈工作、签订合同、联络感情等任何借口，邀请贵公司工作人员外出旅游和进入营业性娱乐场所 (含餐饮)；</w:t>
      </w:r>
    </w:p>
    <w:p w14:paraId="42B7DF55">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4、承诺不为贵公司工作人员住房装修、婚丧嫁娶、家 属和子女的工作安排以及出国等提供方便；</w:t>
      </w:r>
    </w:p>
    <w:p w14:paraId="0BFD60F5">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5、承诺不招聘贵公司工作人员介绍的亲友从事与贵公司采购等相关联的工作；</w:t>
      </w:r>
    </w:p>
    <w:p w14:paraId="7ABE4019">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6、承诺不借款给贵公司的工作人员，不为贵公司的工作人员代购任何物品；</w:t>
      </w:r>
    </w:p>
    <w:p w14:paraId="7AAD7B42">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诺在参与贵公司组织的任何合同招标、签约、履行过程中，不做任何包括但不限于与其他投标方相互串通投标报价、排挤其他投标人、向贵公司工作人员行贿或弄虚作假，骗取中标等损害贵公司利益的行为；</w:t>
      </w:r>
    </w:p>
    <w:p w14:paraId="01A9211F">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8、承诺不以任何直接或间接关系获得签订合同机会；</w:t>
      </w:r>
    </w:p>
    <w:p w14:paraId="3285EC01">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9、承诺本着友好合作基本原则，在合作过程中决不发生侮辱、恐吓、伤害贵公司工作人员的行为；</w:t>
      </w:r>
    </w:p>
    <w:p w14:paraId="199AA2A3">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10、承诺在与贵公司业务交往过程中，决不擅自窃取、拿取贵公司任何物品、物件及相关资料(如技术、业务、采购、生产资料等)；</w:t>
      </w:r>
    </w:p>
    <w:p w14:paraId="1C78A0D2">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11、承诺不泄露双方合作过程中知悉属贵公司的商业秘密；</w:t>
      </w:r>
    </w:p>
    <w:p w14:paraId="47A0EE15">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12、承诺切实履行与贵公司签订的任何合同、质量保证合同及其他相关合同、协议。</w:t>
      </w:r>
    </w:p>
    <w:p w14:paraId="5202CD48">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二、执行承诺</w:t>
      </w:r>
    </w:p>
    <w:p w14:paraId="2D4036ED">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自觉接受贵公司及贵公司上级相关监督管理部门的监督检查，全面配合贵公司开展的上述廉洁、诚信承诺内容履行情况的检查工作。我单位知悉并将通过贵单位投诉举报渠道(集团本部纪检监察室举报投诉电话：0758-2909855)来维护双方的利益；</w:t>
      </w:r>
    </w:p>
    <w:p w14:paraId="04982297">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2、若发现任何合同签署履行等合作过程中，贵公司工作人员存在索贿等违法、违纪行为的，我单位承诺配合贵单位做好抽查惩处工作；</w:t>
      </w:r>
    </w:p>
    <w:p w14:paraId="13A0AB73">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如果违反本承诺书承诺内容第1至第12款中任一款的承诺，愿意无条件向贵公司支付合同金额10%违约金，贵公司有权直接从我单位往来结算账户中扣除此违约金。且贵公司可以单方面解除双方之间所有协议而不需承担任何违约责任；</w:t>
      </w:r>
    </w:p>
    <w:p w14:paraId="74647B33">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发生违反本承诺书的事由，给贵公司造成经济损失的，我单位承诺予以赔偿。贵公司除可执行本条第3款规定外，还可视经济损失情况保留对我单位终止或暂停结算的相关权利，且贵集团公司属下所有与我单位有业务往来的公司均有相关终止或暂停结算的权利。</w:t>
      </w:r>
    </w:p>
    <w:p w14:paraId="56611A1F">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三、其他相关内容</w:t>
      </w:r>
    </w:p>
    <w:p w14:paraId="1DC884F6">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1、本承诺书不影响我单位按合同其它条款承担相关责任。</w:t>
      </w:r>
    </w:p>
    <w:p w14:paraId="5ACD78EE">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2、本承诺书自我单位签字盖章之日起生效，承诺的有效期为合同期。在承诺有效期内，本承诺书对我单位与贵公司签订的每一项合同均具有效力。</w:t>
      </w:r>
    </w:p>
    <w:p w14:paraId="1DD3D0EB">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3、本承诺书作为合同的附件，与合同具有同等法律效力；承诺书一式八份，甲乙双方方各执四份，该承诺书在有效期内不可撤销。</w:t>
      </w:r>
    </w:p>
    <w:p w14:paraId="72FB7E02">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p w14:paraId="62CF341D">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p w14:paraId="3248D4D6">
      <w:pPr>
        <w:kinsoku w:val="0"/>
        <w:overflowPunct w:val="0"/>
        <w:autoSpaceDE w:val="0"/>
        <w:autoSpaceDN w:val="0"/>
        <w:adjustRightInd w:val="0"/>
        <w:snapToGrid w:val="0"/>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 (盖</w:t>
      </w:r>
      <w:r>
        <w:rPr>
          <w:rFonts w:hint="eastAsia" w:ascii="宋体" w:hAnsi="宋体" w:cs="宋体"/>
          <w:color w:val="auto"/>
          <w:sz w:val="24"/>
          <w:szCs w:val="24"/>
          <w:highlight w:val="none"/>
          <w:lang w:val="en-US" w:eastAsia="zh-CN"/>
        </w:rPr>
        <w:t>单位公</w:t>
      </w:r>
      <w:r>
        <w:rPr>
          <w:rFonts w:hint="eastAsia" w:ascii="宋体" w:hAnsi="宋体" w:eastAsia="宋体" w:cs="宋体"/>
          <w:color w:val="auto"/>
          <w:sz w:val="24"/>
          <w:szCs w:val="24"/>
          <w:highlight w:val="none"/>
        </w:rPr>
        <w:t>章)：</w:t>
      </w:r>
    </w:p>
    <w:p w14:paraId="4A6BE3F0">
      <w:pPr>
        <w:kinsoku w:val="0"/>
        <w:overflowPunct w:val="0"/>
        <w:autoSpaceDE w:val="0"/>
        <w:autoSpaceDN w:val="0"/>
        <w:adjustRightInd w:val="0"/>
        <w:snapToGrid w:val="0"/>
        <w:spacing w:line="360" w:lineRule="auto"/>
        <w:ind w:firstLine="5280" w:firstLineChars="2200"/>
        <w:rPr>
          <w:rFonts w:hint="eastAsia" w:ascii="宋体" w:hAnsi="宋体" w:eastAsia="宋体" w:cs="宋体"/>
          <w:color w:val="auto"/>
          <w:sz w:val="24"/>
          <w:szCs w:val="24"/>
          <w:highlight w:val="none"/>
        </w:rPr>
      </w:pPr>
    </w:p>
    <w:p w14:paraId="18428252">
      <w:pPr>
        <w:kinsoku w:val="0"/>
        <w:overflowPunct w:val="0"/>
        <w:autoSpaceDE w:val="0"/>
        <w:autoSpaceDN w:val="0"/>
        <w:adjustRightInd w:val="0"/>
        <w:snapToGrid w:val="0"/>
        <w:spacing w:line="360" w:lineRule="auto"/>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B4258B4">
      <w:pPr>
        <w:rPr>
          <w:rFonts w:hint="eastAsia" w:ascii="宋体" w:hAnsi="宋体" w:eastAsia="宋体" w:cs="宋体"/>
          <w:color w:val="auto"/>
          <w:sz w:val="24"/>
          <w:szCs w:val="24"/>
          <w:highlight w:val="none"/>
          <w:u w:val="single"/>
        </w:rPr>
      </w:pPr>
    </w:p>
    <w:p w14:paraId="641B7D76">
      <w:pPr>
        <w:rPr>
          <w:rFonts w:hint="eastAsia" w:ascii="宋体" w:hAnsi="宋体" w:eastAsia="宋体" w:cs="宋体"/>
          <w:color w:val="auto"/>
          <w:sz w:val="24"/>
          <w:szCs w:val="24"/>
          <w:highlight w:val="none"/>
          <w:u w:val="single"/>
        </w:rPr>
      </w:pPr>
    </w:p>
    <w:p w14:paraId="3306BD1B">
      <w:pPr>
        <w:kinsoku w:val="0"/>
        <w:overflowPunct w:val="0"/>
        <w:autoSpaceDE w:val="0"/>
        <w:autoSpaceDN w:val="0"/>
        <w:rPr>
          <w:rFonts w:hint="eastAsia" w:ascii="宋体" w:hAnsi="宋体" w:eastAsia="宋体" w:cs="宋体"/>
          <w:color w:val="auto"/>
          <w:sz w:val="24"/>
          <w:szCs w:val="24"/>
          <w:highlight w:val="none"/>
        </w:rPr>
      </w:pPr>
      <w:bookmarkStart w:id="88" w:name="_Toc23563"/>
      <w:bookmarkStart w:id="89" w:name="_Toc16107_WPSOffice_Level1"/>
      <w:bookmarkStart w:id="90" w:name="_Toc25076"/>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3F4FC4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安全生产合同</w:t>
      </w:r>
    </w:p>
    <w:p w14:paraId="3592582A">
      <w:pPr>
        <w:jc w:val="center"/>
        <w:rPr>
          <w:rFonts w:hint="eastAsia" w:ascii="宋体" w:hAnsi="宋体" w:eastAsia="宋体" w:cs="宋体"/>
          <w:color w:val="auto"/>
          <w:sz w:val="24"/>
          <w:szCs w:val="24"/>
          <w:highlight w:val="none"/>
        </w:rPr>
      </w:pPr>
    </w:p>
    <w:p w14:paraId="626886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标类（或标段）合同的实施过程中创造安全、高效的施工环境，切实搞好本项目的安全管理工作，本项目</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名称，以下简称“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名称，以下简称“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”)特此签订安全生产合同：</w:t>
      </w:r>
    </w:p>
    <w:p w14:paraId="17F58AA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w:t>
      </w:r>
      <w:r>
        <w:rPr>
          <w:rFonts w:hint="eastAsia" w:ascii="宋体" w:hAnsi="宋体" w:eastAsia="宋体" w:cs="宋体"/>
          <w:b/>
          <w:bCs/>
          <w:color w:val="auto"/>
          <w:sz w:val="24"/>
          <w:szCs w:val="24"/>
          <w:highlight w:val="none"/>
          <w:lang w:eastAsia="zh-CN"/>
        </w:rPr>
        <w:t>甲方</w:t>
      </w:r>
      <w:r>
        <w:rPr>
          <w:rFonts w:hint="eastAsia" w:ascii="宋体" w:hAnsi="宋体" w:eastAsia="宋体" w:cs="宋体"/>
          <w:b/>
          <w:bCs/>
          <w:color w:val="auto"/>
          <w:sz w:val="24"/>
          <w:szCs w:val="24"/>
          <w:highlight w:val="none"/>
        </w:rPr>
        <w:t>职责</w:t>
      </w:r>
    </w:p>
    <w:p w14:paraId="02613B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(1)严格遵守国家有关安全生产的法律法规，认真执行</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承包合同中的有关安全要求。</w:t>
      </w:r>
    </w:p>
    <w:p w14:paraId="4D47C0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bookmarkStart w:id="91" w:name="OLE_LINK1"/>
      <w:r>
        <w:rPr>
          <w:rFonts w:hint="eastAsia" w:ascii="宋体" w:hAnsi="宋体" w:eastAsia="宋体" w:cs="宋体"/>
          <w:color w:val="auto"/>
          <w:sz w:val="24"/>
          <w:szCs w:val="24"/>
          <w:highlight w:val="none"/>
        </w:rPr>
        <w:t>依法建立、健全安全生产管理制度，以及各项安全生产操作规程。</w:t>
      </w:r>
      <w:bookmarkEnd w:id="91"/>
    </w:p>
    <w:p w14:paraId="001C1C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(3)按照“安全第一、预防为主”和坚持“管生产必须管安全”的原则进行安全生产管理，做到生产与安全工作同时计划、布置、检查、总结和评比。</w:t>
      </w:r>
    </w:p>
    <w:p w14:paraId="0D64FB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(4)定期召开安全生产调度会，及时传达中央及地方有关安全生产的精神。</w:t>
      </w:r>
    </w:p>
    <w:p w14:paraId="3F2737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(5)组织对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施工现场进行安全生产检查，监督</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及时处理发现的各种安全隐患。</w:t>
      </w:r>
    </w:p>
    <w:p w14:paraId="7229030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2.</w:t>
      </w:r>
      <w:r>
        <w:rPr>
          <w:rFonts w:hint="eastAsia" w:ascii="宋体" w:hAnsi="宋体" w:eastAsia="宋体" w:cs="宋体"/>
          <w:b/>
          <w:bCs/>
          <w:color w:val="auto"/>
          <w:sz w:val="24"/>
          <w:szCs w:val="24"/>
          <w:highlight w:val="none"/>
          <w:lang w:eastAsia="zh-CN"/>
        </w:rPr>
        <w:t>乙方</w:t>
      </w:r>
      <w:r>
        <w:rPr>
          <w:rFonts w:hint="eastAsia" w:ascii="宋体" w:hAnsi="宋体" w:eastAsia="宋体" w:cs="宋体"/>
          <w:b/>
          <w:bCs/>
          <w:color w:val="auto"/>
          <w:sz w:val="24"/>
          <w:szCs w:val="24"/>
          <w:highlight w:val="none"/>
        </w:rPr>
        <w:t>职责</w:t>
      </w:r>
    </w:p>
    <w:p w14:paraId="656238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(1)严格遵守《中华人民共和国安全生产法》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《中华人民共和国环境保护法》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《中华人民共和国职业病防治法》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《中华人民共和国消防法》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《生产安全事故报告和调查处理条例》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《广东省安全生产条例》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《企业安全生产标准化基本规范》等有关安全生产的</w:t>
      </w:r>
      <w:r>
        <w:rPr>
          <w:rFonts w:hint="eastAsia" w:ascii="宋体" w:hAnsi="宋体" w:eastAsia="宋体" w:cs="宋体"/>
          <w:color w:val="auto"/>
          <w:sz w:val="24"/>
          <w:szCs w:val="24"/>
          <w:highlight w:val="none"/>
          <w:lang w:val="en-US" w:eastAsia="zh-CN"/>
        </w:rPr>
        <w:t>法律法规</w:t>
      </w:r>
      <w:r>
        <w:rPr>
          <w:rFonts w:hint="eastAsia" w:ascii="宋体" w:hAnsi="宋体" w:eastAsia="宋体" w:cs="宋体"/>
          <w:color w:val="auto"/>
          <w:sz w:val="24"/>
          <w:szCs w:val="24"/>
          <w:highlight w:val="none"/>
        </w:rPr>
        <w:t>。认真执行</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合同中的有关安全要求。</w:t>
      </w:r>
    </w:p>
    <w:p w14:paraId="1F7546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8B67A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技术人员、生产管理人员和具体操作人员，必须熟悉和遵守本合同的各项规定，做到生产与安全工作同时计划、布置、检查、总结和评比。</w:t>
      </w:r>
    </w:p>
    <w:p w14:paraId="777B01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2D3B6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在任何时候都应采取各种合理的预防措施，防止其员工发生任何违法、违禁、暴力或妨碍治安的行为。</w:t>
      </w:r>
    </w:p>
    <w:p w14:paraId="1AABC8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负责人必须承担管理责任。</w:t>
      </w:r>
    </w:p>
    <w:p w14:paraId="4A3059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(6)对于易燃易爆的材料除应专门妥善保管之外，还应配备有足够的消防设施，所有施工人员都应熟悉消防设备的性能和使用方法；</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不得将任何种类的爆炸物给予、易货或以其他方式转让给任何其他人，或允许、容忍上述同样行为。</w:t>
      </w:r>
    </w:p>
    <w:p w14:paraId="411342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(7)操作人员上岗，必须按规定穿戴防护用品。施工负责人和安全检查员应随时检查劳动防护用品的穿戴情况，不按规定穿戴防护用品的人员不得上岗。</w:t>
      </w:r>
    </w:p>
    <w:p w14:paraId="0F0497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(8)所有施工机具设备和高空作业的设备均应定期检查，并有安全员的签字记录，保证其经常处于完好状态；不合格的机具、设备和劳动保护用品严禁使用。</w:t>
      </w:r>
    </w:p>
    <w:p w14:paraId="124E61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(9)施工中采用新技术、新工艺、新设备、新材料时，必须制定相应的安全技术措施，施工现场必须具有相关的安全标志牌。</w:t>
      </w:r>
    </w:p>
    <w:p w14:paraId="057AD9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必须按照本项目特点，组织制定本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实施中的生产安全事故应急救援预案；如果发生安全事故，应按照《国务院关于特大安全事故行政责任追究的规定》以及其他有关规定，及时上报有关部门，并坚持“四不放过”的原则，严肃处理相关责任人。</w:t>
      </w:r>
    </w:p>
    <w:p w14:paraId="60F8CD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(11)安全生产费用按照</w:t>
      </w:r>
      <w:r>
        <w:rPr>
          <w:rStyle w:val="30"/>
          <w:rFonts w:hint="eastAsia" w:ascii="宋体" w:hAnsi="宋体" w:eastAsia="宋体" w:cs="宋体"/>
          <w:color w:val="auto"/>
          <w:kern w:val="2"/>
          <w:sz w:val="24"/>
          <w:szCs w:val="24"/>
          <w:highlight w:val="none"/>
          <w:lang w:val="en-US" w:eastAsia="zh-CN" w:bidi="ar"/>
        </w:rPr>
        <w:t>《企业安全生产费用提取和使用管理办法》</w:t>
      </w:r>
      <w:r>
        <w:rPr>
          <w:rFonts w:hint="eastAsia" w:ascii="宋体" w:hAnsi="宋体" w:eastAsia="宋体" w:cs="宋体"/>
          <w:color w:val="auto"/>
          <w:kern w:val="2"/>
          <w:sz w:val="24"/>
          <w:szCs w:val="24"/>
          <w:highlight w:val="none"/>
          <w:lang w:val="en-US" w:eastAsia="zh-CN" w:bidi="ar"/>
        </w:rPr>
        <w:t>（财资〔2022〕136号）</w:t>
      </w:r>
      <w:r>
        <w:rPr>
          <w:rFonts w:hint="eastAsia" w:ascii="宋体" w:hAnsi="宋体" w:eastAsia="宋体" w:cs="宋体"/>
          <w:color w:val="auto"/>
          <w:sz w:val="24"/>
          <w:szCs w:val="24"/>
          <w:highlight w:val="none"/>
        </w:rPr>
        <w:t>和《广东省交通运输厅关于公路水运建设工程安全生产费用的管理办法》（粤交〔</w:t>
      </w:r>
      <w:r>
        <w:rPr>
          <w:rFonts w:hint="eastAsia" w:ascii="宋体" w:hAnsi="宋体" w:eastAsia="宋体" w:cs="宋体"/>
          <w:color w:val="auto"/>
          <w:sz w:val="24"/>
          <w:szCs w:val="24"/>
          <w:highlight w:val="none"/>
          <w:lang w:val="en-US"/>
        </w:rPr>
        <w:t>2021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6号</w:t>
      </w:r>
      <w:r>
        <w:rPr>
          <w:rFonts w:hint="eastAsia" w:ascii="宋体" w:hAnsi="宋体" w:eastAsia="宋体" w:cs="宋体"/>
          <w:color w:val="auto"/>
          <w:sz w:val="24"/>
          <w:szCs w:val="24"/>
          <w:highlight w:val="none"/>
        </w:rPr>
        <w:t>）的相关规定使用和管理。</w:t>
      </w:r>
    </w:p>
    <w:p w14:paraId="50BA966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3.违约责任</w:t>
      </w:r>
    </w:p>
    <w:p w14:paraId="4DCC509C">
      <w:pPr>
        <w:spacing w:line="360" w:lineRule="auto"/>
        <w:ind w:firstLine="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(1)乙方应服从甲方安全生产管理，遵守甲方的安全规章制度和操作规程，如</w:t>
      </w:r>
      <w:r>
        <w:rPr>
          <w:rFonts w:hint="eastAsia" w:ascii="宋体" w:hAnsi="宋体" w:eastAsia="宋体" w:cs="宋体"/>
          <w:color w:val="auto"/>
          <w:sz w:val="24"/>
          <w:szCs w:val="24"/>
          <w:highlight w:val="none"/>
          <w:lang w:val="en-US" w:eastAsia="zh-CN"/>
        </w:rPr>
        <w:t>违反</w:t>
      </w:r>
      <w:r>
        <w:rPr>
          <w:rFonts w:hint="eastAsia" w:ascii="宋体" w:hAnsi="宋体" w:eastAsia="宋体" w:cs="宋体"/>
          <w:color w:val="auto"/>
          <w:sz w:val="24"/>
          <w:szCs w:val="24"/>
          <w:highlight w:val="none"/>
        </w:rPr>
        <w:t>上述</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甲方有权按照相关条款对乙方进行经济处罚</w:t>
      </w:r>
      <w:r>
        <w:rPr>
          <w:rFonts w:hint="eastAsia" w:ascii="宋体" w:hAnsi="宋体" w:eastAsia="宋体" w:cs="宋体"/>
          <w:color w:val="auto"/>
          <w:sz w:val="24"/>
          <w:szCs w:val="24"/>
          <w:highlight w:val="none"/>
        </w:rPr>
        <w:t>。</w:t>
      </w:r>
    </w:p>
    <w:p w14:paraId="107771AC">
      <w:pPr>
        <w:spacing w:line="360" w:lineRule="auto"/>
        <w:ind w:firstLine="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)在甲方</w:t>
      </w:r>
      <w:r>
        <w:rPr>
          <w:rFonts w:hint="eastAsia" w:ascii="宋体" w:hAnsi="宋体" w:eastAsia="宋体" w:cs="宋体"/>
          <w:color w:val="auto"/>
          <w:sz w:val="24"/>
          <w:szCs w:val="24"/>
          <w:highlight w:val="none"/>
          <w:lang w:val="en-US" w:eastAsia="zh-CN"/>
        </w:rPr>
        <w:t>区域</w:t>
      </w:r>
      <w:r>
        <w:rPr>
          <w:rFonts w:hint="eastAsia" w:ascii="宋体" w:hAnsi="宋体" w:eastAsia="宋体" w:cs="宋体"/>
          <w:color w:val="auto"/>
          <w:sz w:val="24"/>
          <w:szCs w:val="24"/>
          <w:highlight w:val="none"/>
        </w:rPr>
        <w:t>作业过程中，由于乙方</w:t>
      </w:r>
      <w:r>
        <w:rPr>
          <w:rFonts w:hint="eastAsia" w:ascii="宋体" w:hAnsi="宋体" w:eastAsia="宋体" w:cs="宋体"/>
          <w:color w:val="auto"/>
          <w:sz w:val="24"/>
          <w:szCs w:val="24"/>
          <w:highlight w:val="none"/>
          <w:lang w:val="en-US" w:eastAsia="zh-CN"/>
        </w:rPr>
        <w:t>原因</w:t>
      </w:r>
      <w:r>
        <w:rPr>
          <w:rFonts w:hint="eastAsia" w:ascii="宋体" w:hAnsi="宋体" w:eastAsia="宋体" w:cs="宋体"/>
          <w:color w:val="auto"/>
          <w:sz w:val="24"/>
          <w:szCs w:val="24"/>
          <w:highlight w:val="none"/>
        </w:rPr>
        <w:t>造成的生产安全事故（含</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伤亡事故、</w:t>
      </w:r>
      <w:r>
        <w:rPr>
          <w:rFonts w:hint="eastAsia" w:ascii="宋体" w:hAnsi="宋体" w:eastAsia="宋体" w:cs="宋体"/>
          <w:color w:val="auto"/>
          <w:sz w:val="24"/>
          <w:szCs w:val="24"/>
          <w:highlight w:val="none"/>
          <w:lang w:val="en-US" w:eastAsia="zh-CN"/>
        </w:rPr>
        <w:t>职业病事故、</w:t>
      </w:r>
      <w:r>
        <w:rPr>
          <w:rFonts w:hint="eastAsia" w:ascii="宋体" w:hAnsi="宋体" w:eastAsia="宋体" w:cs="宋体"/>
          <w:color w:val="auto"/>
          <w:sz w:val="24"/>
          <w:szCs w:val="24"/>
          <w:highlight w:val="none"/>
        </w:rPr>
        <w:t>机损货损事故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环境污染</w:t>
      </w:r>
      <w:r>
        <w:rPr>
          <w:rFonts w:hint="eastAsia" w:ascii="宋体" w:hAnsi="宋体" w:eastAsia="宋体" w:cs="宋体"/>
          <w:color w:val="auto"/>
          <w:sz w:val="24"/>
          <w:szCs w:val="24"/>
          <w:highlight w:val="none"/>
        </w:rPr>
        <w:t>等），由乙方承担全部法律责任</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经济赔偿责任。</w:t>
      </w:r>
    </w:p>
    <w:p w14:paraId="195CFFDF">
      <w:pPr>
        <w:spacing w:line="360" w:lineRule="auto"/>
        <w:ind w:firstLine="480" w:firstLineChars="200"/>
        <w:jc w:val="left"/>
        <w:rPr>
          <w:rFonts w:hint="eastAsia" w:ascii="宋体" w:hAnsi="宋体" w:eastAsia="宋体" w:cs="宋体"/>
          <w:color w:val="auto"/>
          <w:sz w:val="24"/>
          <w:szCs w:val="24"/>
          <w:highlight w:val="none"/>
        </w:rPr>
      </w:pPr>
      <w:bookmarkStart w:id="92" w:name="OLE_LINK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bookmarkEnd w:id="92"/>
      <w:r>
        <w:rPr>
          <w:rFonts w:hint="eastAsia" w:ascii="宋体" w:hAnsi="宋体" w:eastAsia="宋体" w:cs="宋体"/>
          <w:color w:val="auto"/>
          <w:sz w:val="24"/>
          <w:szCs w:val="24"/>
          <w:highlight w:val="none"/>
        </w:rPr>
        <w:t>乙方在甲方</w:t>
      </w:r>
      <w:r>
        <w:rPr>
          <w:rFonts w:hint="eastAsia" w:ascii="宋体" w:hAnsi="宋体" w:eastAsia="宋体" w:cs="宋体"/>
          <w:color w:val="auto"/>
          <w:sz w:val="24"/>
          <w:szCs w:val="24"/>
          <w:highlight w:val="none"/>
          <w:lang w:val="en-US" w:eastAsia="zh-CN"/>
        </w:rPr>
        <w:t>区域</w:t>
      </w:r>
      <w:r>
        <w:rPr>
          <w:rFonts w:hint="eastAsia" w:ascii="宋体" w:hAnsi="宋体" w:eastAsia="宋体" w:cs="宋体"/>
          <w:color w:val="auto"/>
          <w:sz w:val="24"/>
          <w:szCs w:val="24"/>
          <w:highlight w:val="none"/>
        </w:rPr>
        <w:t>内发生任何生产安全事故，乙方应及时向甲方报告，同时</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积极</w:t>
      </w:r>
      <w:r>
        <w:rPr>
          <w:rFonts w:hint="eastAsia" w:ascii="宋体" w:hAnsi="宋体" w:eastAsia="宋体" w:cs="宋体"/>
          <w:color w:val="auto"/>
          <w:sz w:val="24"/>
          <w:szCs w:val="24"/>
          <w:highlight w:val="none"/>
          <w:lang w:val="en-US" w:eastAsia="zh-CN"/>
        </w:rPr>
        <w:t>开展应急救援和</w:t>
      </w:r>
      <w:r>
        <w:rPr>
          <w:rFonts w:hint="eastAsia" w:ascii="宋体" w:hAnsi="宋体" w:eastAsia="宋体" w:cs="宋体"/>
          <w:color w:val="auto"/>
          <w:sz w:val="24"/>
          <w:szCs w:val="24"/>
          <w:highlight w:val="none"/>
        </w:rPr>
        <w:t>做好善后工作。</w:t>
      </w:r>
    </w:p>
    <w:p w14:paraId="263AB8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)本合同由双方法定代表人或其授权的代理人签署并加盖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后生效，</w:t>
      </w:r>
      <w:r>
        <w:rPr>
          <w:rFonts w:hint="eastAsia" w:ascii="宋体" w:hAnsi="宋体" w:eastAsia="宋体" w:cs="宋体"/>
          <w:color w:val="auto"/>
          <w:sz w:val="24"/>
          <w:szCs w:val="24"/>
          <w:highlight w:val="none"/>
          <w:lang w:val="en-US" w:eastAsia="zh-CN"/>
        </w:rPr>
        <w:t>服务合同到期</w:t>
      </w:r>
      <w:r>
        <w:rPr>
          <w:rFonts w:hint="eastAsia" w:ascii="宋体" w:hAnsi="宋体" w:eastAsia="宋体" w:cs="宋体"/>
          <w:color w:val="auto"/>
          <w:sz w:val="24"/>
          <w:szCs w:val="24"/>
          <w:highlight w:val="none"/>
        </w:rPr>
        <w:t>后失效。    .</w:t>
      </w:r>
    </w:p>
    <w:p w14:paraId="5ED997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1632D13">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5.本合同正本二份、副本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份，合同双方各执正本一份，副本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份，当正本与副本的内容不一致时，以正本为准。</w:t>
      </w:r>
    </w:p>
    <w:p w14:paraId="0635F93B">
      <w:pPr>
        <w:spacing w:line="360" w:lineRule="auto"/>
        <w:ind w:firstLine="420"/>
        <w:rPr>
          <w:rFonts w:hint="eastAsia" w:ascii="宋体" w:hAnsi="宋体" w:eastAsia="宋体" w:cs="宋体"/>
          <w:color w:val="auto"/>
          <w:sz w:val="24"/>
          <w:szCs w:val="24"/>
          <w:highlight w:val="none"/>
        </w:rPr>
      </w:pPr>
    </w:p>
    <w:p w14:paraId="5A8966F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B3AAF7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法定代表人或其委托代理人(签字</w:t>
      </w:r>
      <w:r>
        <w:rPr>
          <w:rFonts w:hint="eastAsia" w:ascii="宋体" w:hAnsi="宋体" w:cs="宋体"/>
          <w:color w:val="auto"/>
          <w:sz w:val="24"/>
          <w:szCs w:val="24"/>
          <w:highlight w:val="none"/>
          <w:lang w:val="en-US" w:eastAsia="zh-CN"/>
        </w:rPr>
        <w:t>或盖私章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法定代表人或其委托代理人(签字</w:t>
      </w:r>
      <w:r>
        <w:rPr>
          <w:rFonts w:hint="eastAsia" w:ascii="宋体" w:hAnsi="宋体" w:cs="宋体"/>
          <w:color w:val="auto"/>
          <w:sz w:val="24"/>
          <w:szCs w:val="24"/>
          <w:highlight w:val="none"/>
          <w:lang w:val="en-US" w:eastAsia="zh-CN"/>
        </w:rPr>
        <w:t>或盖私章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057A6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rPr>
        <w:t xml:space="preserve">   </w:t>
      </w:r>
    </w:p>
    <w:p w14:paraId="06D0265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日</w:t>
      </w:r>
      <w:bookmarkEnd w:id="88"/>
      <w:bookmarkEnd w:id="89"/>
      <w:bookmarkEnd w:id="90"/>
    </w:p>
    <w:p w14:paraId="55184E7A">
      <w:pPr>
        <w:shd w:val="clear" w:color="auto" w:fill="auto"/>
        <w:rPr>
          <w:rFonts w:hint="eastAsia" w:ascii="宋体" w:hAnsi="宋体" w:eastAsia="宋体" w:cs="宋体"/>
          <w:color w:val="auto"/>
          <w:highlight w:val="none"/>
        </w:rPr>
      </w:pPr>
    </w:p>
    <w:p w14:paraId="7B4A1D0C">
      <w:pPr>
        <w:shd w:val="clear" w:color="auto" w:fill="auto"/>
        <w:ind w:left="3175"/>
        <w:rPr>
          <w:rFonts w:hint="eastAsia" w:ascii="宋体" w:hAnsi="宋体" w:eastAsia="宋体" w:cs="宋体"/>
          <w:color w:val="auto"/>
          <w:highlight w:val="none"/>
        </w:rPr>
      </w:pPr>
    </w:p>
    <w:p w14:paraId="1A22BD2C">
      <w:pPr>
        <w:kinsoku w:val="0"/>
        <w:overflowPunct w:val="0"/>
        <w:autoSpaceDE w:val="0"/>
        <w:autoSpaceDN w:val="0"/>
        <w:rPr>
          <w:rFonts w:hint="eastAsia" w:ascii="宋体" w:hAnsi="宋体" w:eastAsia="宋体" w:cs="宋体"/>
          <w:color w:val="auto"/>
          <w:highlight w:val="none"/>
        </w:rPr>
        <w:sectPr>
          <w:pgSz w:w="12240" w:h="15840"/>
          <w:pgMar w:top="1500" w:right="1100" w:bottom="1120" w:left="1400" w:header="0" w:footer="841" w:gutter="0"/>
          <w:pgBorders>
            <w:top w:val="none" w:sz="0" w:space="0"/>
            <w:left w:val="none" w:sz="0" w:space="0"/>
            <w:bottom w:val="none" w:sz="0" w:space="0"/>
            <w:right w:val="none" w:sz="0" w:space="0"/>
          </w:pgBorders>
          <w:pgNumType w:fmt="decimal"/>
          <w:cols w:space="720" w:num="1"/>
        </w:sectPr>
      </w:pPr>
      <w:bookmarkStart w:id="93" w:name="_Toc14869"/>
    </w:p>
    <w:p w14:paraId="637E82CC">
      <w:pPr>
        <w:rPr>
          <w:rFonts w:hint="eastAsia" w:ascii="宋体" w:hAnsi="宋体" w:eastAsia="宋体" w:cs="宋体"/>
          <w:color w:val="auto"/>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p>
    <w:p w14:paraId="68374C25">
      <w:pPr>
        <w:pStyle w:val="2"/>
        <w:shd w:val="clear" w:color="auto" w:fill="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服务结算单</w:t>
      </w:r>
    </w:p>
    <w:p w14:paraId="3C31F639">
      <w:pPr>
        <w:rPr>
          <w:rFonts w:hint="eastAsia" w:ascii="宋体" w:hAnsi="宋体" w:eastAsia="宋体" w:cs="宋体"/>
          <w:color w:val="auto"/>
          <w:highlight w:val="none"/>
        </w:rPr>
      </w:pPr>
    </w:p>
    <w:tbl>
      <w:tblPr>
        <w:tblStyle w:val="2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79"/>
        <w:gridCol w:w="1360"/>
        <w:gridCol w:w="868"/>
        <w:gridCol w:w="1750"/>
        <w:gridCol w:w="2650"/>
        <w:gridCol w:w="2532"/>
        <w:gridCol w:w="3392"/>
      </w:tblGrid>
      <w:tr w14:paraId="6E7A3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327" w:type="pct"/>
            <w:shd w:val="clear" w:color="auto" w:fill="auto"/>
            <w:noWrap/>
            <w:vAlign w:val="center"/>
          </w:tcPr>
          <w:p w14:paraId="52AFBF8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bookmarkStart w:id="94" w:name="OLE_LINK9"/>
            <w:r>
              <w:rPr>
                <w:rFonts w:hint="eastAsia" w:ascii="宋体" w:hAnsi="宋体" w:eastAsia="宋体" w:cs="宋体"/>
                <w:i w:val="0"/>
                <w:iCs w:val="0"/>
                <w:color w:val="auto"/>
                <w:kern w:val="0"/>
                <w:sz w:val="24"/>
                <w:szCs w:val="24"/>
                <w:highlight w:val="none"/>
                <w:u w:val="none"/>
                <w:lang w:val="en-US" w:eastAsia="zh-CN" w:bidi="ar"/>
              </w:rPr>
              <w:t>序号</w:t>
            </w:r>
          </w:p>
        </w:tc>
        <w:tc>
          <w:tcPr>
            <w:tcW w:w="506" w:type="pct"/>
            <w:shd w:val="clear" w:color="auto" w:fill="auto"/>
            <w:noWrap/>
            <w:vAlign w:val="center"/>
          </w:tcPr>
          <w:p w14:paraId="388DBC4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货物类型</w:t>
            </w:r>
          </w:p>
        </w:tc>
        <w:tc>
          <w:tcPr>
            <w:tcW w:w="323" w:type="pct"/>
            <w:shd w:val="clear" w:color="auto" w:fill="auto"/>
            <w:vAlign w:val="center"/>
          </w:tcPr>
          <w:p w14:paraId="33548BC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月份</w:t>
            </w:r>
          </w:p>
        </w:tc>
        <w:tc>
          <w:tcPr>
            <w:tcW w:w="651" w:type="pct"/>
            <w:shd w:val="clear" w:color="auto" w:fill="auto"/>
            <w:vAlign w:val="center"/>
          </w:tcPr>
          <w:p w14:paraId="15CCDCC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数量</w:t>
            </w:r>
          </w:p>
        </w:tc>
        <w:tc>
          <w:tcPr>
            <w:tcW w:w="986" w:type="pct"/>
            <w:shd w:val="clear" w:color="auto" w:fill="auto"/>
            <w:vAlign w:val="center"/>
          </w:tcPr>
          <w:p w14:paraId="52E32E2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含税综合单价（元/吨）</w:t>
            </w:r>
          </w:p>
        </w:tc>
        <w:tc>
          <w:tcPr>
            <w:tcW w:w="942" w:type="pct"/>
            <w:shd w:val="clear" w:color="auto" w:fill="auto"/>
            <w:vAlign w:val="center"/>
          </w:tcPr>
          <w:p w14:paraId="1341242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装船服务量（吨）</w:t>
            </w:r>
          </w:p>
        </w:tc>
        <w:tc>
          <w:tcPr>
            <w:tcW w:w="1262" w:type="pct"/>
            <w:shd w:val="clear" w:color="auto" w:fill="auto"/>
            <w:noWrap/>
            <w:vAlign w:val="center"/>
          </w:tcPr>
          <w:p w14:paraId="53623E8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本月服务费（元）</w:t>
            </w:r>
          </w:p>
        </w:tc>
      </w:tr>
      <w:tr w14:paraId="77143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8" w:hRule="atLeast"/>
        </w:trPr>
        <w:tc>
          <w:tcPr>
            <w:tcW w:w="327" w:type="pct"/>
            <w:tcBorders>
              <w:bottom w:val="single" w:color="000000" w:sz="4" w:space="0"/>
            </w:tcBorders>
            <w:shd w:val="clear" w:color="auto" w:fill="auto"/>
            <w:noWrap/>
            <w:vAlign w:val="center"/>
          </w:tcPr>
          <w:p w14:paraId="0F5FF9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w:t>
            </w:r>
          </w:p>
        </w:tc>
        <w:tc>
          <w:tcPr>
            <w:tcW w:w="506" w:type="pct"/>
            <w:tcBorders>
              <w:bottom w:val="single" w:color="000000" w:sz="4" w:space="0"/>
            </w:tcBorders>
            <w:shd w:val="clear" w:color="auto" w:fill="auto"/>
            <w:noWrap/>
            <w:vAlign w:val="center"/>
          </w:tcPr>
          <w:p w14:paraId="3E96F5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23" w:type="pct"/>
            <w:tcBorders>
              <w:bottom w:val="single" w:color="000000" w:sz="4" w:space="0"/>
            </w:tcBorders>
            <w:shd w:val="clear" w:color="auto" w:fill="auto"/>
            <w:noWrap/>
            <w:vAlign w:val="center"/>
          </w:tcPr>
          <w:p w14:paraId="0A855F70">
            <w:pPr>
              <w:jc w:val="center"/>
              <w:rPr>
                <w:rFonts w:hint="eastAsia" w:ascii="宋体" w:hAnsi="宋体" w:eastAsia="宋体" w:cs="宋体"/>
                <w:i w:val="0"/>
                <w:iCs w:val="0"/>
                <w:color w:val="auto"/>
                <w:sz w:val="24"/>
                <w:szCs w:val="24"/>
                <w:highlight w:val="none"/>
                <w:u w:val="none"/>
              </w:rPr>
            </w:pPr>
          </w:p>
        </w:tc>
        <w:tc>
          <w:tcPr>
            <w:tcW w:w="651" w:type="pct"/>
            <w:tcBorders>
              <w:bottom w:val="single" w:color="000000" w:sz="4" w:space="0"/>
            </w:tcBorders>
            <w:shd w:val="clear" w:color="auto" w:fill="auto"/>
            <w:noWrap/>
            <w:vAlign w:val="center"/>
          </w:tcPr>
          <w:p w14:paraId="77794D04">
            <w:pPr>
              <w:jc w:val="center"/>
              <w:rPr>
                <w:rFonts w:hint="eastAsia" w:ascii="宋体" w:hAnsi="宋体" w:eastAsia="宋体" w:cs="宋体"/>
                <w:i w:val="0"/>
                <w:iCs w:val="0"/>
                <w:color w:val="auto"/>
                <w:sz w:val="24"/>
                <w:szCs w:val="24"/>
                <w:highlight w:val="none"/>
                <w:u w:val="none"/>
              </w:rPr>
            </w:pPr>
          </w:p>
        </w:tc>
        <w:tc>
          <w:tcPr>
            <w:tcW w:w="986" w:type="pct"/>
            <w:tcBorders>
              <w:bottom w:val="single" w:color="000000" w:sz="4" w:space="0"/>
            </w:tcBorders>
            <w:shd w:val="clear" w:color="auto" w:fill="auto"/>
            <w:noWrap/>
            <w:vAlign w:val="center"/>
          </w:tcPr>
          <w:p w14:paraId="758F99E1">
            <w:pPr>
              <w:jc w:val="center"/>
              <w:rPr>
                <w:rFonts w:hint="eastAsia" w:ascii="宋体" w:hAnsi="宋体" w:eastAsia="宋体" w:cs="宋体"/>
                <w:i w:val="0"/>
                <w:iCs w:val="0"/>
                <w:color w:val="auto"/>
                <w:sz w:val="24"/>
                <w:szCs w:val="24"/>
                <w:highlight w:val="none"/>
                <w:u w:val="none"/>
              </w:rPr>
            </w:pPr>
          </w:p>
        </w:tc>
        <w:tc>
          <w:tcPr>
            <w:tcW w:w="942" w:type="pct"/>
            <w:tcBorders>
              <w:bottom w:val="single" w:color="000000" w:sz="4" w:space="0"/>
            </w:tcBorders>
            <w:shd w:val="clear" w:color="auto" w:fill="auto"/>
            <w:noWrap/>
            <w:vAlign w:val="center"/>
          </w:tcPr>
          <w:p w14:paraId="2866D5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62" w:type="pct"/>
            <w:tcBorders>
              <w:bottom w:val="single" w:color="000000" w:sz="4" w:space="0"/>
            </w:tcBorders>
            <w:shd w:val="clear" w:color="auto" w:fill="auto"/>
            <w:noWrap/>
            <w:vAlign w:val="center"/>
          </w:tcPr>
          <w:p w14:paraId="474672CA">
            <w:pPr>
              <w:jc w:val="center"/>
              <w:rPr>
                <w:rFonts w:hint="eastAsia" w:ascii="宋体" w:hAnsi="宋体" w:eastAsia="宋体" w:cs="宋体"/>
                <w:i w:val="0"/>
                <w:iCs w:val="0"/>
                <w:color w:val="auto"/>
                <w:sz w:val="24"/>
                <w:szCs w:val="24"/>
                <w:highlight w:val="none"/>
                <w:u w:val="none"/>
              </w:rPr>
            </w:pPr>
          </w:p>
        </w:tc>
      </w:tr>
      <w:bookmarkEnd w:id="94"/>
    </w:tbl>
    <w:p w14:paraId="326DD772">
      <w:pPr>
        <w:rPr>
          <w:rFonts w:hint="eastAsia" w:ascii="宋体" w:hAnsi="宋体" w:eastAsia="宋体" w:cs="宋体"/>
          <w:color w:val="auto"/>
          <w:highlight w:val="none"/>
        </w:rPr>
      </w:pPr>
    </w:p>
    <w:p w14:paraId="2799E6B7">
      <w:pPr>
        <w:rPr>
          <w:rFonts w:hint="eastAsia" w:ascii="宋体" w:hAnsi="宋体" w:eastAsia="宋体" w:cs="宋体"/>
          <w:color w:val="auto"/>
          <w:highlight w:val="none"/>
        </w:rPr>
      </w:pPr>
    </w:p>
    <w:p w14:paraId="5D3E9066">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受托方（</w:t>
      </w:r>
      <w:r>
        <w:rPr>
          <w:rFonts w:hint="eastAsia" w:ascii="宋体" w:hAnsi="宋体" w:cs="宋体"/>
          <w:i w:val="0"/>
          <w:iCs w:val="0"/>
          <w:color w:val="auto"/>
          <w:kern w:val="0"/>
          <w:sz w:val="24"/>
          <w:szCs w:val="24"/>
          <w:highlight w:val="none"/>
          <w:u w:val="none"/>
          <w:lang w:val="en-US" w:eastAsia="zh-CN" w:bidi="ar"/>
        </w:rPr>
        <w:t>盖单位</w:t>
      </w:r>
      <w:r>
        <w:rPr>
          <w:rFonts w:hint="eastAsia" w:ascii="宋体" w:hAnsi="宋体" w:eastAsia="宋体" w:cs="宋体"/>
          <w:i w:val="0"/>
          <w:iCs w:val="0"/>
          <w:color w:val="auto"/>
          <w:kern w:val="0"/>
          <w:sz w:val="24"/>
          <w:szCs w:val="24"/>
          <w:highlight w:val="none"/>
          <w:u w:val="none"/>
          <w:lang w:val="en-US" w:eastAsia="zh-CN" w:bidi="ar"/>
        </w:rPr>
        <w:t>公章）：</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委托方（</w:t>
      </w:r>
      <w:r>
        <w:rPr>
          <w:rFonts w:hint="eastAsia" w:ascii="宋体" w:hAnsi="宋体" w:cs="宋体"/>
          <w:i w:val="0"/>
          <w:iCs w:val="0"/>
          <w:color w:val="auto"/>
          <w:kern w:val="0"/>
          <w:sz w:val="24"/>
          <w:szCs w:val="24"/>
          <w:highlight w:val="none"/>
          <w:u w:val="none"/>
          <w:lang w:val="en-US" w:eastAsia="zh-CN" w:bidi="ar"/>
        </w:rPr>
        <w:t>盖单位</w:t>
      </w:r>
      <w:r>
        <w:rPr>
          <w:rFonts w:hint="eastAsia" w:ascii="宋体" w:hAnsi="宋体" w:eastAsia="宋体" w:cs="宋体"/>
          <w:i w:val="0"/>
          <w:iCs w:val="0"/>
          <w:color w:val="auto"/>
          <w:kern w:val="0"/>
          <w:sz w:val="24"/>
          <w:szCs w:val="24"/>
          <w:highlight w:val="none"/>
          <w:u w:val="none"/>
          <w:lang w:val="en-US" w:eastAsia="zh-CN" w:bidi="ar"/>
        </w:rPr>
        <w:t>公章）：</w:t>
      </w:r>
    </w:p>
    <w:p w14:paraId="39C98A94">
      <w:pPr>
        <w:rPr>
          <w:rFonts w:hint="eastAsia" w:ascii="宋体" w:hAnsi="宋体" w:eastAsia="宋体" w:cs="宋体"/>
          <w:color w:val="auto"/>
          <w:sz w:val="24"/>
          <w:szCs w:val="24"/>
          <w:highlight w:val="none"/>
        </w:rPr>
      </w:pPr>
    </w:p>
    <w:p w14:paraId="5D04CB90">
      <w:pPr>
        <w:rPr>
          <w:rFonts w:hint="eastAsia" w:ascii="宋体" w:hAnsi="宋体" w:eastAsia="宋体" w:cs="宋体"/>
          <w:color w:val="auto"/>
          <w:sz w:val="24"/>
          <w:szCs w:val="24"/>
          <w:highlight w:val="none"/>
        </w:rPr>
      </w:pPr>
    </w:p>
    <w:p w14:paraId="5911F49F">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受托方代表（签字）：</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委托方代表（签字）：</w:t>
      </w:r>
    </w:p>
    <w:p w14:paraId="430EBF0F">
      <w:pPr>
        <w:rPr>
          <w:rFonts w:hint="eastAsia" w:ascii="宋体" w:hAnsi="宋体" w:eastAsia="宋体" w:cs="宋体"/>
          <w:i w:val="0"/>
          <w:iCs w:val="0"/>
          <w:color w:val="auto"/>
          <w:kern w:val="0"/>
          <w:sz w:val="24"/>
          <w:szCs w:val="24"/>
          <w:highlight w:val="none"/>
          <w:u w:val="none"/>
          <w:lang w:val="en-US" w:eastAsia="zh-CN" w:bidi="ar"/>
        </w:rPr>
      </w:pPr>
    </w:p>
    <w:p w14:paraId="24B875B7">
      <w:pPr>
        <w:rPr>
          <w:rFonts w:hint="eastAsia" w:ascii="宋体" w:hAnsi="宋体" w:eastAsia="宋体" w:cs="宋体"/>
          <w:i w:val="0"/>
          <w:iCs w:val="0"/>
          <w:color w:val="auto"/>
          <w:kern w:val="0"/>
          <w:sz w:val="24"/>
          <w:szCs w:val="24"/>
          <w:highlight w:val="none"/>
          <w:u w:val="none"/>
          <w:lang w:val="en-US" w:eastAsia="zh-CN" w:bidi="ar"/>
        </w:rPr>
      </w:pPr>
    </w:p>
    <w:p w14:paraId="5880F2BD">
      <w:pPr>
        <w:rPr>
          <w:rFonts w:hint="default" w:ascii="宋体" w:hAnsi="宋体" w:eastAsia="宋体" w:cs="宋体"/>
          <w:i w:val="0"/>
          <w:iCs w:val="0"/>
          <w:color w:val="auto"/>
          <w:kern w:val="0"/>
          <w:sz w:val="24"/>
          <w:szCs w:val="24"/>
          <w:highlight w:val="none"/>
          <w:u w:val="none"/>
          <w:lang w:val="en-US" w:eastAsia="zh-CN" w:bidi="ar"/>
        </w:rPr>
        <w:sectPr>
          <w:pgSz w:w="15840" w:h="12240" w:orient="landscape"/>
          <w:pgMar w:top="1400" w:right="1500" w:bottom="1100" w:left="1120" w:header="0" w:footer="84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i w:val="0"/>
          <w:iCs w:val="0"/>
          <w:color w:val="auto"/>
          <w:kern w:val="0"/>
          <w:sz w:val="24"/>
          <w:szCs w:val="24"/>
          <w:highlight w:val="none"/>
          <w:u w:val="none"/>
          <w:lang w:val="en-US" w:eastAsia="zh-CN" w:bidi="ar"/>
        </w:rPr>
        <w:t>日期：     年   月   日</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日期：     年  </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月   日</w:t>
      </w:r>
    </w:p>
    <w:p w14:paraId="1FB296DA">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附件3-1：</w:t>
      </w:r>
    </w:p>
    <w:tbl>
      <w:tblPr>
        <w:tblStyle w:val="2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9"/>
        <w:gridCol w:w="1651"/>
        <w:gridCol w:w="4118"/>
        <w:gridCol w:w="818"/>
      </w:tblGrid>
      <w:tr w14:paraId="367F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5A7E7D">
            <w:pPr>
              <w:keepNext w:val="0"/>
              <w:keepLines w:val="0"/>
              <w:widowControl/>
              <w:suppressLineNumbers w:val="0"/>
              <w:jc w:val="center"/>
              <w:textAlignment w:val="center"/>
              <w:rPr>
                <w:rFonts w:hint="eastAsia" w:ascii="宋体" w:hAnsi="宋体" w:eastAsia="宋体" w:cs="宋体"/>
                <w:i w:val="0"/>
                <w:iCs w:val="0"/>
                <w:color w:val="auto"/>
                <w:kern w:val="0"/>
                <w:sz w:val="44"/>
                <w:szCs w:val="44"/>
                <w:highlight w:val="none"/>
                <w:u w:val="none"/>
                <w:lang w:val="en-US" w:eastAsia="zh-CN" w:bidi="ar"/>
              </w:rPr>
            </w:pPr>
            <w:bookmarkStart w:id="95" w:name="OLE_LINK19"/>
            <w:r>
              <w:rPr>
                <w:rFonts w:hint="eastAsia" w:ascii="宋体" w:hAnsi="宋体" w:eastAsia="宋体" w:cs="宋体"/>
                <w:i w:val="0"/>
                <w:iCs w:val="0"/>
                <w:color w:val="auto"/>
                <w:kern w:val="0"/>
                <w:sz w:val="44"/>
                <w:szCs w:val="44"/>
                <w:highlight w:val="none"/>
                <w:u w:val="none"/>
                <w:lang w:val="en-US" w:eastAsia="zh-CN" w:bidi="ar"/>
              </w:rPr>
              <w:t>肇庆市港口投资发展有限公司</w:t>
            </w:r>
          </w:p>
          <w:p w14:paraId="005C4699">
            <w:pPr>
              <w:keepNext w:val="0"/>
              <w:keepLines w:val="0"/>
              <w:widowControl/>
              <w:suppressLineNumbers w:val="0"/>
              <w:jc w:val="center"/>
              <w:textAlignment w:val="center"/>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码头装卸数量确认单</w:t>
            </w:r>
          </w:p>
        </w:tc>
      </w:tr>
      <w:tr w14:paraId="3C38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09E9">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日期</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B163">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装卸内容</w:t>
            </w: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17EC">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出货数量（吨）</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3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3709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742D">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EF64">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D6D7">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C1F6">
            <w:pPr>
              <w:rPr>
                <w:rFonts w:hint="eastAsia" w:ascii="宋体" w:hAnsi="宋体" w:eastAsia="宋体" w:cs="宋体"/>
                <w:i w:val="0"/>
                <w:iCs w:val="0"/>
                <w:color w:val="auto"/>
                <w:sz w:val="22"/>
                <w:szCs w:val="22"/>
                <w:highlight w:val="none"/>
                <w:u w:val="none"/>
              </w:rPr>
            </w:pPr>
          </w:p>
        </w:tc>
      </w:tr>
      <w:tr w14:paraId="7CE7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3E6A">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2CF">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AC50">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35ED">
            <w:pPr>
              <w:rPr>
                <w:rFonts w:hint="eastAsia" w:ascii="宋体" w:hAnsi="宋体" w:eastAsia="宋体" w:cs="宋体"/>
                <w:i w:val="0"/>
                <w:iCs w:val="0"/>
                <w:color w:val="auto"/>
                <w:sz w:val="22"/>
                <w:szCs w:val="22"/>
                <w:highlight w:val="none"/>
                <w:u w:val="none"/>
              </w:rPr>
            </w:pPr>
          </w:p>
        </w:tc>
      </w:tr>
      <w:tr w14:paraId="1B1F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39D7">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2D1D">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76E0">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4624">
            <w:pPr>
              <w:rPr>
                <w:rFonts w:hint="eastAsia" w:ascii="宋体" w:hAnsi="宋体" w:eastAsia="宋体" w:cs="宋体"/>
                <w:i w:val="0"/>
                <w:iCs w:val="0"/>
                <w:color w:val="auto"/>
                <w:sz w:val="22"/>
                <w:szCs w:val="22"/>
                <w:highlight w:val="none"/>
                <w:u w:val="none"/>
              </w:rPr>
            </w:pPr>
          </w:p>
        </w:tc>
      </w:tr>
      <w:tr w14:paraId="1BF7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7407">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5462">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3909">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3415">
            <w:pPr>
              <w:rPr>
                <w:rFonts w:hint="eastAsia" w:ascii="宋体" w:hAnsi="宋体" w:eastAsia="宋体" w:cs="宋体"/>
                <w:i w:val="0"/>
                <w:iCs w:val="0"/>
                <w:color w:val="auto"/>
                <w:sz w:val="22"/>
                <w:szCs w:val="22"/>
                <w:highlight w:val="none"/>
                <w:u w:val="none"/>
              </w:rPr>
            </w:pPr>
          </w:p>
        </w:tc>
      </w:tr>
      <w:tr w14:paraId="6EC2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53DD">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69BE">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E791">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2523">
            <w:pPr>
              <w:rPr>
                <w:rFonts w:hint="eastAsia" w:ascii="宋体" w:hAnsi="宋体" w:eastAsia="宋体" w:cs="宋体"/>
                <w:i w:val="0"/>
                <w:iCs w:val="0"/>
                <w:color w:val="auto"/>
                <w:sz w:val="22"/>
                <w:szCs w:val="22"/>
                <w:highlight w:val="none"/>
                <w:u w:val="none"/>
              </w:rPr>
            </w:pPr>
          </w:p>
        </w:tc>
      </w:tr>
      <w:tr w14:paraId="2C55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49E8">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5F1D">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E2CE">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8DE3">
            <w:pPr>
              <w:rPr>
                <w:rFonts w:hint="eastAsia" w:ascii="宋体" w:hAnsi="宋体" w:eastAsia="宋体" w:cs="宋体"/>
                <w:i w:val="0"/>
                <w:iCs w:val="0"/>
                <w:color w:val="auto"/>
                <w:sz w:val="22"/>
                <w:szCs w:val="22"/>
                <w:highlight w:val="none"/>
                <w:u w:val="none"/>
              </w:rPr>
            </w:pPr>
          </w:p>
        </w:tc>
      </w:tr>
      <w:tr w14:paraId="5839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2C15">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5F0E">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E952">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DA4D">
            <w:pPr>
              <w:rPr>
                <w:rFonts w:hint="eastAsia" w:ascii="宋体" w:hAnsi="宋体" w:eastAsia="宋体" w:cs="宋体"/>
                <w:i w:val="0"/>
                <w:iCs w:val="0"/>
                <w:color w:val="auto"/>
                <w:sz w:val="22"/>
                <w:szCs w:val="22"/>
                <w:highlight w:val="none"/>
                <w:u w:val="none"/>
              </w:rPr>
            </w:pPr>
          </w:p>
        </w:tc>
      </w:tr>
      <w:tr w14:paraId="17DD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8698">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5B61">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2587">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9D45">
            <w:pPr>
              <w:rPr>
                <w:rFonts w:hint="eastAsia" w:ascii="宋体" w:hAnsi="宋体" w:eastAsia="宋体" w:cs="宋体"/>
                <w:i w:val="0"/>
                <w:iCs w:val="0"/>
                <w:color w:val="auto"/>
                <w:sz w:val="22"/>
                <w:szCs w:val="22"/>
                <w:highlight w:val="none"/>
                <w:u w:val="none"/>
              </w:rPr>
            </w:pPr>
          </w:p>
        </w:tc>
      </w:tr>
      <w:tr w14:paraId="6538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C84E">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2B44">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5CBA">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0157">
            <w:pPr>
              <w:rPr>
                <w:rFonts w:hint="eastAsia" w:ascii="宋体" w:hAnsi="宋体" w:eastAsia="宋体" w:cs="宋体"/>
                <w:i w:val="0"/>
                <w:iCs w:val="0"/>
                <w:color w:val="auto"/>
                <w:sz w:val="22"/>
                <w:szCs w:val="22"/>
                <w:highlight w:val="none"/>
                <w:u w:val="none"/>
              </w:rPr>
            </w:pPr>
          </w:p>
        </w:tc>
      </w:tr>
      <w:tr w14:paraId="6FD8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11B4">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4BFE">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6915">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FA50">
            <w:pPr>
              <w:rPr>
                <w:rFonts w:hint="eastAsia" w:ascii="宋体" w:hAnsi="宋体" w:eastAsia="宋体" w:cs="宋体"/>
                <w:i w:val="0"/>
                <w:iCs w:val="0"/>
                <w:color w:val="auto"/>
                <w:sz w:val="22"/>
                <w:szCs w:val="22"/>
                <w:highlight w:val="none"/>
                <w:u w:val="none"/>
              </w:rPr>
            </w:pPr>
          </w:p>
        </w:tc>
      </w:tr>
      <w:tr w14:paraId="0281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F26F">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AD96">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F1F0">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8343">
            <w:pPr>
              <w:rPr>
                <w:rFonts w:hint="eastAsia" w:ascii="宋体" w:hAnsi="宋体" w:eastAsia="宋体" w:cs="宋体"/>
                <w:i w:val="0"/>
                <w:iCs w:val="0"/>
                <w:color w:val="auto"/>
                <w:sz w:val="22"/>
                <w:szCs w:val="22"/>
                <w:highlight w:val="none"/>
                <w:u w:val="none"/>
              </w:rPr>
            </w:pPr>
          </w:p>
        </w:tc>
      </w:tr>
      <w:tr w14:paraId="292E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03C9">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1976">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E0A0">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AEF2">
            <w:pPr>
              <w:rPr>
                <w:rFonts w:hint="eastAsia" w:ascii="宋体" w:hAnsi="宋体" w:eastAsia="宋体" w:cs="宋体"/>
                <w:i w:val="0"/>
                <w:iCs w:val="0"/>
                <w:color w:val="auto"/>
                <w:sz w:val="22"/>
                <w:szCs w:val="22"/>
                <w:highlight w:val="none"/>
                <w:u w:val="none"/>
              </w:rPr>
            </w:pPr>
          </w:p>
        </w:tc>
      </w:tr>
      <w:tr w14:paraId="4775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095C">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B02F">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94A">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121F">
            <w:pPr>
              <w:rPr>
                <w:rFonts w:hint="eastAsia" w:ascii="宋体" w:hAnsi="宋体" w:eastAsia="宋体" w:cs="宋体"/>
                <w:i w:val="0"/>
                <w:iCs w:val="0"/>
                <w:color w:val="auto"/>
                <w:sz w:val="22"/>
                <w:szCs w:val="22"/>
                <w:highlight w:val="none"/>
                <w:u w:val="none"/>
              </w:rPr>
            </w:pPr>
          </w:p>
        </w:tc>
      </w:tr>
      <w:tr w14:paraId="0CE2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1605">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6C69">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402F">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8495">
            <w:pPr>
              <w:rPr>
                <w:rFonts w:hint="eastAsia" w:ascii="宋体" w:hAnsi="宋体" w:eastAsia="宋体" w:cs="宋体"/>
                <w:i w:val="0"/>
                <w:iCs w:val="0"/>
                <w:color w:val="auto"/>
                <w:sz w:val="22"/>
                <w:szCs w:val="22"/>
                <w:highlight w:val="none"/>
                <w:u w:val="none"/>
              </w:rPr>
            </w:pPr>
          </w:p>
        </w:tc>
      </w:tr>
      <w:tr w14:paraId="15FB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4BA7">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E13A">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4DDB">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C2A6">
            <w:pPr>
              <w:rPr>
                <w:rFonts w:hint="eastAsia" w:ascii="宋体" w:hAnsi="宋体" w:eastAsia="宋体" w:cs="宋体"/>
                <w:i w:val="0"/>
                <w:iCs w:val="0"/>
                <w:color w:val="auto"/>
                <w:sz w:val="22"/>
                <w:szCs w:val="22"/>
                <w:highlight w:val="none"/>
                <w:u w:val="none"/>
              </w:rPr>
            </w:pPr>
          </w:p>
        </w:tc>
      </w:tr>
      <w:tr w14:paraId="635D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B3A5">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DD37">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1BD5">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3EED">
            <w:pPr>
              <w:rPr>
                <w:rFonts w:hint="eastAsia" w:ascii="宋体" w:hAnsi="宋体" w:eastAsia="宋体" w:cs="宋体"/>
                <w:i w:val="0"/>
                <w:iCs w:val="0"/>
                <w:color w:val="auto"/>
                <w:sz w:val="22"/>
                <w:szCs w:val="22"/>
                <w:highlight w:val="none"/>
                <w:u w:val="none"/>
              </w:rPr>
            </w:pPr>
          </w:p>
        </w:tc>
      </w:tr>
      <w:tr w14:paraId="3FD9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1053">
            <w:pPr>
              <w:jc w:val="center"/>
              <w:rPr>
                <w:rFonts w:hint="eastAsia" w:ascii="宋体" w:hAnsi="宋体" w:eastAsia="宋体" w:cs="宋体"/>
                <w:i w:val="0"/>
                <w:iCs w:val="0"/>
                <w:color w:val="auto"/>
                <w:sz w:val="28"/>
                <w:szCs w:val="28"/>
                <w:highlight w:val="none"/>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8E2E">
            <w:pPr>
              <w:jc w:val="center"/>
              <w:rPr>
                <w:rFonts w:hint="eastAsia" w:ascii="宋体" w:hAnsi="宋体" w:eastAsia="宋体" w:cs="宋体"/>
                <w:i w:val="0"/>
                <w:iCs w:val="0"/>
                <w:color w:val="auto"/>
                <w:sz w:val="28"/>
                <w:szCs w:val="28"/>
                <w:highlight w:val="none"/>
                <w:u w:val="none"/>
              </w:rPr>
            </w:pP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56C6">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39A2">
            <w:pPr>
              <w:rPr>
                <w:rFonts w:hint="eastAsia" w:ascii="宋体" w:hAnsi="宋体" w:eastAsia="宋体" w:cs="宋体"/>
                <w:i w:val="0"/>
                <w:iCs w:val="0"/>
                <w:color w:val="auto"/>
                <w:sz w:val="22"/>
                <w:szCs w:val="22"/>
                <w:highlight w:val="none"/>
                <w:u w:val="none"/>
              </w:rPr>
            </w:pPr>
          </w:p>
        </w:tc>
      </w:tr>
      <w:tr w14:paraId="703F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356D">
            <w:pPr>
              <w:jc w:val="center"/>
              <w:rPr>
                <w:rFonts w:hint="eastAsia" w:ascii="宋体" w:hAnsi="宋体" w:eastAsia="宋体" w:cs="宋体"/>
                <w:i w:val="0"/>
                <w:iCs w:val="0"/>
                <w:color w:val="auto"/>
                <w:sz w:val="28"/>
                <w:szCs w:val="28"/>
                <w:highlight w:val="none"/>
                <w:u w:val="none"/>
              </w:rPr>
            </w:pPr>
            <w:r>
              <w:rPr>
                <w:rFonts w:hint="eastAsia" w:ascii="宋体" w:hAnsi="宋体" w:cs="宋体"/>
                <w:i w:val="0"/>
                <w:iCs w:val="0"/>
                <w:color w:val="auto"/>
                <w:sz w:val="28"/>
                <w:szCs w:val="28"/>
                <w:highlight w:val="none"/>
                <w:u w:val="none"/>
                <w:lang w:val="en-US" w:eastAsia="zh-CN"/>
              </w:rPr>
              <w:t>合计</w:t>
            </w:r>
          </w:p>
        </w:tc>
        <w:tc>
          <w:tcPr>
            <w:tcW w:w="2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115E">
            <w:pPr>
              <w:jc w:val="center"/>
              <w:rPr>
                <w:rFonts w:hint="eastAsia" w:ascii="宋体" w:hAnsi="宋体" w:eastAsia="宋体" w:cs="宋体"/>
                <w:i w:val="0"/>
                <w:iCs w:val="0"/>
                <w:color w:val="auto"/>
                <w:sz w:val="28"/>
                <w:szCs w:val="28"/>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A650">
            <w:pPr>
              <w:rPr>
                <w:rFonts w:hint="eastAsia" w:ascii="宋体" w:hAnsi="宋体" w:eastAsia="宋体" w:cs="宋体"/>
                <w:i w:val="0"/>
                <w:iCs w:val="0"/>
                <w:color w:val="auto"/>
                <w:sz w:val="28"/>
                <w:szCs w:val="28"/>
                <w:highlight w:val="none"/>
                <w:u w:val="none"/>
              </w:rPr>
            </w:pPr>
          </w:p>
        </w:tc>
      </w:tr>
      <w:bookmarkEnd w:id="95"/>
    </w:tbl>
    <w:p w14:paraId="351E6D87">
      <w:pPr>
        <w:rPr>
          <w:rFonts w:hint="eastAsia" w:ascii="宋体" w:hAnsi="宋体" w:eastAsia="宋体" w:cs="宋体"/>
          <w:color w:val="auto"/>
          <w:szCs w:val="21"/>
          <w:highlight w:val="none"/>
          <w:lang w:val="en-US" w:eastAsia="zh-CN"/>
        </w:rPr>
      </w:pPr>
    </w:p>
    <w:p w14:paraId="45ED9117">
      <w:pPr>
        <w:rPr>
          <w:rFonts w:hint="eastAsia" w:ascii="宋体" w:hAnsi="宋体" w:eastAsia="宋体" w:cs="宋体"/>
          <w:i w:val="0"/>
          <w:iCs w:val="0"/>
          <w:color w:val="auto"/>
          <w:kern w:val="0"/>
          <w:sz w:val="24"/>
          <w:szCs w:val="24"/>
          <w:highlight w:val="none"/>
          <w:u w:val="single"/>
          <w:lang w:val="en-US" w:eastAsia="zh-CN" w:bidi="ar"/>
        </w:rPr>
      </w:pPr>
    </w:p>
    <w:p w14:paraId="781649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受托方（</w:t>
      </w:r>
      <w:r>
        <w:rPr>
          <w:rFonts w:hint="eastAsia" w:ascii="宋体" w:hAnsi="宋体" w:cs="宋体"/>
          <w:color w:val="auto"/>
          <w:sz w:val="24"/>
          <w:szCs w:val="24"/>
          <w:highlight w:val="none"/>
          <w:lang w:val="en-US" w:eastAsia="zh-CN"/>
        </w:rPr>
        <w:t>盖单位</w:t>
      </w:r>
      <w:r>
        <w:rPr>
          <w:rFonts w:hint="eastAsia" w:ascii="宋体" w:hAnsi="宋体" w:eastAsia="宋体" w:cs="宋体"/>
          <w:color w:val="auto"/>
          <w:sz w:val="24"/>
          <w:szCs w:val="24"/>
          <w:highlight w:val="none"/>
        </w:rPr>
        <w:t>公章）：                        委托方（</w:t>
      </w:r>
      <w:r>
        <w:rPr>
          <w:rFonts w:hint="eastAsia" w:ascii="宋体" w:hAnsi="宋体" w:cs="宋体"/>
          <w:color w:val="auto"/>
          <w:sz w:val="24"/>
          <w:szCs w:val="24"/>
          <w:highlight w:val="none"/>
          <w:lang w:val="en-US" w:eastAsia="zh-CN"/>
        </w:rPr>
        <w:t>盖单位</w:t>
      </w:r>
      <w:r>
        <w:rPr>
          <w:rFonts w:hint="eastAsia" w:ascii="宋体" w:hAnsi="宋体" w:eastAsia="宋体" w:cs="宋体"/>
          <w:color w:val="auto"/>
          <w:sz w:val="24"/>
          <w:szCs w:val="24"/>
          <w:highlight w:val="none"/>
        </w:rPr>
        <w:t>公章）：</w:t>
      </w:r>
    </w:p>
    <w:p w14:paraId="16CA590E">
      <w:pPr>
        <w:rPr>
          <w:rFonts w:hint="eastAsia" w:ascii="宋体" w:hAnsi="宋体" w:eastAsia="宋体" w:cs="宋体"/>
          <w:color w:val="auto"/>
          <w:sz w:val="24"/>
          <w:szCs w:val="24"/>
          <w:highlight w:val="none"/>
        </w:rPr>
      </w:pPr>
    </w:p>
    <w:p w14:paraId="3202723E">
      <w:pPr>
        <w:rPr>
          <w:rFonts w:hint="eastAsia" w:ascii="宋体" w:hAnsi="宋体" w:eastAsia="宋体" w:cs="宋体"/>
          <w:color w:val="auto"/>
          <w:sz w:val="24"/>
          <w:szCs w:val="24"/>
          <w:highlight w:val="none"/>
        </w:rPr>
      </w:pPr>
    </w:p>
    <w:p w14:paraId="1EDD199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受托方代表（签字）：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委托方代表（签字）：</w:t>
      </w:r>
    </w:p>
    <w:p w14:paraId="1D63D678">
      <w:pPr>
        <w:rPr>
          <w:rFonts w:hint="eastAsia" w:ascii="宋体" w:hAnsi="宋体" w:eastAsia="宋体" w:cs="宋体"/>
          <w:color w:val="auto"/>
          <w:sz w:val="24"/>
          <w:szCs w:val="24"/>
          <w:highlight w:val="none"/>
        </w:rPr>
      </w:pPr>
    </w:p>
    <w:p w14:paraId="6551E9DC">
      <w:pPr>
        <w:rPr>
          <w:rFonts w:hint="eastAsia" w:ascii="宋体" w:hAnsi="宋体" w:eastAsia="宋体" w:cs="宋体"/>
          <w:color w:val="auto"/>
          <w:sz w:val="24"/>
          <w:szCs w:val="24"/>
          <w:highlight w:val="none"/>
        </w:rPr>
      </w:pPr>
    </w:p>
    <w:p w14:paraId="0AB01306">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日期：    年   月   日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r>
        <w:rPr>
          <w:rFonts w:hint="eastAsia" w:ascii="宋体" w:hAnsi="宋体" w:eastAsia="宋体" w:cs="宋体"/>
          <w:color w:val="auto"/>
          <w:highlight w:val="none"/>
        </w:rPr>
        <w:br w:type="page"/>
      </w:r>
    </w:p>
    <w:p w14:paraId="7268597F">
      <w:pPr>
        <w:pStyle w:val="2"/>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第五章 用户需求书</w:t>
      </w:r>
      <w:bookmarkEnd w:id="93"/>
    </w:p>
    <w:p w14:paraId="26771CED">
      <w:pPr>
        <w:shd w:val="clear" w:color="auto" w:fill="auto"/>
        <w:rPr>
          <w:rFonts w:hint="eastAsia" w:ascii="宋体" w:hAnsi="宋体" w:eastAsia="宋体" w:cs="宋体"/>
          <w:color w:val="auto"/>
          <w:highlight w:val="none"/>
        </w:rPr>
      </w:pPr>
    </w:p>
    <w:p w14:paraId="7BD6C5CD">
      <w:pPr>
        <w:keepNext w:val="0"/>
        <w:keepLines w:val="0"/>
        <w:pageBreakBefore w:val="0"/>
        <w:kinsoku/>
        <w:wordWrap/>
        <w:overflowPunct/>
        <w:topLinePunct w:val="0"/>
        <w:bidi w:val="0"/>
        <w:adjustRightInd w:val="0"/>
        <w:snapToGrid w:val="0"/>
        <w:spacing w:line="360" w:lineRule="auto"/>
        <w:ind w:left="482"/>
        <w:textAlignment w:val="auto"/>
        <w:rPr>
          <w:rFonts w:hint="eastAsia" w:ascii="宋体" w:hAnsi="宋体" w:eastAsia="宋体" w:cs="宋体"/>
          <w:bCs/>
          <w:color w:val="auto"/>
          <w:sz w:val="24"/>
          <w:szCs w:val="24"/>
          <w:highlight w:val="none"/>
          <w:shd w:val="pct10" w:color="auto" w:fill="FFFFFF"/>
        </w:rPr>
      </w:pPr>
      <w:r>
        <w:rPr>
          <w:rFonts w:hint="eastAsia" w:ascii="宋体" w:hAnsi="宋体" w:eastAsia="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rPr>
        <w:t>项目概况</w:t>
      </w:r>
    </w:p>
    <w:p w14:paraId="71F399B9">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1.项目名称：</w:t>
      </w:r>
      <w:r>
        <w:rPr>
          <w:rFonts w:hint="eastAsia" w:ascii="宋体" w:hAnsi="宋体" w:eastAsia="宋体" w:cs="宋体"/>
          <w:color w:val="auto"/>
          <w:sz w:val="24"/>
          <w:szCs w:val="24"/>
          <w:highlight w:val="none"/>
          <w:lang w:eastAsia="zh-CN"/>
        </w:rPr>
        <w:t>肇庆市港口投资发展有限公司德庆九市作业区可拆装式砂石装船设备项目2号泊位装船服务</w:t>
      </w:r>
    </w:p>
    <w:p w14:paraId="6AD873D1">
      <w:pPr>
        <w:pStyle w:val="3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项目服务地点</w:t>
      </w:r>
      <w:r>
        <w:rPr>
          <w:rFonts w:hint="eastAsia" w:ascii="宋体" w:hAnsi="宋体" w:eastAsia="宋体" w:cs="宋体"/>
          <w:color w:val="auto"/>
          <w:sz w:val="24"/>
          <w:szCs w:val="24"/>
          <w:highlight w:val="none"/>
          <w:lang w:val="en-US" w:eastAsia="zh-CN"/>
        </w:rPr>
        <w:t>：肇庆市德庆县，本项目位于肇庆市德庆县九市镇西江中游左岸，距离上游德庆西江大桥约18.9千米。</w:t>
      </w:r>
    </w:p>
    <w:p w14:paraId="14D241B1">
      <w:pPr>
        <w:pStyle w:val="3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3.项目建设规模及建设内容：德庆九市作业区可拆装式砂石装船设备项目：位于肇庆市德庆县九市镇伦冲村西江左岸，具体位置为德庆县九市镇下圩村与伦冲村。</w:t>
      </w:r>
    </w:p>
    <w:p w14:paraId="2C0FC36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工作内容与服务要求</w:t>
      </w:r>
    </w:p>
    <w:p w14:paraId="63C485EE">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1．工作内容：</w:t>
      </w:r>
    </w:p>
    <w:p w14:paraId="7E0509F1">
      <w:pPr>
        <w:spacing w:line="360" w:lineRule="auto"/>
        <w:ind w:firstLine="520" w:firstLineChars="200"/>
        <w:rPr>
          <w:rFonts w:hint="eastAsia" w:ascii="宋体" w:hAnsi="宋体" w:eastAsia="宋体" w:cs="宋体"/>
          <w:color w:val="auto"/>
          <w:spacing w:val="10"/>
          <w:kern w:val="0"/>
          <w:sz w:val="24"/>
          <w:szCs w:val="24"/>
          <w:highlight w:val="none"/>
          <w:u w:val="none"/>
          <w:lang w:val="en-US" w:eastAsia="zh-CN"/>
        </w:rPr>
      </w:pPr>
      <w:r>
        <w:rPr>
          <w:rFonts w:hint="eastAsia" w:ascii="宋体" w:hAnsi="宋体" w:eastAsia="宋体" w:cs="宋体"/>
          <w:color w:val="auto"/>
          <w:spacing w:val="10"/>
          <w:kern w:val="0"/>
          <w:sz w:val="24"/>
          <w:szCs w:val="24"/>
          <w:highlight w:val="none"/>
          <w:lang w:val="en-US" w:eastAsia="zh-CN"/>
        </w:rPr>
        <w:t>1.1服务内容：投标人</w:t>
      </w:r>
      <w:r>
        <w:rPr>
          <w:rFonts w:hint="eastAsia" w:ascii="宋体" w:hAnsi="宋体" w:eastAsia="宋体" w:cs="宋体"/>
          <w:color w:val="auto"/>
          <w:spacing w:val="10"/>
          <w:kern w:val="0"/>
          <w:sz w:val="24"/>
          <w:szCs w:val="24"/>
          <w:highlight w:val="none"/>
        </w:rPr>
        <w:t>按照国家和广东省有关的法律、法规</w:t>
      </w:r>
      <w:r>
        <w:rPr>
          <w:rFonts w:hint="eastAsia" w:ascii="宋体" w:hAnsi="宋体" w:eastAsia="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lang w:val="en-US" w:eastAsia="zh-CN"/>
        </w:rPr>
        <w:t>相关</w:t>
      </w:r>
      <w:r>
        <w:rPr>
          <w:rFonts w:hint="eastAsia" w:ascii="宋体" w:hAnsi="宋体" w:eastAsia="宋体" w:cs="宋体"/>
          <w:color w:val="auto"/>
          <w:spacing w:val="10"/>
          <w:kern w:val="0"/>
          <w:sz w:val="24"/>
          <w:szCs w:val="24"/>
          <w:highlight w:val="none"/>
        </w:rPr>
        <w:t>标准、规定及合同的要求，</w:t>
      </w:r>
      <w:r>
        <w:rPr>
          <w:rFonts w:hint="eastAsia" w:ascii="宋体" w:hAnsi="宋体" w:eastAsia="宋体" w:cs="宋体"/>
          <w:color w:val="auto"/>
          <w:spacing w:val="10"/>
          <w:kern w:val="0"/>
          <w:sz w:val="24"/>
          <w:szCs w:val="24"/>
          <w:highlight w:val="none"/>
          <w:lang w:val="en-US" w:eastAsia="zh-CN"/>
        </w:rPr>
        <w:t>进行</w:t>
      </w:r>
      <w:r>
        <w:rPr>
          <w:rFonts w:hint="eastAsia" w:ascii="宋体" w:hAnsi="宋体" w:eastAsia="宋体" w:cs="宋体"/>
          <w:color w:val="auto"/>
          <w:spacing w:val="10"/>
          <w:kern w:val="0"/>
          <w:sz w:val="24"/>
          <w:szCs w:val="24"/>
          <w:highlight w:val="none"/>
          <w:u w:val="none"/>
          <w:lang w:val="en-US" w:eastAsia="zh-CN"/>
        </w:rPr>
        <w:t>肇庆市港口投资发展有限公司德庆九市作业区可拆装式砂石装船设备项目2号泊位装船服务工作，包括但不限于：负责提供管理运营的德庆九市作业区可拆装式砂石装船设备设施技术条件相适应的装卸船舶（含皮带输送）、趸船等设备设施，并配备足额管理运营人员、运转动力等，按照招标人的运营需要，提供由德庆九市作业区可拆装式砂石装船设备项目</w:t>
      </w:r>
      <w:r>
        <w:rPr>
          <w:rFonts w:hint="eastAsia" w:ascii="宋体" w:hAnsi="宋体" w:cs="宋体"/>
          <w:color w:val="auto"/>
          <w:spacing w:val="10"/>
          <w:kern w:val="0"/>
          <w:sz w:val="24"/>
          <w:szCs w:val="24"/>
          <w:highlight w:val="none"/>
          <w:u w:val="none"/>
          <w:lang w:val="en-US" w:eastAsia="zh-CN"/>
        </w:rPr>
        <w:t>2号</w:t>
      </w:r>
      <w:r>
        <w:rPr>
          <w:rFonts w:hint="eastAsia" w:ascii="宋体" w:hAnsi="宋体" w:eastAsia="宋体" w:cs="宋体"/>
          <w:color w:val="auto"/>
          <w:spacing w:val="10"/>
          <w:kern w:val="0"/>
          <w:sz w:val="24"/>
          <w:szCs w:val="24"/>
          <w:highlight w:val="none"/>
          <w:u w:val="none"/>
          <w:lang w:val="en-US" w:eastAsia="zh-CN"/>
        </w:rPr>
        <w:t>泊位转运设备至待装船舶之间的散货（砂石骨料）装船服务，运输距离约为85米（具体以实际为准）。</w:t>
      </w:r>
    </w:p>
    <w:p w14:paraId="74172020">
      <w:pPr>
        <w:spacing w:line="360" w:lineRule="auto"/>
        <w:ind w:firstLine="52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color w:val="auto"/>
          <w:spacing w:val="10"/>
          <w:kern w:val="0"/>
          <w:sz w:val="24"/>
          <w:szCs w:val="24"/>
          <w:highlight w:val="none"/>
          <w:u w:val="none"/>
          <w:lang w:val="en-US" w:eastAsia="zh-CN"/>
        </w:rPr>
        <w:t>1.2服务期：</w:t>
      </w:r>
      <w:r>
        <w:rPr>
          <w:rFonts w:hint="eastAsia" w:ascii="宋体" w:hAnsi="宋体" w:cs="宋体"/>
          <w:color w:val="auto"/>
          <w:spacing w:val="10"/>
          <w:kern w:val="0"/>
          <w:sz w:val="24"/>
          <w:szCs w:val="24"/>
          <w:highlight w:val="none"/>
          <w:u w:val="none"/>
          <w:lang w:val="en-US" w:eastAsia="zh-CN"/>
        </w:rPr>
        <w:t>自合同签订之日起至2026年4月11日</w:t>
      </w:r>
      <w:r>
        <w:rPr>
          <w:rFonts w:hint="eastAsia" w:ascii="宋体" w:hAnsi="宋体" w:eastAsia="宋体" w:cs="宋体"/>
          <w:i w:val="0"/>
          <w:iCs w:val="0"/>
          <w:caps w:val="0"/>
          <w:color w:val="auto"/>
          <w:spacing w:val="0"/>
          <w:sz w:val="24"/>
          <w:szCs w:val="24"/>
          <w:highlight w:val="none"/>
          <w:lang w:val="en-US" w:eastAsia="zh-CN"/>
        </w:rPr>
        <w:t>。</w:t>
      </w:r>
    </w:p>
    <w:p w14:paraId="6A11B8AE">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en-US" w:eastAsia="zh-CN"/>
        </w:rPr>
        <w:t>作业流程</w:t>
      </w:r>
    </w:p>
    <w:p w14:paraId="40954627">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1.3.1</w:t>
      </w:r>
      <w:r>
        <w:rPr>
          <w:rFonts w:hint="eastAsia" w:ascii="宋体" w:hAnsi="宋体" w:eastAsia="宋体" w:cs="宋体"/>
          <w:color w:val="auto"/>
          <w:kern w:val="0"/>
          <w:sz w:val="24"/>
          <w:szCs w:val="24"/>
          <w:highlight w:val="none"/>
        </w:rPr>
        <w:t>浮码头</w:t>
      </w:r>
      <w:r>
        <w:rPr>
          <w:rFonts w:hint="eastAsia" w:ascii="宋体" w:hAnsi="宋体" w:eastAsia="宋体" w:cs="宋体"/>
          <w:color w:val="auto"/>
          <w:kern w:val="0"/>
          <w:sz w:val="24"/>
          <w:szCs w:val="24"/>
          <w:highlight w:val="none"/>
          <w:lang w:val="en-US" w:eastAsia="zh-CN"/>
        </w:rPr>
        <w:t>结构</w:t>
      </w:r>
      <w:r>
        <w:rPr>
          <w:rFonts w:hint="eastAsia" w:ascii="宋体" w:hAnsi="宋体" w:eastAsia="宋体" w:cs="宋体"/>
          <w:color w:val="auto"/>
          <w:kern w:val="0"/>
          <w:sz w:val="24"/>
          <w:szCs w:val="24"/>
          <w:highlight w:val="none"/>
        </w:rPr>
        <w:t>配置</w:t>
      </w:r>
    </w:p>
    <w:p w14:paraId="66F05052">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沿经批准的停泊水域靠岸侧边线纵向布置钢质趸船作为浮码头主体结构，承担货船靠泊、系缆及荷载传递功能</w:t>
      </w:r>
      <w:r>
        <w:rPr>
          <w:rFonts w:hint="eastAsia" w:ascii="宋体" w:hAnsi="宋体" w:eastAsia="宋体" w:cs="宋体"/>
          <w:color w:val="auto"/>
          <w:kern w:val="0"/>
          <w:sz w:val="24"/>
          <w:szCs w:val="24"/>
          <w:highlight w:val="none"/>
          <w:u w:val="none"/>
          <w:lang w:val="en-US" w:eastAsia="zh-CN"/>
        </w:rPr>
        <w:t>。</w:t>
      </w:r>
    </w:p>
    <w:p w14:paraId="3D666EBC">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1.3.2</w:t>
      </w:r>
      <w:r>
        <w:rPr>
          <w:rFonts w:hint="eastAsia" w:ascii="宋体" w:hAnsi="宋体" w:eastAsia="宋体" w:cs="宋体"/>
          <w:color w:val="auto"/>
          <w:kern w:val="0"/>
          <w:sz w:val="24"/>
          <w:szCs w:val="24"/>
          <w:highlight w:val="none"/>
          <w:u w:val="none"/>
        </w:rPr>
        <w:t>装卸系统部署</w:t>
      </w:r>
    </w:p>
    <w:p w14:paraId="664F1E11">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在转运站落料口与趸船之间水域布设专用装卸船，</w:t>
      </w:r>
      <w:r>
        <w:rPr>
          <w:rFonts w:hint="eastAsia" w:ascii="宋体" w:hAnsi="宋体" w:eastAsia="宋体" w:cs="宋体"/>
          <w:color w:val="auto"/>
          <w:kern w:val="0"/>
          <w:sz w:val="24"/>
          <w:szCs w:val="24"/>
          <w:highlight w:val="none"/>
          <w:u w:val="none"/>
          <w:lang w:val="en-US" w:eastAsia="zh-CN"/>
        </w:rPr>
        <w:t>装卸船</w:t>
      </w:r>
      <w:r>
        <w:rPr>
          <w:rFonts w:hint="eastAsia" w:ascii="宋体" w:hAnsi="宋体" w:eastAsia="宋体" w:cs="宋体"/>
          <w:color w:val="auto"/>
          <w:kern w:val="0"/>
          <w:sz w:val="24"/>
          <w:szCs w:val="24"/>
          <w:highlight w:val="none"/>
          <w:u w:val="none"/>
        </w:rPr>
        <w:t>集成皮带输送系统</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可调节俯仰支架</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除尘系统等设施设备。</w:t>
      </w:r>
    </w:p>
    <w:p w14:paraId="1B9BA8F8">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1.3.3物料输送路径</w:t>
      </w:r>
    </w:p>
    <w:p w14:paraId="53FB3B2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垂直输送段：物料经转运站落料口通过溜管重力下落至装卸船受料斗</w:t>
      </w:r>
      <w:r>
        <w:rPr>
          <w:rFonts w:hint="eastAsia" w:ascii="宋体" w:hAnsi="宋体" w:eastAsia="宋体" w:cs="宋体"/>
          <w:color w:val="auto"/>
          <w:kern w:val="0"/>
          <w:sz w:val="24"/>
          <w:szCs w:val="24"/>
          <w:highlight w:val="none"/>
          <w:u w:val="none"/>
          <w:lang w:val="en-US" w:eastAsia="zh-CN"/>
        </w:rPr>
        <w:t>（落料口与水面最大高差约20米）；</w:t>
      </w:r>
    </w:p>
    <w:p w14:paraId="7DB310C8">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水平输送段：</w:t>
      </w:r>
      <w:r>
        <w:rPr>
          <w:rFonts w:hint="eastAsia" w:ascii="宋体" w:hAnsi="宋体" w:eastAsia="宋体" w:cs="宋体"/>
          <w:color w:val="auto"/>
          <w:kern w:val="0"/>
          <w:sz w:val="24"/>
          <w:szCs w:val="24"/>
          <w:highlight w:val="none"/>
          <w:u w:val="none"/>
          <w:lang w:val="en-US" w:eastAsia="zh-CN"/>
        </w:rPr>
        <w:t>装卸船皮带机跨越趸船并向停泊水域方向延申至货船船舱正上方，物料</w:t>
      </w:r>
      <w:r>
        <w:rPr>
          <w:rFonts w:hint="eastAsia" w:ascii="宋体" w:hAnsi="宋体" w:eastAsia="宋体" w:cs="宋体"/>
          <w:color w:val="auto"/>
          <w:kern w:val="0"/>
          <w:sz w:val="24"/>
          <w:szCs w:val="24"/>
          <w:highlight w:val="none"/>
          <w:u w:val="none"/>
        </w:rPr>
        <w:t>经装卸船皮带机</w:t>
      </w:r>
      <w:r>
        <w:rPr>
          <w:rFonts w:hint="eastAsia" w:ascii="宋体" w:hAnsi="宋体" w:eastAsia="宋体" w:cs="宋体"/>
          <w:color w:val="auto"/>
          <w:kern w:val="0"/>
          <w:sz w:val="24"/>
          <w:szCs w:val="24"/>
          <w:highlight w:val="none"/>
          <w:u w:val="none"/>
          <w:lang w:val="en-US" w:eastAsia="zh-CN"/>
        </w:rPr>
        <w:t>从船尾</w:t>
      </w:r>
      <w:r>
        <w:rPr>
          <w:rFonts w:hint="eastAsia" w:ascii="宋体" w:hAnsi="宋体" w:eastAsia="宋体" w:cs="宋体"/>
          <w:color w:val="auto"/>
          <w:kern w:val="0"/>
          <w:sz w:val="24"/>
          <w:szCs w:val="24"/>
          <w:highlight w:val="none"/>
          <w:u w:val="none"/>
        </w:rPr>
        <w:t>水平输送</w:t>
      </w:r>
      <w:r>
        <w:rPr>
          <w:rFonts w:hint="eastAsia" w:ascii="宋体" w:hAnsi="宋体" w:eastAsia="宋体" w:cs="宋体"/>
          <w:color w:val="auto"/>
          <w:kern w:val="0"/>
          <w:sz w:val="24"/>
          <w:szCs w:val="24"/>
          <w:highlight w:val="none"/>
          <w:u w:val="none"/>
          <w:lang w:val="en-US" w:eastAsia="zh-CN"/>
        </w:rPr>
        <w:t>至货船船舱</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val="en-US" w:eastAsia="zh-CN"/>
        </w:rPr>
        <w:t>实现装船作业。</w:t>
      </w:r>
    </w:p>
    <w:p w14:paraId="54E0F6BD">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kern w:val="2"/>
          <w:sz w:val="24"/>
          <w:szCs w:val="24"/>
          <w:highlight w:val="none"/>
          <w:u w:val="none"/>
          <w:lang w:val="en-US" w:eastAsia="zh-CN" w:bidi="ar-SA"/>
        </w:rPr>
        <w:t>2.</w:t>
      </w:r>
      <w:r>
        <w:rPr>
          <w:rFonts w:hint="eastAsia" w:ascii="宋体" w:hAnsi="宋体" w:eastAsia="宋体" w:cs="宋体"/>
          <w:color w:val="auto"/>
          <w:kern w:val="0"/>
          <w:sz w:val="24"/>
          <w:szCs w:val="24"/>
          <w:highlight w:val="none"/>
          <w:u w:val="none"/>
          <w:lang w:val="en-US" w:eastAsia="zh-CN"/>
        </w:rPr>
        <w:t>服务要求：</w:t>
      </w:r>
    </w:p>
    <w:p w14:paraId="1F271B65">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u w:val="none"/>
          <w:lang w:val="en-US" w:eastAsia="zh-CN"/>
        </w:rPr>
        <w:t>2.1</w:t>
      </w:r>
      <w:r>
        <w:rPr>
          <w:rFonts w:hint="eastAsia" w:ascii="宋体" w:hAnsi="宋体" w:eastAsia="宋体" w:cs="宋体"/>
          <w:color w:val="auto"/>
          <w:kern w:val="0"/>
          <w:sz w:val="24"/>
          <w:szCs w:val="24"/>
          <w:highlight w:val="none"/>
          <w:u w:val="none"/>
          <w:lang w:eastAsia="zh-CN"/>
        </w:rPr>
        <w:t>投标人</w:t>
      </w:r>
      <w:r>
        <w:rPr>
          <w:rFonts w:hint="eastAsia" w:ascii="宋体" w:hAnsi="宋体" w:eastAsia="宋体" w:cs="宋体"/>
          <w:color w:val="auto"/>
          <w:kern w:val="0"/>
          <w:sz w:val="24"/>
          <w:szCs w:val="24"/>
          <w:highlight w:val="none"/>
          <w:u w:val="none"/>
        </w:rPr>
        <w:t>负</w:t>
      </w:r>
      <w:r>
        <w:rPr>
          <w:rFonts w:hint="eastAsia" w:ascii="宋体" w:hAnsi="宋体" w:eastAsia="宋体" w:cs="宋体"/>
          <w:color w:val="auto"/>
          <w:kern w:val="0"/>
          <w:sz w:val="24"/>
          <w:szCs w:val="24"/>
          <w:highlight w:val="none"/>
          <w:u w:val="none"/>
          <w:lang w:val="en-US" w:eastAsia="zh-CN"/>
        </w:rPr>
        <w:t>责</w:t>
      </w:r>
      <w:r>
        <w:rPr>
          <w:rFonts w:hint="eastAsia" w:ascii="宋体" w:hAnsi="宋体" w:eastAsia="宋体" w:cs="宋体"/>
          <w:color w:val="auto"/>
          <w:sz w:val="24"/>
          <w:szCs w:val="24"/>
          <w:highlight w:val="none"/>
          <w:u w:val="none"/>
          <w:lang w:eastAsia="zh-CN"/>
        </w:rPr>
        <w:t>肇庆市港口投资发展有限公司德庆九市作业区可拆装式砂石装船设备项目2号泊位装船服务</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val="en-US" w:eastAsia="zh-CN"/>
        </w:rPr>
        <w:t>服务应当</w:t>
      </w:r>
      <w:r>
        <w:rPr>
          <w:rFonts w:hint="eastAsia" w:ascii="宋体" w:hAnsi="宋体" w:eastAsia="宋体" w:cs="宋体"/>
          <w:color w:val="auto"/>
          <w:sz w:val="24"/>
          <w:szCs w:val="24"/>
          <w:highlight w:val="none"/>
          <w:u w:val="none"/>
          <w:lang w:eastAsia="zh-CN"/>
        </w:rPr>
        <w:t>满足并符合现</w:t>
      </w:r>
      <w:r>
        <w:rPr>
          <w:rFonts w:hint="eastAsia" w:ascii="宋体" w:hAnsi="宋体" w:eastAsia="宋体" w:cs="宋体"/>
          <w:color w:val="auto"/>
          <w:sz w:val="24"/>
          <w:szCs w:val="24"/>
          <w:highlight w:val="none"/>
          <w:lang w:eastAsia="zh-CN"/>
        </w:rPr>
        <w:t>行的国家、省、市的法律、法规要求以及行业技术规范、规程、标准要求。</w:t>
      </w:r>
    </w:p>
    <w:p w14:paraId="3CA3EE81">
      <w:pPr>
        <w:keepNext w:val="0"/>
        <w:keepLines w:val="0"/>
        <w:pageBreakBefore w:val="0"/>
        <w:widowControl/>
        <w:numPr>
          <w:ilvl w:val="0"/>
          <w:numId w:val="0"/>
        </w:numPr>
        <w:kinsoku/>
        <w:wordWrap/>
        <w:overflowPunct/>
        <w:topLinePunct w:val="0"/>
        <w:bidi w:val="0"/>
        <w:adjustRightInd w:val="0"/>
        <w:snapToGrid w:val="0"/>
        <w:spacing w:line="360" w:lineRule="auto"/>
        <w:ind w:firstLine="480" w:firstLineChars="200"/>
        <w:textAlignment w:val="auto"/>
        <w:rPr>
          <w:rFonts w:hint="default" w:ascii="宋体" w:hAnsi="宋体" w:eastAsia="宋体" w:cs="宋体"/>
          <w:color w:val="auto"/>
          <w:kern w:val="0"/>
          <w:sz w:val="24"/>
          <w:szCs w:val="24"/>
          <w:highlight w:val="none"/>
          <w:u w:val="single"/>
          <w:lang w:val="en-US" w:eastAsia="zh-CN"/>
        </w:rPr>
      </w:pP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投标人</w:t>
      </w:r>
      <w:r>
        <w:rPr>
          <w:rFonts w:hint="eastAsia" w:ascii="宋体" w:hAnsi="宋体" w:cs="宋体"/>
          <w:color w:val="auto"/>
          <w:sz w:val="24"/>
          <w:szCs w:val="24"/>
          <w:highlight w:val="none"/>
          <w:lang w:val="en-US" w:eastAsia="zh-CN"/>
        </w:rPr>
        <w:t>在合同签订之日起15个日历日内</w:t>
      </w:r>
      <w:r>
        <w:rPr>
          <w:rFonts w:hint="eastAsia" w:ascii="宋体" w:hAnsi="宋体" w:eastAsia="宋体" w:cs="宋体"/>
          <w:color w:val="auto"/>
          <w:sz w:val="24"/>
          <w:szCs w:val="24"/>
          <w:highlight w:val="none"/>
          <w:lang w:val="en-US" w:eastAsia="zh-CN"/>
        </w:rPr>
        <w:t>需</w:t>
      </w:r>
      <w:r>
        <w:rPr>
          <w:rFonts w:hint="eastAsia" w:ascii="宋体" w:hAnsi="宋体" w:cs="宋体"/>
          <w:color w:val="auto"/>
          <w:sz w:val="24"/>
          <w:szCs w:val="24"/>
          <w:highlight w:val="none"/>
          <w:lang w:val="en-US" w:eastAsia="zh-CN"/>
        </w:rPr>
        <w:t>完成</w:t>
      </w:r>
      <w:r>
        <w:rPr>
          <w:rFonts w:hint="eastAsia" w:ascii="宋体" w:hAnsi="宋体" w:eastAsia="宋体" w:cs="宋体"/>
          <w:color w:val="auto"/>
          <w:sz w:val="24"/>
          <w:szCs w:val="24"/>
          <w:highlight w:val="none"/>
          <w:lang w:eastAsia="zh-CN"/>
        </w:rPr>
        <w:t>装卸</w:t>
      </w:r>
      <w:r>
        <w:rPr>
          <w:rFonts w:hint="eastAsia" w:ascii="宋体" w:hAnsi="宋体" w:eastAsia="宋体" w:cs="宋体"/>
          <w:color w:val="auto"/>
          <w:sz w:val="24"/>
          <w:szCs w:val="24"/>
          <w:highlight w:val="none"/>
          <w:lang w:val="en-US" w:eastAsia="zh-CN"/>
        </w:rPr>
        <w:t>运营的</w:t>
      </w:r>
      <w:bookmarkStart w:id="96" w:name="OLE_LINK6"/>
      <w:r>
        <w:rPr>
          <w:rFonts w:hint="eastAsia" w:ascii="宋体" w:hAnsi="宋体" w:eastAsia="宋体" w:cs="宋体"/>
          <w:color w:val="auto"/>
          <w:sz w:val="24"/>
          <w:szCs w:val="24"/>
          <w:highlight w:val="none"/>
          <w:lang w:eastAsia="zh-CN"/>
        </w:rPr>
        <w:t>船舶设备</w:t>
      </w:r>
      <w:bookmarkEnd w:id="96"/>
      <w:r>
        <w:rPr>
          <w:rFonts w:hint="eastAsia" w:ascii="宋体" w:hAnsi="宋体" w:cs="宋体"/>
          <w:color w:val="auto"/>
          <w:sz w:val="24"/>
          <w:szCs w:val="24"/>
          <w:highlight w:val="none"/>
          <w:lang w:val="en-US" w:eastAsia="zh-CN"/>
        </w:rPr>
        <w:t>进场及重载调试，且</w:t>
      </w:r>
      <w:r>
        <w:rPr>
          <w:rFonts w:hint="eastAsia" w:ascii="宋体" w:hAnsi="宋体" w:eastAsia="宋体" w:cs="宋体"/>
          <w:color w:val="auto"/>
          <w:sz w:val="24"/>
          <w:szCs w:val="24"/>
          <w:highlight w:val="none"/>
          <w:lang w:eastAsia="zh-CN"/>
        </w:rPr>
        <w:t>船舶设备</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符合招标技术参数要求并通过</w:t>
      </w:r>
      <w:r>
        <w:rPr>
          <w:rFonts w:hint="eastAsia" w:ascii="宋体" w:hAnsi="宋体" w:cs="宋体"/>
          <w:color w:val="auto"/>
          <w:sz w:val="24"/>
          <w:highlight w:val="none"/>
        </w:rPr>
        <w:t>功能性验收，具备完成本项目工作内容的条件。</w:t>
      </w:r>
    </w:p>
    <w:p w14:paraId="599AEAA0">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2.2.1</w:t>
      </w:r>
      <w:r>
        <w:rPr>
          <w:rFonts w:hint="eastAsia" w:ascii="宋体" w:hAnsi="宋体" w:eastAsia="宋体" w:cs="宋体"/>
          <w:b/>
          <w:bCs/>
          <w:color w:val="auto"/>
          <w:sz w:val="24"/>
          <w:szCs w:val="24"/>
          <w:highlight w:val="none"/>
          <w:u w:val="none"/>
          <w:lang w:val="en-US" w:eastAsia="zh-CN"/>
        </w:rPr>
        <w:t>装卸船技术要求：</w:t>
      </w:r>
    </w:p>
    <w:p w14:paraId="7D954EA0">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（1）船上皮带输送效率不低于2500</w:t>
      </w:r>
      <w:r>
        <w:rPr>
          <w:rFonts w:hint="eastAsia" w:cs="宋体"/>
          <w:color w:val="auto"/>
          <w:sz w:val="24"/>
          <w:szCs w:val="24"/>
          <w:highlight w:val="none"/>
          <w:u w:val="single"/>
          <w:lang w:val="en-US" w:eastAsia="zh-CN"/>
        </w:rPr>
        <w:t>吨</w:t>
      </w: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小时</w:t>
      </w:r>
      <w:r>
        <w:rPr>
          <w:rFonts w:hint="eastAsia" w:ascii="宋体" w:hAnsi="宋体" w:eastAsia="宋体" w:cs="宋体"/>
          <w:color w:val="auto"/>
          <w:sz w:val="24"/>
          <w:szCs w:val="24"/>
          <w:highlight w:val="none"/>
          <w:u w:val="single"/>
          <w:lang w:val="en-US" w:eastAsia="zh-CN"/>
        </w:rPr>
        <w:t>；</w:t>
      </w:r>
    </w:p>
    <w:p w14:paraId="0E762313">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（2）船上接料仓斗容量不低于30m³；</w:t>
      </w:r>
    </w:p>
    <w:p w14:paraId="50C2AF87">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（3）船上须配备除尘设备，保证装卸作业过程中不产生粉尘污染；</w:t>
      </w:r>
    </w:p>
    <w:p w14:paraId="44AD85FC">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）吃水应不超过1.5米，以保证低水位作业需求；</w:t>
      </w:r>
    </w:p>
    <w:p w14:paraId="79AA903E">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）须配备一条交通锚艇应急；</w:t>
      </w:r>
    </w:p>
    <w:p w14:paraId="62A16117">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）满足海事、交通、环保等各部门要求。</w:t>
      </w:r>
    </w:p>
    <w:p w14:paraId="46F81122">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cs="宋体"/>
          <w:b/>
          <w:bCs/>
          <w:color w:val="auto"/>
          <w:sz w:val="24"/>
          <w:szCs w:val="24"/>
          <w:highlight w:val="none"/>
          <w:u w:val="single"/>
          <w:lang w:val="en-US" w:eastAsia="zh-CN"/>
        </w:rPr>
        <w:t>2.2.2</w:t>
      </w:r>
      <w:r>
        <w:rPr>
          <w:rFonts w:hint="eastAsia" w:ascii="宋体" w:hAnsi="宋体" w:eastAsia="宋体" w:cs="宋体"/>
          <w:b/>
          <w:bCs/>
          <w:color w:val="auto"/>
          <w:sz w:val="24"/>
          <w:szCs w:val="24"/>
          <w:highlight w:val="none"/>
          <w:u w:val="single"/>
          <w:lang w:val="en-US" w:eastAsia="zh-CN"/>
        </w:rPr>
        <w:t>趸船技术要求：</w:t>
      </w:r>
    </w:p>
    <w:p w14:paraId="7598ADA6">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应满足3000吨级货船靠离泊、系缆和装卸作业要求；</w:t>
      </w:r>
    </w:p>
    <w:p w14:paraId="19B6CEAD">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（2）趸船需配备4根固定桩固定船位；</w:t>
      </w:r>
    </w:p>
    <w:p w14:paraId="37690D5B">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（3）需配备4台绞锚机和</w:t>
      </w:r>
      <w:r>
        <w:rPr>
          <w:rFonts w:hint="eastAsia" w:ascii="宋体" w:hAnsi="宋体" w:eastAsia="宋体" w:cs="宋体"/>
          <w:color w:val="auto"/>
          <w:sz w:val="24"/>
          <w:szCs w:val="24"/>
          <w:highlight w:val="none"/>
          <w:u w:val="single"/>
          <w:lang w:eastAsia="zh-CN"/>
        </w:rPr>
        <w:t>4</w:t>
      </w:r>
      <w:r>
        <w:rPr>
          <w:rFonts w:hint="eastAsia" w:ascii="宋体" w:hAnsi="宋体" w:eastAsia="宋体" w:cs="宋体"/>
          <w:color w:val="auto"/>
          <w:sz w:val="24"/>
          <w:szCs w:val="24"/>
          <w:highlight w:val="none"/>
          <w:u w:val="single"/>
          <w:lang w:val="en-US" w:eastAsia="zh-CN"/>
        </w:rPr>
        <w:t>只</w:t>
      </w:r>
      <w:r>
        <w:rPr>
          <w:rFonts w:hint="eastAsia" w:ascii="宋体" w:hAnsi="宋体" w:eastAsia="宋体" w:cs="宋体"/>
          <w:color w:val="auto"/>
          <w:sz w:val="24"/>
          <w:szCs w:val="24"/>
          <w:highlight w:val="none"/>
          <w:u w:val="single"/>
        </w:rPr>
        <w:t>船锚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单锚重量不低于3吨；</w:t>
      </w:r>
    </w:p>
    <w:p w14:paraId="46BD92F7">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（4）趸船船长应不低于50米。</w:t>
      </w:r>
    </w:p>
    <w:p w14:paraId="2B37E084">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（5）满足海事、交通、航道、环保等各部门要求。</w:t>
      </w:r>
    </w:p>
    <w:p w14:paraId="06D1C05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（3）</w:t>
      </w:r>
      <w:r>
        <w:rPr>
          <w:rFonts w:hint="eastAsia" w:cs="宋体"/>
          <w:b w:val="0"/>
          <w:bCs w:val="0"/>
          <w:color w:val="auto"/>
          <w:sz w:val="24"/>
          <w:szCs w:val="24"/>
          <w:highlight w:val="none"/>
          <w:u w:val="none"/>
          <w:lang w:val="en-US" w:eastAsia="zh-CN"/>
        </w:rPr>
        <w:t>投标人装卸运营服务</w:t>
      </w:r>
      <w:r>
        <w:rPr>
          <w:rFonts w:hint="eastAsia" w:ascii="宋体" w:hAnsi="宋体" w:cs="宋体"/>
          <w:b w:val="0"/>
          <w:bCs w:val="0"/>
          <w:color w:val="auto"/>
          <w:sz w:val="24"/>
          <w:szCs w:val="24"/>
          <w:highlight w:val="none"/>
          <w:u w:val="none"/>
          <w:lang w:val="en-US" w:eastAsia="zh-CN"/>
        </w:rPr>
        <w:t>需</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eastAsia="zh-CN"/>
        </w:rPr>
        <w:t>内部规定及港口码头运营及法律法规要求。</w:t>
      </w:r>
    </w:p>
    <w:p w14:paraId="72F1611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（4）</w:t>
      </w:r>
      <w:r>
        <w:rPr>
          <w:rFonts w:hint="eastAsia" w:cs="宋体"/>
          <w:b w:val="0"/>
          <w:bCs w:val="0"/>
          <w:color w:val="auto"/>
          <w:sz w:val="24"/>
          <w:szCs w:val="24"/>
          <w:highlight w:val="none"/>
          <w:u w:val="none"/>
          <w:lang w:val="en-US" w:eastAsia="zh-CN"/>
        </w:rPr>
        <w:t>投标人装卸运营服务</w:t>
      </w:r>
      <w:r>
        <w:rPr>
          <w:rFonts w:hint="eastAsia" w:ascii="宋体" w:hAnsi="宋体" w:eastAsia="宋体" w:cs="宋体"/>
          <w:color w:val="auto"/>
          <w:sz w:val="24"/>
          <w:szCs w:val="24"/>
          <w:highlight w:val="none"/>
          <w:lang w:val="en-US" w:eastAsia="zh-CN"/>
        </w:rPr>
        <w:t>过程中需采取各种措施防止各类安全事故的发生。</w:t>
      </w:r>
    </w:p>
    <w:p w14:paraId="2D0DF06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sz w:val="24"/>
          <w:szCs w:val="24"/>
          <w:highlight w:val="none"/>
          <w:u w:val="none"/>
          <w:lang w:val="en-US" w:eastAsia="zh-CN"/>
        </w:rPr>
        <w:t>投标人必须健全作业质量管理队伍的使用、监督机制，做到分工明确、责任到人，健全管理制度、管理人员分工。投标人须招用身体健康的工作人员以保证服务质量。</w:t>
      </w:r>
    </w:p>
    <w:p w14:paraId="3A6CF43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2.2.3</w:t>
      </w:r>
      <w:r>
        <w:rPr>
          <w:rFonts w:hint="eastAsia" w:ascii="宋体" w:hAnsi="宋体" w:eastAsia="宋体" w:cs="宋体"/>
          <w:b w:val="0"/>
          <w:bCs w:val="0"/>
          <w:color w:val="auto"/>
          <w:sz w:val="24"/>
          <w:szCs w:val="24"/>
          <w:highlight w:val="none"/>
          <w:u w:val="none"/>
          <w:lang w:val="en-US" w:eastAsia="zh-CN"/>
        </w:rPr>
        <w:t>投标人装卸运营人员的配置要求如下：</w:t>
      </w:r>
    </w:p>
    <w:p w14:paraId="5A8E355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p>
    <w:p w14:paraId="016B129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服务团队生产作业人员最低配置要求</w:t>
      </w:r>
    </w:p>
    <w:tbl>
      <w:tblPr>
        <w:tblStyle w:val="28"/>
        <w:tblW w:w="104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
        <w:gridCol w:w="1181"/>
        <w:gridCol w:w="4425"/>
        <w:gridCol w:w="1313"/>
        <w:gridCol w:w="2595"/>
      </w:tblGrid>
      <w:tr w14:paraId="45B64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58290735">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181" w:type="dxa"/>
            <w:tcBorders>
              <w:top w:val="single" w:color="000000" w:sz="6" w:space="0"/>
              <w:left w:val="single" w:color="000000" w:sz="6" w:space="0"/>
              <w:bottom w:val="single" w:color="000000" w:sz="6" w:space="0"/>
              <w:right w:val="single" w:color="000000" w:sz="6" w:space="0"/>
            </w:tcBorders>
            <w:vAlign w:val="center"/>
          </w:tcPr>
          <w:p w14:paraId="4280FD44">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职  务</w:t>
            </w:r>
          </w:p>
        </w:tc>
        <w:tc>
          <w:tcPr>
            <w:tcW w:w="4425" w:type="dxa"/>
            <w:tcBorders>
              <w:top w:val="single" w:color="000000" w:sz="6" w:space="0"/>
              <w:left w:val="single" w:color="000000" w:sz="6" w:space="0"/>
              <w:bottom w:val="single" w:color="000000" w:sz="6" w:space="0"/>
              <w:right w:val="single" w:color="000000" w:sz="6" w:space="0"/>
            </w:tcBorders>
            <w:vAlign w:val="center"/>
          </w:tcPr>
          <w:p w14:paraId="424AEB24">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任职人员基本要求</w:t>
            </w:r>
          </w:p>
        </w:tc>
        <w:tc>
          <w:tcPr>
            <w:tcW w:w="1313" w:type="dxa"/>
            <w:tcBorders>
              <w:top w:val="single" w:color="000000" w:sz="6" w:space="0"/>
              <w:left w:val="single" w:color="000000" w:sz="6" w:space="0"/>
              <w:bottom w:val="single" w:color="000000" w:sz="6" w:space="0"/>
              <w:right w:val="single" w:color="000000" w:sz="6" w:space="0"/>
            </w:tcBorders>
            <w:vAlign w:val="center"/>
          </w:tcPr>
          <w:p w14:paraId="7C4E3B71">
            <w:pPr>
              <w:spacing w:line="360" w:lineRule="auto"/>
              <w:jc w:val="center"/>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每班</w:t>
            </w:r>
            <w:r>
              <w:rPr>
                <w:rFonts w:hint="eastAsia" w:ascii="宋体" w:hAnsi="宋体" w:eastAsia="宋体" w:cs="宋体"/>
                <w:b/>
                <w:bCs/>
                <w:color w:val="auto"/>
                <w:sz w:val="22"/>
                <w:szCs w:val="22"/>
                <w:highlight w:val="none"/>
              </w:rPr>
              <w:t>人数</w:t>
            </w:r>
          </w:p>
        </w:tc>
        <w:tc>
          <w:tcPr>
            <w:tcW w:w="2595" w:type="dxa"/>
            <w:tcBorders>
              <w:top w:val="single" w:color="000000" w:sz="6" w:space="0"/>
              <w:left w:val="single" w:color="000000" w:sz="6" w:space="0"/>
              <w:bottom w:val="single" w:color="000000" w:sz="6" w:space="0"/>
              <w:right w:val="single" w:color="000000" w:sz="6" w:space="0"/>
            </w:tcBorders>
            <w:vAlign w:val="center"/>
          </w:tcPr>
          <w:p w14:paraId="76C65C93">
            <w:pPr>
              <w:spacing w:line="36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备注</w:t>
            </w:r>
          </w:p>
        </w:tc>
      </w:tr>
      <w:tr w14:paraId="419BE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61AC1487">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1181" w:type="dxa"/>
            <w:tcBorders>
              <w:top w:val="single" w:color="000000" w:sz="6" w:space="0"/>
              <w:left w:val="single" w:color="000000" w:sz="6" w:space="0"/>
              <w:bottom w:val="single" w:color="000000" w:sz="6" w:space="0"/>
              <w:right w:val="single" w:color="000000" w:sz="6" w:space="0"/>
            </w:tcBorders>
            <w:vAlign w:val="center"/>
          </w:tcPr>
          <w:p w14:paraId="5D8CF86D">
            <w:pPr>
              <w:spacing w:line="36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船长</w:t>
            </w:r>
          </w:p>
        </w:tc>
        <w:tc>
          <w:tcPr>
            <w:tcW w:w="4425" w:type="dxa"/>
            <w:tcBorders>
              <w:top w:val="single" w:color="000000" w:sz="6" w:space="0"/>
              <w:left w:val="single" w:color="000000" w:sz="6" w:space="0"/>
              <w:bottom w:val="single" w:color="000000" w:sz="6" w:space="0"/>
              <w:right w:val="single" w:color="000000" w:sz="6" w:space="0"/>
            </w:tcBorders>
            <w:vAlign w:val="center"/>
          </w:tcPr>
          <w:p w14:paraId="7A68CD88">
            <w:pPr>
              <w:spacing w:line="360" w:lineRule="auto"/>
              <w:jc w:val="center"/>
              <w:rPr>
                <w:rFonts w:hint="default" w:ascii="宋体" w:hAnsi="宋体" w:eastAsia="宋体" w:cs="宋体"/>
                <w:bCs/>
                <w:color w:val="auto"/>
                <w:sz w:val="22"/>
                <w:szCs w:val="22"/>
                <w:highlight w:val="none"/>
                <w:u w:val="none"/>
                <w:lang w:val="en-US" w:eastAsia="zh-CN"/>
              </w:rPr>
            </w:pPr>
            <w:r>
              <w:rPr>
                <w:rFonts w:hint="eastAsia" w:ascii="宋体" w:hAnsi="宋体" w:eastAsia="宋体" w:cs="宋体"/>
                <w:color w:val="auto"/>
                <w:sz w:val="24"/>
                <w:szCs w:val="24"/>
                <w:highlight w:val="none"/>
                <w:u w:val="none"/>
                <w:lang w:val="en-US" w:eastAsia="zh-CN"/>
              </w:rPr>
              <w:t>人员配置至少满足三班倒需求，每班8小时，每班需配备1名</w:t>
            </w:r>
          </w:p>
        </w:tc>
        <w:tc>
          <w:tcPr>
            <w:tcW w:w="1313" w:type="dxa"/>
            <w:tcBorders>
              <w:top w:val="single" w:color="000000" w:sz="6" w:space="0"/>
              <w:left w:val="single" w:color="000000" w:sz="6" w:space="0"/>
              <w:bottom w:val="single" w:color="000000" w:sz="6" w:space="0"/>
              <w:right w:val="single" w:color="000000" w:sz="6" w:space="0"/>
            </w:tcBorders>
            <w:vAlign w:val="center"/>
          </w:tcPr>
          <w:p w14:paraId="64E22D05">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cs="宋体"/>
                <w:bCs/>
                <w:color w:val="auto"/>
                <w:sz w:val="22"/>
                <w:szCs w:val="22"/>
                <w:highlight w:val="none"/>
                <w:lang w:val="en-US" w:eastAsia="zh-CN"/>
              </w:rPr>
              <w:t>1</w:t>
            </w:r>
          </w:p>
        </w:tc>
        <w:tc>
          <w:tcPr>
            <w:tcW w:w="2595" w:type="dxa"/>
            <w:vMerge w:val="restart"/>
            <w:tcBorders>
              <w:top w:val="single" w:color="000000" w:sz="6" w:space="0"/>
              <w:left w:val="single" w:color="000000" w:sz="6" w:space="0"/>
              <w:right w:val="single" w:color="000000" w:sz="6" w:space="0"/>
            </w:tcBorders>
            <w:vAlign w:val="center"/>
          </w:tcPr>
          <w:p w14:paraId="68CFDC66">
            <w:pPr>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sz w:val="24"/>
                <w:szCs w:val="24"/>
                <w:highlight w:val="none"/>
                <w:u w:val="none"/>
                <w:lang w:val="en-US" w:eastAsia="zh-CN"/>
              </w:rPr>
              <w:t>趸船和装卸船配置人数应满足作业需求，且每班总人数不低于4人</w:t>
            </w:r>
            <w:r>
              <w:rPr>
                <w:rFonts w:hint="eastAsia" w:ascii="宋体" w:hAnsi="宋体" w:cs="宋体"/>
                <w:color w:val="auto"/>
                <w:sz w:val="24"/>
                <w:szCs w:val="24"/>
                <w:highlight w:val="none"/>
                <w:u w:val="none"/>
                <w:lang w:val="en-US" w:eastAsia="zh-CN"/>
              </w:rPr>
              <w:t>。</w:t>
            </w:r>
          </w:p>
        </w:tc>
      </w:tr>
      <w:tr w14:paraId="24294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909" w:type="dxa"/>
            <w:tcBorders>
              <w:top w:val="single" w:color="000000" w:sz="6" w:space="0"/>
              <w:left w:val="single" w:color="000000" w:sz="6" w:space="0"/>
              <w:bottom w:val="single" w:color="000000" w:sz="6" w:space="0"/>
              <w:right w:val="single" w:color="000000" w:sz="6" w:space="0"/>
            </w:tcBorders>
            <w:vAlign w:val="center"/>
          </w:tcPr>
          <w:p w14:paraId="46A6B27E">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2</w:t>
            </w:r>
          </w:p>
        </w:tc>
        <w:tc>
          <w:tcPr>
            <w:tcW w:w="1181" w:type="dxa"/>
            <w:tcBorders>
              <w:top w:val="single" w:color="000000" w:sz="6" w:space="0"/>
              <w:left w:val="single" w:color="000000" w:sz="6" w:space="0"/>
              <w:bottom w:val="single" w:color="000000" w:sz="6" w:space="0"/>
              <w:right w:val="single" w:color="000000" w:sz="6" w:space="0"/>
            </w:tcBorders>
            <w:vAlign w:val="center"/>
          </w:tcPr>
          <w:p w14:paraId="7E8DDDE0">
            <w:pPr>
              <w:spacing w:line="36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水手</w:t>
            </w:r>
          </w:p>
        </w:tc>
        <w:tc>
          <w:tcPr>
            <w:tcW w:w="4425" w:type="dxa"/>
            <w:tcBorders>
              <w:top w:val="single" w:color="000000" w:sz="6" w:space="0"/>
              <w:left w:val="single" w:color="000000" w:sz="6" w:space="0"/>
              <w:bottom w:val="single" w:color="000000" w:sz="6" w:space="0"/>
              <w:right w:val="single" w:color="000000" w:sz="6" w:space="0"/>
            </w:tcBorders>
            <w:vAlign w:val="center"/>
          </w:tcPr>
          <w:p w14:paraId="223F5B47">
            <w:pPr>
              <w:spacing w:line="360" w:lineRule="auto"/>
              <w:jc w:val="center"/>
              <w:rPr>
                <w:rFonts w:hint="eastAsia" w:ascii="宋体" w:hAnsi="宋体" w:eastAsia="宋体" w:cs="宋体"/>
                <w:bCs/>
                <w:color w:val="auto"/>
                <w:sz w:val="22"/>
                <w:szCs w:val="22"/>
                <w:highlight w:val="none"/>
                <w:u w:val="none"/>
                <w:lang w:eastAsia="zh-CN"/>
              </w:rPr>
            </w:pPr>
            <w:r>
              <w:rPr>
                <w:rFonts w:hint="eastAsia" w:ascii="宋体" w:hAnsi="宋体" w:eastAsia="宋体" w:cs="宋体"/>
                <w:color w:val="auto"/>
                <w:sz w:val="24"/>
                <w:szCs w:val="24"/>
                <w:highlight w:val="none"/>
                <w:u w:val="none"/>
                <w:lang w:val="en-US" w:eastAsia="zh-CN"/>
              </w:rPr>
              <w:t>人员配置至少满足三班倒需求，每班8小时，每班需配备3名</w:t>
            </w:r>
          </w:p>
        </w:tc>
        <w:tc>
          <w:tcPr>
            <w:tcW w:w="1313" w:type="dxa"/>
            <w:tcBorders>
              <w:top w:val="single" w:color="000000" w:sz="6" w:space="0"/>
              <w:left w:val="single" w:color="000000" w:sz="6" w:space="0"/>
              <w:bottom w:val="single" w:color="000000" w:sz="6" w:space="0"/>
              <w:right w:val="single" w:color="000000" w:sz="6" w:space="0"/>
            </w:tcBorders>
            <w:vAlign w:val="center"/>
          </w:tcPr>
          <w:p w14:paraId="06D52691">
            <w:pPr>
              <w:spacing w:line="360" w:lineRule="auto"/>
              <w:jc w:val="center"/>
              <w:rPr>
                <w:rFonts w:hint="eastAsia" w:ascii="宋体" w:hAnsi="宋体" w:eastAsia="宋体" w:cs="宋体"/>
                <w:bCs/>
                <w:color w:val="auto"/>
                <w:sz w:val="22"/>
                <w:szCs w:val="22"/>
                <w:highlight w:val="none"/>
                <w:lang w:eastAsia="zh-CN"/>
              </w:rPr>
            </w:pPr>
            <w:r>
              <w:rPr>
                <w:rFonts w:hint="eastAsia" w:ascii="宋体" w:hAnsi="宋体" w:cs="宋体"/>
                <w:bCs/>
                <w:color w:val="auto"/>
                <w:sz w:val="22"/>
                <w:szCs w:val="22"/>
                <w:highlight w:val="none"/>
                <w:lang w:val="en-US" w:eastAsia="zh-CN"/>
              </w:rPr>
              <w:t>3</w:t>
            </w:r>
          </w:p>
        </w:tc>
        <w:tc>
          <w:tcPr>
            <w:tcW w:w="2595" w:type="dxa"/>
            <w:vMerge w:val="continue"/>
            <w:tcBorders>
              <w:left w:val="single" w:color="000000" w:sz="6" w:space="0"/>
              <w:bottom w:val="single" w:color="000000" w:sz="6" w:space="0"/>
              <w:right w:val="single" w:color="000000" w:sz="6" w:space="0"/>
            </w:tcBorders>
            <w:vAlign w:val="center"/>
          </w:tcPr>
          <w:p w14:paraId="24899548">
            <w:pPr>
              <w:spacing w:line="360" w:lineRule="auto"/>
              <w:jc w:val="center"/>
              <w:rPr>
                <w:rFonts w:hint="eastAsia" w:ascii="宋体" w:hAnsi="宋体" w:eastAsia="宋体" w:cs="宋体"/>
                <w:bCs/>
                <w:color w:val="auto"/>
                <w:sz w:val="22"/>
                <w:szCs w:val="22"/>
                <w:highlight w:val="none"/>
                <w:lang w:eastAsia="zh-CN"/>
              </w:rPr>
            </w:pPr>
          </w:p>
        </w:tc>
      </w:tr>
    </w:tbl>
    <w:p w14:paraId="38A58DA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p>
    <w:p w14:paraId="6347D834">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1）人员配置至少满足三班倒需求，每班8小时；</w:t>
      </w:r>
    </w:p>
    <w:p w14:paraId="31FAADEB">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2）每班需配备1名人员在转运站落料口负责实时查看落料情况；</w:t>
      </w:r>
    </w:p>
    <w:p w14:paraId="47C43611">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3）趸船和装卸船配置人数应满足作业需求，且每班总人数不低于4人；</w:t>
      </w:r>
    </w:p>
    <w:p w14:paraId="232FB470">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4）作业人员需持有效证书上岗；</w:t>
      </w:r>
    </w:p>
    <w:p w14:paraId="3BB0377F">
      <w:pPr>
        <w:pStyle w:val="40"/>
        <w:numPr>
          <w:ilvl w:val="0"/>
          <w:numId w:val="0"/>
        </w:num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5）满足海事、交通、航道、环保等各部门要求。</w:t>
      </w:r>
    </w:p>
    <w:p w14:paraId="6D34CB6B">
      <w:pPr>
        <w:pStyle w:val="40"/>
        <w:numPr>
          <w:ilvl w:val="0"/>
          <w:numId w:val="0"/>
        </w:num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3.其他：</w:t>
      </w:r>
    </w:p>
    <w:p w14:paraId="50B24BE7">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3.1</w:t>
      </w:r>
      <w:r>
        <w:rPr>
          <w:rFonts w:hint="eastAsia" w:ascii="宋体" w:hAnsi="宋体" w:eastAsia="宋体" w:cs="宋体"/>
          <w:color w:val="auto"/>
          <w:kern w:val="0"/>
          <w:sz w:val="24"/>
          <w:szCs w:val="24"/>
          <w:highlight w:val="none"/>
          <w:u w:val="single"/>
          <w:lang w:val="en-US" w:eastAsia="zh-CN"/>
        </w:rPr>
        <w:t>投标人应按相关部门要求配备各类设施设备和拟定各类预案，针对主管部门提出的要求（包括但不限于设备和人员要求），承包方应无条件整改并自行承担相关费用。</w:t>
      </w:r>
    </w:p>
    <w:p w14:paraId="446ECBFA">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3.2转运转落料口距货船停泊水域靠岸一侧边线70米，趸船及装卸船等整套作业设备的作业范围应严格控制在此70米范围内。</w:t>
      </w:r>
    </w:p>
    <w:p w14:paraId="1423D85F">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3.3趸船充当浮码头结构使用，趸船不得侵占停泊水域范围，即</w:t>
      </w:r>
      <w:r>
        <w:rPr>
          <w:rFonts w:hint="eastAsia" w:ascii="宋体" w:hAnsi="宋体" w:eastAsia="宋体" w:cs="宋体"/>
          <w:color w:val="auto"/>
          <w:kern w:val="0"/>
          <w:sz w:val="24"/>
          <w:szCs w:val="24"/>
          <w:highlight w:val="none"/>
          <w:u w:val="single"/>
        </w:rPr>
        <w:t>趸船前沿线不得超越停泊水域靠岸侧边线向</w:t>
      </w:r>
      <w:r>
        <w:rPr>
          <w:rFonts w:hint="eastAsia" w:ascii="宋体" w:hAnsi="宋体" w:eastAsia="宋体" w:cs="宋体"/>
          <w:color w:val="auto"/>
          <w:kern w:val="0"/>
          <w:sz w:val="24"/>
          <w:szCs w:val="24"/>
          <w:highlight w:val="none"/>
          <w:u w:val="single"/>
          <w:lang w:val="en-US" w:eastAsia="zh-CN"/>
        </w:rPr>
        <w:t>航道</w:t>
      </w:r>
      <w:r>
        <w:rPr>
          <w:rFonts w:hint="eastAsia" w:ascii="宋体" w:hAnsi="宋体" w:eastAsia="宋体" w:cs="宋体"/>
          <w:color w:val="auto"/>
          <w:kern w:val="0"/>
          <w:sz w:val="24"/>
          <w:szCs w:val="24"/>
          <w:highlight w:val="none"/>
          <w:u w:val="single"/>
        </w:rPr>
        <w:t>侧延伸</w:t>
      </w:r>
      <w:r>
        <w:rPr>
          <w:rFonts w:hint="eastAsia" w:ascii="宋体" w:hAnsi="宋体" w:eastAsia="宋体" w:cs="宋体"/>
          <w:color w:val="auto"/>
          <w:kern w:val="0"/>
          <w:sz w:val="24"/>
          <w:szCs w:val="24"/>
          <w:highlight w:val="none"/>
          <w:u w:val="single"/>
          <w:lang w:val="en-US" w:eastAsia="zh-CN"/>
        </w:rPr>
        <w:t>。同时，</w:t>
      </w:r>
      <w:r>
        <w:rPr>
          <w:rFonts w:hint="eastAsia" w:ascii="宋体" w:hAnsi="宋体" w:eastAsia="宋体" w:cs="宋体"/>
          <w:color w:val="auto"/>
          <w:kern w:val="0"/>
          <w:sz w:val="24"/>
          <w:szCs w:val="24"/>
          <w:highlight w:val="none"/>
          <w:u w:val="single"/>
        </w:rPr>
        <w:t>趸船前沿线与停泊水域靠岸侧边线的间距应≤5米</w:t>
      </w:r>
      <w:r>
        <w:rPr>
          <w:rFonts w:hint="eastAsia" w:ascii="宋体" w:hAnsi="宋体" w:eastAsia="宋体" w:cs="宋体"/>
          <w:color w:val="auto"/>
          <w:kern w:val="0"/>
          <w:sz w:val="24"/>
          <w:szCs w:val="24"/>
          <w:highlight w:val="none"/>
          <w:u w:val="single"/>
          <w:lang w:val="en-US" w:eastAsia="zh-CN"/>
        </w:rPr>
        <w:t>。</w:t>
      </w:r>
    </w:p>
    <w:p w14:paraId="5CE975B1">
      <w:pPr>
        <w:pStyle w:val="40"/>
        <w:numPr>
          <w:ilvl w:val="0"/>
          <w:numId w:val="0"/>
        </w:numPr>
        <w:spacing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cs="宋体"/>
          <w:b w:val="0"/>
          <w:bCs w:val="0"/>
          <w:color w:val="auto"/>
          <w:sz w:val="24"/>
          <w:szCs w:val="24"/>
          <w:highlight w:val="none"/>
          <w:u w:val="none"/>
          <w:lang w:val="en-US" w:eastAsia="zh-CN"/>
        </w:rPr>
        <w:t>3.4</w:t>
      </w:r>
      <w:r>
        <w:rPr>
          <w:rFonts w:hint="eastAsia" w:eastAsia="宋体" w:cs="宋体"/>
          <w:b w:val="0"/>
          <w:bCs w:val="0"/>
          <w:color w:val="auto"/>
          <w:sz w:val="24"/>
          <w:szCs w:val="24"/>
          <w:highlight w:val="none"/>
          <w:u w:val="none"/>
          <w:lang w:val="en-US" w:eastAsia="zh-CN"/>
        </w:rPr>
        <w:t>投标人装卸运营服务</w:t>
      </w:r>
      <w:r>
        <w:rPr>
          <w:rFonts w:hint="eastAsia" w:ascii="Calibri" w:hAnsi="Calibri" w:eastAsia="宋体" w:cs="宋体"/>
          <w:b w:val="0"/>
          <w:bCs w:val="0"/>
          <w:color w:val="auto"/>
          <w:sz w:val="24"/>
          <w:szCs w:val="24"/>
          <w:highlight w:val="none"/>
          <w:u w:val="none"/>
          <w:lang w:val="en-US" w:eastAsia="zh-CN"/>
        </w:rPr>
        <w:t>应满足招标人及上级主管部门的港口码头安全应急管理要求，投标人除应做好服务范围工作外，还应服从招标人的统一指挥和调动。如</w:t>
      </w:r>
      <w:r>
        <w:rPr>
          <w:rFonts w:hint="eastAsia" w:eastAsia="宋体" w:cs="宋体"/>
          <w:b w:val="0"/>
          <w:bCs w:val="0"/>
          <w:color w:val="auto"/>
          <w:sz w:val="24"/>
          <w:szCs w:val="24"/>
          <w:highlight w:val="none"/>
          <w:u w:val="none"/>
          <w:lang w:val="en-US" w:eastAsia="zh-CN"/>
        </w:rPr>
        <w:t>招标人码头</w:t>
      </w:r>
      <w:r>
        <w:rPr>
          <w:rFonts w:hint="eastAsia" w:ascii="Calibri" w:hAnsi="Calibri" w:eastAsia="宋体" w:cs="宋体"/>
          <w:b w:val="0"/>
          <w:bCs w:val="0"/>
          <w:color w:val="auto"/>
          <w:sz w:val="24"/>
          <w:szCs w:val="24"/>
          <w:highlight w:val="none"/>
          <w:u w:val="none"/>
          <w:lang w:val="en-US" w:eastAsia="zh-CN"/>
        </w:rPr>
        <w:t>出现涉及突发事件时，须服从招标人统一调度，协助处置</w:t>
      </w:r>
      <w:r>
        <w:rPr>
          <w:rFonts w:hint="eastAsia" w:eastAsia="宋体" w:cs="宋体"/>
          <w:b w:val="0"/>
          <w:bCs w:val="0"/>
          <w:color w:val="auto"/>
          <w:sz w:val="24"/>
          <w:szCs w:val="24"/>
          <w:highlight w:val="none"/>
          <w:u w:val="none"/>
          <w:lang w:val="en-US" w:eastAsia="zh-CN"/>
        </w:rPr>
        <w:t>，投标人需</w:t>
      </w:r>
      <w:r>
        <w:rPr>
          <w:rFonts w:hint="eastAsia" w:ascii="Calibri" w:hAnsi="Calibri" w:eastAsia="宋体" w:cs="宋体"/>
          <w:b w:val="0"/>
          <w:bCs w:val="0"/>
          <w:color w:val="auto"/>
          <w:sz w:val="24"/>
          <w:szCs w:val="24"/>
          <w:highlight w:val="none"/>
          <w:u w:val="none"/>
          <w:lang w:val="en-US" w:eastAsia="zh-CN"/>
        </w:rPr>
        <w:t>15分钟到</w:t>
      </w:r>
      <w:r>
        <w:rPr>
          <w:rFonts w:hint="eastAsia" w:eastAsia="宋体" w:cs="宋体"/>
          <w:b w:val="0"/>
          <w:bCs w:val="0"/>
          <w:color w:val="auto"/>
          <w:sz w:val="24"/>
          <w:szCs w:val="24"/>
          <w:highlight w:val="none"/>
          <w:u w:val="none"/>
          <w:lang w:val="en-US" w:eastAsia="zh-CN"/>
        </w:rPr>
        <w:t>达现</w:t>
      </w:r>
      <w:r>
        <w:rPr>
          <w:rFonts w:hint="eastAsia" w:ascii="Calibri" w:hAnsi="Calibri" w:eastAsia="宋体" w:cs="宋体"/>
          <w:b w:val="0"/>
          <w:bCs w:val="0"/>
          <w:color w:val="auto"/>
          <w:sz w:val="24"/>
          <w:szCs w:val="24"/>
          <w:highlight w:val="none"/>
          <w:u w:val="none"/>
          <w:lang w:val="en-US" w:eastAsia="zh-CN"/>
        </w:rPr>
        <w:t>场，到场即时开展应急处理</w:t>
      </w:r>
      <w:r>
        <w:rPr>
          <w:rFonts w:hint="eastAsia" w:eastAsia="宋体" w:cs="宋体"/>
          <w:b w:val="0"/>
          <w:bCs w:val="0"/>
          <w:color w:val="auto"/>
          <w:sz w:val="24"/>
          <w:szCs w:val="24"/>
          <w:highlight w:val="none"/>
          <w:u w:val="none"/>
          <w:lang w:val="en-US" w:eastAsia="zh-CN"/>
        </w:rPr>
        <w:t>相关工作</w:t>
      </w:r>
      <w:r>
        <w:rPr>
          <w:rFonts w:hint="eastAsia" w:ascii="Calibri" w:hAnsi="Calibri" w:eastAsia="宋体" w:cs="宋体"/>
          <w:b w:val="0"/>
          <w:bCs w:val="0"/>
          <w:color w:val="auto"/>
          <w:sz w:val="24"/>
          <w:szCs w:val="24"/>
          <w:highlight w:val="none"/>
          <w:u w:val="none"/>
          <w:lang w:val="en-US" w:eastAsia="zh-CN"/>
        </w:rPr>
        <w:t>，</w:t>
      </w:r>
      <w:r>
        <w:rPr>
          <w:rFonts w:hint="eastAsia" w:ascii="宋体" w:hAnsi="宋体" w:eastAsia="宋体" w:cs="宋体"/>
          <w:bCs/>
          <w:color w:val="auto"/>
          <w:sz w:val="24"/>
          <w:szCs w:val="24"/>
          <w:highlight w:val="none"/>
          <w:lang w:val="en-US" w:eastAsia="zh-CN"/>
        </w:rPr>
        <w:t>设备</w:t>
      </w:r>
      <w:r>
        <w:rPr>
          <w:rFonts w:hint="eastAsia" w:ascii="宋体" w:hAnsi="宋体" w:eastAsia="宋体" w:cs="宋体"/>
          <w:bCs/>
          <w:color w:val="auto"/>
          <w:sz w:val="24"/>
          <w:szCs w:val="24"/>
          <w:highlight w:val="none"/>
        </w:rPr>
        <w:t>每日抢修时间累计不得超过</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小时</w:t>
      </w:r>
      <w:r>
        <w:rPr>
          <w:rFonts w:hint="eastAsia" w:ascii="Calibri" w:hAnsi="Calibri" w:eastAsia="宋体" w:cs="宋体"/>
          <w:b w:val="0"/>
          <w:bCs w:val="0"/>
          <w:color w:val="auto"/>
          <w:sz w:val="24"/>
          <w:szCs w:val="24"/>
          <w:highlight w:val="none"/>
          <w:u w:val="none"/>
          <w:lang w:val="en-US" w:eastAsia="zh-CN"/>
        </w:rPr>
        <w:t>。</w:t>
      </w:r>
    </w:p>
    <w:p w14:paraId="77388364">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投标报价要求</w:t>
      </w:r>
    </w:p>
    <w:p w14:paraId="7CC3A14C">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1.本项目的招标控制</w:t>
      </w:r>
      <w:r>
        <w:rPr>
          <w:rFonts w:hint="eastAsia" w:ascii="宋体" w:hAnsi="宋体" w:cs="宋体"/>
          <w:color w:val="auto"/>
          <w:kern w:val="0"/>
          <w:sz w:val="24"/>
          <w:szCs w:val="24"/>
          <w:highlight w:val="none"/>
          <w:lang w:val="en-US" w:eastAsia="zh-CN"/>
        </w:rPr>
        <w:t>总</w:t>
      </w:r>
      <w:r>
        <w:rPr>
          <w:rFonts w:hint="eastAsia" w:ascii="宋体" w:hAnsi="宋体" w:eastAsia="宋体" w:cs="宋体"/>
          <w:color w:val="auto"/>
          <w:kern w:val="0"/>
          <w:sz w:val="24"/>
          <w:szCs w:val="24"/>
          <w:highlight w:val="none"/>
        </w:rPr>
        <w:t>价（人民币）：</w:t>
      </w:r>
      <w:r>
        <w:rPr>
          <w:rFonts w:hint="eastAsia" w:ascii="宋体" w:hAnsi="宋体" w:cs="宋体"/>
          <w:color w:val="auto"/>
          <w:kern w:val="0"/>
          <w:sz w:val="24"/>
          <w:szCs w:val="24"/>
          <w:highlight w:val="none"/>
          <w:lang w:val="en-US" w:eastAsia="zh-CN"/>
        </w:rPr>
        <w:t>363.6万元</w:t>
      </w:r>
      <w:r>
        <w:rPr>
          <w:rFonts w:hint="eastAsia" w:ascii="宋体" w:hAnsi="宋体" w:eastAsia="宋体" w:cs="宋体"/>
          <w:color w:val="auto"/>
          <w:kern w:val="0"/>
          <w:sz w:val="24"/>
          <w:szCs w:val="24"/>
          <w:highlight w:val="none"/>
        </w:rPr>
        <w:t>。</w:t>
      </w:r>
    </w:p>
    <w:p w14:paraId="37DA070A">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2.投标人的投标报价不得超出最高投标限价</w:t>
      </w:r>
      <w:r>
        <w:rPr>
          <w:rFonts w:hint="eastAsia" w:ascii="宋体" w:hAnsi="宋体" w:cs="宋体"/>
          <w:color w:val="auto"/>
          <w:kern w:val="0"/>
          <w:sz w:val="24"/>
          <w:szCs w:val="24"/>
          <w:highlight w:val="none"/>
          <w:lang w:val="en-US" w:eastAsia="zh-CN"/>
        </w:rPr>
        <w:t>单价</w:t>
      </w:r>
      <w:r>
        <w:rPr>
          <w:rFonts w:hint="eastAsia" w:ascii="宋体" w:hAnsi="宋体" w:eastAsia="宋体" w:cs="宋体"/>
          <w:color w:val="auto"/>
          <w:kern w:val="0"/>
          <w:sz w:val="24"/>
          <w:szCs w:val="24"/>
          <w:highlight w:val="none"/>
        </w:rPr>
        <w:t>人民币</w:t>
      </w:r>
      <w:r>
        <w:rPr>
          <w:rFonts w:hint="eastAsia" w:ascii="宋体" w:hAnsi="宋体" w:cs="宋体"/>
          <w:color w:val="auto"/>
          <w:kern w:val="0"/>
          <w:sz w:val="24"/>
          <w:szCs w:val="24"/>
          <w:highlight w:val="none"/>
          <w:lang w:val="en-US" w:eastAsia="zh-CN"/>
        </w:rPr>
        <w:t>2.02</w:t>
      </w:r>
      <w:r>
        <w:rPr>
          <w:rFonts w:hint="eastAsia" w:ascii="宋体" w:hAnsi="宋体" w:eastAsia="宋体" w:cs="宋体"/>
          <w:color w:val="auto"/>
          <w:kern w:val="0"/>
          <w:sz w:val="24"/>
          <w:szCs w:val="24"/>
          <w:highlight w:val="none"/>
        </w:rPr>
        <w:t>元/吨，实际装船服务量具体以招标人需求</w:t>
      </w:r>
      <w:r>
        <w:rPr>
          <w:rFonts w:hint="eastAsia" w:ascii="宋体" w:hAnsi="宋体" w:cs="宋体"/>
          <w:color w:val="auto"/>
          <w:kern w:val="0"/>
          <w:sz w:val="24"/>
          <w:szCs w:val="24"/>
          <w:highlight w:val="none"/>
          <w:lang w:val="en-US" w:eastAsia="zh-CN"/>
        </w:rPr>
        <w:t>为准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4"/>
          <w:szCs w:val="24"/>
          <w:highlight w:val="none"/>
        </w:rPr>
        <w:t>最终</w:t>
      </w:r>
      <w:r>
        <w:rPr>
          <w:rFonts w:hint="eastAsia" w:ascii="宋体" w:hAnsi="宋体" w:cs="宋体"/>
          <w:color w:val="auto"/>
          <w:kern w:val="0"/>
          <w:sz w:val="24"/>
          <w:szCs w:val="24"/>
          <w:highlight w:val="none"/>
          <w:lang w:val="en-US" w:eastAsia="zh-CN"/>
        </w:rPr>
        <w:t>合同结算总价</w:t>
      </w:r>
      <w:r>
        <w:rPr>
          <w:rFonts w:hint="eastAsia" w:ascii="宋体" w:hAnsi="宋体" w:eastAsia="宋体" w:cs="宋体"/>
          <w:color w:val="auto"/>
          <w:kern w:val="0"/>
          <w:sz w:val="24"/>
          <w:szCs w:val="24"/>
          <w:highlight w:val="none"/>
        </w:rPr>
        <w:t>按照不超过</w:t>
      </w:r>
      <w:bookmarkStart w:id="97" w:name="OLE_LINK13"/>
      <w:r>
        <w:rPr>
          <w:rFonts w:hint="eastAsia" w:ascii="宋体" w:hAnsi="宋体" w:cs="宋体"/>
          <w:color w:val="auto"/>
          <w:kern w:val="0"/>
          <w:sz w:val="24"/>
          <w:szCs w:val="24"/>
          <w:highlight w:val="none"/>
          <w:lang w:val="en-US" w:eastAsia="zh-CN"/>
        </w:rPr>
        <w:t>招标阶段最高投标限价人民币</w:t>
      </w:r>
      <w:r>
        <w:rPr>
          <w:rFonts w:hint="eastAsia" w:ascii="宋体" w:hAnsi="宋体" w:cs="宋体"/>
          <w:color w:val="auto"/>
          <w:kern w:val="0"/>
          <w:sz w:val="24"/>
          <w:szCs w:val="24"/>
          <w:highlight w:val="none"/>
          <w:lang w:eastAsia="zh-CN"/>
        </w:rPr>
        <w:t>363.6</w:t>
      </w:r>
      <w:r>
        <w:rPr>
          <w:rFonts w:hint="eastAsia" w:ascii="宋体" w:hAnsi="宋体" w:eastAsia="宋体" w:cs="宋体"/>
          <w:color w:val="auto"/>
          <w:kern w:val="0"/>
          <w:sz w:val="24"/>
          <w:szCs w:val="24"/>
          <w:highlight w:val="none"/>
        </w:rPr>
        <w:t>万元控制</w:t>
      </w:r>
      <w:bookmarkEnd w:id="97"/>
      <w:r>
        <w:rPr>
          <w:rFonts w:hint="eastAsia" w:ascii="宋体" w:hAnsi="宋体" w:eastAsia="宋体" w:cs="宋体"/>
          <w:color w:val="auto"/>
          <w:kern w:val="0"/>
          <w:sz w:val="24"/>
          <w:szCs w:val="24"/>
          <w:highlight w:val="none"/>
        </w:rPr>
        <w:t>。否则其报价将作无效报价处理。</w:t>
      </w:r>
    </w:p>
    <w:p w14:paraId="6B00A19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 xml:space="preserve"> 合同价及付款方式</w:t>
      </w:r>
    </w:p>
    <w:p w14:paraId="05E8702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1．本</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lang w:val="en-US" w:eastAsia="zh-CN"/>
        </w:rPr>
        <w:t>装卸服务费</w:t>
      </w:r>
      <w:r>
        <w:rPr>
          <w:rFonts w:hint="eastAsia" w:ascii="宋体" w:hAnsi="宋体" w:eastAsia="宋体" w:cs="宋体"/>
          <w:bCs/>
          <w:color w:val="auto"/>
          <w:sz w:val="24"/>
          <w:szCs w:val="24"/>
          <w:highlight w:val="none"/>
        </w:rPr>
        <w:t>含税</w:t>
      </w:r>
      <w:r>
        <w:rPr>
          <w:rFonts w:hint="eastAsia" w:ascii="宋体" w:hAnsi="宋体" w:eastAsia="宋体" w:cs="宋体"/>
          <w:bCs/>
          <w:color w:val="auto"/>
          <w:sz w:val="24"/>
          <w:szCs w:val="24"/>
          <w:highlight w:val="none"/>
          <w:lang w:val="en-US" w:eastAsia="zh-CN"/>
        </w:rPr>
        <w:t>综合单</w:t>
      </w:r>
      <w:r>
        <w:rPr>
          <w:rFonts w:hint="eastAsia" w:ascii="宋体" w:hAnsi="宋体" w:eastAsia="宋体" w:cs="宋体"/>
          <w:color w:val="auto"/>
          <w:kern w:val="0"/>
          <w:sz w:val="24"/>
          <w:szCs w:val="24"/>
          <w:highlight w:val="none"/>
          <w:lang w:val="en-US"/>
        </w:rPr>
        <w:t>价</w:t>
      </w:r>
    </w:p>
    <w:p w14:paraId="132EB30E">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每吨含税综合单价为</w:t>
      </w:r>
      <w:r>
        <w:rPr>
          <w:rFonts w:hint="eastAsia" w:ascii="宋体" w:hAnsi="宋体" w:eastAsia="宋体" w:cs="宋体"/>
          <w:color w:val="auto"/>
          <w:kern w:val="0"/>
          <w:sz w:val="24"/>
          <w:szCs w:val="24"/>
          <w:highlight w:val="none"/>
        </w:rPr>
        <w:t>人民币</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3F7EF6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本项目</w:t>
      </w:r>
      <w:r>
        <w:rPr>
          <w:rFonts w:hint="eastAsia" w:ascii="宋体" w:hAnsi="宋体" w:eastAsia="宋体" w:cs="宋体"/>
          <w:color w:val="auto"/>
          <w:kern w:val="0"/>
          <w:sz w:val="24"/>
          <w:szCs w:val="24"/>
          <w:highlight w:val="none"/>
        </w:rPr>
        <w:t>涉及合同价款处无特别约定的均为含税价</w:t>
      </w:r>
      <w:r>
        <w:rPr>
          <w:rFonts w:hint="eastAsia" w:ascii="宋体" w:hAnsi="宋体" w:eastAsia="宋体" w:cs="宋体"/>
          <w:color w:val="auto"/>
          <w:kern w:val="0"/>
          <w:sz w:val="24"/>
          <w:szCs w:val="24"/>
          <w:highlight w:val="none"/>
          <w:lang w:eastAsia="zh-CN"/>
        </w:rPr>
        <w:t>，本合同价格包含现行增值税税率【</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税率调整后，</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应在政策生效前【</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】日书面通知</w:t>
      </w:r>
      <w:r>
        <w:rPr>
          <w:rFonts w:hint="eastAsia" w:ascii="宋体" w:hAnsi="宋体" w:eastAsia="宋体" w:cs="宋体"/>
          <w:color w:val="auto"/>
          <w:kern w:val="0"/>
          <w:sz w:val="24"/>
          <w:szCs w:val="24"/>
          <w:highlight w:val="none"/>
          <w:lang w:val="en-US" w:eastAsia="zh-CN"/>
        </w:rPr>
        <w:t>招标人</w:t>
      </w:r>
      <w:r>
        <w:rPr>
          <w:rFonts w:hint="eastAsia" w:ascii="宋体" w:hAnsi="宋体" w:eastAsia="宋体" w:cs="宋体"/>
          <w:color w:val="auto"/>
          <w:kern w:val="0"/>
          <w:sz w:val="24"/>
          <w:szCs w:val="24"/>
          <w:highlight w:val="none"/>
        </w:rPr>
        <w:t>，并附官方政策文件。</w:t>
      </w:r>
    </w:p>
    <w:p w14:paraId="7CBCD5CD">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本项目</w:t>
      </w: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lang w:val="en-US" w:eastAsia="zh-CN"/>
        </w:rPr>
        <w:t>综合单</w:t>
      </w:r>
      <w:r>
        <w:rPr>
          <w:rFonts w:hint="eastAsia" w:ascii="宋体" w:hAnsi="宋体" w:eastAsia="宋体" w:cs="宋体"/>
          <w:color w:val="auto"/>
          <w:sz w:val="24"/>
          <w:szCs w:val="24"/>
          <w:highlight w:val="none"/>
        </w:rPr>
        <w:t>价包干形式，包括但不限于装卸船舶设备改装费用、能源费用，人工费、安全管理费、保险费、主管部门咨询费、审批手续费用、工作人员交通差旅费、税费、利润，以及履行</w:t>
      </w:r>
      <w:r>
        <w:rPr>
          <w:rFonts w:hint="eastAsia" w:ascii="宋体" w:hAnsi="宋体" w:cs="宋体"/>
          <w:color w:val="auto"/>
          <w:sz w:val="24"/>
          <w:szCs w:val="24"/>
          <w:highlight w:val="none"/>
          <w:lang w:eastAsia="zh-CN"/>
        </w:rPr>
        <w:t>本项目</w:t>
      </w:r>
      <w:r>
        <w:rPr>
          <w:rFonts w:hint="eastAsia" w:ascii="宋体" w:hAnsi="宋体" w:eastAsia="宋体" w:cs="宋体"/>
          <w:color w:val="auto"/>
          <w:sz w:val="24"/>
          <w:szCs w:val="24"/>
          <w:highlight w:val="none"/>
        </w:rPr>
        <w:t>项下全部义务的一切费用。除双方另有约定外，</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无须向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支付其他任何费用。</w:t>
      </w:r>
    </w:p>
    <w:p w14:paraId="570F7368">
      <w:pPr>
        <w:pStyle w:val="40"/>
        <w:spacing w:line="360" w:lineRule="auto"/>
        <w:ind w:left="0" w:leftChars="0" w:firstLine="480" w:firstLineChars="2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本项目服务费计费方式根据月度装卸数量计收服务费</w:t>
      </w:r>
      <w:r>
        <w:rPr>
          <w:rFonts w:hint="eastAsia" w:ascii="宋体" w:hAnsi="宋体" w:eastAsia="宋体" w:cs="宋体"/>
          <w:color w:val="auto"/>
          <w:kern w:val="2"/>
          <w:sz w:val="24"/>
          <w:szCs w:val="24"/>
          <w:highlight w:val="none"/>
          <w:u w:val="none"/>
          <w:lang w:val="en-US" w:eastAsia="zh-CN" w:bidi="ar-SA"/>
        </w:rPr>
        <w:t>。</w:t>
      </w:r>
    </w:p>
    <w:p w14:paraId="457E859F">
      <w:pPr>
        <w:keepNext w:val="0"/>
        <w:keepLines w:val="0"/>
        <w:pageBreakBefore w:val="0"/>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付款方式：</w:t>
      </w:r>
      <w:r>
        <w:rPr>
          <w:rFonts w:hint="eastAsia" w:ascii="宋体" w:hAnsi="宋体" w:eastAsia="宋体" w:cs="宋体"/>
          <w:color w:val="auto"/>
          <w:kern w:val="0"/>
          <w:sz w:val="24"/>
          <w:szCs w:val="24"/>
          <w:highlight w:val="none"/>
          <w:lang w:val="en-US" w:eastAsia="zh-CN"/>
        </w:rPr>
        <w:t>每月15日之前核对上月出货数量，双方确认数量后30</w:t>
      </w:r>
      <w:r>
        <w:rPr>
          <w:rFonts w:hint="eastAsia" w:ascii="宋体" w:hAnsi="宋体" w:cs="宋体"/>
          <w:color w:val="auto"/>
          <w:kern w:val="0"/>
          <w:sz w:val="24"/>
          <w:szCs w:val="24"/>
          <w:highlight w:val="none"/>
          <w:lang w:val="en-US" w:eastAsia="zh-CN"/>
        </w:rPr>
        <w:t>个</w:t>
      </w:r>
      <w:r>
        <w:rPr>
          <w:rFonts w:hint="eastAsia" w:ascii="宋体" w:hAnsi="宋体" w:eastAsia="宋体" w:cs="宋体"/>
          <w:color w:val="auto"/>
          <w:kern w:val="0"/>
          <w:sz w:val="24"/>
          <w:szCs w:val="24"/>
          <w:highlight w:val="none"/>
          <w:lang w:val="en-US" w:eastAsia="zh-CN"/>
        </w:rPr>
        <w:t>日历日内支付</w:t>
      </w:r>
      <w:r>
        <w:rPr>
          <w:rFonts w:hint="eastAsia" w:ascii="宋体" w:hAnsi="宋体" w:cs="宋体"/>
          <w:color w:val="auto"/>
          <w:kern w:val="0"/>
          <w:sz w:val="24"/>
          <w:szCs w:val="24"/>
          <w:highlight w:val="none"/>
          <w:lang w:val="en-US" w:eastAsia="zh-CN"/>
        </w:rPr>
        <w:t>上月的</w:t>
      </w:r>
      <w:r>
        <w:rPr>
          <w:rFonts w:hint="eastAsia" w:ascii="宋体" w:hAnsi="宋体" w:eastAsia="宋体" w:cs="宋体"/>
          <w:color w:val="auto"/>
          <w:kern w:val="0"/>
          <w:sz w:val="24"/>
          <w:szCs w:val="24"/>
          <w:highlight w:val="none"/>
          <w:lang w:val="en-US" w:eastAsia="zh-CN"/>
        </w:rPr>
        <w:t>服务费用。</w:t>
      </w:r>
    </w:p>
    <w:p w14:paraId="6E2E62A9">
      <w:pPr>
        <w:keepNext w:val="0"/>
        <w:keepLines w:val="0"/>
        <w:pageBreakBefore w:val="0"/>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付款条件：付款前须向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b w:val="0"/>
          <w:bCs w:val="0"/>
          <w:color w:val="auto"/>
          <w:sz w:val="24"/>
          <w:szCs w:val="24"/>
          <w:highlight w:val="none"/>
        </w:rPr>
        <w:t>提供书面付款申请，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服务结算单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和相应金额</w:t>
      </w:r>
      <w:r>
        <w:rPr>
          <w:rFonts w:hint="eastAsia" w:ascii="宋体" w:hAnsi="宋体" w:eastAsia="宋体" w:cs="宋体"/>
          <w:color w:val="auto"/>
          <w:sz w:val="24"/>
          <w:szCs w:val="24"/>
          <w:highlight w:val="none"/>
        </w:rPr>
        <w:t>且符合</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所在地税务主管机关要求的增值税专用发票，否则</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可拒付并不承担任何责任。</w:t>
      </w:r>
    </w:p>
    <w:p w14:paraId="0E392BC3">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 xml:space="preserve"> 合同</w:t>
      </w:r>
      <w:r>
        <w:rPr>
          <w:rFonts w:hint="eastAsia" w:ascii="宋体" w:hAnsi="宋体" w:eastAsia="宋体" w:cs="宋体"/>
          <w:b/>
          <w:bCs/>
          <w:color w:val="auto"/>
          <w:kern w:val="0"/>
          <w:sz w:val="24"/>
          <w:szCs w:val="24"/>
          <w:highlight w:val="none"/>
          <w:lang w:val="en-US" w:eastAsia="zh-CN"/>
        </w:rPr>
        <w:t>终止条款</w:t>
      </w:r>
    </w:p>
    <w:p w14:paraId="6C6456D4">
      <w:pPr>
        <w:adjustRightInd w:val="0"/>
        <w:snapToGrid w:val="0"/>
        <w:spacing w:line="360" w:lineRule="auto"/>
        <w:ind w:firstLine="480" w:firstLineChars="200"/>
        <w:rPr>
          <w:rFonts w:hint="eastAsia" w:ascii="宋体" w:hAnsi="宋体" w:cs="宋体"/>
          <w:color w:val="auto"/>
          <w:sz w:val="24"/>
          <w:szCs w:val="24"/>
          <w:highlight w:val="none"/>
          <w:lang w:val="en-US" w:eastAsia="zh-CN"/>
        </w:rPr>
      </w:pPr>
      <w:bookmarkStart w:id="98" w:name="_Toc31918"/>
      <w:r>
        <w:rPr>
          <w:rFonts w:hint="eastAsia" w:ascii="宋体" w:hAnsi="宋体" w:cs="宋体"/>
          <w:color w:val="auto"/>
          <w:sz w:val="24"/>
          <w:szCs w:val="24"/>
          <w:highlight w:val="none"/>
          <w:lang w:val="en-US" w:eastAsia="zh-CN"/>
        </w:rPr>
        <w:t>双方一致同意，当合同履行过程中出现</w:t>
      </w:r>
      <w:r>
        <w:rPr>
          <w:rFonts w:ascii="Arial" w:hAnsi="Arial" w:eastAsia="宋体" w:cs="Arial"/>
          <w:i w:val="0"/>
          <w:iCs w:val="0"/>
          <w:caps w:val="0"/>
          <w:color w:val="auto"/>
          <w:spacing w:val="0"/>
          <w:sz w:val="24"/>
          <w:szCs w:val="24"/>
          <w:highlight w:val="none"/>
          <w:shd w:val="clear" w:fill="F8F8F8"/>
        </w:rPr>
        <w:t>下列情形之一的</w:t>
      </w:r>
      <w:r>
        <w:rPr>
          <w:rFonts w:hint="eastAsia" w:ascii="宋体" w:hAnsi="宋体" w:cs="宋体"/>
          <w:color w:val="auto"/>
          <w:sz w:val="24"/>
          <w:szCs w:val="24"/>
          <w:highlight w:val="none"/>
          <w:lang w:val="en-US" w:eastAsia="zh-CN"/>
        </w:rPr>
        <w:t>，本服务合同自动终止，但不影响合同终止前该合同权利义务等内容的履行。</w:t>
      </w:r>
    </w:p>
    <w:p w14:paraId="4496198D">
      <w:pPr>
        <w:numPr>
          <w:ilvl w:val="0"/>
          <w:numId w:val="0"/>
        </w:num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szCs w:val="24"/>
          <w:highlight w:val="none"/>
          <w:lang w:val="en-US" w:eastAsia="zh-CN"/>
        </w:rPr>
        <w:t>本合同结算总价达到本项目招标文件中载明的最高投标限价人民币363.6万元；</w:t>
      </w:r>
    </w:p>
    <w:p w14:paraId="2379033B">
      <w:pPr>
        <w:numPr>
          <w:ilvl w:val="0"/>
          <w:numId w:val="0"/>
        </w:numPr>
        <w:adjustRightInd w:val="0"/>
        <w:snapToGrid w:val="0"/>
        <w:spacing w:line="360" w:lineRule="auto"/>
        <w:ind w:firstLine="480" w:firstLineChars="200"/>
        <w:rPr>
          <w:color w:val="auto"/>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szCs w:val="24"/>
          <w:highlight w:val="none"/>
          <w:lang w:val="en-US" w:eastAsia="zh-CN"/>
        </w:rPr>
        <w:t>本合同约定的服务期限届满。</w:t>
      </w:r>
    </w:p>
    <w:p w14:paraId="33D0D0E0">
      <w:pPr>
        <w:pStyle w:val="27"/>
        <w:shd w:val="clear" w:color="auto" w:fill="auto"/>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3.因政府部门原因德庆九市作业区可拆装式砂石装船设备项目2号泊位停止货物出运。</w:t>
      </w:r>
    </w:p>
    <w:p w14:paraId="7EEA1FED">
      <w:pPr>
        <w:pStyle w:val="27"/>
        <w:shd w:val="clear" w:color="auto" w:fill="auto"/>
        <w:rPr>
          <w:rFonts w:hint="eastAsia" w:ascii="宋体" w:hAnsi="宋体" w:eastAsia="宋体" w:cs="宋体"/>
          <w:color w:val="auto"/>
          <w:highlight w:val="none"/>
        </w:rPr>
      </w:pPr>
    </w:p>
    <w:p w14:paraId="7856B113">
      <w:pPr>
        <w:pStyle w:val="27"/>
        <w:shd w:val="clear" w:color="auto" w:fill="auto"/>
        <w:rPr>
          <w:rFonts w:hint="eastAsia" w:ascii="宋体" w:hAnsi="宋体" w:eastAsia="宋体" w:cs="宋体"/>
          <w:color w:val="auto"/>
          <w:highlight w:val="none"/>
        </w:rPr>
      </w:pPr>
    </w:p>
    <w:p w14:paraId="2882C971">
      <w:pPr>
        <w:pStyle w:val="27"/>
        <w:shd w:val="clear" w:color="auto" w:fill="auto"/>
        <w:rPr>
          <w:rFonts w:hint="eastAsia" w:ascii="宋体" w:hAnsi="宋体" w:eastAsia="宋体" w:cs="宋体"/>
          <w:color w:val="auto"/>
          <w:highlight w:val="none"/>
        </w:rPr>
      </w:pPr>
    </w:p>
    <w:p w14:paraId="0DB8E89B">
      <w:pPr>
        <w:pStyle w:val="27"/>
        <w:shd w:val="clear" w:color="auto" w:fill="auto"/>
        <w:rPr>
          <w:rFonts w:hint="eastAsia" w:ascii="宋体" w:hAnsi="宋体" w:eastAsia="宋体" w:cs="宋体"/>
          <w:color w:val="auto"/>
          <w:highlight w:val="none"/>
        </w:rPr>
      </w:pPr>
    </w:p>
    <w:p w14:paraId="27780D73">
      <w:pPr>
        <w:pStyle w:val="27"/>
        <w:shd w:val="clear" w:color="auto" w:fill="auto"/>
        <w:rPr>
          <w:rFonts w:hint="eastAsia" w:ascii="宋体" w:hAnsi="宋体" w:eastAsia="宋体" w:cs="宋体"/>
          <w:color w:val="auto"/>
          <w:highlight w:val="none"/>
        </w:rPr>
      </w:pPr>
    </w:p>
    <w:p w14:paraId="29003956">
      <w:pPr>
        <w:pStyle w:val="27"/>
        <w:shd w:val="clear" w:color="auto" w:fill="auto"/>
        <w:rPr>
          <w:rFonts w:hint="eastAsia" w:ascii="宋体" w:hAnsi="宋体" w:eastAsia="宋体" w:cs="宋体"/>
          <w:color w:val="auto"/>
          <w:highlight w:val="none"/>
        </w:rPr>
      </w:pPr>
    </w:p>
    <w:p w14:paraId="145F2B34">
      <w:pPr>
        <w:pStyle w:val="27"/>
        <w:shd w:val="clear" w:color="auto" w:fill="auto"/>
        <w:rPr>
          <w:rFonts w:hint="eastAsia" w:ascii="宋体" w:hAnsi="宋体" w:eastAsia="宋体" w:cs="宋体"/>
          <w:color w:val="auto"/>
          <w:highlight w:val="none"/>
        </w:rPr>
      </w:pPr>
    </w:p>
    <w:p w14:paraId="055640B2">
      <w:pPr>
        <w:pStyle w:val="27"/>
        <w:shd w:val="clear" w:color="auto" w:fill="auto"/>
        <w:rPr>
          <w:rFonts w:hint="eastAsia" w:ascii="宋体" w:hAnsi="宋体" w:eastAsia="宋体" w:cs="宋体"/>
          <w:color w:val="auto"/>
          <w:highlight w:val="none"/>
        </w:rPr>
      </w:pPr>
    </w:p>
    <w:p w14:paraId="2227C9D5">
      <w:pPr>
        <w:pStyle w:val="27"/>
        <w:shd w:val="clear" w:color="auto" w:fill="auto"/>
        <w:rPr>
          <w:rFonts w:hint="eastAsia" w:ascii="宋体" w:hAnsi="宋体" w:eastAsia="宋体" w:cs="宋体"/>
          <w:color w:val="auto"/>
          <w:highlight w:val="none"/>
        </w:rPr>
      </w:pPr>
    </w:p>
    <w:p w14:paraId="4AE0076F">
      <w:pPr>
        <w:pStyle w:val="27"/>
        <w:shd w:val="clear" w:color="auto" w:fill="auto"/>
        <w:rPr>
          <w:rFonts w:hint="eastAsia" w:ascii="宋体" w:hAnsi="宋体" w:eastAsia="宋体" w:cs="宋体"/>
          <w:color w:val="auto"/>
          <w:highlight w:val="none"/>
        </w:rPr>
      </w:pPr>
    </w:p>
    <w:p w14:paraId="7658B548">
      <w:pPr>
        <w:pStyle w:val="27"/>
        <w:shd w:val="clear" w:color="auto" w:fill="auto"/>
        <w:rPr>
          <w:rFonts w:hint="eastAsia" w:ascii="宋体" w:hAnsi="宋体" w:eastAsia="宋体" w:cs="宋体"/>
          <w:color w:val="auto"/>
          <w:highlight w:val="none"/>
        </w:rPr>
      </w:pPr>
    </w:p>
    <w:p w14:paraId="133D5270">
      <w:pPr>
        <w:pStyle w:val="27"/>
        <w:shd w:val="clear" w:color="auto" w:fill="auto"/>
        <w:rPr>
          <w:rFonts w:hint="eastAsia" w:ascii="宋体" w:hAnsi="宋体" w:eastAsia="宋体" w:cs="宋体"/>
          <w:color w:val="auto"/>
          <w:highlight w:val="none"/>
        </w:rPr>
      </w:pPr>
    </w:p>
    <w:p w14:paraId="7D3EFDD1">
      <w:pPr>
        <w:pStyle w:val="27"/>
        <w:shd w:val="clear" w:color="auto" w:fill="auto"/>
        <w:rPr>
          <w:rFonts w:hint="eastAsia" w:ascii="宋体" w:hAnsi="宋体" w:eastAsia="宋体" w:cs="宋体"/>
          <w:color w:val="auto"/>
          <w:highlight w:val="none"/>
        </w:rPr>
      </w:pPr>
    </w:p>
    <w:p w14:paraId="42099C10">
      <w:pPr>
        <w:pStyle w:val="27"/>
        <w:shd w:val="clear" w:color="auto" w:fill="auto"/>
        <w:rPr>
          <w:rFonts w:hint="eastAsia" w:ascii="宋体" w:hAnsi="宋体" w:eastAsia="宋体" w:cs="宋体"/>
          <w:color w:val="auto"/>
          <w:highlight w:val="none"/>
        </w:rPr>
      </w:pPr>
    </w:p>
    <w:p w14:paraId="05A98298">
      <w:pPr>
        <w:pStyle w:val="27"/>
        <w:shd w:val="clear" w:color="auto" w:fill="auto"/>
        <w:rPr>
          <w:rFonts w:hint="eastAsia" w:ascii="宋体" w:hAnsi="宋体" w:eastAsia="宋体" w:cs="宋体"/>
          <w:color w:val="auto"/>
          <w:highlight w:val="none"/>
        </w:rPr>
      </w:pPr>
    </w:p>
    <w:p w14:paraId="3D1916EF">
      <w:pPr>
        <w:pStyle w:val="27"/>
        <w:shd w:val="clear" w:color="auto" w:fill="auto"/>
        <w:rPr>
          <w:rFonts w:hint="eastAsia" w:ascii="宋体" w:hAnsi="宋体" w:eastAsia="宋体" w:cs="宋体"/>
          <w:color w:val="auto"/>
          <w:highlight w:val="none"/>
        </w:rPr>
      </w:pPr>
    </w:p>
    <w:p w14:paraId="54984616">
      <w:pPr>
        <w:pStyle w:val="2"/>
        <w:shd w:val="clear" w:color="auto" w:fill="auto"/>
        <w:spacing w:line="683" w:lineRule="exact"/>
        <w:jc w:val="center"/>
        <w:rPr>
          <w:rFonts w:hint="eastAsia" w:ascii="宋体" w:hAnsi="宋体" w:eastAsia="宋体" w:cs="宋体"/>
          <w:color w:val="auto"/>
          <w:highlight w:val="none"/>
        </w:rPr>
      </w:pPr>
      <w:bookmarkStart w:id="99" w:name="_Toc16954"/>
      <w:r>
        <w:rPr>
          <w:rFonts w:hint="eastAsia" w:ascii="宋体" w:hAnsi="宋体" w:eastAsia="宋体" w:cs="宋体"/>
          <w:color w:val="auto"/>
          <w:highlight w:val="none"/>
        </w:rPr>
        <w:t>第六章  投标文件格式</w:t>
      </w:r>
      <w:bookmarkEnd w:id="98"/>
      <w:bookmarkEnd w:id="99"/>
    </w:p>
    <w:p w14:paraId="15E68696">
      <w:pPr>
        <w:shd w:val="clear" w:color="auto" w:fill="auto"/>
        <w:spacing w:line="683" w:lineRule="exact"/>
        <w:rPr>
          <w:rFonts w:hint="eastAsia" w:ascii="宋体" w:hAnsi="宋体" w:eastAsia="宋体" w:cs="宋体"/>
          <w:color w:val="auto"/>
          <w:highlight w:val="none"/>
        </w:rPr>
        <w:sectPr>
          <w:pgSz w:w="12240" w:h="15840"/>
          <w:pgMar w:top="1420" w:right="1100" w:bottom="1120" w:left="1400" w:header="0" w:footer="841" w:gutter="0"/>
          <w:pgBorders>
            <w:top w:val="none" w:sz="0" w:space="0"/>
            <w:left w:val="none" w:sz="0" w:space="0"/>
            <w:bottom w:val="none" w:sz="0" w:space="0"/>
            <w:right w:val="none" w:sz="0" w:space="0"/>
          </w:pgBorders>
          <w:pgNumType w:fmt="decimal"/>
          <w:cols w:space="720" w:num="1"/>
        </w:sectPr>
      </w:pPr>
    </w:p>
    <w:p w14:paraId="399671BE">
      <w:pPr>
        <w:shd w:val="clear" w:color="auto" w:fill="auto"/>
        <w:tabs>
          <w:tab w:val="left" w:pos="3319"/>
        </w:tabs>
        <w:snapToGrid w:val="0"/>
        <w:spacing w:line="360" w:lineRule="auto"/>
        <w:rPr>
          <w:rFonts w:hint="eastAsia" w:ascii="宋体" w:hAnsi="宋体" w:eastAsia="宋体" w:cs="宋体"/>
          <w:bCs/>
          <w:color w:val="auto"/>
          <w:sz w:val="44"/>
          <w:szCs w:val="36"/>
          <w:highlight w:val="none"/>
          <w:u w:val="single"/>
        </w:rPr>
      </w:pPr>
    </w:p>
    <w:p w14:paraId="35852C52">
      <w:pPr>
        <w:shd w:val="clear" w:color="auto" w:fill="auto"/>
        <w:tabs>
          <w:tab w:val="left" w:pos="3319"/>
        </w:tabs>
        <w:snapToGrid w:val="0"/>
        <w:spacing w:line="360" w:lineRule="auto"/>
        <w:jc w:val="center"/>
        <w:rPr>
          <w:rFonts w:hint="eastAsia" w:ascii="宋体" w:hAnsi="宋体" w:eastAsia="宋体" w:cs="宋体"/>
          <w:color w:val="auto"/>
          <w:sz w:val="36"/>
          <w:szCs w:val="36"/>
          <w:highlight w:val="none"/>
          <w:u w:val="single"/>
          <w:lang w:eastAsia="zh-CN"/>
        </w:rPr>
      </w:pPr>
      <w:r>
        <w:rPr>
          <w:rFonts w:hint="eastAsia" w:ascii="宋体" w:hAnsi="宋体" w:eastAsia="宋体" w:cs="宋体"/>
          <w:color w:val="auto"/>
          <w:sz w:val="36"/>
          <w:szCs w:val="36"/>
          <w:highlight w:val="none"/>
          <w:u w:val="single"/>
        </w:rPr>
        <w:t>项目名称：</w:t>
      </w:r>
      <w:r>
        <w:rPr>
          <w:rFonts w:hint="eastAsia" w:ascii="宋体" w:hAnsi="宋体" w:cs="宋体"/>
          <w:color w:val="auto"/>
          <w:sz w:val="36"/>
          <w:szCs w:val="36"/>
          <w:highlight w:val="none"/>
          <w:u w:val="single"/>
          <w:lang w:eastAsia="zh-CN"/>
        </w:rPr>
        <w:t>肇庆市港口投资发展有限公司德庆九市作业区可拆装式砂石装船设备项目2号泊位装船服务</w:t>
      </w:r>
    </w:p>
    <w:p w14:paraId="3C83DA25">
      <w:pPr>
        <w:pStyle w:val="11"/>
        <w:shd w:val="clear" w:color="auto" w:fill="auto"/>
        <w:rPr>
          <w:rFonts w:hint="eastAsia" w:ascii="宋体" w:hAnsi="宋体" w:eastAsia="宋体" w:cs="宋体"/>
          <w:color w:val="auto"/>
          <w:sz w:val="20"/>
          <w:highlight w:val="none"/>
        </w:rPr>
      </w:pPr>
    </w:p>
    <w:p w14:paraId="69F1ECE8">
      <w:pPr>
        <w:shd w:val="clear" w:color="auto" w:fill="auto"/>
        <w:spacing w:before="209"/>
        <w:jc w:val="center"/>
        <w:rPr>
          <w:rFonts w:hint="eastAsia" w:ascii="宋体" w:hAnsi="宋体" w:eastAsia="宋体" w:cs="宋体"/>
          <w:b/>
          <w:bCs/>
          <w:color w:val="auto"/>
          <w:sz w:val="56"/>
          <w:szCs w:val="32"/>
          <w:highlight w:val="none"/>
        </w:rPr>
      </w:pPr>
    </w:p>
    <w:p w14:paraId="575CB51D">
      <w:pPr>
        <w:shd w:val="clear" w:color="auto" w:fill="auto"/>
        <w:spacing w:before="209"/>
        <w:jc w:val="center"/>
        <w:rPr>
          <w:rFonts w:hint="eastAsia" w:ascii="宋体" w:hAnsi="宋体" w:eastAsia="宋体" w:cs="宋体"/>
          <w:b/>
          <w:bCs/>
          <w:color w:val="auto"/>
          <w:sz w:val="56"/>
          <w:szCs w:val="32"/>
          <w:highlight w:val="none"/>
        </w:rPr>
      </w:pPr>
      <w:r>
        <w:rPr>
          <w:rFonts w:hint="eastAsia" w:ascii="宋体" w:hAnsi="宋体" w:eastAsia="宋体" w:cs="宋体"/>
          <w:b/>
          <w:bCs/>
          <w:color w:val="auto"/>
          <w:sz w:val="56"/>
          <w:szCs w:val="32"/>
          <w:highlight w:val="none"/>
        </w:rPr>
        <w:t>投 标 文 件</w:t>
      </w:r>
    </w:p>
    <w:p w14:paraId="49AD95E6">
      <w:pPr>
        <w:pStyle w:val="11"/>
        <w:shd w:val="clear" w:color="auto" w:fill="auto"/>
        <w:rPr>
          <w:rFonts w:hint="eastAsia" w:ascii="宋体" w:hAnsi="宋体" w:eastAsia="宋体" w:cs="宋体"/>
          <w:color w:val="auto"/>
          <w:sz w:val="44"/>
          <w:highlight w:val="none"/>
        </w:rPr>
      </w:pPr>
    </w:p>
    <w:p w14:paraId="3C02B6B9">
      <w:pPr>
        <w:pStyle w:val="11"/>
        <w:shd w:val="clear" w:color="auto" w:fill="auto"/>
        <w:rPr>
          <w:rFonts w:hint="eastAsia" w:ascii="宋体" w:hAnsi="宋体" w:eastAsia="宋体" w:cs="宋体"/>
          <w:color w:val="auto"/>
          <w:sz w:val="44"/>
          <w:highlight w:val="none"/>
        </w:rPr>
      </w:pPr>
    </w:p>
    <w:p w14:paraId="743EB05E">
      <w:pPr>
        <w:spacing w:line="360" w:lineRule="auto"/>
        <w:jc w:val="center"/>
        <w:rPr>
          <w:rFonts w:hint="eastAsia" w:ascii="宋体" w:hAnsi="宋体" w:eastAsia="宋体" w:cs="宋体"/>
          <w:color w:val="auto"/>
          <w:sz w:val="44"/>
          <w:szCs w:val="44"/>
          <w:highlight w:val="none"/>
        </w:rPr>
      </w:pPr>
    </w:p>
    <w:p w14:paraId="6445D160">
      <w:pPr>
        <w:pStyle w:val="11"/>
        <w:shd w:val="clear" w:color="auto" w:fill="auto"/>
        <w:rPr>
          <w:rFonts w:hint="eastAsia" w:ascii="宋体" w:hAnsi="宋体" w:eastAsia="宋体" w:cs="宋体"/>
          <w:color w:val="auto"/>
          <w:sz w:val="44"/>
          <w:highlight w:val="none"/>
        </w:rPr>
      </w:pPr>
    </w:p>
    <w:p w14:paraId="08A4F823">
      <w:pPr>
        <w:pStyle w:val="11"/>
        <w:shd w:val="clear" w:color="auto" w:fill="auto"/>
        <w:rPr>
          <w:rFonts w:hint="eastAsia" w:ascii="宋体" w:hAnsi="宋体" w:eastAsia="宋体" w:cs="宋体"/>
          <w:color w:val="auto"/>
          <w:sz w:val="44"/>
          <w:highlight w:val="none"/>
        </w:rPr>
      </w:pPr>
    </w:p>
    <w:p w14:paraId="0E02D6EE">
      <w:pPr>
        <w:pStyle w:val="11"/>
        <w:shd w:val="clear" w:color="auto" w:fill="auto"/>
        <w:rPr>
          <w:rFonts w:hint="eastAsia" w:ascii="宋体" w:hAnsi="宋体" w:eastAsia="宋体" w:cs="宋体"/>
          <w:color w:val="auto"/>
          <w:sz w:val="44"/>
          <w:highlight w:val="none"/>
        </w:rPr>
      </w:pPr>
    </w:p>
    <w:p w14:paraId="11FE2A13">
      <w:pPr>
        <w:pStyle w:val="11"/>
        <w:shd w:val="clear" w:color="auto" w:fill="auto"/>
        <w:spacing w:before="9"/>
        <w:rPr>
          <w:rFonts w:hint="eastAsia" w:ascii="宋体" w:hAnsi="宋体" w:eastAsia="宋体" w:cs="宋体"/>
          <w:color w:val="auto"/>
          <w:sz w:val="39"/>
          <w:highlight w:val="none"/>
        </w:rPr>
      </w:pPr>
    </w:p>
    <w:p w14:paraId="4AB52541">
      <w:pPr>
        <w:shd w:val="clear" w:color="auto" w:fill="auto"/>
        <w:tabs>
          <w:tab w:val="left" w:pos="7262"/>
          <w:tab w:val="left" w:pos="7855"/>
        </w:tabs>
        <w:spacing w:line="364" w:lineRule="auto"/>
        <w:ind w:left="1521" w:right="761"/>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cs="宋体"/>
          <w:color w:val="auto"/>
          <w:sz w:val="28"/>
          <w:highlight w:val="none"/>
          <w:lang w:val="en-US" w:eastAsia="zh-CN"/>
        </w:rPr>
        <w:t>名称</w:t>
      </w:r>
      <w:r>
        <w:rPr>
          <w:rFonts w:hint="eastAsia" w:ascii="宋体" w:hAnsi="宋体" w:eastAsia="宋体" w:cs="宋体"/>
          <w:color w:val="auto"/>
          <w:sz w:val="28"/>
          <w:highlight w:val="none"/>
        </w:rPr>
        <w:t>（盖</w:t>
      </w:r>
      <w:r>
        <w:rPr>
          <w:rFonts w:hint="eastAsia" w:ascii="宋体" w:hAnsi="宋体" w:cs="宋体"/>
          <w:color w:val="auto"/>
          <w:spacing w:val="-3"/>
          <w:sz w:val="28"/>
          <w:highlight w:val="none"/>
          <w:lang w:eastAsia="zh-CN"/>
        </w:rPr>
        <w:t>单位公章</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rPr>
        <w:tab/>
      </w:r>
    </w:p>
    <w:p w14:paraId="144FA33A">
      <w:pPr>
        <w:pStyle w:val="11"/>
        <w:shd w:val="clear" w:color="auto" w:fill="auto"/>
        <w:spacing w:before="5"/>
        <w:rPr>
          <w:rFonts w:hint="eastAsia" w:ascii="宋体" w:hAnsi="宋体" w:eastAsia="宋体" w:cs="宋体"/>
          <w:color w:val="auto"/>
          <w:sz w:val="23"/>
          <w:highlight w:val="none"/>
        </w:rPr>
      </w:pPr>
    </w:p>
    <w:p w14:paraId="3E659F02">
      <w:pPr>
        <w:shd w:val="clear" w:color="auto" w:fill="auto"/>
        <w:tabs>
          <w:tab w:val="left" w:pos="3931"/>
          <w:tab w:val="left" w:pos="4946"/>
          <w:tab w:val="left" w:pos="5962"/>
        </w:tabs>
        <w:spacing w:before="61"/>
        <w:ind w:left="3197"/>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rPr>
        <w:t>年</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rPr>
        <w:t>月</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rPr>
        <w:t>日</w:t>
      </w:r>
    </w:p>
    <w:p w14:paraId="263C06B3">
      <w:pPr>
        <w:shd w:val="clear" w:color="auto" w:fill="auto"/>
        <w:rPr>
          <w:rFonts w:hint="eastAsia" w:ascii="宋体" w:hAnsi="宋体" w:eastAsia="宋体" w:cs="宋体"/>
          <w:color w:val="auto"/>
          <w:sz w:val="28"/>
          <w:highlight w:val="none"/>
        </w:rPr>
        <w:sectPr>
          <w:pgSz w:w="12240" w:h="15840"/>
          <w:pgMar w:top="1500" w:right="1100" w:bottom="1120" w:left="1400" w:header="0" w:footer="841" w:gutter="0"/>
          <w:pgBorders>
            <w:top w:val="none" w:sz="0" w:space="0"/>
            <w:left w:val="none" w:sz="0" w:space="0"/>
            <w:bottom w:val="none" w:sz="0" w:space="0"/>
            <w:right w:val="none" w:sz="0" w:space="0"/>
          </w:pgBorders>
          <w:pgNumType w:fmt="decimal"/>
          <w:cols w:space="720" w:num="1"/>
        </w:sectPr>
      </w:pPr>
    </w:p>
    <w:p w14:paraId="063D251A">
      <w:pPr>
        <w:shd w:val="clear" w:color="auto" w:fill="auto"/>
        <w:spacing w:line="360" w:lineRule="auto"/>
        <w:ind w:right="297"/>
        <w:jc w:val="center"/>
        <w:rPr>
          <w:rFonts w:hint="eastAsia" w:ascii="宋体" w:hAnsi="宋体" w:eastAsia="宋体" w:cs="宋体"/>
          <w:color w:val="auto"/>
          <w:sz w:val="32"/>
          <w:szCs w:val="32"/>
          <w:highlight w:val="none"/>
        </w:rPr>
      </w:pPr>
      <w:bookmarkStart w:id="100" w:name="_bookmark146"/>
      <w:bookmarkEnd w:id="100"/>
      <w:r>
        <w:rPr>
          <w:rFonts w:hint="eastAsia" w:ascii="宋体" w:hAnsi="宋体" w:eastAsia="宋体" w:cs="宋体"/>
          <w:color w:val="auto"/>
          <w:sz w:val="32"/>
          <w:szCs w:val="32"/>
          <w:highlight w:val="none"/>
        </w:rPr>
        <w:t>目录</w:t>
      </w:r>
    </w:p>
    <w:p w14:paraId="01FFF360">
      <w:pPr>
        <w:pStyle w:val="34"/>
        <w:spacing w:line="360" w:lineRule="auto"/>
        <w:rPr>
          <w:rFonts w:hint="eastAsia" w:ascii="宋体" w:hAnsi="宋体" w:eastAsia="宋体" w:cs="宋体"/>
          <w:color w:val="auto"/>
          <w:highlight w:val="none"/>
        </w:rPr>
      </w:pPr>
    </w:p>
    <w:p w14:paraId="2433019C">
      <w:pPr>
        <w:pStyle w:val="11"/>
        <w:shd w:val="clear" w:color="auto" w:fill="auto"/>
        <w:spacing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（注：为方便评审和查阅，投标文件按照以下目录顺序编制页码。）</w:t>
      </w:r>
    </w:p>
    <w:p w14:paraId="0529B111">
      <w:pPr>
        <w:pStyle w:val="11"/>
        <w:numPr>
          <w:ilvl w:val="0"/>
          <w:numId w:val="16"/>
        </w:numPr>
        <w:shd w:val="clear" w:color="auto" w:fill="auto"/>
        <w:adjustRightInd w:val="0"/>
        <w:spacing w:before="7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商务技术评审索引表</w:t>
      </w:r>
    </w:p>
    <w:p w14:paraId="339B99EB">
      <w:pPr>
        <w:pStyle w:val="11"/>
        <w:numPr>
          <w:ilvl w:val="0"/>
          <w:numId w:val="16"/>
        </w:numPr>
        <w:shd w:val="clear" w:color="auto" w:fill="auto"/>
        <w:adjustRightInd w:val="0"/>
        <w:spacing w:before="7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00111F97">
      <w:pPr>
        <w:pStyle w:val="11"/>
        <w:numPr>
          <w:ilvl w:val="0"/>
          <w:numId w:val="16"/>
        </w:numPr>
        <w:shd w:val="clear" w:color="auto" w:fill="auto"/>
        <w:adjustRightInd w:val="0"/>
        <w:spacing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法定代表人身份证明及授权委托书</w:t>
      </w:r>
      <w:r>
        <w:rPr>
          <w:rFonts w:hint="eastAsia" w:ascii="宋体" w:hAnsi="宋体" w:eastAsia="宋体" w:cs="宋体"/>
          <w:color w:val="auto"/>
          <w:spacing w:val="-2"/>
          <w:sz w:val="24"/>
          <w:szCs w:val="24"/>
          <w:highlight w:val="none"/>
        </w:rPr>
        <w:t>（注：投标文件由法定代表人签字</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kern w:val="0"/>
          <w:sz w:val="24"/>
          <w:szCs w:val="24"/>
          <w:highlight w:val="none"/>
          <w:lang w:val="en-US" w:eastAsia="zh-CN"/>
        </w:rPr>
        <w:t>或</w:t>
      </w:r>
      <w:r>
        <w:rPr>
          <w:rFonts w:hint="eastAsia" w:ascii="宋体" w:hAnsi="宋体" w:cs="宋体"/>
          <w:color w:val="auto"/>
          <w:spacing w:val="2"/>
          <w:kern w:val="0"/>
          <w:sz w:val="24"/>
          <w:szCs w:val="24"/>
          <w:highlight w:val="none"/>
          <w:lang w:val="en-US" w:eastAsia="zh-CN"/>
        </w:rPr>
        <w:t>盖私章</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sz w:val="24"/>
          <w:szCs w:val="24"/>
          <w:highlight w:val="none"/>
        </w:rPr>
        <w:t>的，应附法定代表人身份证明；投标文件由被授权人签字</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kern w:val="0"/>
          <w:sz w:val="24"/>
          <w:szCs w:val="24"/>
          <w:highlight w:val="none"/>
          <w:lang w:val="en-US" w:eastAsia="zh-CN"/>
        </w:rPr>
        <w:t>或</w:t>
      </w:r>
      <w:r>
        <w:rPr>
          <w:rFonts w:hint="eastAsia" w:ascii="宋体" w:hAnsi="宋体" w:cs="宋体"/>
          <w:color w:val="auto"/>
          <w:spacing w:val="2"/>
          <w:kern w:val="0"/>
          <w:sz w:val="24"/>
          <w:szCs w:val="24"/>
          <w:highlight w:val="none"/>
          <w:lang w:val="en-US" w:eastAsia="zh-CN"/>
        </w:rPr>
        <w:t>盖私章</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sz w:val="24"/>
          <w:szCs w:val="24"/>
          <w:highlight w:val="none"/>
        </w:rPr>
        <w:t>的，应附法定代表人身份证明及授权委托书）</w:t>
      </w:r>
    </w:p>
    <w:p w14:paraId="7DC4A707">
      <w:pPr>
        <w:pStyle w:val="11"/>
        <w:numPr>
          <w:ilvl w:val="0"/>
          <w:numId w:val="16"/>
        </w:numPr>
        <w:shd w:val="clear" w:color="auto" w:fill="auto"/>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p w14:paraId="7A779C8F">
      <w:pPr>
        <w:pStyle w:val="11"/>
        <w:numPr>
          <w:ilvl w:val="0"/>
          <w:numId w:val="16"/>
        </w:numPr>
        <w:shd w:val="clear" w:color="auto" w:fill="auto"/>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商务和技术偏差表</w:t>
      </w:r>
    </w:p>
    <w:p w14:paraId="2B4DC984">
      <w:pPr>
        <w:pStyle w:val="11"/>
        <w:numPr>
          <w:ilvl w:val="0"/>
          <w:numId w:val="16"/>
        </w:numPr>
        <w:shd w:val="clear" w:color="auto" w:fill="auto"/>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资格审查资料</w:t>
      </w:r>
    </w:p>
    <w:p w14:paraId="3DB4E436">
      <w:pPr>
        <w:pStyle w:val="11"/>
        <w:numPr>
          <w:ilvl w:val="0"/>
          <w:numId w:val="16"/>
        </w:numPr>
        <w:shd w:val="clear" w:color="auto" w:fill="auto"/>
        <w:adjustRightIn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商务技术</w:t>
      </w:r>
      <w:r>
        <w:rPr>
          <w:rFonts w:hint="eastAsia" w:ascii="宋体" w:hAnsi="宋体" w:eastAsia="宋体" w:cs="宋体"/>
          <w:color w:val="auto"/>
          <w:sz w:val="24"/>
          <w:szCs w:val="24"/>
          <w:highlight w:val="none"/>
        </w:rPr>
        <w:t>资料</w:t>
      </w:r>
    </w:p>
    <w:p w14:paraId="36766B9E">
      <w:pPr>
        <w:pStyle w:val="11"/>
        <w:numPr>
          <w:ilvl w:val="0"/>
          <w:numId w:val="16"/>
        </w:numPr>
        <w:shd w:val="clear" w:color="auto" w:fill="auto"/>
        <w:adjustRightIn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投标报价表</w:t>
      </w:r>
    </w:p>
    <w:p w14:paraId="4280B5B6">
      <w:pPr>
        <w:pStyle w:val="11"/>
        <w:numPr>
          <w:ilvl w:val="0"/>
          <w:numId w:val="16"/>
        </w:numPr>
        <w:shd w:val="clear" w:color="auto" w:fill="auto"/>
        <w:adjustRightIn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缴纳招标代理服务费承诺书</w:t>
      </w:r>
    </w:p>
    <w:p w14:paraId="5E65ADCD">
      <w:pPr>
        <w:pStyle w:val="11"/>
        <w:numPr>
          <w:ilvl w:val="0"/>
          <w:numId w:val="16"/>
        </w:numPr>
        <w:shd w:val="clear" w:color="auto" w:fill="auto"/>
        <w:adjustRightInd w:val="0"/>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其他资料</w:t>
      </w:r>
    </w:p>
    <w:p w14:paraId="32E48807">
      <w:pPr>
        <w:pStyle w:val="11"/>
        <w:shd w:val="clear" w:color="auto" w:fill="auto"/>
        <w:spacing w:line="360" w:lineRule="auto"/>
        <w:rPr>
          <w:rFonts w:hint="eastAsia" w:ascii="宋体" w:hAnsi="宋体" w:eastAsia="宋体" w:cs="宋体"/>
          <w:b/>
          <w:color w:val="auto"/>
          <w:sz w:val="28"/>
          <w:szCs w:val="28"/>
          <w:highlight w:val="none"/>
        </w:rPr>
      </w:pPr>
    </w:p>
    <w:p w14:paraId="48453D54">
      <w:pPr>
        <w:shd w:val="clear" w:color="auto" w:fill="auto"/>
        <w:adjustRightInd w:val="0"/>
        <w:spacing w:line="360" w:lineRule="auto"/>
        <w:ind w:left="403"/>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br w:type="page"/>
      </w:r>
    </w:p>
    <w:p w14:paraId="604993BB">
      <w:pPr>
        <w:pStyle w:val="3"/>
        <w:numPr>
          <w:ilvl w:val="0"/>
          <w:numId w:val="17"/>
        </w:numPr>
        <w:shd w:val="clear" w:color="auto" w:fill="auto"/>
        <w:snapToGrid w:val="0"/>
        <w:spacing w:afterLines="150" w:line="525" w:lineRule="exact"/>
        <w:ind w:right="295"/>
        <w:jc w:val="center"/>
        <w:rPr>
          <w:rFonts w:hint="eastAsia" w:ascii="宋体" w:hAnsi="宋体" w:eastAsia="宋体" w:cs="宋体"/>
          <w:color w:val="auto"/>
          <w:highlight w:val="none"/>
        </w:rPr>
      </w:pPr>
      <w:bookmarkStart w:id="101" w:name="_bookmark147"/>
      <w:bookmarkEnd w:id="101"/>
      <w:bookmarkStart w:id="102" w:name="_Toc51596424"/>
      <w:bookmarkStart w:id="103" w:name="_Toc51596199"/>
      <w:r>
        <w:rPr>
          <w:rFonts w:hint="eastAsia" w:ascii="宋体" w:hAnsi="宋体" w:eastAsia="宋体" w:cs="宋体"/>
          <w:color w:val="auto"/>
          <w:highlight w:val="none"/>
        </w:rPr>
        <w:t>商务技术评审索引表</w:t>
      </w:r>
      <w:bookmarkEnd w:id="102"/>
      <w:bookmarkEnd w:id="103"/>
    </w:p>
    <w:tbl>
      <w:tblPr>
        <w:tblStyle w:val="2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918"/>
        <w:gridCol w:w="3311"/>
        <w:gridCol w:w="3284"/>
      </w:tblGrid>
      <w:tr w14:paraId="5098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1186" w:type="dxa"/>
            <w:noWrap w:val="0"/>
            <w:vAlign w:val="center"/>
          </w:tcPr>
          <w:p w14:paraId="74AC11A9">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1918" w:type="dxa"/>
            <w:noWrap w:val="0"/>
            <w:vAlign w:val="center"/>
          </w:tcPr>
          <w:p w14:paraId="76394F93">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评审分项</w:t>
            </w:r>
          </w:p>
        </w:tc>
        <w:tc>
          <w:tcPr>
            <w:tcW w:w="3311" w:type="dxa"/>
            <w:noWrap w:val="0"/>
            <w:vAlign w:val="center"/>
          </w:tcPr>
          <w:p w14:paraId="7463455B">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内容</w:t>
            </w:r>
          </w:p>
        </w:tc>
        <w:tc>
          <w:tcPr>
            <w:tcW w:w="3284" w:type="dxa"/>
            <w:noWrap w:val="0"/>
            <w:vAlign w:val="center"/>
          </w:tcPr>
          <w:p w14:paraId="36C1506C">
            <w:pPr>
              <w:shd w:val="clear" w:color="auto" w:fill="auto"/>
              <w:jc w:val="center"/>
              <w:rPr>
                <w:rFonts w:hint="eastAsia" w:ascii="宋体" w:hAnsi="宋体" w:eastAsia="宋体" w:cs="宋体"/>
                <w:b/>
                <w:color w:val="auto"/>
                <w:highlight w:val="none"/>
              </w:rPr>
            </w:pPr>
            <w:r>
              <w:rPr>
                <w:rFonts w:hint="eastAsia" w:ascii="宋体" w:hAnsi="宋体" w:eastAsia="宋体" w:cs="宋体"/>
                <w:b/>
                <w:color w:val="auto"/>
                <w:highlight w:val="none"/>
              </w:rPr>
              <w:t>证明文件（如有）</w:t>
            </w:r>
          </w:p>
        </w:tc>
      </w:tr>
      <w:tr w14:paraId="690C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60769CA6">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18" w:type="dxa"/>
            <w:noWrap w:val="0"/>
            <w:vAlign w:val="center"/>
          </w:tcPr>
          <w:p w14:paraId="4B585241">
            <w:pPr>
              <w:shd w:val="clear" w:color="auto" w:fill="auto"/>
              <w:jc w:val="center"/>
              <w:rPr>
                <w:rFonts w:hint="eastAsia" w:ascii="宋体" w:hAnsi="宋体" w:eastAsia="宋体" w:cs="宋体"/>
                <w:color w:val="auto"/>
                <w:highlight w:val="none"/>
              </w:rPr>
            </w:pPr>
          </w:p>
        </w:tc>
        <w:tc>
          <w:tcPr>
            <w:tcW w:w="3311" w:type="dxa"/>
            <w:noWrap w:val="0"/>
            <w:vAlign w:val="center"/>
          </w:tcPr>
          <w:p w14:paraId="370C2DFE">
            <w:pPr>
              <w:shd w:val="clear" w:color="auto" w:fill="auto"/>
              <w:jc w:val="center"/>
              <w:rPr>
                <w:rFonts w:hint="eastAsia" w:ascii="宋体" w:hAnsi="宋体" w:eastAsia="宋体" w:cs="宋体"/>
                <w:color w:val="auto"/>
                <w:highlight w:val="none"/>
              </w:rPr>
            </w:pPr>
          </w:p>
        </w:tc>
        <w:tc>
          <w:tcPr>
            <w:tcW w:w="3284" w:type="dxa"/>
            <w:noWrap w:val="0"/>
            <w:vAlign w:val="center"/>
          </w:tcPr>
          <w:p w14:paraId="1722243B">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4D0B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007E2843">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18" w:type="dxa"/>
            <w:noWrap w:val="0"/>
            <w:vAlign w:val="center"/>
          </w:tcPr>
          <w:p w14:paraId="3BEE1521">
            <w:pPr>
              <w:shd w:val="clear" w:color="auto" w:fill="auto"/>
              <w:jc w:val="center"/>
              <w:rPr>
                <w:rFonts w:hint="eastAsia" w:ascii="宋体" w:hAnsi="宋体" w:eastAsia="宋体" w:cs="宋体"/>
                <w:color w:val="auto"/>
                <w:highlight w:val="none"/>
              </w:rPr>
            </w:pPr>
          </w:p>
        </w:tc>
        <w:tc>
          <w:tcPr>
            <w:tcW w:w="3311" w:type="dxa"/>
            <w:noWrap w:val="0"/>
            <w:vAlign w:val="center"/>
          </w:tcPr>
          <w:p w14:paraId="16B83FD3">
            <w:pPr>
              <w:shd w:val="clear" w:color="auto" w:fill="auto"/>
              <w:jc w:val="center"/>
              <w:rPr>
                <w:rFonts w:hint="eastAsia" w:ascii="宋体" w:hAnsi="宋体" w:eastAsia="宋体" w:cs="宋体"/>
                <w:color w:val="auto"/>
                <w:highlight w:val="none"/>
              </w:rPr>
            </w:pPr>
          </w:p>
        </w:tc>
        <w:tc>
          <w:tcPr>
            <w:tcW w:w="3284" w:type="dxa"/>
            <w:noWrap w:val="0"/>
            <w:vAlign w:val="center"/>
          </w:tcPr>
          <w:p w14:paraId="44AE05E2">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35F8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685ADA6F">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18" w:type="dxa"/>
            <w:noWrap w:val="0"/>
            <w:vAlign w:val="center"/>
          </w:tcPr>
          <w:p w14:paraId="34B1E6E1">
            <w:pPr>
              <w:shd w:val="clear" w:color="auto" w:fill="auto"/>
              <w:jc w:val="center"/>
              <w:rPr>
                <w:rFonts w:hint="eastAsia" w:ascii="宋体" w:hAnsi="宋体" w:eastAsia="宋体" w:cs="宋体"/>
                <w:color w:val="auto"/>
                <w:highlight w:val="none"/>
              </w:rPr>
            </w:pPr>
          </w:p>
        </w:tc>
        <w:tc>
          <w:tcPr>
            <w:tcW w:w="3311" w:type="dxa"/>
            <w:noWrap w:val="0"/>
            <w:vAlign w:val="center"/>
          </w:tcPr>
          <w:p w14:paraId="45EC560B">
            <w:pPr>
              <w:shd w:val="clear" w:color="auto" w:fill="auto"/>
              <w:jc w:val="center"/>
              <w:rPr>
                <w:rFonts w:hint="eastAsia" w:ascii="宋体" w:hAnsi="宋体" w:eastAsia="宋体" w:cs="宋体"/>
                <w:color w:val="auto"/>
                <w:highlight w:val="none"/>
              </w:rPr>
            </w:pPr>
          </w:p>
        </w:tc>
        <w:tc>
          <w:tcPr>
            <w:tcW w:w="3284" w:type="dxa"/>
            <w:noWrap w:val="0"/>
            <w:vAlign w:val="center"/>
          </w:tcPr>
          <w:p w14:paraId="6252E7BD">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4A05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4541BAAF">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918" w:type="dxa"/>
            <w:noWrap w:val="0"/>
            <w:vAlign w:val="center"/>
          </w:tcPr>
          <w:p w14:paraId="785BE1F4">
            <w:pPr>
              <w:shd w:val="clear" w:color="auto" w:fill="auto"/>
              <w:jc w:val="center"/>
              <w:rPr>
                <w:rFonts w:hint="eastAsia" w:ascii="宋体" w:hAnsi="宋体" w:eastAsia="宋体" w:cs="宋体"/>
                <w:color w:val="auto"/>
                <w:highlight w:val="none"/>
              </w:rPr>
            </w:pPr>
          </w:p>
        </w:tc>
        <w:tc>
          <w:tcPr>
            <w:tcW w:w="3311" w:type="dxa"/>
            <w:noWrap w:val="0"/>
            <w:vAlign w:val="center"/>
          </w:tcPr>
          <w:p w14:paraId="0F45AABC">
            <w:pPr>
              <w:shd w:val="clear" w:color="auto" w:fill="auto"/>
              <w:jc w:val="center"/>
              <w:rPr>
                <w:rFonts w:hint="eastAsia" w:ascii="宋体" w:hAnsi="宋体" w:eastAsia="宋体" w:cs="宋体"/>
                <w:color w:val="auto"/>
                <w:highlight w:val="none"/>
              </w:rPr>
            </w:pPr>
          </w:p>
        </w:tc>
        <w:tc>
          <w:tcPr>
            <w:tcW w:w="3284" w:type="dxa"/>
            <w:noWrap w:val="0"/>
            <w:vAlign w:val="center"/>
          </w:tcPr>
          <w:p w14:paraId="6B076F81">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5D46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364B7EAB">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918" w:type="dxa"/>
            <w:noWrap w:val="0"/>
            <w:vAlign w:val="center"/>
          </w:tcPr>
          <w:p w14:paraId="4A8AD3EF">
            <w:pPr>
              <w:shd w:val="clear" w:color="auto" w:fill="auto"/>
              <w:jc w:val="center"/>
              <w:rPr>
                <w:rFonts w:hint="eastAsia" w:ascii="宋体" w:hAnsi="宋体" w:eastAsia="宋体" w:cs="宋体"/>
                <w:color w:val="auto"/>
                <w:highlight w:val="none"/>
              </w:rPr>
            </w:pPr>
          </w:p>
        </w:tc>
        <w:tc>
          <w:tcPr>
            <w:tcW w:w="3311" w:type="dxa"/>
            <w:noWrap w:val="0"/>
            <w:vAlign w:val="center"/>
          </w:tcPr>
          <w:p w14:paraId="69704BC6">
            <w:pPr>
              <w:shd w:val="clear" w:color="auto" w:fill="auto"/>
              <w:jc w:val="center"/>
              <w:rPr>
                <w:rFonts w:hint="eastAsia" w:ascii="宋体" w:hAnsi="宋体" w:eastAsia="宋体" w:cs="宋体"/>
                <w:color w:val="auto"/>
                <w:highlight w:val="none"/>
              </w:rPr>
            </w:pPr>
          </w:p>
        </w:tc>
        <w:tc>
          <w:tcPr>
            <w:tcW w:w="3284" w:type="dxa"/>
            <w:noWrap w:val="0"/>
            <w:vAlign w:val="center"/>
          </w:tcPr>
          <w:p w14:paraId="0FFE1F6B">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6C66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86" w:type="dxa"/>
            <w:noWrap w:val="0"/>
            <w:vAlign w:val="center"/>
          </w:tcPr>
          <w:p w14:paraId="67C634C0">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918" w:type="dxa"/>
            <w:noWrap w:val="0"/>
            <w:vAlign w:val="center"/>
          </w:tcPr>
          <w:p w14:paraId="67D2D995">
            <w:pPr>
              <w:shd w:val="clear" w:color="auto" w:fill="auto"/>
              <w:jc w:val="center"/>
              <w:rPr>
                <w:rFonts w:hint="eastAsia" w:ascii="宋体" w:hAnsi="宋体" w:eastAsia="宋体" w:cs="宋体"/>
                <w:color w:val="auto"/>
                <w:highlight w:val="none"/>
              </w:rPr>
            </w:pPr>
          </w:p>
        </w:tc>
        <w:tc>
          <w:tcPr>
            <w:tcW w:w="3311" w:type="dxa"/>
            <w:noWrap w:val="0"/>
            <w:vAlign w:val="center"/>
          </w:tcPr>
          <w:p w14:paraId="64365E15">
            <w:pPr>
              <w:shd w:val="clear" w:color="auto" w:fill="auto"/>
              <w:jc w:val="center"/>
              <w:rPr>
                <w:rFonts w:hint="eastAsia" w:ascii="宋体" w:hAnsi="宋体" w:eastAsia="宋体" w:cs="宋体"/>
                <w:color w:val="auto"/>
                <w:highlight w:val="none"/>
              </w:rPr>
            </w:pPr>
          </w:p>
        </w:tc>
        <w:tc>
          <w:tcPr>
            <w:tcW w:w="3284" w:type="dxa"/>
            <w:noWrap w:val="0"/>
            <w:vAlign w:val="center"/>
          </w:tcPr>
          <w:p w14:paraId="070E3050">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r w14:paraId="7F64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86" w:type="dxa"/>
            <w:noWrap w:val="0"/>
            <w:vAlign w:val="center"/>
          </w:tcPr>
          <w:p w14:paraId="46B630EA">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18" w:type="dxa"/>
            <w:noWrap w:val="0"/>
            <w:vAlign w:val="center"/>
          </w:tcPr>
          <w:p w14:paraId="0AD1E55B">
            <w:pPr>
              <w:shd w:val="clear" w:color="auto" w:fill="auto"/>
              <w:jc w:val="center"/>
              <w:rPr>
                <w:rFonts w:hint="eastAsia" w:ascii="宋体" w:hAnsi="宋体" w:eastAsia="宋体" w:cs="宋体"/>
                <w:color w:val="auto"/>
                <w:highlight w:val="none"/>
              </w:rPr>
            </w:pPr>
          </w:p>
        </w:tc>
        <w:tc>
          <w:tcPr>
            <w:tcW w:w="3311" w:type="dxa"/>
            <w:noWrap w:val="0"/>
            <w:vAlign w:val="center"/>
          </w:tcPr>
          <w:p w14:paraId="7B417F63">
            <w:pPr>
              <w:shd w:val="clear" w:color="auto" w:fill="auto"/>
              <w:jc w:val="center"/>
              <w:rPr>
                <w:rFonts w:hint="eastAsia" w:ascii="宋体" w:hAnsi="宋体" w:eastAsia="宋体" w:cs="宋体"/>
                <w:color w:val="auto"/>
                <w:highlight w:val="none"/>
              </w:rPr>
            </w:pPr>
          </w:p>
        </w:tc>
        <w:tc>
          <w:tcPr>
            <w:tcW w:w="3284" w:type="dxa"/>
            <w:noWrap w:val="0"/>
            <w:vAlign w:val="center"/>
          </w:tcPr>
          <w:p w14:paraId="7FBF496F">
            <w:pPr>
              <w:shd w:val="clear" w:color="auto" w:fill="auto"/>
              <w:jc w:val="center"/>
              <w:rPr>
                <w:rFonts w:hint="eastAsia" w:ascii="宋体" w:hAnsi="宋体" w:eastAsia="宋体" w:cs="宋体"/>
                <w:color w:val="auto"/>
                <w:highlight w:val="none"/>
              </w:rPr>
            </w:pPr>
            <w:r>
              <w:rPr>
                <w:rFonts w:hint="eastAsia" w:ascii="宋体" w:hAnsi="宋体" w:eastAsia="宋体" w:cs="宋体"/>
                <w:color w:val="auto"/>
                <w:highlight w:val="none"/>
              </w:rPr>
              <w:t>见投标文件（）页</w:t>
            </w:r>
          </w:p>
        </w:tc>
      </w:tr>
    </w:tbl>
    <w:p w14:paraId="50D29BA6">
      <w:pPr>
        <w:pStyle w:val="10"/>
        <w:shd w:val="clear" w:color="auto" w:fill="auto"/>
        <w:spacing w:line="360" w:lineRule="auto"/>
        <w:ind w:left="424" w:hanging="424" w:hangingChars="202"/>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注：投标人应当根据</w:t>
      </w:r>
      <w:r>
        <w:rPr>
          <w:rFonts w:hint="eastAsia" w:ascii="宋体" w:hAnsi="宋体" w:eastAsia="宋体" w:cs="宋体"/>
          <w:color w:val="auto"/>
          <w:sz w:val="21"/>
          <w:szCs w:val="21"/>
          <w:highlight w:val="none"/>
        </w:rPr>
        <w:t>商务</w:t>
      </w:r>
      <w:r>
        <w:rPr>
          <w:rFonts w:hint="eastAsia" w:ascii="宋体" w:hAnsi="宋体" w:eastAsia="宋体" w:cs="宋体"/>
          <w:color w:val="auto"/>
          <w:sz w:val="21"/>
          <w:szCs w:val="21"/>
          <w:highlight w:val="none"/>
          <w:lang w:val="en-GB"/>
        </w:rPr>
        <w:t>技术评审内容提供相应的证明材料，如未提供，评委有权认为不具备或不符合，并影响投标人的得分，</w:t>
      </w:r>
      <w:r>
        <w:rPr>
          <w:rFonts w:hint="eastAsia" w:ascii="宋体" w:hAnsi="宋体" w:eastAsia="宋体" w:cs="宋体"/>
          <w:color w:val="auto"/>
          <w:sz w:val="21"/>
          <w:szCs w:val="21"/>
          <w:highlight w:val="none"/>
        </w:rPr>
        <w:t>请填写对应评分的页码</w:t>
      </w:r>
      <w:r>
        <w:rPr>
          <w:rFonts w:hint="eastAsia" w:ascii="宋体" w:hAnsi="宋体" w:eastAsia="宋体" w:cs="宋体"/>
          <w:color w:val="auto"/>
          <w:sz w:val="21"/>
          <w:szCs w:val="21"/>
          <w:highlight w:val="none"/>
          <w:lang w:val="en-GB"/>
        </w:rPr>
        <w:t>。</w:t>
      </w:r>
    </w:p>
    <w:p w14:paraId="4A34EDC0">
      <w:pPr>
        <w:pStyle w:val="3"/>
        <w:numPr>
          <w:ilvl w:val="0"/>
          <w:numId w:val="17"/>
        </w:numPr>
        <w:shd w:val="clear" w:color="auto" w:fill="auto"/>
        <w:snapToGrid w:val="0"/>
        <w:spacing w:afterLines="150" w:line="525" w:lineRule="exact"/>
        <w:ind w:right="295"/>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投标函</w:t>
      </w:r>
    </w:p>
    <w:p w14:paraId="2AF60DBF">
      <w:pPr>
        <w:pStyle w:val="11"/>
        <w:keepNext w:val="0"/>
        <w:keepLines w:val="0"/>
        <w:pageBreakBefore w:val="0"/>
        <w:widowControl w:val="0"/>
        <w:shd w:val="clear" w:color="auto" w:fill="auto"/>
        <w:tabs>
          <w:tab w:val="left" w:pos="2291"/>
        </w:tabs>
        <w:kinsoku/>
        <w:wordWrap/>
        <w:overflowPunct/>
        <w:topLinePunct w:val="0"/>
        <w:autoSpaceDE w:val="0"/>
        <w:autoSpaceDN w:val="0"/>
        <w:bidi w:val="0"/>
        <w:adjustRightInd w:val="0"/>
        <w:snapToGrid w:val="0"/>
        <w:spacing w:afterLines="10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r>
        <w:rPr>
          <w:rFonts w:hint="eastAsia" w:ascii="宋体" w:hAnsi="宋体" w:eastAsia="宋体" w:cs="宋体"/>
          <w:color w:val="auto"/>
          <w:spacing w:val="-3"/>
          <w:highlight w:val="none"/>
        </w:rPr>
        <w:t>招标人名称）</w:t>
      </w:r>
      <w:r>
        <w:rPr>
          <w:rFonts w:hint="eastAsia" w:ascii="宋体" w:hAnsi="宋体" w:eastAsia="宋体" w:cs="宋体"/>
          <w:color w:val="auto"/>
          <w:highlight w:val="none"/>
        </w:rPr>
        <w:t>：</w:t>
      </w:r>
    </w:p>
    <w:p w14:paraId="096499C7">
      <w:pPr>
        <w:keepNext w:val="0"/>
        <w:keepLines w:val="0"/>
        <w:pageBreakBefore w:val="0"/>
        <w:widowControl w:val="0"/>
        <w:shd w:val="clear" w:color="auto" w:fill="auto"/>
        <w:tabs>
          <w:tab w:val="left" w:pos="4360"/>
        </w:tabs>
        <w:kinsoku/>
        <w:wordWrap/>
        <w:overflowPunct/>
        <w:topLinePunct w:val="0"/>
        <w:autoSpaceDE w:val="0"/>
        <w:autoSpaceDN w:val="0"/>
        <w:bidi w:val="0"/>
        <w:adjustRightInd w:val="0"/>
        <w:spacing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26"/>
          <w:kern w:val="0"/>
          <w:szCs w:val="21"/>
          <w:highlight w:val="none"/>
        </w:rPr>
        <w:t>．</w:t>
      </w:r>
      <w:r>
        <w:rPr>
          <w:rFonts w:hint="eastAsia" w:ascii="宋体" w:hAnsi="宋体" w:eastAsia="宋体" w:cs="宋体"/>
          <w:color w:val="auto"/>
          <w:kern w:val="0"/>
          <w:szCs w:val="21"/>
          <w:highlight w:val="none"/>
        </w:rPr>
        <w:t>我</w:t>
      </w:r>
      <w:r>
        <w:rPr>
          <w:rFonts w:hint="eastAsia" w:ascii="宋体" w:hAnsi="宋体" w:eastAsia="宋体" w:cs="宋体"/>
          <w:color w:val="auto"/>
          <w:spacing w:val="0"/>
          <w:kern w:val="0"/>
          <w:sz w:val="21"/>
          <w:szCs w:val="21"/>
          <w:highlight w:val="none"/>
        </w:rPr>
        <w:t>方已仔细研究了</w:t>
      </w:r>
      <w:r>
        <w:rPr>
          <w:rFonts w:hint="eastAsia" w:ascii="宋体" w:hAnsi="宋体" w:eastAsia="宋体" w:cs="宋体"/>
          <w:color w:val="auto"/>
          <w:spacing w:val="0"/>
          <w:kern w:val="0"/>
          <w:sz w:val="21"/>
          <w:szCs w:val="21"/>
          <w:highlight w:val="none"/>
          <w:u w:val="single"/>
        </w:rPr>
        <w:tab/>
      </w:r>
      <w:r>
        <w:rPr>
          <w:rFonts w:hint="eastAsia" w:ascii="宋体" w:hAnsi="宋体" w:eastAsia="宋体" w:cs="宋体"/>
          <w:color w:val="auto"/>
          <w:spacing w:val="0"/>
          <w:kern w:val="0"/>
          <w:sz w:val="21"/>
          <w:szCs w:val="21"/>
          <w:highlight w:val="none"/>
        </w:rPr>
        <w:t>（项目名称）</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（标段名称）</w:t>
      </w:r>
      <w:r>
        <w:rPr>
          <w:rFonts w:hint="eastAsia" w:ascii="宋体" w:hAnsi="宋体" w:eastAsia="宋体" w:cs="宋体"/>
          <w:color w:val="auto"/>
          <w:spacing w:val="0"/>
          <w:kern w:val="0"/>
          <w:sz w:val="21"/>
          <w:szCs w:val="21"/>
          <w:highlight w:val="none"/>
        </w:rPr>
        <w:t>招标项目招标文件的全部内容，愿意以</w:t>
      </w:r>
      <w:r>
        <w:rPr>
          <w:rFonts w:hint="eastAsia" w:ascii="宋体" w:hAnsi="宋体" w:eastAsia="宋体" w:cs="宋体"/>
          <w:color w:val="auto"/>
          <w:spacing w:val="0"/>
          <w:kern w:val="0"/>
          <w:sz w:val="21"/>
          <w:szCs w:val="21"/>
          <w:highlight w:val="none"/>
          <w:lang w:val="en-US" w:eastAsia="zh-CN"/>
        </w:rPr>
        <w:t>我司所投本项目的</w:t>
      </w:r>
      <w:r>
        <w:rPr>
          <w:rFonts w:hint="eastAsia" w:ascii="宋体" w:hAnsi="宋体" w:cs="宋体"/>
          <w:color w:val="auto"/>
          <w:spacing w:val="0"/>
          <w:kern w:val="0"/>
          <w:sz w:val="21"/>
          <w:szCs w:val="21"/>
          <w:highlight w:val="none"/>
          <w:lang w:val="en-US" w:eastAsia="zh-CN"/>
        </w:rPr>
        <w:t>投标</w:t>
      </w:r>
      <w:r>
        <w:rPr>
          <w:rFonts w:hint="eastAsia" w:ascii="宋体" w:hAnsi="宋体" w:eastAsia="宋体" w:cs="宋体"/>
          <w:color w:val="auto"/>
          <w:spacing w:val="0"/>
          <w:kern w:val="0"/>
          <w:sz w:val="21"/>
          <w:szCs w:val="21"/>
          <w:highlight w:val="none"/>
          <w:lang w:val="en-US" w:eastAsia="zh-CN"/>
        </w:rPr>
        <w:t>文件</w:t>
      </w:r>
      <w:r>
        <w:rPr>
          <w:rFonts w:hint="eastAsia" w:ascii="宋体" w:hAnsi="宋体" w:cs="宋体"/>
          <w:color w:val="auto"/>
          <w:spacing w:val="0"/>
          <w:kern w:val="0"/>
          <w:sz w:val="21"/>
          <w:szCs w:val="21"/>
          <w:highlight w:val="none"/>
          <w:lang w:val="en-US" w:eastAsia="zh-CN"/>
        </w:rPr>
        <w:t>中</w:t>
      </w:r>
      <w:r>
        <w:rPr>
          <w:rFonts w:hint="eastAsia" w:ascii="宋体" w:hAnsi="宋体" w:eastAsia="宋体" w:cs="宋体"/>
          <w:color w:val="auto"/>
          <w:spacing w:val="0"/>
          <w:kern w:val="0"/>
          <w:sz w:val="21"/>
          <w:szCs w:val="21"/>
          <w:highlight w:val="none"/>
          <w:lang w:val="en-US" w:eastAsia="zh-CN"/>
        </w:rPr>
        <w:t>的投标</w:t>
      </w:r>
      <w:r>
        <w:rPr>
          <w:rFonts w:hint="eastAsia" w:ascii="宋体" w:hAnsi="宋体" w:cs="宋体"/>
          <w:color w:val="auto"/>
          <w:spacing w:val="0"/>
          <w:kern w:val="0"/>
          <w:sz w:val="21"/>
          <w:szCs w:val="21"/>
          <w:highlight w:val="none"/>
          <w:lang w:val="en-US" w:eastAsia="zh-CN"/>
        </w:rPr>
        <w:t>单</w:t>
      </w:r>
      <w:r>
        <w:rPr>
          <w:rFonts w:hint="eastAsia" w:ascii="宋体" w:hAnsi="宋体" w:eastAsia="宋体" w:cs="宋体"/>
          <w:color w:val="auto"/>
          <w:spacing w:val="0"/>
          <w:kern w:val="0"/>
          <w:sz w:val="21"/>
          <w:szCs w:val="21"/>
          <w:highlight w:val="none"/>
          <w:lang w:val="en-US" w:eastAsia="zh-CN"/>
        </w:rPr>
        <w:t>价（或根据招标文件规定修正核实后确定的另一金额），</w:t>
      </w:r>
      <w:r>
        <w:rPr>
          <w:rFonts w:hint="eastAsia" w:ascii="宋体" w:hAnsi="宋体" w:eastAsia="宋体" w:cs="宋体"/>
          <w:color w:val="auto"/>
          <w:kern w:val="0"/>
          <w:szCs w:val="21"/>
          <w:highlight w:val="none"/>
        </w:rPr>
        <w:t>提供本招标项</w:t>
      </w:r>
      <w:r>
        <w:rPr>
          <w:rFonts w:hint="eastAsia" w:ascii="宋体" w:hAnsi="宋体" w:eastAsia="宋体" w:cs="宋体"/>
          <w:color w:val="auto"/>
          <w:kern w:val="0"/>
          <w:szCs w:val="21"/>
          <w:highlight w:val="none"/>
          <w:lang w:val="en-US" w:eastAsia="zh-CN"/>
        </w:rPr>
        <w:t>目</w:t>
      </w:r>
      <w:r>
        <w:rPr>
          <w:rFonts w:hint="eastAsia" w:ascii="宋体" w:hAnsi="宋体" w:eastAsia="宋体" w:cs="宋体"/>
          <w:color w:val="auto"/>
          <w:kern w:val="0"/>
          <w:szCs w:val="21"/>
          <w:highlight w:val="none"/>
        </w:rPr>
        <w:t>所有设备及技术服务和质保期服务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pacing w:val="0"/>
          <w:kern w:val="0"/>
          <w:sz w:val="21"/>
          <w:szCs w:val="21"/>
          <w:highlight w:val="none"/>
        </w:rPr>
        <w:t>并按合同约定履行义</w:t>
      </w:r>
      <w:r>
        <w:rPr>
          <w:rFonts w:hint="eastAsia" w:ascii="宋体" w:hAnsi="宋体" w:eastAsia="宋体" w:cs="宋体"/>
          <w:color w:val="auto"/>
          <w:spacing w:val="-2"/>
          <w:kern w:val="0"/>
          <w:szCs w:val="21"/>
          <w:highlight w:val="none"/>
        </w:rPr>
        <w:t>务</w:t>
      </w:r>
      <w:r>
        <w:rPr>
          <w:rFonts w:hint="eastAsia" w:ascii="宋体" w:hAnsi="宋体" w:eastAsia="宋体" w:cs="宋体"/>
          <w:color w:val="auto"/>
          <w:kern w:val="0"/>
          <w:szCs w:val="21"/>
          <w:highlight w:val="none"/>
        </w:rPr>
        <w:t>。</w:t>
      </w:r>
    </w:p>
    <w:p w14:paraId="6C4B8DA4">
      <w:pPr>
        <w:keepNext w:val="0"/>
        <w:keepLines w:val="0"/>
        <w:pageBreakBefore w:val="0"/>
        <w:widowControl w:val="0"/>
        <w:shd w:val="clear" w:color="auto" w:fill="auto"/>
        <w:tabs>
          <w:tab w:val="left" w:pos="4360"/>
        </w:tabs>
        <w:kinsoku/>
        <w:wordWrap/>
        <w:overflowPunct/>
        <w:topLinePunct w:val="0"/>
        <w:autoSpaceDE w:val="0"/>
        <w:autoSpaceDN w:val="0"/>
        <w:bidi w:val="0"/>
        <w:adjustRightInd w:val="0"/>
        <w:spacing w:line="360" w:lineRule="auto"/>
        <w:ind w:right="-20" w:firstLine="420" w:firstLineChars="200"/>
        <w:jc w:val="left"/>
        <w:textAlignment w:val="auto"/>
        <w:rPr>
          <w:rFonts w:hint="eastAsia" w:ascii="宋体" w:hAnsi="宋体" w:eastAsia="宋体" w:cs="宋体"/>
          <w:color w:val="auto"/>
          <w:kern w:val="0"/>
          <w:szCs w:val="21"/>
          <w:highlight w:val="none"/>
        </w:rPr>
      </w:pPr>
      <w:bookmarkStart w:id="104" w:name="_bookmark148"/>
      <w:bookmarkEnd w:id="104"/>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我</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包</w:t>
      </w:r>
      <w:r>
        <w:rPr>
          <w:rFonts w:hint="eastAsia" w:ascii="宋体" w:hAnsi="宋体" w:eastAsia="宋体" w:cs="宋体"/>
          <w:color w:val="auto"/>
          <w:spacing w:val="-2"/>
          <w:kern w:val="0"/>
          <w:szCs w:val="21"/>
          <w:highlight w:val="none"/>
        </w:rPr>
        <w:t>括下</w:t>
      </w:r>
      <w:r>
        <w:rPr>
          <w:rFonts w:hint="eastAsia" w:ascii="宋体" w:hAnsi="宋体" w:eastAsia="宋体" w:cs="宋体"/>
          <w:color w:val="auto"/>
          <w:kern w:val="0"/>
          <w:szCs w:val="21"/>
          <w:highlight w:val="none"/>
        </w:rPr>
        <w:t>列内</w:t>
      </w:r>
      <w:r>
        <w:rPr>
          <w:rFonts w:hint="eastAsia" w:ascii="宋体" w:hAnsi="宋体" w:eastAsia="宋体" w:cs="宋体"/>
          <w:color w:val="auto"/>
          <w:spacing w:val="-2"/>
          <w:kern w:val="0"/>
          <w:szCs w:val="21"/>
          <w:highlight w:val="none"/>
        </w:rPr>
        <w:t>容</w:t>
      </w:r>
      <w:r>
        <w:rPr>
          <w:rFonts w:hint="eastAsia" w:ascii="宋体" w:hAnsi="宋体" w:eastAsia="宋体" w:cs="宋体"/>
          <w:color w:val="auto"/>
          <w:kern w:val="0"/>
          <w:szCs w:val="21"/>
          <w:highlight w:val="none"/>
        </w:rPr>
        <w:t>：</w:t>
      </w:r>
    </w:p>
    <w:p w14:paraId="13056DE0">
      <w:pPr>
        <w:keepNext w:val="0"/>
        <w:keepLines w:val="0"/>
        <w:pageBreakBefore w:val="0"/>
        <w:widowControl w:val="0"/>
        <w:shd w:val="clear" w:color="auto" w:fill="auto"/>
        <w:kinsoku/>
        <w:wordWrap/>
        <w:overflowPunct/>
        <w:topLinePunct w:val="0"/>
        <w:autoSpaceDE w:val="0"/>
        <w:autoSpaceDN w:val="0"/>
        <w:bidi w:val="0"/>
        <w:adjustRightInd w:val="0"/>
        <w:spacing w:before="47"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函；</w:t>
      </w:r>
    </w:p>
    <w:p w14:paraId="5607D2CE">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法</w:t>
      </w:r>
      <w:r>
        <w:rPr>
          <w:rFonts w:hint="eastAsia" w:ascii="宋体" w:hAnsi="宋体" w:eastAsia="宋体" w:cs="宋体"/>
          <w:color w:val="auto"/>
          <w:spacing w:val="-2"/>
          <w:kern w:val="0"/>
          <w:szCs w:val="21"/>
          <w:highlight w:val="none"/>
        </w:rPr>
        <w:t>定</w:t>
      </w:r>
      <w:r>
        <w:rPr>
          <w:rFonts w:hint="eastAsia" w:ascii="宋体" w:hAnsi="宋体" w:eastAsia="宋体" w:cs="宋体"/>
          <w:color w:val="auto"/>
          <w:kern w:val="0"/>
          <w:szCs w:val="21"/>
          <w:highlight w:val="none"/>
        </w:rPr>
        <w:t>代</w:t>
      </w:r>
      <w:r>
        <w:rPr>
          <w:rFonts w:hint="eastAsia" w:ascii="宋体" w:hAnsi="宋体" w:eastAsia="宋体" w:cs="宋体"/>
          <w:color w:val="auto"/>
          <w:spacing w:val="-2"/>
          <w:kern w:val="0"/>
          <w:szCs w:val="21"/>
          <w:highlight w:val="none"/>
        </w:rPr>
        <w:t>表</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单</w:t>
      </w:r>
      <w:r>
        <w:rPr>
          <w:rFonts w:hint="eastAsia" w:ascii="宋体" w:hAnsi="宋体" w:eastAsia="宋体" w:cs="宋体"/>
          <w:color w:val="auto"/>
          <w:spacing w:val="-2"/>
          <w:kern w:val="0"/>
          <w:szCs w:val="21"/>
          <w:highlight w:val="none"/>
        </w:rPr>
        <w:t>位负</w:t>
      </w:r>
      <w:r>
        <w:rPr>
          <w:rFonts w:hint="eastAsia" w:ascii="宋体" w:hAnsi="宋体" w:eastAsia="宋体" w:cs="宋体"/>
          <w:color w:val="auto"/>
          <w:kern w:val="0"/>
          <w:szCs w:val="21"/>
          <w:highlight w:val="none"/>
        </w:rPr>
        <w:t>责人</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身</w:t>
      </w:r>
      <w:r>
        <w:rPr>
          <w:rFonts w:hint="eastAsia" w:ascii="宋体" w:hAnsi="宋体" w:eastAsia="宋体" w:cs="宋体"/>
          <w:color w:val="auto"/>
          <w:spacing w:val="-2"/>
          <w:kern w:val="0"/>
          <w:szCs w:val="21"/>
          <w:highlight w:val="none"/>
        </w:rPr>
        <w:t>份</w:t>
      </w:r>
      <w:r>
        <w:rPr>
          <w:rFonts w:hint="eastAsia" w:ascii="宋体" w:hAnsi="宋体" w:eastAsia="宋体" w:cs="宋体"/>
          <w:color w:val="auto"/>
          <w:kern w:val="0"/>
          <w:szCs w:val="21"/>
          <w:highlight w:val="none"/>
        </w:rPr>
        <w:t>证</w:t>
      </w:r>
      <w:r>
        <w:rPr>
          <w:rFonts w:hint="eastAsia" w:ascii="宋体" w:hAnsi="宋体" w:eastAsia="宋体" w:cs="宋体"/>
          <w:color w:val="auto"/>
          <w:spacing w:val="-2"/>
          <w:kern w:val="0"/>
          <w:szCs w:val="21"/>
          <w:highlight w:val="none"/>
        </w:rPr>
        <w:t>明</w:t>
      </w:r>
      <w:r>
        <w:rPr>
          <w:rFonts w:hint="eastAsia" w:ascii="宋体" w:hAnsi="宋体" w:eastAsia="宋体" w:cs="宋体"/>
          <w:color w:val="auto"/>
          <w:kern w:val="0"/>
          <w:szCs w:val="21"/>
          <w:highlight w:val="none"/>
        </w:rPr>
        <w:t>或</w:t>
      </w:r>
      <w:r>
        <w:rPr>
          <w:rFonts w:hint="eastAsia" w:ascii="宋体" w:hAnsi="宋体" w:eastAsia="宋体" w:cs="宋体"/>
          <w:color w:val="auto"/>
          <w:spacing w:val="-2"/>
          <w:kern w:val="0"/>
          <w:szCs w:val="21"/>
          <w:highlight w:val="none"/>
        </w:rPr>
        <w:t>授</w:t>
      </w:r>
      <w:r>
        <w:rPr>
          <w:rFonts w:hint="eastAsia" w:ascii="宋体" w:hAnsi="宋体" w:eastAsia="宋体" w:cs="宋体"/>
          <w:color w:val="auto"/>
          <w:kern w:val="0"/>
          <w:szCs w:val="21"/>
          <w:highlight w:val="none"/>
        </w:rPr>
        <w:t>权</w:t>
      </w:r>
      <w:r>
        <w:rPr>
          <w:rFonts w:hint="eastAsia" w:ascii="宋体" w:hAnsi="宋体" w:eastAsia="宋体" w:cs="宋体"/>
          <w:color w:val="auto"/>
          <w:spacing w:val="-2"/>
          <w:kern w:val="0"/>
          <w:szCs w:val="21"/>
          <w:highlight w:val="none"/>
        </w:rPr>
        <w:t>委</w:t>
      </w:r>
      <w:r>
        <w:rPr>
          <w:rFonts w:hint="eastAsia" w:ascii="宋体" w:hAnsi="宋体" w:eastAsia="宋体" w:cs="宋体"/>
          <w:color w:val="auto"/>
          <w:kern w:val="0"/>
          <w:szCs w:val="21"/>
          <w:highlight w:val="none"/>
        </w:rPr>
        <w:t>托书；</w:t>
      </w:r>
    </w:p>
    <w:p w14:paraId="441A2BB6">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联</w:t>
      </w:r>
      <w:r>
        <w:rPr>
          <w:rFonts w:hint="eastAsia" w:ascii="宋体" w:hAnsi="宋体" w:eastAsia="宋体" w:cs="宋体"/>
          <w:color w:val="auto"/>
          <w:spacing w:val="-2"/>
          <w:kern w:val="0"/>
          <w:szCs w:val="21"/>
          <w:highlight w:val="none"/>
        </w:rPr>
        <w:t>合</w:t>
      </w:r>
      <w:r>
        <w:rPr>
          <w:rFonts w:hint="eastAsia" w:ascii="宋体" w:hAnsi="宋体" w:eastAsia="宋体" w:cs="宋体"/>
          <w:color w:val="auto"/>
          <w:kern w:val="0"/>
          <w:szCs w:val="21"/>
          <w:highlight w:val="none"/>
        </w:rPr>
        <w:t>体</w:t>
      </w:r>
      <w:r>
        <w:rPr>
          <w:rFonts w:hint="eastAsia" w:ascii="宋体" w:hAnsi="宋体" w:eastAsia="宋体" w:cs="宋体"/>
          <w:color w:val="auto"/>
          <w:spacing w:val="-2"/>
          <w:kern w:val="0"/>
          <w:szCs w:val="21"/>
          <w:highlight w:val="none"/>
        </w:rPr>
        <w:t>协</w:t>
      </w:r>
      <w:r>
        <w:rPr>
          <w:rFonts w:hint="eastAsia" w:ascii="宋体" w:hAnsi="宋体" w:eastAsia="宋体" w:cs="宋体"/>
          <w:color w:val="auto"/>
          <w:kern w:val="0"/>
          <w:szCs w:val="21"/>
          <w:highlight w:val="none"/>
        </w:rPr>
        <w:t>议</w:t>
      </w:r>
      <w:r>
        <w:rPr>
          <w:rFonts w:hint="eastAsia" w:ascii="宋体" w:hAnsi="宋体" w:eastAsia="宋体" w:cs="宋体"/>
          <w:color w:val="auto"/>
          <w:spacing w:val="-2"/>
          <w:kern w:val="0"/>
          <w:szCs w:val="21"/>
          <w:highlight w:val="none"/>
        </w:rPr>
        <w:t>书（如需）；</w:t>
      </w:r>
    </w:p>
    <w:p w14:paraId="26A4544E">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保</w:t>
      </w:r>
      <w:r>
        <w:rPr>
          <w:rFonts w:hint="eastAsia" w:ascii="宋体" w:hAnsi="宋体" w:eastAsia="宋体" w:cs="宋体"/>
          <w:color w:val="auto"/>
          <w:spacing w:val="-2"/>
          <w:kern w:val="0"/>
          <w:szCs w:val="21"/>
          <w:highlight w:val="none"/>
        </w:rPr>
        <w:t>证</w:t>
      </w:r>
      <w:r>
        <w:rPr>
          <w:rFonts w:hint="eastAsia" w:ascii="宋体" w:hAnsi="宋体" w:eastAsia="宋体" w:cs="宋体"/>
          <w:color w:val="auto"/>
          <w:kern w:val="0"/>
          <w:szCs w:val="21"/>
          <w:highlight w:val="none"/>
        </w:rPr>
        <w:t>金；</w:t>
      </w:r>
    </w:p>
    <w:p w14:paraId="03A08825">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商</w:t>
      </w:r>
      <w:r>
        <w:rPr>
          <w:rFonts w:hint="eastAsia" w:ascii="宋体" w:hAnsi="宋体" w:eastAsia="宋体" w:cs="宋体"/>
          <w:color w:val="auto"/>
          <w:spacing w:val="-2"/>
          <w:kern w:val="0"/>
          <w:szCs w:val="21"/>
          <w:highlight w:val="none"/>
        </w:rPr>
        <w:t>务</w:t>
      </w:r>
      <w:r>
        <w:rPr>
          <w:rFonts w:hint="eastAsia" w:ascii="宋体" w:hAnsi="宋体" w:eastAsia="宋体" w:cs="宋体"/>
          <w:color w:val="auto"/>
          <w:kern w:val="0"/>
          <w:szCs w:val="21"/>
          <w:highlight w:val="none"/>
        </w:rPr>
        <w:t>和</w:t>
      </w:r>
      <w:r>
        <w:rPr>
          <w:rFonts w:hint="eastAsia" w:ascii="宋体" w:hAnsi="宋体" w:eastAsia="宋体" w:cs="宋体"/>
          <w:color w:val="auto"/>
          <w:spacing w:val="-2"/>
          <w:kern w:val="0"/>
          <w:szCs w:val="21"/>
          <w:highlight w:val="none"/>
        </w:rPr>
        <w:t>技</w:t>
      </w:r>
      <w:r>
        <w:rPr>
          <w:rFonts w:hint="eastAsia" w:ascii="宋体" w:hAnsi="宋体" w:eastAsia="宋体" w:cs="宋体"/>
          <w:color w:val="auto"/>
          <w:kern w:val="0"/>
          <w:szCs w:val="21"/>
          <w:highlight w:val="none"/>
        </w:rPr>
        <w:t>术</w:t>
      </w:r>
      <w:r>
        <w:rPr>
          <w:rFonts w:hint="eastAsia" w:ascii="宋体" w:hAnsi="宋体" w:eastAsia="宋体" w:cs="宋体"/>
          <w:color w:val="auto"/>
          <w:spacing w:val="-2"/>
          <w:kern w:val="0"/>
          <w:szCs w:val="21"/>
          <w:highlight w:val="none"/>
        </w:rPr>
        <w:t>偏</w:t>
      </w:r>
      <w:r>
        <w:rPr>
          <w:rFonts w:hint="eastAsia" w:ascii="宋体" w:hAnsi="宋体" w:eastAsia="宋体" w:cs="宋体"/>
          <w:color w:val="auto"/>
          <w:kern w:val="0"/>
          <w:szCs w:val="21"/>
          <w:highlight w:val="none"/>
        </w:rPr>
        <w:t>差</w:t>
      </w:r>
      <w:r>
        <w:rPr>
          <w:rFonts w:hint="eastAsia" w:ascii="宋体" w:hAnsi="宋体" w:eastAsia="宋体" w:cs="宋体"/>
          <w:color w:val="auto"/>
          <w:spacing w:val="-2"/>
          <w:kern w:val="0"/>
          <w:szCs w:val="21"/>
          <w:highlight w:val="none"/>
        </w:rPr>
        <w:t>表</w:t>
      </w:r>
      <w:r>
        <w:rPr>
          <w:rFonts w:hint="eastAsia" w:ascii="宋体" w:hAnsi="宋体" w:eastAsia="宋体" w:cs="宋体"/>
          <w:color w:val="auto"/>
          <w:kern w:val="0"/>
          <w:szCs w:val="21"/>
          <w:highlight w:val="none"/>
        </w:rPr>
        <w:t>；</w:t>
      </w:r>
    </w:p>
    <w:p w14:paraId="6841E2F8">
      <w:pPr>
        <w:keepNext w:val="0"/>
        <w:keepLines w:val="0"/>
        <w:pageBreakBefore w:val="0"/>
        <w:widowControl w:val="0"/>
        <w:shd w:val="clear" w:color="auto" w:fill="auto"/>
        <w:kinsoku/>
        <w:wordWrap/>
        <w:overflowPunct/>
        <w:topLinePunct w:val="0"/>
        <w:autoSpaceDE w:val="0"/>
        <w:autoSpaceDN w:val="0"/>
        <w:bidi w:val="0"/>
        <w:adjustRightInd w:val="0"/>
        <w:spacing w:before="40"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资</w:t>
      </w:r>
      <w:r>
        <w:rPr>
          <w:rFonts w:hint="eastAsia" w:ascii="宋体" w:hAnsi="宋体" w:eastAsia="宋体" w:cs="宋体"/>
          <w:color w:val="auto"/>
          <w:spacing w:val="-2"/>
          <w:kern w:val="0"/>
          <w:szCs w:val="21"/>
          <w:highlight w:val="none"/>
        </w:rPr>
        <w:t>格</w:t>
      </w:r>
      <w:r>
        <w:rPr>
          <w:rFonts w:hint="eastAsia" w:ascii="宋体" w:hAnsi="宋体" w:eastAsia="宋体" w:cs="宋体"/>
          <w:color w:val="auto"/>
          <w:kern w:val="0"/>
          <w:szCs w:val="21"/>
          <w:highlight w:val="none"/>
        </w:rPr>
        <w:t>审</w:t>
      </w:r>
      <w:r>
        <w:rPr>
          <w:rFonts w:hint="eastAsia" w:ascii="宋体" w:hAnsi="宋体" w:eastAsia="宋体" w:cs="宋体"/>
          <w:color w:val="auto"/>
          <w:spacing w:val="-2"/>
          <w:kern w:val="0"/>
          <w:szCs w:val="21"/>
          <w:highlight w:val="none"/>
        </w:rPr>
        <w:t>查</w:t>
      </w:r>
      <w:r>
        <w:rPr>
          <w:rFonts w:hint="eastAsia" w:ascii="宋体" w:hAnsi="宋体" w:eastAsia="宋体" w:cs="宋体"/>
          <w:color w:val="auto"/>
          <w:kern w:val="0"/>
          <w:szCs w:val="21"/>
          <w:highlight w:val="none"/>
        </w:rPr>
        <w:t>资</w:t>
      </w:r>
      <w:r>
        <w:rPr>
          <w:rFonts w:hint="eastAsia" w:ascii="宋体" w:hAnsi="宋体" w:eastAsia="宋体" w:cs="宋体"/>
          <w:color w:val="auto"/>
          <w:spacing w:val="-3"/>
          <w:kern w:val="0"/>
          <w:szCs w:val="21"/>
          <w:highlight w:val="none"/>
        </w:rPr>
        <w:t>料</w:t>
      </w:r>
      <w:r>
        <w:rPr>
          <w:rFonts w:hint="eastAsia" w:ascii="宋体" w:hAnsi="宋体" w:eastAsia="宋体" w:cs="宋体"/>
          <w:color w:val="auto"/>
          <w:kern w:val="0"/>
          <w:szCs w:val="21"/>
          <w:highlight w:val="none"/>
        </w:rPr>
        <w:t>；</w:t>
      </w:r>
    </w:p>
    <w:p w14:paraId="7C3C4C2D">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商务技术资料；</w:t>
      </w:r>
    </w:p>
    <w:p w14:paraId="2753FCE3">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spacing w:val="-2"/>
          <w:kern w:val="0"/>
          <w:szCs w:val="21"/>
          <w:highlight w:val="none"/>
          <w:lang w:val="en-US" w:eastAsia="zh-CN"/>
        </w:rPr>
      </w:pPr>
      <w:r>
        <w:rPr>
          <w:rFonts w:hint="eastAsia" w:ascii="宋体" w:hAnsi="宋体" w:eastAsia="宋体" w:cs="宋体"/>
          <w:color w:val="auto"/>
          <w:kern w:val="0"/>
          <w:szCs w:val="21"/>
          <w:highlight w:val="none"/>
        </w:rPr>
        <w:t>（9</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投标报</w:t>
      </w:r>
      <w:r>
        <w:rPr>
          <w:rFonts w:hint="eastAsia" w:ascii="宋体" w:hAnsi="宋体" w:eastAsia="宋体" w:cs="宋体"/>
          <w:color w:val="auto"/>
          <w:spacing w:val="-2"/>
          <w:kern w:val="0"/>
          <w:szCs w:val="21"/>
          <w:highlight w:val="none"/>
        </w:rPr>
        <w:t>价</w:t>
      </w:r>
      <w:r>
        <w:rPr>
          <w:rFonts w:hint="eastAsia" w:ascii="宋体" w:hAnsi="宋体" w:eastAsia="宋体" w:cs="宋体"/>
          <w:color w:val="auto"/>
          <w:kern w:val="0"/>
          <w:szCs w:val="21"/>
          <w:highlight w:val="none"/>
        </w:rPr>
        <w:t>表</w:t>
      </w:r>
      <w:r>
        <w:rPr>
          <w:rFonts w:hint="eastAsia" w:ascii="宋体" w:hAnsi="宋体" w:eastAsia="宋体" w:cs="宋体"/>
          <w:color w:val="auto"/>
          <w:kern w:val="0"/>
          <w:szCs w:val="21"/>
          <w:highlight w:val="none"/>
          <w:lang w:val="en-US" w:eastAsia="zh-CN"/>
        </w:rPr>
        <w:t>；</w:t>
      </w:r>
    </w:p>
    <w:p w14:paraId="1DBF1F3D">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12"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spacing w:val="-2"/>
          <w:kern w:val="0"/>
          <w:szCs w:val="21"/>
          <w:highlight w:val="none"/>
          <w:lang w:eastAsia="zh-CN"/>
        </w:rPr>
        <w:t>（</w:t>
      </w:r>
      <w:r>
        <w:rPr>
          <w:rFonts w:hint="eastAsia" w:ascii="宋体" w:hAnsi="宋体" w:cs="宋体"/>
          <w:color w:val="auto"/>
          <w:spacing w:val="-2"/>
          <w:kern w:val="0"/>
          <w:szCs w:val="21"/>
          <w:highlight w:val="none"/>
          <w:lang w:val="en-US" w:eastAsia="zh-CN"/>
        </w:rPr>
        <w:t>10）</w:t>
      </w:r>
      <w:r>
        <w:rPr>
          <w:rFonts w:hint="eastAsia" w:ascii="宋体" w:hAnsi="宋体" w:eastAsia="宋体" w:cs="宋体"/>
          <w:color w:val="auto"/>
          <w:kern w:val="0"/>
          <w:szCs w:val="21"/>
          <w:highlight w:val="none"/>
        </w:rPr>
        <w:t>缴纳招标代理服务费承诺书；</w:t>
      </w:r>
    </w:p>
    <w:p w14:paraId="4F3DC518">
      <w:pPr>
        <w:keepNext w:val="0"/>
        <w:keepLines w:val="0"/>
        <w:pageBreakBefore w:val="0"/>
        <w:widowControl w:val="0"/>
        <w:shd w:val="clear" w:color="auto" w:fill="auto"/>
        <w:kinsoku/>
        <w:wordWrap/>
        <w:overflowPunct/>
        <w:topLinePunct w:val="0"/>
        <w:autoSpaceDE w:val="0"/>
        <w:autoSpaceDN w:val="0"/>
        <w:bidi w:val="0"/>
        <w:adjustRightInd w:val="0"/>
        <w:spacing w:before="42"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）其他资料</w:t>
      </w:r>
      <w:r>
        <w:rPr>
          <w:rFonts w:hint="eastAsia" w:ascii="宋体" w:hAnsi="宋体" w:cs="宋体"/>
          <w:color w:val="auto"/>
          <w:kern w:val="0"/>
          <w:szCs w:val="21"/>
          <w:highlight w:val="none"/>
          <w:lang w:eastAsia="zh-CN"/>
        </w:rPr>
        <w:t>；</w:t>
      </w:r>
    </w:p>
    <w:p w14:paraId="003CADEC">
      <w:pPr>
        <w:keepNext w:val="0"/>
        <w:keepLines w:val="0"/>
        <w:pageBreakBefore w:val="0"/>
        <w:widowControl w:val="0"/>
        <w:shd w:val="clear" w:color="auto" w:fill="auto"/>
        <w:kinsoku/>
        <w:wordWrap/>
        <w:overflowPunct/>
        <w:topLinePunct w:val="0"/>
        <w:autoSpaceDE w:val="0"/>
        <w:autoSpaceDN w:val="0"/>
        <w:bidi w:val="0"/>
        <w:adjustRightInd w:val="0"/>
        <w:spacing w:before="66"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我</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承</w:t>
      </w:r>
      <w:r>
        <w:rPr>
          <w:rFonts w:hint="eastAsia" w:ascii="宋体" w:hAnsi="宋体" w:eastAsia="宋体" w:cs="宋体"/>
          <w:color w:val="auto"/>
          <w:kern w:val="0"/>
          <w:szCs w:val="21"/>
          <w:highlight w:val="none"/>
        </w:rPr>
        <w:t>诺</w:t>
      </w:r>
      <w:r>
        <w:rPr>
          <w:rFonts w:hint="eastAsia" w:ascii="宋体" w:hAnsi="宋体" w:eastAsia="宋体" w:cs="宋体"/>
          <w:color w:val="auto"/>
          <w:spacing w:val="-3"/>
          <w:kern w:val="0"/>
          <w:szCs w:val="21"/>
          <w:highlight w:val="none"/>
        </w:rPr>
        <w:t>除</w:t>
      </w:r>
      <w:r>
        <w:rPr>
          <w:rFonts w:hint="eastAsia" w:ascii="宋体" w:hAnsi="宋体" w:eastAsia="宋体" w:cs="宋体"/>
          <w:color w:val="auto"/>
          <w:kern w:val="0"/>
          <w:szCs w:val="21"/>
          <w:highlight w:val="none"/>
        </w:rPr>
        <w:t>商务</w:t>
      </w:r>
      <w:r>
        <w:rPr>
          <w:rFonts w:hint="eastAsia" w:ascii="宋体" w:hAnsi="宋体" w:eastAsia="宋体" w:cs="宋体"/>
          <w:color w:val="auto"/>
          <w:spacing w:val="-2"/>
          <w:kern w:val="0"/>
          <w:szCs w:val="21"/>
          <w:highlight w:val="none"/>
        </w:rPr>
        <w:t>和技</w:t>
      </w:r>
      <w:r>
        <w:rPr>
          <w:rFonts w:hint="eastAsia" w:ascii="宋体" w:hAnsi="宋体" w:eastAsia="宋体" w:cs="宋体"/>
          <w:color w:val="auto"/>
          <w:spacing w:val="1"/>
          <w:kern w:val="0"/>
          <w:szCs w:val="21"/>
          <w:highlight w:val="none"/>
        </w:rPr>
        <w:t>术</w:t>
      </w:r>
      <w:r>
        <w:rPr>
          <w:rFonts w:hint="eastAsia" w:ascii="宋体" w:hAnsi="宋体" w:eastAsia="宋体" w:cs="宋体"/>
          <w:color w:val="auto"/>
          <w:kern w:val="0"/>
          <w:szCs w:val="21"/>
          <w:highlight w:val="none"/>
        </w:rPr>
        <w:t>偏</w:t>
      </w:r>
      <w:r>
        <w:rPr>
          <w:rFonts w:hint="eastAsia" w:ascii="宋体" w:hAnsi="宋体" w:eastAsia="宋体" w:cs="宋体"/>
          <w:color w:val="auto"/>
          <w:spacing w:val="-2"/>
          <w:kern w:val="0"/>
          <w:szCs w:val="21"/>
          <w:highlight w:val="none"/>
        </w:rPr>
        <w:t>差</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列</w:t>
      </w:r>
      <w:r>
        <w:rPr>
          <w:rFonts w:hint="eastAsia" w:ascii="宋体" w:hAnsi="宋体" w:eastAsia="宋体" w:cs="宋体"/>
          <w:color w:val="auto"/>
          <w:kern w:val="0"/>
          <w:szCs w:val="21"/>
          <w:highlight w:val="none"/>
        </w:rPr>
        <w:t>出</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偏</w:t>
      </w:r>
      <w:r>
        <w:rPr>
          <w:rFonts w:hint="eastAsia" w:ascii="宋体" w:hAnsi="宋体" w:eastAsia="宋体" w:cs="宋体"/>
          <w:color w:val="auto"/>
          <w:spacing w:val="-2"/>
          <w:kern w:val="0"/>
          <w:szCs w:val="21"/>
          <w:highlight w:val="none"/>
        </w:rPr>
        <w:t>差</w:t>
      </w:r>
      <w:r>
        <w:rPr>
          <w:rFonts w:hint="eastAsia" w:ascii="宋体" w:hAnsi="宋体" w:eastAsia="宋体" w:cs="宋体"/>
          <w:color w:val="auto"/>
          <w:kern w:val="0"/>
          <w:szCs w:val="21"/>
          <w:highlight w:val="none"/>
        </w:rPr>
        <w:t>外</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我方</w:t>
      </w:r>
      <w:r>
        <w:rPr>
          <w:rFonts w:hint="eastAsia" w:ascii="宋体" w:hAnsi="宋体" w:eastAsia="宋体" w:cs="宋体"/>
          <w:color w:val="auto"/>
          <w:spacing w:val="-2"/>
          <w:kern w:val="0"/>
          <w:szCs w:val="21"/>
          <w:highlight w:val="none"/>
        </w:rPr>
        <w:t>响</w:t>
      </w:r>
      <w:r>
        <w:rPr>
          <w:rFonts w:hint="eastAsia" w:ascii="宋体" w:hAnsi="宋体" w:eastAsia="宋体" w:cs="宋体"/>
          <w:color w:val="auto"/>
          <w:kern w:val="0"/>
          <w:szCs w:val="21"/>
          <w:highlight w:val="none"/>
        </w:rPr>
        <w:t>应</w:t>
      </w:r>
      <w:r>
        <w:rPr>
          <w:rFonts w:hint="eastAsia" w:ascii="宋体" w:hAnsi="宋体" w:eastAsia="宋体" w:cs="宋体"/>
          <w:color w:val="auto"/>
          <w:spacing w:val="-2"/>
          <w:kern w:val="0"/>
          <w:szCs w:val="21"/>
          <w:highlight w:val="none"/>
        </w:rPr>
        <w:t>招</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全</w:t>
      </w:r>
      <w:r>
        <w:rPr>
          <w:rFonts w:hint="eastAsia" w:ascii="宋体" w:hAnsi="宋体" w:eastAsia="宋体" w:cs="宋体"/>
          <w:color w:val="auto"/>
          <w:spacing w:val="-2"/>
          <w:kern w:val="0"/>
          <w:szCs w:val="21"/>
          <w:highlight w:val="none"/>
        </w:rPr>
        <w:t>部</w:t>
      </w:r>
      <w:r>
        <w:rPr>
          <w:rFonts w:hint="eastAsia" w:ascii="宋体" w:hAnsi="宋体" w:eastAsia="宋体" w:cs="宋体"/>
          <w:color w:val="auto"/>
          <w:kern w:val="0"/>
          <w:szCs w:val="21"/>
          <w:highlight w:val="none"/>
        </w:rPr>
        <w:t>要求</w:t>
      </w:r>
      <w:r>
        <w:rPr>
          <w:rFonts w:hint="eastAsia" w:ascii="宋体" w:hAnsi="宋体" w:cs="宋体"/>
          <w:color w:val="auto"/>
          <w:kern w:val="0"/>
          <w:szCs w:val="21"/>
          <w:highlight w:val="none"/>
          <w:lang w:val="en-US" w:eastAsia="zh-CN"/>
        </w:rPr>
        <w:t>且</w:t>
      </w:r>
      <w:r>
        <w:rPr>
          <w:rFonts w:hint="eastAsia" w:ascii="宋体" w:hAnsi="宋体" w:eastAsia="宋体" w:cs="宋体"/>
          <w:color w:val="auto"/>
          <w:spacing w:val="-2"/>
          <w:kern w:val="0"/>
          <w:szCs w:val="21"/>
          <w:highlight w:val="none"/>
          <w:lang w:eastAsia="zh-CN"/>
        </w:rPr>
        <w:t>权利义务满足招标文件规定</w:t>
      </w:r>
      <w:r>
        <w:rPr>
          <w:rFonts w:hint="eastAsia" w:ascii="宋体" w:hAnsi="宋体" w:eastAsia="宋体" w:cs="宋体"/>
          <w:color w:val="auto"/>
          <w:kern w:val="0"/>
          <w:szCs w:val="21"/>
          <w:highlight w:val="none"/>
        </w:rPr>
        <w:t>。</w:t>
      </w:r>
    </w:p>
    <w:p w14:paraId="4BA274C1">
      <w:pPr>
        <w:keepNext w:val="0"/>
        <w:keepLines w:val="0"/>
        <w:pageBreakBefore w:val="0"/>
        <w:widowControl w:val="0"/>
        <w:shd w:val="clear" w:color="auto" w:fill="auto"/>
        <w:kinsoku/>
        <w:wordWrap/>
        <w:overflowPunct/>
        <w:topLinePunct w:val="0"/>
        <w:autoSpaceDE w:val="0"/>
        <w:autoSpaceDN w:val="0"/>
        <w:bidi w:val="0"/>
        <w:adjustRightInd w:val="0"/>
        <w:spacing w:before="79"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我</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承</w:t>
      </w:r>
      <w:r>
        <w:rPr>
          <w:rFonts w:hint="eastAsia" w:ascii="宋体" w:hAnsi="宋体" w:eastAsia="宋体" w:cs="宋体"/>
          <w:color w:val="auto"/>
          <w:kern w:val="0"/>
          <w:szCs w:val="21"/>
          <w:highlight w:val="none"/>
        </w:rPr>
        <w:t>诺</w:t>
      </w:r>
      <w:r>
        <w:rPr>
          <w:rFonts w:hint="eastAsia" w:ascii="宋体" w:hAnsi="宋体" w:eastAsia="宋体" w:cs="宋体"/>
          <w:color w:val="auto"/>
          <w:spacing w:val="-2"/>
          <w:kern w:val="0"/>
          <w:szCs w:val="21"/>
          <w:highlight w:val="none"/>
        </w:rPr>
        <w:t>在</w:t>
      </w:r>
      <w:r>
        <w:rPr>
          <w:rFonts w:hint="eastAsia" w:ascii="宋体" w:hAnsi="宋体" w:eastAsia="宋体" w:cs="宋体"/>
          <w:color w:val="auto"/>
          <w:kern w:val="0"/>
          <w:szCs w:val="21"/>
          <w:highlight w:val="none"/>
        </w:rPr>
        <w:t>招</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件规</w:t>
      </w:r>
      <w:r>
        <w:rPr>
          <w:rFonts w:hint="eastAsia" w:ascii="宋体" w:hAnsi="宋体" w:eastAsia="宋体" w:cs="宋体"/>
          <w:color w:val="auto"/>
          <w:kern w:val="0"/>
          <w:szCs w:val="21"/>
          <w:highlight w:val="none"/>
        </w:rPr>
        <w:t>定的</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有</w:t>
      </w:r>
      <w:r>
        <w:rPr>
          <w:rFonts w:hint="eastAsia" w:ascii="宋体" w:hAnsi="宋体" w:eastAsia="宋体" w:cs="宋体"/>
          <w:color w:val="auto"/>
          <w:kern w:val="0"/>
          <w:szCs w:val="21"/>
          <w:highlight w:val="none"/>
        </w:rPr>
        <w:t>效</w:t>
      </w:r>
      <w:r>
        <w:rPr>
          <w:rFonts w:hint="eastAsia" w:ascii="宋体" w:hAnsi="宋体" w:eastAsia="宋体" w:cs="宋体"/>
          <w:color w:val="auto"/>
          <w:spacing w:val="-2"/>
          <w:kern w:val="0"/>
          <w:szCs w:val="21"/>
          <w:highlight w:val="none"/>
        </w:rPr>
        <w:t>期</w:t>
      </w:r>
      <w:r>
        <w:rPr>
          <w:rFonts w:hint="eastAsia" w:ascii="宋体" w:hAnsi="宋体" w:eastAsia="宋体" w:cs="宋体"/>
          <w:color w:val="auto"/>
          <w:kern w:val="0"/>
          <w:szCs w:val="21"/>
          <w:highlight w:val="none"/>
        </w:rPr>
        <w:t>内</w:t>
      </w:r>
      <w:r>
        <w:rPr>
          <w:rFonts w:hint="eastAsia" w:ascii="宋体" w:hAnsi="宋体" w:eastAsia="宋体" w:cs="宋体"/>
          <w:color w:val="auto"/>
          <w:spacing w:val="-2"/>
          <w:kern w:val="0"/>
          <w:szCs w:val="21"/>
          <w:highlight w:val="none"/>
        </w:rPr>
        <w:t>不</w:t>
      </w:r>
      <w:r>
        <w:rPr>
          <w:rFonts w:hint="eastAsia" w:ascii="宋体" w:hAnsi="宋体" w:eastAsia="宋体" w:cs="宋体"/>
          <w:color w:val="auto"/>
          <w:kern w:val="0"/>
          <w:szCs w:val="21"/>
          <w:highlight w:val="none"/>
        </w:rPr>
        <w:t>撤</w:t>
      </w:r>
      <w:r>
        <w:rPr>
          <w:rFonts w:hint="eastAsia" w:ascii="宋体" w:hAnsi="宋体" w:eastAsia="宋体" w:cs="宋体"/>
          <w:color w:val="auto"/>
          <w:spacing w:val="-2"/>
          <w:kern w:val="0"/>
          <w:szCs w:val="21"/>
          <w:highlight w:val="none"/>
        </w:rPr>
        <w:t>销</w:t>
      </w:r>
      <w:r>
        <w:rPr>
          <w:rFonts w:hint="eastAsia" w:ascii="宋体" w:hAnsi="宋体" w:eastAsia="宋体" w:cs="宋体"/>
          <w:color w:val="auto"/>
          <w:kern w:val="0"/>
          <w:szCs w:val="21"/>
          <w:highlight w:val="none"/>
        </w:rPr>
        <w:t>投标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p>
    <w:p w14:paraId="4BF2E528">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如</w:t>
      </w:r>
      <w:r>
        <w:rPr>
          <w:rFonts w:hint="eastAsia" w:ascii="宋体" w:hAnsi="宋体" w:eastAsia="宋体" w:cs="宋体"/>
          <w:color w:val="auto"/>
          <w:kern w:val="0"/>
          <w:szCs w:val="21"/>
          <w:highlight w:val="none"/>
        </w:rPr>
        <w:t>我</w:t>
      </w:r>
      <w:r>
        <w:rPr>
          <w:rFonts w:hint="eastAsia" w:ascii="宋体" w:hAnsi="宋体" w:eastAsia="宋体" w:cs="宋体"/>
          <w:color w:val="auto"/>
          <w:spacing w:val="-2"/>
          <w:kern w:val="0"/>
          <w:szCs w:val="21"/>
          <w:highlight w:val="none"/>
        </w:rPr>
        <w:t>方</w:t>
      </w:r>
      <w:r>
        <w:rPr>
          <w:rFonts w:hint="eastAsia" w:ascii="宋体" w:hAnsi="宋体" w:eastAsia="宋体" w:cs="宋体"/>
          <w:color w:val="auto"/>
          <w:kern w:val="0"/>
          <w:szCs w:val="21"/>
          <w:highlight w:val="none"/>
        </w:rPr>
        <w:t>中</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我</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承诺</w:t>
      </w:r>
      <w:r>
        <w:rPr>
          <w:rFonts w:hint="eastAsia" w:ascii="宋体" w:hAnsi="宋体" w:eastAsia="宋体" w:cs="宋体"/>
          <w:color w:val="auto"/>
          <w:kern w:val="0"/>
          <w:szCs w:val="21"/>
          <w:highlight w:val="none"/>
        </w:rPr>
        <w:t>：</w:t>
      </w:r>
    </w:p>
    <w:p w14:paraId="4AA44748">
      <w:pPr>
        <w:keepNext w:val="0"/>
        <w:keepLines w:val="0"/>
        <w:pageBreakBefore w:val="0"/>
        <w:widowControl w:val="0"/>
        <w:shd w:val="clear" w:color="auto" w:fill="auto"/>
        <w:kinsoku/>
        <w:wordWrap/>
        <w:overflowPunct/>
        <w:topLinePunct w:val="0"/>
        <w:autoSpaceDE w:val="0"/>
        <w:autoSpaceDN w:val="0"/>
        <w:bidi w:val="0"/>
        <w:adjustRightInd w:val="0"/>
        <w:spacing w:before="81"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在</w:t>
      </w:r>
      <w:r>
        <w:rPr>
          <w:rFonts w:hint="eastAsia" w:ascii="宋体" w:hAnsi="宋体" w:eastAsia="宋体" w:cs="宋体"/>
          <w:color w:val="auto"/>
          <w:spacing w:val="-2"/>
          <w:kern w:val="0"/>
          <w:szCs w:val="21"/>
          <w:highlight w:val="none"/>
        </w:rPr>
        <w:t>收</w:t>
      </w:r>
      <w:r>
        <w:rPr>
          <w:rFonts w:hint="eastAsia" w:ascii="宋体" w:hAnsi="宋体" w:eastAsia="宋体" w:cs="宋体"/>
          <w:color w:val="auto"/>
          <w:kern w:val="0"/>
          <w:szCs w:val="21"/>
          <w:highlight w:val="none"/>
        </w:rPr>
        <w:t>到</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通</w:t>
      </w:r>
      <w:r>
        <w:rPr>
          <w:rFonts w:hint="eastAsia" w:ascii="宋体" w:hAnsi="宋体" w:eastAsia="宋体" w:cs="宋体"/>
          <w:color w:val="auto"/>
          <w:kern w:val="0"/>
          <w:szCs w:val="21"/>
          <w:highlight w:val="none"/>
        </w:rPr>
        <w:t>知</w:t>
      </w:r>
      <w:r>
        <w:rPr>
          <w:rFonts w:hint="eastAsia" w:ascii="宋体" w:hAnsi="宋体" w:eastAsia="宋体" w:cs="宋体"/>
          <w:color w:val="auto"/>
          <w:spacing w:val="-2"/>
          <w:kern w:val="0"/>
          <w:szCs w:val="21"/>
          <w:highlight w:val="none"/>
        </w:rPr>
        <w:t>书后</w:t>
      </w:r>
      <w:r>
        <w:rPr>
          <w:rFonts w:hint="eastAsia" w:ascii="宋体" w:hAnsi="宋体" w:eastAsia="宋体" w:cs="宋体"/>
          <w:color w:val="auto"/>
          <w:kern w:val="0"/>
          <w:szCs w:val="21"/>
          <w:highlight w:val="none"/>
        </w:rPr>
        <w:t>，在</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通</w:t>
      </w:r>
      <w:r>
        <w:rPr>
          <w:rFonts w:hint="eastAsia" w:ascii="宋体" w:hAnsi="宋体" w:eastAsia="宋体" w:cs="宋体"/>
          <w:color w:val="auto"/>
          <w:kern w:val="0"/>
          <w:szCs w:val="21"/>
          <w:highlight w:val="none"/>
        </w:rPr>
        <w:t>知</w:t>
      </w:r>
      <w:r>
        <w:rPr>
          <w:rFonts w:hint="eastAsia" w:ascii="宋体" w:hAnsi="宋体" w:eastAsia="宋体" w:cs="宋体"/>
          <w:color w:val="auto"/>
          <w:spacing w:val="-2"/>
          <w:kern w:val="0"/>
          <w:szCs w:val="21"/>
          <w:highlight w:val="none"/>
        </w:rPr>
        <w:t>书</w:t>
      </w:r>
      <w:r>
        <w:rPr>
          <w:rFonts w:hint="eastAsia" w:ascii="宋体" w:hAnsi="宋体" w:eastAsia="宋体" w:cs="宋体"/>
          <w:color w:val="auto"/>
          <w:kern w:val="0"/>
          <w:szCs w:val="21"/>
          <w:highlight w:val="none"/>
        </w:rPr>
        <w:t>规</w:t>
      </w:r>
      <w:r>
        <w:rPr>
          <w:rFonts w:hint="eastAsia" w:ascii="宋体" w:hAnsi="宋体" w:eastAsia="宋体" w:cs="宋体"/>
          <w:color w:val="auto"/>
          <w:spacing w:val="-2"/>
          <w:kern w:val="0"/>
          <w:szCs w:val="21"/>
          <w:highlight w:val="none"/>
        </w:rPr>
        <w:t>定</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期</w:t>
      </w:r>
      <w:r>
        <w:rPr>
          <w:rFonts w:hint="eastAsia" w:ascii="宋体" w:hAnsi="宋体" w:eastAsia="宋体" w:cs="宋体"/>
          <w:color w:val="auto"/>
          <w:kern w:val="0"/>
          <w:szCs w:val="21"/>
          <w:highlight w:val="none"/>
        </w:rPr>
        <w:t>限内</w:t>
      </w:r>
      <w:r>
        <w:rPr>
          <w:rFonts w:hint="eastAsia" w:ascii="宋体" w:hAnsi="宋体" w:eastAsia="宋体" w:cs="宋体"/>
          <w:color w:val="auto"/>
          <w:spacing w:val="-2"/>
          <w:kern w:val="0"/>
          <w:szCs w:val="21"/>
          <w:highlight w:val="none"/>
        </w:rPr>
        <w:t>与</w:t>
      </w:r>
      <w:r>
        <w:rPr>
          <w:rFonts w:hint="eastAsia" w:ascii="宋体" w:hAnsi="宋体" w:eastAsia="宋体" w:cs="宋体"/>
          <w:color w:val="auto"/>
          <w:kern w:val="0"/>
          <w:szCs w:val="21"/>
          <w:highlight w:val="none"/>
        </w:rPr>
        <w:t>你</w:t>
      </w:r>
      <w:r>
        <w:rPr>
          <w:rFonts w:hint="eastAsia" w:ascii="宋体" w:hAnsi="宋体" w:eastAsia="宋体" w:cs="宋体"/>
          <w:color w:val="auto"/>
          <w:spacing w:val="-2"/>
          <w:kern w:val="0"/>
          <w:szCs w:val="21"/>
          <w:highlight w:val="none"/>
        </w:rPr>
        <w:t>方</w:t>
      </w:r>
      <w:r>
        <w:rPr>
          <w:rFonts w:hint="eastAsia" w:ascii="宋体" w:hAnsi="宋体" w:eastAsia="宋体" w:cs="宋体"/>
          <w:color w:val="auto"/>
          <w:kern w:val="0"/>
          <w:szCs w:val="21"/>
          <w:highlight w:val="none"/>
        </w:rPr>
        <w:t>签</w:t>
      </w:r>
      <w:r>
        <w:rPr>
          <w:rFonts w:hint="eastAsia" w:ascii="宋体" w:hAnsi="宋体" w:eastAsia="宋体" w:cs="宋体"/>
          <w:color w:val="auto"/>
          <w:spacing w:val="-2"/>
          <w:kern w:val="0"/>
          <w:szCs w:val="21"/>
          <w:highlight w:val="none"/>
        </w:rPr>
        <w:t>订</w:t>
      </w:r>
      <w:r>
        <w:rPr>
          <w:rFonts w:hint="eastAsia" w:ascii="宋体" w:hAnsi="宋体" w:eastAsia="宋体" w:cs="宋体"/>
          <w:color w:val="auto"/>
          <w:kern w:val="0"/>
          <w:szCs w:val="21"/>
          <w:highlight w:val="none"/>
        </w:rPr>
        <w:t>合</w:t>
      </w:r>
      <w:r>
        <w:rPr>
          <w:rFonts w:hint="eastAsia" w:ascii="宋体" w:hAnsi="宋体" w:eastAsia="宋体" w:cs="宋体"/>
          <w:color w:val="auto"/>
          <w:spacing w:val="-2"/>
          <w:kern w:val="0"/>
          <w:szCs w:val="21"/>
          <w:highlight w:val="none"/>
        </w:rPr>
        <w:t>同</w:t>
      </w:r>
      <w:r>
        <w:rPr>
          <w:rFonts w:hint="eastAsia" w:ascii="宋体" w:hAnsi="宋体" w:eastAsia="宋体" w:cs="宋体"/>
          <w:color w:val="auto"/>
          <w:kern w:val="0"/>
          <w:szCs w:val="21"/>
          <w:highlight w:val="none"/>
        </w:rPr>
        <w:t>；</w:t>
      </w:r>
    </w:p>
    <w:p w14:paraId="4F69D5E2">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20" w:firstLineChars="200"/>
        <w:jc w:val="left"/>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在</w:t>
      </w:r>
      <w:r>
        <w:rPr>
          <w:rFonts w:hint="eastAsia" w:ascii="宋体" w:hAnsi="宋体" w:eastAsia="宋体" w:cs="宋体"/>
          <w:color w:val="auto"/>
          <w:spacing w:val="-2"/>
          <w:kern w:val="0"/>
          <w:szCs w:val="21"/>
          <w:highlight w:val="none"/>
        </w:rPr>
        <w:t>签</w:t>
      </w:r>
      <w:r>
        <w:rPr>
          <w:rFonts w:hint="eastAsia" w:ascii="宋体" w:hAnsi="宋体" w:eastAsia="宋体" w:cs="宋体"/>
          <w:color w:val="auto"/>
          <w:kern w:val="0"/>
          <w:szCs w:val="21"/>
          <w:highlight w:val="none"/>
        </w:rPr>
        <w:t>订</w:t>
      </w:r>
      <w:r>
        <w:rPr>
          <w:rFonts w:hint="eastAsia" w:ascii="宋体" w:hAnsi="宋体" w:eastAsia="宋体" w:cs="宋体"/>
          <w:color w:val="auto"/>
          <w:spacing w:val="-2"/>
          <w:kern w:val="0"/>
          <w:szCs w:val="21"/>
          <w:highlight w:val="none"/>
        </w:rPr>
        <w:t>合</w:t>
      </w:r>
      <w:r>
        <w:rPr>
          <w:rFonts w:hint="eastAsia" w:ascii="宋体" w:hAnsi="宋体" w:eastAsia="宋体" w:cs="宋体"/>
          <w:color w:val="auto"/>
          <w:kern w:val="0"/>
          <w:szCs w:val="21"/>
          <w:highlight w:val="none"/>
        </w:rPr>
        <w:t>同</w:t>
      </w:r>
      <w:r>
        <w:rPr>
          <w:rFonts w:hint="eastAsia" w:ascii="宋体" w:hAnsi="宋体" w:eastAsia="宋体" w:cs="宋体"/>
          <w:color w:val="auto"/>
          <w:spacing w:val="-2"/>
          <w:kern w:val="0"/>
          <w:szCs w:val="21"/>
          <w:highlight w:val="none"/>
        </w:rPr>
        <w:t>时</w:t>
      </w:r>
      <w:r>
        <w:rPr>
          <w:rFonts w:hint="eastAsia" w:ascii="宋体" w:hAnsi="宋体" w:eastAsia="宋体" w:cs="宋体"/>
          <w:color w:val="auto"/>
          <w:kern w:val="0"/>
          <w:szCs w:val="21"/>
          <w:highlight w:val="none"/>
        </w:rPr>
        <w:t>不</w:t>
      </w:r>
      <w:r>
        <w:rPr>
          <w:rFonts w:hint="eastAsia" w:ascii="宋体" w:hAnsi="宋体" w:eastAsia="宋体" w:cs="宋体"/>
          <w:color w:val="auto"/>
          <w:spacing w:val="-2"/>
          <w:kern w:val="0"/>
          <w:szCs w:val="21"/>
          <w:highlight w:val="none"/>
        </w:rPr>
        <w:t>向你</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提出附加条件；</w:t>
      </w:r>
    </w:p>
    <w:p w14:paraId="0DF86C6A">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12" w:firstLineChars="200"/>
        <w:jc w:val="left"/>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（3）按照招标文件要求提交</w:t>
      </w:r>
      <w:r>
        <w:rPr>
          <w:rFonts w:hint="eastAsia" w:ascii="宋体" w:hAnsi="宋体" w:cs="宋体"/>
          <w:color w:val="auto"/>
          <w:spacing w:val="-2"/>
          <w:kern w:val="0"/>
          <w:szCs w:val="21"/>
          <w:highlight w:val="none"/>
          <w:lang w:eastAsia="zh-CN"/>
        </w:rPr>
        <w:t>履约担保</w:t>
      </w:r>
      <w:r>
        <w:rPr>
          <w:rFonts w:hint="eastAsia" w:ascii="宋体" w:hAnsi="宋体" w:eastAsia="宋体" w:cs="宋体"/>
          <w:color w:val="auto"/>
          <w:spacing w:val="-2"/>
          <w:kern w:val="0"/>
          <w:szCs w:val="21"/>
          <w:highlight w:val="none"/>
        </w:rPr>
        <w:t>；</w:t>
      </w:r>
    </w:p>
    <w:p w14:paraId="1E77648F">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12" w:firstLineChars="200"/>
        <w:jc w:val="left"/>
        <w:textAlignment w:val="auto"/>
        <w:rPr>
          <w:rFonts w:hint="eastAsia" w:ascii="宋体" w:hAnsi="宋体" w:eastAsia="宋体" w:cs="宋体"/>
          <w:color w:val="auto"/>
          <w:spacing w:val="-2"/>
          <w:kern w:val="0"/>
          <w:szCs w:val="21"/>
          <w:highlight w:val="none"/>
          <w:lang w:eastAsia="zh-CN"/>
        </w:rPr>
      </w:pPr>
      <w:r>
        <w:rPr>
          <w:rFonts w:hint="eastAsia" w:ascii="宋体" w:hAnsi="宋体" w:eastAsia="宋体" w:cs="宋体"/>
          <w:color w:val="auto"/>
          <w:spacing w:val="-2"/>
          <w:kern w:val="0"/>
          <w:szCs w:val="21"/>
          <w:highlight w:val="none"/>
        </w:rPr>
        <w:t>（4）我方中标后，如因招标人的原因取消采购的或采购数量减少，我方不得因此向招标人提出任何索赔</w:t>
      </w:r>
      <w:r>
        <w:rPr>
          <w:rFonts w:hint="eastAsia" w:ascii="宋体" w:hAnsi="宋体" w:eastAsia="宋体" w:cs="宋体"/>
          <w:color w:val="auto"/>
          <w:spacing w:val="-2"/>
          <w:kern w:val="0"/>
          <w:szCs w:val="21"/>
          <w:highlight w:val="none"/>
          <w:lang w:eastAsia="zh-CN"/>
        </w:rPr>
        <w:t>；</w:t>
      </w:r>
    </w:p>
    <w:p w14:paraId="1E38AA1B">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12" w:firstLineChars="200"/>
        <w:jc w:val="left"/>
        <w:textAlignment w:val="auto"/>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（5）在合同约定的期限内完成合同规定的全部义务。</w:t>
      </w:r>
    </w:p>
    <w:p w14:paraId="188A0B09">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12" w:firstLineChars="200"/>
        <w:jc w:val="left"/>
        <w:textAlignment w:val="auto"/>
        <w:rPr>
          <w:rFonts w:hint="eastAsia" w:ascii="宋体" w:hAnsi="宋体" w:eastAsia="宋体" w:cs="宋体"/>
          <w:color w:val="auto"/>
          <w:spacing w:val="-2"/>
          <w:kern w:val="0"/>
          <w:szCs w:val="21"/>
          <w:highlight w:val="none"/>
          <w:lang w:eastAsia="zh-CN"/>
        </w:rPr>
      </w:pPr>
      <w:r>
        <w:rPr>
          <w:rFonts w:hint="eastAsia" w:ascii="宋体" w:hAnsi="宋体" w:eastAsia="宋体" w:cs="宋体"/>
          <w:color w:val="auto"/>
          <w:spacing w:val="-2"/>
          <w:kern w:val="0"/>
          <w:szCs w:val="21"/>
          <w:highlight w:val="none"/>
          <w:lang w:eastAsia="zh-CN"/>
        </w:rPr>
        <w:t>（</w:t>
      </w:r>
      <w:r>
        <w:rPr>
          <w:rFonts w:hint="eastAsia" w:ascii="宋体" w:hAnsi="宋体" w:eastAsia="宋体" w:cs="宋体"/>
          <w:color w:val="auto"/>
          <w:spacing w:val="-2"/>
          <w:kern w:val="0"/>
          <w:szCs w:val="21"/>
          <w:highlight w:val="none"/>
          <w:lang w:val="en-US" w:eastAsia="zh-CN"/>
        </w:rPr>
        <w:t>6</w:t>
      </w:r>
      <w:r>
        <w:rPr>
          <w:rFonts w:hint="eastAsia" w:ascii="宋体" w:hAnsi="宋体" w:eastAsia="宋体" w:cs="宋体"/>
          <w:color w:val="auto"/>
          <w:spacing w:val="-2"/>
          <w:kern w:val="0"/>
          <w:szCs w:val="21"/>
          <w:highlight w:val="none"/>
          <w:lang w:eastAsia="zh-CN"/>
        </w:rPr>
        <w:t>）</w:t>
      </w:r>
      <w:r>
        <w:rPr>
          <w:rFonts w:hint="eastAsia" w:ascii="宋体" w:hAnsi="宋体" w:eastAsia="宋体" w:cs="宋体"/>
          <w:color w:val="auto"/>
          <w:spacing w:val="-2"/>
          <w:kern w:val="0"/>
          <w:szCs w:val="21"/>
          <w:highlight w:val="none"/>
        </w:rPr>
        <w:t>我方承诺在招标文件规定的投标有效期内不撤销投标文件</w:t>
      </w:r>
      <w:r>
        <w:rPr>
          <w:rFonts w:hint="eastAsia" w:ascii="宋体" w:hAnsi="宋体" w:eastAsia="宋体" w:cs="宋体"/>
          <w:color w:val="auto"/>
          <w:spacing w:val="-2"/>
          <w:kern w:val="0"/>
          <w:szCs w:val="21"/>
          <w:highlight w:val="none"/>
          <w:lang w:eastAsia="zh-CN"/>
        </w:rPr>
        <w:t>。</w:t>
      </w:r>
    </w:p>
    <w:p w14:paraId="2FC60EDD">
      <w:pPr>
        <w:keepNext w:val="0"/>
        <w:keepLines w:val="0"/>
        <w:pageBreakBefore w:val="0"/>
        <w:widowControl w:val="0"/>
        <w:numPr>
          <w:ilvl w:val="-1"/>
          <w:numId w:val="0"/>
        </w:numPr>
        <w:shd w:val="clear" w:color="auto" w:fill="auto"/>
        <w:kinsoku/>
        <w:wordWrap/>
        <w:overflowPunct/>
        <w:topLinePunct w:val="0"/>
        <w:autoSpaceDE w:val="0"/>
        <w:autoSpaceDN w:val="0"/>
        <w:bidi w:val="0"/>
        <w:adjustRightInd w:val="0"/>
        <w:spacing w:before="85" w:line="360" w:lineRule="auto"/>
        <w:ind w:right="-20"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我方在此声明，所递交的投标文件及有关资料内容完整、真实和准确，且不存在第二章“投标人须知”第1.4.3项规定的任何一种情形。</w:t>
      </w:r>
    </w:p>
    <w:p w14:paraId="79A38FF2">
      <w:pPr>
        <w:keepNext w:val="0"/>
        <w:keepLines w:val="0"/>
        <w:pageBreakBefore w:val="0"/>
        <w:widowControl w:val="0"/>
        <w:shd w:val="clear" w:color="auto" w:fill="auto"/>
        <w:kinsoku/>
        <w:wordWrap/>
        <w:overflowPunct/>
        <w:topLinePunct w:val="0"/>
        <w:autoSpaceDE w:val="0"/>
        <w:autoSpaceDN w:val="0"/>
        <w:bidi w:val="0"/>
        <w:adjustRightInd w:val="0"/>
        <w:spacing w:before="83" w:line="360" w:lineRule="auto"/>
        <w:ind w:right="-20"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.在合同协议书正式签署生效之前，本投标函连同你方的中标通知书将构成我们双方之间共同遵守的文件，</w:t>
      </w:r>
      <w:r>
        <w:rPr>
          <w:rFonts w:hint="eastAsia" w:ascii="宋体" w:hAnsi="宋体" w:eastAsia="宋体" w:cs="宋体"/>
          <w:color w:val="auto"/>
          <w:kern w:val="0"/>
          <w:szCs w:val="21"/>
          <w:highlight w:val="none"/>
        </w:rPr>
        <w:t>对双方具有约束力</w:t>
      </w:r>
      <w:r>
        <w:rPr>
          <w:rFonts w:hint="eastAsia" w:ascii="宋体" w:hAnsi="宋体" w:eastAsia="宋体" w:cs="宋体"/>
          <w:color w:val="auto"/>
          <w:kern w:val="0"/>
          <w:szCs w:val="21"/>
          <w:highlight w:val="none"/>
          <w:lang w:eastAsia="zh-CN"/>
        </w:rPr>
        <w:t>。</w:t>
      </w:r>
    </w:p>
    <w:p w14:paraId="7E92C18D">
      <w:pPr>
        <w:keepNext w:val="0"/>
        <w:keepLines w:val="0"/>
        <w:pageBreakBefore w:val="0"/>
        <w:widowControl w:val="0"/>
        <w:shd w:val="clear" w:color="auto" w:fill="auto"/>
        <w:tabs>
          <w:tab w:val="left" w:pos="3880"/>
        </w:tabs>
        <w:kinsoku/>
        <w:wordWrap/>
        <w:overflowPunct/>
        <w:topLinePunct w:val="0"/>
        <w:autoSpaceDE w:val="0"/>
        <w:autoSpaceDN w:val="0"/>
        <w:bidi w:val="0"/>
        <w:adjustRightInd w:val="0"/>
        <w:snapToGrid/>
        <w:spacing w:before="81" w:line="360" w:lineRule="auto"/>
        <w:ind w:right="0"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0"/>
          <w:kern w:val="0"/>
          <w:sz w:val="21"/>
          <w:szCs w:val="21"/>
          <w:highlight w:val="none"/>
        </w:rPr>
        <w:t>（其他补充说明）。</w:t>
      </w:r>
    </w:p>
    <w:p w14:paraId="0BAD9A40">
      <w:pPr>
        <w:pStyle w:val="11"/>
        <w:keepNext w:val="0"/>
        <w:keepLines w:val="0"/>
        <w:pageBreakBefore w:val="0"/>
        <w:widowControl w:val="0"/>
        <w:shd w:val="clear" w:color="auto" w:fill="auto"/>
        <w:tabs>
          <w:tab w:val="left" w:pos="7541"/>
        </w:tabs>
        <w:kinsoku/>
        <w:wordWrap/>
        <w:overflowPunct/>
        <w:topLinePunct w:val="0"/>
        <w:autoSpaceDE w:val="0"/>
        <w:autoSpaceDN w:val="0"/>
        <w:bidi w:val="0"/>
        <w:snapToGrid w:val="0"/>
        <w:spacing w:line="360" w:lineRule="auto"/>
        <w:ind w:left="2921"/>
        <w:textAlignment w:val="auto"/>
        <w:rPr>
          <w:rFonts w:hint="default" w:ascii="宋体" w:hAnsi="宋体" w:eastAsia="宋体" w:cs="宋体"/>
          <w:color w:val="auto"/>
          <w:spacing w:val="-3"/>
          <w:highlight w:val="none"/>
          <w:u w:val="single"/>
          <w:lang w:val="en-US" w:eastAsia="zh-CN"/>
        </w:rPr>
      </w:pPr>
      <w:r>
        <w:rPr>
          <w:rFonts w:hint="eastAsia" w:ascii="宋体" w:hAnsi="宋体" w:eastAsia="宋体" w:cs="宋体"/>
          <w:color w:val="auto"/>
          <w:highlight w:val="none"/>
        </w:rPr>
        <w:t>投标人</w:t>
      </w:r>
      <w:r>
        <w:rPr>
          <w:rFonts w:hint="eastAsia" w:ascii="宋体" w:hAnsi="宋体" w:cs="宋体"/>
          <w:color w:val="auto"/>
          <w:highlight w:val="none"/>
          <w:lang w:val="en-US" w:eastAsia="zh-CN"/>
        </w:rPr>
        <w:t>名称</w:t>
      </w:r>
      <w:r>
        <w:rPr>
          <w:rFonts w:hint="eastAsia" w:ascii="宋体" w:hAnsi="宋体" w:eastAsia="宋体" w:cs="宋体"/>
          <w:color w:val="auto"/>
          <w:highlight w:val="none"/>
        </w:rPr>
        <w:t>（盖</w:t>
      </w:r>
      <w:r>
        <w:rPr>
          <w:rFonts w:hint="eastAsia" w:ascii="宋体" w:hAnsi="宋体" w:cs="宋体"/>
          <w:color w:val="auto"/>
          <w:spacing w:val="-3"/>
          <w:highlight w:val="none"/>
          <w:lang w:eastAsia="zh-CN"/>
        </w:rPr>
        <w:t>单位公章</w:t>
      </w:r>
      <w:r>
        <w:rPr>
          <w:rFonts w:hint="eastAsia" w:ascii="宋体" w:hAnsi="宋体" w:eastAsia="宋体" w:cs="宋体"/>
          <w:color w:val="auto"/>
          <w:highlight w:val="none"/>
        </w:rPr>
        <w:t>）</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rPr>
        <w:tab/>
      </w:r>
      <w:r>
        <w:rPr>
          <w:rFonts w:hint="eastAsia" w:ascii="宋体" w:hAnsi="宋体" w:cs="宋体"/>
          <w:color w:val="auto"/>
          <w:spacing w:val="-3"/>
          <w:highlight w:val="none"/>
          <w:u w:val="single"/>
          <w:lang w:val="en-US" w:eastAsia="zh-CN"/>
        </w:rPr>
        <w:t xml:space="preserve">            </w:t>
      </w:r>
    </w:p>
    <w:p w14:paraId="01987AE6">
      <w:pPr>
        <w:pStyle w:val="11"/>
        <w:keepNext w:val="0"/>
        <w:keepLines w:val="0"/>
        <w:pageBreakBefore w:val="0"/>
        <w:widowControl w:val="0"/>
        <w:shd w:val="clear" w:color="auto" w:fill="auto"/>
        <w:tabs>
          <w:tab w:val="left" w:pos="7541"/>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法</w:t>
      </w:r>
      <w:r>
        <w:rPr>
          <w:rFonts w:hint="eastAsia" w:ascii="宋体" w:hAnsi="宋体" w:eastAsia="宋体" w:cs="宋体"/>
          <w:color w:val="auto"/>
          <w:spacing w:val="-3"/>
          <w:highlight w:val="none"/>
        </w:rPr>
        <w:t>定</w:t>
      </w:r>
      <w:r>
        <w:rPr>
          <w:rFonts w:hint="eastAsia" w:ascii="宋体" w:hAnsi="宋体" w:eastAsia="宋体" w:cs="宋体"/>
          <w:color w:val="auto"/>
          <w:highlight w:val="none"/>
        </w:rPr>
        <w:t>代</w:t>
      </w:r>
      <w:r>
        <w:rPr>
          <w:rFonts w:hint="eastAsia" w:ascii="宋体" w:hAnsi="宋体" w:eastAsia="宋体" w:cs="宋体"/>
          <w:color w:val="auto"/>
          <w:spacing w:val="-3"/>
          <w:highlight w:val="none"/>
        </w:rPr>
        <w:t>表</w:t>
      </w:r>
      <w:r>
        <w:rPr>
          <w:rFonts w:hint="eastAsia" w:ascii="宋体" w:hAnsi="宋体" w:eastAsia="宋体" w:cs="宋体"/>
          <w:color w:val="auto"/>
          <w:highlight w:val="none"/>
        </w:rPr>
        <w:t>人或</w:t>
      </w:r>
      <w:r>
        <w:rPr>
          <w:rFonts w:hint="eastAsia" w:ascii="宋体" w:hAnsi="宋体" w:eastAsia="宋体" w:cs="宋体"/>
          <w:color w:val="auto"/>
          <w:spacing w:val="-3"/>
          <w:highlight w:val="none"/>
        </w:rPr>
        <w:t>其</w:t>
      </w:r>
      <w:r>
        <w:rPr>
          <w:rFonts w:hint="eastAsia" w:ascii="宋体" w:hAnsi="宋体" w:eastAsia="宋体" w:cs="宋体"/>
          <w:color w:val="auto"/>
          <w:highlight w:val="none"/>
        </w:rPr>
        <w:t>委</w:t>
      </w:r>
      <w:r>
        <w:rPr>
          <w:rFonts w:hint="eastAsia" w:ascii="宋体" w:hAnsi="宋体" w:eastAsia="宋体" w:cs="宋体"/>
          <w:color w:val="auto"/>
          <w:spacing w:val="-3"/>
          <w:highlight w:val="none"/>
        </w:rPr>
        <w:t>托</w:t>
      </w:r>
      <w:r>
        <w:rPr>
          <w:rFonts w:hint="eastAsia" w:ascii="宋体" w:hAnsi="宋体" w:eastAsia="宋体" w:cs="宋体"/>
          <w:color w:val="auto"/>
          <w:highlight w:val="none"/>
        </w:rPr>
        <w:t>代</w:t>
      </w:r>
      <w:r>
        <w:rPr>
          <w:rFonts w:hint="eastAsia" w:ascii="宋体" w:hAnsi="宋体" w:eastAsia="宋体" w:cs="宋体"/>
          <w:color w:val="auto"/>
          <w:spacing w:val="-3"/>
          <w:highlight w:val="none"/>
        </w:rPr>
        <w:t>理</w:t>
      </w:r>
      <w:r>
        <w:rPr>
          <w:rFonts w:hint="eastAsia" w:ascii="宋体" w:hAnsi="宋体" w:eastAsia="宋体" w:cs="宋体"/>
          <w:color w:val="auto"/>
          <w:highlight w:val="none"/>
        </w:rPr>
        <w:t>人（</w:t>
      </w:r>
      <w:r>
        <w:rPr>
          <w:rFonts w:hint="eastAsia" w:ascii="宋体" w:hAnsi="宋体" w:eastAsia="宋体" w:cs="宋体"/>
          <w:b w:val="0"/>
          <w:bCs w:val="0"/>
          <w:color w:val="auto"/>
          <w:highlight w:val="none"/>
        </w:rPr>
        <w:t>签</w:t>
      </w:r>
      <w:r>
        <w:rPr>
          <w:rFonts w:hint="eastAsia" w:ascii="宋体" w:hAnsi="宋体" w:eastAsia="宋体" w:cs="宋体"/>
          <w:b w:val="0"/>
          <w:bCs w:val="0"/>
          <w:color w:val="auto"/>
          <w:spacing w:val="-3"/>
          <w:highlight w:val="none"/>
        </w:rPr>
        <w:t>字</w:t>
      </w:r>
      <w:r>
        <w:rPr>
          <w:rFonts w:hint="eastAsia" w:ascii="宋体" w:hAnsi="宋体" w:cs="宋体"/>
          <w:color w:val="auto"/>
          <w:kern w:val="0"/>
          <w:sz w:val="21"/>
          <w:szCs w:val="21"/>
          <w:highlight w:val="none"/>
          <w:lang w:val="en-US" w:eastAsia="zh-CN" w:bidi="ar"/>
        </w:rPr>
        <w:t>或盖私章</w:t>
      </w:r>
      <w:r>
        <w:rPr>
          <w:rFonts w:hint="eastAsia" w:ascii="宋体" w:hAnsi="宋体" w:eastAsia="宋体" w:cs="宋体"/>
          <w:color w:val="auto"/>
          <w:highlight w:val="none"/>
        </w:rPr>
        <w:t>）</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cs="宋体"/>
          <w:color w:val="auto"/>
          <w:highlight w:val="none"/>
          <w:u w:val="single"/>
          <w:lang w:val="en-US" w:eastAsia="zh-CN"/>
        </w:rPr>
        <w:t xml:space="preserve">            </w:t>
      </w:r>
    </w:p>
    <w:p w14:paraId="5C6E88C4">
      <w:pPr>
        <w:pStyle w:val="11"/>
        <w:keepNext w:val="0"/>
        <w:keepLines w:val="0"/>
        <w:pageBreakBefore w:val="0"/>
        <w:widowControl w:val="0"/>
        <w:shd w:val="clear" w:color="auto" w:fill="auto"/>
        <w:tabs>
          <w:tab w:val="left" w:pos="3552"/>
          <w:tab w:val="left" w:pos="8849"/>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2423F2ED">
      <w:pPr>
        <w:pStyle w:val="11"/>
        <w:keepNext w:val="0"/>
        <w:keepLines w:val="0"/>
        <w:pageBreakBefore w:val="0"/>
        <w:widowControl w:val="0"/>
        <w:shd w:val="clear" w:color="auto" w:fill="auto"/>
        <w:tabs>
          <w:tab w:val="left" w:pos="3552"/>
          <w:tab w:val="left" w:pos="8849"/>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网</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2D43CA35">
      <w:pPr>
        <w:pStyle w:val="11"/>
        <w:keepNext w:val="0"/>
        <w:keepLines w:val="0"/>
        <w:pageBreakBefore w:val="0"/>
        <w:widowControl w:val="0"/>
        <w:shd w:val="clear" w:color="auto" w:fill="auto"/>
        <w:tabs>
          <w:tab w:val="left" w:pos="3552"/>
          <w:tab w:val="left" w:pos="8849"/>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56104EBD">
      <w:pPr>
        <w:pStyle w:val="11"/>
        <w:keepNext w:val="0"/>
        <w:keepLines w:val="0"/>
        <w:pageBreakBefore w:val="0"/>
        <w:widowControl w:val="0"/>
        <w:shd w:val="clear" w:color="auto" w:fill="auto"/>
        <w:tabs>
          <w:tab w:val="left" w:pos="3552"/>
          <w:tab w:val="left" w:pos="8849"/>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177D0B89">
      <w:pPr>
        <w:pStyle w:val="11"/>
        <w:keepNext w:val="0"/>
        <w:keepLines w:val="0"/>
        <w:pageBreakBefore w:val="0"/>
        <w:widowControl w:val="0"/>
        <w:shd w:val="clear" w:color="auto" w:fill="auto"/>
        <w:tabs>
          <w:tab w:val="left" w:pos="8849"/>
        </w:tabs>
        <w:kinsoku/>
        <w:wordWrap/>
        <w:overflowPunct/>
        <w:topLinePunct w:val="0"/>
        <w:autoSpaceDE w:val="0"/>
        <w:autoSpaceDN w:val="0"/>
        <w:bidi w:val="0"/>
        <w:snapToGrid w:val="0"/>
        <w:spacing w:line="360" w:lineRule="auto"/>
        <w:ind w:left="2921"/>
        <w:textAlignment w:val="auto"/>
        <w:rPr>
          <w:rFonts w:hint="eastAsia" w:ascii="宋体" w:hAnsi="宋体" w:eastAsia="宋体" w:cs="宋体"/>
          <w:color w:val="auto"/>
          <w:highlight w:val="none"/>
        </w:rPr>
      </w:pPr>
      <w:r>
        <w:rPr>
          <w:rFonts w:hint="eastAsia" w:ascii="宋体" w:hAnsi="宋体" w:eastAsia="宋体" w:cs="宋体"/>
          <w:color w:val="auto"/>
          <w:highlight w:val="none"/>
        </w:rPr>
        <w:t>邮政</w:t>
      </w:r>
      <w:r>
        <w:rPr>
          <w:rFonts w:hint="eastAsia" w:ascii="宋体" w:hAnsi="宋体" w:eastAsia="宋体" w:cs="宋体"/>
          <w:color w:val="auto"/>
          <w:spacing w:val="-3"/>
          <w:highlight w:val="none"/>
        </w:rPr>
        <w:t>编</w:t>
      </w:r>
      <w:r>
        <w:rPr>
          <w:rFonts w:hint="eastAsia" w:ascii="宋体" w:hAnsi="宋体" w:eastAsia="宋体" w:cs="宋体"/>
          <w:color w:val="auto"/>
          <w:highlight w:val="none"/>
        </w:rPr>
        <w:t>码</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7F0FE673">
      <w:pPr>
        <w:pStyle w:val="11"/>
        <w:keepNext w:val="0"/>
        <w:keepLines w:val="0"/>
        <w:pageBreakBefore w:val="0"/>
        <w:widowControl w:val="0"/>
        <w:shd w:val="clear" w:color="auto" w:fill="auto"/>
        <w:tabs>
          <w:tab w:val="left" w:pos="631"/>
          <w:tab w:val="left" w:pos="1471"/>
          <w:tab w:val="left" w:pos="2311"/>
        </w:tabs>
        <w:kinsoku/>
        <w:wordWrap/>
        <w:overflowPunct/>
        <w:topLinePunct w:val="0"/>
        <w:autoSpaceDE w:val="0"/>
        <w:autoSpaceDN w:val="0"/>
        <w:bidi w:val="0"/>
        <w:snapToGrid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2742D8C">
      <w:pPr>
        <w:keepNext w:val="0"/>
        <w:keepLines w:val="0"/>
        <w:pageBreakBefore w:val="0"/>
        <w:widowControl w:val="0"/>
        <w:shd w:val="clear" w:color="auto" w:fill="auto"/>
        <w:kinsoku/>
        <w:wordWrap/>
        <w:overflowPunct/>
        <w:topLinePunct w:val="0"/>
        <w:autoSpaceDE w:val="0"/>
        <w:autoSpaceDN w:val="0"/>
        <w:bidi w:val="0"/>
        <w:snapToGrid w:val="0"/>
        <w:spacing w:line="360" w:lineRule="auto"/>
        <w:jc w:val="right"/>
        <w:textAlignment w:val="auto"/>
        <w:rPr>
          <w:rFonts w:hint="eastAsia" w:ascii="宋体" w:hAnsi="宋体" w:eastAsia="宋体" w:cs="宋体"/>
          <w:color w:val="auto"/>
          <w:sz w:val="24"/>
          <w:highlight w:val="none"/>
        </w:rPr>
      </w:pPr>
    </w:p>
    <w:p w14:paraId="632E127B">
      <w:pPr>
        <w:keepNext w:val="0"/>
        <w:keepLines w:val="0"/>
        <w:widowControl/>
        <w:suppressLineNumbers w:val="0"/>
        <w:jc w:val="left"/>
        <w:rPr>
          <w:rFonts w:hint="default"/>
          <w:color w:val="auto"/>
          <w:szCs w:val="21"/>
          <w:highlight w:val="none"/>
          <w:lang w:val="en-US"/>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kern w:val="0"/>
          <w:sz w:val="21"/>
          <w:szCs w:val="21"/>
          <w:highlight w:val="none"/>
          <w:lang w:val="en-US" w:eastAsia="zh-CN" w:bidi="ar"/>
        </w:rPr>
        <w:t>投标人须在投标函上加盖</w:t>
      </w:r>
      <w:r>
        <w:rPr>
          <w:rFonts w:hint="eastAsia" w:ascii="宋体" w:hAnsi="宋体" w:cs="宋体"/>
          <w:color w:val="auto"/>
          <w:kern w:val="0"/>
          <w:sz w:val="21"/>
          <w:szCs w:val="21"/>
          <w:highlight w:val="none"/>
          <w:lang w:val="en-US" w:eastAsia="zh-CN" w:bidi="ar"/>
        </w:rPr>
        <w:t>单位公章</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并</w:t>
      </w:r>
      <w:r>
        <w:rPr>
          <w:rFonts w:hint="eastAsia" w:ascii="宋体" w:hAnsi="宋体" w:eastAsia="宋体" w:cs="宋体"/>
          <w:color w:val="auto"/>
          <w:kern w:val="0"/>
          <w:sz w:val="21"/>
          <w:szCs w:val="21"/>
          <w:highlight w:val="none"/>
          <w:lang w:val="en-US" w:eastAsia="zh-CN" w:bidi="ar"/>
        </w:rPr>
        <w:t>由法定代表人或其委托代理人签字</w:t>
      </w:r>
      <w:r>
        <w:rPr>
          <w:rFonts w:hint="eastAsia" w:ascii="宋体" w:hAnsi="宋体" w:cs="宋体"/>
          <w:color w:val="auto"/>
          <w:kern w:val="0"/>
          <w:sz w:val="21"/>
          <w:szCs w:val="21"/>
          <w:highlight w:val="none"/>
          <w:lang w:val="en-US" w:eastAsia="zh-CN" w:bidi="ar"/>
        </w:rPr>
        <w:t>或盖私章。</w:t>
      </w:r>
    </w:p>
    <w:p w14:paraId="4AA2656C">
      <w:pPr>
        <w:pStyle w:val="34"/>
        <w:rPr>
          <w:rFonts w:hint="eastAsia" w:eastAsia="宋体"/>
          <w:color w:val="auto"/>
          <w:szCs w:val="21"/>
          <w:highlight w:val="none"/>
          <w:lang w:val="en-US" w:eastAsia="zh-CN"/>
        </w:rPr>
        <w:sectPr>
          <w:pgSz w:w="12240" w:h="15840"/>
          <w:pgMar w:top="1500" w:right="1100" w:bottom="1120" w:left="1400" w:header="0" w:footer="841" w:gutter="0"/>
          <w:pgBorders>
            <w:top w:val="none" w:sz="0" w:space="0"/>
            <w:left w:val="none" w:sz="0" w:space="0"/>
            <w:bottom w:val="none" w:sz="0" w:space="0"/>
            <w:right w:val="none" w:sz="0" w:space="0"/>
          </w:pgBorders>
          <w:pgNumType w:fmt="decimal"/>
          <w:cols w:space="720" w:num="1"/>
        </w:sectPr>
      </w:pPr>
    </w:p>
    <w:p w14:paraId="4D5AF1C6">
      <w:pPr>
        <w:pStyle w:val="3"/>
        <w:numPr>
          <w:ilvl w:val="0"/>
          <w:numId w:val="17"/>
        </w:numPr>
        <w:shd w:val="clear" w:color="auto" w:fill="auto"/>
        <w:snapToGrid w:val="0"/>
        <w:spacing w:afterLines="150" w:line="525" w:lineRule="exact"/>
        <w:ind w:right="295"/>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w:t>
      </w:r>
    </w:p>
    <w:p w14:paraId="093E89D5">
      <w:pPr>
        <w:pStyle w:val="3"/>
        <w:shd w:val="clear" w:color="auto" w:fill="auto"/>
        <w:spacing w:line="525" w:lineRule="exact"/>
        <w:ind w:left="0" w:right="297"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（一）法定代表人身份证明</w:t>
      </w:r>
    </w:p>
    <w:p w14:paraId="0F1832B3">
      <w:pPr>
        <w:pStyle w:val="11"/>
        <w:shd w:val="clear" w:color="auto" w:fill="auto"/>
        <w:rPr>
          <w:rFonts w:hint="eastAsia" w:ascii="宋体" w:hAnsi="宋体" w:eastAsia="宋体" w:cs="宋体"/>
          <w:b/>
          <w:color w:val="auto"/>
          <w:sz w:val="24"/>
          <w:szCs w:val="24"/>
          <w:highlight w:val="none"/>
        </w:rPr>
      </w:pPr>
    </w:p>
    <w:p w14:paraId="14BA88EF">
      <w:pPr>
        <w:pStyle w:val="11"/>
        <w:shd w:val="clear" w:color="auto" w:fill="auto"/>
        <w:tabs>
          <w:tab w:val="left" w:pos="4228"/>
        </w:tabs>
        <w:ind w:left="4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名</w:t>
      </w:r>
      <w:r>
        <w:rPr>
          <w:rFonts w:hint="eastAsia" w:ascii="宋体" w:hAnsi="宋体" w:eastAsia="宋体" w:cs="宋体"/>
          <w:color w:val="auto"/>
          <w:spacing w:val="-3"/>
          <w:sz w:val="24"/>
          <w:szCs w:val="24"/>
          <w:highlight w:val="none"/>
        </w:rPr>
        <w:t>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6253916D">
      <w:pPr>
        <w:pStyle w:val="11"/>
        <w:shd w:val="clear" w:color="auto" w:fill="auto"/>
        <w:tabs>
          <w:tab w:val="left" w:pos="2712"/>
          <w:tab w:val="left" w:pos="4183"/>
          <w:tab w:val="left" w:pos="5652"/>
          <w:tab w:val="left" w:pos="7169"/>
        </w:tabs>
        <w:spacing w:before="170"/>
        <w:ind w:left="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b/>
          <w:bCs/>
          <w:color w:val="auto"/>
          <w:spacing w:val="-3"/>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pacing w:val="-3"/>
          <w:sz w:val="24"/>
          <w:szCs w:val="24"/>
          <w:highlight w:val="none"/>
        </w:rPr>
        <w:t>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1"/>
          <w:sz w:val="24"/>
          <w:szCs w:val="24"/>
          <w:highlight w:val="none"/>
        </w:rPr>
        <w:t>职</w:t>
      </w:r>
      <w:r>
        <w:rPr>
          <w:rFonts w:hint="eastAsia" w:ascii="宋体" w:hAnsi="宋体" w:eastAsia="宋体" w:cs="宋体"/>
          <w:color w:val="auto"/>
          <w:spacing w:val="-3"/>
          <w:sz w:val="24"/>
          <w:szCs w:val="24"/>
          <w:highlight w:val="none"/>
        </w:rPr>
        <w:t>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B80F1A5">
      <w:pPr>
        <w:pStyle w:val="11"/>
        <w:shd w:val="clear" w:color="auto" w:fill="auto"/>
        <w:tabs>
          <w:tab w:val="left" w:pos="3132"/>
        </w:tabs>
        <w:spacing w:before="173"/>
        <w:ind w:left="4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投</w:t>
      </w:r>
      <w:r>
        <w:rPr>
          <w:rFonts w:hint="eastAsia" w:ascii="宋体" w:hAnsi="宋体" w:eastAsia="宋体" w:cs="宋体"/>
          <w:color w:val="auto"/>
          <w:spacing w:val="-3"/>
          <w:sz w:val="24"/>
          <w:szCs w:val="24"/>
          <w:highlight w:val="none"/>
        </w:rPr>
        <w:t>标</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名</w:t>
      </w:r>
      <w:r>
        <w:rPr>
          <w:rFonts w:hint="eastAsia" w:ascii="宋体" w:hAnsi="宋体" w:eastAsia="宋体" w:cs="宋体"/>
          <w:color w:val="auto"/>
          <w:sz w:val="24"/>
          <w:szCs w:val="24"/>
          <w:highlight w:val="none"/>
        </w:rPr>
        <w:t>称</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法定</w:t>
      </w:r>
      <w:r>
        <w:rPr>
          <w:rFonts w:hint="eastAsia" w:ascii="宋体" w:hAnsi="宋体" w:eastAsia="宋体" w:cs="宋体"/>
          <w:color w:val="auto"/>
          <w:sz w:val="24"/>
          <w:szCs w:val="24"/>
          <w:highlight w:val="none"/>
        </w:rPr>
        <w:t>代表</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w:t>
      </w:r>
    </w:p>
    <w:p w14:paraId="69C7CB76">
      <w:pPr>
        <w:pStyle w:val="11"/>
        <w:shd w:val="clear" w:color="auto" w:fill="auto"/>
        <w:spacing w:before="170"/>
        <w:ind w:left="8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12ECAD8">
      <w:pPr>
        <w:pStyle w:val="11"/>
        <w:shd w:val="clear" w:color="auto" w:fill="auto"/>
        <w:rPr>
          <w:rFonts w:hint="eastAsia" w:ascii="宋体" w:hAnsi="宋体" w:eastAsia="宋体" w:cs="宋体"/>
          <w:color w:val="auto"/>
          <w:sz w:val="24"/>
          <w:szCs w:val="24"/>
          <w:highlight w:val="none"/>
        </w:rPr>
      </w:pPr>
    </w:p>
    <w:p w14:paraId="19FC04BE">
      <w:pPr>
        <w:pStyle w:val="11"/>
        <w:shd w:val="clear" w:color="auto" w:fill="auto"/>
        <w:spacing w:before="10"/>
        <w:rPr>
          <w:rFonts w:hint="eastAsia" w:ascii="宋体" w:hAnsi="宋体" w:eastAsia="宋体" w:cs="宋体"/>
          <w:color w:val="auto"/>
          <w:sz w:val="24"/>
          <w:szCs w:val="24"/>
          <w:highlight w:val="none"/>
        </w:rPr>
      </w:pPr>
    </w:p>
    <w:p w14:paraId="735272C0">
      <w:pPr>
        <w:pStyle w:val="11"/>
        <w:shd w:val="clear" w:color="auto" w:fill="auto"/>
        <w:ind w:left="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附：法定代表人身份证原件正反面清晰扫描件。</w:t>
      </w:r>
    </w:p>
    <w:p w14:paraId="49C4AAF1">
      <w:pPr>
        <w:pStyle w:val="11"/>
        <w:shd w:val="clear" w:color="auto" w:fill="auto"/>
        <w:rPr>
          <w:rFonts w:hint="eastAsia" w:ascii="宋体" w:hAnsi="宋体" w:eastAsia="宋体" w:cs="宋体"/>
          <w:color w:val="auto"/>
          <w:sz w:val="24"/>
          <w:szCs w:val="24"/>
          <w:highlight w:val="none"/>
        </w:rPr>
      </w:pPr>
    </w:p>
    <w:p w14:paraId="2FD43E7E">
      <w:pPr>
        <w:pStyle w:val="11"/>
        <w:shd w:val="clear" w:color="auto" w:fill="auto"/>
        <w:spacing w:before="7"/>
        <w:rPr>
          <w:rFonts w:hint="eastAsia" w:ascii="宋体" w:hAnsi="宋体" w:eastAsia="宋体" w:cs="宋体"/>
          <w:color w:val="auto"/>
          <w:sz w:val="24"/>
          <w:szCs w:val="24"/>
          <w:highlight w:val="none"/>
        </w:rPr>
      </w:pPr>
    </w:p>
    <w:p w14:paraId="3B2624D7">
      <w:pPr>
        <w:pStyle w:val="11"/>
        <w:shd w:val="clear" w:color="auto" w:fill="auto"/>
        <w:ind w:left="400"/>
        <w:rPr>
          <w:rFonts w:hint="eastAsia" w:ascii="宋体" w:hAnsi="宋体" w:eastAsia="宋体" w:cs="宋体"/>
          <w:color w:val="auto"/>
          <w:sz w:val="24"/>
          <w:szCs w:val="24"/>
          <w:highlight w:val="none"/>
        </w:rPr>
      </w:pPr>
    </w:p>
    <w:p w14:paraId="00E4EBFC">
      <w:pPr>
        <w:pStyle w:val="11"/>
        <w:shd w:val="clear" w:color="auto" w:fill="auto"/>
        <w:rPr>
          <w:rFonts w:hint="eastAsia" w:ascii="宋体" w:hAnsi="宋体" w:eastAsia="宋体" w:cs="宋体"/>
          <w:color w:val="auto"/>
          <w:sz w:val="24"/>
          <w:szCs w:val="24"/>
          <w:highlight w:val="none"/>
        </w:rPr>
      </w:pPr>
    </w:p>
    <w:p w14:paraId="14838F4F">
      <w:pPr>
        <w:pStyle w:val="11"/>
        <w:shd w:val="clear" w:color="auto" w:fill="auto"/>
        <w:rPr>
          <w:rFonts w:hint="eastAsia" w:ascii="宋体" w:hAnsi="宋体" w:eastAsia="宋体" w:cs="宋体"/>
          <w:color w:val="auto"/>
          <w:sz w:val="24"/>
          <w:szCs w:val="24"/>
          <w:highlight w:val="none"/>
        </w:rPr>
      </w:pPr>
    </w:p>
    <w:p w14:paraId="192067D2">
      <w:pPr>
        <w:pStyle w:val="11"/>
        <w:shd w:val="clear" w:color="auto" w:fill="auto"/>
        <w:rPr>
          <w:rFonts w:hint="eastAsia" w:ascii="宋体" w:hAnsi="宋体" w:eastAsia="宋体" w:cs="宋体"/>
          <w:color w:val="auto"/>
          <w:sz w:val="24"/>
          <w:szCs w:val="24"/>
          <w:highlight w:val="none"/>
        </w:rPr>
      </w:pPr>
    </w:p>
    <w:p w14:paraId="75592E68">
      <w:pPr>
        <w:pStyle w:val="11"/>
        <w:shd w:val="clear" w:color="auto" w:fill="auto"/>
        <w:spacing w:before="1" w:line="360" w:lineRule="auto"/>
        <w:rPr>
          <w:rFonts w:hint="eastAsia" w:ascii="宋体" w:hAnsi="宋体" w:eastAsia="宋体" w:cs="宋体"/>
          <w:color w:val="auto"/>
          <w:sz w:val="24"/>
          <w:szCs w:val="24"/>
          <w:highlight w:val="none"/>
        </w:rPr>
      </w:pPr>
    </w:p>
    <w:p w14:paraId="5B785D29">
      <w:pPr>
        <w:pStyle w:val="11"/>
        <w:shd w:val="clear" w:color="auto" w:fill="auto"/>
        <w:tabs>
          <w:tab w:val="left" w:pos="6821"/>
        </w:tabs>
        <w:spacing w:line="360" w:lineRule="auto"/>
        <w:ind w:left="0" w:leftChars="0" w:firstLine="0" w:firstLineChars="0"/>
        <w:jc w:val="right"/>
        <w:rPr>
          <w:rFonts w:hint="eastAsia" w:ascii="宋体" w:hAnsi="宋体" w:eastAsia="宋体" w:cs="宋体"/>
          <w:color w:val="auto"/>
          <w:sz w:val="24"/>
          <w:szCs w:val="24"/>
          <w:highlight w:val="none"/>
          <w:u w:val="single"/>
        </w:rPr>
      </w:pPr>
      <w:r>
        <w:rPr>
          <w:rFonts w:hint="eastAsia" w:ascii="宋体" w:hAnsi="宋体" w:eastAsia="宋体" w:cs="宋体"/>
          <w:color w:val="auto"/>
          <w:spacing w:val="-3"/>
          <w:sz w:val="24"/>
          <w:szCs w:val="24"/>
          <w:highlight w:val="none"/>
        </w:rPr>
        <w:t>投</w:t>
      </w:r>
      <w:r>
        <w:rPr>
          <w:rFonts w:hint="eastAsia" w:ascii="宋体" w:hAnsi="宋体" w:eastAsia="宋体" w:cs="宋体"/>
          <w:color w:val="auto"/>
          <w:sz w:val="24"/>
          <w:szCs w:val="24"/>
          <w:highlight w:val="none"/>
        </w:rPr>
        <w:t>标</w:t>
      </w:r>
      <w:r>
        <w:rPr>
          <w:rFonts w:hint="eastAsia" w:ascii="宋体" w:hAnsi="宋体" w:eastAsia="宋体" w:cs="宋体"/>
          <w:color w:val="auto"/>
          <w:spacing w:val="-3"/>
          <w:sz w:val="24"/>
          <w:szCs w:val="24"/>
          <w:highlight w:val="none"/>
        </w:rPr>
        <w:t>人</w:t>
      </w:r>
      <w:r>
        <w:rPr>
          <w:rFonts w:hint="eastAsia" w:ascii="宋体" w:hAnsi="宋体" w:cs="宋体"/>
          <w:color w:val="auto"/>
          <w:spacing w:val="-3"/>
          <w:sz w:val="24"/>
          <w:szCs w:val="24"/>
          <w:highlight w:val="none"/>
          <w:lang w:val="en-US" w:eastAsia="zh-CN"/>
        </w:rPr>
        <w:t>名称</w:t>
      </w:r>
      <w:r>
        <w:rPr>
          <w:rFonts w:hint="eastAsia" w:ascii="宋体" w:hAnsi="宋体" w:eastAsia="宋体" w:cs="宋体"/>
          <w:color w:val="auto"/>
          <w:sz w:val="24"/>
          <w:szCs w:val="24"/>
          <w:highlight w:val="none"/>
        </w:rPr>
        <w:t>（盖</w:t>
      </w:r>
      <w:r>
        <w:rPr>
          <w:rFonts w:hint="eastAsia" w:ascii="宋体" w:hAnsi="宋体" w:cs="宋体"/>
          <w:color w:val="auto"/>
          <w:spacing w:val="-3"/>
          <w:sz w:val="24"/>
          <w:szCs w:val="24"/>
          <w:highlight w:val="none"/>
          <w:lang w:eastAsia="zh-CN"/>
        </w:rPr>
        <w:t>单位公章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73459D49">
      <w:pPr>
        <w:pStyle w:val="11"/>
        <w:shd w:val="clear" w:color="auto" w:fill="auto"/>
        <w:tabs>
          <w:tab w:val="left" w:pos="6821"/>
        </w:tabs>
        <w:spacing w:line="360" w:lineRule="auto"/>
        <w:ind w:left="0" w:leftChars="0" w:firstLine="0" w:firstLineChars="0"/>
        <w:jc w:val="right"/>
        <w:rPr>
          <w:rFonts w:hint="eastAsia" w:ascii="宋体" w:hAnsi="宋体" w:eastAsia="宋体" w:cs="宋体"/>
          <w:color w:val="auto"/>
          <w:sz w:val="24"/>
          <w:szCs w:val="24"/>
          <w:highlight w:val="none"/>
          <w:u w:val="single"/>
        </w:rPr>
      </w:pPr>
    </w:p>
    <w:p w14:paraId="756F2DDE">
      <w:pPr>
        <w:pStyle w:val="11"/>
        <w:shd w:val="clear" w:color="auto" w:fill="auto"/>
        <w:tabs>
          <w:tab w:val="left" w:pos="6821"/>
        </w:tabs>
        <w:spacing w:line="360" w:lineRule="auto"/>
        <w:ind w:left="0" w:leftChars="0" w:firstLine="0" w:firstLineChars="0"/>
        <w:jc w:val="right"/>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7AF78F6A">
      <w:pPr>
        <w:shd w:val="clear" w:color="auto" w:fill="auto"/>
        <w:rPr>
          <w:rFonts w:hint="eastAsia" w:ascii="宋体" w:hAnsi="宋体" w:eastAsia="宋体" w:cs="宋体"/>
          <w:color w:val="auto"/>
          <w:highlight w:val="none"/>
        </w:rPr>
      </w:pPr>
    </w:p>
    <w:p w14:paraId="28A8F670">
      <w:pPr>
        <w:pStyle w:val="41"/>
        <w:shd w:val="clear" w:color="auto" w:fill="auto"/>
        <w:rPr>
          <w:rFonts w:hint="eastAsia" w:ascii="宋体" w:hAnsi="宋体" w:eastAsia="宋体" w:cs="宋体"/>
          <w:color w:val="auto"/>
          <w:highlight w:val="none"/>
        </w:rPr>
        <w:sectPr>
          <w:pgSz w:w="12240" w:h="15840"/>
          <w:pgMar w:top="1400" w:right="1100" w:bottom="1120" w:left="1400" w:header="0" w:footer="841" w:gutter="0"/>
          <w:pgBorders>
            <w:top w:val="none" w:sz="0" w:space="0"/>
            <w:left w:val="none" w:sz="0" w:space="0"/>
            <w:bottom w:val="none" w:sz="0" w:space="0"/>
            <w:right w:val="none" w:sz="0" w:space="0"/>
          </w:pgBorders>
          <w:pgNumType w:fmt="decimal"/>
          <w:cols w:space="720" w:num="1"/>
        </w:sectPr>
      </w:pPr>
    </w:p>
    <w:p w14:paraId="65E8FC56">
      <w:pPr>
        <w:pStyle w:val="3"/>
        <w:shd w:val="clear" w:color="auto" w:fill="auto"/>
        <w:spacing w:line="525" w:lineRule="exact"/>
        <w:ind w:left="0" w:right="297" w:firstLine="0"/>
        <w:jc w:val="center"/>
        <w:rPr>
          <w:rFonts w:hint="eastAsia" w:ascii="宋体" w:hAnsi="宋体" w:eastAsia="宋体" w:cs="宋体"/>
          <w:color w:val="auto"/>
          <w:highlight w:val="none"/>
        </w:rPr>
      </w:pPr>
      <w:bookmarkStart w:id="105" w:name="_bookmark149"/>
      <w:bookmarkEnd w:id="105"/>
      <w:r>
        <w:rPr>
          <w:rFonts w:hint="eastAsia" w:ascii="宋体" w:hAnsi="宋体" w:eastAsia="宋体" w:cs="宋体"/>
          <w:color w:val="auto"/>
          <w:highlight w:val="none"/>
        </w:rPr>
        <w:t>（二）授权委托书</w:t>
      </w:r>
    </w:p>
    <w:p w14:paraId="633ABCE5">
      <w:pPr>
        <w:pStyle w:val="11"/>
        <w:shd w:val="clear" w:color="auto" w:fill="auto"/>
        <w:rPr>
          <w:rFonts w:hint="eastAsia" w:ascii="宋体" w:hAnsi="宋体" w:eastAsia="宋体" w:cs="宋体"/>
          <w:b/>
          <w:color w:val="auto"/>
          <w:sz w:val="32"/>
          <w:highlight w:val="none"/>
        </w:rPr>
      </w:pPr>
    </w:p>
    <w:p w14:paraId="77566FC2">
      <w:pPr>
        <w:pStyle w:val="11"/>
        <w:shd w:val="clear" w:color="auto" w:fill="auto"/>
        <w:tabs>
          <w:tab w:val="left" w:pos="2721"/>
          <w:tab w:val="left" w:pos="588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姓</w:t>
      </w:r>
      <w:r>
        <w:rPr>
          <w:rFonts w:hint="eastAsia" w:ascii="宋体" w:hAnsi="宋体" w:eastAsia="宋体" w:cs="宋体"/>
          <w:color w:val="auto"/>
          <w:sz w:val="24"/>
          <w:szCs w:val="24"/>
          <w:highlight w:val="none"/>
        </w:rPr>
        <w:t>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（投标人</w:t>
      </w:r>
      <w:r>
        <w:rPr>
          <w:rFonts w:hint="eastAsia" w:ascii="宋体" w:hAnsi="宋体" w:eastAsia="宋体" w:cs="宋体"/>
          <w:color w:val="auto"/>
          <w:spacing w:val="-3"/>
          <w:sz w:val="24"/>
          <w:szCs w:val="24"/>
          <w:highlight w:val="none"/>
        </w:rPr>
        <w:t>名</w:t>
      </w:r>
      <w:r>
        <w:rPr>
          <w:rFonts w:hint="eastAsia" w:ascii="宋体" w:hAnsi="宋体" w:eastAsia="宋体" w:cs="宋体"/>
          <w:color w:val="auto"/>
          <w:sz w:val="24"/>
          <w:szCs w:val="24"/>
          <w:highlight w:val="none"/>
        </w:rPr>
        <w:t>称）的</w:t>
      </w:r>
      <w:r>
        <w:rPr>
          <w:rFonts w:hint="eastAsia" w:ascii="宋体" w:hAnsi="宋体" w:eastAsia="宋体" w:cs="宋体"/>
          <w:color w:val="auto"/>
          <w:spacing w:val="-3"/>
          <w:sz w:val="24"/>
          <w:szCs w:val="24"/>
          <w:highlight w:val="none"/>
        </w:rPr>
        <w:t>法定</w:t>
      </w:r>
      <w:r>
        <w:rPr>
          <w:rFonts w:hint="eastAsia" w:ascii="宋体" w:hAnsi="宋体" w:eastAsia="宋体" w:cs="宋体"/>
          <w:color w:val="auto"/>
          <w:sz w:val="24"/>
          <w:szCs w:val="24"/>
          <w:highlight w:val="none"/>
        </w:rPr>
        <w:t>代表人，</w:t>
      </w:r>
      <w:r>
        <w:rPr>
          <w:rFonts w:hint="eastAsia" w:ascii="宋体" w:hAnsi="宋体" w:eastAsia="宋体" w:cs="宋体"/>
          <w:color w:val="auto"/>
          <w:spacing w:val="-3"/>
          <w:sz w:val="24"/>
          <w:szCs w:val="24"/>
          <w:highlight w:val="none"/>
        </w:rPr>
        <w:t>现</w:t>
      </w:r>
      <w:r>
        <w:rPr>
          <w:rFonts w:hint="eastAsia" w:ascii="宋体" w:hAnsi="宋体" w:eastAsia="宋体" w:cs="宋体"/>
          <w:color w:val="auto"/>
          <w:sz w:val="24"/>
          <w:szCs w:val="24"/>
          <w:highlight w:val="none"/>
        </w:rPr>
        <w:t>委</w:t>
      </w:r>
      <w:r>
        <w:rPr>
          <w:rFonts w:hint="eastAsia" w:ascii="宋体" w:hAnsi="宋体" w:eastAsia="宋体" w:cs="宋体"/>
          <w:color w:val="auto"/>
          <w:spacing w:val="-1"/>
          <w:sz w:val="24"/>
          <w:szCs w:val="24"/>
          <w:highlight w:val="none"/>
        </w:rPr>
        <w:t>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（姓名）为我</w:t>
      </w:r>
      <w:r>
        <w:rPr>
          <w:rFonts w:hint="eastAsia" w:ascii="宋体" w:hAnsi="宋体" w:eastAsia="宋体" w:cs="宋体"/>
          <w:color w:val="auto"/>
          <w:spacing w:val="-3"/>
          <w:sz w:val="24"/>
          <w:szCs w:val="24"/>
          <w:highlight w:val="none"/>
        </w:rPr>
        <w:t>方代</w:t>
      </w:r>
      <w:r>
        <w:rPr>
          <w:rFonts w:hint="eastAsia" w:ascii="宋体" w:hAnsi="宋体" w:eastAsia="宋体" w:cs="宋体"/>
          <w:color w:val="auto"/>
          <w:sz w:val="24"/>
          <w:szCs w:val="24"/>
          <w:highlight w:val="none"/>
        </w:rPr>
        <w:t>理人。代理</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根据授</w:t>
      </w:r>
      <w:r>
        <w:rPr>
          <w:rFonts w:hint="eastAsia" w:ascii="宋体" w:hAnsi="宋体" w:eastAsia="宋体" w:cs="宋体"/>
          <w:color w:val="auto"/>
          <w:spacing w:val="-3"/>
          <w:sz w:val="24"/>
          <w:szCs w:val="24"/>
          <w:highlight w:val="none"/>
        </w:rPr>
        <w:t>权，</w:t>
      </w:r>
      <w:r>
        <w:rPr>
          <w:rFonts w:hint="eastAsia" w:ascii="宋体" w:hAnsi="宋体" w:eastAsia="宋体" w:cs="宋体"/>
          <w:color w:val="auto"/>
          <w:sz w:val="24"/>
          <w:szCs w:val="24"/>
          <w:highlight w:val="none"/>
        </w:rPr>
        <w:t>以我方名义</w:t>
      </w:r>
      <w:r>
        <w:rPr>
          <w:rFonts w:hint="eastAsia" w:ascii="宋体" w:hAnsi="宋体" w:eastAsia="宋体" w:cs="宋体"/>
          <w:color w:val="auto"/>
          <w:spacing w:val="-3"/>
          <w:sz w:val="24"/>
          <w:szCs w:val="24"/>
          <w:highlight w:val="none"/>
        </w:rPr>
        <w:t>签</w:t>
      </w:r>
      <w:r>
        <w:rPr>
          <w:rFonts w:hint="eastAsia" w:ascii="宋体" w:hAnsi="宋体" w:eastAsia="宋体" w:cs="宋体"/>
          <w:color w:val="auto"/>
          <w:sz w:val="24"/>
          <w:szCs w:val="24"/>
          <w:highlight w:val="none"/>
        </w:rPr>
        <w:t>署、澄清确认、递交、撤回、修改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项目名称</w:t>
      </w:r>
      <w:r>
        <w:rPr>
          <w:rFonts w:hint="eastAsia" w:ascii="宋体" w:hAnsi="宋体" w:cs="宋体"/>
          <w:color w:val="auto"/>
          <w:sz w:val="24"/>
          <w:szCs w:val="24"/>
          <w:highlight w:val="none"/>
          <w:u w:val="none"/>
          <w:lang w:eastAsia="zh-CN"/>
        </w:rPr>
        <w:t>）</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（标段名称）</w:t>
      </w:r>
      <w:r>
        <w:rPr>
          <w:rFonts w:hint="eastAsia" w:ascii="宋体" w:hAnsi="宋体" w:eastAsia="宋体" w:cs="宋体"/>
          <w:color w:val="auto"/>
          <w:sz w:val="24"/>
          <w:szCs w:val="24"/>
          <w:highlight w:val="none"/>
        </w:rPr>
        <w:t>投标文件、签订合同和处理有关事宜，其法律后果由我方承担。</w:t>
      </w:r>
    </w:p>
    <w:p w14:paraId="57DB44A4">
      <w:pPr>
        <w:pStyle w:val="11"/>
        <w:shd w:val="clear" w:color="auto" w:fill="auto"/>
        <w:tabs>
          <w:tab w:val="left" w:pos="3866"/>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限</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自委托书签署之日起至投标有效期期满。</w:t>
      </w:r>
    </w:p>
    <w:p w14:paraId="29B60F09">
      <w:pPr>
        <w:pStyle w:val="11"/>
        <w:shd w:val="clear" w:color="auto" w:fill="auto"/>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557406EE">
      <w:pPr>
        <w:pStyle w:val="11"/>
        <w:shd w:val="clear" w:color="auto" w:fill="auto"/>
        <w:rPr>
          <w:rFonts w:hint="eastAsia" w:ascii="宋体" w:hAnsi="宋体" w:eastAsia="宋体" w:cs="宋体"/>
          <w:color w:val="auto"/>
          <w:sz w:val="24"/>
          <w:szCs w:val="24"/>
          <w:highlight w:val="none"/>
        </w:rPr>
      </w:pPr>
    </w:p>
    <w:p w14:paraId="6A991F8E">
      <w:pPr>
        <w:pStyle w:val="11"/>
        <w:shd w:val="clear" w:color="auto" w:fill="auto"/>
        <w:spacing w:before="9"/>
        <w:rPr>
          <w:rFonts w:hint="eastAsia" w:ascii="宋体" w:hAnsi="宋体" w:eastAsia="宋体" w:cs="宋体"/>
          <w:color w:val="auto"/>
          <w:sz w:val="24"/>
          <w:szCs w:val="24"/>
          <w:highlight w:val="none"/>
        </w:rPr>
      </w:pPr>
    </w:p>
    <w:p w14:paraId="537B77D8">
      <w:pPr>
        <w:pStyle w:val="11"/>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附：委托代理人身份证原件正反面清晰扫描件</w:t>
      </w:r>
    </w:p>
    <w:p w14:paraId="678D8BC0">
      <w:pPr>
        <w:pStyle w:val="11"/>
        <w:shd w:val="clear" w:color="auto" w:fill="auto"/>
        <w:rPr>
          <w:rFonts w:hint="eastAsia" w:ascii="宋体" w:hAnsi="宋体" w:eastAsia="宋体" w:cs="宋体"/>
          <w:color w:val="auto"/>
          <w:sz w:val="24"/>
          <w:szCs w:val="24"/>
          <w:highlight w:val="none"/>
        </w:rPr>
      </w:pPr>
    </w:p>
    <w:p w14:paraId="6EB69C03">
      <w:pPr>
        <w:pStyle w:val="11"/>
        <w:shd w:val="clear" w:color="auto" w:fill="auto"/>
        <w:spacing w:before="9"/>
        <w:rPr>
          <w:rFonts w:hint="eastAsia" w:ascii="宋体" w:hAnsi="宋体" w:eastAsia="宋体" w:cs="宋体"/>
          <w:color w:val="auto"/>
          <w:sz w:val="24"/>
          <w:szCs w:val="24"/>
          <w:highlight w:val="none"/>
        </w:rPr>
      </w:pPr>
    </w:p>
    <w:p w14:paraId="520C355A">
      <w:pPr>
        <w:pStyle w:val="11"/>
        <w:shd w:val="clear" w:color="auto" w:fill="auto"/>
        <w:spacing w:before="7"/>
        <w:rPr>
          <w:rFonts w:hint="eastAsia" w:ascii="宋体" w:hAnsi="宋体" w:eastAsia="宋体" w:cs="宋体"/>
          <w:color w:val="auto"/>
          <w:sz w:val="24"/>
          <w:szCs w:val="24"/>
          <w:highlight w:val="none"/>
        </w:rPr>
      </w:pPr>
    </w:p>
    <w:p w14:paraId="0C837FDE">
      <w:pPr>
        <w:pStyle w:val="11"/>
        <w:shd w:val="clear" w:color="auto" w:fill="auto"/>
        <w:tabs>
          <w:tab w:val="left" w:pos="3516"/>
          <w:tab w:val="left" w:pos="3936"/>
          <w:tab w:val="left" w:pos="7541"/>
        </w:tabs>
        <w:ind w:left="30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人</w:t>
      </w:r>
      <w:r>
        <w:rPr>
          <w:rFonts w:hint="eastAsia" w:ascii="宋体" w:hAnsi="宋体" w:cs="宋体"/>
          <w:color w:val="auto"/>
          <w:spacing w:val="-3"/>
          <w:sz w:val="24"/>
          <w:szCs w:val="24"/>
          <w:highlight w:val="none"/>
          <w:lang w:val="en-US" w:eastAsia="zh-CN"/>
        </w:rPr>
        <w:t>名称</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（盖</w:t>
      </w:r>
      <w:r>
        <w:rPr>
          <w:rFonts w:hint="eastAsia" w:ascii="宋体" w:hAnsi="宋体" w:cs="宋体"/>
          <w:color w:val="auto"/>
          <w:spacing w:val="-3"/>
          <w:sz w:val="24"/>
          <w:szCs w:val="24"/>
          <w:highlight w:val="none"/>
          <w:lang w:eastAsia="zh-CN"/>
        </w:rPr>
        <w:t>单位公章</w:t>
      </w:r>
      <w:r>
        <w:rPr>
          <w:rFonts w:hint="eastAsia" w:ascii="宋体" w:hAnsi="宋体" w:eastAsia="宋体" w:cs="宋体"/>
          <w:color w:val="auto"/>
          <w:sz w:val="24"/>
          <w:szCs w:val="24"/>
          <w:highlight w:val="none"/>
        </w:rPr>
        <w:t>）</w:t>
      </w:r>
    </w:p>
    <w:p w14:paraId="03F5C079">
      <w:pPr>
        <w:pStyle w:val="11"/>
        <w:shd w:val="clear" w:color="auto" w:fill="auto"/>
        <w:rPr>
          <w:rFonts w:hint="eastAsia" w:ascii="宋体" w:hAnsi="宋体" w:eastAsia="宋体" w:cs="宋体"/>
          <w:color w:val="auto"/>
          <w:sz w:val="24"/>
          <w:szCs w:val="24"/>
          <w:highlight w:val="none"/>
        </w:rPr>
      </w:pPr>
    </w:p>
    <w:p w14:paraId="336CD1F9">
      <w:pPr>
        <w:pStyle w:val="11"/>
        <w:shd w:val="clear" w:color="auto" w:fill="auto"/>
        <w:tabs>
          <w:tab w:val="left" w:pos="7961"/>
        </w:tabs>
        <w:spacing w:before="78"/>
        <w:ind w:left="30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w:t>
      </w:r>
      <w:r>
        <w:rPr>
          <w:rFonts w:hint="eastAsia" w:ascii="宋体" w:hAnsi="宋体" w:eastAsia="宋体" w:cs="宋体"/>
          <w:color w:val="auto"/>
          <w:spacing w:val="-3"/>
          <w:sz w:val="24"/>
          <w:szCs w:val="24"/>
          <w:highlight w:val="none"/>
        </w:rPr>
        <w:t>代</w:t>
      </w:r>
      <w:r>
        <w:rPr>
          <w:rFonts w:hint="eastAsia" w:ascii="宋体" w:hAnsi="宋体" w:eastAsia="宋体" w:cs="宋体"/>
          <w:color w:val="auto"/>
          <w:sz w:val="24"/>
          <w:szCs w:val="24"/>
          <w:highlight w:val="none"/>
        </w:rPr>
        <w:t>表</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w:t>
      </w:r>
    </w:p>
    <w:p w14:paraId="57B5E83C">
      <w:pPr>
        <w:pStyle w:val="11"/>
        <w:shd w:val="clear" w:color="auto" w:fill="auto"/>
        <w:rPr>
          <w:rFonts w:hint="eastAsia" w:ascii="宋体" w:hAnsi="宋体" w:eastAsia="宋体" w:cs="宋体"/>
          <w:color w:val="auto"/>
          <w:sz w:val="24"/>
          <w:szCs w:val="24"/>
          <w:highlight w:val="none"/>
        </w:rPr>
      </w:pPr>
    </w:p>
    <w:p w14:paraId="61832DD7">
      <w:pPr>
        <w:pStyle w:val="11"/>
        <w:shd w:val="clear" w:color="auto" w:fill="auto"/>
        <w:tabs>
          <w:tab w:val="left" w:pos="8849"/>
        </w:tabs>
        <w:spacing w:before="79"/>
        <w:ind w:left="30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w:t>
      </w:r>
      <w:r>
        <w:rPr>
          <w:rFonts w:hint="eastAsia" w:ascii="宋体" w:hAnsi="宋体" w:eastAsia="宋体" w:cs="宋体"/>
          <w:color w:val="auto"/>
          <w:spacing w:val="-3"/>
          <w:sz w:val="24"/>
          <w:szCs w:val="24"/>
          <w:highlight w:val="none"/>
        </w:rPr>
        <w:t>证</w:t>
      </w:r>
      <w:r>
        <w:rPr>
          <w:rFonts w:hint="eastAsia" w:ascii="宋体" w:hAnsi="宋体" w:eastAsia="宋体" w:cs="宋体"/>
          <w:color w:val="auto"/>
          <w:sz w:val="24"/>
          <w:szCs w:val="24"/>
          <w:highlight w:val="none"/>
        </w:rPr>
        <w:t>号</w:t>
      </w:r>
      <w:r>
        <w:rPr>
          <w:rFonts w:hint="eastAsia" w:ascii="宋体" w:hAnsi="宋体" w:eastAsia="宋体" w:cs="宋体"/>
          <w:color w:val="auto"/>
          <w:spacing w:val="-3"/>
          <w:sz w:val="24"/>
          <w:szCs w:val="24"/>
          <w:highlight w:val="none"/>
        </w:rPr>
        <w:t>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FA9B351">
      <w:pPr>
        <w:pStyle w:val="11"/>
        <w:shd w:val="clear" w:color="auto" w:fill="auto"/>
        <w:rPr>
          <w:rFonts w:hint="eastAsia" w:ascii="宋体" w:hAnsi="宋体" w:eastAsia="宋体" w:cs="宋体"/>
          <w:color w:val="auto"/>
          <w:sz w:val="24"/>
          <w:szCs w:val="24"/>
          <w:highlight w:val="none"/>
        </w:rPr>
      </w:pPr>
    </w:p>
    <w:p w14:paraId="5F87D82D">
      <w:pPr>
        <w:pStyle w:val="11"/>
        <w:shd w:val="clear" w:color="auto" w:fill="auto"/>
        <w:tabs>
          <w:tab w:val="left" w:pos="7961"/>
        </w:tabs>
        <w:spacing w:before="78"/>
        <w:ind w:left="30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w:t>
      </w:r>
      <w:r>
        <w:rPr>
          <w:rFonts w:hint="eastAsia" w:ascii="宋体" w:hAnsi="宋体" w:eastAsia="宋体" w:cs="宋体"/>
          <w:color w:val="auto"/>
          <w:spacing w:val="-3"/>
          <w:sz w:val="24"/>
          <w:szCs w:val="24"/>
          <w:highlight w:val="none"/>
        </w:rPr>
        <w:t>代</w:t>
      </w:r>
      <w:r>
        <w:rPr>
          <w:rFonts w:hint="eastAsia" w:ascii="宋体" w:hAnsi="宋体" w:eastAsia="宋体" w:cs="宋体"/>
          <w:color w:val="auto"/>
          <w:sz w:val="24"/>
          <w:szCs w:val="24"/>
          <w:highlight w:val="none"/>
        </w:rPr>
        <w:t>理</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（签字）</w:t>
      </w:r>
    </w:p>
    <w:p w14:paraId="0133ACC3">
      <w:pPr>
        <w:pStyle w:val="11"/>
        <w:shd w:val="clear" w:color="auto" w:fill="auto"/>
        <w:rPr>
          <w:rFonts w:hint="eastAsia" w:ascii="宋体" w:hAnsi="宋体" w:eastAsia="宋体" w:cs="宋体"/>
          <w:color w:val="auto"/>
          <w:sz w:val="24"/>
          <w:szCs w:val="24"/>
          <w:highlight w:val="none"/>
        </w:rPr>
      </w:pPr>
    </w:p>
    <w:p w14:paraId="79573D65">
      <w:pPr>
        <w:pStyle w:val="11"/>
        <w:shd w:val="clear" w:color="auto" w:fill="auto"/>
        <w:tabs>
          <w:tab w:val="left" w:pos="8849"/>
        </w:tabs>
        <w:spacing w:before="78"/>
        <w:ind w:left="30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w:t>
      </w:r>
      <w:r>
        <w:rPr>
          <w:rFonts w:hint="eastAsia" w:ascii="宋体" w:hAnsi="宋体" w:eastAsia="宋体" w:cs="宋体"/>
          <w:color w:val="auto"/>
          <w:spacing w:val="-3"/>
          <w:sz w:val="24"/>
          <w:szCs w:val="24"/>
          <w:highlight w:val="none"/>
        </w:rPr>
        <w:t>证</w:t>
      </w:r>
      <w:r>
        <w:rPr>
          <w:rFonts w:hint="eastAsia" w:ascii="宋体" w:hAnsi="宋体" w:eastAsia="宋体" w:cs="宋体"/>
          <w:color w:val="auto"/>
          <w:sz w:val="24"/>
          <w:szCs w:val="24"/>
          <w:highlight w:val="none"/>
        </w:rPr>
        <w:t>号</w:t>
      </w:r>
      <w:r>
        <w:rPr>
          <w:rFonts w:hint="eastAsia" w:ascii="宋体" w:hAnsi="宋体" w:eastAsia="宋体" w:cs="宋体"/>
          <w:color w:val="auto"/>
          <w:spacing w:val="-3"/>
          <w:sz w:val="24"/>
          <w:szCs w:val="24"/>
          <w:highlight w:val="none"/>
        </w:rPr>
        <w:t>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0DD24919">
      <w:pPr>
        <w:pStyle w:val="11"/>
        <w:shd w:val="clear" w:color="auto" w:fill="auto"/>
        <w:rPr>
          <w:rFonts w:hint="eastAsia" w:ascii="宋体" w:hAnsi="宋体" w:eastAsia="宋体" w:cs="宋体"/>
          <w:color w:val="auto"/>
          <w:sz w:val="24"/>
          <w:szCs w:val="24"/>
          <w:highlight w:val="none"/>
        </w:rPr>
      </w:pPr>
    </w:p>
    <w:p w14:paraId="719EF6EE">
      <w:pPr>
        <w:pStyle w:val="11"/>
        <w:shd w:val="clear" w:color="auto" w:fill="auto"/>
        <w:tabs>
          <w:tab w:val="left" w:pos="6943"/>
          <w:tab w:val="left" w:pos="7889"/>
          <w:tab w:val="left" w:pos="8833"/>
        </w:tabs>
        <w:spacing w:before="72"/>
        <w:ind w:left="6207"/>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日</w:t>
      </w:r>
    </w:p>
    <w:p w14:paraId="6DE40B38">
      <w:pPr>
        <w:shd w:val="clear" w:color="auto" w:fill="auto"/>
        <w:rPr>
          <w:rFonts w:hint="eastAsia" w:ascii="宋体" w:hAnsi="宋体" w:eastAsia="宋体" w:cs="宋体"/>
          <w:color w:val="auto"/>
          <w:highlight w:val="none"/>
        </w:rPr>
      </w:pPr>
    </w:p>
    <w:p w14:paraId="1DB09113">
      <w:pPr>
        <w:pStyle w:val="11"/>
        <w:shd w:val="clear" w:color="auto" w:fill="auto"/>
        <w:spacing w:before="1" w:line="391" w:lineRule="auto"/>
        <w:ind w:right="693"/>
        <w:rPr>
          <w:rFonts w:hint="eastAsia" w:ascii="宋体" w:hAnsi="宋体" w:eastAsia="宋体" w:cs="宋体"/>
          <w:b/>
          <w:bCs/>
          <w:color w:val="auto"/>
          <w:sz w:val="24"/>
          <w:szCs w:val="24"/>
          <w:highlight w:val="none"/>
        </w:rPr>
      </w:pPr>
    </w:p>
    <w:p w14:paraId="1E222767">
      <w:pPr>
        <w:pStyle w:val="11"/>
        <w:shd w:val="clear" w:color="auto" w:fill="auto"/>
        <w:spacing w:before="1" w:line="391" w:lineRule="auto"/>
        <w:ind w:right="69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注：1. 法定代表人和委托代理人必须在授权委托书上亲笔签名，不得使用印章、签名章或其他电子制版签名代替</w:t>
      </w:r>
      <w:r>
        <w:rPr>
          <w:rFonts w:hint="eastAsia" w:ascii="宋体" w:hAnsi="宋体" w:cs="宋体"/>
          <w:b/>
          <w:bCs/>
          <w:color w:val="auto"/>
          <w:sz w:val="24"/>
          <w:szCs w:val="24"/>
          <w:highlight w:val="none"/>
          <w:lang w:eastAsia="zh-CN"/>
        </w:rPr>
        <w:t>；</w:t>
      </w:r>
    </w:p>
    <w:p w14:paraId="25CB5963">
      <w:pPr>
        <w:pStyle w:val="11"/>
        <w:shd w:val="clear" w:color="auto" w:fill="auto"/>
        <w:spacing w:before="1" w:line="391" w:lineRule="auto"/>
        <w:ind w:right="693"/>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如果由投标人的法定代表人签署投标文件，则不需提交本授权委托书。</w:t>
      </w:r>
    </w:p>
    <w:p w14:paraId="5F3DC87A">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r>
        <w:rPr>
          <w:rFonts w:hint="eastAsia" w:ascii="宋体" w:hAnsi="宋体" w:eastAsia="宋体" w:cs="宋体"/>
          <w:b w:val="0"/>
          <w:bCs w:val="0"/>
          <w:color w:val="auto"/>
          <w:highlight w:val="none"/>
        </w:rPr>
        <w:br w:type="page"/>
      </w:r>
      <w:r>
        <w:rPr>
          <w:rFonts w:hint="eastAsia" w:ascii="宋体" w:hAnsi="宋体" w:eastAsia="宋体" w:cs="宋体"/>
          <w:color w:val="auto"/>
          <w:highlight w:val="none"/>
        </w:rPr>
        <w:t>投标保证金</w:t>
      </w:r>
    </w:p>
    <w:p w14:paraId="43C749B2">
      <w:pPr>
        <w:rPr>
          <w:rFonts w:hint="eastAsia" w:ascii="宋体" w:hAnsi="宋体" w:eastAsia="宋体"/>
          <w:b/>
          <w:bCs/>
          <w:color w:val="auto"/>
          <w:sz w:val="28"/>
          <w:szCs w:val="28"/>
          <w:highlight w:val="none"/>
          <w:lang w:val="en-US" w:eastAsia="zh-CN"/>
        </w:rPr>
      </w:pPr>
      <w:r>
        <w:rPr>
          <w:rFonts w:hint="eastAsia" w:ascii="宋体" w:hAnsi="宋体" w:eastAsia="宋体"/>
          <w:b/>
          <w:bCs/>
          <w:color w:val="auto"/>
          <w:sz w:val="28"/>
          <w:szCs w:val="28"/>
          <w:highlight w:val="none"/>
          <w:lang w:val="en-US" w:eastAsia="zh-CN"/>
        </w:rPr>
        <w:t>1、</w:t>
      </w:r>
      <w:r>
        <w:rPr>
          <w:rFonts w:hint="eastAsia" w:ascii="宋体" w:hAnsi="宋体" w:eastAsia="宋体"/>
          <w:b/>
          <w:bCs/>
          <w:color w:val="auto"/>
          <w:sz w:val="28"/>
          <w:szCs w:val="28"/>
          <w:highlight w:val="none"/>
          <w:lang w:val="hr-HR"/>
        </w:rPr>
        <w:t>采用电汇或银行转账方式</w:t>
      </w:r>
    </w:p>
    <w:p w14:paraId="1659D826">
      <w:pPr>
        <w:pStyle w:val="11"/>
        <w:shd w:val="clear" w:color="auto" w:fill="auto"/>
        <w:tabs>
          <w:tab w:val="left" w:pos="6734"/>
          <w:tab w:val="left" w:pos="7783"/>
          <w:tab w:val="left" w:pos="8833"/>
        </w:tabs>
        <w:spacing w:before="72"/>
        <w:jc w:val="center"/>
        <w:rPr>
          <w:rFonts w:hint="eastAsia" w:ascii="宋体" w:hAnsi="宋体" w:eastAsia="宋体" w:cs="宋体"/>
          <w:color w:val="auto"/>
          <w:highlight w:val="none"/>
        </w:rPr>
      </w:pPr>
    </w:p>
    <w:p w14:paraId="7C774E33">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肇庆市港口投资发展有限公司</w:t>
      </w:r>
      <w:r>
        <w:rPr>
          <w:rFonts w:hint="eastAsia" w:asciiTheme="minorEastAsia" w:hAnsiTheme="minorEastAsia" w:eastAsiaTheme="minorEastAsia" w:cstheme="minorEastAsia"/>
          <w:color w:val="auto"/>
          <w:sz w:val="24"/>
          <w:szCs w:val="24"/>
          <w:highlight w:val="none"/>
        </w:rPr>
        <w:t>/广东华伦招标有限公司：</w:t>
      </w:r>
    </w:p>
    <w:p w14:paraId="2199A6E9">
      <w:pPr>
        <w:spacing w:line="360" w:lineRule="auto"/>
        <w:ind w:firstLine="48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（投标人全称） </w:t>
      </w:r>
      <w:r>
        <w:rPr>
          <w:rFonts w:hint="eastAsia" w:asciiTheme="minorEastAsia" w:hAnsiTheme="minorEastAsia" w:eastAsiaTheme="minorEastAsia" w:cstheme="minorEastAsia"/>
          <w:color w:val="auto"/>
          <w:sz w:val="24"/>
          <w:szCs w:val="24"/>
          <w:highlight w:val="none"/>
        </w:rPr>
        <w:t>参加贵方组织的的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u w:val="single"/>
        </w:rPr>
        <w:t>（项目</w:t>
      </w:r>
      <w:r>
        <w:rPr>
          <w:rFonts w:hint="eastAsia" w:asciiTheme="minorEastAsia" w:hAnsiTheme="minorEastAsia" w:eastAsiaTheme="minorEastAsia" w:cstheme="minorEastAsia"/>
          <w:color w:val="auto"/>
          <w:sz w:val="24"/>
          <w:szCs w:val="24"/>
          <w:highlight w:val="none"/>
          <w:u w:val="single"/>
          <w:lang w:val="en-US" w:eastAsia="zh-CN"/>
        </w:rPr>
        <w:t>编号</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的</w:t>
      </w:r>
      <w:r>
        <w:rPr>
          <w:rFonts w:hint="eastAsia" w:asciiTheme="minorEastAsia" w:hAnsiTheme="minorEastAsia" w:eastAsiaTheme="minorEastAsia" w:cstheme="minorEastAsia"/>
          <w:color w:val="auto"/>
          <w:sz w:val="24"/>
          <w:szCs w:val="24"/>
          <w:highlight w:val="none"/>
        </w:rPr>
        <w:t>采购活动。按招标文件的规定，已通过</w:t>
      </w:r>
      <w:r>
        <w:rPr>
          <w:rFonts w:hint="eastAsia" w:asciiTheme="minorEastAsia" w:hAnsiTheme="minorEastAsia" w:eastAsiaTheme="minorEastAsia" w:cstheme="minorEastAsia"/>
          <w:color w:val="auto"/>
          <w:sz w:val="24"/>
          <w:szCs w:val="24"/>
          <w:highlight w:val="none"/>
          <w:u w:val="single"/>
        </w:rPr>
        <w:t xml:space="preserve"> （付款形式） </w:t>
      </w:r>
      <w:r>
        <w:rPr>
          <w:rFonts w:hint="eastAsia" w:asciiTheme="minorEastAsia" w:hAnsiTheme="minorEastAsia" w:eastAsiaTheme="minorEastAsia" w:cstheme="minorEastAsia"/>
          <w:color w:val="auto"/>
          <w:sz w:val="24"/>
          <w:szCs w:val="24"/>
          <w:highlight w:val="none"/>
        </w:rPr>
        <w:t>形式交纳人民币</w:t>
      </w:r>
      <w:r>
        <w:rPr>
          <w:rFonts w:hint="eastAsia" w:asciiTheme="minorEastAsia" w:hAnsiTheme="minorEastAsia" w:eastAsiaTheme="minorEastAsia" w:cstheme="minorEastAsia"/>
          <w:color w:val="auto"/>
          <w:sz w:val="24"/>
          <w:szCs w:val="24"/>
          <w:highlight w:val="none"/>
          <w:u w:val="single"/>
        </w:rPr>
        <w:t xml:space="preserve">（大写）  　　  </w:t>
      </w:r>
      <w:r>
        <w:rPr>
          <w:rFonts w:hint="eastAsia" w:asciiTheme="minorEastAsia" w:hAnsiTheme="minorEastAsia" w:eastAsiaTheme="minorEastAsia" w:cstheme="minorEastAsia"/>
          <w:color w:val="auto"/>
          <w:sz w:val="24"/>
          <w:szCs w:val="24"/>
          <w:highlight w:val="none"/>
        </w:rPr>
        <w:t>元的投标保证金。</w:t>
      </w:r>
    </w:p>
    <w:p w14:paraId="2438B8E1">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r>
        <w:rPr>
          <w:rFonts w:hint="eastAsia" w:asciiTheme="minorEastAsia" w:hAnsiTheme="minorEastAsia" w:eastAsiaTheme="minorEastAsia" w:cstheme="minorEastAsia"/>
          <w:color w:val="auto"/>
          <w:sz w:val="24"/>
          <w:szCs w:val="24"/>
          <w:highlight w:val="none"/>
          <w:u w:val="single"/>
        </w:rPr>
        <w:t xml:space="preserve">                     </w:t>
      </w:r>
    </w:p>
    <w:p w14:paraId="1C6A4408">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投标人开户银行：</w:t>
      </w:r>
      <w:r>
        <w:rPr>
          <w:rFonts w:hint="eastAsia" w:asciiTheme="minorEastAsia" w:hAnsiTheme="minorEastAsia" w:eastAsiaTheme="minorEastAsia" w:cstheme="minorEastAsia"/>
          <w:color w:val="auto"/>
          <w:sz w:val="24"/>
          <w:szCs w:val="24"/>
          <w:highlight w:val="none"/>
          <w:u w:val="single"/>
        </w:rPr>
        <w:t xml:space="preserve">                 </w:t>
      </w:r>
    </w:p>
    <w:p w14:paraId="0B256E89">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投标人银行帐号：</w:t>
      </w:r>
      <w:r>
        <w:rPr>
          <w:rFonts w:hint="eastAsia" w:asciiTheme="minorEastAsia" w:hAnsiTheme="minorEastAsia" w:eastAsiaTheme="minorEastAsia" w:cstheme="minorEastAsia"/>
          <w:color w:val="auto"/>
          <w:sz w:val="24"/>
          <w:szCs w:val="24"/>
          <w:highlight w:val="none"/>
          <w:u w:val="single"/>
        </w:rPr>
        <w:t xml:space="preserve">                 </w:t>
      </w:r>
    </w:p>
    <w:p w14:paraId="6847E8E7">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上述要素供银行转账及银行汇款方式填写，其他形式可不填。其他方式以现场递交为依据。</w:t>
      </w:r>
    </w:p>
    <w:p w14:paraId="540C8951">
      <w:pPr>
        <w:autoSpaceDE w:val="0"/>
        <w:autoSpaceDN w:val="0"/>
        <w:spacing w:line="360" w:lineRule="auto"/>
        <w:ind w:left="479" w:leftChars="228" w:firstLine="720" w:firstLineChars="3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上述要素的填写必须与银行转账或银行汇款凭证的要素一致。</w:t>
      </w:r>
    </w:p>
    <w:p w14:paraId="62C960D1">
      <w:pPr>
        <w:spacing w:line="360" w:lineRule="auto"/>
        <w:outlineLvl w:val="9"/>
        <w:rPr>
          <w:rFonts w:hint="eastAsia" w:asciiTheme="minorEastAsia" w:hAnsiTheme="minorEastAsia" w:eastAsiaTheme="minorEastAsia" w:cstheme="minorEastAsia"/>
          <w:color w:val="auto"/>
          <w:sz w:val="24"/>
          <w:szCs w:val="24"/>
          <w:highlight w:val="none"/>
        </w:rPr>
      </w:pPr>
    </w:p>
    <w:p w14:paraId="7D7C4196">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宋体" w:hAnsi="宋体" w:eastAsia="宋体" w:cs="宋体"/>
          <w:color w:val="auto"/>
          <w:sz w:val="24"/>
          <w:szCs w:val="24"/>
          <w:highlight w:val="none"/>
        </w:rPr>
        <w:t>法</w:t>
      </w:r>
      <w:r>
        <w:rPr>
          <w:rFonts w:hint="eastAsia" w:ascii="宋体" w:hAnsi="宋体" w:eastAsia="宋体" w:cs="宋体"/>
          <w:color w:val="auto"/>
          <w:spacing w:val="-3"/>
          <w:sz w:val="24"/>
          <w:szCs w:val="24"/>
          <w:highlight w:val="none"/>
        </w:rPr>
        <w:t>定</w:t>
      </w:r>
      <w:r>
        <w:rPr>
          <w:rFonts w:hint="eastAsia" w:ascii="宋体" w:hAnsi="宋体" w:eastAsia="宋体" w:cs="宋体"/>
          <w:color w:val="auto"/>
          <w:sz w:val="24"/>
          <w:szCs w:val="24"/>
          <w:highlight w:val="none"/>
        </w:rPr>
        <w:t>代</w:t>
      </w:r>
      <w:r>
        <w:rPr>
          <w:rFonts w:hint="eastAsia" w:ascii="宋体" w:hAnsi="宋体" w:eastAsia="宋体" w:cs="宋体"/>
          <w:color w:val="auto"/>
          <w:spacing w:val="-3"/>
          <w:sz w:val="24"/>
          <w:szCs w:val="24"/>
          <w:highlight w:val="none"/>
        </w:rPr>
        <w:t>表</w:t>
      </w:r>
      <w:r>
        <w:rPr>
          <w:rFonts w:hint="eastAsia" w:ascii="宋体" w:hAnsi="宋体" w:eastAsia="宋体" w:cs="宋体"/>
          <w:color w:val="auto"/>
          <w:sz w:val="24"/>
          <w:szCs w:val="24"/>
          <w:highlight w:val="none"/>
        </w:rPr>
        <w:t>人或</w:t>
      </w:r>
      <w:r>
        <w:rPr>
          <w:rFonts w:hint="eastAsia" w:ascii="宋体" w:hAnsi="宋体" w:eastAsia="宋体" w:cs="宋体"/>
          <w:color w:val="auto"/>
          <w:spacing w:val="-3"/>
          <w:sz w:val="24"/>
          <w:szCs w:val="24"/>
          <w:highlight w:val="none"/>
        </w:rPr>
        <w:t>其</w:t>
      </w:r>
      <w:r>
        <w:rPr>
          <w:rFonts w:hint="eastAsia" w:ascii="宋体" w:hAnsi="宋体" w:eastAsia="宋体" w:cs="宋体"/>
          <w:color w:val="auto"/>
          <w:sz w:val="24"/>
          <w:szCs w:val="24"/>
          <w:highlight w:val="none"/>
        </w:rPr>
        <w:t>委</w:t>
      </w:r>
      <w:r>
        <w:rPr>
          <w:rFonts w:hint="eastAsia" w:ascii="宋体" w:hAnsi="宋体" w:eastAsia="宋体" w:cs="宋体"/>
          <w:color w:val="auto"/>
          <w:spacing w:val="-3"/>
          <w:sz w:val="24"/>
          <w:szCs w:val="24"/>
          <w:highlight w:val="none"/>
        </w:rPr>
        <w:t>托</w:t>
      </w:r>
      <w:r>
        <w:rPr>
          <w:rFonts w:hint="eastAsia" w:ascii="宋体" w:hAnsi="宋体" w:eastAsia="宋体" w:cs="宋体"/>
          <w:color w:val="auto"/>
          <w:sz w:val="24"/>
          <w:szCs w:val="24"/>
          <w:highlight w:val="none"/>
        </w:rPr>
        <w:t>代</w:t>
      </w:r>
      <w:r>
        <w:rPr>
          <w:rFonts w:hint="eastAsia" w:ascii="宋体" w:hAnsi="宋体" w:eastAsia="宋体" w:cs="宋体"/>
          <w:color w:val="auto"/>
          <w:spacing w:val="-3"/>
          <w:sz w:val="24"/>
          <w:szCs w:val="24"/>
          <w:highlight w:val="none"/>
        </w:rPr>
        <w:t>理</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签字或</w:t>
      </w:r>
      <w:r>
        <w:rPr>
          <w:rFonts w:hint="eastAsia" w:asciiTheme="minorEastAsia" w:hAnsiTheme="minorEastAsia" w:eastAsiaTheme="minorEastAsia" w:cstheme="minorEastAsia"/>
          <w:color w:val="auto"/>
          <w:sz w:val="24"/>
          <w:szCs w:val="24"/>
          <w:highlight w:val="none"/>
          <w:lang w:eastAsia="zh-CN"/>
        </w:rPr>
        <w:t>盖私章）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405E2E2C">
      <w:pPr>
        <w:spacing w:line="360" w:lineRule="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盖</w:t>
      </w:r>
      <w:r>
        <w:rPr>
          <w:rFonts w:hint="eastAsia" w:asciiTheme="minorEastAsia" w:hAnsiTheme="minorEastAsia" w:eastAsiaTheme="minorEastAsia" w:cstheme="minorEastAsia"/>
          <w:color w:val="auto"/>
          <w:sz w:val="24"/>
          <w:szCs w:val="24"/>
          <w:highlight w:val="none"/>
        </w:rPr>
        <w:t>单位公章）：</w:t>
      </w:r>
      <w:r>
        <w:rPr>
          <w:rFonts w:hint="eastAsia" w:asciiTheme="minorEastAsia" w:hAnsiTheme="minorEastAsia" w:eastAsiaTheme="minorEastAsia" w:cstheme="minorEastAsia"/>
          <w:color w:val="auto"/>
          <w:sz w:val="24"/>
          <w:szCs w:val="24"/>
          <w:highlight w:val="none"/>
          <w:u w:val="single"/>
        </w:rPr>
        <w:t xml:space="preserve">                        </w:t>
      </w:r>
    </w:p>
    <w:p w14:paraId="393DAD0D">
      <w:pPr>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14:paraId="0FC0B261">
      <w:pPr>
        <w:spacing w:line="300" w:lineRule="auto"/>
        <w:outlineLvl w:val="9"/>
        <w:rPr>
          <w:rFonts w:hint="eastAsia" w:asciiTheme="minorEastAsia" w:hAnsiTheme="minorEastAsia" w:eastAsiaTheme="minorEastAsia" w:cstheme="minorEastAsia"/>
          <w:color w:val="auto"/>
          <w:sz w:val="24"/>
          <w:szCs w:val="24"/>
          <w:highlight w:val="none"/>
        </w:rPr>
      </w:pPr>
    </w:p>
    <w:p w14:paraId="3C4A99DA">
      <w:pPr>
        <w:spacing w:line="30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附：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2"/>
      </w:tblGrid>
      <w:tr w14:paraId="2BFE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9212" w:type="dxa"/>
            <w:noWrap w:val="0"/>
            <w:vAlign w:val="top"/>
          </w:tcPr>
          <w:p w14:paraId="23162C02">
            <w:pPr>
              <w:spacing w:line="300" w:lineRule="auto"/>
              <w:outlineLvl w:val="9"/>
              <w:rPr>
                <w:rFonts w:hint="eastAsia" w:ascii="宋体" w:hAnsi="宋体"/>
                <w:color w:val="auto"/>
                <w:sz w:val="21"/>
                <w:szCs w:val="21"/>
                <w:highlight w:val="none"/>
              </w:rPr>
            </w:pPr>
          </w:p>
          <w:p w14:paraId="41A57436">
            <w:pPr>
              <w:spacing w:line="300" w:lineRule="auto"/>
              <w:outlineLvl w:val="9"/>
              <w:rPr>
                <w:rFonts w:hint="eastAsia" w:ascii="宋体" w:hAnsi="宋体"/>
                <w:color w:val="auto"/>
                <w:sz w:val="21"/>
                <w:szCs w:val="21"/>
                <w:highlight w:val="none"/>
              </w:rPr>
            </w:pPr>
            <w:r>
              <w:rPr>
                <w:rFonts w:hint="eastAsia" w:ascii="宋体" w:hAnsi="宋体"/>
                <w:b/>
                <w:bCs/>
                <w:color w:val="auto"/>
                <w:sz w:val="21"/>
                <w:szCs w:val="21"/>
                <w:highlight w:val="none"/>
              </w:rPr>
              <w:t>粘贴交纳投标保证金有效凭证的复印件（加盖</w:t>
            </w:r>
            <w:r>
              <w:rPr>
                <w:rFonts w:hint="eastAsia" w:ascii="宋体" w:hAnsi="宋体"/>
                <w:b/>
                <w:bCs/>
                <w:color w:val="auto"/>
                <w:sz w:val="21"/>
                <w:szCs w:val="21"/>
                <w:highlight w:val="none"/>
                <w:lang w:val="en-US" w:eastAsia="zh-CN"/>
              </w:rPr>
              <w:t>单位</w:t>
            </w:r>
            <w:r>
              <w:rPr>
                <w:rFonts w:hint="eastAsia" w:ascii="宋体" w:hAnsi="宋体"/>
                <w:b/>
                <w:bCs/>
                <w:color w:val="auto"/>
                <w:sz w:val="21"/>
                <w:szCs w:val="21"/>
                <w:highlight w:val="none"/>
              </w:rPr>
              <w:t>公章）</w:t>
            </w:r>
          </w:p>
        </w:tc>
      </w:tr>
    </w:tbl>
    <w:p w14:paraId="17A2C314">
      <w:pPr>
        <w:outlineLvl w:val="9"/>
        <w:rPr>
          <w:rFonts w:hint="eastAsia" w:ascii="宋体" w:hAnsi="宋体"/>
          <w:b/>
          <w:color w:val="auto"/>
          <w:sz w:val="21"/>
          <w:szCs w:val="21"/>
          <w:highlight w:val="none"/>
        </w:rPr>
      </w:pPr>
    </w:p>
    <w:p w14:paraId="2513EB81">
      <w:pPr>
        <w:outlineLvl w:val="9"/>
        <w:rPr>
          <w:rFonts w:hint="eastAsia" w:ascii="宋体" w:hAnsi="宋体"/>
          <w:b/>
          <w:color w:val="auto"/>
          <w:sz w:val="21"/>
          <w:szCs w:val="21"/>
          <w:highlight w:val="none"/>
        </w:rPr>
      </w:pPr>
      <w:r>
        <w:rPr>
          <w:rFonts w:hint="eastAsia" w:ascii="宋体" w:hAnsi="宋体"/>
          <w:b/>
          <w:color w:val="auto"/>
          <w:sz w:val="21"/>
          <w:szCs w:val="21"/>
          <w:highlight w:val="none"/>
        </w:rPr>
        <w:t>注：1.投标人投标响应时，应当按招标文件要求交纳投标保证金。</w:t>
      </w:r>
    </w:p>
    <w:p w14:paraId="4A57DE79">
      <w:pPr>
        <w:rPr>
          <w:rFonts w:hint="eastAsia" w:ascii="宋体" w:hAnsi="宋体"/>
          <w:b/>
          <w:color w:val="auto"/>
          <w:sz w:val="21"/>
          <w:szCs w:val="21"/>
          <w:highlight w:val="none"/>
        </w:rPr>
      </w:pPr>
      <w:r>
        <w:rPr>
          <w:rFonts w:hint="eastAsia" w:ascii="宋体" w:hAnsi="宋体"/>
          <w:b/>
          <w:color w:val="auto"/>
          <w:sz w:val="21"/>
          <w:szCs w:val="21"/>
          <w:highlight w:val="none"/>
        </w:rPr>
        <w:br w:type="page"/>
      </w:r>
    </w:p>
    <w:p w14:paraId="3641E99B">
      <w:pPr>
        <w:spacing w:line="560" w:lineRule="exact"/>
        <w:rPr>
          <w:rFonts w:asciiTheme="majorEastAsia" w:hAnsiTheme="majorEastAsia" w:eastAsiaTheme="majorEastAsia"/>
          <w:b/>
          <w:bCs/>
          <w:color w:val="auto"/>
          <w:sz w:val="28"/>
          <w:szCs w:val="28"/>
          <w:highlight w:val="none"/>
        </w:rPr>
      </w:pPr>
      <w:r>
        <w:rPr>
          <w:rFonts w:hint="eastAsia" w:asciiTheme="majorEastAsia" w:hAnsiTheme="majorEastAsia" w:eastAsiaTheme="majorEastAsia"/>
          <w:b/>
          <w:bCs/>
          <w:color w:val="auto"/>
          <w:sz w:val="28"/>
          <w:szCs w:val="28"/>
          <w:highlight w:val="none"/>
          <w:lang w:val="en-US" w:eastAsia="zh-CN"/>
        </w:rPr>
        <w:t>2、</w:t>
      </w:r>
      <w:r>
        <w:rPr>
          <w:rFonts w:hint="eastAsia" w:asciiTheme="majorEastAsia" w:hAnsiTheme="majorEastAsia" w:eastAsiaTheme="majorEastAsia"/>
          <w:b/>
          <w:bCs/>
          <w:color w:val="auto"/>
          <w:sz w:val="28"/>
          <w:szCs w:val="28"/>
          <w:highlight w:val="none"/>
        </w:rPr>
        <w:t>按下列要求后附投标保证金递交凭证：</w:t>
      </w:r>
    </w:p>
    <w:p w14:paraId="7B7CE3C5">
      <w:pPr>
        <w:pStyle w:val="62"/>
        <w:numPr>
          <w:ilvl w:val="0"/>
          <w:numId w:val="0"/>
        </w:numPr>
        <w:spacing w:line="560" w:lineRule="exact"/>
        <w:ind w:left="360" w:leftChars="0" w:hanging="360" w:firstLineChars="0"/>
        <w:rPr>
          <w:rFonts w:asciiTheme="majorEastAsia" w:hAnsiTheme="majorEastAsia" w:eastAsiaTheme="majorEastAsia"/>
          <w:color w:val="auto"/>
          <w:sz w:val="24"/>
          <w:szCs w:val="24"/>
          <w:highlight w:val="none"/>
        </w:rPr>
      </w:pPr>
      <w:r>
        <w:rPr>
          <w:rFonts w:hint="default" w:cs="Droid Sans Fallback" w:asciiTheme="majorEastAsia" w:hAnsiTheme="majorEastAsia" w:eastAsiaTheme="majorEastAsia"/>
          <w:color w:val="auto"/>
          <w:kern w:val="2"/>
          <w:sz w:val="24"/>
          <w:szCs w:val="24"/>
          <w:highlight w:val="none"/>
          <w:lang w:val="zh-CN" w:eastAsia="zh-CN" w:bidi="zh-CN"/>
        </w:rPr>
        <w:t>①</w:t>
      </w:r>
      <w:r>
        <w:rPr>
          <w:rFonts w:hint="eastAsia" w:cs="宋体" w:asciiTheme="majorEastAsia" w:hAnsiTheme="majorEastAsia" w:eastAsiaTheme="majorEastAsia"/>
          <w:color w:val="auto"/>
          <w:sz w:val="24"/>
          <w:szCs w:val="24"/>
          <w:highlight w:val="none"/>
        </w:rPr>
        <w:t>采用投标保函形式递交投标保证金的，后附投标保函复印件作为投标保证金递交凭证。</w:t>
      </w:r>
      <w:r>
        <w:rPr>
          <w:rFonts w:hint="eastAsia" w:asciiTheme="majorEastAsia" w:hAnsiTheme="majorEastAsia" w:eastAsiaTheme="majorEastAsia"/>
          <w:color w:val="auto"/>
          <w:sz w:val="24"/>
          <w:szCs w:val="24"/>
          <w:highlight w:val="none"/>
        </w:rPr>
        <w:t xml:space="preserve"> </w:t>
      </w:r>
    </w:p>
    <w:p w14:paraId="6BB71B7E">
      <w:pPr>
        <w:pStyle w:val="62"/>
        <w:numPr>
          <w:ilvl w:val="0"/>
          <w:numId w:val="0"/>
        </w:numPr>
        <w:spacing w:line="560" w:lineRule="exact"/>
        <w:ind w:left="360" w:leftChars="0" w:hanging="360" w:firstLineChars="0"/>
        <w:rPr>
          <w:rFonts w:asciiTheme="majorEastAsia" w:hAnsiTheme="majorEastAsia" w:eastAsiaTheme="majorEastAsia"/>
          <w:color w:val="auto"/>
          <w:sz w:val="24"/>
          <w:szCs w:val="24"/>
          <w:highlight w:val="none"/>
        </w:rPr>
      </w:pPr>
      <w:r>
        <w:rPr>
          <w:rFonts w:hint="default" w:cs="Droid Sans Fallback" w:asciiTheme="majorEastAsia" w:hAnsiTheme="majorEastAsia" w:eastAsiaTheme="majorEastAsia"/>
          <w:color w:val="auto"/>
          <w:kern w:val="2"/>
          <w:sz w:val="24"/>
          <w:szCs w:val="24"/>
          <w:highlight w:val="none"/>
          <w:lang w:val="zh-CN" w:eastAsia="zh-CN" w:bidi="zh-CN"/>
        </w:rPr>
        <w:t>②</w:t>
      </w:r>
      <w:r>
        <w:rPr>
          <w:rFonts w:hint="eastAsia" w:cs="宋体" w:asciiTheme="majorEastAsia" w:hAnsiTheme="majorEastAsia" w:eastAsiaTheme="majorEastAsia"/>
          <w:color w:val="auto"/>
          <w:sz w:val="24"/>
          <w:szCs w:val="24"/>
          <w:highlight w:val="none"/>
        </w:rPr>
        <w:t>采用电子保函形式递交投标保证金的，后附电子保函复印件作为投标保证金递交凭证。</w:t>
      </w:r>
    </w:p>
    <w:p w14:paraId="38EF6E43">
      <w:pPr>
        <w:pStyle w:val="62"/>
        <w:numPr>
          <w:ilvl w:val="0"/>
          <w:numId w:val="0"/>
        </w:numPr>
        <w:spacing w:line="560" w:lineRule="exact"/>
        <w:ind w:left="360" w:leftChars="0" w:hanging="360" w:firstLineChars="0"/>
        <w:rPr>
          <w:rFonts w:asciiTheme="majorEastAsia" w:hAnsiTheme="majorEastAsia" w:eastAsiaTheme="majorEastAsia"/>
          <w:color w:val="auto"/>
          <w:sz w:val="24"/>
          <w:szCs w:val="24"/>
          <w:highlight w:val="none"/>
        </w:rPr>
      </w:pPr>
      <w:r>
        <w:rPr>
          <w:rFonts w:hint="default" w:cs="Droid Sans Fallback" w:asciiTheme="majorEastAsia" w:hAnsiTheme="majorEastAsia" w:eastAsiaTheme="majorEastAsia"/>
          <w:color w:val="auto"/>
          <w:kern w:val="2"/>
          <w:sz w:val="24"/>
          <w:szCs w:val="24"/>
          <w:highlight w:val="none"/>
          <w:lang w:val="zh-CN" w:eastAsia="zh-CN" w:bidi="zh-CN"/>
        </w:rPr>
        <w:t>③</w:t>
      </w:r>
      <w:r>
        <w:rPr>
          <w:rFonts w:hint="eastAsia" w:cs="宋体" w:asciiTheme="majorEastAsia" w:hAnsiTheme="majorEastAsia" w:eastAsiaTheme="majorEastAsia"/>
          <w:color w:val="auto"/>
          <w:sz w:val="24"/>
          <w:szCs w:val="24"/>
          <w:highlight w:val="none"/>
        </w:rPr>
        <w:t>采用保险合同（保险单）形式递交投标保证金的，后附保险合同（保险单）复印件作为投标保证金递交凭证。</w:t>
      </w:r>
    </w:p>
    <w:p w14:paraId="723E658D">
      <w:pPr>
        <w:pStyle w:val="62"/>
        <w:numPr>
          <w:ilvl w:val="0"/>
          <w:numId w:val="0"/>
        </w:numPr>
        <w:spacing w:line="560" w:lineRule="exact"/>
        <w:ind w:left="360" w:leftChars="0" w:hanging="360" w:firstLineChars="0"/>
        <w:rPr>
          <w:rFonts w:hint="eastAsia" w:cs="宋体" w:asciiTheme="majorEastAsia" w:hAnsiTheme="majorEastAsia" w:eastAsiaTheme="majorEastAsia"/>
          <w:color w:val="auto"/>
          <w:sz w:val="24"/>
          <w:szCs w:val="24"/>
          <w:highlight w:val="none"/>
          <w:lang w:eastAsia="zh-CN"/>
        </w:rPr>
      </w:pPr>
      <w:r>
        <w:rPr>
          <w:rFonts w:hint="eastAsia" w:cs="宋体" w:asciiTheme="majorEastAsia" w:hAnsiTheme="majorEastAsia" w:eastAsiaTheme="majorEastAsia"/>
          <w:color w:val="auto"/>
          <w:sz w:val="24"/>
          <w:szCs w:val="24"/>
          <w:highlight w:val="none"/>
          <w:lang w:val="en-US" w:eastAsia="zh-CN"/>
        </w:rPr>
        <w:t>④</w:t>
      </w:r>
      <w:r>
        <w:rPr>
          <w:rFonts w:hint="eastAsia" w:cs="宋体" w:asciiTheme="majorEastAsia" w:hAnsiTheme="majorEastAsia" w:eastAsiaTheme="majorEastAsia"/>
          <w:color w:val="auto"/>
          <w:sz w:val="24"/>
          <w:szCs w:val="24"/>
          <w:highlight w:val="none"/>
        </w:rPr>
        <w:t>采用信用证形式递交投标保证金的，后附信用证复印件作为投标保证金递交凭证</w:t>
      </w:r>
      <w:r>
        <w:rPr>
          <w:rFonts w:hint="eastAsia" w:cs="宋体" w:asciiTheme="majorEastAsia" w:hAnsiTheme="majorEastAsia" w:eastAsiaTheme="majorEastAsia"/>
          <w:color w:val="auto"/>
          <w:sz w:val="24"/>
          <w:szCs w:val="24"/>
          <w:highlight w:val="none"/>
          <w:lang w:eastAsia="zh-CN"/>
        </w:rPr>
        <w:t>。</w:t>
      </w:r>
    </w:p>
    <w:p w14:paraId="6EA1D584">
      <w:pPr>
        <w:rPr>
          <w:rFonts w:hint="eastAsia" w:cs="宋体" w:asciiTheme="majorEastAsia" w:hAnsiTheme="majorEastAsia" w:eastAsiaTheme="majorEastAsia"/>
          <w:color w:val="auto"/>
          <w:highlight w:val="none"/>
          <w:lang w:eastAsia="zh-CN"/>
        </w:rPr>
      </w:pPr>
      <w:r>
        <w:rPr>
          <w:rFonts w:hint="eastAsia" w:cs="宋体" w:asciiTheme="majorEastAsia" w:hAnsiTheme="majorEastAsia" w:eastAsiaTheme="majorEastAsia"/>
          <w:color w:val="auto"/>
          <w:highlight w:val="none"/>
          <w:lang w:eastAsia="zh-CN"/>
        </w:rPr>
        <w:br w:type="page"/>
      </w:r>
    </w:p>
    <w:p w14:paraId="50F8E282">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r>
        <w:rPr>
          <w:rFonts w:hint="eastAsia" w:ascii="宋体" w:hAnsi="宋体" w:eastAsia="宋体" w:cs="宋体"/>
          <w:color w:val="auto"/>
          <w:highlight w:val="none"/>
        </w:rPr>
        <w:t>商务和技术偏差表</w:t>
      </w:r>
    </w:p>
    <w:p w14:paraId="619CA50E">
      <w:pPr>
        <w:spacing w:line="360" w:lineRule="auto"/>
        <w:rPr>
          <w:rFonts w:ascii="宋体" w:hAnsi="宋体" w:cs="宋体"/>
          <w:color w:val="auto"/>
          <w:highlight w:val="none"/>
        </w:rPr>
      </w:pPr>
      <w:r>
        <w:rPr>
          <w:rFonts w:hint="eastAsia" w:ascii="宋体" w:hAnsi="宋体" w:cs="宋体"/>
          <w:color w:val="auto"/>
          <w:highlight w:val="none"/>
        </w:rPr>
        <w:t>项目名称：</w:t>
      </w:r>
    </w:p>
    <w:p w14:paraId="0A16FBC6">
      <w:pPr>
        <w:rPr>
          <w:rFonts w:hint="eastAsia"/>
          <w:color w:val="auto"/>
          <w:highlight w:val="none"/>
        </w:rPr>
      </w:pPr>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552"/>
        <w:gridCol w:w="4409"/>
        <w:gridCol w:w="1255"/>
      </w:tblGrid>
      <w:tr w14:paraId="062C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2" w:type="dxa"/>
            <w:noWrap w:val="0"/>
            <w:vAlign w:val="center"/>
          </w:tcPr>
          <w:p w14:paraId="676D0C14">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552" w:type="dxa"/>
            <w:noWrap w:val="0"/>
            <w:vAlign w:val="top"/>
          </w:tcPr>
          <w:p w14:paraId="41FFD167">
            <w:pPr>
              <w:shd w:val="clear" w:color="auto" w:fill="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招标文件章节及条</w:t>
            </w:r>
            <w:r>
              <w:rPr>
                <w:rFonts w:hint="eastAsia" w:ascii="宋体" w:hAnsi="宋体" w:eastAsia="宋体" w:cs="宋体"/>
                <w:color w:val="auto"/>
                <w:spacing w:val="-2"/>
                <w:kern w:val="0"/>
                <w:sz w:val="24"/>
                <w:highlight w:val="none"/>
              </w:rPr>
              <w:t>款</w:t>
            </w:r>
            <w:r>
              <w:rPr>
                <w:rFonts w:hint="eastAsia" w:ascii="宋体" w:hAnsi="宋体" w:eastAsia="宋体" w:cs="宋体"/>
                <w:color w:val="auto"/>
                <w:kern w:val="0"/>
                <w:sz w:val="24"/>
                <w:highlight w:val="none"/>
              </w:rPr>
              <w:t>号</w:t>
            </w:r>
          </w:p>
        </w:tc>
        <w:tc>
          <w:tcPr>
            <w:tcW w:w="4409" w:type="dxa"/>
            <w:noWrap w:val="0"/>
            <w:vAlign w:val="center"/>
          </w:tcPr>
          <w:p w14:paraId="2A9D711D">
            <w:pPr>
              <w:shd w:val="clear" w:color="auto" w:fill="auto"/>
              <w:ind w:left="-281" w:leftChars="-134" w:firstLine="420"/>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投标文件章节及条</w:t>
            </w:r>
            <w:r>
              <w:rPr>
                <w:rFonts w:hint="eastAsia" w:ascii="宋体" w:hAnsi="宋体" w:eastAsia="宋体" w:cs="宋体"/>
                <w:color w:val="auto"/>
                <w:spacing w:val="-2"/>
                <w:kern w:val="0"/>
                <w:sz w:val="24"/>
                <w:highlight w:val="none"/>
              </w:rPr>
              <w:t>款</w:t>
            </w:r>
            <w:r>
              <w:rPr>
                <w:rFonts w:hint="eastAsia" w:ascii="宋体" w:hAnsi="宋体" w:eastAsia="宋体" w:cs="宋体"/>
                <w:color w:val="auto"/>
                <w:kern w:val="0"/>
                <w:sz w:val="24"/>
                <w:highlight w:val="none"/>
              </w:rPr>
              <w:t>号</w:t>
            </w:r>
          </w:p>
        </w:tc>
        <w:tc>
          <w:tcPr>
            <w:tcW w:w="1255" w:type="dxa"/>
            <w:noWrap w:val="0"/>
            <w:vAlign w:val="center"/>
          </w:tcPr>
          <w:p w14:paraId="620A8FB9">
            <w:pPr>
              <w:shd w:val="clear" w:color="auto" w:fill="auto"/>
              <w:ind w:right="-292" w:rightChars="-139"/>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4622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0A6A9DAC">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552" w:type="dxa"/>
            <w:noWrap w:val="0"/>
            <w:vAlign w:val="center"/>
          </w:tcPr>
          <w:p w14:paraId="44C0C77F">
            <w:pPr>
              <w:pStyle w:val="46"/>
              <w:shd w:val="clear" w:color="auto" w:fill="auto"/>
              <w:rPr>
                <w:rFonts w:hint="eastAsia" w:ascii="宋体" w:hAnsi="宋体" w:eastAsia="宋体" w:cs="宋体"/>
                <w:color w:val="auto"/>
                <w:szCs w:val="24"/>
                <w:highlight w:val="none"/>
              </w:rPr>
            </w:pPr>
          </w:p>
        </w:tc>
        <w:tc>
          <w:tcPr>
            <w:tcW w:w="4409" w:type="dxa"/>
            <w:noWrap w:val="0"/>
            <w:vAlign w:val="top"/>
          </w:tcPr>
          <w:p w14:paraId="7D0DA775">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1FAA8AB0">
            <w:pPr>
              <w:shd w:val="clear" w:color="auto" w:fill="auto"/>
              <w:ind w:left="-283" w:leftChars="-135" w:firstLine="420"/>
              <w:jc w:val="center"/>
              <w:rPr>
                <w:rFonts w:hint="eastAsia" w:ascii="宋体" w:hAnsi="宋体" w:eastAsia="宋体" w:cs="宋体"/>
                <w:color w:val="auto"/>
                <w:sz w:val="24"/>
                <w:highlight w:val="none"/>
              </w:rPr>
            </w:pPr>
          </w:p>
        </w:tc>
      </w:tr>
      <w:tr w14:paraId="6572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50019469">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552" w:type="dxa"/>
            <w:noWrap w:val="0"/>
            <w:vAlign w:val="center"/>
          </w:tcPr>
          <w:p w14:paraId="699A4997">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31D0E871">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2F258A60">
            <w:pPr>
              <w:shd w:val="clear" w:color="auto" w:fill="auto"/>
              <w:ind w:left="-283" w:leftChars="-135" w:firstLine="420"/>
              <w:jc w:val="center"/>
              <w:rPr>
                <w:rFonts w:hint="eastAsia" w:ascii="宋体" w:hAnsi="宋体" w:eastAsia="宋体" w:cs="宋体"/>
                <w:color w:val="auto"/>
                <w:sz w:val="24"/>
                <w:highlight w:val="none"/>
              </w:rPr>
            </w:pPr>
          </w:p>
        </w:tc>
      </w:tr>
      <w:tr w14:paraId="3D06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0CF6ACD1">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552" w:type="dxa"/>
            <w:noWrap w:val="0"/>
            <w:vAlign w:val="center"/>
          </w:tcPr>
          <w:p w14:paraId="3A247D5A">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2B635C2A">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6837F893">
            <w:pPr>
              <w:shd w:val="clear" w:color="auto" w:fill="auto"/>
              <w:ind w:left="-283" w:leftChars="-135" w:firstLine="420"/>
              <w:jc w:val="center"/>
              <w:rPr>
                <w:rFonts w:hint="eastAsia" w:ascii="宋体" w:hAnsi="宋体" w:eastAsia="宋体" w:cs="宋体"/>
                <w:color w:val="auto"/>
                <w:sz w:val="24"/>
                <w:highlight w:val="none"/>
              </w:rPr>
            </w:pPr>
          </w:p>
        </w:tc>
      </w:tr>
      <w:tr w14:paraId="0004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40876F78">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552" w:type="dxa"/>
            <w:noWrap w:val="0"/>
            <w:vAlign w:val="center"/>
          </w:tcPr>
          <w:p w14:paraId="7FA7A518">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3BE0BA3E">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11032BDE">
            <w:pPr>
              <w:shd w:val="clear" w:color="auto" w:fill="auto"/>
              <w:ind w:left="-283" w:leftChars="-135" w:firstLine="420"/>
              <w:jc w:val="center"/>
              <w:rPr>
                <w:rFonts w:hint="eastAsia" w:ascii="宋体" w:hAnsi="宋体" w:eastAsia="宋体" w:cs="宋体"/>
                <w:color w:val="auto"/>
                <w:sz w:val="24"/>
                <w:highlight w:val="none"/>
              </w:rPr>
            </w:pPr>
          </w:p>
        </w:tc>
      </w:tr>
      <w:tr w14:paraId="7AB0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5479CAAD">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552" w:type="dxa"/>
            <w:noWrap w:val="0"/>
            <w:vAlign w:val="center"/>
          </w:tcPr>
          <w:p w14:paraId="386AFCB9">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51A17715">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4DBD843A">
            <w:pPr>
              <w:shd w:val="clear" w:color="auto" w:fill="auto"/>
              <w:ind w:left="-283" w:leftChars="-135" w:firstLine="420"/>
              <w:jc w:val="center"/>
              <w:rPr>
                <w:rFonts w:hint="eastAsia" w:ascii="宋体" w:hAnsi="宋体" w:eastAsia="宋体" w:cs="宋体"/>
                <w:color w:val="auto"/>
                <w:sz w:val="24"/>
                <w:highlight w:val="none"/>
              </w:rPr>
            </w:pPr>
          </w:p>
        </w:tc>
      </w:tr>
      <w:tr w14:paraId="7399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4864B9C3">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552" w:type="dxa"/>
            <w:noWrap w:val="0"/>
            <w:vAlign w:val="center"/>
          </w:tcPr>
          <w:p w14:paraId="2A66FF64">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19D374F3">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7360921E">
            <w:pPr>
              <w:shd w:val="clear" w:color="auto" w:fill="auto"/>
              <w:ind w:left="-283" w:leftChars="-135" w:firstLine="420"/>
              <w:jc w:val="center"/>
              <w:rPr>
                <w:rFonts w:hint="eastAsia" w:ascii="宋体" w:hAnsi="宋体" w:eastAsia="宋体" w:cs="宋体"/>
                <w:color w:val="auto"/>
                <w:sz w:val="24"/>
                <w:highlight w:val="none"/>
              </w:rPr>
            </w:pPr>
          </w:p>
        </w:tc>
      </w:tr>
      <w:tr w14:paraId="1165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14014405">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552" w:type="dxa"/>
            <w:noWrap w:val="0"/>
            <w:vAlign w:val="center"/>
          </w:tcPr>
          <w:p w14:paraId="0674D89A">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5EDB186C">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46D82B71">
            <w:pPr>
              <w:shd w:val="clear" w:color="auto" w:fill="auto"/>
              <w:ind w:left="-283" w:leftChars="-135" w:firstLine="420"/>
              <w:jc w:val="center"/>
              <w:rPr>
                <w:rFonts w:hint="eastAsia" w:ascii="宋体" w:hAnsi="宋体" w:eastAsia="宋体" w:cs="宋体"/>
                <w:color w:val="auto"/>
                <w:sz w:val="24"/>
                <w:highlight w:val="none"/>
              </w:rPr>
            </w:pPr>
          </w:p>
        </w:tc>
      </w:tr>
      <w:tr w14:paraId="5EA4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1D4D0037">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3552" w:type="dxa"/>
            <w:noWrap w:val="0"/>
            <w:vAlign w:val="center"/>
          </w:tcPr>
          <w:p w14:paraId="6A7728DB">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13DA63D8">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437715D6">
            <w:pPr>
              <w:shd w:val="clear" w:color="auto" w:fill="auto"/>
              <w:ind w:left="-283" w:leftChars="-135" w:firstLine="420"/>
              <w:jc w:val="center"/>
              <w:rPr>
                <w:rFonts w:hint="eastAsia" w:ascii="宋体" w:hAnsi="宋体" w:eastAsia="宋体" w:cs="宋体"/>
                <w:color w:val="auto"/>
                <w:sz w:val="24"/>
                <w:highlight w:val="none"/>
              </w:rPr>
            </w:pPr>
          </w:p>
        </w:tc>
      </w:tr>
      <w:tr w14:paraId="534F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22" w:type="dxa"/>
            <w:noWrap w:val="0"/>
            <w:vAlign w:val="center"/>
          </w:tcPr>
          <w:p w14:paraId="5CBBB847">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3552" w:type="dxa"/>
            <w:noWrap w:val="0"/>
            <w:vAlign w:val="center"/>
          </w:tcPr>
          <w:p w14:paraId="2474459A">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6C78F473">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25B2B11B">
            <w:pPr>
              <w:shd w:val="clear" w:color="auto" w:fill="auto"/>
              <w:ind w:left="-283" w:leftChars="-135" w:firstLine="420"/>
              <w:jc w:val="center"/>
              <w:rPr>
                <w:rFonts w:hint="eastAsia" w:ascii="宋体" w:hAnsi="宋体" w:eastAsia="宋体" w:cs="宋体"/>
                <w:color w:val="auto"/>
                <w:sz w:val="24"/>
                <w:highlight w:val="none"/>
              </w:rPr>
            </w:pPr>
          </w:p>
        </w:tc>
      </w:tr>
      <w:tr w14:paraId="5F3A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2" w:type="dxa"/>
            <w:noWrap w:val="0"/>
            <w:vAlign w:val="center"/>
          </w:tcPr>
          <w:p w14:paraId="7585885D">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3552" w:type="dxa"/>
            <w:noWrap w:val="0"/>
            <w:vAlign w:val="center"/>
          </w:tcPr>
          <w:p w14:paraId="4FFAF260">
            <w:pPr>
              <w:shd w:val="clear" w:color="auto" w:fill="auto"/>
              <w:ind w:left="-283" w:leftChars="-135" w:firstLine="420"/>
              <w:rPr>
                <w:rFonts w:hint="eastAsia" w:ascii="宋体" w:hAnsi="宋体" w:eastAsia="宋体" w:cs="宋体"/>
                <w:color w:val="auto"/>
                <w:sz w:val="24"/>
                <w:highlight w:val="none"/>
              </w:rPr>
            </w:pPr>
          </w:p>
        </w:tc>
        <w:tc>
          <w:tcPr>
            <w:tcW w:w="4409" w:type="dxa"/>
            <w:noWrap w:val="0"/>
            <w:vAlign w:val="top"/>
          </w:tcPr>
          <w:p w14:paraId="65630753">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43E458EE">
            <w:pPr>
              <w:shd w:val="clear" w:color="auto" w:fill="auto"/>
              <w:ind w:left="-283" w:leftChars="-135" w:firstLine="420"/>
              <w:jc w:val="center"/>
              <w:rPr>
                <w:rFonts w:hint="eastAsia" w:ascii="宋体" w:hAnsi="宋体" w:eastAsia="宋体" w:cs="宋体"/>
                <w:color w:val="auto"/>
                <w:sz w:val="24"/>
                <w:highlight w:val="none"/>
              </w:rPr>
            </w:pPr>
          </w:p>
        </w:tc>
      </w:tr>
      <w:tr w14:paraId="746F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22" w:type="dxa"/>
            <w:noWrap w:val="0"/>
            <w:vAlign w:val="top"/>
          </w:tcPr>
          <w:p w14:paraId="011C6723">
            <w:pPr>
              <w:shd w:val="clear" w:color="auto" w:fill="auto"/>
              <w:ind w:left="-283" w:leftChars="-135"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52" w:type="dxa"/>
            <w:noWrap w:val="0"/>
            <w:vAlign w:val="top"/>
          </w:tcPr>
          <w:p w14:paraId="667C85FE">
            <w:pPr>
              <w:pStyle w:val="46"/>
              <w:shd w:val="clear" w:color="auto" w:fill="auto"/>
              <w:ind w:firstLine="240" w:firstLineChars="100"/>
              <w:rPr>
                <w:rFonts w:hint="eastAsia" w:ascii="宋体" w:hAnsi="宋体" w:eastAsia="宋体" w:cs="宋体"/>
                <w:bCs w:val="0"/>
                <w:color w:val="auto"/>
                <w:spacing w:val="0"/>
                <w:kern w:val="2"/>
                <w:szCs w:val="24"/>
                <w:highlight w:val="none"/>
              </w:rPr>
            </w:pPr>
          </w:p>
        </w:tc>
        <w:tc>
          <w:tcPr>
            <w:tcW w:w="4409" w:type="dxa"/>
            <w:noWrap w:val="0"/>
            <w:vAlign w:val="top"/>
          </w:tcPr>
          <w:p w14:paraId="3B662805">
            <w:pPr>
              <w:shd w:val="clear" w:color="auto" w:fill="auto"/>
              <w:ind w:left="-283" w:leftChars="-135" w:firstLine="420"/>
              <w:jc w:val="center"/>
              <w:rPr>
                <w:rFonts w:hint="eastAsia" w:ascii="宋体" w:hAnsi="宋体" w:eastAsia="宋体" w:cs="宋体"/>
                <w:color w:val="auto"/>
                <w:sz w:val="24"/>
                <w:highlight w:val="none"/>
              </w:rPr>
            </w:pPr>
          </w:p>
        </w:tc>
        <w:tc>
          <w:tcPr>
            <w:tcW w:w="1255" w:type="dxa"/>
            <w:noWrap w:val="0"/>
            <w:vAlign w:val="top"/>
          </w:tcPr>
          <w:p w14:paraId="3AA45ECE">
            <w:pPr>
              <w:shd w:val="clear" w:color="auto" w:fill="auto"/>
              <w:ind w:left="-283" w:leftChars="-135" w:firstLine="420"/>
              <w:jc w:val="center"/>
              <w:rPr>
                <w:rFonts w:hint="eastAsia" w:ascii="宋体" w:hAnsi="宋体" w:eastAsia="宋体" w:cs="宋体"/>
                <w:color w:val="auto"/>
                <w:sz w:val="24"/>
                <w:highlight w:val="none"/>
              </w:rPr>
            </w:pPr>
          </w:p>
        </w:tc>
      </w:tr>
    </w:tbl>
    <w:p w14:paraId="43A2EE59">
      <w:pPr>
        <w:keepNext w:val="0"/>
        <w:keepLines w:val="0"/>
        <w:pageBreakBefore w:val="0"/>
        <w:widowControl w:val="0"/>
        <w:shd w:val="clear" w:color="auto" w:fill="auto"/>
        <w:kinsoku/>
        <w:wordWrap/>
        <w:overflowPunct/>
        <w:topLinePunct w:val="0"/>
        <w:autoSpaceDE/>
        <w:autoSpaceDN/>
        <w:bidi w:val="0"/>
        <w:adjustRightInd/>
        <w:snapToGrid/>
        <w:spacing w:before="0"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注：（1）投标人的投标文件不允许负偏离招标文件的商务、技术要求，但正偏离的除外。</w:t>
      </w:r>
    </w:p>
    <w:p w14:paraId="26B6905C">
      <w:pPr>
        <w:keepNext w:val="0"/>
        <w:keepLines w:val="0"/>
        <w:pageBreakBefore w:val="0"/>
        <w:widowControl w:val="0"/>
        <w:shd w:val="clear" w:color="auto" w:fill="auto"/>
        <w:kinsoku/>
        <w:wordWrap/>
        <w:overflowPunct/>
        <w:topLinePunct w:val="0"/>
        <w:autoSpaceDE/>
        <w:autoSpaceDN/>
        <w:bidi w:val="0"/>
        <w:adjustRightInd/>
        <w:snapToGrid/>
        <w:spacing w:before="0" w:line="3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以上表格如为空白或注明“全部响应”，则表示无偏离，即</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完全满足</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val="en-US" w:eastAsia="zh-CN"/>
        </w:rPr>
        <w:t>商务、技术</w:t>
      </w:r>
      <w:r>
        <w:rPr>
          <w:rFonts w:hint="eastAsia" w:ascii="宋体" w:hAnsi="宋体" w:eastAsia="宋体" w:cs="宋体"/>
          <w:color w:val="auto"/>
          <w:sz w:val="24"/>
          <w:highlight w:val="none"/>
        </w:rPr>
        <w:t>条款</w:t>
      </w:r>
      <w:r>
        <w:rPr>
          <w:rFonts w:hint="eastAsia" w:ascii="宋体" w:hAnsi="宋体" w:eastAsia="宋体" w:cs="宋体"/>
          <w:color w:val="auto"/>
          <w:sz w:val="24"/>
          <w:highlight w:val="none"/>
          <w:lang w:val="en-US" w:eastAsia="zh-CN"/>
        </w:rPr>
        <w:t>。</w:t>
      </w:r>
    </w:p>
    <w:p w14:paraId="465F4630">
      <w:pPr>
        <w:pStyle w:val="5"/>
        <w:rPr>
          <w:rFonts w:hint="eastAsia" w:ascii="宋体" w:hAnsi="宋体" w:eastAsia="宋体" w:cs="宋体"/>
          <w:color w:val="auto"/>
          <w:highlight w:val="none"/>
          <w:lang w:val="en-US" w:eastAsia="zh-CN"/>
        </w:rPr>
      </w:pPr>
    </w:p>
    <w:p w14:paraId="184C2648">
      <w:pPr>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投标人保证</w:t>
      </w:r>
      <w:r>
        <w:rPr>
          <w:rFonts w:hint="eastAsia" w:ascii="宋体" w:hAnsi="宋体" w:eastAsia="宋体" w:cs="宋体"/>
          <w:color w:val="auto"/>
          <w:sz w:val="24"/>
          <w:highlight w:val="none"/>
        </w:rPr>
        <w:t>：除商务和技术偏差表列出的偏差外，投标人响应招标文件的全部要求。对于投标人提出的但未在投标偏表列明的偏差部分或者此表空白未填写，招标人将视为投标人未提出该偏差，视同接受招标文件的要求。</w:t>
      </w:r>
    </w:p>
    <w:p w14:paraId="1450EC7B">
      <w:pPr>
        <w:pStyle w:val="27"/>
        <w:shd w:val="clear" w:color="auto" w:fill="auto"/>
        <w:rPr>
          <w:rFonts w:hint="eastAsia" w:ascii="宋体" w:hAnsi="宋体" w:eastAsia="宋体" w:cs="宋体"/>
          <w:color w:val="auto"/>
          <w:highlight w:val="none"/>
        </w:rPr>
      </w:pPr>
    </w:p>
    <w:p w14:paraId="5BB689A7">
      <w:pPr>
        <w:pStyle w:val="11"/>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w:t>
      </w:r>
    </w:p>
    <w:p w14:paraId="2A06BA92">
      <w:pPr>
        <w:pStyle w:val="11"/>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E18D787">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r>
        <w:rPr>
          <w:rFonts w:hint="eastAsia" w:ascii="宋体" w:hAnsi="宋体" w:eastAsia="宋体" w:cs="宋体"/>
          <w:color w:val="auto"/>
          <w:highlight w:val="none"/>
        </w:rPr>
        <w:t>资格审查资料</w:t>
      </w:r>
    </w:p>
    <w:p w14:paraId="503204C8">
      <w:pPr>
        <w:numPr>
          <w:ilvl w:val="0"/>
          <w:numId w:val="18"/>
        </w:numPr>
        <w:shd w:val="clear" w:color="auto" w:fill="auto"/>
        <w:autoSpaceDE w:val="0"/>
        <w:autoSpaceDN w:val="0"/>
        <w:adjustRightInd w:val="0"/>
        <w:spacing w:line="360" w:lineRule="auto"/>
        <w:ind w:firstLine="0"/>
        <w:jc w:val="left"/>
        <w:rPr>
          <w:rFonts w:hint="eastAsia" w:ascii="宋体" w:hAnsi="宋体" w:eastAsia="宋体" w:cs="宋体"/>
          <w:b/>
          <w:bCs/>
          <w:color w:val="auto"/>
          <w:kern w:val="0"/>
          <w:position w:val="-4"/>
          <w:sz w:val="28"/>
          <w:szCs w:val="28"/>
          <w:highlight w:val="none"/>
        </w:rPr>
      </w:pPr>
      <w:r>
        <w:rPr>
          <w:rFonts w:hint="eastAsia" w:ascii="宋体" w:hAnsi="宋体" w:eastAsia="宋体" w:cs="宋体"/>
          <w:b/>
          <w:bCs/>
          <w:color w:val="auto"/>
          <w:kern w:val="0"/>
          <w:position w:val="-4"/>
          <w:sz w:val="28"/>
          <w:szCs w:val="28"/>
          <w:highlight w:val="none"/>
          <w:lang w:val="en-US" w:eastAsia="zh-CN"/>
        </w:rPr>
        <w:t>资格审查自查</w:t>
      </w:r>
      <w:r>
        <w:rPr>
          <w:rFonts w:hint="eastAsia" w:ascii="宋体" w:hAnsi="宋体" w:eastAsia="宋体" w:cs="宋体"/>
          <w:b/>
          <w:bCs/>
          <w:color w:val="auto"/>
          <w:kern w:val="0"/>
          <w:position w:val="-4"/>
          <w:sz w:val="28"/>
          <w:szCs w:val="28"/>
          <w:highlight w:val="none"/>
        </w:rPr>
        <w:t>表</w:t>
      </w:r>
    </w:p>
    <w:p w14:paraId="4473C67D">
      <w:pPr>
        <w:spacing w:line="360" w:lineRule="auto"/>
        <w:rPr>
          <w:rFonts w:ascii="宋体" w:hAnsi="宋体" w:cs="宋体"/>
          <w:color w:val="auto"/>
          <w:highlight w:val="none"/>
        </w:rPr>
      </w:pPr>
      <w:r>
        <w:rPr>
          <w:rFonts w:hint="eastAsia" w:ascii="宋体" w:hAnsi="宋体" w:cs="宋体"/>
          <w:color w:val="auto"/>
          <w:highlight w:val="none"/>
        </w:rPr>
        <w:t>项目名称：</w:t>
      </w:r>
    </w:p>
    <w:p w14:paraId="634B20A1">
      <w:pPr>
        <w:pStyle w:val="34"/>
        <w:rPr>
          <w:rFonts w:hint="eastAsia"/>
          <w:color w:val="auto"/>
          <w:highlight w:val="none"/>
        </w:rPr>
      </w:pPr>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6633"/>
        <w:gridCol w:w="2429"/>
      </w:tblGrid>
      <w:tr w14:paraId="03A9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76" w:type="dxa"/>
            <w:noWrap w:val="0"/>
            <w:vAlign w:val="center"/>
          </w:tcPr>
          <w:p w14:paraId="423E1295">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6633" w:type="dxa"/>
            <w:noWrap w:val="0"/>
            <w:vAlign w:val="center"/>
          </w:tcPr>
          <w:p w14:paraId="78541CDE">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审查内容</w:t>
            </w:r>
          </w:p>
        </w:tc>
        <w:tc>
          <w:tcPr>
            <w:tcW w:w="2429" w:type="dxa"/>
            <w:noWrap w:val="0"/>
            <w:vAlign w:val="center"/>
          </w:tcPr>
          <w:p w14:paraId="40D8DD05">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页码</w:t>
            </w:r>
          </w:p>
        </w:tc>
      </w:tr>
      <w:tr w14:paraId="64CF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6" w:type="dxa"/>
            <w:noWrap w:val="0"/>
            <w:vAlign w:val="center"/>
          </w:tcPr>
          <w:p w14:paraId="0C71A9BD">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633" w:type="dxa"/>
            <w:noWrap w:val="0"/>
            <w:vAlign w:val="center"/>
          </w:tcPr>
          <w:p w14:paraId="5C861E62">
            <w:pPr>
              <w:keepNext w:val="0"/>
              <w:keepLines w:val="0"/>
              <w:pageBreakBefore w:val="0"/>
              <w:widowControl w:val="0"/>
              <w:kinsoku/>
              <w:wordWrap/>
              <w:overflowPunct/>
              <w:topLinePunct w:val="0"/>
              <w:autoSpaceDE/>
              <w:autoSpaceDN/>
              <w:bidi w:val="0"/>
              <w:adjustRightInd/>
              <w:snapToGrid w:val="0"/>
              <w:spacing w:before="0" w:beforeLines="100" w:line="288" w:lineRule="auto"/>
              <w:textAlignment w:val="auto"/>
              <w:rPr>
                <w:rFonts w:hint="eastAsia" w:ascii="宋体" w:hAnsi="宋体" w:eastAsia="宋体" w:cs="宋体"/>
                <w:color w:val="auto"/>
                <w:szCs w:val="21"/>
                <w:highlight w:val="none"/>
                <w:lang w:eastAsia="zh-CN"/>
              </w:rPr>
            </w:pPr>
          </w:p>
        </w:tc>
        <w:tc>
          <w:tcPr>
            <w:tcW w:w="2429" w:type="dxa"/>
            <w:noWrap w:val="0"/>
            <w:vAlign w:val="center"/>
          </w:tcPr>
          <w:p w14:paraId="62BDBA4A">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r w14:paraId="4819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6" w:type="dxa"/>
            <w:noWrap w:val="0"/>
            <w:vAlign w:val="center"/>
          </w:tcPr>
          <w:p w14:paraId="54C06B41">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633" w:type="dxa"/>
            <w:noWrap w:val="0"/>
            <w:vAlign w:val="center"/>
          </w:tcPr>
          <w:p w14:paraId="2A36F8C1">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p>
        </w:tc>
        <w:tc>
          <w:tcPr>
            <w:tcW w:w="2429" w:type="dxa"/>
            <w:noWrap w:val="0"/>
            <w:vAlign w:val="center"/>
          </w:tcPr>
          <w:p w14:paraId="26CFAF0A">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r w14:paraId="2E4D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6" w:type="dxa"/>
            <w:noWrap w:val="0"/>
            <w:vAlign w:val="center"/>
          </w:tcPr>
          <w:p w14:paraId="7C99991C">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633" w:type="dxa"/>
            <w:noWrap w:val="0"/>
            <w:vAlign w:val="center"/>
          </w:tcPr>
          <w:p w14:paraId="77B0D02D">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p>
        </w:tc>
        <w:tc>
          <w:tcPr>
            <w:tcW w:w="2429" w:type="dxa"/>
            <w:noWrap w:val="0"/>
            <w:vAlign w:val="center"/>
          </w:tcPr>
          <w:p w14:paraId="7DA44CA0">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r w14:paraId="65A5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76" w:type="dxa"/>
            <w:noWrap w:val="0"/>
            <w:vAlign w:val="center"/>
          </w:tcPr>
          <w:p w14:paraId="445163EF">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633" w:type="dxa"/>
            <w:noWrap w:val="0"/>
            <w:vAlign w:val="center"/>
          </w:tcPr>
          <w:p w14:paraId="67679409">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p>
        </w:tc>
        <w:tc>
          <w:tcPr>
            <w:tcW w:w="2429" w:type="dxa"/>
            <w:noWrap w:val="0"/>
            <w:vAlign w:val="center"/>
          </w:tcPr>
          <w:p w14:paraId="69AC5438">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r w14:paraId="32E0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76" w:type="dxa"/>
            <w:noWrap w:val="0"/>
            <w:vAlign w:val="center"/>
          </w:tcPr>
          <w:p w14:paraId="04E587B6">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633" w:type="dxa"/>
            <w:noWrap w:val="0"/>
            <w:vAlign w:val="center"/>
          </w:tcPr>
          <w:p w14:paraId="1379F67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p>
        </w:tc>
        <w:tc>
          <w:tcPr>
            <w:tcW w:w="2429" w:type="dxa"/>
            <w:noWrap w:val="0"/>
            <w:vAlign w:val="center"/>
          </w:tcPr>
          <w:p w14:paraId="5D2015E0">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r w14:paraId="0792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76" w:type="dxa"/>
            <w:noWrap w:val="0"/>
            <w:vAlign w:val="center"/>
          </w:tcPr>
          <w:p w14:paraId="26A0F89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6633" w:type="dxa"/>
            <w:noWrap w:val="0"/>
            <w:vAlign w:val="center"/>
          </w:tcPr>
          <w:p w14:paraId="3B31C1A1">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highlight w:val="none"/>
              </w:rPr>
            </w:pPr>
          </w:p>
        </w:tc>
        <w:tc>
          <w:tcPr>
            <w:tcW w:w="2429" w:type="dxa"/>
            <w:noWrap w:val="0"/>
            <w:vAlign w:val="center"/>
          </w:tcPr>
          <w:p w14:paraId="0D5669BA">
            <w:pPr>
              <w:keepNext w:val="0"/>
              <w:keepLines w:val="0"/>
              <w:pageBreakBefore w:val="0"/>
              <w:widowControl w:val="0"/>
              <w:tabs>
                <w:tab w:val="left" w:pos="720"/>
              </w:tabs>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见投标文件第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页</w:t>
            </w:r>
          </w:p>
        </w:tc>
      </w:tr>
    </w:tbl>
    <w:p w14:paraId="23875CB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注：投标人需提供相关证明材料原件清晰扫描件并加盖单位电子印章，并标明页码。</w:t>
      </w:r>
    </w:p>
    <w:p w14:paraId="0708637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7FAB3F">
      <w:pPr>
        <w:numPr>
          <w:ilvl w:val="0"/>
          <w:numId w:val="18"/>
        </w:numPr>
        <w:shd w:val="clear" w:color="auto" w:fill="auto"/>
        <w:autoSpaceDE w:val="0"/>
        <w:autoSpaceDN w:val="0"/>
        <w:adjustRightInd w:val="0"/>
        <w:spacing w:line="360" w:lineRule="auto"/>
        <w:ind w:firstLine="0"/>
        <w:jc w:val="left"/>
        <w:rPr>
          <w:rFonts w:hint="eastAsia" w:ascii="宋体" w:hAnsi="宋体" w:eastAsia="宋体" w:cs="宋体"/>
          <w:b/>
          <w:bCs/>
          <w:color w:val="auto"/>
          <w:kern w:val="0"/>
          <w:position w:val="-4"/>
          <w:sz w:val="28"/>
          <w:szCs w:val="28"/>
          <w:highlight w:val="none"/>
        </w:rPr>
      </w:pPr>
      <w:bookmarkStart w:id="106" w:name="_Hlk114431774"/>
      <w:r>
        <w:rPr>
          <w:rFonts w:hint="eastAsia" w:ascii="宋体" w:hAnsi="宋体" w:eastAsia="宋体" w:cs="宋体"/>
          <w:b/>
          <w:bCs/>
          <w:color w:val="auto"/>
          <w:kern w:val="0"/>
          <w:position w:val="-4"/>
          <w:sz w:val="28"/>
          <w:szCs w:val="28"/>
          <w:highlight w:val="none"/>
        </w:rPr>
        <w:t>基本情况表</w:t>
      </w:r>
    </w:p>
    <w:tbl>
      <w:tblPr>
        <w:tblStyle w:val="28"/>
        <w:tblW w:w="10159" w:type="dxa"/>
        <w:tblInd w:w="-18" w:type="dxa"/>
        <w:tblLayout w:type="fixed"/>
        <w:tblCellMar>
          <w:top w:w="0" w:type="dxa"/>
          <w:left w:w="0" w:type="dxa"/>
          <w:bottom w:w="0" w:type="dxa"/>
          <w:right w:w="0" w:type="dxa"/>
        </w:tblCellMar>
      </w:tblPr>
      <w:tblGrid>
        <w:gridCol w:w="3500"/>
        <w:gridCol w:w="1441"/>
        <w:gridCol w:w="878"/>
        <w:gridCol w:w="1167"/>
        <w:gridCol w:w="3173"/>
      </w:tblGrid>
      <w:tr w14:paraId="56588A0F">
        <w:trPr>
          <w:trHeight w:val="51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6463FAA5">
            <w:pPr>
              <w:shd w:val="clear" w:color="auto" w:fill="auto"/>
              <w:autoSpaceDE w:val="0"/>
              <w:autoSpaceDN w:val="0"/>
              <w:adjustRightInd w:val="0"/>
              <w:spacing w:before="48"/>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w:t>
            </w:r>
            <w:r>
              <w:rPr>
                <w:rFonts w:hint="eastAsia" w:ascii="宋体" w:hAnsi="宋体" w:eastAsia="宋体" w:cs="宋体"/>
                <w:color w:val="auto"/>
                <w:spacing w:val="-2"/>
                <w:kern w:val="0"/>
                <w:sz w:val="24"/>
                <w:highlight w:val="none"/>
              </w:rPr>
              <w:t>人</w:t>
            </w:r>
            <w:r>
              <w:rPr>
                <w:rFonts w:hint="eastAsia" w:ascii="宋体" w:hAnsi="宋体" w:eastAsia="宋体" w:cs="宋体"/>
                <w:color w:val="auto"/>
                <w:kern w:val="0"/>
                <w:sz w:val="24"/>
                <w:highlight w:val="none"/>
              </w:rPr>
              <w:t>名称</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1F8DA9D9">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182F4FE2">
        <w:tblPrEx>
          <w:tblCellMar>
            <w:top w:w="0" w:type="dxa"/>
            <w:left w:w="0" w:type="dxa"/>
            <w:bottom w:w="0" w:type="dxa"/>
            <w:right w:w="0" w:type="dxa"/>
          </w:tblCellMar>
        </w:tblPrEx>
        <w:trPr>
          <w:trHeight w:val="512"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709FCAED">
            <w:pPr>
              <w:shd w:val="clear" w:color="auto" w:fill="auto"/>
              <w:autoSpaceDE w:val="0"/>
              <w:autoSpaceDN w:val="0"/>
              <w:adjustRightInd w:val="0"/>
              <w:spacing w:before="48"/>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w:t>
            </w:r>
            <w:r>
              <w:rPr>
                <w:rFonts w:hint="eastAsia" w:ascii="宋体" w:hAnsi="宋体" w:eastAsia="宋体" w:cs="宋体"/>
                <w:color w:val="auto"/>
                <w:spacing w:val="-2"/>
                <w:kern w:val="0"/>
                <w:sz w:val="24"/>
                <w:highlight w:val="none"/>
              </w:rPr>
              <w:t>资金</w:t>
            </w:r>
          </w:p>
        </w:tc>
        <w:tc>
          <w:tcPr>
            <w:tcW w:w="2319" w:type="dxa"/>
            <w:gridSpan w:val="2"/>
            <w:tcBorders>
              <w:top w:val="single" w:color="000000" w:sz="4" w:space="0"/>
              <w:left w:val="single" w:color="000000" w:sz="4" w:space="0"/>
              <w:bottom w:val="single" w:color="000000" w:sz="4" w:space="0"/>
              <w:right w:val="single" w:color="000000" w:sz="4" w:space="0"/>
            </w:tcBorders>
            <w:noWrap w:val="0"/>
            <w:vAlign w:val="top"/>
          </w:tcPr>
          <w:p w14:paraId="6B2F919D">
            <w:pPr>
              <w:shd w:val="clear" w:color="auto" w:fill="auto"/>
              <w:autoSpaceDE w:val="0"/>
              <w:autoSpaceDN w:val="0"/>
              <w:adjustRightInd w:val="0"/>
              <w:jc w:val="left"/>
              <w:rPr>
                <w:rFonts w:hint="eastAsia" w:ascii="宋体" w:hAnsi="宋体" w:eastAsia="宋体" w:cs="宋体"/>
                <w:color w:val="auto"/>
                <w:kern w:val="0"/>
                <w:sz w:val="24"/>
                <w:highlight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578921DB">
            <w:pPr>
              <w:shd w:val="clear" w:color="auto" w:fill="auto"/>
              <w:autoSpaceDE w:val="0"/>
              <w:autoSpaceDN w:val="0"/>
              <w:adjustRightInd w:val="0"/>
              <w:spacing w:before="48"/>
              <w:ind w:left="141"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w:t>
            </w:r>
            <w:r>
              <w:rPr>
                <w:rFonts w:hint="eastAsia" w:ascii="宋体" w:hAnsi="宋体" w:eastAsia="宋体" w:cs="宋体"/>
                <w:color w:val="auto"/>
                <w:spacing w:val="-2"/>
                <w:kern w:val="0"/>
                <w:sz w:val="24"/>
                <w:highlight w:val="none"/>
              </w:rPr>
              <w:t>时</w:t>
            </w:r>
            <w:r>
              <w:rPr>
                <w:rFonts w:hint="eastAsia" w:ascii="宋体" w:hAnsi="宋体" w:eastAsia="宋体" w:cs="宋体"/>
                <w:color w:val="auto"/>
                <w:kern w:val="0"/>
                <w:sz w:val="24"/>
                <w:highlight w:val="none"/>
              </w:rPr>
              <w:t>间</w:t>
            </w:r>
          </w:p>
        </w:tc>
        <w:tc>
          <w:tcPr>
            <w:tcW w:w="3173" w:type="dxa"/>
            <w:tcBorders>
              <w:top w:val="single" w:color="000000" w:sz="4" w:space="0"/>
              <w:left w:val="single" w:color="000000" w:sz="4" w:space="0"/>
              <w:bottom w:val="single" w:color="000000" w:sz="4" w:space="0"/>
              <w:right w:val="single" w:color="000000" w:sz="4" w:space="0"/>
            </w:tcBorders>
            <w:noWrap w:val="0"/>
            <w:vAlign w:val="top"/>
          </w:tcPr>
          <w:p w14:paraId="4A79A3DF">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0A41038A">
        <w:tblPrEx>
          <w:tblCellMar>
            <w:top w:w="0" w:type="dxa"/>
            <w:left w:w="0" w:type="dxa"/>
            <w:bottom w:w="0" w:type="dxa"/>
            <w:right w:w="0" w:type="dxa"/>
          </w:tblCellMar>
        </w:tblPrEx>
        <w:trPr>
          <w:trHeight w:val="51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53D550F5">
            <w:pPr>
              <w:shd w:val="clear" w:color="auto" w:fill="auto"/>
              <w:autoSpaceDE w:val="0"/>
              <w:autoSpaceDN w:val="0"/>
              <w:adjustRightInd w:val="0"/>
              <w:spacing w:before="48"/>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w:t>
            </w:r>
            <w:r>
              <w:rPr>
                <w:rFonts w:hint="eastAsia" w:ascii="宋体" w:hAnsi="宋体" w:eastAsia="宋体" w:cs="宋体"/>
                <w:color w:val="auto"/>
                <w:spacing w:val="-2"/>
                <w:kern w:val="0"/>
                <w:sz w:val="24"/>
                <w:highlight w:val="none"/>
              </w:rPr>
              <w:t>地</w:t>
            </w:r>
            <w:r>
              <w:rPr>
                <w:rFonts w:hint="eastAsia" w:ascii="宋体" w:hAnsi="宋体" w:eastAsia="宋体" w:cs="宋体"/>
                <w:color w:val="auto"/>
                <w:kern w:val="0"/>
                <w:sz w:val="24"/>
                <w:highlight w:val="none"/>
              </w:rPr>
              <w:t>址</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4BB433B4">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4D94E1C1">
        <w:tblPrEx>
          <w:tblCellMar>
            <w:top w:w="0" w:type="dxa"/>
            <w:left w:w="0" w:type="dxa"/>
            <w:bottom w:w="0" w:type="dxa"/>
            <w:right w:w="0" w:type="dxa"/>
          </w:tblCellMar>
        </w:tblPrEx>
        <w:trPr>
          <w:trHeight w:val="512"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2500EA92">
            <w:pPr>
              <w:shd w:val="clear" w:color="auto" w:fill="auto"/>
              <w:autoSpaceDE w:val="0"/>
              <w:autoSpaceDN w:val="0"/>
              <w:adjustRightInd w:val="0"/>
              <w:spacing w:before="49"/>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w:t>
            </w:r>
            <w:r>
              <w:rPr>
                <w:rFonts w:hint="eastAsia" w:ascii="宋体" w:hAnsi="宋体" w:eastAsia="宋体" w:cs="宋体"/>
                <w:color w:val="auto"/>
                <w:spacing w:val="-2"/>
                <w:kern w:val="0"/>
                <w:sz w:val="24"/>
                <w:highlight w:val="none"/>
              </w:rPr>
              <w:t>编</w:t>
            </w:r>
            <w:r>
              <w:rPr>
                <w:rFonts w:hint="eastAsia" w:ascii="宋体" w:hAnsi="宋体" w:eastAsia="宋体" w:cs="宋体"/>
                <w:color w:val="auto"/>
                <w:kern w:val="0"/>
                <w:sz w:val="24"/>
                <w:highlight w:val="none"/>
              </w:rPr>
              <w:t>码</w:t>
            </w:r>
          </w:p>
        </w:tc>
        <w:tc>
          <w:tcPr>
            <w:tcW w:w="2319" w:type="dxa"/>
            <w:gridSpan w:val="2"/>
            <w:tcBorders>
              <w:top w:val="single" w:color="000000" w:sz="4" w:space="0"/>
              <w:left w:val="single" w:color="000000" w:sz="4" w:space="0"/>
              <w:bottom w:val="single" w:color="000000" w:sz="4" w:space="0"/>
              <w:right w:val="single" w:color="000000" w:sz="4" w:space="0"/>
            </w:tcBorders>
            <w:noWrap w:val="0"/>
            <w:vAlign w:val="top"/>
          </w:tcPr>
          <w:p w14:paraId="3EDD194B">
            <w:pPr>
              <w:shd w:val="clear" w:color="auto" w:fill="auto"/>
              <w:autoSpaceDE w:val="0"/>
              <w:autoSpaceDN w:val="0"/>
              <w:adjustRightInd w:val="0"/>
              <w:jc w:val="left"/>
              <w:rPr>
                <w:rFonts w:hint="eastAsia" w:ascii="宋体" w:hAnsi="宋体" w:eastAsia="宋体" w:cs="宋体"/>
                <w:color w:val="auto"/>
                <w:kern w:val="0"/>
                <w:sz w:val="24"/>
                <w:highlight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1478B263">
            <w:pPr>
              <w:shd w:val="clear" w:color="auto" w:fill="auto"/>
              <w:autoSpaceDE w:val="0"/>
              <w:autoSpaceDN w:val="0"/>
              <w:adjustRightInd w:val="0"/>
              <w:spacing w:before="49"/>
              <w:ind w:left="141"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员工</w:t>
            </w:r>
            <w:r>
              <w:rPr>
                <w:rFonts w:hint="eastAsia" w:ascii="宋体" w:hAnsi="宋体" w:eastAsia="宋体" w:cs="宋体"/>
                <w:color w:val="auto"/>
                <w:spacing w:val="-2"/>
                <w:kern w:val="0"/>
                <w:sz w:val="24"/>
                <w:highlight w:val="none"/>
              </w:rPr>
              <w:t>总</w:t>
            </w:r>
            <w:r>
              <w:rPr>
                <w:rFonts w:hint="eastAsia" w:ascii="宋体" w:hAnsi="宋体" w:eastAsia="宋体" w:cs="宋体"/>
                <w:color w:val="auto"/>
                <w:kern w:val="0"/>
                <w:sz w:val="24"/>
                <w:highlight w:val="none"/>
              </w:rPr>
              <w:t>数</w:t>
            </w:r>
          </w:p>
        </w:tc>
        <w:tc>
          <w:tcPr>
            <w:tcW w:w="3173" w:type="dxa"/>
            <w:tcBorders>
              <w:top w:val="single" w:color="000000" w:sz="4" w:space="0"/>
              <w:left w:val="single" w:color="000000" w:sz="4" w:space="0"/>
              <w:bottom w:val="single" w:color="000000" w:sz="4" w:space="0"/>
              <w:right w:val="single" w:color="000000" w:sz="4" w:space="0"/>
            </w:tcBorders>
            <w:noWrap w:val="0"/>
            <w:vAlign w:val="top"/>
          </w:tcPr>
          <w:p w14:paraId="456B9897">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605966D0">
        <w:tblPrEx>
          <w:tblCellMar>
            <w:top w:w="0" w:type="dxa"/>
            <w:left w:w="0" w:type="dxa"/>
            <w:bottom w:w="0" w:type="dxa"/>
            <w:right w:w="0" w:type="dxa"/>
          </w:tblCellMar>
        </w:tblPrEx>
        <w:trPr>
          <w:trHeight w:val="514" w:hRule="exact"/>
        </w:trPr>
        <w:tc>
          <w:tcPr>
            <w:tcW w:w="3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B6F5FE">
            <w:pPr>
              <w:shd w:val="clear" w:color="auto" w:fill="auto"/>
              <w:autoSpaceDE w:val="0"/>
              <w:autoSpaceDN w:val="0"/>
              <w:adjustRightInd w:val="0"/>
              <w:ind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w:t>
            </w:r>
            <w:r>
              <w:rPr>
                <w:rFonts w:hint="eastAsia" w:ascii="宋体" w:hAnsi="宋体" w:eastAsia="宋体" w:cs="宋体"/>
                <w:color w:val="auto"/>
                <w:spacing w:val="-2"/>
                <w:kern w:val="0"/>
                <w:sz w:val="24"/>
                <w:highlight w:val="none"/>
              </w:rPr>
              <w:t>方</w:t>
            </w:r>
            <w:r>
              <w:rPr>
                <w:rFonts w:hint="eastAsia" w:ascii="宋体" w:hAnsi="宋体" w:eastAsia="宋体" w:cs="宋体"/>
                <w:color w:val="auto"/>
                <w:kern w:val="0"/>
                <w:sz w:val="24"/>
                <w:highlight w:val="none"/>
              </w:rPr>
              <w:t>式</w:t>
            </w:r>
          </w:p>
        </w:tc>
        <w:tc>
          <w:tcPr>
            <w:tcW w:w="1441" w:type="dxa"/>
            <w:tcBorders>
              <w:top w:val="single" w:color="000000" w:sz="4" w:space="0"/>
              <w:left w:val="single" w:color="000000" w:sz="4" w:space="0"/>
              <w:bottom w:val="single" w:color="000000" w:sz="4" w:space="0"/>
              <w:right w:val="single" w:color="000000" w:sz="4" w:space="0"/>
            </w:tcBorders>
            <w:noWrap w:val="0"/>
            <w:vAlign w:val="top"/>
          </w:tcPr>
          <w:p w14:paraId="6DBD4FA0">
            <w:pPr>
              <w:shd w:val="clear" w:color="auto" w:fill="auto"/>
              <w:autoSpaceDE w:val="0"/>
              <w:autoSpaceDN w:val="0"/>
              <w:adjustRightInd w:val="0"/>
              <w:spacing w:before="48"/>
              <w:ind w:left="148"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64956FF">
            <w:pPr>
              <w:shd w:val="clear" w:color="auto" w:fill="auto"/>
              <w:autoSpaceDE w:val="0"/>
              <w:autoSpaceDN w:val="0"/>
              <w:adjustRightInd w:val="0"/>
              <w:jc w:val="left"/>
              <w:rPr>
                <w:rFonts w:hint="eastAsia" w:ascii="宋体" w:hAnsi="宋体" w:eastAsia="宋体" w:cs="宋体"/>
                <w:color w:val="auto"/>
                <w:kern w:val="0"/>
                <w:sz w:val="24"/>
                <w:highlight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7E3740AB">
            <w:pPr>
              <w:shd w:val="clear" w:color="auto" w:fill="auto"/>
              <w:autoSpaceDE w:val="0"/>
              <w:autoSpaceDN w:val="0"/>
              <w:adjustRightInd w:val="0"/>
              <w:spacing w:before="48"/>
              <w:ind w:left="352"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tc>
        <w:tc>
          <w:tcPr>
            <w:tcW w:w="3173" w:type="dxa"/>
            <w:tcBorders>
              <w:top w:val="single" w:color="000000" w:sz="4" w:space="0"/>
              <w:left w:val="single" w:color="000000" w:sz="4" w:space="0"/>
              <w:bottom w:val="single" w:color="000000" w:sz="4" w:space="0"/>
              <w:right w:val="single" w:color="000000" w:sz="4" w:space="0"/>
            </w:tcBorders>
            <w:noWrap w:val="0"/>
            <w:vAlign w:val="top"/>
          </w:tcPr>
          <w:p w14:paraId="5AA20937">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4C462156">
        <w:tblPrEx>
          <w:tblCellMar>
            <w:top w:w="0" w:type="dxa"/>
            <w:left w:w="0" w:type="dxa"/>
            <w:bottom w:w="0" w:type="dxa"/>
            <w:right w:w="0" w:type="dxa"/>
          </w:tblCellMar>
        </w:tblPrEx>
        <w:trPr>
          <w:trHeight w:val="512" w:hRule="exact"/>
        </w:trPr>
        <w:tc>
          <w:tcPr>
            <w:tcW w:w="3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5608D">
            <w:pPr>
              <w:shd w:val="clear" w:color="auto" w:fill="auto"/>
              <w:autoSpaceDE w:val="0"/>
              <w:autoSpaceDN w:val="0"/>
              <w:adjustRightInd w:val="0"/>
              <w:jc w:val="center"/>
              <w:rPr>
                <w:rFonts w:hint="eastAsia" w:ascii="宋体" w:hAnsi="宋体" w:eastAsia="宋体" w:cs="宋体"/>
                <w:color w:val="auto"/>
                <w:kern w:val="0"/>
                <w:sz w:val="24"/>
                <w:highlight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top"/>
          </w:tcPr>
          <w:p w14:paraId="26EB332F">
            <w:pPr>
              <w:shd w:val="clear" w:color="auto" w:fill="auto"/>
              <w:autoSpaceDE w:val="0"/>
              <w:autoSpaceDN w:val="0"/>
              <w:adjustRightInd w:val="0"/>
              <w:spacing w:before="48"/>
              <w:ind w:left="253"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网址</w:t>
            </w: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FF58F55">
            <w:pPr>
              <w:shd w:val="clear" w:color="auto" w:fill="auto"/>
              <w:autoSpaceDE w:val="0"/>
              <w:autoSpaceDN w:val="0"/>
              <w:adjustRightInd w:val="0"/>
              <w:jc w:val="left"/>
              <w:rPr>
                <w:rFonts w:hint="eastAsia" w:ascii="宋体" w:hAnsi="宋体" w:eastAsia="宋体" w:cs="宋体"/>
                <w:color w:val="auto"/>
                <w:kern w:val="0"/>
                <w:sz w:val="24"/>
                <w:highlight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17C012D3">
            <w:pPr>
              <w:shd w:val="clear" w:color="auto" w:fill="auto"/>
              <w:autoSpaceDE w:val="0"/>
              <w:autoSpaceDN w:val="0"/>
              <w:adjustRightInd w:val="0"/>
              <w:spacing w:before="48"/>
              <w:ind w:left="352" w:right="-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3173" w:type="dxa"/>
            <w:tcBorders>
              <w:top w:val="single" w:color="000000" w:sz="4" w:space="0"/>
              <w:left w:val="single" w:color="000000" w:sz="4" w:space="0"/>
              <w:bottom w:val="single" w:color="000000" w:sz="4" w:space="0"/>
              <w:right w:val="single" w:color="000000" w:sz="4" w:space="0"/>
            </w:tcBorders>
            <w:noWrap w:val="0"/>
            <w:vAlign w:val="top"/>
          </w:tcPr>
          <w:p w14:paraId="166E0BDC">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51177054">
        <w:tblPrEx>
          <w:tblCellMar>
            <w:top w:w="0" w:type="dxa"/>
            <w:left w:w="0" w:type="dxa"/>
            <w:bottom w:w="0" w:type="dxa"/>
            <w:right w:w="0" w:type="dxa"/>
          </w:tblCellMar>
        </w:tblPrEx>
        <w:trPr>
          <w:trHeight w:val="1015"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0388DEAA">
            <w:pPr>
              <w:shd w:val="clear" w:color="auto" w:fill="auto"/>
              <w:autoSpaceDE w:val="0"/>
              <w:autoSpaceDN w:val="0"/>
              <w:adjustRightInd w:val="0"/>
              <w:spacing w:before="48"/>
              <w:ind w:right="497"/>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w:t>
            </w:r>
            <w:r>
              <w:rPr>
                <w:rFonts w:hint="eastAsia" w:ascii="宋体" w:hAnsi="宋体" w:eastAsia="宋体" w:cs="宋体"/>
                <w:color w:val="auto"/>
                <w:spacing w:val="-2"/>
                <w:kern w:val="0"/>
                <w:sz w:val="24"/>
                <w:highlight w:val="none"/>
              </w:rPr>
              <w:t>代</w:t>
            </w:r>
            <w:r>
              <w:rPr>
                <w:rFonts w:hint="eastAsia" w:ascii="宋体" w:hAnsi="宋体" w:eastAsia="宋体" w:cs="宋体"/>
                <w:color w:val="auto"/>
                <w:kern w:val="0"/>
                <w:sz w:val="24"/>
                <w:highlight w:val="none"/>
              </w:rPr>
              <w:t>表人</w:t>
            </w:r>
          </w:p>
          <w:p w14:paraId="0D1C3804">
            <w:pPr>
              <w:shd w:val="clear" w:color="auto" w:fill="auto"/>
              <w:autoSpaceDE w:val="0"/>
              <w:autoSpaceDN w:val="0"/>
              <w:adjustRightInd w:val="0"/>
              <w:spacing w:before="83"/>
              <w:ind w:right="34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w:t>
            </w:r>
            <w:r>
              <w:rPr>
                <w:rFonts w:hint="eastAsia" w:ascii="宋体" w:hAnsi="宋体" w:eastAsia="宋体" w:cs="宋体"/>
                <w:color w:val="auto"/>
                <w:spacing w:val="-2"/>
                <w:kern w:val="0"/>
                <w:sz w:val="24"/>
                <w:highlight w:val="none"/>
              </w:rPr>
              <w:t>位</w:t>
            </w:r>
            <w:r>
              <w:rPr>
                <w:rFonts w:hint="eastAsia" w:ascii="宋体" w:hAnsi="宋体" w:eastAsia="宋体" w:cs="宋体"/>
                <w:color w:val="auto"/>
                <w:kern w:val="0"/>
                <w:sz w:val="24"/>
                <w:highlight w:val="none"/>
              </w:rPr>
              <w:t>负</w:t>
            </w:r>
            <w:r>
              <w:rPr>
                <w:rFonts w:hint="eastAsia" w:ascii="宋体" w:hAnsi="宋体" w:eastAsia="宋体" w:cs="宋体"/>
                <w:color w:val="auto"/>
                <w:spacing w:val="-2"/>
                <w:kern w:val="0"/>
                <w:sz w:val="24"/>
                <w:highlight w:val="none"/>
              </w:rPr>
              <w:t>责</w:t>
            </w:r>
            <w:r>
              <w:rPr>
                <w:rFonts w:hint="eastAsia" w:ascii="宋体" w:hAnsi="宋体" w:eastAsia="宋体" w:cs="宋体"/>
                <w:color w:val="auto"/>
                <w:kern w:val="0"/>
                <w:sz w:val="24"/>
                <w:highlight w:val="none"/>
              </w:rPr>
              <w:t>人）</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4C4F0705">
            <w:pPr>
              <w:shd w:val="clear" w:color="auto" w:fill="auto"/>
              <w:autoSpaceDE w:val="0"/>
              <w:autoSpaceDN w:val="0"/>
              <w:adjustRightInd w:val="0"/>
              <w:ind w:left="253" w:right="-2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6038E8A">
            <w:pPr>
              <w:shd w:val="clear" w:color="auto" w:fill="auto"/>
              <w:autoSpaceDE w:val="0"/>
              <w:autoSpaceDN w:val="0"/>
              <w:adjustRightInd w:val="0"/>
              <w:jc w:val="left"/>
              <w:rPr>
                <w:rFonts w:hint="eastAsia" w:ascii="宋体" w:hAnsi="宋体" w:eastAsia="宋体" w:cs="宋体"/>
                <w:color w:val="auto"/>
                <w:kern w:val="0"/>
                <w:sz w:val="24"/>
                <w:highlight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4DB15AF">
            <w:pPr>
              <w:shd w:val="clear" w:color="auto" w:fill="auto"/>
              <w:autoSpaceDE w:val="0"/>
              <w:autoSpaceDN w:val="0"/>
              <w:adjustRightInd w:val="0"/>
              <w:ind w:left="352" w:right="-2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tc>
        <w:tc>
          <w:tcPr>
            <w:tcW w:w="3173" w:type="dxa"/>
            <w:tcBorders>
              <w:top w:val="single" w:color="000000" w:sz="4" w:space="0"/>
              <w:left w:val="single" w:color="000000" w:sz="4" w:space="0"/>
              <w:bottom w:val="single" w:color="000000" w:sz="4" w:space="0"/>
              <w:right w:val="single" w:color="000000" w:sz="4" w:space="0"/>
            </w:tcBorders>
            <w:noWrap w:val="0"/>
            <w:vAlign w:val="top"/>
          </w:tcPr>
          <w:p w14:paraId="78AB778D">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3E7DCF2D">
        <w:tblPrEx>
          <w:tblCellMar>
            <w:top w:w="0" w:type="dxa"/>
            <w:left w:w="0" w:type="dxa"/>
            <w:bottom w:w="0" w:type="dxa"/>
            <w:right w:w="0" w:type="dxa"/>
          </w:tblCellMar>
        </w:tblPrEx>
        <w:trPr>
          <w:trHeight w:val="1061"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0C6DA956">
            <w:pPr>
              <w:shd w:val="clear" w:color="auto" w:fill="auto"/>
              <w:autoSpaceDE w:val="0"/>
              <w:autoSpaceDN w:val="0"/>
              <w:adjustRightInd w:val="0"/>
              <w:spacing w:before="48"/>
              <w:ind w:left="109" w:right="86"/>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w:t>
            </w:r>
            <w:r>
              <w:rPr>
                <w:rFonts w:hint="eastAsia" w:ascii="宋体" w:hAnsi="宋体" w:eastAsia="宋体" w:cs="宋体"/>
                <w:color w:val="auto"/>
                <w:spacing w:val="-2"/>
                <w:kern w:val="0"/>
                <w:sz w:val="24"/>
                <w:highlight w:val="none"/>
              </w:rPr>
              <w:t>人</w:t>
            </w:r>
            <w:r>
              <w:rPr>
                <w:rFonts w:hint="eastAsia" w:ascii="宋体" w:hAnsi="宋体" w:eastAsia="宋体" w:cs="宋体"/>
                <w:color w:val="auto"/>
                <w:kern w:val="0"/>
                <w:sz w:val="24"/>
                <w:highlight w:val="none"/>
              </w:rPr>
              <w:t>须</w:t>
            </w:r>
            <w:r>
              <w:rPr>
                <w:rFonts w:hint="eastAsia" w:ascii="宋体" w:hAnsi="宋体" w:eastAsia="宋体" w:cs="宋体"/>
                <w:color w:val="auto"/>
                <w:spacing w:val="-2"/>
                <w:kern w:val="0"/>
                <w:sz w:val="24"/>
                <w:highlight w:val="none"/>
              </w:rPr>
              <w:t>知</w:t>
            </w:r>
            <w:r>
              <w:rPr>
                <w:rFonts w:hint="eastAsia" w:ascii="宋体" w:hAnsi="宋体" w:eastAsia="宋体" w:cs="宋体"/>
                <w:color w:val="auto"/>
                <w:kern w:val="0"/>
                <w:sz w:val="24"/>
                <w:highlight w:val="none"/>
              </w:rPr>
              <w:t>要</w:t>
            </w:r>
            <w:r>
              <w:rPr>
                <w:rFonts w:hint="eastAsia" w:ascii="宋体" w:hAnsi="宋体" w:eastAsia="宋体" w:cs="宋体"/>
                <w:color w:val="auto"/>
                <w:spacing w:val="-2"/>
                <w:kern w:val="0"/>
                <w:sz w:val="24"/>
                <w:highlight w:val="none"/>
              </w:rPr>
              <w:t>求</w:t>
            </w:r>
            <w:r>
              <w:rPr>
                <w:rFonts w:hint="eastAsia" w:ascii="宋体" w:hAnsi="宋体" w:eastAsia="宋体" w:cs="宋体"/>
                <w:color w:val="auto"/>
                <w:kern w:val="0"/>
                <w:sz w:val="24"/>
                <w:highlight w:val="none"/>
              </w:rPr>
              <w:t>投标人需</w:t>
            </w:r>
            <w:r>
              <w:rPr>
                <w:rFonts w:hint="eastAsia" w:ascii="宋体" w:hAnsi="宋体" w:eastAsia="宋体" w:cs="宋体"/>
                <w:color w:val="auto"/>
                <w:spacing w:val="-2"/>
                <w:kern w:val="0"/>
                <w:sz w:val="24"/>
                <w:highlight w:val="none"/>
              </w:rPr>
              <w:t>具</w:t>
            </w:r>
            <w:r>
              <w:rPr>
                <w:rFonts w:hint="eastAsia" w:ascii="宋体" w:hAnsi="宋体" w:eastAsia="宋体" w:cs="宋体"/>
                <w:color w:val="auto"/>
                <w:kern w:val="0"/>
                <w:sz w:val="24"/>
                <w:highlight w:val="none"/>
              </w:rPr>
              <w:t>有</w:t>
            </w:r>
            <w:r>
              <w:rPr>
                <w:rFonts w:hint="eastAsia" w:ascii="宋体" w:hAnsi="宋体" w:eastAsia="宋体" w:cs="宋体"/>
                <w:color w:val="auto"/>
                <w:spacing w:val="-2"/>
                <w:kern w:val="0"/>
                <w:sz w:val="24"/>
                <w:highlight w:val="none"/>
              </w:rPr>
              <w:t>的</w:t>
            </w:r>
            <w:r>
              <w:rPr>
                <w:rFonts w:hint="eastAsia" w:ascii="宋体" w:hAnsi="宋体" w:eastAsia="宋体" w:cs="宋体"/>
                <w:color w:val="auto"/>
                <w:kern w:val="0"/>
                <w:sz w:val="24"/>
                <w:highlight w:val="none"/>
              </w:rPr>
              <w:t>各</w:t>
            </w:r>
            <w:r>
              <w:rPr>
                <w:rFonts w:hint="eastAsia" w:ascii="宋体" w:hAnsi="宋体" w:eastAsia="宋体" w:cs="宋体"/>
                <w:color w:val="auto"/>
                <w:spacing w:val="-2"/>
                <w:kern w:val="0"/>
                <w:sz w:val="24"/>
                <w:highlight w:val="none"/>
              </w:rPr>
              <w:t>类</w:t>
            </w:r>
            <w:r>
              <w:rPr>
                <w:rFonts w:hint="eastAsia" w:ascii="宋体" w:hAnsi="宋体" w:eastAsia="宋体" w:cs="宋体"/>
                <w:color w:val="auto"/>
                <w:kern w:val="0"/>
                <w:sz w:val="24"/>
                <w:highlight w:val="none"/>
              </w:rPr>
              <w:t>资质证书</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center"/>
          </w:tcPr>
          <w:p w14:paraId="384566C9">
            <w:pPr>
              <w:shd w:val="clear" w:color="auto" w:fill="auto"/>
              <w:tabs>
                <w:tab w:val="left" w:pos="2300"/>
                <w:tab w:val="left" w:pos="4400"/>
              </w:tabs>
              <w:autoSpaceDE w:val="0"/>
              <w:autoSpaceDN w:val="0"/>
              <w:adjustRightInd w:val="0"/>
              <w:ind w:left="205" w:right="-2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类型：</w:t>
            </w:r>
            <w:r>
              <w:rPr>
                <w:rFonts w:hint="eastAsia" w:ascii="宋体" w:hAnsi="宋体" w:eastAsia="宋体" w:cs="宋体"/>
                <w:color w:val="auto"/>
                <w:kern w:val="0"/>
                <w:sz w:val="24"/>
                <w:highlight w:val="none"/>
              </w:rPr>
              <w:tab/>
            </w:r>
            <w:r>
              <w:rPr>
                <w:rFonts w:hint="eastAsia" w:ascii="宋体" w:hAnsi="宋体" w:eastAsia="宋体" w:cs="宋体"/>
                <w:color w:val="auto"/>
                <w:spacing w:val="-2"/>
                <w:kern w:val="0"/>
                <w:sz w:val="24"/>
                <w:highlight w:val="none"/>
              </w:rPr>
              <w:t>等</w:t>
            </w:r>
            <w:r>
              <w:rPr>
                <w:rFonts w:hint="eastAsia" w:ascii="宋体" w:hAnsi="宋体" w:eastAsia="宋体" w:cs="宋体"/>
                <w:color w:val="auto"/>
                <w:kern w:val="0"/>
                <w:sz w:val="24"/>
                <w:highlight w:val="none"/>
              </w:rPr>
              <w:t>级：</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证</w:t>
            </w:r>
            <w:r>
              <w:rPr>
                <w:rFonts w:hint="eastAsia" w:ascii="宋体" w:hAnsi="宋体" w:eastAsia="宋体" w:cs="宋体"/>
                <w:color w:val="auto"/>
                <w:spacing w:val="-2"/>
                <w:kern w:val="0"/>
                <w:sz w:val="24"/>
                <w:highlight w:val="none"/>
              </w:rPr>
              <w:t>书</w:t>
            </w:r>
            <w:r>
              <w:rPr>
                <w:rFonts w:hint="eastAsia" w:ascii="宋体" w:hAnsi="宋体" w:eastAsia="宋体" w:cs="宋体"/>
                <w:color w:val="auto"/>
                <w:kern w:val="0"/>
                <w:sz w:val="24"/>
                <w:highlight w:val="none"/>
              </w:rPr>
              <w:t>号：</w:t>
            </w:r>
          </w:p>
        </w:tc>
      </w:tr>
      <w:tr w14:paraId="607516CD">
        <w:tblPrEx>
          <w:tblCellMar>
            <w:top w:w="0" w:type="dxa"/>
            <w:left w:w="0" w:type="dxa"/>
            <w:bottom w:w="0" w:type="dxa"/>
            <w:right w:w="0" w:type="dxa"/>
          </w:tblCellMar>
        </w:tblPrEx>
        <w:trPr>
          <w:trHeight w:val="51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45721DF1">
            <w:pPr>
              <w:shd w:val="clear" w:color="auto" w:fill="auto"/>
              <w:autoSpaceDE w:val="0"/>
              <w:autoSpaceDN w:val="0"/>
              <w:adjustRightInd w:val="0"/>
              <w:spacing w:before="48"/>
              <w:ind w:left="241"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基本</w:t>
            </w:r>
            <w:r>
              <w:rPr>
                <w:rFonts w:hint="eastAsia" w:ascii="宋体" w:hAnsi="宋体" w:eastAsia="宋体" w:cs="宋体"/>
                <w:color w:val="auto"/>
                <w:spacing w:val="-2"/>
                <w:kern w:val="0"/>
                <w:sz w:val="24"/>
                <w:highlight w:val="none"/>
              </w:rPr>
              <w:t>账</w:t>
            </w:r>
            <w:r>
              <w:rPr>
                <w:rFonts w:hint="eastAsia" w:ascii="宋体" w:hAnsi="宋体" w:eastAsia="宋体" w:cs="宋体"/>
                <w:color w:val="auto"/>
                <w:kern w:val="0"/>
                <w:sz w:val="24"/>
                <w:highlight w:val="none"/>
              </w:rPr>
              <w:t>户</w:t>
            </w:r>
            <w:r>
              <w:rPr>
                <w:rFonts w:hint="eastAsia" w:ascii="宋体" w:hAnsi="宋体" w:eastAsia="宋体" w:cs="宋体"/>
                <w:color w:val="auto"/>
                <w:spacing w:val="-2"/>
                <w:kern w:val="0"/>
                <w:sz w:val="24"/>
                <w:highlight w:val="none"/>
              </w:rPr>
              <w:t>开</w:t>
            </w:r>
            <w:r>
              <w:rPr>
                <w:rFonts w:hint="eastAsia" w:ascii="宋体" w:hAnsi="宋体" w:eastAsia="宋体" w:cs="宋体"/>
                <w:color w:val="auto"/>
                <w:kern w:val="0"/>
                <w:sz w:val="24"/>
                <w:highlight w:val="none"/>
              </w:rPr>
              <w:t>户</w:t>
            </w:r>
            <w:r>
              <w:rPr>
                <w:rFonts w:hint="eastAsia" w:ascii="宋体" w:hAnsi="宋体" w:eastAsia="宋体" w:cs="宋体"/>
                <w:color w:val="auto"/>
                <w:spacing w:val="-2"/>
                <w:kern w:val="0"/>
                <w:sz w:val="24"/>
                <w:highlight w:val="none"/>
              </w:rPr>
              <w:t>银</w:t>
            </w:r>
            <w:r>
              <w:rPr>
                <w:rFonts w:hint="eastAsia" w:ascii="宋体" w:hAnsi="宋体" w:eastAsia="宋体" w:cs="宋体"/>
                <w:color w:val="auto"/>
                <w:kern w:val="0"/>
                <w:sz w:val="24"/>
                <w:highlight w:val="none"/>
              </w:rPr>
              <w:t>行</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6EB81EDE">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1F45004D">
        <w:tblPrEx>
          <w:tblCellMar>
            <w:top w:w="0" w:type="dxa"/>
            <w:left w:w="0" w:type="dxa"/>
            <w:bottom w:w="0" w:type="dxa"/>
            <w:right w:w="0" w:type="dxa"/>
          </w:tblCellMar>
        </w:tblPrEx>
        <w:trPr>
          <w:trHeight w:val="512"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0436EA8F">
            <w:pPr>
              <w:shd w:val="clear" w:color="auto" w:fill="auto"/>
              <w:autoSpaceDE w:val="0"/>
              <w:autoSpaceDN w:val="0"/>
              <w:adjustRightInd w:val="0"/>
              <w:spacing w:before="48"/>
              <w:ind w:left="241"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基本</w:t>
            </w:r>
            <w:r>
              <w:rPr>
                <w:rFonts w:hint="eastAsia" w:ascii="宋体" w:hAnsi="宋体" w:eastAsia="宋体" w:cs="宋体"/>
                <w:color w:val="auto"/>
                <w:spacing w:val="-2"/>
                <w:kern w:val="0"/>
                <w:sz w:val="24"/>
                <w:highlight w:val="none"/>
              </w:rPr>
              <w:t>账</w:t>
            </w:r>
            <w:r>
              <w:rPr>
                <w:rFonts w:hint="eastAsia" w:ascii="宋体" w:hAnsi="宋体" w:eastAsia="宋体" w:cs="宋体"/>
                <w:color w:val="auto"/>
                <w:kern w:val="0"/>
                <w:sz w:val="24"/>
                <w:highlight w:val="none"/>
              </w:rPr>
              <w:t>户</w:t>
            </w:r>
            <w:r>
              <w:rPr>
                <w:rFonts w:hint="eastAsia" w:ascii="宋体" w:hAnsi="宋体" w:eastAsia="宋体" w:cs="宋体"/>
                <w:color w:val="auto"/>
                <w:spacing w:val="-2"/>
                <w:kern w:val="0"/>
                <w:sz w:val="24"/>
                <w:highlight w:val="none"/>
              </w:rPr>
              <w:t>银</w:t>
            </w:r>
            <w:r>
              <w:rPr>
                <w:rFonts w:hint="eastAsia" w:ascii="宋体" w:hAnsi="宋体" w:eastAsia="宋体" w:cs="宋体"/>
                <w:color w:val="auto"/>
                <w:kern w:val="0"/>
                <w:sz w:val="24"/>
                <w:highlight w:val="none"/>
              </w:rPr>
              <w:t>行</w:t>
            </w:r>
            <w:r>
              <w:rPr>
                <w:rFonts w:hint="eastAsia" w:ascii="宋体" w:hAnsi="宋体" w:eastAsia="宋体" w:cs="宋体"/>
                <w:color w:val="auto"/>
                <w:spacing w:val="-2"/>
                <w:kern w:val="0"/>
                <w:sz w:val="24"/>
                <w:highlight w:val="none"/>
              </w:rPr>
              <w:t>账</w:t>
            </w:r>
            <w:r>
              <w:rPr>
                <w:rFonts w:hint="eastAsia" w:ascii="宋体" w:hAnsi="宋体" w:eastAsia="宋体" w:cs="宋体"/>
                <w:color w:val="auto"/>
                <w:kern w:val="0"/>
                <w:sz w:val="24"/>
                <w:highlight w:val="none"/>
              </w:rPr>
              <w:t>号</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734A06A6">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142DEB5F">
        <w:tblPrEx>
          <w:tblCellMar>
            <w:top w:w="0" w:type="dxa"/>
            <w:left w:w="0" w:type="dxa"/>
            <w:bottom w:w="0" w:type="dxa"/>
            <w:right w:w="0" w:type="dxa"/>
          </w:tblCellMar>
        </w:tblPrEx>
        <w:trPr>
          <w:trHeight w:val="51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46AACDE8">
            <w:pPr>
              <w:shd w:val="clear" w:color="auto" w:fill="auto"/>
              <w:autoSpaceDE w:val="0"/>
              <w:autoSpaceDN w:val="0"/>
              <w:adjustRightInd w:val="0"/>
              <w:spacing w:before="48"/>
              <w:ind w:left="450" w:right="-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近三</w:t>
            </w:r>
            <w:r>
              <w:rPr>
                <w:rFonts w:hint="eastAsia" w:ascii="宋体" w:hAnsi="宋体" w:eastAsia="宋体" w:cs="宋体"/>
                <w:color w:val="auto"/>
                <w:spacing w:val="-2"/>
                <w:kern w:val="0"/>
                <w:sz w:val="24"/>
                <w:highlight w:val="none"/>
              </w:rPr>
              <w:t>年</w:t>
            </w:r>
            <w:r>
              <w:rPr>
                <w:rFonts w:hint="eastAsia" w:ascii="宋体" w:hAnsi="宋体" w:eastAsia="宋体" w:cs="宋体"/>
                <w:color w:val="auto"/>
                <w:kern w:val="0"/>
                <w:sz w:val="24"/>
                <w:highlight w:val="none"/>
              </w:rPr>
              <w:t>营</w:t>
            </w:r>
            <w:r>
              <w:rPr>
                <w:rFonts w:hint="eastAsia" w:ascii="宋体" w:hAnsi="宋体" w:eastAsia="宋体" w:cs="宋体"/>
                <w:color w:val="auto"/>
                <w:spacing w:val="-2"/>
                <w:kern w:val="0"/>
                <w:sz w:val="24"/>
                <w:highlight w:val="none"/>
              </w:rPr>
              <w:t>业</w:t>
            </w:r>
            <w:r>
              <w:rPr>
                <w:rFonts w:hint="eastAsia" w:ascii="宋体" w:hAnsi="宋体" w:eastAsia="宋体" w:cs="宋体"/>
                <w:color w:val="auto"/>
                <w:kern w:val="0"/>
                <w:sz w:val="24"/>
                <w:highlight w:val="none"/>
              </w:rPr>
              <w:t>额</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2B3EE9AE">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40148375">
        <w:tblPrEx>
          <w:tblCellMar>
            <w:top w:w="0" w:type="dxa"/>
            <w:left w:w="0" w:type="dxa"/>
            <w:bottom w:w="0" w:type="dxa"/>
            <w:right w:w="0" w:type="dxa"/>
          </w:tblCellMar>
        </w:tblPrEx>
        <w:trPr>
          <w:trHeight w:val="195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4DC4D1E7">
            <w:pPr>
              <w:shd w:val="clear" w:color="auto" w:fill="auto"/>
              <w:autoSpaceDE w:val="0"/>
              <w:autoSpaceDN w:val="0"/>
              <w:adjustRightInd w:val="0"/>
              <w:spacing w:before="48"/>
              <w:ind w:left="136" w:right="81"/>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w:t>
            </w:r>
            <w:r>
              <w:rPr>
                <w:rFonts w:hint="eastAsia" w:ascii="宋体" w:hAnsi="宋体" w:eastAsia="宋体" w:cs="宋体"/>
                <w:color w:val="auto"/>
                <w:spacing w:val="-2"/>
                <w:kern w:val="0"/>
                <w:sz w:val="24"/>
                <w:highlight w:val="none"/>
              </w:rPr>
              <w:t>人</w:t>
            </w:r>
            <w:r>
              <w:rPr>
                <w:rFonts w:hint="eastAsia" w:ascii="宋体" w:hAnsi="宋体" w:eastAsia="宋体" w:cs="宋体"/>
                <w:color w:val="auto"/>
                <w:kern w:val="0"/>
                <w:sz w:val="24"/>
                <w:highlight w:val="none"/>
              </w:rPr>
              <w:t>关</w:t>
            </w:r>
            <w:r>
              <w:rPr>
                <w:rFonts w:hint="eastAsia" w:ascii="宋体" w:hAnsi="宋体" w:eastAsia="宋体" w:cs="宋体"/>
                <w:color w:val="auto"/>
                <w:spacing w:val="-2"/>
                <w:kern w:val="0"/>
                <w:sz w:val="24"/>
                <w:highlight w:val="none"/>
              </w:rPr>
              <w:t>联</w:t>
            </w:r>
            <w:r>
              <w:rPr>
                <w:rFonts w:hint="eastAsia" w:ascii="宋体" w:hAnsi="宋体" w:eastAsia="宋体" w:cs="宋体"/>
                <w:color w:val="auto"/>
                <w:kern w:val="0"/>
                <w:sz w:val="24"/>
                <w:highlight w:val="none"/>
              </w:rPr>
              <w:t>企</w:t>
            </w:r>
            <w:r>
              <w:rPr>
                <w:rFonts w:hint="eastAsia" w:ascii="宋体" w:hAnsi="宋体" w:eastAsia="宋体" w:cs="宋体"/>
                <w:color w:val="auto"/>
                <w:spacing w:val="-2"/>
                <w:kern w:val="0"/>
                <w:sz w:val="24"/>
                <w:highlight w:val="none"/>
              </w:rPr>
              <w:t>业</w:t>
            </w:r>
            <w:r>
              <w:rPr>
                <w:rFonts w:hint="eastAsia" w:ascii="宋体" w:hAnsi="宋体" w:eastAsia="宋体" w:cs="宋体"/>
                <w:color w:val="auto"/>
                <w:kern w:val="0"/>
                <w:sz w:val="24"/>
                <w:highlight w:val="none"/>
              </w:rPr>
              <w:t>情况（包</w:t>
            </w:r>
            <w:r>
              <w:rPr>
                <w:rFonts w:hint="eastAsia" w:ascii="宋体" w:hAnsi="宋体" w:eastAsia="宋体" w:cs="宋体"/>
                <w:color w:val="auto"/>
                <w:spacing w:val="-2"/>
                <w:kern w:val="0"/>
                <w:sz w:val="24"/>
                <w:highlight w:val="none"/>
              </w:rPr>
              <w:t>括</w:t>
            </w:r>
            <w:r>
              <w:rPr>
                <w:rFonts w:hint="eastAsia" w:ascii="宋体" w:hAnsi="宋体" w:eastAsia="宋体" w:cs="宋体"/>
                <w:color w:val="auto"/>
                <w:kern w:val="0"/>
                <w:sz w:val="24"/>
                <w:highlight w:val="none"/>
              </w:rPr>
              <w:t>但</w:t>
            </w:r>
            <w:r>
              <w:rPr>
                <w:rFonts w:hint="eastAsia" w:ascii="宋体" w:hAnsi="宋体" w:eastAsia="宋体" w:cs="宋体"/>
                <w:color w:val="auto"/>
                <w:spacing w:val="-2"/>
                <w:kern w:val="0"/>
                <w:sz w:val="24"/>
                <w:highlight w:val="none"/>
              </w:rPr>
              <w:t>不</w:t>
            </w:r>
            <w:r>
              <w:rPr>
                <w:rFonts w:hint="eastAsia" w:ascii="宋体" w:hAnsi="宋体" w:eastAsia="宋体" w:cs="宋体"/>
                <w:color w:val="auto"/>
                <w:kern w:val="0"/>
                <w:sz w:val="24"/>
                <w:highlight w:val="none"/>
              </w:rPr>
              <w:t>限</w:t>
            </w:r>
            <w:r>
              <w:rPr>
                <w:rFonts w:hint="eastAsia" w:ascii="宋体" w:hAnsi="宋体" w:eastAsia="宋体" w:cs="宋体"/>
                <w:color w:val="auto"/>
                <w:spacing w:val="-2"/>
                <w:kern w:val="0"/>
                <w:sz w:val="24"/>
                <w:highlight w:val="none"/>
              </w:rPr>
              <w:t>于</w:t>
            </w:r>
            <w:r>
              <w:rPr>
                <w:rFonts w:hint="eastAsia" w:ascii="宋体" w:hAnsi="宋体" w:eastAsia="宋体" w:cs="宋体"/>
                <w:color w:val="auto"/>
                <w:kern w:val="0"/>
                <w:sz w:val="24"/>
                <w:highlight w:val="none"/>
              </w:rPr>
              <w:t>与投标人</w:t>
            </w:r>
            <w:r>
              <w:rPr>
                <w:rFonts w:hint="eastAsia" w:ascii="宋体" w:hAnsi="宋体" w:eastAsia="宋体" w:cs="宋体"/>
                <w:color w:val="auto"/>
                <w:spacing w:val="-2"/>
                <w:kern w:val="0"/>
                <w:sz w:val="24"/>
                <w:highlight w:val="none"/>
              </w:rPr>
              <w:t>法</w:t>
            </w:r>
            <w:r>
              <w:rPr>
                <w:rFonts w:hint="eastAsia" w:ascii="宋体" w:hAnsi="宋体" w:eastAsia="宋体" w:cs="宋体"/>
                <w:color w:val="auto"/>
                <w:kern w:val="0"/>
                <w:sz w:val="24"/>
                <w:highlight w:val="none"/>
              </w:rPr>
              <w:t>定</w:t>
            </w:r>
            <w:r>
              <w:rPr>
                <w:rFonts w:hint="eastAsia" w:ascii="宋体" w:hAnsi="宋体" w:eastAsia="宋体" w:cs="宋体"/>
                <w:color w:val="auto"/>
                <w:spacing w:val="-2"/>
                <w:kern w:val="0"/>
                <w:sz w:val="24"/>
                <w:highlight w:val="none"/>
              </w:rPr>
              <w:t>代</w:t>
            </w:r>
            <w:r>
              <w:rPr>
                <w:rFonts w:hint="eastAsia" w:ascii="宋体" w:hAnsi="宋体" w:eastAsia="宋体" w:cs="宋体"/>
                <w:color w:val="auto"/>
                <w:kern w:val="0"/>
                <w:sz w:val="24"/>
                <w:highlight w:val="none"/>
              </w:rPr>
              <w:t>表</w:t>
            </w:r>
            <w:r>
              <w:rPr>
                <w:rFonts w:hint="eastAsia" w:ascii="宋体" w:hAnsi="宋体" w:eastAsia="宋体" w:cs="宋体"/>
                <w:color w:val="auto"/>
                <w:spacing w:val="-2"/>
                <w:kern w:val="0"/>
                <w:sz w:val="24"/>
                <w:highlight w:val="none"/>
              </w:rPr>
              <w:t>人</w:t>
            </w:r>
            <w:r>
              <w:rPr>
                <w:rFonts w:hint="eastAsia" w:ascii="宋体" w:hAnsi="宋体" w:eastAsia="宋体" w:cs="宋体"/>
                <w:color w:val="auto"/>
                <w:kern w:val="0"/>
                <w:sz w:val="24"/>
                <w:highlight w:val="none"/>
              </w:rPr>
              <w:t>（单位负</w:t>
            </w:r>
            <w:r>
              <w:rPr>
                <w:rFonts w:hint="eastAsia" w:ascii="宋体" w:hAnsi="宋体" w:eastAsia="宋体" w:cs="宋体"/>
                <w:color w:val="auto"/>
                <w:spacing w:val="-2"/>
                <w:kern w:val="0"/>
                <w:sz w:val="24"/>
                <w:highlight w:val="none"/>
              </w:rPr>
              <w:t>责</w:t>
            </w:r>
            <w:r>
              <w:rPr>
                <w:rFonts w:hint="eastAsia" w:ascii="宋体" w:hAnsi="宋体" w:eastAsia="宋体" w:cs="宋体"/>
                <w:color w:val="auto"/>
                <w:kern w:val="0"/>
                <w:sz w:val="24"/>
                <w:highlight w:val="none"/>
              </w:rPr>
              <w:t>人</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为</w:t>
            </w:r>
            <w:r>
              <w:rPr>
                <w:rFonts w:hint="eastAsia" w:ascii="宋体" w:hAnsi="宋体" w:eastAsia="宋体" w:cs="宋体"/>
                <w:color w:val="auto"/>
                <w:spacing w:val="-2"/>
                <w:kern w:val="0"/>
                <w:sz w:val="24"/>
                <w:highlight w:val="none"/>
              </w:rPr>
              <w:t>同</w:t>
            </w:r>
            <w:r>
              <w:rPr>
                <w:rFonts w:hint="eastAsia" w:ascii="宋体" w:hAnsi="宋体" w:eastAsia="宋体" w:cs="宋体"/>
                <w:color w:val="auto"/>
                <w:kern w:val="0"/>
                <w:sz w:val="24"/>
                <w:highlight w:val="none"/>
              </w:rPr>
              <w:t>一人或者</w:t>
            </w:r>
            <w:r>
              <w:rPr>
                <w:rFonts w:hint="eastAsia" w:ascii="宋体" w:hAnsi="宋体" w:eastAsia="宋体" w:cs="宋体"/>
                <w:color w:val="auto"/>
                <w:spacing w:val="-2"/>
                <w:kern w:val="0"/>
                <w:sz w:val="24"/>
                <w:highlight w:val="none"/>
              </w:rPr>
              <w:t>存</w:t>
            </w:r>
            <w:r>
              <w:rPr>
                <w:rFonts w:hint="eastAsia" w:ascii="宋体" w:hAnsi="宋体" w:eastAsia="宋体" w:cs="宋体"/>
                <w:color w:val="auto"/>
                <w:kern w:val="0"/>
                <w:sz w:val="24"/>
                <w:highlight w:val="none"/>
              </w:rPr>
              <w:t>在</w:t>
            </w:r>
            <w:r>
              <w:rPr>
                <w:rFonts w:hint="eastAsia" w:ascii="宋体" w:hAnsi="宋体" w:eastAsia="宋体" w:cs="宋体"/>
                <w:color w:val="auto"/>
                <w:spacing w:val="-2"/>
                <w:kern w:val="0"/>
                <w:sz w:val="24"/>
                <w:highlight w:val="none"/>
              </w:rPr>
              <w:t>控</w:t>
            </w:r>
            <w:r>
              <w:rPr>
                <w:rFonts w:hint="eastAsia" w:ascii="宋体" w:hAnsi="宋体" w:eastAsia="宋体" w:cs="宋体"/>
                <w:color w:val="auto"/>
                <w:kern w:val="0"/>
                <w:sz w:val="24"/>
                <w:highlight w:val="none"/>
              </w:rPr>
              <w:t>股</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管理关系</w:t>
            </w:r>
            <w:r>
              <w:rPr>
                <w:rFonts w:hint="eastAsia" w:ascii="宋体" w:hAnsi="宋体" w:eastAsia="宋体" w:cs="宋体"/>
                <w:color w:val="auto"/>
                <w:spacing w:val="-2"/>
                <w:kern w:val="0"/>
                <w:sz w:val="24"/>
                <w:highlight w:val="none"/>
              </w:rPr>
              <w:t>的</w:t>
            </w:r>
            <w:r>
              <w:rPr>
                <w:rFonts w:hint="eastAsia" w:ascii="宋体" w:hAnsi="宋体" w:eastAsia="宋体" w:cs="宋体"/>
                <w:color w:val="auto"/>
                <w:kern w:val="0"/>
                <w:sz w:val="24"/>
                <w:highlight w:val="none"/>
              </w:rPr>
              <w:t>不</w:t>
            </w:r>
            <w:r>
              <w:rPr>
                <w:rFonts w:hint="eastAsia" w:ascii="宋体" w:hAnsi="宋体" w:eastAsia="宋体" w:cs="宋体"/>
                <w:color w:val="auto"/>
                <w:spacing w:val="-2"/>
                <w:kern w:val="0"/>
                <w:sz w:val="24"/>
                <w:highlight w:val="none"/>
              </w:rPr>
              <w:t>同</w:t>
            </w:r>
            <w:r>
              <w:rPr>
                <w:rFonts w:hint="eastAsia" w:ascii="宋体" w:hAnsi="宋体" w:eastAsia="宋体" w:cs="宋体"/>
                <w:color w:val="auto"/>
                <w:kern w:val="0"/>
                <w:sz w:val="24"/>
                <w:highlight w:val="none"/>
              </w:rPr>
              <w:t>单</w:t>
            </w:r>
            <w:r>
              <w:rPr>
                <w:rFonts w:hint="eastAsia" w:ascii="宋体" w:hAnsi="宋体" w:eastAsia="宋体" w:cs="宋体"/>
                <w:color w:val="auto"/>
                <w:spacing w:val="-2"/>
                <w:kern w:val="0"/>
                <w:sz w:val="24"/>
                <w:highlight w:val="none"/>
              </w:rPr>
              <w:t>位</w:t>
            </w:r>
            <w:r>
              <w:rPr>
                <w:rFonts w:hint="eastAsia" w:ascii="宋体" w:hAnsi="宋体" w:eastAsia="宋体" w:cs="宋体"/>
                <w:color w:val="auto"/>
                <w:kern w:val="0"/>
                <w:sz w:val="24"/>
                <w:highlight w:val="none"/>
              </w:rPr>
              <w:t>）</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0C2771BC">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0500D388">
        <w:tblPrEx>
          <w:tblCellMar>
            <w:top w:w="0" w:type="dxa"/>
            <w:left w:w="0" w:type="dxa"/>
            <w:bottom w:w="0" w:type="dxa"/>
            <w:right w:w="0" w:type="dxa"/>
          </w:tblCellMar>
        </w:tblPrEx>
        <w:trPr>
          <w:trHeight w:val="68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0A127013">
            <w:pPr>
              <w:shd w:val="clear" w:color="auto" w:fill="auto"/>
              <w:autoSpaceDE w:val="0"/>
              <w:autoSpaceDN w:val="0"/>
              <w:adjustRightInd w:val="0"/>
              <w:spacing w:before="48"/>
              <w:ind w:left="136" w:right="81"/>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水路运输许可证</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05600403">
            <w:pPr>
              <w:shd w:val="clear" w:color="auto" w:fill="auto"/>
              <w:autoSpaceDE w:val="0"/>
              <w:autoSpaceDN w:val="0"/>
              <w:adjustRightInd w:val="0"/>
              <w:jc w:val="left"/>
              <w:rPr>
                <w:rFonts w:hint="eastAsia" w:ascii="宋体" w:hAnsi="宋体" w:eastAsia="宋体" w:cs="宋体"/>
                <w:color w:val="auto"/>
                <w:kern w:val="0"/>
                <w:sz w:val="24"/>
                <w:highlight w:val="none"/>
              </w:rPr>
            </w:pPr>
          </w:p>
        </w:tc>
      </w:tr>
      <w:tr w14:paraId="67B200FD">
        <w:tblPrEx>
          <w:tblCellMar>
            <w:top w:w="0" w:type="dxa"/>
            <w:left w:w="0" w:type="dxa"/>
            <w:bottom w:w="0" w:type="dxa"/>
            <w:right w:w="0" w:type="dxa"/>
          </w:tblCellMar>
        </w:tblPrEx>
        <w:trPr>
          <w:trHeight w:val="544" w:hRule="exact"/>
        </w:trPr>
        <w:tc>
          <w:tcPr>
            <w:tcW w:w="3500" w:type="dxa"/>
            <w:tcBorders>
              <w:top w:val="single" w:color="000000" w:sz="4" w:space="0"/>
              <w:left w:val="single" w:color="000000" w:sz="4" w:space="0"/>
              <w:bottom w:val="single" w:color="000000" w:sz="4" w:space="0"/>
              <w:right w:val="single" w:color="000000" w:sz="4" w:space="0"/>
            </w:tcBorders>
            <w:noWrap w:val="0"/>
            <w:vAlign w:val="center"/>
          </w:tcPr>
          <w:p w14:paraId="7A416943">
            <w:pPr>
              <w:shd w:val="clear" w:color="auto" w:fill="auto"/>
              <w:autoSpaceDE w:val="0"/>
              <w:autoSpaceDN w:val="0"/>
              <w:adjustRightInd w:val="0"/>
              <w:spacing w:before="48"/>
              <w:ind w:left="834" w:right="814"/>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c>
          <w:tcPr>
            <w:tcW w:w="6659" w:type="dxa"/>
            <w:gridSpan w:val="4"/>
            <w:tcBorders>
              <w:top w:val="single" w:color="000000" w:sz="4" w:space="0"/>
              <w:left w:val="single" w:color="000000" w:sz="4" w:space="0"/>
              <w:bottom w:val="single" w:color="000000" w:sz="4" w:space="0"/>
              <w:right w:val="single" w:color="000000" w:sz="4" w:space="0"/>
            </w:tcBorders>
            <w:noWrap w:val="0"/>
            <w:vAlign w:val="top"/>
          </w:tcPr>
          <w:p w14:paraId="729A44CF">
            <w:pPr>
              <w:shd w:val="clear" w:color="auto" w:fill="auto"/>
              <w:autoSpaceDE w:val="0"/>
              <w:autoSpaceDN w:val="0"/>
              <w:adjustRightInd w:val="0"/>
              <w:jc w:val="left"/>
              <w:rPr>
                <w:rFonts w:hint="eastAsia" w:ascii="宋体" w:hAnsi="宋体" w:eastAsia="宋体" w:cs="宋体"/>
                <w:color w:val="auto"/>
                <w:kern w:val="0"/>
                <w:sz w:val="24"/>
                <w:highlight w:val="none"/>
              </w:rPr>
            </w:pPr>
          </w:p>
        </w:tc>
      </w:tr>
    </w:tbl>
    <w:p w14:paraId="5CBD51C0">
      <w:pPr>
        <w:shd w:val="clear" w:color="auto" w:fill="auto"/>
        <w:autoSpaceDE w:val="0"/>
        <w:autoSpaceDN w:val="0"/>
        <w:adjustRightInd w:val="0"/>
        <w:spacing w:before="40" w:line="268" w:lineRule="auto"/>
        <w:ind w:right="40"/>
        <w:jc w:val="left"/>
        <w:rPr>
          <w:rFonts w:hint="eastAsia" w:ascii="宋体" w:hAnsi="宋体" w:eastAsia="宋体" w:cs="宋体"/>
          <w:color w:val="auto"/>
          <w:kern w:val="0"/>
          <w:szCs w:val="21"/>
          <w:highlight w:val="none"/>
        </w:rPr>
      </w:pPr>
      <w:r>
        <w:rPr>
          <w:rFonts w:hint="eastAsia" w:ascii="宋体" w:hAnsi="宋体" w:eastAsia="宋体" w:cs="宋体"/>
          <w:color w:val="auto"/>
          <w:kern w:val="0"/>
          <w:position w:val="-1"/>
          <w:szCs w:val="21"/>
          <w:highlight w:val="none"/>
        </w:rPr>
        <w:t>注：</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应根</w:t>
      </w:r>
      <w:r>
        <w:rPr>
          <w:rFonts w:hint="eastAsia" w:ascii="宋体" w:hAnsi="宋体" w:eastAsia="宋体" w:cs="宋体"/>
          <w:color w:val="auto"/>
          <w:spacing w:val="-2"/>
          <w:kern w:val="0"/>
          <w:szCs w:val="21"/>
          <w:highlight w:val="none"/>
        </w:rPr>
        <w:t>据</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人须</w:t>
      </w:r>
      <w:r>
        <w:rPr>
          <w:rFonts w:hint="eastAsia" w:ascii="宋体" w:hAnsi="宋体" w:eastAsia="宋体" w:cs="宋体"/>
          <w:color w:val="auto"/>
          <w:spacing w:val="-2"/>
          <w:kern w:val="0"/>
          <w:szCs w:val="21"/>
          <w:highlight w:val="none"/>
        </w:rPr>
        <w:t>知</w:t>
      </w:r>
      <w:r>
        <w:rPr>
          <w:rFonts w:hint="eastAsia" w:ascii="宋体" w:hAnsi="宋体" w:eastAsia="宋体" w:cs="宋体"/>
          <w:color w:val="auto"/>
          <w:kern w:val="0"/>
          <w:szCs w:val="21"/>
          <w:highlight w:val="none"/>
        </w:rPr>
        <w:t>第3.5</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1</w:t>
      </w:r>
      <w:r>
        <w:rPr>
          <w:rFonts w:hint="eastAsia" w:ascii="宋体" w:hAnsi="宋体" w:eastAsia="宋体" w:cs="宋体"/>
          <w:color w:val="auto"/>
          <w:spacing w:val="-2"/>
          <w:kern w:val="0"/>
          <w:szCs w:val="21"/>
          <w:highlight w:val="none"/>
        </w:rPr>
        <w:t>项</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要</w:t>
      </w:r>
      <w:r>
        <w:rPr>
          <w:rFonts w:hint="eastAsia" w:ascii="宋体" w:hAnsi="宋体" w:eastAsia="宋体" w:cs="宋体"/>
          <w:color w:val="auto"/>
          <w:kern w:val="0"/>
          <w:szCs w:val="21"/>
          <w:highlight w:val="none"/>
        </w:rPr>
        <w:t>求</w:t>
      </w:r>
      <w:r>
        <w:rPr>
          <w:rFonts w:hint="eastAsia" w:ascii="宋体" w:hAnsi="宋体" w:eastAsia="宋体" w:cs="宋体"/>
          <w:color w:val="auto"/>
          <w:spacing w:val="-2"/>
          <w:kern w:val="0"/>
          <w:szCs w:val="21"/>
          <w:highlight w:val="none"/>
        </w:rPr>
        <w:t>在本</w:t>
      </w:r>
      <w:r>
        <w:rPr>
          <w:rFonts w:hint="eastAsia" w:ascii="宋体" w:hAnsi="宋体" w:eastAsia="宋体" w:cs="宋体"/>
          <w:color w:val="auto"/>
          <w:kern w:val="0"/>
          <w:szCs w:val="21"/>
          <w:highlight w:val="none"/>
        </w:rPr>
        <w:t>表后</w:t>
      </w:r>
      <w:r>
        <w:rPr>
          <w:rFonts w:hint="eastAsia" w:ascii="宋体" w:hAnsi="宋体" w:eastAsia="宋体" w:cs="宋体"/>
          <w:color w:val="auto"/>
          <w:spacing w:val="-2"/>
          <w:kern w:val="0"/>
          <w:szCs w:val="21"/>
          <w:highlight w:val="none"/>
        </w:rPr>
        <w:t>附</w:t>
      </w:r>
      <w:r>
        <w:rPr>
          <w:rFonts w:hint="eastAsia" w:ascii="宋体" w:hAnsi="宋体" w:eastAsia="宋体" w:cs="宋体"/>
          <w:color w:val="auto"/>
          <w:kern w:val="0"/>
          <w:szCs w:val="21"/>
          <w:highlight w:val="none"/>
        </w:rPr>
        <w:t>相</w:t>
      </w:r>
      <w:r>
        <w:rPr>
          <w:rFonts w:hint="eastAsia" w:ascii="宋体" w:hAnsi="宋体" w:eastAsia="宋体" w:cs="宋体"/>
          <w:color w:val="auto"/>
          <w:spacing w:val="-2"/>
          <w:kern w:val="0"/>
          <w:szCs w:val="21"/>
          <w:highlight w:val="none"/>
        </w:rPr>
        <w:t>关</w:t>
      </w:r>
      <w:r>
        <w:rPr>
          <w:rFonts w:hint="eastAsia" w:ascii="宋体" w:hAnsi="宋体" w:eastAsia="宋体" w:cs="宋体"/>
          <w:color w:val="auto"/>
          <w:kern w:val="0"/>
          <w:szCs w:val="21"/>
          <w:highlight w:val="none"/>
        </w:rPr>
        <w:t>资</w:t>
      </w:r>
      <w:r>
        <w:rPr>
          <w:rFonts w:hint="eastAsia" w:ascii="宋体" w:hAnsi="宋体" w:eastAsia="宋体" w:cs="宋体"/>
          <w:color w:val="auto"/>
          <w:spacing w:val="-2"/>
          <w:kern w:val="0"/>
          <w:szCs w:val="21"/>
          <w:highlight w:val="none"/>
        </w:rPr>
        <w:t>质</w:t>
      </w:r>
      <w:r>
        <w:rPr>
          <w:rFonts w:hint="eastAsia" w:ascii="宋体" w:hAnsi="宋体" w:eastAsia="宋体" w:cs="宋体"/>
          <w:color w:val="auto"/>
          <w:kern w:val="0"/>
          <w:szCs w:val="21"/>
          <w:highlight w:val="none"/>
        </w:rPr>
        <w:t>证</w:t>
      </w:r>
      <w:r>
        <w:rPr>
          <w:rFonts w:hint="eastAsia" w:ascii="宋体" w:hAnsi="宋体" w:eastAsia="宋体" w:cs="宋体"/>
          <w:color w:val="auto"/>
          <w:spacing w:val="-2"/>
          <w:kern w:val="0"/>
          <w:szCs w:val="21"/>
          <w:highlight w:val="none"/>
        </w:rPr>
        <w:t>书</w:t>
      </w:r>
      <w:r>
        <w:rPr>
          <w:rFonts w:hint="eastAsia" w:ascii="宋体" w:hAnsi="宋体" w:eastAsia="宋体" w:cs="宋体"/>
          <w:color w:val="auto"/>
          <w:spacing w:val="-2"/>
          <w:kern w:val="0"/>
          <w:szCs w:val="21"/>
          <w:highlight w:val="none"/>
          <w:lang w:val="en-US" w:eastAsia="zh-CN"/>
        </w:rPr>
        <w:t>扫描件</w:t>
      </w:r>
      <w:r>
        <w:rPr>
          <w:rFonts w:hint="eastAsia" w:ascii="宋体" w:hAnsi="宋体" w:eastAsia="宋体" w:cs="宋体"/>
          <w:color w:val="auto"/>
          <w:highlight w:val="none"/>
        </w:rPr>
        <w:t>并加盖投标单位电子印章</w:t>
      </w:r>
      <w:r>
        <w:rPr>
          <w:rFonts w:hint="eastAsia" w:ascii="宋体" w:hAnsi="宋体" w:eastAsia="宋体" w:cs="宋体"/>
          <w:color w:val="auto"/>
          <w:kern w:val="0"/>
          <w:szCs w:val="21"/>
          <w:highlight w:val="none"/>
        </w:rPr>
        <w:t>。</w:t>
      </w:r>
    </w:p>
    <w:p w14:paraId="3FAFB2FC">
      <w:pPr>
        <w:shd w:val="clear" w:color="auto" w:fill="auto"/>
        <w:autoSpaceDE w:val="0"/>
        <w:autoSpaceDN w:val="0"/>
        <w:adjustRightInd w:val="0"/>
        <w:spacing w:before="40" w:line="268" w:lineRule="auto"/>
        <w:ind w:left="100" w:right="40" w:firstLine="420"/>
        <w:jc w:val="left"/>
        <w:rPr>
          <w:rFonts w:hint="eastAsia" w:ascii="宋体" w:hAnsi="宋体" w:eastAsia="宋体" w:cs="宋体"/>
          <w:color w:val="auto"/>
          <w:kern w:val="0"/>
          <w:szCs w:val="21"/>
          <w:highlight w:val="none"/>
        </w:rPr>
        <w:sectPr>
          <w:pgSz w:w="12240" w:h="15840"/>
          <w:pgMar w:top="1440" w:right="1080" w:bottom="1440" w:left="1080" w:header="0" w:footer="921" w:gutter="0"/>
          <w:pgBorders>
            <w:top w:val="none" w:sz="0" w:space="0"/>
            <w:left w:val="none" w:sz="0" w:space="0"/>
            <w:bottom w:val="none" w:sz="0" w:space="0"/>
            <w:right w:val="none" w:sz="0" w:space="0"/>
          </w:pgBorders>
          <w:pgNumType w:fmt="decimal"/>
          <w:cols w:space="720" w:num="1"/>
        </w:sectPr>
      </w:pPr>
    </w:p>
    <w:p w14:paraId="16DCE16D">
      <w:pPr>
        <w:shd w:val="clear" w:color="auto" w:fill="auto"/>
        <w:autoSpaceDE w:val="0"/>
        <w:autoSpaceDN w:val="0"/>
        <w:adjustRightInd w:val="0"/>
        <w:spacing w:before="13" w:line="260" w:lineRule="exact"/>
        <w:jc w:val="left"/>
        <w:rPr>
          <w:rFonts w:hint="eastAsia" w:ascii="宋体" w:hAnsi="宋体" w:eastAsia="宋体" w:cs="宋体"/>
          <w:color w:val="auto"/>
          <w:kern w:val="0"/>
          <w:sz w:val="26"/>
          <w:szCs w:val="26"/>
          <w:highlight w:val="none"/>
        </w:rPr>
      </w:pPr>
    </w:p>
    <w:p w14:paraId="50D70DC2">
      <w:pPr>
        <w:numPr>
          <w:ilvl w:val="0"/>
          <w:numId w:val="18"/>
        </w:numPr>
        <w:shd w:val="clear" w:color="auto" w:fill="auto"/>
        <w:autoSpaceDE w:val="0"/>
        <w:autoSpaceDN w:val="0"/>
        <w:adjustRightInd w:val="0"/>
        <w:spacing w:line="360" w:lineRule="auto"/>
        <w:ind w:firstLine="0"/>
        <w:jc w:val="left"/>
        <w:rPr>
          <w:rFonts w:hint="eastAsia" w:ascii="宋体" w:hAnsi="宋体" w:eastAsia="宋体" w:cs="宋体"/>
          <w:b/>
          <w:bCs/>
          <w:color w:val="auto"/>
          <w:kern w:val="0"/>
          <w:position w:val="-4"/>
          <w:sz w:val="28"/>
          <w:szCs w:val="28"/>
          <w:highlight w:val="none"/>
        </w:rPr>
      </w:pPr>
      <w:r>
        <w:rPr>
          <w:rFonts w:hint="eastAsia" w:ascii="宋体" w:hAnsi="宋体" w:eastAsia="宋体" w:cs="宋体"/>
          <w:b/>
          <w:bCs/>
          <w:color w:val="auto"/>
          <w:kern w:val="0"/>
          <w:position w:val="-4"/>
          <w:sz w:val="28"/>
          <w:szCs w:val="28"/>
          <w:highlight w:val="none"/>
        </w:rPr>
        <w:t>投标承诺函</w:t>
      </w:r>
    </w:p>
    <w:p w14:paraId="2B78471C">
      <w:pPr>
        <w:shd w:val="clear" w:color="auto" w:fill="auto"/>
        <w:spacing w:line="480" w:lineRule="exact"/>
        <w:jc w:val="center"/>
        <w:rPr>
          <w:rFonts w:hint="eastAsia" w:ascii="宋体" w:hAnsi="宋体" w:eastAsia="宋体" w:cs="宋体"/>
          <w:color w:val="auto"/>
          <w:kern w:val="0"/>
          <w:szCs w:val="21"/>
          <w:highlight w:val="none"/>
          <w:u w:val="single"/>
        </w:rPr>
      </w:pPr>
    </w:p>
    <w:p w14:paraId="2F57C67A">
      <w:pPr>
        <w:shd w:val="clear" w:color="auto" w:fill="auto"/>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投标承诺函</w:t>
      </w:r>
    </w:p>
    <w:p w14:paraId="522B5AE1">
      <w:pPr>
        <w:widowControl/>
        <w:shd w:val="clear" w:color="auto" w:fill="auto"/>
        <w:spacing w:line="360" w:lineRule="auto"/>
        <w:rPr>
          <w:rFonts w:hint="eastAsia" w:ascii="宋体" w:hAnsi="宋体" w:eastAsia="宋体" w:cs="宋体"/>
          <w:b/>
          <w:color w:val="auto"/>
          <w:sz w:val="24"/>
          <w:highlight w:val="none"/>
        </w:rPr>
      </w:pPr>
      <w:r>
        <w:rPr>
          <w:rFonts w:hint="eastAsia" w:ascii="宋体" w:hAnsi="宋体" w:cs="宋体"/>
          <w:color w:val="auto"/>
          <w:sz w:val="24"/>
          <w:highlight w:val="none"/>
          <w:lang w:eastAsia="zh-CN"/>
        </w:rPr>
        <w:t>肇庆市港口投资发展有限公司</w:t>
      </w:r>
      <w:r>
        <w:rPr>
          <w:rFonts w:hint="eastAsia" w:ascii="宋体" w:hAnsi="宋体" w:eastAsia="宋体" w:cs="宋体"/>
          <w:color w:val="auto"/>
          <w:sz w:val="24"/>
          <w:highlight w:val="none"/>
        </w:rPr>
        <w:t>：</w:t>
      </w:r>
    </w:p>
    <w:p w14:paraId="16999E7D">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为了保障投标项目能按照招标文件要求顺利实施和推进，实现约定目标，我司承诺如下：</w:t>
      </w:r>
    </w:p>
    <w:p w14:paraId="1871611F">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1、投标有关公司资质、相关人员资格证书、相关业绩证明等文件的</w:t>
      </w:r>
      <w:r>
        <w:rPr>
          <w:rFonts w:hint="eastAsia" w:ascii="宋体" w:hAnsi="宋体" w:eastAsia="宋体" w:cs="宋体"/>
          <w:color w:val="auto"/>
          <w:sz w:val="24"/>
          <w:highlight w:val="none"/>
          <w:lang w:val="en-US" w:eastAsia="zh-CN"/>
        </w:rPr>
        <w:t>扫描件</w:t>
      </w:r>
      <w:r>
        <w:rPr>
          <w:rFonts w:hint="eastAsia" w:ascii="宋体" w:hAnsi="宋体" w:eastAsia="宋体" w:cs="宋体"/>
          <w:color w:val="auto"/>
          <w:sz w:val="24"/>
          <w:highlight w:val="none"/>
        </w:rPr>
        <w:t>均与原件一致，真实有效，可靠。</w:t>
      </w:r>
    </w:p>
    <w:p w14:paraId="0C71ECA9">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2、本项目投入人员按照投标文件所列配置到位，满足要求。</w:t>
      </w:r>
    </w:p>
    <w:p w14:paraId="01BAA2B4">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3、做好投入本项目的人员、材料、机器设备管理等资源保障，按照业主及招标文件要求落实到位。</w:t>
      </w:r>
    </w:p>
    <w:p w14:paraId="4822857B">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4、安全，进度，</w:t>
      </w:r>
      <w:r>
        <w:rPr>
          <w:rFonts w:hint="eastAsia" w:ascii="宋体" w:hAnsi="宋体" w:cs="宋体"/>
          <w:color w:val="auto"/>
          <w:sz w:val="24"/>
          <w:highlight w:val="none"/>
          <w:lang w:val="en-US" w:eastAsia="zh-CN"/>
        </w:rPr>
        <w:t>文明</w:t>
      </w:r>
      <w:r>
        <w:rPr>
          <w:rFonts w:hint="eastAsia" w:ascii="宋体" w:hAnsi="宋体" w:eastAsia="宋体" w:cs="宋体"/>
          <w:color w:val="auto"/>
          <w:sz w:val="24"/>
          <w:highlight w:val="none"/>
        </w:rPr>
        <w:t>生产作业，环境保护等满足业主及招标文件要求。</w:t>
      </w:r>
    </w:p>
    <w:p w14:paraId="6C151F7C">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5、质量管理满足业主及招标文件要求。</w:t>
      </w:r>
    </w:p>
    <w:p w14:paraId="3F18B4F3">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6、项目主要负责人员按照</w:t>
      </w:r>
      <w:r>
        <w:rPr>
          <w:rFonts w:hint="eastAsia" w:ascii="宋体" w:hAnsi="宋体" w:cs="宋体"/>
          <w:color w:val="auto"/>
          <w:sz w:val="24"/>
          <w:highlight w:val="none"/>
          <w:lang w:eastAsia="zh-CN"/>
        </w:rPr>
        <w:t>招标人</w:t>
      </w:r>
      <w:r>
        <w:rPr>
          <w:rFonts w:hint="eastAsia" w:ascii="宋体" w:hAnsi="宋体" w:eastAsia="宋体" w:cs="宋体"/>
          <w:color w:val="auto"/>
          <w:sz w:val="24"/>
          <w:highlight w:val="none"/>
        </w:rPr>
        <w:t>要求，定期准时参加项目会议，按照项目目标要求严格履行合约。</w:t>
      </w:r>
    </w:p>
    <w:p w14:paraId="23E60FCA">
      <w:pPr>
        <w:widowControl/>
        <w:shd w:val="clear" w:color="auto" w:fill="auto"/>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7、一旦我方中标，我方承诺按时，按质保量完成项目要求的相关工作。</w:t>
      </w:r>
    </w:p>
    <w:p w14:paraId="4C79B174">
      <w:pPr>
        <w:widowControl/>
        <w:shd w:val="clear" w:color="auto" w:fill="auto"/>
        <w:spacing w:line="360" w:lineRule="auto"/>
        <w:ind w:firstLine="480" w:firstLineChars="200"/>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8、本公司（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）承诺满足</w:t>
      </w:r>
      <w:r>
        <w:rPr>
          <w:rFonts w:hint="eastAsia" w:ascii="宋体" w:hAnsi="宋体" w:eastAsia="宋体" w:cs="宋体"/>
          <w:color w:val="auto"/>
          <w:spacing w:val="0"/>
          <w:sz w:val="24"/>
          <w:highlight w:val="none"/>
          <w:lang w:val="en-US" w:eastAsia="zh-CN"/>
        </w:rPr>
        <w:t>招标文件第一章招标公告“三、投标人资格要求”的</w:t>
      </w:r>
      <w:r>
        <w:rPr>
          <w:rFonts w:hint="eastAsia" w:ascii="宋体" w:hAnsi="宋体" w:eastAsia="宋体" w:cs="宋体"/>
          <w:color w:val="auto"/>
          <w:spacing w:val="0"/>
          <w:sz w:val="24"/>
          <w:highlight w:val="none"/>
        </w:rPr>
        <w:t>要求</w:t>
      </w:r>
      <w:r>
        <w:rPr>
          <w:rFonts w:hint="eastAsia" w:ascii="宋体" w:hAnsi="宋体" w:eastAsia="宋体" w:cs="宋体"/>
          <w:color w:val="auto"/>
          <w:spacing w:val="0"/>
          <w:sz w:val="24"/>
          <w:highlight w:val="none"/>
          <w:lang w:eastAsia="zh-CN"/>
        </w:rPr>
        <w:t>。</w:t>
      </w:r>
    </w:p>
    <w:p w14:paraId="705C06DA">
      <w:pPr>
        <w:widowControl/>
        <w:shd w:val="clear" w:color="auto" w:fill="auto"/>
        <w:spacing w:line="360" w:lineRule="auto"/>
        <w:ind w:firstLine="480" w:firstLineChars="2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承诺：</w:t>
      </w:r>
    </w:p>
    <w:p w14:paraId="30E41C8A">
      <w:pPr>
        <w:widowControl/>
        <w:shd w:val="clear" w:color="auto" w:fill="auto"/>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rPr>
        <w:t>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）在近3年内未发生任何违约行为或属自身或分包商的原因而被终止合同，且不在重大质量、安全事故处罚期内。</w:t>
      </w:r>
    </w:p>
    <w:p w14:paraId="3F6ED06B">
      <w:pPr>
        <w:widowControl/>
        <w:shd w:val="clear" w:color="auto" w:fill="auto"/>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pacing w:val="0"/>
          <w:sz w:val="24"/>
          <w:highlight w:val="none"/>
        </w:rPr>
        <w:t>）参加采购活动前三年内，在经营活动中没有重大违法记录。</w:t>
      </w:r>
    </w:p>
    <w:p w14:paraId="3F59024C">
      <w:pPr>
        <w:widowControl/>
        <w:shd w:val="clear" w:color="auto" w:fill="auto"/>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rPr>
        <w:t>）本公司（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）为</w:t>
      </w:r>
      <w:r>
        <w:rPr>
          <w:rFonts w:hint="eastAsia" w:ascii="宋体" w:hAnsi="宋体" w:eastAsia="宋体" w:cs="宋体"/>
          <w:color w:val="auto"/>
          <w:spacing w:val="0"/>
          <w:sz w:val="24"/>
          <w:highlight w:val="none"/>
          <w:lang w:val="en-US" w:eastAsia="zh-CN"/>
        </w:rPr>
        <w:t>非联合体</w:t>
      </w:r>
      <w:r>
        <w:rPr>
          <w:rFonts w:hint="eastAsia" w:ascii="宋体" w:hAnsi="宋体" w:eastAsia="宋体" w:cs="宋体"/>
          <w:color w:val="auto"/>
          <w:spacing w:val="0"/>
          <w:sz w:val="24"/>
          <w:highlight w:val="none"/>
        </w:rPr>
        <w:t>投标。</w:t>
      </w:r>
    </w:p>
    <w:p w14:paraId="12FECFC8">
      <w:pPr>
        <w:widowControl/>
        <w:shd w:val="clear" w:color="auto" w:fill="auto"/>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4</w:t>
      </w:r>
      <w:r>
        <w:rPr>
          <w:rFonts w:hint="eastAsia" w:ascii="宋体" w:hAnsi="宋体" w:eastAsia="宋体" w:cs="宋体"/>
          <w:color w:val="auto"/>
          <w:spacing w:val="0"/>
          <w:sz w:val="24"/>
          <w:highlight w:val="none"/>
        </w:rPr>
        <w:t>）本公司（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）已完成投标登记并购买了招标文件。</w:t>
      </w:r>
    </w:p>
    <w:p w14:paraId="62448EF5">
      <w:pPr>
        <w:widowControl/>
        <w:shd w:val="clear" w:color="auto" w:fill="auto"/>
        <w:spacing w:line="360" w:lineRule="auto"/>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val="en-US" w:eastAsia="zh-CN"/>
        </w:rPr>
        <w:t>5</w:t>
      </w:r>
      <w:r>
        <w:rPr>
          <w:rFonts w:hint="eastAsia" w:ascii="宋体" w:hAnsi="宋体" w:eastAsia="宋体" w:cs="宋体"/>
          <w:color w:val="auto"/>
          <w:spacing w:val="0"/>
          <w:sz w:val="24"/>
          <w:highlight w:val="none"/>
        </w:rPr>
        <w:t>）本公司（</w:t>
      </w:r>
      <w:r>
        <w:rPr>
          <w:rFonts w:hint="eastAsia" w:ascii="宋体" w:hAnsi="宋体" w:eastAsia="宋体" w:cs="宋体"/>
          <w:color w:val="auto"/>
          <w:spacing w:val="0"/>
          <w:sz w:val="24"/>
          <w:highlight w:val="none"/>
          <w:lang w:val="en-US" w:eastAsia="zh-CN"/>
        </w:rPr>
        <w:t>单位</w:t>
      </w:r>
      <w:r>
        <w:rPr>
          <w:rFonts w:hint="eastAsia" w:ascii="宋体" w:hAnsi="宋体" w:eastAsia="宋体" w:cs="宋体"/>
          <w:color w:val="auto"/>
          <w:spacing w:val="0"/>
          <w:sz w:val="24"/>
          <w:highlight w:val="none"/>
        </w:rPr>
        <w:t>）未出现以下情形：</w:t>
      </w:r>
    </w:p>
    <w:p w14:paraId="71E87F80">
      <w:pPr>
        <w:widowControl/>
        <w:shd w:val="clear" w:color="auto" w:fill="auto"/>
        <w:spacing w:line="360" w:lineRule="auto"/>
        <w:ind w:firstLine="960" w:firstLineChars="4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①与招标人存在利害关系可能影响招标公正性的法人、其他组织或个人；</w:t>
      </w:r>
    </w:p>
    <w:p w14:paraId="193D1B77">
      <w:pPr>
        <w:widowControl/>
        <w:shd w:val="clear" w:color="auto" w:fill="auto"/>
        <w:spacing w:line="360" w:lineRule="auto"/>
        <w:ind w:firstLine="960" w:firstLineChars="4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②与其他投标人的单位负责人为同一人或者存在控股、管理关系的；</w:t>
      </w:r>
    </w:p>
    <w:p w14:paraId="401EBF32">
      <w:pPr>
        <w:widowControl/>
        <w:shd w:val="clear" w:color="auto" w:fill="auto"/>
        <w:spacing w:line="360" w:lineRule="auto"/>
        <w:ind w:firstLine="960" w:firstLineChars="4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③被责令停业的；</w:t>
      </w:r>
    </w:p>
    <w:p w14:paraId="0AC4EEB0">
      <w:pPr>
        <w:widowControl/>
        <w:shd w:val="clear" w:color="auto" w:fill="auto"/>
        <w:spacing w:line="360" w:lineRule="auto"/>
        <w:ind w:firstLine="960" w:firstLineChars="4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 xml:space="preserve">④被暂停或取消投标资格的； </w:t>
      </w:r>
    </w:p>
    <w:p w14:paraId="5E3C6C45">
      <w:pPr>
        <w:widowControl/>
        <w:shd w:val="clear" w:color="auto" w:fill="auto"/>
        <w:spacing w:line="360" w:lineRule="auto"/>
        <w:ind w:firstLine="960" w:firstLineChars="400"/>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⑤财产被接管、冻结或破产的；</w:t>
      </w:r>
    </w:p>
    <w:p w14:paraId="34C219E0">
      <w:pPr>
        <w:widowControl/>
        <w:shd w:val="clear" w:color="auto" w:fill="auto"/>
        <w:spacing w:line="360" w:lineRule="auto"/>
        <w:ind w:firstLine="960" w:firstLineChars="4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⑥最近五年内有弄虚作假骗取中标、围标串标或严重违约等</w:t>
      </w:r>
      <w:r>
        <w:rPr>
          <w:rFonts w:hint="eastAsia" w:ascii="宋体" w:hAnsi="宋体" w:eastAsia="宋体" w:cs="宋体"/>
          <w:color w:val="auto"/>
          <w:spacing w:val="0"/>
          <w:sz w:val="24"/>
          <w:highlight w:val="none"/>
        </w:rPr>
        <w:t>。</w:t>
      </w:r>
    </w:p>
    <w:p w14:paraId="2AE5A09C">
      <w:pPr>
        <w:shd w:val="clear" w:color="auto" w:fill="auto"/>
        <w:rPr>
          <w:rFonts w:hint="eastAsia" w:ascii="宋体" w:hAnsi="宋体" w:eastAsia="宋体" w:cs="宋体"/>
          <w:color w:val="auto"/>
          <w:highlight w:val="none"/>
        </w:rPr>
      </w:pPr>
    </w:p>
    <w:p w14:paraId="2EE1AB8A">
      <w:pPr>
        <w:shd w:val="clear" w:color="auto" w:fill="auto"/>
        <w:spacing w:line="720" w:lineRule="auto"/>
        <w:rPr>
          <w:rFonts w:hint="eastAsia" w:ascii="宋体" w:hAnsi="宋体" w:eastAsia="宋体" w:cs="宋体"/>
          <w:snapToGrid w:val="0"/>
          <w:color w:val="auto"/>
          <w:kern w:val="24"/>
          <w:highlight w:val="none"/>
        </w:rPr>
      </w:pPr>
    </w:p>
    <w:p w14:paraId="7A521C91">
      <w:pPr>
        <w:pStyle w:val="11"/>
        <w:shd w:val="clear" w:color="auto" w:fill="auto"/>
        <w:snapToGrid w:val="0"/>
        <w:spacing w:line="360" w:lineRule="auto"/>
        <w:ind w:firstLine="3518" w:firstLineChars="14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eastAsia="zh-CN"/>
        </w:rPr>
        <w:t>单位公章</w:t>
      </w:r>
      <w:r>
        <w:rPr>
          <w:rFonts w:hint="eastAsia" w:ascii="宋体" w:hAnsi="宋体" w:eastAsia="宋体" w:cs="宋体"/>
          <w:color w:val="auto"/>
          <w:sz w:val="24"/>
          <w:szCs w:val="24"/>
          <w:highlight w:val="none"/>
        </w:rPr>
        <w:t>）：</w:t>
      </w:r>
    </w:p>
    <w:p w14:paraId="3547EF3F">
      <w:pPr>
        <w:pStyle w:val="11"/>
        <w:shd w:val="clear" w:color="auto" w:fill="auto"/>
        <w:snapToGrid w:val="0"/>
        <w:spacing w:line="360" w:lineRule="auto"/>
        <w:ind w:firstLine="3518" w:firstLineChars="1466"/>
        <w:rPr>
          <w:rFonts w:hint="eastAsia" w:ascii="宋体" w:hAnsi="宋体" w:eastAsia="宋体" w:cs="宋体"/>
          <w:color w:val="auto"/>
          <w:sz w:val="24"/>
          <w:szCs w:val="24"/>
          <w:highlight w:val="none"/>
        </w:rPr>
      </w:pPr>
    </w:p>
    <w:p w14:paraId="3880CEA1">
      <w:pPr>
        <w:pStyle w:val="11"/>
        <w:shd w:val="clear" w:color="auto" w:fill="auto"/>
        <w:snapToGrid w:val="0"/>
        <w:spacing w:line="360" w:lineRule="auto"/>
        <w:ind w:firstLine="3518" w:firstLineChars="146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6607F79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E9EEEE2">
      <w:pPr>
        <w:numPr>
          <w:ilvl w:val="0"/>
          <w:numId w:val="18"/>
        </w:numPr>
        <w:shd w:val="clear" w:color="auto" w:fill="auto"/>
        <w:autoSpaceDE w:val="0"/>
        <w:autoSpaceDN w:val="0"/>
        <w:adjustRightInd w:val="0"/>
        <w:spacing w:line="360" w:lineRule="auto"/>
        <w:ind w:firstLine="0"/>
        <w:jc w:val="left"/>
        <w:rPr>
          <w:rFonts w:hint="eastAsia" w:ascii="宋体" w:hAnsi="宋体" w:eastAsia="宋体" w:cs="宋体"/>
          <w:b/>
          <w:bCs/>
          <w:color w:val="auto"/>
          <w:kern w:val="0"/>
          <w:position w:val="-4"/>
          <w:sz w:val="28"/>
          <w:szCs w:val="28"/>
          <w:highlight w:val="none"/>
        </w:rPr>
      </w:pPr>
      <w:r>
        <w:rPr>
          <w:rFonts w:hint="eastAsia" w:ascii="宋体" w:hAnsi="宋体" w:eastAsia="宋体" w:cs="宋体"/>
          <w:b/>
          <w:bCs/>
          <w:color w:val="auto"/>
          <w:kern w:val="0"/>
          <w:position w:val="-4"/>
          <w:sz w:val="28"/>
          <w:szCs w:val="28"/>
          <w:highlight w:val="none"/>
          <w:lang w:val="en-US" w:eastAsia="zh-CN"/>
        </w:rPr>
        <w:t>信誉要求的提供的证明材料</w:t>
      </w:r>
    </w:p>
    <w:p w14:paraId="31367118">
      <w:pPr>
        <w:shd w:val="clear" w:color="auto" w:fill="auto"/>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信誉要求的提供的证明材料</w:t>
      </w:r>
    </w:p>
    <w:p w14:paraId="7485637A">
      <w:pPr>
        <w:pStyle w:val="8"/>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1、投标人未被“信用中国”网站(www.creditchina.gov.cn)列入“重大税收违法失信主体”、“失信被执行人”记录名单的网页查询结果截图</w:t>
      </w:r>
    </w:p>
    <w:p w14:paraId="0CBC435E">
      <w:pPr>
        <w:rPr>
          <w:rFonts w:hint="eastAsia" w:ascii="宋体" w:hAnsi="宋体" w:eastAsia="宋体" w:cs="宋体"/>
          <w:b/>
          <w:bCs/>
          <w:color w:val="auto"/>
          <w:sz w:val="28"/>
          <w:szCs w:val="28"/>
          <w:highlight w:val="none"/>
          <w:lang w:val="en-US" w:eastAsia="zh-CN"/>
        </w:rPr>
      </w:pPr>
    </w:p>
    <w:p w14:paraId="06393807">
      <w:pPr>
        <w:rPr>
          <w:rFonts w:hint="eastAsia" w:ascii="宋体" w:hAnsi="宋体" w:eastAsia="宋体" w:cs="宋体"/>
          <w:b/>
          <w:bCs/>
          <w:color w:val="auto"/>
          <w:sz w:val="28"/>
          <w:szCs w:val="28"/>
          <w:highlight w:val="none"/>
          <w:lang w:val="en-US" w:eastAsia="zh-CN"/>
        </w:rPr>
      </w:pPr>
    </w:p>
    <w:p w14:paraId="33E1FA8A">
      <w:pPr>
        <w:pStyle w:val="8"/>
        <w:rPr>
          <w:rFonts w:hint="eastAsia" w:ascii="宋体" w:hAnsi="宋体" w:eastAsia="宋体" w:cs="宋体"/>
          <w:b/>
          <w:bCs/>
          <w:color w:val="auto"/>
          <w:sz w:val="28"/>
          <w:szCs w:val="28"/>
          <w:highlight w:val="none"/>
          <w:lang w:val="en-US" w:eastAsia="zh-CN"/>
        </w:rPr>
      </w:pPr>
    </w:p>
    <w:p w14:paraId="41220315">
      <w:pPr>
        <w:rPr>
          <w:rFonts w:hint="eastAsia" w:ascii="宋体" w:hAnsi="宋体" w:eastAsia="宋体" w:cs="宋体"/>
          <w:color w:val="auto"/>
          <w:highlight w:val="none"/>
          <w:lang w:val="en-US" w:eastAsia="zh-CN"/>
        </w:rPr>
      </w:pPr>
    </w:p>
    <w:p w14:paraId="06BB82E4">
      <w:pPr>
        <w:rPr>
          <w:rFonts w:hint="eastAsia" w:ascii="宋体" w:hAnsi="宋体" w:eastAsia="宋体" w:cs="宋体"/>
          <w:b/>
          <w:bCs/>
          <w:color w:val="auto"/>
          <w:sz w:val="28"/>
          <w:szCs w:val="28"/>
          <w:highlight w:val="none"/>
          <w:lang w:val="en-US" w:eastAsia="zh-CN"/>
        </w:rPr>
      </w:pPr>
    </w:p>
    <w:p w14:paraId="2862E8E2">
      <w:pPr>
        <w:pStyle w:val="8"/>
        <w:rPr>
          <w:rFonts w:hint="eastAsia" w:ascii="宋体" w:hAnsi="宋体" w:eastAsia="宋体" w:cs="宋体"/>
          <w:b/>
          <w:bCs/>
          <w:color w:val="auto"/>
          <w:sz w:val="28"/>
          <w:szCs w:val="28"/>
          <w:highlight w:val="none"/>
          <w:lang w:val="en-US" w:eastAsia="zh-CN"/>
        </w:rPr>
      </w:pPr>
    </w:p>
    <w:p w14:paraId="358BCF9A">
      <w:pPr>
        <w:rPr>
          <w:rFonts w:hint="eastAsia" w:ascii="宋体" w:hAnsi="宋体" w:eastAsia="宋体" w:cs="宋体"/>
          <w:color w:val="auto"/>
          <w:highlight w:val="none"/>
          <w:lang w:val="en-US" w:eastAsia="zh-CN"/>
        </w:rPr>
      </w:pPr>
    </w:p>
    <w:p w14:paraId="43929084">
      <w:pPr>
        <w:rPr>
          <w:rFonts w:hint="eastAsia" w:ascii="宋体" w:hAnsi="宋体" w:eastAsia="宋体" w:cs="宋体"/>
          <w:b/>
          <w:bCs/>
          <w:color w:val="auto"/>
          <w:sz w:val="28"/>
          <w:szCs w:val="28"/>
          <w:highlight w:val="none"/>
          <w:lang w:val="en-US" w:eastAsia="zh-CN"/>
        </w:rPr>
      </w:pPr>
    </w:p>
    <w:p w14:paraId="7CDE9C4B">
      <w:pPr>
        <w:pStyle w:val="8"/>
        <w:rPr>
          <w:rFonts w:hint="eastAsia" w:ascii="宋体" w:hAnsi="宋体" w:eastAsia="宋体" w:cs="宋体"/>
          <w:b/>
          <w:bCs/>
          <w:color w:val="auto"/>
          <w:sz w:val="28"/>
          <w:szCs w:val="28"/>
          <w:highlight w:val="none"/>
          <w:lang w:val="en-US" w:eastAsia="zh-CN"/>
        </w:rPr>
      </w:pPr>
    </w:p>
    <w:p w14:paraId="0D30E00C">
      <w:pPr>
        <w:pStyle w:val="8"/>
        <w:rPr>
          <w:rFonts w:hint="eastAsia" w:ascii="宋体" w:hAnsi="宋体" w:eastAsia="宋体" w:cs="宋体"/>
          <w:color w:val="auto"/>
          <w:highlight w:val="none"/>
          <w:lang w:val="en-US" w:eastAsia="zh-CN"/>
        </w:rPr>
      </w:pPr>
      <w:r>
        <w:rPr>
          <w:rFonts w:hint="eastAsia" w:ascii="宋体" w:hAnsi="宋体" w:eastAsia="宋体" w:cs="宋体"/>
          <w:b/>
          <w:bCs/>
          <w:color w:val="auto"/>
          <w:sz w:val="28"/>
          <w:szCs w:val="28"/>
          <w:highlight w:val="none"/>
          <w:lang w:val="en-US" w:eastAsia="zh-CN"/>
        </w:rPr>
        <w:t>2、投标人未被“国家企业信用信息公示系统”网站（www.gsxt.gov.cn）列入“严重违法失信企业名单”的网页查询结果截图</w:t>
      </w:r>
    </w:p>
    <w:p w14:paraId="30952A7C">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End w:id="106"/>
      <w:r>
        <w:rPr>
          <w:rFonts w:hint="eastAsia" w:ascii="宋体" w:hAnsi="宋体" w:eastAsia="宋体" w:cs="宋体"/>
          <w:color w:val="auto"/>
          <w:highlight w:val="none"/>
        </w:rPr>
        <w:t>商务技术资料</w:t>
      </w:r>
    </w:p>
    <w:p w14:paraId="63A6A271">
      <w:pPr>
        <w:pStyle w:val="4"/>
        <w:numPr>
          <w:ilvl w:val="0"/>
          <w:numId w:val="19"/>
        </w:numPr>
        <w:shd w:val="clear" w:color="auto" w:fill="auto"/>
        <w:spacing w:before="43"/>
        <w:ind w:left="0" w:firstLine="0"/>
        <w:jc w:val="cente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服务团队生产作业人员</w:t>
      </w:r>
    </w:p>
    <w:p w14:paraId="31752A60">
      <w:pPr>
        <w:spacing w:line="360" w:lineRule="exact"/>
        <w:jc w:val="left"/>
        <w:rPr>
          <w:rFonts w:hint="eastAsia" w:ascii="宋体" w:hAnsi="宋体" w:eastAsia="宋体" w:cs="宋体"/>
          <w:b/>
          <w:color w:val="auto"/>
          <w:sz w:val="28"/>
          <w:szCs w:val="28"/>
          <w:highlight w:val="none"/>
        </w:rPr>
      </w:pPr>
    </w:p>
    <w:p w14:paraId="7A299FC3">
      <w:pPr>
        <w:spacing w:line="36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拟派服务团队生产作业人员汇总表</w:t>
      </w:r>
    </w:p>
    <w:p w14:paraId="61FB2572">
      <w:pPr>
        <w:spacing w:line="360" w:lineRule="exact"/>
        <w:jc w:val="center"/>
        <w:rPr>
          <w:rFonts w:hint="eastAsia" w:ascii="宋体" w:hAnsi="宋体" w:eastAsia="宋体" w:cs="宋体"/>
          <w:b/>
          <w:color w:val="auto"/>
          <w:sz w:val="28"/>
          <w:szCs w:val="28"/>
          <w:highlight w:val="none"/>
        </w:rPr>
      </w:pP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498"/>
        <w:gridCol w:w="1301"/>
        <w:gridCol w:w="864"/>
        <w:gridCol w:w="804"/>
        <w:gridCol w:w="1280"/>
        <w:gridCol w:w="1248"/>
        <w:gridCol w:w="1238"/>
        <w:gridCol w:w="780"/>
      </w:tblGrid>
      <w:tr w14:paraId="4B17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vMerge w:val="restart"/>
            <w:noWrap w:val="0"/>
            <w:vAlign w:val="center"/>
          </w:tcPr>
          <w:p w14:paraId="15A13430">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53" w:type="pct"/>
            <w:vMerge w:val="restart"/>
            <w:noWrap w:val="0"/>
            <w:vAlign w:val="center"/>
          </w:tcPr>
          <w:p w14:paraId="1EB9BEB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本项目任职</w:t>
            </w:r>
          </w:p>
        </w:tc>
        <w:tc>
          <w:tcPr>
            <w:tcW w:w="654" w:type="pct"/>
            <w:vMerge w:val="restart"/>
            <w:noWrap w:val="0"/>
            <w:vAlign w:val="center"/>
          </w:tcPr>
          <w:p w14:paraId="7DD9557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434" w:type="pct"/>
            <w:vMerge w:val="restart"/>
            <w:noWrap w:val="0"/>
            <w:vAlign w:val="center"/>
          </w:tcPr>
          <w:p w14:paraId="7C7B0C7B">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404" w:type="pct"/>
            <w:vMerge w:val="restart"/>
            <w:noWrap w:val="0"/>
            <w:vAlign w:val="center"/>
          </w:tcPr>
          <w:p w14:paraId="4254DF7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1892" w:type="pct"/>
            <w:gridSpan w:val="3"/>
            <w:noWrap w:val="0"/>
            <w:vAlign w:val="center"/>
          </w:tcPr>
          <w:p w14:paraId="660786FE">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执业或职业资格证明</w:t>
            </w:r>
          </w:p>
        </w:tc>
        <w:tc>
          <w:tcPr>
            <w:tcW w:w="392" w:type="pct"/>
            <w:noWrap w:val="0"/>
            <w:vAlign w:val="center"/>
          </w:tcPr>
          <w:p w14:paraId="4F2DEC75">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6DD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vMerge w:val="continue"/>
            <w:noWrap w:val="0"/>
            <w:vAlign w:val="center"/>
          </w:tcPr>
          <w:p w14:paraId="39FBF230">
            <w:pPr>
              <w:rPr>
                <w:rFonts w:hint="eastAsia" w:ascii="宋体" w:hAnsi="宋体" w:eastAsia="宋体" w:cs="宋体"/>
                <w:color w:val="auto"/>
                <w:highlight w:val="none"/>
              </w:rPr>
            </w:pPr>
          </w:p>
        </w:tc>
        <w:tc>
          <w:tcPr>
            <w:tcW w:w="753" w:type="pct"/>
            <w:vMerge w:val="continue"/>
            <w:noWrap w:val="0"/>
            <w:vAlign w:val="top"/>
          </w:tcPr>
          <w:p w14:paraId="146AC72B">
            <w:pPr>
              <w:rPr>
                <w:rFonts w:hint="eastAsia" w:ascii="宋体" w:hAnsi="宋体" w:eastAsia="宋体" w:cs="宋体"/>
                <w:color w:val="auto"/>
                <w:highlight w:val="none"/>
              </w:rPr>
            </w:pPr>
          </w:p>
        </w:tc>
        <w:tc>
          <w:tcPr>
            <w:tcW w:w="654" w:type="pct"/>
            <w:vMerge w:val="continue"/>
            <w:noWrap w:val="0"/>
            <w:vAlign w:val="center"/>
          </w:tcPr>
          <w:p w14:paraId="18A251D9">
            <w:pPr>
              <w:rPr>
                <w:rFonts w:hint="eastAsia" w:ascii="宋体" w:hAnsi="宋体" w:eastAsia="宋体" w:cs="宋体"/>
                <w:color w:val="auto"/>
                <w:highlight w:val="none"/>
              </w:rPr>
            </w:pPr>
          </w:p>
        </w:tc>
        <w:tc>
          <w:tcPr>
            <w:tcW w:w="434" w:type="pct"/>
            <w:vMerge w:val="continue"/>
            <w:noWrap w:val="0"/>
            <w:vAlign w:val="center"/>
          </w:tcPr>
          <w:p w14:paraId="7640DC49">
            <w:pPr>
              <w:rPr>
                <w:rFonts w:hint="eastAsia" w:ascii="宋体" w:hAnsi="宋体" w:eastAsia="宋体" w:cs="宋体"/>
                <w:color w:val="auto"/>
                <w:highlight w:val="none"/>
              </w:rPr>
            </w:pPr>
          </w:p>
        </w:tc>
        <w:tc>
          <w:tcPr>
            <w:tcW w:w="404" w:type="pct"/>
            <w:vMerge w:val="continue"/>
            <w:noWrap w:val="0"/>
            <w:vAlign w:val="center"/>
          </w:tcPr>
          <w:p w14:paraId="1EA1CA67">
            <w:pPr>
              <w:spacing w:line="440" w:lineRule="exact"/>
              <w:jc w:val="center"/>
              <w:rPr>
                <w:rFonts w:hint="eastAsia" w:ascii="宋体" w:hAnsi="宋体" w:eastAsia="宋体" w:cs="宋体"/>
                <w:color w:val="auto"/>
                <w:highlight w:val="none"/>
              </w:rPr>
            </w:pPr>
          </w:p>
        </w:tc>
        <w:tc>
          <w:tcPr>
            <w:tcW w:w="643" w:type="pct"/>
            <w:noWrap w:val="0"/>
            <w:vAlign w:val="center"/>
          </w:tcPr>
          <w:p w14:paraId="35417B6B">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627" w:type="pct"/>
            <w:noWrap w:val="0"/>
            <w:vAlign w:val="center"/>
          </w:tcPr>
          <w:p w14:paraId="67756554">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621" w:type="pct"/>
            <w:noWrap w:val="0"/>
            <w:vAlign w:val="center"/>
          </w:tcPr>
          <w:p w14:paraId="5E7925A6">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392" w:type="pct"/>
            <w:noWrap w:val="0"/>
            <w:vAlign w:val="center"/>
          </w:tcPr>
          <w:p w14:paraId="36662CEB">
            <w:pPr>
              <w:spacing w:line="440" w:lineRule="exact"/>
              <w:jc w:val="center"/>
              <w:rPr>
                <w:rFonts w:hint="eastAsia" w:ascii="宋体" w:hAnsi="宋体" w:eastAsia="宋体" w:cs="宋体"/>
                <w:color w:val="auto"/>
                <w:highlight w:val="none"/>
              </w:rPr>
            </w:pPr>
          </w:p>
        </w:tc>
      </w:tr>
      <w:tr w14:paraId="2321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9" w:type="pct"/>
            <w:noWrap w:val="0"/>
            <w:vAlign w:val="center"/>
          </w:tcPr>
          <w:p w14:paraId="66B57DCD">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53" w:type="pct"/>
            <w:noWrap w:val="0"/>
            <w:vAlign w:val="center"/>
          </w:tcPr>
          <w:p w14:paraId="2B571F3E">
            <w:pPr>
              <w:spacing w:line="4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船长</w:t>
            </w:r>
          </w:p>
        </w:tc>
        <w:tc>
          <w:tcPr>
            <w:tcW w:w="654" w:type="pct"/>
            <w:noWrap w:val="0"/>
            <w:vAlign w:val="center"/>
          </w:tcPr>
          <w:p w14:paraId="75C47698">
            <w:pPr>
              <w:spacing w:line="440" w:lineRule="exact"/>
              <w:jc w:val="center"/>
              <w:rPr>
                <w:rFonts w:hint="eastAsia" w:ascii="宋体" w:hAnsi="宋体" w:eastAsia="宋体" w:cs="宋体"/>
                <w:color w:val="auto"/>
                <w:highlight w:val="none"/>
              </w:rPr>
            </w:pPr>
          </w:p>
        </w:tc>
        <w:tc>
          <w:tcPr>
            <w:tcW w:w="434" w:type="pct"/>
            <w:noWrap w:val="0"/>
            <w:vAlign w:val="center"/>
          </w:tcPr>
          <w:p w14:paraId="0CD2D8EC">
            <w:pPr>
              <w:spacing w:line="440" w:lineRule="exact"/>
              <w:jc w:val="center"/>
              <w:rPr>
                <w:rFonts w:hint="eastAsia" w:ascii="宋体" w:hAnsi="宋体" w:eastAsia="宋体" w:cs="宋体"/>
                <w:color w:val="auto"/>
                <w:highlight w:val="none"/>
              </w:rPr>
            </w:pPr>
          </w:p>
        </w:tc>
        <w:tc>
          <w:tcPr>
            <w:tcW w:w="404" w:type="pct"/>
            <w:noWrap w:val="0"/>
            <w:vAlign w:val="center"/>
          </w:tcPr>
          <w:p w14:paraId="3DEAC396">
            <w:pPr>
              <w:spacing w:line="440" w:lineRule="exact"/>
              <w:jc w:val="center"/>
              <w:rPr>
                <w:rFonts w:hint="eastAsia" w:ascii="宋体" w:hAnsi="宋体" w:eastAsia="宋体" w:cs="宋体"/>
                <w:color w:val="auto"/>
                <w:highlight w:val="none"/>
              </w:rPr>
            </w:pPr>
          </w:p>
        </w:tc>
        <w:tc>
          <w:tcPr>
            <w:tcW w:w="643" w:type="pct"/>
            <w:noWrap w:val="0"/>
            <w:vAlign w:val="center"/>
          </w:tcPr>
          <w:p w14:paraId="5EAE60F6">
            <w:pPr>
              <w:spacing w:line="440" w:lineRule="exact"/>
              <w:jc w:val="center"/>
              <w:rPr>
                <w:rFonts w:hint="eastAsia" w:ascii="宋体" w:hAnsi="宋体" w:eastAsia="宋体" w:cs="宋体"/>
                <w:color w:val="auto"/>
                <w:highlight w:val="none"/>
              </w:rPr>
            </w:pPr>
          </w:p>
        </w:tc>
        <w:tc>
          <w:tcPr>
            <w:tcW w:w="627" w:type="pct"/>
            <w:noWrap w:val="0"/>
            <w:vAlign w:val="center"/>
          </w:tcPr>
          <w:p w14:paraId="0AB4DBB3">
            <w:pPr>
              <w:spacing w:line="440" w:lineRule="exact"/>
              <w:jc w:val="center"/>
              <w:rPr>
                <w:rFonts w:hint="eastAsia" w:ascii="宋体" w:hAnsi="宋体" w:eastAsia="宋体" w:cs="宋体"/>
                <w:color w:val="auto"/>
                <w:highlight w:val="none"/>
              </w:rPr>
            </w:pPr>
          </w:p>
        </w:tc>
        <w:tc>
          <w:tcPr>
            <w:tcW w:w="621" w:type="pct"/>
            <w:noWrap w:val="0"/>
            <w:vAlign w:val="center"/>
          </w:tcPr>
          <w:p w14:paraId="484C0210">
            <w:pPr>
              <w:spacing w:line="440" w:lineRule="exact"/>
              <w:jc w:val="center"/>
              <w:rPr>
                <w:rFonts w:hint="eastAsia" w:ascii="宋体" w:hAnsi="宋体" w:eastAsia="宋体" w:cs="宋体"/>
                <w:color w:val="auto"/>
                <w:highlight w:val="none"/>
              </w:rPr>
            </w:pPr>
          </w:p>
        </w:tc>
        <w:tc>
          <w:tcPr>
            <w:tcW w:w="392" w:type="pct"/>
            <w:noWrap w:val="0"/>
            <w:vAlign w:val="center"/>
          </w:tcPr>
          <w:p w14:paraId="01E5632B">
            <w:pPr>
              <w:spacing w:line="440" w:lineRule="exact"/>
              <w:jc w:val="center"/>
              <w:rPr>
                <w:rFonts w:hint="eastAsia" w:ascii="宋体" w:hAnsi="宋体" w:eastAsia="宋体" w:cs="宋体"/>
                <w:color w:val="auto"/>
                <w:highlight w:val="none"/>
              </w:rPr>
            </w:pPr>
          </w:p>
        </w:tc>
      </w:tr>
      <w:tr w14:paraId="13D8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69" w:type="pct"/>
            <w:noWrap w:val="0"/>
            <w:vAlign w:val="center"/>
          </w:tcPr>
          <w:p w14:paraId="42E4D86E">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53" w:type="pct"/>
            <w:noWrap w:val="0"/>
            <w:vAlign w:val="center"/>
          </w:tcPr>
          <w:p w14:paraId="1E8B51A3">
            <w:pPr>
              <w:spacing w:line="4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水手</w:t>
            </w:r>
          </w:p>
        </w:tc>
        <w:tc>
          <w:tcPr>
            <w:tcW w:w="654" w:type="pct"/>
            <w:noWrap w:val="0"/>
            <w:vAlign w:val="top"/>
          </w:tcPr>
          <w:p w14:paraId="73334ADD">
            <w:pPr>
              <w:spacing w:line="440" w:lineRule="exact"/>
              <w:jc w:val="center"/>
              <w:rPr>
                <w:rFonts w:hint="eastAsia" w:ascii="宋体" w:hAnsi="宋体" w:eastAsia="宋体" w:cs="宋体"/>
                <w:color w:val="auto"/>
                <w:highlight w:val="none"/>
              </w:rPr>
            </w:pPr>
          </w:p>
        </w:tc>
        <w:tc>
          <w:tcPr>
            <w:tcW w:w="434" w:type="pct"/>
            <w:noWrap w:val="0"/>
            <w:vAlign w:val="top"/>
          </w:tcPr>
          <w:p w14:paraId="1CFF323D">
            <w:pPr>
              <w:spacing w:line="440" w:lineRule="exact"/>
              <w:jc w:val="center"/>
              <w:rPr>
                <w:rFonts w:hint="eastAsia" w:ascii="宋体" w:hAnsi="宋体" w:eastAsia="宋体" w:cs="宋体"/>
                <w:color w:val="auto"/>
                <w:highlight w:val="none"/>
              </w:rPr>
            </w:pPr>
          </w:p>
        </w:tc>
        <w:tc>
          <w:tcPr>
            <w:tcW w:w="404" w:type="pct"/>
            <w:noWrap w:val="0"/>
            <w:vAlign w:val="top"/>
          </w:tcPr>
          <w:p w14:paraId="0EEFFB8D">
            <w:pPr>
              <w:spacing w:line="440" w:lineRule="exact"/>
              <w:jc w:val="center"/>
              <w:rPr>
                <w:rFonts w:hint="eastAsia" w:ascii="宋体" w:hAnsi="宋体" w:eastAsia="宋体" w:cs="宋体"/>
                <w:color w:val="auto"/>
                <w:highlight w:val="none"/>
              </w:rPr>
            </w:pPr>
          </w:p>
        </w:tc>
        <w:tc>
          <w:tcPr>
            <w:tcW w:w="643" w:type="pct"/>
            <w:noWrap w:val="0"/>
            <w:vAlign w:val="top"/>
          </w:tcPr>
          <w:p w14:paraId="4CF19E2D">
            <w:pPr>
              <w:spacing w:line="440" w:lineRule="exact"/>
              <w:jc w:val="center"/>
              <w:rPr>
                <w:rFonts w:hint="eastAsia" w:ascii="宋体" w:hAnsi="宋体" w:eastAsia="宋体" w:cs="宋体"/>
                <w:color w:val="auto"/>
                <w:highlight w:val="none"/>
              </w:rPr>
            </w:pPr>
          </w:p>
        </w:tc>
        <w:tc>
          <w:tcPr>
            <w:tcW w:w="627" w:type="pct"/>
            <w:noWrap w:val="0"/>
            <w:vAlign w:val="top"/>
          </w:tcPr>
          <w:p w14:paraId="48DC1650">
            <w:pPr>
              <w:spacing w:line="440" w:lineRule="exact"/>
              <w:jc w:val="center"/>
              <w:rPr>
                <w:rFonts w:hint="eastAsia" w:ascii="宋体" w:hAnsi="宋体" w:eastAsia="宋体" w:cs="宋体"/>
                <w:color w:val="auto"/>
                <w:highlight w:val="none"/>
              </w:rPr>
            </w:pPr>
          </w:p>
        </w:tc>
        <w:tc>
          <w:tcPr>
            <w:tcW w:w="621" w:type="pct"/>
            <w:noWrap w:val="0"/>
            <w:vAlign w:val="top"/>
          </w:tcPr>
          <w:p w14:paraId="6D9E7791">
            <w:pPr>
              <w:spacing w:line="440" w:lineRule="exact"/>
              <w:jc w:val="center"/>
              <w:rPr>
                <w:rFonts w:hint="eastAsia" w:ascii="宋体" w:hAnsi="宋体" w:eastAsia="宋体" w:cs="宋体"/>
                <w:color w:val="auto"/>
                <w:highlight w:val="none"/>
              </w:rPr>
            </w:pPr>
          </w:p>
        </w:tc>
        <w:tc>
          <w:tcPr>
            <w:tcW w:w="392" w:type="pct"/>
            <w:noWrap w:val="0"/>
            <w:vAlign w:val="top"/>
          </w:tcPr>
          <w:p w14:paraId="47E961AC">
            <w:pPr>
              <w:spacing w:line="440" w:lineRule="exact"/>
              <w:jc w:val="center"/>
              <w:rPr>
                <w:rFonts w:hint="eastAsia" w:ascii="宋体" w:hAnsi="宋体" w:eastAsia="宋体" w:cs="宋体"/>
                <w:color w:val="auto"/>
                <w:highlight w:val="none"/>
              </w:rPr>
            </w:pPr>
          </w:p>
        </w:tc>
      </w:tr>
      <w:tr w14:paraId="1B08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69" w:type="pct"/>
            <w:noWrap w:val="0"/>
            <w:vAlign w:val="center"/>
          </w:tcPr>
          <w:p w14:paraId="4AE5C241">
            <w:pPr>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753" w:type="pct"/>
            <w:noWrap w:val="0"/>
            <w:vAlign w:val="center"/>
          </w:tcPr>
          <w:p w14:paraId="5292E130">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54" w:type="pct"/>
            <w:noWrap w:val="0"/>
            <w:vAlign w:val="top"/>
          </w:tcPr>
          <w:p w14:paraId="0A23B660">
            <w:pPr>
              <w:spacing w:line="440" w:lineRule="exact"/>
              <w:jc w:val="center"/>
              <w:rPr>
                <w:rFonts w:hint="eastAsia" w:ascii="宋体" w:hAnsi="宋体" w:eastAsia="宋体" w:cs="宋体"/>
                <w:color w:val="auto"/>
                <w:highlight w:val="none"/>
              </w:rPr>
            </w:pPr>
          </w:p>
        </w:tc>
        <w:tc>
          <w:tcPr>
            <w:tcW w:w="434" w:type="pct"/>
            <w:noWrap w:val="0"/>
            <w:vAlign w:val="top"/>
          </w:tcPr>
          <w:p w14:paraId="59EED010">
            <w:pPr>
              <w:spacing w:line="440" w:lineRule="exact"/>
              <w:jc w:val="center"/>
              <w:rPr>
                <w:rFonts w:hint="eastAsia" w:ascii="宋体" w:hAnsi="宋体" w:eastAsia="宋体" w:cs="宋体"/>
                <w:color w:val="auto"/>
                <w:highlight w:val="none"/>
              </w:rPr>
            </w:pPr>
          </w:p>
        </w:tc>
        <w:tc>
          <w:tcPr>
            <w:tcW w:w="404" w:type="pct"/>
            <w:noWrap w:val="0"/>
            <w:vAlign w:val="top"/>
          </w:tcPr>
          <w:p w14:paraId="6EA85EB3">
            <w:pPr>
              <w:spacing w:line="440" w:lineRule="exact"/>
              <w:jc w:val="center"/>
              <w:rPr>
                <w:rFonts w:hint="eastAsia" w:ascii="宋体" w:hAnsi="宋体" w:eastAsia="宋体" w:cs="宋体"/>
                <w:color w:val="auto"/>
                <w:highlight w:val="none"/>
              </w:rPr>
            </w:pPr>
          </w:p>
        </w:tc>
        <w:tc>
          <w:tcPr>
            <w:tcW w:w="643" w:type="pct"/>
            <w:noWrap w:val="0"/>
            <w:vAlign w:val="top"/>
          </w:tcPr>
          <w:p w14:paraId="45C1B133">
            <w:pPr>
              <w:spacing w:line="440" w:lineRule="exact"/>
              <w:jc w:val="center"/>
              <w:rPr>
                <w:rFonts w:hint="eastAsia" w:ascii="宋体" w:hAnsi="宋体" w:eastAsia="宋体" w:cs="宋体"/>
                <w:color w:val="auto"/>
                <w:highlight w:val="none"/>
              </w:rPr>
            </w:pPr>
          </w:p>
        </w:tc>
        <w:tc>
          <w:tcPr>
            <w:tcW w:w="627" w:type="pct"/>
            <w:noWrap w:val="0"/>
            <w:vAlign w:val="top"/>
          </w:tcPr>
          <w:p w14:paraId="58DA4DBB">
            <w:pPr>
              <w:spacing w:line="440" w:lineRule="exact"/>
              <w:jc w:val="center"/>
              <w:rPr>
                <w:rFonts w:hint="eastAsia" w:ascii="宋体" w:hAnsi="宋体" w:eastAsia="宋体" w:cs="宋体"/>
                <w:color w:val="auto"/>
                <w:highlight w:val="none"/>
              </w:rPr>
            </w:pPr>
          </w:p>
        </w:tc>
        <w:tc>
          <w:tcPr>
            <w:tcW w:w="621" w:type="pct"/>
            <w:noWrap w:val="0"/>
            <w:vAlign w:val="top"/>
          </w:tcPr>
          <w:p w14:paraId="0E46E4E8">
            <w:pPr>
              <w:spacing w:line="440" w:lineRule="exact"/>
              <w:jc w:val="center"/>
              <w:rPr>
                <w:rFonts w:hint="eastAsia" w:ascii="宋体" w:hAnsi="宋体" w:eastAsia="宋体" w:cs="宋体"/>
                <w:color w:val="auto"/>
                <w:highlight w:val="none"/>
              </w:rPr>
            </w:pPr>
          </w:p>
        </w:tc>
        <w:tc>
          <w:tcPr>
            <w:tcW w:w="392" w:type="pct"/>
            <w:noWrap w:val="0"/>
            <w:vAlign w:val="top"/>
          </w:tcPr>
          <w:p w14:paraId="4E63D203">
            <w:pPr>
              <w:spacing w:line="440" w:lineRule="exact"/>
              <w:jc w:val="center"/>
              <w:rPr>
                <w:rFonts w:hint="eastAsia" w:ascii="宋体" w:hAnsi="宋体" w:eastAsia="宋体" w:cs="宋体"/>
                <w:color w:val="auto"/>
                <w:highlight w:val="none"/>
              </w:rPr>
            </w:pPr>
          </w:p>
        </w:tc>
      </w:tr>
      <w:tr w14:paraId="6130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9" w:type="pct"/>
            <w:noWrap w:val="0"/>
            <w:vAlign w:val="top"/>
          </w:tcPr>
          <w:p w14:paraId="5FE50E79">
            <w:pPr>
              <w:spacing w:line="440" w:lineRule="exact"/>
              <w:jc w:val="center"/>
              <w:rPr>
                <w:rFonts w:hint="eastAsia" w:ascii="宋体" w:hAnsi="宋体" w:eastAsia="宋体" w:cs="宋体"/>
                <w:color w:val="auto"/>
                <w:highlight w:val="none"/>
              </w:rPr>
            </w:pPr>
          </w:p>
        </w:tc>
        <w:tc>
          <w:tcPr>
            <w:tcW w:w="753" w:type="pct"/>
            <w:noWrap w:val="0"/>
            <w:vAlign w:val="top"/>
          </w:tcPr>
          <w:p w14:paraId="387EAFC2">
            <w:pPr>
              <w:spacing w:line="440" w:lineRule="exact"/>
              <w:jc w:val="center"/>
              <w:rPr>
                <w:rFonts w:hint="eastAsia" w:ascii="宋体" w:hAnsi="宋体" w:eastAsia="宋体" w:cs="宋体"/>
                <w:color w:val="auto"/>
                <w:highlight w:val="none"/>
              </w:rPr>
            </w:pPr>
          </w:p>
        </w:tc>
        <w:tc>
          <w:tcPr>
            <w:tcW w:w="654" w:type="pct"/>
            <w:noWrap w:val="0"/>
            <w:vAlign w:val="top"/>
          </w:tcPr>
          <w:p w14:paraId="52DAAA1C">
            <w:pPr>
              <w:spacing w:line="440" w:lineRule="exact"/>
              <w:jc w:val="center"/>
              <w:rPr>
                <w:rFonts w:hint="eastAsia" w:ascii="宋体" w:hAnsi="宋体" w:eastAsia="宋体" w:cs="宋体"/>
                <w:color w:val="auto"/>
                <w:highlight w:val="none"/>
              </w:rPr>
            </w:pPr>
          </w:p>
        </w:tc>
        <w:tc>
          <w:tcPr>
            <w:tcW w:w="434" w:type="pct"/>
            <w:noWrap w:val="0"/>
            <w:vAlign w:val="top"/>
          </w:tcPr>
          <w:p w14:paraId="7EC71C5B">
            <w:pPr>
              <w:spacing w:line="440" w:lineRule="exact"/>
              <w:jc w:val="center"/>
              <w:rPr>
                <w:rFonts w:hint="eastAsia" w:ascii="宋体" w:hAnsi="宋体" w:eastAsia="宋体" w:cs="宋体"/>
                <w:color w:val="auto"/>
                <w:highlight w:val="none"/>
              </w:rPr>
            </w:pPr>
          </w:p>
        </w:tc>
        <w:tc>
          <w:tcPr>
            <w:tcW w:w="404" w:type="pct"/>
            <w:noWrap w:val="0"/>
            <w:vAlign w:val="top"/>
          </w:tcPr>
          <w:p w14:paraId="5B49CE42">
            <w:pPr>
              <w:spacing w:line="440" w:lineRule="exact"/>
              <w:jc w:val="center"/>
              <w:rPr>
                <w:rFonts w:hint="eastAsia" w:ascii="宋体" w:hAnsi="宋体" w:eastAsia="宋体" w:cs="宋体"/>
                <w:color w:val="auto"/>
                <w:highlight w:val="none"/>
              </w:rPr>
            </w:pPr>
          </w:p>
        </w:tc>
        <w:tc>
          <w:tcPr>
            <w:tcW w:w="643" w:type="pct"/>
            <w:noWrap w:val="0"/>
            <w:vAlign w:val="top"/>
          </w:tcPr>
          <w:p w14:paraId="31B1AB0E">
            <w:pPr>
              <w:spacing w:line="440" w:lineRule="exact"/>
              <w:jc w:val="center"/>
              <w:rPr>
                <w:rFonts w:hint="eastAsia" w:ascii="宋体" w:hAnsi="宋体" w:eastAsia="宋体" w:cs="宋体"/>
                <w:color w:val="auto"/>
                <w:highlight w:val="none"/>
              </w:rPr>
            </w:pPr>
          </w:p>
        </w:tc>
        <w:tc>
          <w:tcPr>
            <w:tcW w:w="627" w:type="pct"/>
            <w:noWrap w:val="0"/>
            <w:vAlign w:val="top"/>
          </w:tcPr>
          <w:p w14:paraId="237E968C">
            <w:pPr>
              <w:spacing w:line="440" w:lineRule="exact"/>
              <w:jc w:val="center"/>
              <w:rPr>
                <w:rFonts w:hint="eastAsia" w:ascii="宋体" w:hAnsi="宋体" w:eastAsia="宋体" w:cs="宋体"/>
                <w:color w:val="auto"/>
                <w:highlight w:val="none"/>
              </w:rPr>
            </w:pPr>
          </w:p>
        </w:tc>
        <w:tc>
          <w:tcPr>
            <w:tcW w:w="621" w:type="pct"/>
            <w:noWrap w:val="0"/>
            <w:vAlign w:val="top"/>
          </w:tcPr>
          <w:p w14:paraId="59160201">
            <w:pPr>
              <w:spacing w:line="440" w:lineRule="exact"/>
              <w:jc w:val="center"/>
              <w:rPr>
                <w:rFonts w:hint="eastAsia" w:ascii="宋体" w:hAnsi="宋体" w:eastAsia="宋体" w:cs="宋体"/>
                <w:color w:val="auto"/>
                <w:highlight w:val="none"/>
              </w:rPr>
            </w:pPr>
          </w:p>
        </w:tc>
        <w:tc>
          <w:tcPr>
            <w:tcW w:w="392" w:type="pct"/>
            <w:noWrap w:val="0"/>
            <w:vAlign w:val="top"/>
          </w:tcPr>
          <w:p w14:paraId="01D2D170">
            <w:pPr>
              <w:spacing w:line="440" w:lineRule="exact"/>
              <w:jc w:val="center"/>
              <w:rPr>
                <w:rFonts w:hint="eastAsia" w:ascii="宋体" w:hAnsi="宋体" w:eastAsia="宋体" w:cs="宋体"/>
                <w:color w:val="auto"/>
                <w:highlight w:val="none"/>
              </w:rPr>
            </w:pPr>
          </w:p>
        </w:tc>
      </w:tr>
      <w:tr w14:paraId="6E76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69" w:type="pct"/>
            <w:noWrap w:val="0"/>
            <w:vAlign w:val="top"/>
          </w:tcPr>
          <w:p w14:paraId="395DB473">
            <w:pPr>
              <w:spacing w:line="440" w:lineRule="exact"/>
              <w:jc w:val="center"/>
              <w:rPr>
                <w:rFonts w:hint="eastAsia" w:ascii="宋体" w:hAnsi="宋体" w:eastAsia="宋体" w:cs="宋体"/>
                <w:color w:val="auto"/>
                <w:highlight w:val="none"/>
              </w:rPr>
            </w:pPr>
          </w:p>
        </w:tc>
        <w:tc>
          <w:tcPr>
            <w:tcW w:w="753" w:type="pct"/>
            <w:noWrap w:val="0"/>
            <w:vAlign w:val="top"/>
          </w:tcPr>
          <w:p w14:paraId="028FA1F6">
            <w:pPr>
              <w:spacing w:line="440" w:lineRule="exact"/>
              <w:jc w:val="center"/>
              <w:rPr>
                <w:rFonts w:hint="eastAsia" w:ascii="宋体" w:hAnsi="宋体" w:eastAsia="宋体" w:cs="宋体"/>
                <w:color w:val="auto"/>
                <w:highlight w:val="none"/>
              </w:rPr>
            </w:pPr>
          </w:p>
        </w:tc>
        <w:tc>
          <w:tcPr>
            <w:tcW w:w="654" w:type="pct"/>
            <w:noWrap w:val="0"/>
            <w:vAlign w:val="top"/>
          </w:tcPr>
          <w:p w14:paraId="1E73F88A">
            <w:pPr>
              <w:spacing w:line="440" w:lineRule="exact"/>
              <w:jc w:val="center"/>
              <w:rPr>
                <w:rFonts w:hint="eastAsia" w:ascii="宋体" w:hAnsi="宋体" w:eastAsia="宋体" w:cs="宋体"/>
                <w:color w:val="auto"/>
                <w:highlight w:val="none"/>
              </w:rPr>
            </w:pPr>
          </w:p>
        </w:tc>
        <w:tc>
          <w:tcPr>
            <w:tcW w:w="434" w:type="pct"/>
            <w:noWrap w:val="0"/>
            <w:vAlign w:val="top"/>
          </w:tcPr>
          <w:p w14:paraId="5669B440">
            <w:pPr>
              <w:spacing w:line="440" w:lineRule="exact"/>
              <w:jc w:val="center"/>
              <w:rPr>
                <w:rFonts w:hint="eastAsia" w:ascii="宋体" w:hAnsi="宋体" w:eastAsia="宋体" w:cs="宋体"/>
                <w:color w:val="auto"/>
                <w:highlight w:val="none"/>
              </w:rPr>
            </w:pPr>
          </w:p>
        </w:tc>
        <w:tc>
          <w:tcPr>
            <w:tcW w:w="404" w:type="pct"/>
            <w:noWrap w:val="0"/>
            <w:vAlign w:val="top"/>
          </w:tcPr>
          <w:p w14:paraId="172C8F37">
            <w:pPr>
              <w:spacing w:line="440" w:lineRule="exact"/>
              <w:jc w:val="center"/>
              <w:rPr>
                <w:rFonts w:hint="eastAsia" w:ascii="宋体" w:hAnsi="宋体" w:eastAsia="宋体" w:cs="宋体"/>
                <w:color w:val="auto"/>
                <w:highlight w:val="none"/>
              </w:rPr>
            </w:pPr>
          </w:p>
        </w:tc>
        <w:tc>
          <w:tcPr>
            <w:tcW w:w="643" w:type="pct"/>
            <w:noWrap w:val="0"/>
            <w:vAlign w:val="top"/>
          </w:tcPr>
          <w:p w14:paraId="67B6640F">
            <w:pPr>
              <w:spacing w:line="440" w:lineRule="exact"/>
              <w:jc w:val="center"/>
              <w:rPr>
                <w:rFonts w:hint="eastAsia" w:ascii="宋体" w:hAnsi="宋体" w:eastAsia="宋体" w:cs="宋体"/>
                <w:color w:val="auto"/>
                <w:highlight w:val="none"/>
              </w:rPr>
            </w:pPr>
          </w:p>
        </w:tc>
        <w:tc>
          <w:tcPr>
            <w:tcW w:w="627" w:type="pct"/>
            <w:noWrap w:val="0"/>
            <w:vAlign w:val="top"/>
          </w:tcPr>
          <w:p w14:paraId="6CA7467B">
            <w:pPr>
              <w:spacing w:line="440" w:lineRule="exact"/>
              <w:jc w:val="center"/>
              <w:rPr>
                <w:rFonts w:hint="eastAsia" w:ascii="宋体" w:hAnsi="宋体" w:eastAsia="宋体" w:cs="宋体"/>
                <w:color w:val="auto"/>
                <w:highlight w:val="none"/>
              </w:rPr>
            </w:pPr>
          </w:p>
        </w:tc>
        <w:tc>
          <w:tcPr>
            <w:tcW w:w="621" w:type="pct"/>
            <w:noWrap w:val="0"/>
            <w:vAlign w:val="top"/>
          </w:tcPr>
          <w:p w14:paraId="56D99EBE">
            <w:pPr>
              <w:spacing w:line="440" w:lineRule="exact"/>
              <w:jc w:val="center"/>
              <w:rPr>
                <w:rFonts w:hint="eastAsia" w:ascii="宋体" w:hAnsi="宋体" w:eastAsia="宋体" w:cs="宋体"/>
                <w:color w:val="auto"/>
                <w:highlight w:val="none"/>
              </w:rPr>
            </w:pPr>
          </w:p>
        </w:tc>
        <w:tc>
          <w:tcPr>
            <w:tcW w:w="392" w:type="pct"/>
            <w:noWrap w:val="0"/>
            <w:vAlign w:val="top"/>
          </w:tcPr>
          <w:p w14:paraId="597BE59D">
            <w:pPr>
              <w:spacing w:line="440" w:lineRule="exact"/>
              <w:jc w:val="center"/>
              <w:rPr>
                <w:rFonts w:hint="eastAsia" w:ascii="宋体" w:hAnsi="宋体" w:eastAsia="宋体" w:cs="宋体"/>
                <w:color w:val="auto"/>
                <w:highlight w:val="none"/>
              </w:rPr>
            </w:pPr>
          </w:p>
        </w:tc>
      </w:tr>
    </w:tbl>
    <w:p w14:paraId="38E6A78B">
      <w:pPr>
        <w:pStyle w:val="11"/>
        <w:spacing w:after="0" w:line="360" w:lineRule="auto"/>
        <w:rPr>
          <w:rFonts w:hint="eastAsia" w:ascii="宋体" w:hAnsi="宋体" w:eastAsia="宋体" w:cs="宋体"/>
          <w:color w:val="auto"/>
          <w:highlight w:val="none"/>
        </w:rPr>
      </w:pPr>
    </w:p>
    <w:p w14:paraId="5D7CB47D">
      <w:pPr>
        <w:pStyle w:val="11"/>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注：1、本表按“商务部分评分标准”中要求填写，并在表后附</w:t>
      </w:r>
      <w:r>
        <w:rPr>
          <w:rFonts w:hint="default" w:ascii="宋体" w:hAnsi="宋体" w:eastAsia="宋体" w:cs="宋体"/>
          <w:b w:val="0"/>
          <w:bCs w:val="0"/>
          <w:color w:val="auto"/>
          <w:sz w:val="21"/>
          <w:szCs w:val="21"/>
          <w:highlight w:val="none"/>
          <w:lang w:val="en-US" w:eastAsia="zh-CN"/>
        </w:rPr>
        <w:t>以上人员身份证、相关的证明材料及投标人为其缴纳的近3个月内（不含开标时间当月）任意1个月的社保证明复印件，以上资料加盖</w:t>
      </w:r>
      <w:r>
        <w:rPr>
          <w:rFonts w:hint="eastAsia" w:ascii="宋体" w:hAnsi="宋体" w:cs="宋体"/>
          <w:b w:val="0"/>
          <w:bCs w:val="0"/>
          <w:color w:val="auto"/>
          <w:sz w:val="21"/>
          <w:szCs w:val="21"/>
          <w:highlight w:val="none"/>
          <w:lang w:val="en-US" w:eastAsia="zh-CN"/>
        </w:rPr>
        <w:t>投标人单位</w:t>
      </w:r>
      <w:r>
        <w:rPr>
          <w:rFonts w:hint="default" w:ascii="宋体" w:hAnsi="宋体" w:eastAsia="宋体" w:cs="宋体"/>
          <w:b w:val="0"/>
          <w:bCs w:val="0"/>
          <w:color w:val="auto"/>
          <w:sz w:val="21"/>
          <w:szCs w:val="21"/>
          <w:highlight w:val="none"/>
          <w:lang w:val="en-US" w:eastAsia="zh-CN"/>
        </w:rPr>
        <w:t>公章，否则不得分</w:t>
      </w:r>
      <w:r>
        <w:rPr>
          <w:rFonts w:hint="eastAsia" w:ascii="宋体" w:hAnsi="宋体" w:eastAsia="宋体" w:cs="宋体"/>
          <w:color w:val="auto"/>
          <w:highlight w:val="none"/>
        </w:rPr>
        <w:t>。</w:t>
      </w:r>
    </w:p>
    <w:p w14:paraId="3CC9DF3D">
      <w:pPr>
        <w:pStyle w:val="11"/>
        <w:numPr>
          <w:ilvl w:val="0"/>
          <w:numId w:val="20"/>
        </w:numPr>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本表投标人可以根据自身情况修改（增加行数）。</w:t>
      </w:r>
    </w:p>
    <w:p w14:paraId="1221F132">
      <w:pPr>
        <w:pStyle w:val="11"/>
        <w:numPr>
          <w:ilvl w:val="0"/>
          <w:numId w:val="20"/>
        </w:numPr>
        <w:spacing w:after="0"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须提供服务团队生产作业人员排班表。</w:t>
      </w:r>
    </w:p>
    <w:p w14:paraId="69C9333F">
      <w:pPr>
        <w:pStyle w:val="11"/>
        <w:rPr>
          <w:rFonts w:hint="eastAsia" w:ascii="宋体" w:hAnsi="宋体" w:eastAsia="宋体" w:cs="宋体"/>
          <w:b/>
          <w:color w:val="auto"/>
          <w:sz w:val="28"/>
          <w:szCs w:val="28"/>
          <w:highlight w:val="none"/>
        </w:rPr>
      </w:pPr>
    </w:p>
    <w:p w14:paraId="4C8AA6E1">
      <w:pPr>
        <w:pStyle w:val="11"/>
        <w:rPr>
          <w:rFonts w:hint="eastAsia" w:ascii="宋体" w:hAnsi="宋体" w:eastAsia="宋体" w:cs="宋体"/>
          <w:b/>
          <w:color w:val="auto"/>
          <w:sz w:val="28"/>
          <w:szCs w:val="28"/>
          <w:highlight w:val="none"/>
        </w:rPr>
      </w:pPr>
    </w:p>
    <w:p w14:paraId="4944B7BF">
      <w:pPr>
        <w:pStyle w:val="11"/>
        <w:rPr>
          <w:rFonts w:hint="eastAsia" w:ascii="宋体" w:hAnsi="宋体" w:eastAsia="宋体" w:cs="宋体"/>
          <w:b/>
          <w:color w:val="auto"/>
          <w:sz w:val="28"/>
          <w:szCs w:val="28"/>
          <w:highlight w:val="none"/>
        </w:rPr>
      </w:pPr>
    </w:p>
    <w:p w14:paraId="2F4C02FB">
      <w:pPr>
        <w:pStyle w:val="11"/>
        <w:rPr>
          <w:rFonts w:hint="eastAsia" w:ascii="宋体" w:hAnsi="宋体" w:eastAsia="宋体" w:cs="宋体"/>
          <w:b/>
          <w:color w:val="auto"/>
          <w:sz w:val="28"/>
          <w:szCs w:val="28"/>
          <w:highlight w:val="none"/>
        </w:rPr>
      </w:pPr>
    </w:p>
    <w:p w14:paraId="1AC0FB23">
      <w:pPr>
        <w:pStyle w:val="11"/>
        <w:rPr>
          <w:rFonts w:hint="eastAsia" w:ascii="宋体" w:hAnsi="宋体" w:eastAsia="宋体" w:cs="宋体"/>
          <w:b/>
          <w:color w:val="auto"/>
          <w:sz w:val="28"/>
          <w:szCs w:val="28"/>
          <w:highlight w:val="none"/>
        </w:rPr>
      </w:pPr>
    </w:p>
    <w:p w14:paraId="7FCB028B">
      <w:pPr>
        <w:pStyle w:val="11"/>
        <w:rPr>
          <w:rFonts w:hint="eastAsia" w:ascii="宋体" w:hAnsi="宋体" w:eastAsia="宋体" w:cs="宋体"/>
          <w:b/>
          <w:color w:val="auto"/>
          <w:sz w:val="28"/>
          <w:szCs w:val="28"/>
          <w:highlight w:val="none"/>
        </w:rPr>
      </w:pPr>
    </w:p>
    <w:p w14:paraId="0E52F758">
      <w:pPr>
        <w:pStyle w:val="11"/>
        <w:rPr>
          <w:rFonts w:hint="eastAsia" w:ascii="宋体" w:hAnsi="宋体" w:eastAsia="宋体" w:cs="宋体"/>
          <w:b/>
          <w:color w:val="auto"/>
          <w:sz w:val="28"/>
          <w:szCs w:val="28"/>
          <w:highlight w:val="none"/>
        </w:rPr>
      </w:pPr>
    </w:p>
    <w:p w14:paraId="3595A767">
      <w:pPr>
        <w:pStyle w:val="11"/>
        <w:rPr>
          <w:rFonts w:hint="eastAsia" w:ascii="宋体" w:hAnsi="宋体" w:eastAsia="宋体" w:cs="宋体"/>
          <w:b/>
          <w:color w:val="auto"/>
          <w:sz w:val="28"/>
          <w:szCs w:val="28"/>
          <w:highlight w:val="none"/>
        </w:rPr>
      </w:pPr>
    </w:p>
    <w:p w14:paraId="63C7251E">
      <w:pPr>
        <w:pStyle w:val="11"/>
        <w:rPr>
          <w:rFonts w:hint="eastAsia" w:ascii="宋体" w:hAnsi="宋体" w:eastAsia="宋体" w:cs="宋体"/>
          <w:b/>
          <w:color w:val="auto"/>
          <w:sz w:val="28"/>
          <w:szCs w:val="28"/>
          <w:highlight w:val="none"/>
        </w:rPr>
      </w:pPr>
    </w:p>
    <w:p w14:paraId="2881B1C8">
      <w:pPr>
        <w:pStyle w:val="11"/>
        <w:rPr>
          <w:rFonts w:hint="eastAsia" w:ascii="宋体" w:hAnsi="宋体" w:eastAsia="宋体" w:cs="宋体"/>
          <w:b/>
          <w:color w:val="auto"/>
          <w:sz w:val="28"/>
          <w:szCs w:val="28"/>
          <w:highlight w:val="none"/>
        </w:rPr>
      </w:pPr>
    </w:p>
    <w:p w14:paraId="1F7E96F0">
      <w:pPr>
        <w:pStyle w:val="11"/>
        <w:rPr>
          <w:rFonts w:hint="eastAsia" w:ascii="宋体" w:hAnsi="宋体" w:eastAsia="宋体" w:cs="宋体"/>
          <w:b/>
          <w:color w:val="auto"/>
          <w:sz w:val="28"/>
          <w:szCs w:val="28"/>
          <w:highlight w:val="none"/>
        </w:rPr>
      </w:pPr>
    </w:p>
    <w:p w14:paraId="20A2F6DA">
      <w:pPr>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主要人员简历表</w:t>
      </w:r>
    </w:p>
    <w:p w14:paraId="3F08F3BA">
      <w:pPr>
        <w:spacing w:line="360" w:lineRule="exact"/>
        <w:jc w:val="center"/>
        <w:rPr>
          <w:rFonts w:hint="eastAsia" w:ascii="宋体" w:hAnsi="宋体" w:eastAsia="宋体" w:cs="宋体"/>
          <w:b/>
          <w:color w:val="auto"/>
          <w:sz w:val="28"/>
          <w:szCs w:val="28"/>
          <w:highlight w:val="none"/>
        </w:rPr>
      </w:pPr>
      <w:bookmarkStart w:id="107" w:name="_Toc300835232"/>
      <w:bookmarkStart w:id="108" w:name="_Toc179632825"/>
      <w:bookmarkStart w:id="109" w:name="_Toc482188668"/>
      <w:bookmarkStart w:id="110" w:name="_Toc385943079"/>
      <w:bookmarkStart w:id="111" w:name="_Toc492300541"/>
      <w:bookmarkStart w:id="112" w:name="_Toc359594249"/>
      <w:bookmarkStart w:id="113" w:name="_Toc391394125"/>
      <w:bookmarkStart w:id="114" w:name="_Toc152042594"/>
      <w:bookmarkStart w:id="115" w:name="_Toc384308390"/>
      <w:bookmarkStart w:id="116" w:name="_Toc144974873"/>
      <w:bookmarkStart w:id="117" w:name="_Toc152045805"/>
      <w:bookmarkStart w:id="118" w:name="_Toc370676440"/>
    </w:p>
    <w:bookmarkEnd w:id="107"/>
    <w:bookmarkEnd w:id="108"/>
    <w:bookmarkEnd w:id="109"/>
    <w:bookmarkEnd w:id="110"/>
    <w:bookmarkEnd w:id="111"/>
    <w:bookmarkEnd w:id="112"/>
    <w:bookmarkEnd w:id="113"/>
    <w:bookmarkEnd w:id="114"/>
    <w:bookmarkEnd w:id="115"/>
    <w:bookmarkEnd w:id="116"/>
    <w:bookmarkEnd w:id="117"/>
    <w:bookmarkEnd w:id="118"/>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416"/>
        <w:gridCol w:w="804"/>
        <w:gridCol w:w="1116"/>
        <w:gridCol w:w="1248"/>
        <w:gridCol w:w="824"/>
        <w:gridCol w:w="1471"/>
        <w:gridCol w:w="470"/>
        <w:gridCol w:w="2219"/>
      </w:tblGrid>
      <w:tr w14:paraId="5FF5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5" w:type="pct"/>
            <w:noWrap w:val="0"/>
            <w:vAlign w:val="center"/>
          </w:tcPr>
          <w:p w14:paraId="63EF7CEB">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613" w:type="pct"/>
            <w:gridSpan w:val="2"/>
            <w:noWrap w:val="0"/>
            <w:vAlign w:val="center"/>
          </w:tcPr>
          <w:p w14:paraId="5F77F39F">
            <w:pPr>
              <w:spacing w:line="440" w:lineRule="exact"/>
              <w:jc w:val="center"/>
              <w:rPr>
                <w:rFonts w:hint="eastAsia" w:ascii="宋体" w:hAnsi="宋体" w:eastAsia="宋体" w:cs="宋体"/>
                <w:color w:val="auto"/>
                <w:highlight w:val="none"/>
              </w:rPr>
            </w:pPr>
          </w:p>
        </w:tc>
        <w:tc>
          <w:tcPr>
            <w:tcW w:w="561" w:type="pct"/>
            <w:noWrap w:val="0"/>
            <w:vAlign w:val="center"/>
          </w:tcPr>
          <w:p w14:paraId="62DA8E4D">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626" w:type="pct"/>
            <w:noWrap w:val="0"/>
            <w:vAlign w:val="center"/>
          </w:tcPr>
          <w:p w14:paraId="77E10F66">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17FCC5DA">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1113" w:type="pct"/>
            <w:noWrap w:val="0"/>
            <w:vAlign w:val="center"/>
          </w:tcPr>
          <w:p w14:paraId="638972A2">
            <w:pPr>
              <w:spacing w:line="440" w:lineRule="exact"/>
              <w:jc w:val="center"/>
              <w:rPr>
                <w:rFonts w:hint="eastAsia" w:ascii="宋体" w:hAnsi="宋体" w:eastAsia="宋体" w:cs="宋体"/>
                <w:color w:val="auto"/>
                <w:highlight w:val="none"/>
              </w:rPr>
            </w:pPr>
          </w:p>
        </w:tc>
      </w:tr>
      <w:tr w14:paraId="14CF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13DAF8F4">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613" w:type="pct"/>
            <w:gridSpan w:val="2"/>
            <w:noWrap w:val="0"/>
            <w:vAlign w:val="center"/>
          </w:tcPr>
          <w:p w14:paraId="47532020">
            <w:pPr>
              <w:spacing w:line="440" w:lineRule="exact"/>
              <w:jc w:val="center"/>
              <w:rPr>
                <w:rFonts w:hint="eastAsia" w:ascii="宋体" w:hAnsi="宋体" w:eastAsia="宋体" w:cs="宋体"/>
                <w:color w:val="auto"/>
                <w:highlight w:val="none"/>
              </w:rPr>
            </w:pPr>
          </w:p>
        </w:tc>
        <w:tc>
          <w:tcPr>
            <w:tcW w:w="561" w:type="pct"/>
            <w:noWrap w:val="0"/>
            <w:vAlign w:val="center"/>
          </w:tcPr>
          <w:p w14:paraId="54314F04">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626" w:type="pct"/>
            <w:noWrap w:val="0"/>
            <w:vAlign w:val="center"/>
          </w:tcPr>
          <w:p w14:paraId="3F13B5AA">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075C8444">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拟在本项目任职</w:t>
            </w:r>
          </w:p>
        </w:tc>
        <w:tc>
          <w:tcPr>
            <w:tcW w:w="1113" w:type="pct"/>
            <w:noWrap w:val="0"/>
            <w:vAlign w:val="center"/>
          </w:tcPr>
          <w:p w14:paraId="122E84F3">
            <w:pPr>
              <w:spacing w:line="440" w:lineRule="exact"/>
              <w:jc w:val="center"/>
              <w:rPr>
                <w:rFonts w:hint="eastAsia" w:ascii="宋体" w:hAnsi="宋体" w:eastAsia="宋体" w:cs="宋体"/>
                <w:color w:val="auto"/>
                <w:highlight w:val="none"/>
              </w:rPr>
            </w:pPr>
          </w:p>
        </w:tc>
      </w:tr>
      <w:tr w14:paraId="7B9B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697AF75D">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1801" w:type="pct"/>
            <w:gridSpan w:val="4"/>
            <w:noWrap w:val="0"/>
            <w:vAlign w:val="center"/>
          </w:tcPr>
          <w:p w14:paraId="03159EE6">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216C11CF">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从事相关工作年限</w:t>
            </w:r>
          </w:p>
        </w:tc>
        <w:tc>
          <w:tcPr>
            <w:tcW w:w="1113" w:type="pct"/>
            <w:noWrap w:val="0"/>
            <w:vAlign w:val="center"/>
          </w:tcPr>
          <w:p w14:paraId="4913E13B">
            <w:pPr>
              <w:spacing w:line="440" w:lineRule="exact"/>
              <w:jc w:val="center"/>
              <w:rPr>
                <w:rFonts w:hint="eastAsia" w:ascii="宋体" w:hAnsi="宋体" w:eastAsia="宋体" w:cs="宋体"/>
                <w:color w:val="auto"/>
                <w:highlight w:val="none"/>
              </w:rPr>
            </w:pPr>
          </w:p>
        </w:tc>
      </w:tr>
      <w:tr w14:paraId="01A8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5" w:type="pct"/>
            <w:noWrap w:val="0"/>
            <w:vAlign w:val="center"/>
          </w:tcPr>
          <w:p w14:paraId="55E8C645">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4304" w:type="pct"/>
            <w:gridSpan w:val="8"/>
            <w:noWrap w:val="0"/>
            <w:vAlign w:val="center"/>
          </w:tcPr>
          <w:p w14:paraId="582485A2">
            <w:pPr>
              <w:spacing w:before="100" w:beforeAutospacing="1" w:after="100" w:afterAutospacing="1" w:line="440" w:lineRule="exact"/>
              <w:ind w:firstLine="1155" w:firstLineChars="550"/>
              <w:rPr>
                <w:rFonts w:hint="eastAsia" w:ascii="宋体" w:hAnsi="宋体" w:eastAsia="宋体" w:cs="宋体"/>
                <w:color w:val="auto"/>
                <w:highlight w:val="none"/>
              </w:rPr>
            </w:pPr>
            <w:r>
              <w:rPr>
                <w:rFonts w:hint="eastAsia" w:ascii="宋体" w:hAnsi="宋体" w:eastAsia="宋体" w:cs="宋体"/>
                <w:color w:val="auto"/>
                <w:highlight w:val="none"/>
              </w:rPr>
              <w:t>年毕业于            学校        专业</w:t>
            </w:r>
          </w:p>
        </w:tc>
      </w:tr>
      <w:tr w14:paraId="06D6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noWrap w:val="0"/>
            <w:vAlign w:val="center"/>
          </w:tcPr>
          <w:p w14:paraId="7D613EE4">
            <w:pPr>
              <w:spacing w:before="100" w:beforeAutospacing="1" w:after="100" w:afterAutospacing="1"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主要工作经历</w:t>
            </w:r>
          </w:p>
        </w:tc>
      </w:tr>
      <w:tr w14:paraId="2914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4" w:type="pct"/>
            <w:gridSpan w:val="2"/>
            <w:noWrap w:val="0"/>
            <w:vAlign w:val="center"/>
          </w:tcPr>
          <w:p w14:paraId="51379986">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2006" w:type="pct"/>
            <w:gridSpan w:val="4"/>
            <w:noWrap w:val="0"/>
            <w:vAlign w:val="center"/>
          </w:tcPr>
          <w:p w14:paraId="5B15FC26">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参加过的类似项目</w:t>
            </w:r>
          </w:p>
        </w:tc>
        <w:tc>
          <w:tcPr>
            <w:tcW w:w="739" w:type="pct"/>
            <w:noWrap w:val="0"/>
            <w:vAlign w:val="center"/>
          </w:tcPr>
          <w:p w14:paraId="73A9E96B">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1349" w:type="pct"/>
            <w:gridSpan w:val="2"/>
            <w:noWrap w:val="0"/>
            <w:vAlign w:val="center"/>
          </w:tcPr>
          <w:p w14:paraId="28E7858D">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发包人及联系电话</w:t>
            </w:r>
          </w:p>
        </w:tc>
      </w:tr>
      <w:tr w14:paraId="2898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4D325BC3">
            <w:pPr>
              <w:spacing w:line="440" w:lineRule="exact"/>
              <w:rPr>
                <w:rFonts w:hint="eastAsia" w:ascii="宋体" w:hAnsi="宋体" w:eastAsia="宋体" w:cs="宋体"/>
                <w:color w:val="auto"/>
                <w:highlight w:val="none"/>
              </w:rPr>
            </w:pPr>
          </w:p>
        </w:tc>
        <w:tc>
          <w:tcPr>
            <w:tcW w:w="2006" w:type="pct"/>
            <w:gridSpan w:val="4"/>
            <w:noWrap w:val="0"/>
            <w:vAlign w:val="top"/>
          </w:tcPr>
          <w:p w14:paraId="6DA47C91">
            <w:pPr>
              <w:spacing w:line="440" w:lineRule="exact"/>
              <w:rPr>
                <w:rFonts w:hint="eastAsia" w:ascii="宋体" w:hAnsi="宋体" w:eastAsia="宋体" w:cs="宋体"/>
                <w:color w:val="auto"/>
                <w:highlight w:val="none"/>
              </w:rPr>
            </w:pPr>
          </w:p>
        </w:tc>
        <w:tc>
          <w:tcPr>
            <w:tcW w:w="739" w:type="pct"/>
            <w:noWrap w:val="0"/>
            <w:vAlign w:val="top"/>
          </w:tcPr>
          <w:p w14:paraId="7897FE47">
            <w:pPr>
              <w:spacing w:line="440" w:lineRule="exact"/>
              <w:rPr>
                <w:rFonts w:hint="eastAsia" w:ascii="宋体" w:hAnsi="宋体" w:eastAsia="宋体" w:cs="宋体"/>
                <w:color w:val="auto"/>
                <w:highlight w:val="none"/>
              </w:rPr>
            </w:pPr>
          </w:p>
        </w:tc>
        <w:tc>
          <w:tcPr>
            <w:tcW w:w="1349" w:type="pct"/>
            <w:gridSpan w:val="2"/>
            <w:noWrap w:val="0"/>
            <w:vAlign w:val="top"/>
          </w:tcPr>
          <w:p w14:paraId="2F982FA6">
            <w:pPr>
              <w:spacing w:line="440" w:lineRule="exact"/>
              <w:rPr>
                <w:rFonts w:hint="eastAsia" w:ascii="宋体" w:hAnsi="宋体" w:eastAsia="宋体" w:cs="宋体"/>
                <w:color w:val="auto"/>
                <w:highlight w:val="none"/>
              </w:rPr>
            </w:pPr>
          </w:p>
        </w:tc>
      </w:tr>
      <w:tr w14:paraId="6739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435F07C8">
            <w:pPr>
              <w:spacing w:line="440" w:lineRule="exact"/>
              <w:rPr>
                <w:rFonts w:hint="eastAsia" w:ascii="宋体" w:hAnsi="宋体" w:eastAsia="宋体" w:cs="宋体"/>
                <w:color w:val="auto"/>
                <w:highlight w:val="none"/>
              </w:rPr>
            </w:pPr>
          </w:p>
        </w:tc>
        <w:tc>
          <w:tcPr>
            <w:tcW w:w="2006" w:type="pct"/>
            <w:gridSpan w:val="4"/>
            <w:noWrap w:val="0"/>
            <w:vAlign w:val="top"/>
          </w:tcPr>
          <w:p w14:paraId="2E5C3383">
            <w:pPr>
              <w:spacing w:line="440" w:lineRule="exact"/>
              <w:rPr>
                <w:rFonts w:hint="eastAsia" w:ascii="宋体" w:hAnsi="宋体" w:eastAsia="宋体" w:cs="宋体"/>
                <w:color w:val="auto"/>
                <w:highlight w:val="none"/>
              </w:rPr>
            </w:pPr>
          </w:p>
        </w:tc>
        <w:tc>
          <w:tcPr>
            <w:tcW w:w="739" w:type="pct"/>
            <w:noWrap w:val="0"/>
            <w:vAlign w:val="top"/>
          </w:tcPr>
          <w:p w14:paraId="193750A5">
            <w:pPr>
              <w:spacing w:line="440" w:lineRule="exact"/>
              <w:rPr>
                <w:rFonts w:hint="eastAsia" w:ascii="宋体" w:hAnsi="宋体" w:eastAsia="宋体" w:cs="宋体"/>
                <w:color w:val="auto"/>
                <w:highlight w:val="none"/>
              </w:rPr>
            </w:pPr>
          </w:p>
        </w:tc>
        <w:tc>
          <w:tcPr>
            <w:tcW w:w="1349" w:type="pct"/>
            <w:gridSpan w:val="2"/>
            <w:noWrap w:val="0"/>
            <w:vAlign w:val="top"/>
          </w:tcPr>
          <w:p w14:paraId="40E7ED6A">
            <w:pPr>
              <w:spacing w:line="440" w:lineRule="exact"/>
              <w:rPr>
                <w:rFonts w:hint="eastAsia" w:ascii="宋体" w:hAnsi="宋体" w:eastAsia="宋体" w:cs="宋体"/>
                <w:color w:val="auto"/>
                <w:highlight w:val="none"/>
              </w:rPr>
            </w:pPr>
          </w:p>
        </w:tc>
      </w:tr>
      <w:tr w14:paraId="3BD8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2D32F037">
            <w:pPr>
              <w:spacing w:line="440" w:lineRule="exact"/>
              <w:rPr>
                <w:rFonts w:hint="eastAsia" w:ascii="宋体" w:hAnsi="宋体" w:eastAsia="宋体" w:cs="宋体"/>
                <w:color w:val="auto"/>
                <w:highlight w:val="none"/>
              </w:rPr>
            </w:pPr>
          </w:p>
        </w:tc>
        <w:tc>
          <w:tcPr>
            <w:tcW w:w="2006" w:type="pct"/>
            <w:gridSpan w:val="4"/>
            <w:noWrap w:val="0"/>
            <w:vAlign w:val="top"/>
          </w:tcPr>
          <w:p w14:paraId="4868A9CA">
            <w:pPr>
              <w:spacing w:line="440" w:lineRule="exact"/>
              <w:rPr>
                <w:rFonts w:hint="eastAsia" w:ascii="宋体" w:hAnsi="宋体" w:eastAsia="宋体" w:cs="宋体"/>
                <w:color w:val="auto"/>
                <w:highlight w:val="none"/>
              </w:rPr>
            </w:pPr>
          </w:p>
        </w:tc>
        <w:tc>
          <w:tcPr>
            <w:tcW w:w="739" w:type="pct"/>
            <w:noWrap w:val="0"/>
            <w:vAlign w:val="top"/>
          </w:tcPr>
          <w:p w14:paraId="75730EB6">
            <w:pPr>
              <w:spacing w:line="440" w:lineRule="exact"/>
              <w:rPr>
                <w:rFonts w:hint="eastAsia" w:ascii="宋体" w:hAnsi="宋体" w:eastAsia="宋体" w:cs="宋体"/>
                <w:color w:val="auto"/>
                <w:highlight w:val="none"/>
              </w:rPr>
            </w:pPr>
          </w:p>
        </w:tc>
        <w:tc>
          <w:tcPr>
            <w:tcW w:w="1349" w:type="pct"/>
            <w:gridSpan w:val="2"/>
            <w:noWrap w:val="0"/>
            <w:vAlign w:val="top"/>
          </w:tcPr>
          <w:p w14:paraId="3B6FC21C">
            <w:pPr>
              <w:spacing w:line="440" w:lineRule="exact"/>
              <w:rPr>
                <w:rFonts w:hint="eastAsia" w:ascii="宋体" w:hAnsi="宋体" w:eastAsia="宋体" w:cs="宋体"/>
                <w:color w:val="auto"/>
                <w:highlight w:val="none"/>
              </w:rPr>
            </w:pPr>
          </w:p>
        </w:tc>
      </w:tr>
      <w:tr w14:paraId="77EE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3C65FC06">
            <w:pPr>
              <w:spacing w:line="440" w:lineRule="exact"/>
              <w:rPr>
                <w:rFonts w:hint="eastAsia" w:ascii="宋体" w:hAnsi="宋体" w:eastAsia="宋体" w:cs="宋体"/>
                <w:color w:val="auto"/>
                <w:highlight w:val="none"/>
              </w:rPr>
            </w:pPr>
          </w:p>
        </w:tc>
        <w:tc>
          <w:tcPr>
            <w:tcW w:w="2006" w:type="pct"/>
            <w:gridSpan w:val="4"/>
            <w:noWrap w:val="0"/>
            <w:vAlign w:val="center"/>
          </w:tcPr>
          <w:p w14:paraId="75FC95C0">
            <w:pPr>
              <w:spacing w:line="440" w:lineRule="exact"/>
              <w:rPr>
                <w:rFonts w:hint="eastAsia" w:ascii="宋体" w:hAnsi="宋体" w:eastAsia="宋体" w:cs="宋体"/>
                <w:color w:val="auto"/>
                <w:highlight w:val="none"/>
              </w:rPr>
            </w:pPr>
          </w:p>
        </w:tc>
        <w:tc>
          <w:tcPr>
            <w:tcW w:w="739" w:type="pct"/>
            <w:noWrap w:val="0"/>
            <w:vAlign w:val="center"/>
          </w:tcPr>
          <w:p w14:paraId="6FD975A3">
            <w:pPr>
              <w:spacing w:line="440" w:lineRule="exact"/>
              <w:rPr>
                <w:rFonts w:hint="eastAsia" w:ascii="宋体" w:hAnsi="宋体" w:eastAsia="宋体" w:cs="宋体"/>
                <w:color w:val="auto"/>
                <w:highlight w:val="none"/>
              </w:rPr>
            </w:pPr>
          </w:p>
        </w:tc>
        <w:tc>
          <w:tcPr>
            <w:tcW w:w="1349" w:type="pct"/>
            <w:gridSpan w:val="2"/>
            <w:noWrap w:val="0"/>
            <w:vAlign w:val="center"/>
          </w:tcPr>
          <w:p w14:paraId="2A8B7A0A">
            <w:pPr>
              <w:spacing w:line="440" w:lineRule="exact"/>
              <w:rPr>
                <w:rFonts w:hint="eastAsia" w:ascii="宋体" w:hAnsi="宋体" w:eastAsia="宋体" w:cs="宋体"/>
                <w:color w:val="auto"/>
                <w:highlight w:val="none"/>
              </w:rPr>
            </w:pPr>
          </w:p>
        </w:tc>
      </w:tr>
      <w:tr w14:paraId="0E92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6A325C94">
            <w:pPr>
              <w:spacing w:line="440" w:lineRule="exact"/>
              <w:rPr>
                <w:rFonts w:hint="eastAsia" w:ascii="宋体" w:hAnsi="宋体" w:eastAsia="宋体" w:cs="宋体"/>
                <w:color w:val="auto"/>
                <w:highlight w:val="none"/>
              </w:rPr>
            </w:pPr>
          </w:p>
        </w:tc>
        <w:tc>
          <w:tcPr>
            <w:tcW w:w="2006" w:type="pct"/>
            <w:gridSpan w:val="4"/>
            <w:noWrap w:val="0"/>
            <w:vAlign w:val="center"/>
          </w:tcPr>
          <w:p w14:paraId="39739410">
            <w:pPr>
              <w:spacing w:line="440" w:lineRule="exact"/>
              <w:rPr>
                <w:rFonts w:hint="eastAsia" w:ascii="宋体" w:hAnsi="宋体" w:eastAsia="宋体" w:cs="宋体"/>
                <w:color w:val="auto"/>
                <w:highlight w:val="none"/>
              </w:rPr>
            </w:pPr>
          </w:p>
        </w:tc>
        <w:tc>
          <w:tcPr>
            <w:tcW w:w="739" w:type="pct"/>
            <w:noWrap w:val="0"/>
            <w:vAlign w:val="center"/>
          </w:tcPr>
          <w:p w14:paraId="410C15F6">
            <w:pPr>
              <w:spacing w:line="440" w:lineRule="exact"/>
              <w:rPr>
                <w:rFonts w:hint="eastAsia" w:ascii="宋体" w:hAnsi="宋体" w:eastAsia="宋体" w:cs="宋体"/>
                <w:color w:val="auto"/>
                <w:highlight w:val="none"/>
              </w:rPr>
            </w:pPr>
          </w:p>
        </w:tc>
        <w:tc>
          <w:tcPr>
            <w:tcW w:w="1349" w:type="pct"/>
            <w:gridSpan w:val="2"/>
            <w:noWrap w:val="0"/>
            <w:vAlign w:val="center"/>
          </w:tcPr>
          <w:p w14:paraId="09B87B59">
            <w:pPr>
              <w:spacing w:line="440" w:lineRule="exact"/>
              <w:rPr>
                <w:rFonts w:hint="eastAsia" w:ascii="宋体" w:hAnsi="宋体" w:eastAsia="宋体" w:cs="宋体"/>
                <w:color w:val="auto"/>
                <w:highlight w:val="none"/>
              </w:rPr>
            </w:pPr>
          </w:p>
        </w:tc>
      </w:tr>
      <w:tr w14:paraId="3BA1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42B7B66B">
            <w:pPr>
              <w:spacing w:line="440" w:lineRule="exact"/>
              <w:rPr>
                <w:rFonts w:hint="eastAsia" w:ascii="宋体" w:hAnsi="宋体" w:eastAsia="宋体" w:cs="宋体"/>
                <w:color w:val="auto"/>
                <w:highlight w:val="none"/>
              </w:rPr>
            </w:pPr>
          </w:p>
        </w:tc>
        <w:tc>
          <w:tcPr>
            <w:tcW w:w="2006" w:type="pct"/>
            <w:gridSpan w:val="4"/>
            <w:noWrap w:val="0"/>
            <w:vAlign w:val="center"/>
          </w:tcPr>
          <w:p w14:paraId="02B2EAF8">
            <w:pPr>
              <w:spacing w:line="440" w:lineRule="exact"/>
              <w:rPr>
                <w:rFonts w:hint="eastAsia" w:ascii="宋体" w:hAnsi="宋体" w:eastAsia="宋体" w:cs="宋体"/>
                <w:color w:val="auto"/>
                <w:highlight w:val="none"/>
              </w:rPr>
            </w:pPr>
          </w:p>
        </w:tc>
        <w:tc>
          <w:tcPr>
            <w:tcW w:w="739" w:type="pct"/>
            <w:noWrap w:val="0"/>
            <w:vAlign w:val="center"/>
          </w:tcPr>
          <w:p w14:paraId="0E8B8B47">
            <w:pPr>
              <w:spacing w:line="440" w:lineRule="exact"/>
              <w:rPr>
                <w:rFonts w:hint="eastAsia" w:ascii="宋体" w:hAnsi="宋体" w:eastAsia="宋体" w:cs="宋体"/>
                <w:color w:val="auto"/>
                <w:highlight w:val="none"/>
              </w:rPr>
            </w:pPr>
          </w:p>
        </w:tc>
        <w:tc>
          <w:tcPr>
            <w:tcW w:w="1349" w:type="pct"/>
            <w:gridSpan w:val="2"/>
            <w:noWrap w:val="0"/>
            <w:vAlign w:val="center"/>
          </w:tcPr>
          <w:p w14:paraId="58D17627">
            <w:pPr>
              <w:spacing w:line="440" w:lineRule="exact"/>
              <w:rPr>
                <w:rFonts w:hint="eastAsia" w:ascii="宋体" w:hAnsi="宋体" w:eastAsia="宋体" w:cs="宋体"/>
                <w:color w:val="auto"/>
                <w:highlight w:val="none"/>
              </w:rPr>
            </w:pPr>
          </w:p>
        </w:tc>
      </w:tr>
    </w:tbl>
    <w:p w14:paraId="4427CFD3">
      <w:pPr>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注：1、本表按“商务部分评分标准”中要求填写，并在表后附</w:t>
      </w:r>
      <w:r>
        <w:rPr>
          <w:rFonts w:hint="default" w:ascii="宋体" w:hAnsi="宋体" w:eastAsia="宋体" w:cs="宋体"/>
          <w:b w:val="0"/>
          <w:bCs w:val="0"/>
          <w:color w:val="auto"/>
          <w:sz w:val="21"/>
          <w:szCs w:val="21"/>
          <w:highlight w:val="none"/>
          <w:lang w:val="en-US" w:eastAsia="zh-CN"/>
        </w:rPr>
        <w:t>以上人员身份证、相关的证明材料及投标人为其缴纳的近3个月内（不含开标时间当月）任意1个月的社保证明复印件，以上资料加盖</w:t>
      </w:r>
      <w:r>
        <w:rPr>
          <w:rFonts w:hint="eastAsia" w:ascii="宋体" w:hAnsi="宋体" w:cs="宋体"/>
          <w:b w:val="0"/>
          <w:bCs w:val="0"/>
          <w:color w:val="auto"/>
          <w:sz w:val="21"/>
          <w:szCs w:val="21"/>
          <w:highlight w:val="none"/>
          <w:lang w:val="en-US" w:eastAsia="zh-CN"/>
        </w:rPr>
        <w:t>投标人单位</w:t>
      </w:r>
      <w:r>
        <w:rPr>
          <w:rFonts w:hint="default" w:ascii="宋体" w:hAnsi="宋体" w:eastAsia="宋体" w:cs="宋体"/>
          <w:b w:val="0"/>
          <w:bCs w:val="0"/>
          <w:color w:val="auto"/>
          <w:sz w:val="21"/>
          <w:szCs w:val="21"/>
          <w:highlight w:val="none"/>
          <w:lang w:val="en-US" w:eastAsia="zh-CN"/>
        </w:rPr>
        <w:t>公章，否则不得分</w:t>
      </w:r>
      <w:r>
        <w:rPr>
          <w:rFonts w:hint="eastAsia" w:ascii="宋体" w:hAnsi="宋体" w:eastAsia="宋体" w:cs="宋体"/>
          <w:color w:val="auto"/>
          <w:highlight w:val="none"/>
        </w:rPr>
        <w:t>。</w:t>
      </w:r>
    </w:p>
    <w:p w14:paraId="416E482C">
      <w:pPr>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2、本表投标人可以根据自身情况修改（增加行数）。</w:t>
      </w:r>
    </w:p>
    <w:p w14:paraId="1EDD8ADB">
      <w:pPr>
        <w:spacing w:before="0" w:beforeAutospacing="0" w:after="0" w:afterAutospacing="0"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F53F09">
      <w:pPr>
        <w:spacing w:before="0" w:beforeAutospacing="0" w:after="0" w:afterAutospacing="0" w:line="360" w:lineRule="exact"/>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rPr>
        <w:t>生产作业人员排班表</w:t>
      </w:r>
    </w:p>
    <w:p w14:paraId="677D42D8">
      <w:pPr>
        <w:spacing w:before="100" w:beforeAutospacing="1" w:after="100" w:afterAutospacing="1" w:line="360"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（工作排班表格式自拟）</w:t>
      </w:r>
    </w:p>
    <w:p w14:paraId="3F1E7E7A">
      <w:pPr>
        <w:spacing w:before="100" w:beforeAutospacing="1" w:after="100" w:afterAutospacing="1" w:line="360" w:lineRule="auto"/>
        <w:jc w:val="left"/>
        <w:rPr>
          <w:rFonts w:hint="eastAsia" w:ascii="宋体" w:hAnsi="宋体" w:cs="宋体"/>
          <w:color w:val="auto"/>
          <w:highlight w:val="none"/>
          <w:lang w:val="en-US" w:eastAsia="zh-CN"/>
        </w:rPr>
      </w:pPr>
    </w:p>
    <w:p w14:paraId="46258FC2">
      <w:pPr>
        <w:spacing w:before="100" w:beforeAutospacing="1" w:after="100" w:afterAutospacing="1" w:line="360" w:lineRule="auto"/>
        <w:jc w:val="left"/>
        <w:rPr>
          <w:rFonts w:hint="eastAsia" w:ascii="宋体" w:hAnsi="宋体" w:cs="宋体"/>
          <w:color w:val="auto"/>
          <w:highlight w:val="none"/>
          <w:lang w:val="en-US" w:eastAsia="zh-CN"/>
        </w:rPr>
      </w:pPr>
    </w:p>
    <w:p w14:paraId="6034A574">
      <w:pPr>
        <w:spacing w:before="100" w:beforeAutospacing="1" w:after="100" w:afterAutospacing="1" w:line="360" w:lineRule="auto"/>
        <w:jc w:val="left"/>
        <w:rPr>
          <w:rFonts w:hint="eastAsia" w:ascii="宋体" w:hAnsi="宋体" w:cs="宋体"/>
          <w:color w:val="auto"/>
          <w:highlight w:val="none"/>
          <w:lang w:val="en-US" w:eastAsia="zh-CN"/>
        </w:rPr>
      </w:pPr>
    </w:p>
    <w:p w14:paraId="16BF6DCF">
      <w:pPr>
        <w:spacing w:before="100" w:beforeAutospacing="1" w:after="100" w:afterAutospacing="1" w:line="360" w:lineRule="auto"/>
        <w:jc w:val="left"/>
        <w:rPr>
          <w:rFonts w:hint="eastAsia" w:ascii="宋体" w:hAnsi="宋体" w:cs="宋体"/>
          <w:color w:val="auto"/>
          <w:highlight w:val="none"/>
          <w:lang w:val="en-US" w:eastAsia="zh-CN"/>
        </w:rPr>
      </w:pPr>
    </w:p>
    <w:p w14:paraId="61C6BA1C">
      <w:pPr>
        <w:spacing w:before="100" w:beforeAutospacing="1" w:after="100" w:afterAutospacing="1" w:line="360" w:lineRule="auto"/>
        <w:jc w:val="left"/>
        <w:rPr>
          <w:rFonts w:hint="eastAsia" w:ascii="宋体" w:hAnsi="宋体" w:cs="宋体"/>
          <w:color w:val="auto"/>
          <w:highlight w:val="none"/>
          <w:lang w:val="en-US" w:eastAsia="zh-CN"/>
        </w:rPr>
      </w:pPr>
    </w:p>
    <w:p w14:paraId="26126A75">
      <w:pPr>
        <w:spacing w:before="100" w:beforeAutospacing="1" w:after="100" w:afterAutospacing="1" w:line="360" w:lineRule="auto"/>
        <w:jc w:val="left"/>
        <w:rPr>
          <w:rFonts w:hint="eastAsia" w:ascii="宋体" w:hAnsi="宋体" w:cs="宋体"/>
          <w:color w:val="auto"/>
          <w:highlight w:val="none"/>
          <w:lang w:val="en-US" w:eastAsia="zh-CN"/>
        </w:rPr>
      </w:pPr>
    </w:p>
    <w:p w14:paraId="35BA9AEC">
      <w:pPr>
        <w:spacing w:before="100" w:beforeAutospacing="1" w:after="100" w:afterAutospacing="1" w:line="360" w:lineRule="auto"/>
        <w:jc w:val="left"/>
        <w:rPr>
          <w:rFonts w:hint="eastAsia" w:ascii="宋体" w:hAnsi="宋体" w:cs="宋体"/>
          <w:color w:val="auto"/>
          <w:highlight w:val="none"/>
          <w:lang w:val="en-US" w:eastAsia="zh-CN"/>
        </w:rPr>
      </w:pPr>
    </w:p>
    <w:p w14:paraId="1BBD68B7">
      <w:pPr>
        <w:spacing w:before="100" w:beforeAutospacing="1" w:after="100" w:afterAutospacing="1" w:line="360" w:lineRule="auto"/>
        <w:jc w:val="left"/>
        <w:rPr>
          <w:rFonts w:hint="eastAsia" w:ascii="宋体" w:hAnsi="宋体" w:cs="宋体"/>
          <w:color w:val="auto"/>
          <w:highlight w:val="none"/>
          <w:lang w:val="en-US" w:eastAsia="zh-CN"/>
        </w:rPr>
      </w:pPr>
    </w:p>
    <w:p w14:paraId="5456633D">
      <w:pPr>
        <w:spacing w:before="100" w:beforeAutospacing="1" w:after="100" w:afterAutospacing="1" w:line="360" w:lineRule="auto"/>
        <w:jc w:val="left"/>
        <w:rPr>
          <w:rFonts w:hint="eastAsia" w:ascii="宋体" w:hAnsi="宋体" w:cs="宋体"/>
          <w:color w:val="auto"/>
          <w:highlight w:val="none"/>
          <w:lang w:val="en-US" w:eastAsia="zh-CN"/>
        </w:rPr>
      </w:pPr>
    </w:p>
    <w:p w14:paraId="7AA4EF77">
      <w:pPr>
        <w:spacing w:before="100" w:beforeAutospacing="1" w:after="100" w:afterAutospacing="1" w:line="360"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注：1、表中须明确每班配员的工作事项，按照招标文件每班最低配员执行，且满足国家相关法律法规的规定。</w:t>
      </w:r>
    </w:p>
    <w:p w14:paraId="5543263A">
      <w:pPr>
        <w:spacing w:before="100" w:beforeAutospacing="1" w:after="100" w:afterAutospacing="1" w:line="360" w:lineRule="auto"/>
        <w:jc w:val="left"/>
        <w:rPr>
          <w:rFonts w:hint="eastAsia" w:ascii="宋体" w:hAnsi="宋体" w:cs="宋体"/>
          <w:b w:val="0"/>
          <w:bCs w:val="0"/>
          <w:color w:val="auto"/>
          <w:highlight w:val="none"/>
          <w:lang w:val="en-US" w:eastAsia="zh-CN"/>
        </w:rPr>
      </w:pPr>
      <w:r>
        <w:rPr>
          <w:rFonts w:hint="eastAsia" w:ascii="宋体" w:hAnsi="宋体" w:cs="宋体"/>
          <w:color w:val="auto"/>
          <w:highlight w:val="none"/>
          <w:lang w:val="en-US" w:eastAsia="zh-CN"/>
        </w:rPr>
        <w:t>2.现场投入人员名单视实际情况而定，并按招标人审批确定后执行。</w:t>
      </w:r>
    </w:p>
    <w:p w14:paraId="79CFEDE0">
      <w:pP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br w:type="page"/>
      </w:r>
    </w:p>
    <w:p w14:paraId="0641B0A0">
      <w:pPr>
        <w:pStyle w:val="4"/>
        <w:numPr>
          <w:ilvl w:val="0"/>
          <w:numId w:val="19"/>
        </w:numPr>
        <w:shd w:val="clear" w:color="auto" w:fill="auto"/>
        <w:spacing w:before="43"/>
        <w:ind w:left="0" w:firstLine="0"/>
        <w:jc w:val="cente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服务团队技术人员</w:t>
      </w:r>
    </w:p>
    <w:p w14:paraId="60560787">
      <w:pPr>
        <w:spacing w:line="360" w:lineRule="exact"/>
        <w:jc w:val="left"/>
        <w:rPr>
          <w:rFonts w:hint="eastAsia" w:ascii="宋体" w:hAnsi="宋体" w:eastAsia="宋体" w:cs="宋体"/>
          <w:b/>
          <w:color w:val="auto"/>
          <w:sz w:val="28"/>
          <w:szCs w:val="28"/>
          <w:highlight w:val="none"/>
        </w:rPr>
      </w:pPr>
    </w:p>
    <w:p w14:paraId="2E182CB8">
      <w:pPr>
        <w:spacing w:line="36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拟派服务团队</w:t>
      </w:r>
      <w:r>
        <w:rPr>
          <w:rFonts w:hint="eastAsia" w:ascii="宋体" w:hAnsi="宋体" w:eastAsia="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人员汇总表</w:t>
      </w:r>
    </w:p>
    <w:p w14:paraId="1425E9E6">
      <w:pPr>
        <w:spacing w:line="360" w:lineRule="exact"/>
        <w:jc w:val="center"/>
        <w:rPr>
          <w:rFonts w:hint="eastAsia" w:ascii="宋体" w:hAnsi="宋体" w:eastAsia="宋体" w:cs="宋体"/>
          <w:b/>
          <w:color w:val="auto"/>
          <w:sz w:val="28"/>
          <w:szCs w:val="28"/>
          <w:highlight w:val="none"/>
        </w:rPr>
      </w:pP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498"/>
        <w:gridCol w:w="1301"/>
        <w:gridCol w:w="864"/>
        <w:gridCol w:w="804"/>
        <w:gridCol w:w="1280"/>
        <w:gridCol w:w="1248"/>
        <w:gridCol w:w="1238"/>
        <w:gridCol w:w="780"/>
      </w:tblGrid>
      <w:tr w14:paraId="69C8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vMerge w:val="restart"/>
            <w:noWrap w:val="0"/>
            <w:vAlign w:val="center"/>
          </w:tcPr>
          <w:p w14:paraId="0286A34D">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53" w:type="pct"/>
            <w:vMerge w:val="restart"/>
            <w:noWrap w:val="0"/>
            <w:vAlign w:val="center"/>
          </w:tcPr>
          <w:p w14:paraId="4338ADBB">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本项目任职</w:t>
            </w:r>
          </w:p>
        </w:tc>
        <w:tc>
          <w:tcPr>
            <w:tcW w:w="654" w:type="pct"/>
            <w:vMerge w:val="restart"/>
            <w:noWrap w:val="0"/>
            <w:vAlign w:val="center"/>
          </w:tcPr>
          <w:p w14:paraId="14B89D99">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434" w:type="pct"/>
            <w:vMerge w:val="restart"/>
            <w:noWrap w:val="0"/>
            <w:vAlign w:val="center"/>
          </w:tcPr>
          <w:p w14:paraId="0A8F480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404" w:type="pct"/>
            <w:vMerge w:val="restart"/>
            <w:noWrap w:val="0"/>
            <w:vAlign w:val="center"/>
          </w:tcPr>
          <w:p w14:paraId="2CC1690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1892" w:type="pct"/>
            <w:gridSpan w:val="3"/>
            <w:noWrap w:val="0"/>
            <w:vAlign w:val="center"/>
          </w:tcPr>
          <w:p w14:paraId="4FEA0EDC">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执业或职业资格证明</w:t>
            </w:r>
          </w:p>
        </w:tc>
        <w:tc>
          <w:tcPr>
            <w:tcW w:w="392" w:type="pct"/>
            <w:noWrap w:val="0"/>
            <w:vAlign w:val="center"/>
          </w:tcPr>
          <w:p w14:paraId="1EE2298A">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127D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 w:type="pct"/>
            <w:vMerge w:val="continue"/>
            <w:noWrap w:val="0"/>
            <w:vAlign w:val="center"/>
          </w:tcPr>
          <w:p w14:paraId="45957446">
            <w:pPr>
              <w:rPr>
                <w:rFonts w:hint="eastAsia" w:ascii="宋体" w:hAnsi="宋体" w:eastAsia="宋体" w:cs="宋体"/>
                <w:color w:val="auto"/>
                <w:highlight w:val="none"/>
              </w:rPr>
            </w:pPr>
          </w:p>
        </w:tc>
        <w:tc>
          <w:tcPr>
            <w:tcW w:w="753" w:type="pct"/>
            <w:vMerge w:val="continue"/>
            <w:noWrap w:val="0"/>
            <w:vAlign w:val="top"/>
          </w:tcPr>
          <w:p w14:paraId="345BEBE0">
            <w:pPr>
              <w:rPr>
                <w:rFonts w:hint="eastAsia" w:ascii="宋体" w:hAnsi="宋体" w:eastAsia="宋体" w:cs="宋体"/>
                <w:color w:val="auto"/>
                <w:highlight w:val="none"/>
              </w:rPr>
            </w:pPr>
          </w:p>
        </w:tc>
        <w:tc>
          <w:tcPr>
            <w:tcW w:w="654" w:type="pct"/>
            <w:vMerge w:val="continue"/>
            <w:noWrap w:val="0"/>
            <w:vAlign w:val="center"/>
          </w:tcPr>
          <w:p w14:paraId="6E425999">
            <w:pPr>
              <w:rPr>
                <w:rFonts w:hint="eastAsia" w:ascii="宋体" w:hAnsi="宋体" w:eastAsia="宋体" w:cs="宋体"/>
                <w:color w:val="auto"/>
                <w:highlight w:val="none"/>
              </w:rPr>
            </w:pPr>
          </w:p>
        </w:tc>
        <w:tc>
          <w:tcPr>
            <w:tcW w:w="434" w:type="pct"/>
            <w:vMerge w:val="continue"/>
            <w:noWrap w:val="0"/>
            <w:vAlign w:val="center"/>
          </w:tcPr>
          <w:p w14:paraId="2D0076DC">
            <w:pPr>
              <w:rPr>
                <w:rFonts w:hint="eastAsia" w:ascii="宋体" w:hAnsi="宋体" w:eastAsia="宋体" w:cs="宋体"/>
                <w:color w:val="auto"/>
                <w:highlight w:val="none"/>
              </w:rPr>
            </w:pPr>
          </w:p>
        </w:tc>
        <w:tc>
          <w:tcPr>
            <w:tcW w:w="404" w:type="pct"/>
            <w:vMerge w:val="continue"/>
            <w:noWrap w:val="0"/>
            <w:vAlign w:val="center"/>
          </w:tcPr>
          <w:p w14:paraId="6BC63652">
            <w:pPr>
              <w:spacing w:line="440" w:lineRule="exact"/>
              <w:jc w:val="center"/>
              <w:rPr>
                <w:rFonts w:hint="eastAsia" w:ascii="宋体" w:hAnsi="宋体" w:eastAsia="宋体" w:cs="宋体"/>
                <w:color w:val="auto"/>
                <w:highlight w:val="none"/>
              </w:rPr>
            </w:pPr>
          </w:p>
        </w:tc>
        <w:tc>
          <w:tcPr>
            <w:tcW w:w="643" w:type="pct"/>
            <w:noWrap w:val="0"/>
            <w:vAlign w:val="center"/>
          </w:tcPr>
          <w:p w14:paraId="3418F365">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627" w:type="pct"/>
            <w:noWrap w:val="0"/>
            <w:vAlign w:val="center"/>
          </w:tcPr>
          <w:p w14:paraId="501E6305">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621" w:type="pct"/>
            <w:noWrap w:val="0"/>
            <w:vAlign w:val="center"/>
          </w:tcPr>
          <w:p w14:paraId="2AB53FA1">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392" w:type="pct"/>
            <w:noWrap w:val="0"/>
            <w:vAlign w:val="center"/>
          </w:tcPr>
          <w:p w14:paraId="3DBACC18">
            <w:pPr>
              <w:spacing w:line="440" w:lineRule="exact"/>
              <w:jc w:val="center"/>
              <w:rPr>
                <w:rFonts w:hint="eastAsia" w:ascii="宋体" w:hAnsi="宋体" w:eastAsia="宋体" w:cs="宋体"/>
                <w:color w:val="auto"/>
                <w:highlight w:val="none"/>
              </w:rPr>
            </w:pPr>
          </w:p>
        </w:tc>
      </w:tr>
      <w:tr w14:paraId="063F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9" w:type="pct"/>
            <w:noWrap w:val="0"/>
            <w:vAlign w:val="center"/>
          </w:tcPr>
          <w:p w14:paraId="1BCF5A3D">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53" w:type="pct"/>
            <w:noWrap w:val="0"/>
            <w:vAlign w:val="center"/>
          </w:tcPr>
          <w:p w14:paraId="701B4331">
            <w:pPr>
              <w:spacing w:line="440" w:lineRule="exact"/>
              <w:jc w:val="center"/>
              <w:rPr>
                <w:rFonts w:hint="default" w:ascii="宋体" w:hAnsi="宋体" w:eastAsia="宋体" w:cs="宋体"/>
                <w:color w:val="auto"/>
                <w:highlight w:val="none"/>
                <w:lang w:val="en-US" w:eastAsia="zh-CN"/>
              </w:rPr>
            </w:pPr>
          </w:p>
        </w:tc>
        <w:tc>
          <w:tcPr>
            <w:tcW w:w="654" w:type="pct"/>
            <w:noWrap w:val="0"/>
            <w:vAlign w:val="center"/>
          </w:tcPr>
          <w:p w14:paraId="31DC669A">
            <w:pPr>
              <w:spacing w:line="440" w:lineRule="exact"/>
              <w:jc w:val="center"/>
              <w:rPr>
                <w:rFonts w:hint="eastAsia" w:ascii="宋体" w:hAnsi="宋体" w:eastAsia="宋体" w:cs="宋体"/>
                <w:color w:val="auto"/>
                <w:highlight w:val="none"/>
              </w:rPr>
            </w:pPr>
          </w:p>
        </w:tc>
        <w:tc>
          <w:tcPr>
            <w:tcW w:w="434" w:type="pct"/>
            <w:noWrap w:val="0"/>
            <w:vAlign w:val="center"/>
          </w:tcPr>
          <w:p w14:paraId="34A26238">
            <w:pPr>
              <w:spacing w:line="440" w:lineRule="exact"/>
              <w:jc w:val="center"/>
              <w:rPr>
                <w:rFonts w:hint="eastAsia" w:ascii="宋体" w:hAnsi="宋体" w:eastAsia="宋体" w:cs="宋体"/>
                <w:color w:val="auto"/>
                <w:highlight w:val="none"/>
              </w:rPr>
            </w:pPr>
          </w:p>
        </w:tc>
        <w:tc>
          <w:tcPr>
            <w:tcW w:w="404" w:type="pct"/>
            <w:noWrap w:val="0"/>
            <w:vAlign w:val="center"/>
          </w:tcPr>
          <w:p w14:paraId="482B456F">
            <w:pPr>
              <w:spacing w:line="440" w:lineRule="exact"/>
              <w:jc w:val="center"/>
              <w:rPr>
                <w:rFonts w:hint="eastAsia" w:ascii="宋体" w:hAnsi="宋体" w:eastAsia="宋体" w:cs="宋体"/>
                <w:color w:val="auto"/>
                <w:highlight w:val="none"/>
              </w:rPr>
            </w:pPr>
          </w:p>
        </w:tc>
        <w:tc>
          <w:tcPr>
            <w:tcW w:w="643" w:type="pct"/>
            <w:noWrap w:val="0"/>
            <w:vAlign w:val="center"/>
          </w:tcPr>
          <w:p w14:paraId="4A7A7ACD">
            <w:pPr>
              <w:spacing w:line="440" w:lineRule="exact"/>
              <w:jc w:val="center"/>
              <w:rPr>
                <w:rFonts w:hint="eastAsia" w:ascii="宋体" w:hAnsi="宋体" w:eastAsia="宋体" w:cs="宋体"/>
                <w:color w:val="auto"/>
                <w:highlight w:val="none"/>
              </w:rPr>
            </w:pPr>
          </w:p>
        </w:tc>
        <w:tc>
          <w:tcPr>
            <w:tcW w:w="627" w:type="pct"/>
            <w:noWrap w:val="0"/>
            <w:vAlign w:val="center"/>
          </w:tcPr>
          <w:p w14:paraId="243EFE83">
            <w:pPr>
              <w:spacing w:line="440" w:lineRule="exact"/>
              <w:jc w:val="center"/>
              <w:rPr>
                <w:rFonts w:hint="eastAsia" w:ascii="宋体" w:hAnsi="宋体" w:eastAsia="宋体" w:cs="宋体"/>
                <w:color w:val="auto"/>
                <w:highlight w:val="none"/>
              </w:rPr>
            </w:pPr>
          </w:p>
        </w:tc>
        <w:tc>
          <w:tcPr>
            <w:tcW w:w="621" w:type="pct"/>
            <w:noWrap w:val="0"/>
            <w:vAlign w:val="center"/>
          </w:tcPr>
          <w:p w14:paraId="734F7948">
            <w:pPr>
              <w:spacing w:line="440" w:lineRule="exact"/>
              <w:jc w:val="center"/>
              <w:rPr>
                <w:rFonts w:hint="eastAsia" w:ascii="宋体" w:hAnsi="宋体" w:eastAsia="宋体" w:cs="宋体"/>
                <w:color w:val="auto"/>
                <w:highlight w:val="none"/>
              </w:rPr>
            </w:pPr>
          </w:p>
        </w:tc>
        <w:tc>
          <w:tcPr>
            <w:tcW w:w="392" w:type="pct"/>
            <w:noWrap w:val="0"/>
            <w:vAlign w:val="center"/>
          </w:tcPr>
          <w:p w14:paraId="167B825C">
            <w:pPr>
              <w:spacing w:line="440" w:lineRule="exact"/>
              <w:jc w:val="center"/>
              <w:rPr>
                <w:rFonts w:hint="eastAsia" w:ascii="宋体" w:hAnsi="宋体" w:eastAsia="宋体" w:cs="宋体"/>
                <w:color w:val="auto"/>
                <w:highlight w:val="none"/>
              </w:rPr>
            </w:pPr>
          </w:p>
        </w:tc>
      </w:tr>
      <w:tr w14:paraId="08B3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69" w:type="pct"/>
            <w:noWrap w:val="0"/>
            <w:vAlign w:val="center"/>
          </w:tcPr>
          <w:p w14:paraId="110647C7">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53" w:type="pct"/>
            <w:noWrap w:val="0"/>
            <w:vAlign w:val="center"/>
          </w:tcPr>
          <w:p w14:paraId="030A00B8">
            <w:pPr>
              <w:spacing w:line="440" w:lineRule="exact"/>
              <w:jc w:val="center"/>
              <w:rPr>
                <w:rFonts w:hint="default" w:ascii="宋体" w:hAnsi="宋体" w:eastAsia="宋体" w:cs="宋体"/>
                <w:color w:val="auto"/>
                <w:highlight w:val="none"/>
                <w:lang w:val="en-US" w:eastAsia="zh-CN"/>
              </w:rPr>
            </w:pPr>
          </w:p>
        </w:tc>
        <w:tc>
          <w:tcPr>
            <w:tcW w:w="654" w:type="pct"/>
            <w:noWrap w:val="0"/>
            <w:vAlign w:val="top"/>
          </w:tcPr>
          <w:p w14:paraId="20C006C5">
            <w:pPr>
              <w:spacing w:line="440" w:lineRule="exact"/>
              <w:jc w:val="center"/>
              <w:rPr>
                <w:rFonts w:hint="eastAsia" w:ascii="宋体" w:hAnsi="宋体" w:eastAsia="宋体" w:cs="宋体"/>
                <w:color w:val="auto"/>
                <w:highlight w:val="none"/>
              </w:rPr>
            </w:pPr>
          </w:p>
        </w:tc>
        <w:tc>
          <w:tcPr>
            <w:tcW w:w="434" w:type="pct"/>
            <w:noWrap w:val="0"/>
            <w:vAlign w:val="top"/>
          </w:tcPr>
          <w:p w14:paraId="18818E83">
            <w:pPr>
              <w:spacing w:line="440" w:lineRule="exact"/>
              <w:jc w:val="center"/>
              <w:rPr>
                <w:rFonts w:hint="eastAsia" w:ascii="宋体" w:hAnsi="宋体" w:eastAsia="宋体" w:cs="宋体"/>
                <w:color w:val="auto"/>
                <w:highlight w:val="none"/>
              </w:rPr>
            </w:pPr>
          </w:p>
        </w:tc>
        <w:tc>
          <w:tcPr>
            <w:tcW w:w="404" w:type="pct"/>
            <w:noWrap w:val="0"/>
            <w:vAlign w:val="top"/>
          </w:tcPr>
          <w:p w14:paraId="2527AB5D">
            <w:pPr>
              <w:spacing w:line="440" w:lineRule="exact"/>
              <w:jc w:val="center"/>
              <w:rPr>
                <w:rFonts w:hint="eastAsia" w:ascii="宋体" w:hAnsi="宋体" w:eastAsia="宋体" w:cs="宋体"/>
                <w:color w:val="auto"/>
                <w:highlight w:val="none"/>
              </w:rPr>
            </w:pPr>
          </w:p>
        </w:tc>
        <w:tc>
          <w:tcPr>
            <w:tcW w:w="643" w:type="pct"/>
            <w:noWrap w:val="0"/>
            <w:vAlign w:val="top"/>
          </w:tcPr>
          <w:p w14:paraId="499C5183">
            <w:pPr>
              <w:spacing w:line="440" w:lineRule="exact"/>
              <w:jc w:val="center"/>
              <w:rPr>
                <w:rFonts w:hint="eastAsia" w:ascii="宋体" w:hAnsi="宋体" w:eastAsia="宋体" w:cs="宋体"/>
                <w:color w:val="auto"/>
                <w:highlight w:val="none"/>
              </w:rPr>
            </w:pPr>
          </w:p>
        </w:tc>
        <w:tc>
          <w:tcPr>
            <w:tcW w:w="627" w:type="pct"/>
            <w:noWrap w:val="0"/>
            <w:vAlign w:val="top"/>
          </w:tcPr>
          <w:p w14:paraId="46F77067">
            <w:pPr>
              <w:spacing w:line="440" w:lineRule="exact"/>
              <w:jc w:val="center"/>
              <w:rPr>
                <w:rFonts w:hint="eastAsia" w:ascii="宋体" w:hAnsi="宋体" w:eastAsia="宋体" w:cs="宋体"/>
                <w:color w:val="auto"/>
                <w:highlight w:val="none"/>
              </w:rPr>
            </w:pPr>
          </w:p>
        </w:tc>
        <w:tc>
          <w:tcPr>
            <w:tcW w:w="621" w:type="pct"/>
            <w:noWrap w:val="0"/>
            <w:vAlign w:val="top"/>
          </w:tcPr>
          <w:p w14:paraId="62C719D8">
            <w:pPr>
              <w:spacing w:line="440" w:lineRule="exact"/>
              <w:jc w:val="center"/>
              <w:rPr>
                <w:rFonts w:hint="eastAsia" w:ascii="宋体" w:hAnsi="宋体" w:eastAsia="宋体" w:cs="宋体"/>
                <w:color w:val="auto"/>
                <w:highlight w:val="none"/>
              </w:rPr>
            </w:pPr>
          </w:p>
        </w:tc>
        <w:tc>
          <w:tcPr>
            <w:tcW w:w="392" w:type="pct"/>
            <w:noWrap w:val="0"/>
            <w:vAlign w:val="top"/>
          </w:tcPr>
          <w:p w14:paraId="1246BFE9">
            <w:pPr>
              <w:spacing w:line="440" w:lineRule="exact"/>
              <w:jc w:val="center"/>
              <w:rPr>
                <w:rFonts w:hint="eastAsia" w:ascii="宋体" w:hAnsi="宋体" w:eastAsia="宋体" w:cs="宋体"/>
                <w:color w:val="auto"/>
                <w:highlight w:val="none"/>
              </w:rPr>
            </w:pPr>
          </w:p>
        </w:tc>
      </w:tr>
      <w:tr w14:paraId="20E9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69" w:type="pct"/>
            <w:noWrap w:val="0"/>
            <w:vAlign w:val="center"/>
          </w:tcPr>
          <w:p w14:paraId="7F6A4F69">
            <w:pPr>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753" w:type="pct"/>
            <w:noWrap w:val="0"/>
            <w:vAlign w:val="center"/>
          </w:tcPr>
          <w:p w14:paraId="183CDE01">
            <w:pPr>
              <w:spacing w:line="440" w:lineRule="exact"/>
              <w:jc w:val="center"/>
              <w:rPr>
                <w:rFonts w:hint="default" w:ascii="宋体" w:hAnsi="宋体" w:eastAsia="宋体" w:cs="宋体"/>
                <w:color w:val="auto"/>
                <w:highlight w:val="none"/>
                <w:lang w:val="en-US" w:eastAsia="zh-CN"/>
              </w:rPr>
            </w:pPr>
          </w:p>
        </w:tc>
        <w:tc>
          <w:tcPr>
            <w:tcW w:w="654" w:type="pct"/>
            <w:noWrap w:val="0"/>
            <w:vAlign w:val="top"/>
          </w:tcPr>
          <w:p w14:paraId="37E0B52F">
            <w:pPr>
              <w:spacing w:line="440" w:lineRule="exact"/>
              <w:jc w:val="center"/>
              <w:rPr>
                <w:rFonts w:hint="eastAsia" w:ascii="宋体" w:hAnsi="宋体" w:eastAsia="宋体" w:cs="宋体"/>
                <w:color w:val="auto"/>
                <w:highlight w:val="none"/>
              </w:rPr>
            </w:pPr>
          </w:p>
        </w:tc>
        <w:tc>
          <w:tcPr>
            <w:tcW w:w="434" w:type="pct"/>
            <w:noWrap w:val="0"/>
            <w:vAlign w:val="top"/>
          </w:tcPr>
          <w:p w14:paraId="2C4B731A">
            <w:pPr>
              <w:spacing w:line="440" w:lineRule="exact"/>
              <w:jc w:val="center"/>
              <w:rPr>
                <w:rFonts w:hint="eastAsia" w:ascii="宋体" w:hAnsi="宋体" w:eastAsia="宋体" w:cs="宋体"/>
                <w:color w:val="auto"/>
                <w:highlight w:val="none"/>
              </w:rPr>
            </w:pPr>
          </w:p>
        </w:tc>
        <w:tc>
          <w:tcPr>
            <w:tcW w:w="404" w:type="pct"/>
            <w:noWrap w:val="0"/>
            <w:vAlign w:val="top"/>
          </w:tcPr>
          <w:p w14:paraId="3C6C8FB0">
            <w:pPr>
              <w:spacing w:line="440" w:lineRule="exact"/>
              <w:jc w:val="center"/>
              <w:rPr>
                <w:rFonts w:hint="eastAsia" w:ascii="宋体" w:hAnsi="宋体" w:eastAsia="宋体" w:cs="宋体"/>
                <w:color w:val="auto"/>
                <w:highlight w:val="none"/>
              </w:rPr>
            </w:pPr>
          </w:p>
        </w:tc>
        <w:tc>
          <w:tcPr>
            <w:tcW w:w="643" w:type="pct"/>
            <w:noWrap w:val="0"/>
            <w:vAlign w:val="top"/>
          </w:tcPr>
          <w:p w14:paraId="2F2274C5">
            <w:pPr>
              <w:spacing w:line="440" w:lineRule="exact"/>
              <w:jc w:val="center"/>
              <w:rPr>
                <w:rFonts w:hint="eastAsia" w:ascii="宋体" w:hAnsi="宋体" w:eastAsia="宋体" w:cs="宋体"/>
                <w:color w:val="auto"/>
                <w:highlight w:val="none"/>
              </w:rPr>
            </w:pPr>
          </w:p>
        </w:tc>
        <w:tc>
          <w:tcPr>
            <w:tcW w:w="627" w:type="pct"/>
            <w:noWrap w:val="0"/>
            <w:vAlign w:val="top"/>
          </w:tcPr>
          <w:p w14:paraId="370A9CEC">
            <w:pPr>
              <w:spacing w:line="440" w:lineRule="exact"/>
              <w:jc w:val="center"/>
              <w:rPr>
                <w:rFonts w:hint="eastAsia" w:ascii="宋体" w:hAnsi="宋体" w:eastAsia="宋体" w:cs="宋体"/>
                <w:color w:val="auto"/>
                <w:highlight w:val="none"/>
              </w:rPr>
            </w:pPr>
          </w:p>
        </w:tc>
        <w:tc>
          <w:tcPr>
            <w:tcW w:w="621" w:type="pct"/>
            <w:noWrap w:val="0"/>
            <w:vAlign w:val="top"/>
          </w:tcPr>
          <w:p w14:paraId="51657101">
            <w:pPr>
              <w:spacing w:line="440" w:lineRule="exact"/>
              <w:jc w:val="center"/>
              <w:rPr>
                <w:rFonts w:hint="eastAsia" w:ascii="宋体" w:hAnsi="宋体" w:eastAsia="宋体" w:cs="宋体"/>
                <w:color w:val="auto"/>
                <w:highlight w:val="none"/>
              </w:rPr>
            </w:pPr>
          </w:p>
        </w:tc>
        <w:tc>
          <w:tcPr>
            <w:tcW w:w="392" w:type="pct"/>
            <w:noWrap w:val="0"/>
            <w:vAlign w:val="top"/>
          </w:tcPr>
          <w:p w14:paraId="48282B28">
            <w:pPr>
              <w:spacing w:line="440" w:lineRule="exact"/>
              <w:jc w:val="center"/>
              <w:rPr>
                <w:rFonts w:hint="eastAsia" w:ascii="宋体" w:hAnsi="宋体" w:eastAsia="宋体" w:cs="宋体"/>
                <w:color w:val="auto"/>
                <w:highlight w:val="none"/>
              </w:rPr>
            </w:pPr>
          </w:p>
        </w:tc>
      </w:tr>
      <w:tr w14:paraId="705D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9" w:type="pct"/>
            <w:noWrap w:val="0"/>
            <w:vAlign w:val="top"/>
          </w:tcPr>
          <w:p w14:paraId="0DDE3575">
            <w:pPr>
              <w:spacing w:line="44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753" w:type="pct"/>
            <w:noWrap w:val="0"/>
            <w:vAlign w:val="top"/>
          </w:tcPr>
          <w:p w14:paraId="641658A0">
            <w:pPr>
              <w:spacing w:line="44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654" w:type="pct"/>
            <w:noWrap w:val="0"/>
            <w:vAlign w:val="top"/>
          </w:tcPr>
          <w:p w14:paraId="457D0AB0">
            <w:pPr>
              <w:spacing w:line="440" w:lineRule="exact"/>
              <w:jc w:val="center"/>
              <w:rPr>
                <w:rFonts w:hint="eastAsia" w:ascii="宋体" w:hAnsi="宋体" w:eastAsia="宋体" w:cs="宋体"/>
                <w:color w:val="auto"/>
                <w:highlight w:val="none"/>
              </w:rPr>
            </w:pPr>
          </w:p>
        </w:tc>
        <w:tc>
          <w:tcPr>
            <w:tcW w:w="434" w:type="pct"/>
            <w:noWrap w:val="0"/>
            <w:vAlign w:val="top"/>
          </w:tcPr>
          <w:p w14:paraId="7FEE6D52">
            <w:pPr>
              <w:spacing w:line="440" w:lineRule="exact"/>
              <w:jc w:val="center"/>
              <w:rPr>
                <w:rFonts w:hint="eastAsia" w:ascii="宋体" w:hAnsi="宋体" w:eastAsia="宋体" w:cs="宋体"/>
                <w:color w:val="auto"/>
                <w:highlight w:val="none"/>
              </w:rPr>
            </w:pPr>
          </w:p>
        </w:tc>
        <w:tc>
          <w:tcPr>
            <w:tcW w:w="404" w:type="pct"/>
            <w:noWrap w:val="0"/>
            <w:vAlign w:val="top"/>
          </w:tcPr>
          <w:p w14:paraId="13D3C114">
            <w:pPr>
              <w:spacing w:line="440" w:lineRule="exact"/>
              <w:jc w:val="center"/>
              <w:rPr>
                <w:rFonts w:hint="eastAsia" w:ascii="宋体" w:hAnsi="宋体" w:eastAsia="宋体" w:cs="宋体"/>
                <w:color w:val="auto"/>
                <w:highlight w:val="none"/>
              </w:rPr>
            </w:pPr>
          </w:p>
        </w:tc>
        <w:tc>
          <w:tcPr>
            <w:tcW w:w="643" w:type="pct"/>
            <w:noWrap w:val="0"/>
            <w:vAlign w:val="top"/>
          </w:tcPr>
          <w:p w14:paraId="379345D3">
            <w:pPr>
              <w:spacing w:line="440" w:lineRule="exact"/>
              <w:jc w:val="center"/>
              <w:rPr>
                <w:rFonts w:hint="eastAsia" w:ascii="宋体" w:hAnsi="宋体" w:eastAsia="宋体" w:cs="宋体"/>
                <w:color w:val="auto"/>
                <w:highlight w:val="none"/>
              </w:rPr>
            </w:pPr>
          </w:p>
        </w:tc>
        <w:tc>
          <w:tcPr>
            <w:tcW w:w="627" w:type="pct"/>
            <w:noWrap w:val="0"/>
            <w:vAlign w:val="top"/>
          </w:tcPr>
          <w:p w14:paraId="388EA25A">
            <w:pPr>
              <w:spacing w:line="440" w:lineRule="exact"/>
              <w:jc w:val="center"/>
              <w:rPr>
                <w:rFonts w:hint="eastAsia" w:ascii="宋体" w:hAnsi="宋体" w:eastAsia="宋体" w:cs="宋体"/>
                <w:color w:val="auto"/>
                <w:highlight w:val="none"/>
              </w:rPr>
            </w:pPr>
          </w:p>
        </w:tc>
        <w:tc>
          <w:tcPr>
            <w:tcW w:w="621" w:type="pct"/>
            <w:noWrap w:val="0"/>
            <w:vAlign w:val="top"/>
          </w:tcPr>
          <w:p w14:paraId="6D4EBE11">
            <w:pPr>
              <w:spacing w:line="440" w:lineRule="exact"/>
              <w:jc w:val="center"/>
              <w:rPr>
                <w:rFonts w:hint="eastAsia" w:ascii="宋体" w:hAnsi="宋体" w:eastAsia="宋体" w:cs="宋体"/>
                <w:color w:val="auto"/>
                <w:highlight w:val="none"/>
              </w:rPr>
            </w:pPr>
          </w:p>
        </w:tc>
        <w:tc>
          <w:tcPr>
            <w:tcW w:w="392" w:type="pct"/>
            <w:noWrap w:val="0"/>
            <w:vAlign w:val="top"/>
          </w:tcPr>
          <w:p w14:paraId="13FB6F9E">
            <w:pPr>
              <w:spacing w:line="440" w:lineRule="exact"/>
              <w:jc w:val="center"/>
              <w:rPr>
                <w:rFonts w:hint="eastAsia" w:ascii="宋体" w:hAnsi="宋体" w:eastAsia="宋体" w:cs="宋体"/>
                <w:color w:val="auto"/>
                <w:highlight w:val="none"/>
              </w:rPr>
            </w:pPr>
          </w:p>
        </w:tc>
      </w:tr>
      <w:tr w14:paraId="430C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69" w:type="pct"/>
            <w:noWrap w:val="0"/>
            <w:vAlign w:val="top"/>
          </w:tcPr>
          <w:p w14:paraId="3518EA61">
            <w:pPr>
              <w:spacing w:line="440" w:lineRule="exact"/>
              <w:jc w:val="center"/>
              <w:rPr>
                <w:rFonts w:hint="default" w:ascii="宋体" w:hAnsi="宋体" w:eastAsia="宋体" w:cs="宋体"/>
                <w:color w:val="auto"/>
                <w:highlight w:val="none"/>
                <w:lang w:val="en-US" w:eastAsia="zh-CN"/>
              </w:rPr>
            </w:pPr>
          </w:p>
        </w:tc>
        <w:tc>
          <w:tcPr>
            <w:tcW w:w="753" w:type="pct"/>
            <w:noWrap w:val="0"/>
            <w:vAlign w:val="top"/>
          </w:tcPr>
          <w:p w14:paraId="5AC6FB70">
            <w:pPr>
              <w:spacing w:line="440" w:lineRule="exact"/>
              <w:jc w:val="center"/>
              <w:rPr>
                <w:rFonts w:hint="default" w:ascii="宋体" w:hAnsi="宋体" w:eastAsia="宋体" w:cs="宋体"/>
                <w:color w:val="auto"/>
                <w:highlight w:val="none"/>
                <w:lang w:val="en-US" w:eastAsia="zh-CN"/>
              </w:rPr>
            </w:pPr>
          </w:p>
        </w:tc>
        <w:tc>
          <w:tcPr>
            <w:tcW w:w="654" w:type="pct"/>
            <w:noWrap w:val="0"/>
            <w:vAlign w:val="top"/>
          </w:tcPr>
          <w:p w14:paraId="4C8BE04D">
            <w:pPr>
              <w:spacing w:line="440" w:lineRule="exact"/>
              <w:jc w:val="center"/>
              <w:rPr>
                <w:rFonts w:hint="eastAsia" w:ascii="宋体" w:hAnsi="宋体" w:eastAsia="宋体" w:cs="宋体"/>
                <w:color w:val="auto"/>
                <w:highlight w:val="none"/>
              </w:rPr>
            </w:pPr>
          </w:p>
        </w:tc>
        <w:tc>
          <w:tcPr>
            <w:tcW w:w="434" w:type="pct"/>
            <w:noWrap w:val="0"/>
            <w:vAlign w:val="top"/>
          </w:tcPr>
          <w:p w14:paraId="1AF5FA1A">
            <w:pPr>
              <w:spacing w:line="440" w:lineRule="exact"/>
              <w:jc w:val="center"/>
              <w:rPr>
                <w:rFonts w:hint="eastAsia" w:ascii="宋体" w:hAnsi="宋体" w:eastAsia="宋体" w:cs="宋体"/>
                <w:color w:val="auto"/>
                <w:highlight w:val="none"/>
              </w:rPr>
            </w:pPr>
          </w:p>
        </w:tc>
        <w:tc>
          <w:tcPr>
            <w:tcW w:w="404" w:type="pct"/>
            <w:noWrap w:val="0"/>
            <w:vAlign w:val="top"/>
          </w:tcPr>
          <w:p w14:paraId="43316027">
            <w:pPr>
              <w:spacing w:line="440" w:lineRule="exact"/>
              <w:jc w:val="center"/>
              <w:rPr>
                <w:rFonts w:hint="eastAsia" w:ascii="宋体" w:hAnsi="宋体" w:eastAsia="宋体" w:cs="宋体"/>
                <w:color w:val="auto"/>
                <w:highlight w:val="none"/>
              </w:rPr>
            </w:pPr>
          </w:p>
        </w:tc>
        <w:tc>
          <w:tcPr>
            <w:tcW w:w="643" w:type="pct"/>
            <w:noWrap w:val="0"/>
            <w:vAlign w:val="top"/>
          </w:tcPr>
          <w:p w14:paraId="599B7BA8">
            <w:pPr>
              <w:spacing w:line="440" w:lineRule="exact"/>
              <w:jc w:val="center"/>
              <w:rPr>
                <w:rFonts w:hint="eastAsia" w:ascii="宋体" w:hAnsi="宋体" w:eastAsia="宋体" w:cs="宋体"/>
                <w:color w:val="auto"/>
                <w:highlight w:val="none"/>
              </w:rPr>
            </w:pPr>
          </w:p>
        </w:tc>
        <w:tc>
          <w:tcPr>
            <w:tcW w:w="627" w:type="pct"/>
            <w:noWrap w:val="0"/>
            <w:vAlign w:val="top"/>
          </w:tcPr>
          <w:p w14:paraId="693B93F4">
            <w:pPr>
              <w:spacing w:line="440" w:lineRule="exact"/>
              <w:jc w:val="center"/>
              <w:rPr>
                <w:rFonts w:hint="eastAsia" w:ascii="宋体" w:hAnsi="宋体" w:eastAsia="宋体" w:cs="宋体"/>
                <w:color w:val="auto"/>
                <w:highlight w:val="none"/>
              </w:rPr>
            </w:pPr>
          </w:p>
        </w:tc>
        <w:tc>
          <w:tcPr>
            <w:tcW w:w="621" w:type="pct"/>
            <w:noWrap w:val="0"/>
            <w:vAlign w:val="top"/>
          </w:tcPr>
          <w:p w14:paraId="1ACA2020">
            <w:pPr>
              <w:spacing w:line="440" w:lineRule="exact"/>
              <w:jc w:val="center"/>
              <w:rPr>
                <w:rFonts w:hint="eastAsia" w:ascii="宋体" w:hAnsi="宋体" w:eastAsia="宋体" w:cs="宋体"/>
                <w:color w:val="auto"/>
                <w:highlight w:val="none"/>
              </w:rPr>
            </w:pPr>
          </w:p>
        </w:tc>
        <w:tc>
          <w:tcPr>
            <w:tcW w:w="392" w:type="pct"/>
            <w:noWrap w:val="0"/>
            <w:vAlign w:val="top"/>
          </w:tcPr>
          <w:p w14:paraId="2672259D">
            <w:pPr>
              <w:spacing w:line="440" w:lineRule="exact"/>
              <w:jc w:val="center"/>
              <w:rPr>
                <w:rFonts w:hint="eastAsia" w:ascii="宋体" w:hAnsi="宋体" w:eastAsia="宋体" w:cs="宋体"/>
                <w:color w:val="auto"/>
                <w:highlight w:val="none"/>
              </w:rPr>
            </w:pPr>
          </w:p>
        </w:tc>
      </w:tr>
    </w:tbl>
    <w:p w14:paraId="42DEE67A">
      <w:pPr>
        <w:pStyle w:val="11"/>
        <w:spacing w:after="0" w:line="360" w:lineRule="auto"/>
        <w:rPr>
          <w:rFonts w:hint="eastAsia" w:ascii="宋体" w:hAnsi="宋体" w:eastAsia="宋体" w:cs="宋体"/>
          <w:color w:val="auto"/>
          <w:highlight w:val="none"/>
        </w:rPr>
      </w:pPr>
    </w:p>
    <w:p w14:paraId="7CDE6BE1">
      <w:pPr>
        <w:pStyle w:val="11"/>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注：1、本表按“商务部分评分标准”中要求填写，并在表后附</w:t>
      </w:r>
      <w:r>
        <w:rPr>
          <w:rFonts w:hint="default" w:ascii="宋体" w:hAnsi="宋体" w:eastAsia="宋体" w:cs="宋体"/>
          <w:b w:val="0"/>
          <w:bCs w:val="0"/>
          <w:color w:val="auto"/>
          <w:sz w:val="21"/>
          <w:szCs w:val="21"/>
          <w:highlight w:val="none"/>
          <w:lang w:val="en-US" w:eastAsia="zh-CN"/>
        </w:rPr>
        <w:t>以上人员身份证、相关的证明材料及投标人为其缴纳的近3个月内（不含开标时间当月）任意1个月的社保证明复印件，以上资料加盖</w:t>
      </w: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单位</w:t>
      </w:r>
      <w:r>
        <w:rPr>
          <w:rFonts w:hint="default" w:ascii="宋体" w:hAnsi="宋体" w:eastAsia="宋体" w:cs="宋体"/>
          <w:b w:val="0"/>
          <w:bCs w:val="0"/>
          <w:color w:val="auto"/>
          <w:sz w:val="21"/>
          <w:szCs w:val="21"/>
          <w:highlight w:val="none"/>
          <w:lang w:val="en-US" w:eastAsia="zh-CN"/>
        </w:rPr>
        <w:t>公章，否则不得分</w:t>
      </w:r>
      <w:r>
        <w:rPr>
          <w:rFonts w:hint="eastAsia" w:ascii="宋体" w:hAnsi="宋体" w:eastAsia="宋体" w:cs="宋体"/>
          <w:color w:val="auto"/>
          <w:highlight w:val="none"/>
        </w:rPr>
        <w:t>。</w:t>
      </w:r>
    </w:p>
    <w:p w14:paraId="560F680E">
      <w:pPr>
        <w:pStyle w:val="11"/>
        <w:numPr>
          <w:ilvl w:val="0"/>
          <w:numId w:val="21"/>
        </w:numPr>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本表投标人可以根据自身情况修改（增加行数）。</w:t>
      </w:r>
    </w:p>
    <w:p w14:paraId="44BD35EA">
      <w:pPr>
        <w:pStyle w:val="11"/>
        <w:rPr>
          <w:rFonts w:hint="eastAsia" w:ascii="宋体" w:hAnsi="宋体" w:eastAsia="宋体" w:cs="宋体"/>
          <w:b/>
          <w:color w:val="auto"/>
          <w:sz w:val="28"/>
          <w:szCs w:val="28"/>
          <w:highlight w:val="none"/>
        </w:rPr>
      </w:pPr>
    </w:p>
    <w:p w14:paraId="63EC1398">
      <w:pPr>
        <w:pStyle w:val="11"/>
        <w:rPr>
          <w:rFonts w:hint="eastAsia" w:ascii="宋体" w:hAnsi="宋体" w:eastAsia="宋体" w:cs="宋体"/>
          <w:b/>
          <w:color w:val="auto"/>
          <w:sz w:val="28"/>
          <w:szCs w:val="28"/>
          <w:highlight w:val="none"/>
        </w:rPr>
      </w:pPr>
    </w:p>
    <w:p w14:paraId="5A04AC9C">
      <w:pPr>
        <w:pStyle w:val="11"/>
        <w:rPr>
          <w:rFonts w:hint="eastAsia" w:ascii="宋体" w:hAnsi="宋体" w:eastAsia="宋体" w:cs="宋体"/>
          <w:b/>
          <w:color w:val="auto"/>
          <w:sz w:val="28"/>
          <w:szCs w:val="28"/>
          <w:highlight w:val="none"/>
        </w:rPr>
      </w:pPr>
    </w:p>
    <w:p w14:paraId="3154AB04">
      <w:pPr>
        <w:pStyle w:val="11"/>
        <w:rPr>
          <w:rFonts w:hint="eastAsia" w:ascii="宋体" w:hAnsi="宋体" w:eastAsia="宋体" w:cs="宋体"/>
          <w:b/>
          <w:color w:val="auto"/>
          <w:sz w:val="28"/>
          <w:szCs w:val="28"/>
          <w:highlight w:val="none"/>
        </w:rPr>
      </w:pPr>
    </w:p>
    <w:p w14:paraId="2E3794E4">
      <w:pPr>
        <w:pStyle w:val="11"/>
        <w:rPr>
          <w:rFonts w:hint="eastAsia" w:ascii="宋体" w:hAnsi="宋体" w:eastAsia="宋体" w:cs="宋体"/>
          <w:b/>
          <w:color w:val="auto"/>
          <w:sz w:val="28"/>
          <w:szCs w:val="28"/>
          <w:highlight w:val="none"/>
        </w:rPr>
      </w:pPr>
    </w:p>
    <w:p w14:paraId="02D4B1C4">
      <w:pPr>
        <w:pStyle w:val="11"/>
        <w:rPr>
          <w:rFonts w:hint="eastAsia" w:ascii="宋体" w:hAnsi="宋体" w:eastAsia="宋体" w:cs="宋体"/>
          <w:b/>
          <w:color w:val="auto"/>
          <w:sz w:val="28"/>
          <w:szCs w:val="28"/>
          <w:highlight w:val="none"/>
        </w:rPr>
      </w:pPr>
    </w:p>
    <w:p w14:paraId="68AC2D89">
      <w:pPr>
        <w:pStyle w:val="11"/>
        <w:rPr>
          <w:rFonts w:hint="eastAsia" w:ascii="宋体" w:hAnsi="宋体" w:eastAsia="宋体" w:cs="宋体"/>
          <w:b/>
          <w:color w:val="auto"/>
          <w:sz w:val="28"/>
          <w:szCs w:val="28"/>
          <w:highlight w:val="none"/>
        </w:rPr>
      </w:pPr>
    </w:p>
    <w:p w14:paraId="32D13D1E">
      <w:pPr>
        <w:pStyle w:val="11"/>
        <w:rPr>
          <w:rFonts w:hint="eastAsia" w:ascii="宋体" w:hAnsi="宋体" w:eastAsia="宋体" w:cs="宋体"/>
          <w:b/>
          <w:color w:val="auto"/>
          <w:sz w:val="28"/>
          <w:szCs w:val="28"/>
          <w:highlight w:val="none"/>
        </w:rPr>
      </w:pPr>
    </w:p>
    <w:p w14:paraId="319084BE">
      <w:pPr>
        <w:pStyle w:val="11"/>
        <w:rPr>
          <w:rFonts w:hint="eastAsia" w:ascii="宋体" w:hAnsi="宋体" w:eastAsia="宋体" w:cs="宋体"/>
          <w:b/>
          <w:color w:val="auto"/>
          <w:sz w:val="28"/>
          <w:szCs w:val="28"/>
          <w:highlight w:val="none"/>
        </w:rPr>
      </w:pPr>
    </w:p>
    <w:p w14:paraId="5E7CDDEC">
      <w:pPr>
        <w:pStyle w:val="11"/>
        <w:rPr>
          <w:rFonts w:hint="eastAsia" w:ascii="宋体" w:hAnsi="宋体" w:eastAsia="宋体" w:cs="宋体"/>
          <w:b/>
          <w:color w:val="auto"/>
          <w:sz w:val="28"/>
          <w:szCs w:val="28"/>
          <w:highlight w:val="none"/>
        </w:rPr>
      </w:pPr>
    </w:p>
    <w:p w14:paraId="05D2DDBD">
      <w:pPr>
        <w:pStyle w:val="11"/>
        <w:rPr>
          <w:rFonts w:hint="eastAsia" w:ascii="宋体" w:hAnsi="宋体" w:eastAsia="宋体" w:cs="宋体"/>
          <w:b/>
          <w:color w:val="auto"/>
          <w:sz w:val="28"/>
          <w:szCs w:val="28"/>
          <w:highlight w:val="none"/>
        </w:rPr>
      </w:pPr>
    </w:p>
    <w:p w14:paraId="6E7CB6EF">
      <w:pPr>
        <w:pStyle w:val="11"/>
        <w:rPr>
          <w:rFonts w:hint="eastAsia" w:ascii="宋体" w:hAnsi="宋体" w:eastAsia="宋体" w:cs="宋体"/>
          <w:b/>
          <w:color w:val="auto"/>
          <w:sz w:val="28"/>
          <w:szCs w:val="28"/>
          <w:highlight w:val="none"/>
        </w:rPr>
      </w:pPr>
    </w:p>
    <w:p w14:paraId="2BF96FE8">
      <w:pPr>
        <w:spacing w:line="360" w:lineRule="exact"/>
        <w:jc w:val="center"/>
        <w:rPr>
          <w:rFonts w:hint="eastAsia" w:ascii="宋体" w:hAnsi="宋体" w:eastAsia="宋体" w:cs="宋体"/>
          <w:b/>
          <w:color w:val="auto"/>
          <w:sz w:val="28"/>
          <w:szCs w:val="28"/>
          <w:highlight w:val="none"/>
        </w:rPr>
      </w:pPr>
    </w:p>
    <w:p w14:paraId="5DBE9F88">
      <w:pPr>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主要人员简历表</w:t>
      </w:r>
    </w:p>
    <w:p w14:paraId="699BAC74">
      <w:pPr>
        <w:spacing w:line="360" w:lineRule="exact"/>
        <w:jc w:val="center"/>
        <w:rPr>
          <w:rFonts w:hint="eastAsia" w:ascii="宋体" w:hAnsi="宋体" w:eastAsia="宋体" w:cs="宋体"/>
          <w:b/>
          <w:color w:val="auto"/>
          <w:sz w:val="28"/>
          <w:szCs w:val="28"/>
          <w:highlight w:val="none"/>
        </w:rPr>
      </w:pP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416"/>
        <w:gridCol w:w="804"/>
        <w:gridCol w:w="1116"/>
        <w:gridCol w:w="1248"/>
        <w:gridCol w:w="824"/>
        <w:gridCol w:w="1471"/>
        <w:gridCol w:w="470"/>
        <w:gridCol w:w="2219"/>
      </w:tblGrid>
      <w:tr w14:paraId="54D5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5" w:type="pct"/>
            <w:noWrap w:val="0"/>
            <w:vAlign w:val="center"/>
          </w:tcPr>
          <w:p w14:paraId="7114CA3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613" w:type="pct"/>
            <w:gridSpan w:val="2"/>
            <w:noWrap w:val="0"/>
            <w:vAlign w:val="center"/>
          </w:tcPr>
          <w:p w14:paraId="3D2D3AAF">
            <w:pPr>
              <w:spacing w:line="440" w:lineRule="exact"/>
              <w:jc w:val="center"/>
              <w:rPr>
                <w:rFonts w:hint="eastAsia" w:ascii="宋体" w:hAnsi="宋体" w:eastAsia="宋体" w:cs="宋体"/>
                <w:color w:val="auto"/>
                <w:highlight w:val="none"/>
              </w:rPr>
            </w:pPr>
          </w:p>
        </w:tc>
        <w:tc>
          <w:tcPr>
            <w:tcW w:w="561" w:type="pct"/>
            <w:noWrap w:val="0"/>
            <w:vAlign w:val="center"/>
          </w:tcPr>
          <w:p w14:paraId="1848FA31">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626" w:type="pct"/>
            <w:noWrap w:val="0"/>
            <w:vAlign w:val="center"/>
          </w:tcPr>
          <w:p w14:paraId="0383C966">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6BEA6438">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1113" w:type="pct"/>
            <w:noWrap w:val="0"/>
            <w:vAlign w:val="center"/>
          </w:tcPr>
          <w:p w14:paraId="39507F29">
            <w:pPr>
              <w:spacing w:line="440" w:lineRule="exact"/>
              <w:jc w:val="center"/>
              <w:rPr>
                <w:rFonts w:hint="eastAsia" w:ascii="宋体" w:hAnsi="宋体" w:eastAsia="宋体" w:cs="宋体"/>
                <w:color w:val="auto"/>
                <w:highlight w:val="none"/>
              </w:rPr>
            </w:pPr>
          </w:p>
        </w:tc>
      </w:tr>
      <w:tr w14:paraId="7D0D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6B717742">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613" w:type="pct"/>
            <w:gridSpan w:val="2"/>
            <w:noWrap w:val="0"/>
            <w:vAlign w:val="center"/>
          </w:tcPr>
          <w:p w14:paraId="74ACC5BE">
            <w:pPr>
              <w:spacing w:line="440" w:lineRule="exact"/>
              <w:jc w:val="center"/>
              <w:rPr>
                <w:rFonts w:hint="eastAsia" w:ascii="宋体" w:hAnsi="宋体" w:eastAsia="宋体" w:cs="宋体"/>
                <w:color w:val="auto"/>
                <w:highlight w:val="none"/>
              </w:rPr>
            </w:pPr>
          </w:p>
        </w:tc>
        <w:tc>
          <w:tcPr>
            <w:tcW w:w="561" w:type="pct"/>
            <w:noWrap w:val="0"/>
            <w:vAlign w:val="center"/>
          </w:tcPr>
          <w:p w14:paraId="2C7F7363">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626" w:type="pct"/>
            <w:noWrap w:val="0"/>
            <w:vAlign w:val="center"/>
          </w:tcPr>
          <w:p w14:paraId="36D6606B">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6F1DFA9F">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拟在本项目任职</w:t>
            </w:r>
          </w:p>
        </w:tc>
        <w:tc>
          <w:tcPr>
            <w:tcW w:w="1113" w:type="pct"/>
            <w:noWrap w:val="0"/>
            <w:vAlign w:val="center"/>
          </w:tcPr>
          <w:p w14:paraId="0CD0F619">
            <w:pPr>
              <w:spacing w:line="440" w:lineRule="exact"/>
              <w:jc w:val="center"/>
              <w:rPr>
                <w:rFonts w:hint="eastAsia" w:ascii="宋体" w:hAnsi="宋体" w:eastAsia="宋体" w:cs="宋体"/>
                <w:color w:val="auto"/>
                <w:highlight w:val="none"/>
              </w:rPr>
            </w:pPr>
          </w:p>
        </w:tc>
      </w:tr>
      <w:tr w14:paraId="2D79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70548D89">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1801" w:type="pct"/>
            <w:gridSpan w:val="4"/>
            <w:noWrap w:val="0"/>
            <w:vAlign w:val="center"/>
          </w:tcPr>
          <w:p w14:paraId="0A25124E">
            <w:pPr>
              <w:spacing w:line="440" w:lineRule="exact"/>
              <w:jc w:val="center"/>
              <w:rPr>
                <w:rFonts w:hint="eastAsia" w:ascii="宋体" w:hAnsi="宋体" w:eastAsia="宋体" w:cs="宋体"/>
                <w:color w:val="auto"/>
                <w:highlight w:val="none"/>
              </w:rPr>
            </w:pPr>
          </w:p>
        </w:tc>
        <w:tc>
          <w:tcPr>
            <w:tcW w:w="1389" w:type="pct"/>
            <w:gridSpan w:val="3"/>
            <w:noWrap w:val="0"/>
            <w:vAlign w:val="center"/>
          </w:tcPr>
          <w:p w14:paraId="606B81E6">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从事相关工作年限</w:t>
            </w:r>
          </w:p>
        </w:tc>
        <w:tc>
          <w:tcPr>
            <w:tcW w:w="1113" w:type="pct"/>
            <w:noWrap w:val="0"/>
            <w:vAlign w:val="center"/>
          </w:tcPr>
          <w:p w14:paraId="0049BC38">
            <w:pPr>
              <w:spacing w:line="440" w:lineRule="exact"/>
              <w:jc w:val="center"/>
              <w:rPr>
                <w:rFonts w:hint="eastAsia" w:ascii="宋体" w:hAnsi="宋体" w:eastAsia="宋体" w:cs="宋体"/>
                <w:color w:val="auto"/>
                <w:highlight w:val="none"/>
              </w:rPr>
            </w:pPr>
          </w:p>
        </w:tc>
      </w:tr>
      <w:tr w14:paraId="72E2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5" w:type="pct"/>
            <w:noWrap w:val="0"/>
            <w:vAlign w:val="center"/>
          </w:tcPr>
          <w:p w14:paraId="00DD442D">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4304" w:type="pct"/>
            <w:gridSpan w:val="8"/>
            <w:noWrap w:val="0"/>
            <w:vAlign w:val="center"/>
          </w:tcPr>
          <w:p w14:paraId="0F14F99F">
            <w:pPr>
              <w:spacing w:before="100" w:beforeAutospacing="1" w:after="100" w:afterAutospacing="1" w:line="440" w:lineRule="exact"/>
              <w:ind w:firstLine="1155" w:firstLineChars="550"/>
              <w:rPr>
                <w:rFonts w:hint="eastAsia" w:ascii="宋体" w:hAnsi="宋体" w:eastAsia="宋体" w:cs="宋体"/>
                <w:color w:val="auto"/>
                <w:highlight w:val="none"/>
              </w:rPr>
            </w:pPr>
            <w:r>
              <w:rPr>
                <w:rFonts w:hint="eastAsia" w:ascii="宋体" w:hAnsi="宋体" w:eastAsia="宋体" w:cs="宋体"/>
                <w:color w:val="auto"/>
                <w:highlight w:val="none"/>
              </w:rPr>
              <w:t>年毕业于            学校        专业</w:t>
            </w:r>
          </w:p>
        </w:tc>
      </w:tr>
      <w:tr w14:paraId="417E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noWrap w:val="0"/>
            <w:vAlign w:val="center"/>
          </w:tcPr>
          <w:p w14:paraId="0B2FA400">
            <w:pPr>
              <w:spacing w:before="100" w:beforeAutospacing="1" w:after="100" w:afterAutospacing="1"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主要工作经历</w:t>
            </w:r>
          </w:p>
        </w:tc>
      </w:tr>
      <w:tr w14:paraId="4107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4" w:type="pct"/>
            <w:gridSpan w:val="2"/>
            <w:noWrap w:val="0"/>
            <w:vAlign w:val="center"/>
          </w:tcPr>
          <w:p w14:paraId="3D88AA53">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2006" w:type="pct"/>
            <w:gridSpan w:val="4"/>
            <w:noWrap w:val="0"/>
            <w:vAlign w:val="center"/>
          </w:tcPr>
          <w:p w14:paraId="3805A21D">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参加过的类似项目</w:t>
            </w:r>
          </w:p>
        </w:tc>
        <w:tc>
          <w:tcPr>
            <w:tcW w:w="739" w:type="pct"/>
            <w:noWrap w:val="0"/>
            <w:vAlign w:val="center"/>
          </w:tcPr>
          <w:p w14:paraId="4860BBE2">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1349" w:type="pct"/>
            <w:gridSpan w:val="2"/>
            <w:noWrap w:val="0"/>
            <w:vAlign w:val="center"/>
          </w:tcPr>
          <w:p w14:paraId="4E9DC7A8">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发包人及联系电话</w:t>
            </w:r>
          </w:p>
        </w:tc>
      </w:tr>
      <w:tr w14:paraId="68D4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07E05257">
            <w:pPr>
              <w:spacing w:line="440" w:lineRule="exact"/>
              <w:rPr>
                <w:rFonts w:hint="eastAsia" w:ascii="宋体" w:hAnsi="宋体" w:eastAsia="宋体" w:cs="宋体"/>
                <w:color w:val="auto"/>
                <w:highlight w:val="none"/>
              </w:rPr>
            </w:pPr>
          </w:p>
        </w:tc>
        <w:tc>
          <w:tcPr>
            <w:tcW w:w="2006" w:type="pct"/>
            <w:gridSpan w:val="4"/>
            <w:noWrap w:val="0"/>
            <w:vAlign w:val="top"/>
          </w:tcPr>
          <w:p w14:paraId="0F37B38E">
            <w:pPr>
              <w:spacing w:line="440" w:lineRule="exact"/>
              <w:rPr>
                <w:rFonts w:hint="eastAsia" w:ascii="宋体" w:hAnsi="宋体" w:eastAsia="宋体" w:cs="宋体"/>
                <w:color w:val="auto"/>
                <w:highlight w:val="none"/>
              </w:rPr>
            </w:pPr>
          </w:p>
        </w:tc>
        <w:tc>
          <w:tcPr>
            <w:tcW w:w="739" w:type="pct"/>
            <w:noWrap w:val="0"/>
            <w:vAlign w:val="top"/>
          </w:tcPr>
          <w:p w14:paraId="43256016">
            <w:pPr>
              <w:spacing w:line="440" w:lineRule="exact"/>
              <w:rPr>
                <w:rFonts w:hint="eastAsia" w:ascii="宋体" w:hAnsi="宋体" w:eastAsia="宋体" w:cs="宋体"/>
                <w:color w:val="auto"/>
                <w:highlight w:val="none"/>
              </w:rPr>
            </w:pPr>
          </w:p>
        </w:tc>
        <w:tc>
          <w:tcPr>
            <w:tcW w:w="1349" w:type="pct"/>
            <w:gridSpan w:val="2"/>
            <w:noWrap w:val="0"/>
            <w:vAlign w:val="top"/>
          </w:tcPr>
          <w:p w14:paraId="7C14A42D">
            <w:pPr>
              <w:spacing w:line="440" w:lineRule="exact"/>
              <w:rPr>
                <w:rFonts w:hint="eastAsia" w:ascii="宋体" w:hAnsi="宋体" w:eastAsia="宋体" w:cs="宋体"/>
                <w:color w:val="auto"/>
                <w:highlight w:val="none"/>
              </w:rPr>
            </w:pPr>
          </w:p>
        </w:tc>
      </w:tr>
      <w:tr w14:paraId="7423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79982039">
            <w:pPr>
              <w:spacing w:line="440" w:lineRule="exact"/>
              <w:rPr>
                <w:rFonts w:hint="eastAsia" w:ascii="宋体" w:hAnsi="宋体" w:eastAsia="宋体" w:cs="宋体"/>
                <w:color w:val="auto"/>
                <w:highlight w:val="none"/>
              </w:rPr>
            </w:pPr>
          </w:p>
        </w:tc>
        <w:tc>
          <w:tcPr>
            <w:tcW w:w="2006" w:type="pct"/>
            <w:gridSpan w:val="4"/>
            <w:noWrap w:val="0"/>
            <w:vAlign w:val="top"/>
          </w:tcPr>
          <w:p w14:paraId="2D7C55F2">
            <w:pPr>
              <w:spacing w:line="440" w:lineRule="exact"/>
              <w:rPr>
                <w:rFonts w:hint="eastAsia" w:ascii="宋体" w:hAnsi="宋体" w:eastAsia="宋体" w:cs="宋体"/>
                <w:color w:val="auto"/>
                <w:highlight w:val="none"/>
              </w:rPr>
            </w:pPr>
          </w:p>
        </w:tc>
        <w:tc>
          <w:tcPr>
            <w:tcW w:w="739" w:type="pct"/>
            <w:noWrap w:val="0"/>
            <w:vAlign w:val="top"/>
          </w:tcPr>
          <w:p w14:paraId="58D08C52">
            <w:pPr>
              <w:spacing w:line="440" w:lineRule="exact"/>
              <w:rPr>
                <w:rFonts w:hint="eastAsia" w:ascii="宋体" w:hAnsi="宋体" w:eastAsia="宋体" w:cs="宋体"/>
                <w:color w:val="auto"/>
                <w:highlight w:val="none"/>
              </w:rPr>
            </w:pPr>
          </w:p>
        </w:tc>
        <w:tc>
          <w:tcPr>
            <w:tcW w:w="1349" w:type="pct"/>
            <w:gridSpan w:val="2"/>
            <w:noWrap w:val="0"/>
            <w:vAlign w:val="top"/>
          </w:tcPr>
          <w:p w14:paraId="3FC0A841">
            <w:pPr>
              <w:spacing w:line="440" w:lineRule="exact"/>
              <w:rPr>
                <w:rFonts w:hint="eastAsia" w:ascii="宋体" w:hAnsi="宋体" w:eastAsia="宋体" w:cs="宋体"/>
                <w:color w:val="auto"/>
                <w:highlight w:val="none"/>
              </w:rPr>
            </w:pPr>
          </w:p>
        </w:tc>
      </w:tr>
      <w:tr w14:paraId="785D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top"/>
          </w:tcPr>
          <w:p w14:paraId="59A6FE07">
            <w:pPr>
              <w:spacing w:line="440" w:lineRule="exact"/>
              <w:rPr>
                <w:rFonts w:hint="eastAsia" w:ascii="宋体" w:hAnsi="宋体" w:eastAsia="宋体" w:cs="宋体"/>
                <w:color w:val="auto"/>
                <w:highlight w:val="none"/>
              </w:rPr>
            </w:pPr>
          </w:p>
        </w:tc>
        <w:tc>
          <w:tcPr>
            <w:tcW w:w="2006" w:type="pct"/>
            <w:gridSpan w:val="4"/>
            <w:noWrap w:val="0"/>
            <w:vAlign w:val="top"/>
          </w:tcPr>
          <w:p w14:paraId="574C980F">
            <w:pPr>
              <w:spacing w:line="440" w:lineRule="exact"/>
              <w:rPr>
                <w:rFonts w:hint="eastAsia" w:ascii="宋体" w:hAnsi="宋体" w:eastAsia="宋体" w:cs="宋体"/>
                <w:color w:val="auto"/>
                <w:highlight w:val="none"/>
              </w:rPr>
            </w:pPr>
          </w:p>
        </w:tc>
        <w:tc>
          <w:tcPr>
            <w:tcW w:w="739" w:type="pct"/>
            <w:noWrap w:val="0"/>
            <w:vAlign w:val="top"/>
          </w:tcPr>
          <w:p w14:paraId="498467A8">
            <w:pPr>
              <w:spacing w:line="440" w:lineRule="exact"/>
              <w:rPr>
                <w:rFonts w:hint="eastAsia" w:ascii="宋体" w:hAnsi="宋体" w:eastAsia="宋体" w:cs="宋体"/>
                <w:color w:val="auto"/>
                <w:highlight w:val="none"/>
              </w:rPr>
            </w:pPr>
          </w:p>
        </w:tc>
        <w:tc>
          <w:tcPr>
            <w:tcW w:w="1349" w:type="pct"/>
            <w:gridSpan w:val="2"/>
            <w:noWrap w:val="0"/>
            <w:vAlign w:val="top"/>
          </w:tcPr>
          <w:p w14:paraId="22AB8CB3">
            <w:pPr>
              <w:spacing w:line="440" w:lineRule="exact"/>
              <w:rPr>
                <w:rFonts w:hint="eastAsia" w:ascii="宋体" w:hAnsi="宋体" w:eastAsia="宋体" w:cs="宋体"/>
                <w:color w:val="auto"/>
                <w:highlight w:val="none"/>
              </w:rPr>
            </w:pPr>
          </w:p>
        </w:tc>
      </w:tr>
      <w:tr w14:paraId="6713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7AA2F7B2">
            <w:pPr>
              <w:spacing w:line="440" w:lineRule="exact"/>
              <w:rPr>
                <w:rFonts w:hint="eastAsia" w:ascii="宋体" w:hAnsi="宋体" w:eastAsia="宋体" w:cs="宋体"/>
                <w:color w:val="auto"/>
                <w:highlight w:val="none"/>
              </w:rPr>
            </w:pPr>
          </w:p>
        </w:tc>
        <w:tc>
          <w:tcPr>
            <w:tcW w:w="2006" w:type="pct"/>
            <w:gridSpan w:val="4"/>
            <w:noWrap w:val="0"/>
            <w:vAlign w:val="center"/>
          </w:tcPr>
          <w:p w14:paraId="01D58A3C">
            <w:pPr>
              <w:spacing w:line="440" w:lineRule="exact"/>
              <w:rPr>
                <w:rFonts w:hint="eastAsia" w:ascii="宋体" w:hAnsi="宋体" w:eastAsia="宋体" w:cs="宋体"/>
                <w:color w:val="auto"/>
                <w:highlight w:val="none"/>
              </w:rPr>
            </w:pPr>
          </w:p>
        </w:tc>
        <w:tc>
          <w:tcPr>
            <w:tcW w:w="739" w:type="pct"/>
            <w:noWrap w:val="0"/>
            <w:vAlign w:val="center"/>
          </w:tcPr>
          <w:p w14:paraId="5C1E7233">
            <w:pPr>
              <w:spacing w:line="440" w:lineRule="exact"/>
              <w:rPr>
                <w:rFonts w:hint="eastAsia" w:ascii="宋体" w:hAnsi="宋体" w:eastAsia="宋体" w:cs="宋体"/>
                <w:color w:val="auto"/>
                <w:highlight w:val="none"/>
              </w:rPr>
            </w:pPr>
          </w:p>
        </w:tc>
        <w:tc>
          <w:tcPr>
            <w:tcW w:w="1349" w:type="pct"/>
            <w:gridSpan w:val="2"/>
            <w:noWrap w:val="0"/>
            <w:vAlign w:val="center"/>
          </w:tcPr>
          <w:p w14:paraId="6A25B8E9">
            <w:pPr>
              <w:spacing w:line="440" w:lineRule="exact"/>
              <w:rPr>
                <w:rFonts w:hint="eastAsia" w:ascii="宋体" w:hAnsi="宋体" w:eastAsia="宋体" w:cs="宋体"/>
                <w:color w:val="auto"/>
                <w:highlight w:val="none"/>
              </w:rPr>
            </w:pPr>
          </w:p>
        </w:tc>
      </w:tr>
      <w:tr w14:paraId="75EB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01AFF42D">
            <w:pPr>
              <w:spacing w:line="440" w:lineRule="exact"/>
              <w:rPr>
                <w:rFonts w:hint="eastAsia" w:ascii="宋体" w:hAnsi="宋体" w:eastAsia="宋体" w:cs="宋体"/>
                <w:color w:val="auto"/>
                <w:highlight w:val="none"/>
              </w:rPr>
            </w:pPr>
          </w:p>
        </w:tc>
        <w:tc>
          <w:tcPr>
            <w:tcW w:w="2006" w:type="pct"/>
            <w:gridSpan w:val="4"/>
            <w:noWrap w:val="0"/>
            <w:vAlign w:val="center"/>
          </w:tcPr>
          <w:p w14:paraId="104D9982">
            <w:pPr>
              <w:spacing w:line="440" w:lineRule="exact"/>
              <w:rPr>
                <w:rFonts w:hint="eastAsia" w:ascii="宋体" w:hAnsi="宋体" w:eastAsia="宋体" w:cs="宋体"/>
                <w:color w:val="auto"/>
                <w:highlight w:val="none"/>
              </w:rPr>
            </w:pPr>
          </w:p>
        </w:tc>
        <w:tc>
          <w:tcPr>
            <w:tcW w:w="739" w:type="pct"/>
            <w:noWrap w:val="0"/>
            <w:vAlign w:val="center"/>
          </w:tcPr>
          <w:p w14:paraId="65D16E88">
            <w:pPr>
              <w:spacing w:line="440" w:lineRule="exact"/>
              <w:rPr>
                <w:rFonts w:hint="eastAsia" w:ascii="宋体" w:hAnsi="宋体" w:eastAsia="宋体" w:cs="宋体"/>
                <w:color w:val="auto"/>
                <w:highlight w:val="none"/>
              </w:rPr>
            </w:pPr>
          </w:p>
        </w:tc>
        <w:tc>
          <w:tcPr>
            <w:tcW w:w="1349" w:type="pct"/>
            <w:gridSpan w:val="2"/>
            <w:noWrap w:val="0"/>
            <w:vAlign w:val="center"/>
          </w:tcPr>
          <w:p w14:paraId="5723882F">
            <w:pPr>
              <w:spacing w:line="440" w:lineRule="exact"/>
              <w:rPr>
                <w:rFonts w:hint="eastAsia" w:ascii="宋体" w:hAnsi="宋体" w:eastAsia="宋体" w:cs="宋体"/>
                <w:color w:val="auto"/>
                <w:highlight w:val="none"/>
              </w:rPr>
            </w:pPr>
          </w:p>
        </w:tc>
      </w:tr>
      <w:tr w14:paraId="5618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4" w:type="pct"/>
            <w:gridSpan w:val="2"/>
            <w:noWrap w:val="0"/>
            <w:vAlign w:val="center"/>
          </w:tcPr>
          <w:p w14:paraId="73F1D314">
            <w:pPr>
              <w:spacing w:line="440" w:lineRule="exact"/>
              <w:rPr>
                <w:rFonts w:hint="eastAsia" w:ascii="宋体" w:hAnsi="宋体" w:eastAsia="宋体" w:cs="宋体"/>
                <w:color w:val="auto"/>
                <w:highlight w:val="none"/>
              </w:rPr>
            </w:pPr>
          </w:p>
        </w:tc>
        <w:tc>
          <w:tcPr>
            <w:tcW w:w="2006" w:type="pct"/>
            <w:gridSpan w:val="4"/>
            <w:noWrap w:val="0"/>
            <w:vAlign w:val="center"/>
          </w:tcPr>
          <w:p w14:paraId="426BAA1C">
            <w:pPr>
              <w:spacing w:line="440" w:lineRule="exact"/>
              <w:rPr>
                <w:rFonts w:hint="eastAsia" w:ascii="宋体" w:hAnsi="宋体" w:eastAsia="宋体" w:cs="宋体"/>
                <w:color w:val="auto"/>
                <w:highlight w:val="none"/>
              </w:rPr>
            </w:pPr>
          </w:p>
        </w:tc>
        <w:tc>
          <w:tcPr>
            <w:tcW w:w="739" w:type="pct"/>
            <w:noWrap w:val="0"/>
            <w:vAlign w:val="center"/>
          </w:tcPr>
          <w:p w14:paraId="17096A31">
            <w:pPr>
              <w:spacing w:line="440" w:lineRule="exact"/>
              <w:rPr>
                <w:rFonts w:hint="eastAsia" w:ascii="宋体" w:hAnsi="宋体" w:eastAsia="宋体" w:cs="宋体"/>
                <w:color w:val="auto"/>
                <w:highlight w:val="none"/>
              </w:rPr>
            </w:pPr>
          </w:p>
        </w:tc>
        <w:tc>
          <w:tcPr>
            <w:tcW w:w="1349" w:type="pct"/>
            <w:gridSpan w:val="2"/>
            <w:noWrap w:val="0"/>
            <w:vAlign w:val="center"/>
          </w:tcPr>
          <w:p w14:paraId="247AB8B8">
            <w:pPr>
              <w:spacing w:line="440" w:lineRule="exact"/>
              <w:rPr>
                <w:rFonts w:hint="eastAsia" w:ascii="宋体" w:hAnsi="宋体" w:eastAsia="宋体" w:cs="宋体"/>
                <w:color w:val="auto"/>
                <w:highlight w:val="none"/>
              </w:rPr>
            </w:pPr>
          </w:p>
        </w:tc>
      </w:tr>
    </w:tbl>
    <w:p w14:paraId="78F30579">
      <w:pPr>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注：1、本表按“商务部分评分标准”中要求填写，并在表后附</w:t>
      </w:r>
      <w:r>
        <w:rPr>
          <w:rFonts w:hint="default" w:ascii="宋体" w:hAnsi="宋体" w:eastAsia="宋体" w:cs="宋体"/>
          <w:b w:val="0"/>
          <w:bCs w:val="0"/>
          <w:color w:val="auto"/>
          <w:sz w:val="21"/>
          <w:szCs w:val="21"/>
          <w:highlight w:val="none"/>
          <w:lang w:val="en-US" w:eastAsia="zh-CN"/>
        </w:rPr>
        <w:t>以上人员身份证、相关的证明材料及投标人为其缴纳的近3个月内（不含开标时间当月）任意1个月的社保证明复印件，以上资料加盖</w:t>
      </w: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单位</w:t>
      </w:r>
      <w:r>
        <w:rPr>
          <w:rFonts w:hint="default" w:ascii="宋体" w:hAnsi="宋体" w:eastAsia="宋体" w:cs="宋体"/>
          <w:b w:val="0"/>
          <w:bCs w:val="0"/>
          <w:color w:val="auto"/>
          <w:sz w:val="21"/>
          <w:szCs w:val="21"/>
          <w:highlight w:val="none"/>
          <w:lang w:val="en-US" w:eastAsia="zh-CN"/>
        </w:rPr>
        <w:t>公章，否则不得分</w:t>
      </w:r>
      <w:r>
        <w:rPr>
          <w:rFonts w:hint="eastAsia" w:ascii="宋体" w:hAnsi="宋体" w:eastAsia="宋体" w:cs="宋体"/>
          <w:color w:val="auto"/>
          <w:highlight w:val="none"/>
        </w:rPr>
        <w:t>。</w:t>
      </w:r>
    </w:p>
    <w:p w14:paraId="70DAD48B">
      <w:pPr>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2、本表投标人可以根据自身情况修改（增加行数）。</w:t>
      </w:r>
    </w:p>
    <w:p w14:paraId="2BF944F4">
      <w:pPr>
        <w:bidi w:val="0"/>
        <w:rPr>
          <w:rFonts w:hint="eastAsia"/>
          <w:color w:val="auto"/>
          <w:highlight w:val="none"/>
        </w:rPr>
      </w:pPr>
    </w:p>
    <w:p w14:paraId="1B2440DF">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347BA18A">
      <w:pPr>
        <w:pStyle w:val="4"/>
        <w:shd w:val="clear" w:color="auto" w:fill="auto"/>
        <w:spacing w:before="43" w:afterLines="100"/>
        <w:ind w:left="0" w:firstLine="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企业管理体系认证</w:t>
      </w:r>
      <w:r>
        <w:rPr>
          <w:rFonts w:hint="eastAsia" w:ascii="宋体" w:hAnsi="宋体" w:eastAsia="宋体" w:cs="宋体"/>
          <w:b/>
          <w:bCs/>
          <w:color w:val="auto"/>
          <w:highlight w:val="none"/>
        </w:rPr>
        <w:t>情况</w:t>
      </w:r>
      <w:r>
        <w:rPr>
          <w:rFonts w:hint="eastAsia" w:ascii="宋体" w:hAnsi="宋体" w:eastAsia="宋体" w:cs="宋体"/>
          <w:b/>
          <w:bCs/>
          <w:color w:val="auto"/>
          <w:highlight w:val="none"/>
          <w:lang w:val="en-US" w:eastAsia="zh-CN"/>
        </w:rPr>
        <w:t>表</w:t>
      </w:r>
    </w:p>
    <w:tbl>
      <w:tblPr>
        <w:tblStyle w:val="28"/>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6"/>
        <w:gridCol w:w="3326"/>
        <w:gridCol w:w="3246"/>
      </w:tblGrid>
      <w:tr w14:paraId="0D63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3376" w:type="dxa"/>
            <w:noWrap w:val="0"/>
            <w:vAlign w:val="center"/>
          </w:tcPr>
          <w:p w14:paraId="3239E274">
            <w:pPr>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证书名称</w:t>
            </w:r>
          </w:p>
        </w:tc>
        <w:tc>
          <w:tcPr>
            <w:tcW w:w="3326" w:type="dxa"/>
            <w:noWrap w:val="0"/>
            <w:vAlign w:val="center"/>
          </w:tcPr>
          <w:p w14:paraId="659E0615">
            <w:pPr>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投标人是否具有该证书</w:t>
            </w:r>
          </w:p>
        </w:tc>
        <w:tc>
          <w:tcPr>
            <w:tcW w:w="3246" w:type="dxa"/>
            <w:noWrap w:val="0"/>
            <w:vAlign w:val="center"/>
          </w:tcPr>
          <w:p w14:paraId="1C3FDA21">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证书有效期</w:t>
            </w:r>
          </w:p>
        </w:tc>
      </w:tr>
      <w:tr w14:paraId="642E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3376" w:type="dxa"/>
            <w:noWrap w:val="0"/>
            <w:vAlign w:val="center"/>
          </w:tcPr>
          <w:p w14:paraId="57AB6A6A">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质量管理体系认证证书</w:t>
            </w:r>
          </w:p>
        </w:tc>
        <w:tc>
          <w:tcPr>
            <w:tcW w:w="3326" w:type="dxa"/>
            <w:noWrap w:val="0"/>
            <w:vAlign w:val="center"/>
          </w:tcPr>
          <w:p w14:paraId="01B76916">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是，</w:t>
            </w: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否</w:t>
            </w:r>
          </w:p>
        </w:tc>
        <w:tc>
          <w:tcPr>
            <w:tcW w:w="3246" w:type="dxa"/>
            <w:noWrap w:val="0"/>
            <w:vAlign w:val="center"/>
          </w:tcPr>
          <w:p w14:paraId="7075CACD">
            <w:pPr>
              <w:jc w:val="center"/>
              <w:rPr>
                <w:rFonts w:hint="eastAsia" w:ascii="宋体" w:hAnsi="宋体" w:eastAsia="宋体" w:cs="宋体"/>
                <w:b/>
                <w:bCs/>
                <w:color w:val="auto"/>
                <w:szCs w:val="21"/>
                <w:highlight w:val="none"/>
              </w:rPr>
            </w:pPr>
          </w:p>
        </w:tc>
      </w:tr>
      <w:tr w14:paraId="175A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3376" w:type="dxa"/>
            <w:noWrap w:val="0"/>
            <w:vAlign w:val="center"/>
          </w:tcPr>
          <w:p w14:paraId="42D08007">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环境管理体系认证证书</w:t>
            </w:r>
          </w:p>
        </w:tc>
        <w:tc>
          <w:tcPr>
            <w:tcW w:w="3326" w:type="dxa"/>
            <w:noWrap w:val="0"/>
            <w:vAlign w:val="center"/>
          </w:tcPr>
          <w:p w14:paraId="4C65BF2A">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是，</w:t>
            </w: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否</w:t>
            </w:r>
          </w:p>
        </w:tc>
        <w:tc>
          <w:tcPr>
            <w:tcW w:w="3246" w:type="dxa"/>
            <w:noWrap w:val="0"/>
            <w:vAlign w:val="center"/>
          </w:tcPr>
          <w:p w14:paraId="42E6F236">
            <w:pPr>
              <w:jc w:val="center"/>
              <w:rPr>
                <w:rFonts w:hint="eastAsia" w:ascii="宋体" w:hAnsi="宋体" w:eastAsia="宋体" w:cs="宋体"/>
                <w:b/>
                <w:bCs/>
                <w:color w:val="auto"/>
                <w:szCs w:val="21"/>
                <w:highlight w:val="none"/>
              </w:rPr>
            </w:pPr>
          </w:p>
        </w:tc>
      </w:tr>
      <w:tr w14:paraId="1E5A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3376" w:type="dxa"/>
            <w:noWrap w:val="0"/>
            <w:vAlign w:val="center"/>
          </w:tcPr>
          <w:p w14:paraId="0300CDDF">
            <w:pPr>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职业健康安全管理体系认证证书</w:t>
            </w:r>
          </w:p>
        </w:tc>
        <w:tc>
          <w:tcPr>
            <w:tcW w:w="3326" w:type="dxa"/>
            <w:noWrap w:val="0"/>
            <w:vAlign w:val="center"/>
          </w:tcPr>
          <w:p w14:paraId="55A0C398">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是，</w:t>
            </w:r>
            <w:r>
              <w:rPr>
                <w:rFonts w:hint="eastAsia" w:ascii="宋体" w:hAnsi="宋体" w:eastAsia="宋体" w:cs="宋体"/>
                <w:b w:val="0"/>
                <w:bCs w:val="0"/>
                <w:color w:val="auto"/>
                <w:szCs w:val="21"/>
                <w:highlight w:val="none"/>
                <w:lang w:val="en-US" w:eastAsia="zh-CN"/>
              </w:rPr>
              <w:sym w:font="Wingdings 2" w:char="00A3"/>
            </w:r>
            <w:r>
              <w:rPr>
                <w:rFonts w:hint="eastAsia" w:ascii="宋体" w:hAnsi="宋体" w:eastAsia="宋体" w:cs="宋体"/>
                <w:b w:val="0"/>
                <w:bCs w:val="0"/>
                <w:color w:val="auto"/>
                <w:szCs w:val="21"/>
                <w:highlight w:val="none"/>
                <w:lang w:val="en-US" w:eastAsia="zh-CN"/>
              </w:rPr>
              <w:t>否</w:t>
            </w:r>
          </w:p>
        </w:tc>
        <w:tc>
          <w:tcPr>
            <w:tcW w:w="3246" w:type="dxa"/>
            <w:noWrap w:val="0"/>
            <w:vAlign w:val="center"/>
          </w:tcPr>
          <w:p w14:paraId="6BB29A43">
            <w:pPr>
              <w:jc w:val="center"/>
              <w:rPr>
                <w:rFonts w:hint="eastAsia" w:ascii="宋体" w:hAnsi="宋体" w:eastAsia="宋体" w:cs="宋体"/>
                <w:b/>
                <w:bCs/>
                <w:color w:val="auto"/>
                <w:szCs w:val="21"/>
                <w:highlight w:val="none"/>
              </w:rPr>
            </w:pPr>
          </w:p>
        </w:tc>
      </w:tr>
    </w:tbl>
    <w:p w14:paraId="422DCDE1">
      <w:pPr>
        <w:spacing w:beforeLines="100" w:line="360" w:lineRule="auto"/>
        <w:rPr>
          <w:rFonts w:hint="eastAsia" w:ascii="宋体" w:hAnsi="宋体" w:eastAsia="宋体" w:cs="宋体"/>
          <w:color w:val="auto"/>
          <w:spacing w:val="-3"/>
          <w:highlight w:val="none"/>
        </w:rPr>
      </w:pPr>
      <w:r>
        <w:rPr>
          <w:rFonts w:hint="eastAsia" w:ascii="宋体" w:hAnsi="宋体" w:eastAsia="宋体" w:cs="宋体"/>
          <w:color w:val="auto"/>
          <w:szCs w:val="21"/>
          <w:highlight w:val="none"/>
          <w:lang w:val="en-GB"/>
        </w:rPr>
        <w:t>注：</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en-GB"/>
        </w:rPr>
        <w:t>投标人须提供有效的管理体系认证证书扫描件</w:t>
      </w:r>
      <w:r>
        <w:rPr>
          <w:rFonts w:hint="eastAsia" w:ascii="宋体" w:hAnsi="宋体" w:eastAsia="宋体" w:cs="宋体"/>
          <w:color w:val="auto"/>
          <w:highlight w:val="none"/>
        </w:rPr>
        <w:t>并加盖投标单位电子印章</w:t>
      </w:r>
      <w:r>
        <w:rPr>
          <w:rFonts w:hint="eastAsia" w:ascii="宋体" w:hAnsi="宋体" w:eastAsia="宋体" w:cs="宋体"/>
          <w:color w:val="auto"/>
          <w:spacing w:val="-3"/>
          <w:highlight w:val="none"/>
        </w:rPr>
        <w:t>。</w:t>
      </w:r>
    </w:p>
    <w:p w14:paraId="464A960F">
      <w:pPr>
        <w:spacing w:beforeLines="100" w:line="360" w:lineRule="auto"/>
        <w:ind w:firstLine="408" w:firstLineChars="200"/>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2.本表为</w:t>
      </w:r>
      <w:r>
        <w:rPr>
          <w:rFonts w:hint="eastAsia" w:ascii="宋体" w:hAnsi="宋体" w:eastAsia="宋体" w:cs="宋体"/>
          <w:color w:val="auto"/>
          <w:highlight w:val="none"/>
          <w:lang w:val="en-US" w:eastAsia="zh-CN"/>
        </w:rPr>
        <w:t>评分依据，投标人未按要求提供本表不影响其初步审查，但将影响其得分</w:t>
      </w:r>
      <w:r>
        <w:rPr>
          <w:rFonts w:hint="eastAsia" w:ascii="宋体" w:hAnsi="宋体" w:eastAsia="宋体" w:cs="宋体"/>
          <w:color w:val="auto"/>
          <w:spacing w:val="-3"/>
          <w:highlight w:val="none"/>
          <w:lang w:val="en-US" w:eastAsia="zh-CN"/>
        </w:rPr>
        <w:t>。</w:t>
      </w:r>
    </w:p>
    <w:p w14:paraId="5EAE560D">
      <w:pPr>
        <w:rPr>
          <w:rFonts w:hint="eastAsia" w:ascii="宋体" w:hAnsi="宋体" w:eastAsia="宋体" w:cs="宋体"/>
          <w:color w:val="auto"/>
          <w:spacing w:val="0"/>
          <w:position w:val="0"/>
          <w:highlight w:val="none"/>
          <w:lang w:eastAsia="zh-CN"/>
        </w:rPr>
      </w:pPr>
      <w:r>
        <w:rPr>
          <w:rFonts w:hint="eastAsia" w:ascii="宋体" w:hAnsi="宋体" w:eastAsia="宋体" w:cs="宋体"/>
          <w:color w:val="auto"/>
          <w:highlight w:val="none"/>
          <w:lang w:val="en-GB"/>
        </w:rPr>
        <w:br w:type="page"/>
      </w:r>
    </w:p>
    <w:p w14:paraId="3C2273E9">
      <w:pPr>
        <w:pStyle w:val="4"/>
        <w:shd w:val="clear" w:color="auto" w:fill="auto"/>
        <w:spacing w:before="43" w:afterLines="100"/>
        <w:ind w:left="0" w:firstLine="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（四）响应承诺函</w:t>
      </w:r>
    </w:p>
    <w:p w14:paraId="79FAEAB8">
      <w:pPr>
        <w:rPr>
          <w:rFonts w:hint="eastAsia" w:ascii="宋体" w:hAnsi="宋体" w:eastAsia="宋体" w:cs="宋体"/>
          <w:b/>
          <w:bCs/>
          <w:color w:val="auto"/>
          <w:spacing w:val="0"/>
          <w:position w:val="0"/>
          <w:sz w:val="28"/>
          <w:szCs w:val="28"/>
          <w:highlight w:val="none"/>
          <w:lang w:val="en-US" w:eastAsia="zh-CN"/>
        </w:rPr>
      </w:pPr>
    </w:p>
    <w:p w14:paraId="29831B86">
      <w:pPr>
        <w:pStyle w:val="5"/>
        <w:jc w:val="center"/>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t>响应承诺函</w:t>
      </w:r>
    </w:p>
    <w:p w14:paraId="666EE2B5">
      <w:pPr>
        <w:pStyle w:val="8"/>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 xml:space="preserve"> 致（招标人名称）：</w:t>
      </w:r>
    </w:p>
    <w:p w14:paraId="02BC8341">
      <w:pPr>
        <w:pStyle w:val="40"/>
        <w:spacing w:line="360" w:lineRule="auto"/>
        <w:rPr>
          <w:color w:val="auto"/>
          <w:spacing w:val="0"/>
          <w:position w:val="0"/>
          <w:sz w:val="24"/>
          <w:highlight w:val="none"/>
        </w:rPr>
      </w:pPr>
      <w:r>
        <w:rPr>
          <w:rFonts w:hint="eastAsia"/>
          <w:color w:val="auto"/>
          <w:spacing w:val="0"/>
          <w:position w:val="0"/>
          <w:sz w:val="24"/>
          <w:highlight w:val="none"/>
        </w:rPr>
        <w:t>本公司</w:t>
      </w:r>
      <w:r>
        <w:rPr>
          <w:rFonts w:hint="eastAsia"/>
          <w:color w:val="auto"/>
          <w:spacing w:val="0"/>
          <w:position w:val="0"/>
          <w:sz w:val="24"/>
          <w:highlight w:val="none"/>
          <w:u w:val="none"/>
          <w:lang w:val="en-US"/>
        </w:rPr>
        <w:t>（单位）</w:t>
      </w:r>
      <w:r>
        <w:rPr>
          <w:rFonts w:hint="eastAsia"/>
          <w:color w:val="auto"/>
          <w:spacing w:val="0"/>
          <w:position w:val="0"/>
          <w:sz w:val="24"/>
          <w:highlight w:val="none"/>
        </w:rPr>
        <w:t>参与</w:t>
      </w:r>
      <w:r>
        <w:rPr>
          <w:rFonts w:hint="eastAsia"/>
          <w:color w:val="auto"/>
          <w:spacing w:val="0"/>
          <w:position w:val="0"/>
          <w:sz w:val="24"/>
          <w:highlight w:val="none"/>
          <w:u w:val="single"/>
          <w:lang w:val="en-US" w:eastAsia="zh-CN"/>
        </w:rPr>
        <w:t xml:space="preserve">            </w:t>
      </w:r>
      <w:r>
        <w:rPr>
          <w:rFonts w:hint="eastAsia"/>
          <w:color w:val="auto"/>
          <w:spacing w:val="0"/>
          <w:position w:val="0"/>
          <w:sz w:val="24"/>
          <w:highlight w:val="none"/>
        </w:rPr>
        <w:t>（</w:t>
      </w:r>
      <w:r>
        <w:rPr>
          <w:rFonts w:hint="eastAsia"/>
          <w:color w:val="auto"/>
          <w:spacing w:val="0"/>
          <w:position w:val="0"/>
          <w:sz w:val="24"/>
          <w:highlight w:val="none"/>
          <w:lang w:val="en-US"/>
        </w:rPr>
        <w:t>项目名称</w:t>
      </w:r>
      <w:r>
        <w:rPr>
          <w:rFonts w:hint="eastAsia"/>
          <w:color w:val="auto"/>
          <w:spacing w:val="0"/>
          <w:position w:val="0"/>
          <w:sz w:val="24"/>
          <w:highlight w:val="none"/>
        </w:rPr>
        <w:t>）的投标活动，现作出如下承诺：</w:t>
      </w:r>
    </w:p>
    <w:p w14:paraId="37A673C5">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2" w:leftChars="0" w:firstLine="417" w:firstLineChars="174"/>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我司具有履行合同所必需的设备和专业技术</w:t>
      </w:r>
      <w:r>
        <w:rPr>
          <w:rFonts w:hint="eastAsia" w:cs="宋体"/>
          <w:color w:val="auto"/>
          <w:spacing w:val="0"/>
          <w:position w:val="0"/>
          <w:sz w:val="24"/>
          <w:szCs w:val="24"/>
          <w:highlight w:val="none"/>
          <w:lang w:val="en-US" w:eastAsia="zh-CN"/>
        </w:rPr>
        <w:t>服务</w:t>
      </w:r>
      <w:r>
        <w:rPr>
          <w:rFonts w:hint="eastAsia" w:ascii="宋体" w:hAnsi="宋体" w:eastAsia="宋体" w:cs="宋体"/>
          <w:color w:val="auto"/>
          <w:spacing w:val="0"/>
          <w:position w:val="0"/>
          <w:sz w:val="24"/>
          <w:szCs w:val="24"/>
          <w:highlight w:val="none"/>
        </w:rPr>
        <w:t>能力</w:t>
      </w:r>
      <w:r>
        <w:rPr>
          <w:rFonts w:hint="eastAsia" w:ascii="宋体" w:hAnsi="宋体" w:eastAsia="宋体" w:cs="宋体"/>
          <w:color w:val="auto"/>
          <w:sz w:val="24"/>
          <w:highlight w:val="none"/>
        </w:rPr>
        <w:t>。</w:t>
      </w:r>
    </w:p>
    <w:p w14:paraId="3D979D1A">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2" w:leftChars="0" w:firstLine="417" w:firstLineChars="174"/>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如违反以上承诺，所造成的损失、不良后果及法律责任，一律由我公司承担。</w:t>
      </w:r>
    </w:p>
    <w:p w14:paraId="5EFBA285">
      <w:pPr>
        <w:pStyle w:val="40"/>
        <w:spacing w:line="360" w:lineRule="auto"/>
        <w:rPr>
          <w:rFonts w:hint="eastAsia" w:ascii="宋体" w:hAnsi="宋体" w:eastAsia="宋体" w:cs="宋体"/>
          <w:color w:val="auto"/>
          <w:spacing w:val="0"/>
          <w:position w:val="0"/>
          <w:sz w:val="24"/>
          <w:szCs w:val="24"/>
          <w:highlight w:val="none"/>
        </w:rPr>
      </w:pPr>
    </w:p>
    <w:p w14:paraId="02B109FC">
      <w:pPr>
        <w:pStyle w:val="11"/>
        <w:keepNext w:val="0"/>
        <w:keepLines w:val="0"/>
        <w:pageBreakBefore w:val="0"/>
        <w:shd w:val="clear" w:color="auto" w:fill="auto"/>
        <w:kinsoku/>
        <w:wordWrap/>
        <w:overflowPunct/>
        <w:topLinePunct w:val="0"/>
        <w:autoSpaceDE/>
        <w:autoSpaceDN/>
        <w:bidi w:val="0"/>
        <w:adjustRightInd/>
        <w:snapToGrid w:val="0"/>
        <w:spacing w:line="360" w:lineRule="auto"/>
        <w:ind w:firstLine="3518" w:firstLineChars="1466"/>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w:t>
      </w:r>
      <w:r>
        <w:rPr>
          <w:rFonts w:hint="eastAsia" w:ascii="宋体" w:hAnsi="宋体" w:cs="宋体"/>
          <w:color w:val="auto"/>
          <w:spacing w:val="0"/>
          <w:position w:val="0"/>
          <w:sz w:val="24"/>
          <w:szCs w:val="24"/>
          <w:highlight w:val="none"/>
          <w:lang w:val="en-US" w:eastAsia="zh-CN"/>
        </w:rPr>
        <w:t>名称</w:t>
      </w:r>
      <w:r>
        <w:rPr>
          <w:rFonts w:hint="eastAsia" w:ascii="宋体" w:hAnsi="宋体" w:eastAsia="宋体" w:cs="宋体"/>
          <w:color w:val="auto"/>
          <w:spacing w:val="0"/>
          <w:position w:val="0"/>
          <w:sz w:val="24"/>
          <w:szCs w:val="24"/>
          <w:highlight w:val="none"/>
        </w:rPr>
        <w:t>（盖</w:t>
      </w:r>
      <w:r>
        <w:rPr>
          <w:rFonts w:hint="eastAsia" w:ascii="宋体" w:hAnsi="宋体" w:cs="宋体"/>
          <w:color w:val="auto"/>
          <w:spacing w:val="0"/>
          <w:position w:val="0"/>
          <w:sz w:val="24"/>
          <w:szCs w:val="24"/>
          <w:highlight w:val="none"/>
          <w:lang w:eastAsia="zh-CN"/>
        </w:rPr>
        <w:t>单位公章</w:t>
      </w:r>
      <w:r>
        <w:rPr>
          <w:rFonts w:hint="eastAsia" w:ascii="宋体" w:hAnsi="宋体" w:eastAsia="宋体" w:cs="宋体"/>
          <w:color w:val="auto"/>
          <w:spacing w:val="0"/>
          <w:position w:val="0"/>
          <w:sz w:val="24"/>
          <w:szCs w:val="24"/>
          <w:highlight w:val="none"/>
        </w:rPr>
        <w:t>）：</w:t>
      </w:r>
    </w:p>
    <w:p w14:paraId="0F5D7BCD">
      <w:pPr>
        <w:pStyle w:val="11"/>
        <w:keepNext w:val="0"/>
        <w:keepLines w:val="0"/>
        <w:pageBreakBefore w:val="0"/>
        <w:shd w:val="clear" w:color="auto" w:fill="auto"/>
        <w:kinsoku/>
        <w:wordWrap/>
        <w:overflowPunct/>
        <w:topLinePunct w:val="0"/>
        <w:autoSpaceDE/>
        <w:autoSpaceDN/>
        <w:bidi w:val="0"/>
        <w:adjustRightInd/>
        <w:snapToGrid w:val="0"/>
        <w:spacing w:line="360" w:lineRule="auto"/>
        <w:ind w:firstLine="5188" w:firstLineChars="2162"/>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日期：  </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年   月   日</w:t>
      </w:r>
    </w:p>
    <w:p w14:paraId="0C9ADD24">
      <w:pPr>
        <w:pStyle w:val="11"/>
        <w:keepNext w:val="0"/>
        <w:keepLines w:val="0"/>
        <w:pageBreakBefore w:val="0"/>
        <w:shd w:val="clear" w:color="auto" w:fill="auto"/>
        <w:kinsoku/>
        <w:wordWrap/>
        <w:overflowPunct/>
        <w:topLinePunct w:val="0"/>
        <w:autoSpaceDE/>
        <w:autoSpaceDN/>
        <w:bidi w:val="0"/>
        <w:adjustRightInd/>
        <w:snapToGrid w:val="0"/>
        <w:spacing w:line="360" w:lineRule="auto"/>
        <w:ind w:firstLine="5188" w:firstLineChars="2162"/>
        <w:textAlignment w:val="auto"/>
        <w:rPr>
          <w:rFonts w:hint="eastAsia" w:ascii="宋体" w:hAnsi="宋体" w:eastAsia="宋体" w:cs="宋体"/>
          <w:color w:val="auto"/>
          <w:spacing w:val="0"/>
          <w:position w:val="0"/>
          <w:sz w:val="24"/>
          <w:szCs w:val="24"/>
          <w:highlight w:val="none"/>
        </w:rPr>
      </w:pPr>
    </w:p>
    <w:p w14:paraId="618BFBEB">
      <w:pP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br w:type="page"/>
      </w:r>
    </w:p>
    <w:p w14:paraId="016BFBA9">
      <w:pPr>
        <w:spacing w:beforeLines="100" w:line="360" w:lineRule="auto"/>
        <w:ind w:firstLine="420" w:firstLineChars="200"/>
        <w:rPr>
          <w:rFonts w:hint="eastAsia" w:ascii="宋体" w:hAnsi="宋体" w:eastAsia="宋体" w:cs="宋体"/>
          <w:color w:val="auto"/>
          <w:highlight w:val="none"/>
          <w:lang w:val="en-GB"/>
        </w:rPr>
      </w:pPr>
    </w:p>
    <w:p w14:paraId="7EA1DC55">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bookmarkStart w:id="119" w:name="_bookmark161"/>
      <w:bookmarkEnd w:id="119"/>
      <w:bookmarkStart w:id="120" w:name="_bookmark157"/>
      <w:bookmarkEnd w:id="120"/>
      <w:r>
        <w:rPr>
          <w:rFonts w:hint="eastAsia" w:ascii="宋体" w:hAnsi="宋体" w:eastAsia="宋体" w:cs="宋体"/>
          <w:color w:val="auto"/>
          <w:highlight w:val="none"/>
        </w:rPr>
        <w:t>投标报价表</w:t>
      </w:r>
    </w:p>
    <w:p w14:paraId="63C7E5FA">
      <w:pPr>
        <w:pStyle w:val="41"/>
        <w:shd w:val="clear" w:color="auto" w:fill="auto"/>
        <w:jc w:val="center"/>
        <w:rPr>
          <w:rFonts w:hint="eastAsia" w:ascii="宋体" w:hAnsi="宋体" w:eastAsia="宋体" w:cs="宋体"/>
          <w:b/>
          <w:bCs/>
          <w:color w:val="auto"/>
          <w:sz w:val="13"/>
          <w:szCs w:val="13"/>
          <w:highlight w:val="none"/>
        </w:rPr>
      </w:pPr>
    </w:p>
    <w:p w14:paraId="5334C830">
      <w:pPr>
        <w:shd w:val="clear" w:color="auto" w:fill="auto"/>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（一）开标一览表</w:t>
      </w:r>
    </w:p>
    <w:p w14:paraId="2221E9B1">
      <w:pPr>
        <w:shd w:val="clear" w:color="auto" w:fill="auto"/>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121A2131">
      <w:pPr>
        <w:shd w:val="clear" w:color="auto" w:fill="auto"/>
        <w:snapToGrid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28"/>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4"/>
        <w:gridCol w:w="1785"/>
        <w:gridCol w:w="2528"/>
        <w:gridCol w:w="2321"/>
      </w:tblGrid>
      <w:tr w14:paraId="7261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304" w:type="dxa"/>
            <w:noWrap w:val="0"/>
            <w:vAlign w:val="center"/>
          </w:tcPr>
          <w:p w14:paraId="477E917A">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投标人</w:t>
            </w:r>
            <w:r>
              <w:rPr>
                <w:rFonts w:hint="eastAsia" w:ascii="宋体" w:hAnsi="宋体" w:eastAsia="宋体" w:cs="宋体"/>
                <w:b/>
                <w:bCs/>
                <w:color w:val="auto"/>
                <w:kern w:val="0"/>
                <w:szCs w:val="21"/>
                <w:highlight w:val="none"/>
              </w:rPr>
              <w:t>名称</w:t>
            </w:r>
          </w:p>
        </w:tc>
        <w:tc>
          <w:tcPr>
            <w:tcW w:w="1785" w:type="dxa"/>
            <w:noWrap w:val="0"/>
            <w:vAlign w:val="center"/>
          </w:tcPr>
          <w:p w14:paraId="7C3CCC79">
            <w:pPr>
              <w:widowControl/>
              <w:shd w:val="clear" w:color="auto" w:fill="auto"/>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服务期</w:t>
            </w:r>
          </w:p>
        </w:tc>
        <w:tc>
          <w:tcPr>
            <w:tcW w:w="2528" w:type="dxa"/>
            <w:noWrap w:val="0"/>
            <w:vAlign w:val="center"/>
          </w:tcPr>
          <w:p w14:paraId="1942B882">
            <w:pPr>
              <w:widowControl/>
              <w:shd w:val="clear" w:color="auto" w:fill="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项目</w:t>
            </w:r>
            <w:r>
              <w:rPr>
                <w:rFonts w:hint="eastAsia" w:ascii="宋体" w:hAnsi="宋体" w:cs="宋体"/>
                <w:b/>
                <w:bCs/>
                <w:color w:val="auto"/>
                <w:highlight w:val="none"/>
                <w:lang w:val="en-US" w:eastAsia="zh-CN"/>
              </w:rPr>
              <w:t>服务</w:t>
            </w:r>
            <w:r>
              <w:rPr>
                <w:rFonts w:hint="eastAsia" w:ascii="宋体" w:hAnsi="宋体" w:eastAsia="宋体" w:cs="宋体"/>
                <w:b/>
                <w:bCs/>
                <w:color w:val="auto"/>
                <w:highlight w:val="none"/>
                <w:lang w:val="en-US" w:eastAsia="zh-CN"/>
              </w:rPr>
              <w:t>地点</w:t>
            </w:r>
          </w:p>
        </w:tc>
        <w:tc>
          <w:tcPr>
            <w:tcW w:w="2321" w:type="dxa"/>
            <w:noWrap w:val="0"/>
            <w:vAlign w:val="center"/>
          </w:tcPr>
          <w:p w14:paraId="6211E77E">
            <w:pPr>
              <w:shd w:val="clear" w:color="auto" w:fill="auto"/>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highlight w:val="none"/>
              </w:rPr>
              <w:t>备注</w:t>
            </w:r>
          </w:p>
        </w:tc>
      </w:tr>
      <w:tr w14:paraId="6DC6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304" w:type="dxa"/>
            <w:noWrap w:val="0"/>
            <w:vAlign w:val="center"/>
          </w:tcPr>
          <w:p w14:paraId="6C349328">
            <w:pPr>
              <w:widowControl/>
              <w:shd w:val="clear" w:color="auto" w:fill="auto"/>
              <w:jc w:val="left"/>
              <w:rPr>
                <w:rFonts w:hint="eastAsia" w:ascii="宋体" w:hAnsi="宋体" w:eastAsia="宋体" w:cs="宋体"/>
                <w:color w:val="auto"/>
                <w:kern w:val="0"/>
                <w:szCs w:val="21"/>
                <w:highlight w:val="none"/>
                <w:lang w:eastAsia="zh-CN"/>
              </w:rPr>
            </w:pPr>
          </w:p>
        </w:tc>
        <w:tc>
          <w:tcPr>
            <w:tcW w:w="1785" w:type="dxa"/>
            <w:noWrap w:val="0"/>
            <w:vAlign w:val="center"/>
          </w:tcPr>
          <w:p w14:paraId="127CC062">
            <w:pPr>
              <w:widowControl/>
              <w:shd w:val="clear" w:color="auto" w:fill="auto"/>
              <w:jc w:val="center"/>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服务期：</w:t>
            </w:r>
            <w:r>
              <w:rPr>
                <w:rFonts w:hint="eastAsia" w:ascii="宋体" w:hAnsi="宋体" w:cs="宋体"/>
                <w:color w:val="auto"/>
                <w:kern w:val="0"/>
                <w:szCs w:val="21"/>
                <w:highlight w:val="none"/>
                <w:lang w:val="en-US" w:eastAsia="zh-CN"/>
              </w:rPr>
              <w:t>自合同签订之日起至2026年4月11日</w:t>
            </w:r>
          </w:p>
        </w:tc>
        <w:tc>
          <w:tcPr>
            <w:tcW w:w="2528" w:type="dxa"/>
            <w:noWrap w:val="0"/>
            <w:vAlign w:val="center"/>
          </w:tcPr>
          <w:p w14:paraId="09C79FA7">
            <w:pPr>
              <w:widowControl/>
              <w:shd w:val="clear" w:color="auto" w:fill="auto"/>
              <w:jc w:val="center"/>
              <w:rPr>
                <w:rFonts w:hint="eastAsia" w:ascii="宋体" w:hAnsi="宋体" w:eastAsia="宋体" w:cs="宋体"/>
                <w:color w:val="auto"/>
                <w:kern w:val="0"/>
                <w:szCs w:val="21"/>
                <w:highlight w:val="none"/>
              </w:rPr>
            </w:pPr>
          </w:p>
        </w:tc>
        <w:tc>
          <w:tcPr>
            <w:tcW w:w="2321" w:type="dxa"/>
            <w:noWrap w:val="0"/>
            <w:vAlign w:val="center"/>
          </w:tcPr>
          <w:p w14:paraId="662A4079">
            <w:pPr>
              <w:widowControl/>
              <w:shd w:val="clear" w:color="auto" w:fill="auto"/>
              <w:jc w:val="center"/>
              <w:rPr>
                <w:rFonts w:hint="eastAsia" w:ascii="宋体" w:hAnsi="宋体" w:eastAsia="宋体" w:cs="宋体"/>
                <w:color w:val="auto"/>
                <w:kern w:val="0"/>
                <w:szCs w:val="21"/>
                <w:highlight w:val="none"/>
              </w:rPr>
            </w:pPr>
          </w:p>
        </w:tc>
      </w:tr>
      <w:tr w14:paraId="57CC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04" w:type="dxa"/>
            <w:noWrap w:val="0"/>
            <w:vAlign w:val="center"/>
          </w:tcPr>
          <w:p w14:paraId="52FD117A">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每吨含税综合单价</w:t>
            </w:r>
          </w:p>
        </w:tc>
        <w:tc>
          <w:tcPr>
            <w:tcW w:w="6634" w:type="dxa"/>
            <w:gridSpan w:val="3"/>
            <w:noWrap w:val="0"/>
            <w:vAlign w:val="center"/>
          </w:tcPr>
          <w:p w14:paraId="053B2E74">
            <w:pPr>
              <w:widowControl/>
              <w:shd w:val="clear" w:color="auto" w:fill="auto"/>
              <w:jc w:val="both"/>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t>人民币</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highlight w:val="none"/>
              </w:rPr>
              <w:t>大写：</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kern w:val="0"/>
                <w:szCs w:val="21"/>
                <w:highlight w:val="none"/>
                <w:lang w:eastAsia="zh-CN"/>
              </w:rPr>
              <w:t>）</w:t>
            </w:r>
          </w:p>
        </w:tc>
      </w:tr>
    </w:tbl>
    <w:p w14:paraId="6FE96737">
      <w:pPr>
        <w:pStyle w:val="13"/>
        <w:shd w:val="clear" w:color="auto" w:fill="auto"/>
        <w:spacing w:line="360" w:lineRule="atLeast"/>
        <w:rPr>
          <w:rFonts w:hint="eastAsia" w:ascii="宋体" w:hAnsi="宋体" w:eastAsia="宋体" w:cs="宋体"/>
          <w:color w:val="auto"/>
          <w:highlight w:val="none"/>
        </w:rPr>
      </w:pPr>
    </w:p>
    <w:p w14:paraId="6A22B14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rPr>
        <w:t>注:</w:t>
      </w:r>
      <w:r>
        <w:rPr>
          <w:rFonts w:hint="eastAsia" w:ascii="宋体" w:hAnsi="宋体" w:eastAsia="宋体" w:cs="宋体"/>
          <w:color w:val="auto"/>
          <w:kern w:val="0"/>
          <w:sz w:val="24"/>
          <w:szCs w:val="24"/>
          <w:highlight w:val="none"/>
        </w:rPr>
        <w:t>1．本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kern w:val="0"/>
          <w:sz w:val="24"/>
          <w:szCs w:val="24"/>
          <w:highlight w:val="none"/>
          <w:lang w:val="en-US" w:eastAsia="zh-CN"/>
        </w:rPr>
        <w:t>装卸服务费</w:t>
      </w:r>
      <w:r>
        <w:rPr>
          <w:rFonts w:hint="eastAsia" w:ascii="宋体" w:hAnsi="宋体" w:eastAsia="宋体" w:cs="宋体"/>
          <w:bCs/>
          <w:color w:val="auto"/>
          <w:sz w:val="24"/>
          <w:szCs w:val="24"/>
          <w:highlight w:val="none"/>
        </w:rPr>
        <w:t>含税</w:t>
      </w:r>
      <w:r>
        <w:rPr>
          <w:rFonts w:hint="eastAsia" w:ascii="宋体" w:hAnsi="宋体" w:eastAsia="宋体" w:cs="宋体"/>
          <w:bCs/>
          <w:color w:val="auto"/>
          <w:sz w:val="24"/>
          <w:szCs w:val="24"/>
          <w:highlight w:val="none"/>
          <w:lang w:val="en-US" w:eastAsia="zh-CN"/>
        </w:rPr>
        <w:t>综合单</w:t>
      </w:r>
      <w:r>
        <w:rPr>
          <w:rFonts w:hint="eastAsia" w:ascii="宋体" w:hAnsi="宋体" w:eastAsia="宋体" w:cs="宋体"/>
          <w:color w:val="auto"/>
          <w:kern w:val="0"/>
          <w:sz w:val="24"/>
          <w:szCs w:val="24"/>
          <w:highlight w:val="none"/>
          <w:lang w:val="en-US"/>
        </w:rPr>
        <w:t>价</w:t>
      </w:r>
    </w:p>
    <w:p w14:paraId="2632E8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每吨含税综合单价为</w:t>
      </w:r>
      <w:r>
        <w:rPr>
          <w:rFonts w:hint="eastAsia" w:ascii="宋体" w:hAnsi="宋体" w:eastAsia="宋体" w:cs="宋体"/>
          <w:color w:val="auto"/>
          <w:kern w:val="0"/>
          <w:sz w:val="24"/>
          <w:szCs w:val="24"/>
          <w:highlight w:val="none"/>
        </w:rPr>
        <w:t>人民币</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2769B8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sz w:val="24"/>
          <w:szCs w:val="24"/>
          <w:highlight w:val="none"/>
          <w:lang w:eastAsia="zh-CN"/>
        </w:rPr>
        <w:t>本项目</w:t>
      </w:r>
      <w:r>
        <w:rPr>
          <w:rFonts w:hint="eastAsia" w:ascii="宋体" w:hAnsi="宋体" w:eastAsia="宋体" w:cs="宋体"/>
          <w:color w:val="auto"/>
          <w:sz w:val="24"/>
          <w:szCs w:val="24"/>
          <w:highlight w:val="none"/>
        </w:rPr>
        <w:t>涉及合同价款处无特别约定的均为含税价。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增值税税率为6%）</w:t>
      </w:r>
    </w:p>
    <w:p w14:paraId="7874877E">
      <w:pPr>
        <w:pStyle w:val="13"/>
        <w:keepNext w:val="0"/>
        <w:keepLines w:val="0"/>
        <w:pageBreakBefore w:val="0"/>
        <w:widowControl w:val="0"/>
        <w:shd w:val="clear" w:color="auto" w:fill="auto"/>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bookmarkStart w:id="121" w:name="OLE_LINK15"/>
      <w:r>
        <w:rPr>
          <w:rFonts w:hint="eastAsia" w:ascii="宋体" w:hAnsi="宋体" w:cs="宋体"/>
          <w:color w:val="auto"/>
          <w:sz w:val="24"/>
          <w:szCs w:val="24"/>
          <w:highlight w:val="none"/>
          <w:lang w:val="en-US" w:eastAsia="zh-CN"/>
        </w:rPr>
        <w:t>项目</w:t>
      </w:r>
      <w:bookmarkEnd w:id="121"/>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lang w:val="en-US" w:eastAsia="zh-CN"/>
        </w:rPr>
        <w:t>综合单</w:t>
      </w:r>
      <w:r>
        <w:rPr>
          <w:rFonts w:hint="eastAsia" w:ascii="宋体" w:hAnsi="宋体" w:eastAsia="宋体" w:cs="宋体"/>
          <w:color w:val="auto"/>
          <w:sz w:val="24"/>
          <w:szCs w:val="24"/>
          <w:highlight w:val="none"/>
        </w:rPr>
        <w:t>价包干形式，包括但不限于装卸船舶设备改装费用、能源费用，人工费、安全管理费、保险费、主管部门咨询费、审批手续费用、工作人员交通差旅费、税费、利润，以及履行本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下全部义务的一切费用。除双方另有约定外，</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无须向</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支付其他任何费用。</w:t>
      </w:r>
    </w:p>
    <w:p w14:paraId="016B0D27">
      <w:pPr>
        <w:pStyle w:val="13"/>
        <w:keepNext w:val="0"/>
        <w:keepLines w:val="0"/>
        <w:pageBreakBefore w:val="0"/>
        <w:widowControl w:val="0"/>
        <w:shd w:val="clear" w:color="auto" w:fill="auto"/>
        <w:kinsoku/>
        <w:wordWrap/>
        <w:overflowPunct/>
        <w:topLinePunct w:val="0"/>
        <w:autoSpaceDE/>
        <w:autoSpaceDN/>
        <w:bidi w:val="0"/>
        <w:spacing w:line="360" w:lineRule="auto"/>
        <w:ind w:left="0" w:leftChars="0" w:firstLine="482" w:firstLineChars="200"/>
        <w:jc w:val="left"/>
        <w:textAlignment w:val="auto"/>
        <w:rPr>
          <w:rFonts w:hint="default" w:ascii="宋体" w:hAnsi="宋体" w:eastAsia="宋体" w:cs="宋体"/>
          <w:b/>
          <w:bCs/>
          <w:color w:val="auto"/>
          <w:sz w:val="24"/>
          <w:szCs w:val="24"/>
          <w:highlight w:val="none"/>
          <w:lang w:val="en-US" w:eastAsia="zh-CN"/>
        </w:rPr>
      </w:pPr>
    </w:p>
    <w:p w14:paraId="5C5B502F">
      <w:pPr>
        <w:pStyle w:val="14"/>
        <w:rPr>
          <w:rFonts w:hint="eastAsia"/>
          <w:color w:val="auto"/>
          <w:highlight w:val="none"/>
          <w:lang w:eastAsia="zh-CN"/>
        </w:rPr>
      </w:pPr>
    </w:p>
    <w:p w14:paraId="6E7671B2">
      <w:pPr>
        <w:pStyle w:val="11"/>
        <w:shd w:val="clear" w:color="auto" w:fill="auto"/>
        <w:snapToGrid w:val="0"/>
        <w:spacing w:line="360" w:lineRule="auto"/>
        <w:ind w:firstLine="3518" w:firstLineChars="1466"/>
        <w:rPr>
          <w:rFonts w:hint="eastAsia" w:ascii="宋体" w:hAnsi="宋体" w:eastAsia="宋体" w:cs="宋体"/>
          <w:color w:val="auto"/>
          <w:sz w:val="24"/>
          <w:szCs w:val="24"/>
          <w:highlight w:val="none"/>
        </w:rPr>
      </w:pPr>
    </w:p>
    <w:p w14:paraId="4C99344D">
      <w:pPr>
        <w:pStyle w:val="11"/>
        <w:shd w:val="clear" w:color="auto" w:fill="auto"/>
        <w:snapToGrid w:val="0"/>
        <w:spacing w:line="360" w:lineRule="auto"/>
        <w:rPr>
          <w:rFonts w:hint="eastAsia" w:ascii="宋体" w:hAnsi="宋体" w:eastAsia="宋体" w:cs="宋体"/>
          <w:color w:val="auto"/>
          <w:sz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w:t>
      </w:r>
      <w:r>
        <w:rPr>
          <w:rFonts w:hint="eastAsia" w:ascii="宋体" w:hAnsi="宋体" w:eastAsia="宋体" w:cs="宋体"/>
          <w:color w:val="auto"/>
          <w:sz w:val="24"/>
          <w:szCs w:val="24"/>
          <w:highlight w:val="none"/>
        </w:rPr>
        <w:t>法</w:t>
      </w:r>
      <w:r>
        <w:rPr>
          <w:rFonts w:hint="eastAsia" w:ascii="宋体" w:hAnsi="宋体" w:eastAsia="宋体" w:cs="宋体"/>
          <w:color w:val="auto"/>
          <w:spacing w:val="-3"/>
          <w:sz w:val="24"/>
          <w:szCs w:val="24"/>
          <w:highlight w:val="none"/>
        </w:rPr>
        <w:t>定</w:t>
      </w:r>
      <w:r>
        <w:rPr>
          <w:rFonts w:hint="eastAsia" w:ascii="宋体" w:hAnsi="宋体" w:eastAsia="宋体" w:cs="宋体"/>
          <w:color w:val="auto"/>
          <w:sz w:val="24"/>
          <w:szCs w:val="24"/>
          <w:highlight w:val="none"/>
        </w:rPr>
        <w:t>代</w:t>
      </w:r>
      <w:r>
        <w:rPr>
          <w:rFonts w:hint="eastAsia" w:ascii="宋体" w:hAnsi="宋体" w:eastAsia="宋体" w:cs="宋体"/>
          <w:color w:val="auto"/>
          <w:spacing w:val="-3"/>
          <w:sz w:val="24"/>
          <w:szCs w:val="24"/>
          <w:highlight w:val="none"/>
        </w:rPr>
        <w:t>表</w:t>
      </w:r>
      <w:r>
        <w:rPr>
          <w:rFonts w:hint="eastAsia" w:ascii="宋体" w:hAnsi="宋体" w:eastAsia="宋体" w:cs="宋体"/>
          <w:color w:val="auto"/>
          <w:sz w:val="24"/>
          <w:szCs w:val="24"/>
          <w:highlight w:val="none"/>
        </w:rPr>
        <w:t>人或</w:t>
      </w:r>
      <w:r>
        <w:rPr>
          <w:rFonts w:hint="eastAsia" w:ascii="宋体" w:hAnsi="宋体" w:eastAsia="宋体" w:cs="宋体"/>
          <w:color w:val="auto"/>
          <w:spacing w:val="-3"/>
          <w:sz w:val="24"/>
          <w:szCs w:val="24"/>
          <w:highlight w:val="none"/>
        </w:rPr>
        <w:t>其</w:t>
      </w:r>
      <w:r>
        <w:rPr>
          <w:rFonts w:hint="eastAsia" w:ascii="宋体" w:hAnsi="宋体" w:eastAsia="宋体" w:cs="宋体"/>
          <w:color w:val="auto"/>
          <w:sz w:val="24"/>
          <w:szCs w:val="24"/>
          <w:highlight w:val="none"/>
        </w:rPr>
        <w:t>委</w:t>
      </w:r>
      <w:r>
        <w:rPr>
          <w:rFonts w:hint="eastAsia" w:ascii="宋体" w:hAnsi="宋体" w:eastAsia="宋体" w:cs="宋体"/>
          <w:color w:val="auto"/>
          <w:spacing w:val="-3"/>
          <w:sz w:val="24"/>
          <w:szCs w:val="24"/>
          <w:highlight w:val="none"/>
        </w:rPr>
        <w:t>托</w:t>
      </w:r>
      <w:r>
        <w:rPr>
          <w:rFonts w:hint="eastAsia" w:ascii="宋体" w:hAnsi="宋体" w:eastAsia="宋体" w:cs="宋体"/>
          <w:color w:val="auto"/>
          <w:sz w:val="24"/>
          <w:szCs w:val="24"/>
          <w:highlight w:val="none"/>
        </w:rPr>
        <w:t>代</w:t>
      </w:r>
      <w:r>
        <w:rPr>
          <w:rFonts w:hint="eastAsia" w:ascii="宋体" w:hAnsi="宋体" w:eastAsia="宋体" w:cs="宋体"/>
          <w:color w:val="auto"/>
          <w:spacing w:val="-3"/>
          <w:sz w:val="24"/>
          <w:szCs w:val="24"/>
          <w:highlight w:val="none"/>
        </w:rPr>
        <w:t>理</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签字或</w:t>
      </w:r>
      <w:r>
        <w:rPr>
          <w:rFonts w:hint="eastAsia" w:asciiTheme="minorEastAsia" w:hAnsiTheme="minorEastAsia" w:eastAsiaTheme="minorEastAsia" w:cstheme="minorEastAsia"/>
          <w:color w:val="auto"/>
          <w:sz w:val="24"/>
          <w:szCs w:val="24"/>
          <w:highlight w:val="none"/>
          <w:lang w:eastAsia="zh-CN"/>
        </w:rPr>
        <w:t>盖私章）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1ADA16F6">
      <w:pPr>
        <w:pStyle w:val="11"/>
        <w:shd w:val="clear" w:color="auto" w:fill="auto"/>
        <w:snapToGrid w:val="0"/>
        <w:spacing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投标人</w:t>
      </w:r>
      <w:r>
        <w:rPr>
          <w:rFonts w:hint="eastAsia" w:ascii="宋体" w:hAnsi="宋体" w:cs="宋体"/>
          <w:color w:val="auto"/>
          <w:sz w:val="24"/>
          <w:highlight w:val="none"/>
          <w:lang w:val="en-US" w:eastAsia="zh-CN"/>
        </w:rPr>
        <w:t>名称</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盖单位公章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6072102F">
      <w:pPr>
        <w:pStyle w:val="11"/>
        <w:shd w:val="clear" w:color="auto" w:fill="auto"/>
        <w:snapToGrid w:val="0"/>
        <w:spacing w:line="360" w:lineRule="auto"/>
        <w:ind w:left="0" w:leftChars="0" w:firstLine="0" w:firstLineChars="0"/>
        <w:jc w:val="left"/>
        <w:rPr>
          <w:rFonts w:hint="eastAsia" w:ascii="宋体" w:hAnsi="宋体" w:eastAsia="宋体" w:cs="宋体"/>
          <w:color w:val="auto"/>
          <w:sz w:val="24"/>
          <w:szCs w:val="24"/>
          <w:highlight w:val="none"/>
        </w:rPr>
        <w:sectPr>
          <w:pgSz w:w="12240" w:h="15840"/>
          <w:pgMar w:top="1400" w:right="1100" w:bottom="1120" w:left="1400" w:header="0" w:footer="841" w:gutter="0"/>
          <w:pgBorders>
            <w:top w:val="none" w:sz="0" w:space="0"/>
            <w:left w:val="none" w:sz="0" w:space="0"/>
            <w:bottom w:val="none" w:sz="0" w:space="0"/>
            <w:right w:val="none" w:sz="0" w:space="0"/>
          </w:pgBorders>
          <w:pgNumType w:fmt="decimal"/>
          <w:cols w:space="720" w:num="1"/>
        </w:sectPr>
      </w:pPr>
      <w:bookmarkStart w:id="122" w:name="OLE_LINK12"/>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w:t>
      </w:r>
      <w:bookmarkEnd w:id="122"/>
    </w:p>
    <w:p w14:paraId="6B8EA2E7">
      <w:pPr>
        <w:rPr>
          <w:rFonts w:hint="eastAsia"/>
          <w:color w:val="auto"/>
          <w:highlight w:val="none"/>
        </w:rPr>
      </w:pPr>
    </w:p>
    <w:p w14:paraId="52FD7CF5">
      <w:pPr>
        <w:pStyle w:val="3"/>
        <w:numPr>
          <w:ilvl w:val="0"/>
          <w:numId w:val="17"/>
        </w:numPr>
        <w:shd w:val="clear" w:color="auto" w:fill="auto"/>
        <w:snapToGrid w:val="0"/>
        <w:spacing w:afterLines="150" w:line="525" w:lineRule="exact"/>
        <w:ind w:right="295" w:firstLine="0"/>
        <w:jc w:val="center"/>
        <w:rPr>
          <w:rFonts w:hint="eastAsia" w:ascii="宋体" w:hAnsi="宋体" w:eastAsia="宋体" w:cs="宋体"/>
          <w:color w:val="auto"/>
          <w:highlight w:val="none"/>
        </w:rPr>
      </w:pPr>
      <w:r>
        <w:rPr>
          <w:rFonts w:hint="eastAsia" w:ascii="宋体" w:hAnsi="宋体" w:eastAsia="宋体" w:cs="宋体"/>
          <w:color w:val="auto"/>
          <w:highlight w:val="none"/>
        </w:rPr>
        <w:t>缴纳招标代理服务费承诺书</w:t>
      </w:r>
    </w:p>
    <w:p w14:paraId="7319785A">
      <w:pPr>
        <w:shd w:val="clear" w:color="auto" w:fill="auto"/>
        <w:spacing w:line="360" w:lineRule="auto"/>
        <w:rPr>
          <w:rFonts w:hint="eastAsia" w:ascii="宋体" w:hAnsi="宋体" w:eastAsia="宋体" w:cs="宋体"/>
          <w:snapToGrid w:val="0"/>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肇庆市港口投资发展有限公司</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广东华伦招标有限公司</w:t>
      </w:r>
    </w:p>
    <w:p w14:paraId="63151C89">
      <w:pPr>
        <w:shd w:val="clear" w:color="auto" w:fill="auto"/>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snapToGrid w:val="0"/>
          <w:color w:val="auto"/>
          <w:sz w:val="24"/>
          <w:highlight w:val="none"/>
        </w:rPr>
        <w:t>如果我方在贵公司组织的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（标段名称）</w:t>
      </w:r>
      <w:r>
        <w:rPr>
          <w:rFonts w:hint="eastAsia" w:ascii="宋体" w:hAnsi="宋体" w:eastAsia="宋体" w:cs="宋体"/>
          <w:snapToGrid w:val="0"/>
          <w:color w:val="auto"/>
          <w:sz w:val="24"/>
          <w:highlight w:val="none"/>
        </w:rPr>
        <w:t>招标中获中标，我方承诺在领取《中标通知书》前</w:t>
      </w:r>
      <w:r>
        <w:rPr>
          <w:rFonts w:hint="eastAsia" w:ascii="宋体" w:hAnsi="宋体" w:cs="宋体"/>
          <w:snapToGrid w:val="0"/>
          <w:color w:val="auto"/>
          <w:sz w:val="24"/>
          <w:highlight w:val="none"/>
          <w:lang w:val="en-US" w:eastAsia="zh-CN"/>
        </w:rPr>
        <w:t>或</w:t>
      </w:r>
      <w:r>
        <w:rPr>
          <w:rFonts w:hint="eastAsia" w:ascii="宋体" w:hAnsi="宋体" w:eastAsia="宋体" w:cs="宋体"/>
          <w:snapToGrid w:val="0"/>
          <w:color w:val="auto"/>
          <w:sz w:val="24"/>
          <w:highlight w:val="none"/>
        </w:rPr>
        <w:t>领取《中标通知书》</w:t>
      </w:r>
      <w:r>
        <w:rPr>
          <w:rFonts w:hint="eastAsia" w:ascii="宋体" w:hAnsi="宋体" w:cs="宋体"/>
          <w:snapToGrid w:val="0"/>
          <w:color w:val="auto"/>
          <w:sz w:val="24"/>
          <w:highlight w:val="none"/>
          <w:lang w:val="en-US" w:eastAsia="zh-CN"/>
        </w:rPr>
        <w:t>5个工作日内</w:t>
      </w:r>
      <w:r>
        <w:rPr>
          <w:rFonts w:hint="eastAsia" w:ascii="宋体" w:hAnsi="宋体" w:eastAsia="宋体" w:cs="宋体"/>
          <w:snapToGrid w:val="0"/>
          <w:color w:val="auto"/>
          <w:sz w:val="24"/>
          <w:highlight w:val="none"/>
        </w:rPr>
        <w:t>，承诺向</w:t>
      </w:r>
      <w:r>
        <w:rPr>
          <w:rFonts w:hint="eastAsia" w:ascii="宋体" w:hAnsi="宋体" w:cs="宋体"/>
          <w:color w:val="auto"/>
          <w:sz w:val="24"/>
          <w:highlight w:val="none"/>
          <w:lang w:eastAsia="zh-CN"/>
        </w:rPr>
        <w:t>广东华伦招标有限公司</w:t>
      </w:r>
      <w:r>
        <w:rPr>
          <w:rFonts w:hint="eastAsia" w:ascii="宋体" w:hAnsi="宋体" w:eastAsia="宋体" w:cs="宋体"/>
          <w:snapToGrid w:val="0"/>
          <w:color w:val="auto"/>
          <w:sz w:val="24"/>
          <w:highlight w:val="none"/>
        </w:rPr>
        <w:t>按招标文件的要求缴纳招标代理服务费，且不在投标报价中单列。</w:t>
      </w:r>
    </w:p>
    <w:p w14:paraId="01BDF0ED">
      <w:pPr>
        <w:shd w:val="clear" w:color="auto" w:fill="auto"/>
        <w:spacing w:line="360" w:lineRule="auto"/>
        <w:ind w:firstLine="528" w:firstLineChars="22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我方如违约，愿凭贵公司开出的违约通知，按上述承诺金额的200％在投标保证金中扣付，并在此同意办理支付手续。</w:t>
      </w:r>
    </w:p>
    <w:p w14:paraId="13C37F0D">
      <w:pPr>
        <w:shd w:val="clear" w:color="auto" w:fill="auto"/>
        <w:spacing w:line="360" w:lineRule="auto"/>
        <w:ind w:firstLine="528" w:firstLineChars="22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特此承诺！</w:t>
      </w:r>
    </w:p>
    <w:p w14:paraId="3EE740F6">
      <w:pPr>
        <w:shd w:val="clear" w:color="auto" w:fill="auto"/>
        <w:spacing w:line="360" w:lineRule="auto"/>
        <w:ind w:left="3960"/>
        <w:rPr>
          <w:rFonts w:hint="eastAsia" w:ascii="宋体" w:hAnsi="宋体" w:eastAsia="宋体" w:cs="宋体"/>
          <w:color w:val="auto"/>
          <w:sz w:val="24"/>
          <w:highlight w:val="none"/>
        </w:rPr>
      </w:pPr>
    </w:p>
    <w:p w14:paraId="5BD0AE89">
      <w:pPr>
        <w:shd w:val="clear" w:color="auto" w:fill="auto"/>
        <w:spacing w:line="360" w:lineRule="auto"/>
        <w:ind w:left="3960"/>
        <w:rPr>
          <w:rFonts w:hint="eastAsia" w:ascii="宋体" w:hAnsi="宋体" w:eastAsia="宋体" w:cs="宋体"/>
          <w:color w:val="auto"/>
          <w:sz w:val="24"/>
          <w:highlight w:val="none"/>
        </w:rPr>
      </w:pPr>
    </w:p>
    <w:p w14:paraId="38464498">
      <w:pPr>
        <w:shd w:val="clear" w:color="auto" w:fill="auto"/>
        <w:spacing w:line="360" w:lineRule="auto"/>
        <w:ind w:left="3960"/>
        <w:rPr>
          <w:rFonts w:hint="eastAsia" w:ascii="宋体" w:hAnsi="宋体" w:eastAsia="宋体" w:cs="宋体"/>
          <w:snapToGrid w:val="0"/>
          <w:color w:val="auto"/>
          <w:sz w:val="24"/>
          <w:highlight w:val="none"/>
        </w:rPr>
      </w:pPr>
      <w:r>
        <w:rPr>
          <w:rFonts w:hint="eastAsia" w:ascii="宋体" w:hAnsi="宋体" w:eastAsia="宋体" w:cs="宋体"/>
          <w:color w:val="auto"/>
          <w:sz w:val="24"/>
          <w:highlight w:val="none"/>
        </w:rPr>
        <w:t>投标人</w:t>
      </w:r>
      <w:r>
        <w:rPr>
          <w:rFonts w:hint="eastAsia" w:ascii="宋体" w:hAnsi="宋体" w:cs="宋体"/>
          <w:color w:val="auto"/>
          <w:sz w:val="24"/>
          <w:highlight w:val="none"/>
          <w:lang w:val="en-US" w:eastAsia="zh-CN"/>
        </w:rPr>
        <w:t>名称</w:t>
      </w:r>
      <w:r>
        <w:rPr>
          <w:rFonts w:hint="eastAsia" w:ascii="宋体" w:hAnsi="宋体" w:eastAsia="宋体" w:cs="宋体"/>
          <w:color w:val="auto"/>
          <w:sz w:val="24"/>
          <w:highlight w:val="none"/>
        </w:rPr>
        <w:t>（盖</w:t>
      </w:r>
      <w:r>
        <w:rPr>
          <w:rFonts w:hint="eastAsia" w:ascii="宋体" w:hAnsi="宋体" w:cs="宋体"/>
          <w:color w:val="auto"/>
          <w:sz w:val="24"/>
          <w:highlight w:val="none"/>
          <w:lang w:val="en-US" w:eastAsia="zh-CN"/>
        </w:rPr>
        <w:t>单位公</w:t>
      </w:r>
      <w:r>
        <w:rPr>
          <w:rFonts w:hint="eastAsia" w:ascii="宋体" w:hAnsi="宋体" w:eastAsia="宋体" w:cs="宋体"/>
          <w:color w:val="auto"/>
          <w:sz w:val="24"/>
          <w:highlight w:val="none"/>
        </w:rPr>
        <w:t>章）：</w:t>
      </w:r>
    </w:p>
    <w:p w14:paraId="670A742C">
      <w:pPr>
        <w:shd w:val="clear" w:color="auto" w:fill="auto"/>
        <w:spacing w:line="360" w:lineRule="auto"/>
        <w:ind w:left="396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投标人地址：</w:t>
      </w:r>
    </w:p>
    <w:p w14:paraId="318F9351">
      <w:pPr>
        <w:pStyle w:val="11"/>
        <w:keepNext w:val="0"/>
        <w:keepLines w:val="0"/>
        <w:pageBreakBefore w:val="0"/>
        <w:shd w:val="clear" w:color="auto" w:fill="auto"/>
        <w:kinsoku/>
        <w:wordWrap/>
        <w:overflowPunct/>
        <w:topLinePunct w:val="0"/>
        <w:autoSpaceDE/>
        <w:autoSpaceDN/>
        <w:bidi w:val="0"/>
        <w:adjustRightInd/>
        <w:snapToGrid w:val="0"/>
        <w:spacing w:line="360" w:lineRule="auto"/>
        <w:ind w:firstLine="3993" w:firstLineChars="16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47D0FC66">
      <w:pPr>
        <w:shd w:val="clear" w:color="auto" w:fill="auto"/>
        <w:spacing w:line="360" w:lineRule="auto"/>
        <w:rPr>
          <w:rFonts w:hint="eastAsia" w:ascii="宋体" w:hAnsi="宋体" w:eastAsia="宋体" w:cs="宋体"/>
          <w:color w:val="auto"/>
          <w:sz w:val="24"/>
          <w:highlight w:val="none"/>
        </w:rPr>
      </w:pPr>
    </w:p>
    <w:p w14:paraId="31A0F8FD">
      <w:pPr>
        <w:shd w:val="clear" w:color="auto" w:fill="auto"/>
        <w:spacing w:line="360" w:lineRule="auto"/>
        <w:rPr>
          <w:rFonts w:hint="eastAsia" w:ascii="宋体" w:hAnsi="宋体" w:eastAsia="宋体" w:cs="宋体"/>
          <w:color w:val="auto"/>
          <w:highlight w:val="none"/>
        </w:rPr>
      </w:pPr>
    </w:p>
    <w:p w14:paraId="27345F0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A2B639">
      <w:pPr>
        <w:pStyle w:val="3"/>
        <w:numPr>
          <w:ilvl w:val="0"/>
          <w:numId w:val="17"/>
        </w:numPr>
        <w:shd w:val="clear" w:color="auto" w:fill="auto"/>
        <w:snapToGrid w:val="0"/>
        <w:spacing w:afterLines="150" w:line="525" w:lineRule="exact"/>
        <w:ind w:right="295" w:firstLine="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其他资料</w:t>
      </w:r>
    </w:p>
    <w:p w14:paraId="4F2D0206">
      <w:pPr>
        <w:rPr>
          <w:rFonts w:hint="default"/>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投标人认为须提供的其他资料（如有）</w:t>
      </w:r>
    </w:p>
    <w:sectPr>
      <w:pgSz w:w="12240" w:h="15840"/>
      <w:pgMar w:top="1400" w:right="1600" w:bottom="1120" w:left="1400" w:header="0" w:footer="841"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1281DC-7175-473B-8C01-397325ABE33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589834-0D77-477A-8025-018EFA78B65D}"/>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New York">
    <w:altName w:val="Times New Roman"/>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F16C579-4D32-4B6B-AE30-FC3AD73BE7B9}"/>
  </w:font>
  <w:font w:name="方正书宋简体">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embedRegular r:id="rId4" w:fontKey="{AA591503-0429-42DD-8A12-FE8C54C85D7F}"/>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embedRegular r:id="rId5" w:fontKey="{4EB23786-7103-40BD-888E-6B8E1E4E44F1}"/>
  </w:font>
  <w:font w:name="Droid Sans Fallback">
    <w:altName w:val="Arial"/>
    <w:panose1 w:val="00000000000000000000"/>
    <w:charset w:val="00"/>
    <w:family w:val="swiss"/>
    <w:pitch w:val="default"/>
    <w:sig w:usb0="00000000" w:usb1="00000000" w:usb2="00000000" w:usb3="00000000" w:csb0="00000000" w:csb1="00000000"/>
    <w:embedRegular r:id="rId6" w:fontKey="{1B9B918B-F4A9-4DF9-A07F-183D305C266D}"/>
  </w:font>
  <w:font w:name="Segoe UI">
    <w:panose1 w:val="020B0502040204020203"/>
    <w:charset w:val="00"/>
    <w:family w:val="auto"/>
    <w:pitch w:val="default"/>
    <w:sig w:usb0="E4002EFF" w:usb1="C000E47F" w:usb2="00000009" w:usb3="00000000" w:csb0="200001FF" w:csb1="00000000"/>
    <w:embedRegular r:id="rId7" w:fontKey="{4F0B8F50-5E02-4E9E-8FD5-403D558D507E}"/>
  </w:font>
  <w:font w:name="Wingdings 2">
    <w:panose1 w:val="05020102010507070707"/>
    <w:charset w:val="02"/>
    <w:family w:val="auto"/>
    <w:pitch w:val="default"/>
    <w:sig w:usb0="00000000" w:usb1="00000000" w:usb2="00000000" w:usb3="00000000" w:csb0="80000000" w:csb1="00000000"/>
    <w:embedRegular r:id="rId8" w:fontKey="{568B3B03-E6C2-40C5-A13E-2D49548F4F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9C3B">
    <w:pPr>
      <w:pStyle w:val="11"/>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9EE7">
    <w:pPr>
      <w:pStyle w:val="11"/>
      <w:spacing w:line="14" w:lineRule="auto"/>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BE47">
    <w:pPr>
      <w:pStyle w:val="18"/>
      <w:pBdr>
        <w:top w:val="single" w:color="auto" w:sz="4" w:space="1"/>
      </w:pBdr>
      <w:jc w:val="right"/>
      <w:rPr>
        <w:rFonts w:hint="eastAsia"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05E2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A05E23">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rPr>
      <w:t>广东华伦招标有限公司  编制</w:t>
    </w:r>
  </w:p>
  <w:p w14:paraId="607FC3A6">
    <w:pPr>
      <w:pStyle w:val="11"/>
      <w:spacing w:line="14" w:lineRule="auto"/>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A63A">
    <w:pPr>
      <w:pStyle w:val="18"/>
      <w:pBdr>
        <w:top w:val="single" w:color="auto" w:sz="4" w:space="1"/>
      </w:pBdr>
      <w:jc w:val="right"/>
      <w:rPr>
        <w:rFonts w:hint="eastAsia"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C3B28">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05C3B28">
                    <w:pPr>
                      <w:pStyle w:val="1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rPr>
      <w:t>广东华伦招标有限公司  编制</w:t>
    </w:r>
  </w:p>
  <w:p w14:paraId="7B7F56A2">
    <w:pPr>
      <w:spacing w:line="178" w:lineRule="auto"/>
      <w:ind w:left="4236"/>
      <w:jc w:val="right"/>
      <w:rPr>
        <w:rFonts w:ascii="Calibri" w:hAnsi="Calibri" w:eastAsia="Calibri" w:cs="Calibri"/>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FB782">
    <w:pPr>
      <w:pStyle w:val="20"/>
      <w:pBdr>
        <w:bottom w:val="none" w:color="auto" w:sz="0" w:space="1"/>
      </w:pBdr>
    </w:pPr>
  </w:p>
  <w:p w14:paraId="04B429A8">
    <w:pPr>
      <w:pStyle w:val="20"/>
      <w:pBdr>
        <w:bottom w:val="none" w:color="auto" w:sz="0" w:space="1"/>
      </w:pBdr>
    </w:pPr>
  </w:p>
  <w:p w14:paraId="758EC156">
    <w:pPr>
      <w:pStyle w:val="20"/>
      <w:pBdr>
        <w:bottom w:val="none" w:color="auto" w:sz="0" w:space="1"/>
      </w:pBdr>
    </w:pPr>
  </w:p>
  <w:p w14:paraId="52E9A301">
    <w:pPr>
      <w:pStyle w:val="20"/>
      <w:pBdr>
        <w:bottom w:val="none" w:color="auto" w:sz="0" w:space="1"/>
      </w:pBdr>
    </w:pPr>
  </w:p>
  <w:p w14:paraId="010EE95A">
    <w:pPr>
      <w:pStyle w:val="20"/>
      <w:pBdr>
        <w:bottom w:val="none" w:color="auto" w:sz="0" w:space="1"/>
      </w:pBdr>
    </w:pPr>
  </w:p>
  <w:p w14:paraId="1B195381">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9681">
    <w:pPr>
      <w:pStyle w:val="20"/>
      <w:pBdr>
        <w:bottom w:val="none" w:color="auto" w:sz="0" w:space="1"/>
      </w:pBdr>
    </w:pPr>
  </w:p>
  <w:p w14:paraId="79699DE8">
    <w:pPr>
      <w:pStyle w:val="20"/>
      <w:pBdr>
        <w:bottom w:val="none" w:color="auto" w:sz="0" w:space="1"/>
      </w:pBdr>
    </w:pPr>
  </w:p>
  <w:p w14:paraId="2C6EB70A">
    <w:pPr>
      <w:pStyle w:val="20"/>
      <w:pBdr>
        <w:bottom w:val="none" w:color="auto" w:sz="0" w:space="1"/>
      </w:pBdr>
    </w:pPr>
  </w:p>
  <w:p w14:paraId="54303DDD">
    <w:pPr>
      <w:pStyle w:val="20"/>
      <w:pBdr>
        <w:bottom w:val="none" w:color="auto" w:sz="0" w:space="1"/>
      </w:pBdr>
    </w:pPr>
  </w:p>
  <w:p w14:paraId="239DA9EB">
    <w:pPr>
      <w:pStyle w:val="20"/>
      <w:pBdr>
        <w:bottom w:val="none" w:color="auto" w:sz="0" w:space="1"/>
      </w:pBdr>
    </w:pPr>
  </w:p>
  <w:p w14:paraId="05D47D0C">
    <w:pPr>
      <w:pStyle w:val="20"/>
      <w:tabs>
        <w:tab w:val="right" w:pos="9180"/>
      </w:tabs>
      <w:ind w:firstLine="180" w:firstLineChars="100"/>
      <w:jc w:val="both"/>
      <w:rPr>
        <w:rFonts w:hint="eastAsia" w:ascii="宋体" w:hAnsi="宋体"/>
        <w:lang w:val="en-US" w:eastAsia="zh-CN"/>
      </w:rPr>
    </w:pPr>
    <w:r>
      <w:rPr>
        <w:rFonts w:hint="eastAsia" w:ascii="宋体" w:hAnsi="宋体"/>
        <w:lang w:eastAsia="zh-CN"/>
      </w:rPr>
      <w:t>招标编号</w:t>
    </w:r>
    <w:r>
      <w:rPr>
        <w:rFonts w:hint="eastAsia" w:ascii="宋体" w:hAnsi="宋体"/>
      </w:rPr>
      <w:t>：</w:t>
    </w:r>
    <w:r>
      <w:rPr>
        <w:rFonts w:hint="eastAsia" w:ascii="宋体" w:hAnsi="宋体"/>
        <w:lang w:eastAsia="zh-CN"/>
      </w:rPr>
      <w:t>0809-2544ZQG3B304/01</w:t>
    </w:r>
    <w:r>
      <w:rPr>
        <w:rFonts w:hint="eastAsia" w:ascii="宋体" w:hAnsi="宋体"/>
      </w:rPr>
      <w:t xml:space="preserve">                    </w:t>
    </w:r>
    <w:r>
      <w:rPr>
        <w:rFonts w:hint="eastAsia" w:ascii="宋体" w:hAnsi="宋体"/>
        <w:lang w:val="en-US" w:eastAsia="zh-CN"/>
      </w:rPr>
      <w:t xml:space="preserve">  </w:t>
    </w:r>
  </w:p>
  <w:p w14:paraId="570EE13E">
    <w:pPr>
      <w:pStyle w:val="20"/>
      <w:tabs>
        <w:tab w:val="right" w:pos="9180"/>
      </w:tabs>
      <w:ind w:firstLine="180" w:firstLineChars="100"/>
      <w:jc w:val="both"/>
      <w:rPr>
        <w:rFonts w:hint="eastAsia" w:ascii="宋体" w:hAnsi="宋体" w:eastAsia="宋体"/>
        <w:lang w:eastAsia="zh-CN"/>
      </w:rPr>
    </w:pPr>
    <w:r>
      <w:rPr>
        <w:rFonts w:hint="eastAsia" w:ascii="宋体" w:hAnsi="宋体"/>
      </w:rPr>
      <w:t>项目名称：肇庆市港口投资发展有限公司德庆九市作业区可拆装式砂石装船设备项目2号泊位装船服务</w:t>
    </w:r>
  </w:p>
  <w:p w14:paraId="45FD6D72">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134D8">
    <w:pPr>
      <w:pStyle w:val="20"/>
      <w:tabs>
        <w:tab w:val="right" w:pos="9180"/>
      </w:tabs>
      <w:ind w:firstLine="180" w:firstLineChars="100"/>
      <w:jc w:val="both"/>
      <w:rPr>
        <w:rFonts w:hint="eastAsia" w:ascii="宋体" w:hAnsi="宋体"/>
        <w:lang w:eastAsia="zh-CN"/>
      </w:rPr>
    </w:pPr>
  </w:p>
  <w:p w14:paraId="21001F3A">
    <w:pPr>
      <w:pStyle w:val="20"/>
      <w:tabs>
        <w:tab w:val="right" w:pos="9180"/>
      </w:tabs>
      <w:ind w:firstLine="180" w:firstLineChars="100"/>
      <w:jc w:val="both"/>
      <w:rPr>
        <w:rFonts w:hint="eastAsia" w:ascii="宋体" w:hAnsi="宋体"/>
        <w:lang w:eastAsia="zh-CN"/>
      </w:rPr>
    </w:pPr>
  </w:p>
  <w:p w14:paraId="1C30FE03">
    <w:pPr>
      <w:pStyle w:val="20"/>
      <w:tabs>
        <w:tab w:val="right" w:pos="9180"/>
      </w:tabs>
      <w:ind w:firstLine="180" w:firstLineChars="100"/>
      <w:jc w:val="both"/>
      <w:rPr>
        <w:rFonts w:hint="eastAsia" w:ascii="宋体" w:hAnsi="宋体"/>
        <w:lang w:eastAsia="zh-CN"/>
      </w:rPr>
    </w:pPr>
  </w:p>
  <w:p w14:paraId="732D4D2C">
    <w:pPr>
      <w:pStyle w:val="20"/>
      <w:tabs>
        <w:tab w:val="right" w:pos="9180"/>
      </w:tabs>
      <w:ind w:firstLine="180" w:firstLineChars="100"/>
      <w:jc w:val="both"/>
      <w:rPr>
        <w:rFonts w:hint="eastAsia" w:ascii="宋体" w:hAnsi="宋体"/>
        <w:lang w:eastAsia="zh-CN"/>
      </w:rPr>
    </w:pPr>
  </w:p>
  <w:p w14:paraId="15E381D5">
    <w:pPr>
      <w:pStyle w:val="20"/>
      <w:tabs>
        <w:tab w:val="right" w:pos="9180"/>
      </w:tabs>
      <w:ind w:firstLine="180" w:firstLineChars="100"/>
      <w:jc w:val="both"/>
      <w:rPr>
        <w:rFonts w:hint="eastAsia" w:ascii="宋体" w:hAnsi="宋体"/>
        <w:lang w:val="en-US" w:eastAsia="zh-CN"/>
      </w:rPr>
    </w:pPr>
    <w:r>
      <w:rPr>
        <w:rFonts w:hint="eastAsia" w:ascii="宋体" w:hAnsi="宋体"/>
        <w:lang w:eastAsia="zh-CN"/>
      </w:rPr>
      <w:t>招标编号</w:t>
    </w:r>
    <w:r>
      <w:rPr>
        <w:rFonts w:hint="eastAsia" w:ascii="宋体" w:hAnsi="宋体"/>
      </w:rPr>
      <w:t>：</w:t>
    </w:r>
    <w:r>
      <w:rPr>
        <w:rFonts w:hint="eastAsia" w:ascii="宋体" w:hAnsi="宋体"/>
        <w:lang w:eastAsia="zh-CN"/>
      </w:rPr>
      <w:t>0809-2544ZQG3B304/01</w:t>
    </w:r>
    <w:r>
      <w:rPr>
        <w:rFonts w:hint="eastAsia" w:ascii="宋体" w:hAnsi="宋体"/>
      </w:rPr>
      <w:t xml:space="preserve">                    </w:t>
    </w:r>
    <w:r>
      <w:rPr>
        <w:rFonts w:hint="eastAsia" w:ascii="宋体" w:hAnsi="宋体"/>
        <w:lang w:val="en-US" w:eastAsia="zh-CN"/>
      </w:rPr>
      <w:t xml:space="preserve">  </w:t>
    </w:r>
  </w:p>
  <w:p w14:paraId="413642B1">
    <w:pPr>
      <w:pStyle w:val="20"/>
      <w:tabs>
        <w:tab w:val="right" w:pos="9180"/>
      </w:tabs>
      <w:ind w:firstLine="180" w:firstLineChars="100"/>
      <w:jc w:val="both"/>
      <w:rPr>
        <w:rFonts w:hint="eastAsia" w:ascii="宋体" w:hAnsi="宋体" w:eastAsia="宋体"/>
        <w:lang w:eastAsia="zh-CN"/>
      </w:rPr>
    </w:pPr>
    <w:r>
      <w:rPr>
        <w:rFonts w:hint="eastAsia" w:ascii="宋体" w:hAnsi="宋体"/>
      </w:rPr>
      <w:t>项目名称：肇庆市港口投资发展有限公司德庆九市作业区可拆装式砂石装船设备项目2号泊位装船服务</w:t>
    </w:r>
  </w:p>
  <w:p w14:paraId="4735DDD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EDC12"/>
    <w:multiLevelType w:val="singleLevel"/>
    <w:tmpl w:val="909EDC12"/>
    <w:lvl w:ilvl="0" w:tentative="0">
      <w:start w:val="2"/>
      <w:numFmt w:val="decimal"/>
      <w:suff w:val="nothing"/>
      <w:lvlText w:val="%1、"/>
      <w:lvlJc w:val="left"/>
    </w:lvl>
  </w:abstractNum>
  <w:abstractNum w:abstractNumId="1">
    <w:nsid w:val="A4F784CC"/>
    <w:multiLevelType w:val="singleLevel"/>
    <w:tmpl w:val="A4F784CC"/>
    <w:lvl w:ilvl="0" w:tentative="0">
      <w:start w:val="1"/>
      <w:numFmt w:val="chineseCounting"/>
      <w:suff w:val="nothing"/>
      <w:lvlText w:val="%1、"/>
      <w:lvlJc w:val="left"/>
      <w:pPr>
        <w:ind w:left="0" w:firstLine="420"/>
      </w:pPr>
      <w:rPr>
        <w:rFonts w:hint="eastAsia"/>
      </w:rPr>
    </w:lvl>
  </w:abstractNum>
  <w:abstractNum w:abstractNumId="2">
    <w:nsid w:val="B0F1ACD9"/>
    <w:multiLevelType w:val="multilevel"/>
    <w:tmpl w:val="B0F1ACD9"/>
    <w:lvl w:ilvl="0" w:tentative="0">
      <w:start w:val="1"/>
      <w:numFmt w:val="decimal"/>
      <w:lvlText w:val="（%1）"/>
      <w:lvlJc w:val="left"/>
      <w:pPr>
        <w:ind w:left="1289"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126" w:hanging="529"/>
      </w:pPr>
      <w:rPr>
        <w:rFonts w:hint="default"/>
        <w:lang w:val="zh-CN" w:eastAsia="zh-CN" w:bidi="zh-CN"/>
      </w:rPr>
    </w:lvl>
    <w:lvl w:ilvl="2" w:tentative="0">
      <w:start w:val="0"/>
      <w:numFmt w:val="bullet"/>
      <w:lvlText w:val="•"/>
      <w:lvlJc w:val="left"/>
      <w:pPr>
        <w:ind w:left="2972" w:hanging="529"/>
      </w:pPr>
      <w:rPr>
        <w:rFonts w:hint="default"/>
        <w:lang w:val="zh-CN" w:eastAsia="zh-CN" w:bidi="zh-CN"/>
      </w:rPr>
    </w:lvl>
    <w:lvl w:ilvl="3" w:tentative="0">
      <w:start w:val="0"/>
      <w:numFmt w:val="bullet"/>
      <w:lvlText w:val="•"/>
      <w:lvlJc w:val="left"/>
      <w:pPr>
        <w:ind w:left="3818" w:hanging="529"/>
      </w:pPr>
      <w:rPr>
        <w:rFonts w:hint="default"/>
        <w:lang w:val="zh-CN" w:eastAsia="zh-CN" w:bidi="zh-CN"/>
      </w:rPr>
    </w:lvl>
    <w:lvl w:ilvl="4" w:tentative="0">
      <w:start w:val="0"/>
      <w:numFmt w:val="bullet"/>
      <w:lvlText w:val="•"/>
      <w:lvlJc w:val="left"/>
      <w:pPr>
        <w:ind w:left="4664" w:hanging="529"/>
      </w:pPr>
      <w:rPr>
        <w:rFonts w:hint="default"/>
        <w:lang w:val="zh-CN" w:eastAsia="zh-CN" w:bidi="zh-CN"/>
      </w:rPr>
    </w:lvl>
    <w:lvl w:ilvl="5" w:tentative="0">
      <w:start w:val="0"/>
      <w:numFmt w:val="bullet"/>
      <w:lvlText w:val="•"/>
      <w:lvlJc w:val="left"/>
      <w:pPr>
        <w:ind w:left="5510" w:hanging="529"/>
      </w:pPr>
      <w:rPr>
        <w:rFonts w:hint="default"/>
        <w:lang w:val="zh-CN" w:eastAsia="zh-CN" w:bidi="zh-CN"/>
      </w:rPr>
    </w:lvl>
    <w:lvl w:ilvl="6" w:tentative="0">
      <w:start w:val="0"/>
      <w:numFmt w:val="bullet"/>
      <w:lvlText w:val="•"/>
      <w:lvlJc w:val="left"/>
      <w:pPr>
        <w:ind w:left="6356" w:hanging="529"/>
      </w:pPr>
      <w:rPr>
        <w:rFonts w:hint="default"/>
        <w:lang w:val="zh-CN" w:eastAsia="zh-CN" w:bidi="zh-CN"/>
      </w:rPr>
    </w:lvl>
    <w:lvl w:ilvl="7" w:tentative="0">
      <w:start w:val="0"/>
      <w:numFmt w:val="bullet"/>
      <w:lvlText w:val="•"/>
      <w:lvlJc w:val="left"/>
      <w:pPr>
        <w:ind w:left="7202" w:hanging="529"/>
      </w:pPr>
      <w:rPr>
        <w:rFonts w:hint="default"/>
        <w:lang w:val="zh-CN" w:eastAsia="zh-CN" w:bidi="zh-CN"/>
      </w:rPr>
    </w:lvl>
    <w:lvl w:ilvl="8" w:tentative="0">
      <w:start w:val="0"/>
      <w:numFmt w:val="bullet"/>
      <w:lvlText w:val="•"/>
      <w:lvlJc w:val="left"/>
      <w:pPr>
        <w:ind w:left="8048" w:hanging="529"/>
      </w:pPr>
      <w:rPr>
        <w:rFonts w:hint="default"/>
        <w:lang w:val="zh-CN" w:eastAsia="zh-CN" w:bidi="zh-CN"/>
      </w:rPr>
    </w:lvl>
  </w:abstractNum>
  <w:abstractNum w:abstractNumId="3">
    <w:nsid w:val="B502552D"/>
    <w:multiLevelType w:val="singleLevel"/>
    <w:tmpl w:val="B502552D"/>
    <w:lvl w:ilvl="0" w:tentative="0">
      <w:start w:val="1"/>
      <w:numFmt w:val="chineseCounting"/>
      <w:suff w:val="nothing"/>
      <w:lvlText w:val="（%1）"/>
      <w:lvlJc w:val="left"/>
      <w:pPr>
        <w:ind w:left="0" w:firstLine="420"/>
      </w:pPr>
      <w:rPr>
        <w:rFonts w:hint="eastAsia"/>
      </w:rPr>
    </w:lvl>
  </w:abstractNum>
  <w:abstractNum w:abstractNumId="4">
    <w:nsid w:val="BA03E3D3"/>
    <w:multiLevelType w:val="singleLevel"/>
    <w:tmpl w:val="BA03E3D3"/>
    <w:lvl w:ilvl="0" w:tentative="0">
      <w:start w:val="1"/>
      <w:numFmt w:val="chineseCounting"/>
      <w:suff w:val="nothing"/>
      <w:lvlText w:val="（%1）"/>
      <w:lvlJc w:val="left"/>
      <w:rPr>
        <w:rFonts w:hint="eastAsia"/>
      </w:rPr>
    </w:lvl>
  </w:abstractNum>
  <w:abstractNum w:abstractNumId="5">
    <w:nsid w:val="BE923771"/>
    <w:multiLevelType w:val="multilevel"/>
    <w:tmpl w:val="BE923771"/>
    <w:lvl w:ilvl="0" w:tentative="0">
      <w:start w:val="3"/>
      <w:numFmt w:val="decimal"/>
      <w:lvlText w:val="%1"/>
      <w:lvlJc w:val="left"/>
      <w:pPr>
        <w:ind w:left="1026" w:hanging="490"/>
      </w:pPr>
      <w:rPr>
        <w:rFonts w:hint="default"/>
        <w:lang w:val="zh-CN" w:eastAsia="zh-CN" w:bidi="zh-CN"/>
      </w:rPr>
    </w:lvl>
    <w:lvl w:ilvl="1" w:tentative="0">
      <w:start w:val="5"/>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3）"/>
      <w:lvlJc w:val="left"/>
      <w:pPr>
        <w:ind w:left="400" w:hanging="529"/>
      </w:pPr>
      <w:rPr>
        <w:rFonts w:hint="default" w:ascii="宋体" w:hAnsi="宋体" w:eastAsia="宋体" w:cs="宋体"/>
        <w:spacing w:val="-51"/>
        <w:w w:val="100"/>
        <w:sz w:val="19"/>
        <w:szCs w:val="19"/>
        <w:lang w:val="zh-CN" w:eastAsia="zh-CN" w:bidi="zh-CN"/>
      </w:rPr>
    </w:lvl>
    <w:lvl w:ilvl="3" w:tentative="0">
      <w:start w:val="0"/>
      <w:numFmt w:val="bullet"/>
      <w:lvlText w:val="•"/>
      <w:lvlJc w:val="left"/>
      <w:pPr>
        <w:ind w:left="2957" w:hanging="529"/>
      </w:pPr>
      <w:rPr>
        <w:rFonts w:hint="default"/>
        <w:lang w:val="zh-CN" w:eastAsia="zh-CN" w:bidi="zh-CN"/>
      </w:rPr>
    </w:lvl>
    <w:lvl w:ilvl="4" w:tentative="0">
      <w:start w:val="0"/>
      <w:numFmt w:val="bullet"/>
      <w:lvlText w:val="•"/>
      <w:lvlJc w:val="left"/>
      <w:pPr>
        <w:ind w:left="3926" w:hanging="529"/>
      </w:pPr>
      <w:rPr>
        <w:rFonts w:hint="default"/>
        <w:lang w:val="zh-CN" w:eastAsia="zh-CN" w:bidi="zh-CN"/>
      </w:rPr>
    </w:lvl>
    <w:lvl w:ilvl="5" w:tentative="0">
      <w:start w:val="0"/>
      <w:numFmt w:val="bullet"/>
      <w:lvlText w:val="•"/>
      <w:lvlJc w:val="left"/>
      <w:pPr>
        <w:ind w:left="4895" w:hanging="529"/>
      </w:pPr>
      <w:rPr>
        <w:rFonts w:hint="default"/>
        <w:lang w:val="zh-CN" w:eastAsia="zh-CN" w:bidi="zh-CN"/>
      </w:rPr>
    </w:lvl>
    <w:lvl w:ilvl="6" w:tentative="0">
      <w:start w:val="0"/>
      <w:numFmt w:val="bullet"/>
      <w:lvlText w:val="•"/>
      <w:lvlJc w:val="left"/>
      <w:pPr>
        <w:ind w:left="5864" w:hanging="529"/>
      </w:pPr>
      <w:rPr>
        <w:rFonts w:hint="default"/>
        <w:lang w:val="zh-CN" w:eastAsia="zh-CN" w:bidi="zh-CN"/>
      </w:rPr>
    </w:lvl>
    <w:lvl w:ilvl="7" w:tentative="0">
      <w:start w:val="0"/>
      <w:numFmt w:val="bullet"/>
      <w:lvlText w:val="•"/>
      <w:lvlJc w:val="left"/>
      <w:pPr>
        <w:ind w:left="6833" w:hanging="529"/>
      </w:pPr>
      <w:rPr>
        <w:rFonts w:hint="default"/>
        <w:lang w:val="zh-CN" w:eastAsia="zh-CN" w:bidi="zh-CN"/>
      </w:rPr>
    </w:lvl>
    <w:lvl w:ilvl="8" w:tentative="0">
      <w:start w:val="0"/>
      <w:numFmt w:val="bullet"/>
      <w:lvlText w:val="•"/>
      <w:lvlJc w:val="left"/>
      <w:pPr>
        <w:ind w:left="7802" w:hanging="529"/>
      </w:pPr>
      <w:rPr>
        <w:rFonts w:hint="default"/>
        <w:lang w:val="zh-CN" w:eastAsia="zh-CN" w:bidi="zh-CN"/>
      </w:rPr>
    </w:lvl>
  </w:abstractNum>
  <w:abstractNum w:abstractNumId="6">
    <w:nsid w:val="C60A236F"/>
    <w:multiLevelType w:val="singleLevel"/>
    <w:tmpl w:val="C60A236F"/>
    <w:lvl w:ilvl="0" w:tentative="0">
      <w:start w:val="2"/>
      <w:numFmt w:val="decimal"/>
      <w:suff w:val="nothing"/>
      <w:lvlText w:val="（%1）"/>
      <w:lvlJc w:val="left"/>
      <w:pPr>
        <w:ind w:left="315" w:leftChars="0" w:firstLine="0" w:firstLineChars="0"/>
      </w:pPr>
    </w:lvl>
  </w:abstractNum>
  <w:abstractNum w:abstractNumId="7">
    <w:nsid w:val="D6DCEA5C"/>
    <w:multiLevelType w:val="singleLevel"/>
    <w:tmpl w:val="D6DCEA5C"/>
    <w:lvl w:ilvl="0" w:tentative="0">
      <w:start w:val="1"/>
      <w:numFmt w:val="decimal"/>
      <w:lvlText w:val="%1."/>
      <w:lvlJc w:val="left"/>
      <w:pPr>
        <w:tabs>
          <w:tab w:val="left" w:pos="312"/>
        </w:tabs>
      </w:pPr>
    </w:lvl>
  </w:abstractNum>
  <w:abstractNum w:abstractNumId="8">
    <w:nsid w:val="E1DCF328"/>
    <w:multiLevelType w:val="singleLevel"/>
    <w:tmpl w:val="E1DCF328"/>
    <w:lvl w:ilvl="0" w:tentative="0">
      <w:start w:val="1"/>
      <w:numFmt w:val="decimal"/>
      <w:suff w:val="nothing"/>
      <w:lvlText w:val="%1、"/>
      <w:lvlJc w:val="left"/>
    </w:lvl>
  </w:abstractNum>
  <w:abstractNum w:abstractNumId="9">
    <w:nsid w:val="F04FF300"/>
    <w:multiLevelType w:val="singleLevel"/>
    <w:tmpl w:val="F04FF300"/>
    <w:lvl w:ilvl="0" w:tentative="0">
      <w:start w:val="1"/>
      <w:numFmt w:val="decimal"/>
      <w:suff w:val="nothing"/>
      <w:lvlText w:val="（%1）"/>
      <w:lvlJc w:val="left"/>
    </w:lvl>
  </w:abstractNum>
  <w:abstractNum w:abstractNumId="10">
    <w:nsid w:val="0000000F"/>
    <w:multiLevelType w:val="multilevel"/>
    <w:tmpl w:val="0000000F"/>
    <w:lvl w:ilvl="0" w:tentative="0">
      <w:start w:val="1"/>
      <w:numFmt w:val="decimal"/>
      <w:lvlText w:val="%1."/>
      <w:lvlJc w:val="left"/>
      <w:pPr>
        <w:ind w:left="80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346" w:hanging="52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1340" w:hanging="526"/>
      </w:pPr>
      <w:rPr>
        <w:rFonts w:hint="default"/>
        <w:lang w:val="zh-CN" w:eastAsia="zh-CN" w:bidi="zh-CN"/>
      </w:rPr>
    </w:lvl>
    <w:lvl w:ilvl="4" w:tentative="0">
      <w:start w:val="0"/>
      <w:numFmt w:val="bullet"/>
      <w:lvlText w:val="•"/>
      <w:lvlJc w:val="left"/>
      <w:pPr>
        <w:ind w:left="2540" w:hanging="526"/>
      </w:pPr>
      <w:rPr>
        <w:rFonts w:hint="default"/>
        <w:lang w:val="zh-CN" w:eastAsia="zh-CN" w:bidi="zh-CN"/>
      </w:rPr>
    </w:lvl>
    <w:lvl w:ilvl="5" w:tentative="0">
      <w:start w:val="0"/>
      <w:numFmt w:val="bullet"/>
      <w:lvlText w:val="•"/>
      <w:lvlJc w:val="left"/>
      <w:pPr>
        <w:ind w:left="3740" w:hanging="526"/>
      </w:pPr>
      <w:rPr>
        <w:rFonts w:hint="default"/>
        <w:lang w:val="zh-CN" w:eastAsia="zh-CN" w:bidi="zh-CN"/>
      </w:rPr>
    </w:lvl>
    <w:lvl w:ilvl="6" w:tentative="0">
      <w:start w:val="0"/>
      <w:numFmt w:val="bullet"/>
      <w:lvlText w:val="•"/>
      <w:lvlJc w:val="left"/>
      <w:pPr>
        <w:ind w:left="4940" w:hanging="526"/>
      </w:pPr>
      <w:rPr>
        <w:rFonts w:hint="default"/>
        <w:lang w:val="zh-CN" w:eastAsia="zh-CN" w:bidi="zh-CN"/>
      </w:rPr>
    </w:lvl>
    <w:lvl w:ilvl="7" w:tentative="0">
      <w:start w:val="0"/>
      <w:numFmt w:val="bullet"/>
      <w:lvlText w:val="•"/>
      <w:lvlJc w:val="left"/>
      <w:pPr>
        <w:ind w:left="6140" w:hanging="526"/>
      </w:pPr>
      <w:rPr>
        <w:rFonts w:hint="default"/>
        <w:lang w:val="zh-CN" w:eastAsia="zh-CN" w:bidi="zh-CN"/>
      </w:rPr>
    </w:lvl>
    <w:lvl w:ilvl="8" w:tentative="0">
      <w:start w:val="0"/>
      <w:numFmt w:val="bullet"/>
      <w:lvlText w:val="•"/>
      <w:lvlJc w:val="left"/>
      <w:pPr>
        <w:ind w:left="7340" w:hanging="526"/>
      </w:pPr>
      <w:rPr>
        <w:rFonts w:hint="default"/>
        <w:lang w:val="zh-CN" w:eastAsia="zh-CN" w:bidi="zh-CN"/>
      </w:rPr>
    </w:lvl>
  </w:abstractNum>
  <w:abstractNum w:abstractNumId="11">
    <w:nsid w:val="4C1BAE26"/>
    <w:multiLevelType w:val="multilevel"/>
    <w:tmpl w:val="4C1BAE26"/>
    <w:lvl w:ilvl="0" w:tentative="0">
      <w:start w:val="1"/>
      <w:numFmt w:val="decimal"/>
      <w:lvlText w:val="%1."/>
      <w:lvlJc w:val="left"/>
      <w:pPr>
        <w:ind w:left="80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400" w:hanging="473"/>
      </w:pPr>
      <w:rPr>
        <w:rFonts w:hint="default" w:ascii="Times New Roman" w:hAnsi="Times New Roman" w:eastAsia="Times New Roman" w:cs="Times New Roman"/>
        <w:w w:val="100"/>
        <w:sz w:val="24"/>
        <w:szCs w:val="24"/>
        <w:lang w:val="zh-CN" w:eastAsia="zh-CN" w:bidi="zh-CN"/>
      </w:rPr>
    </w:lvl>
    <w:lvl w:ilvl="3" w:tentative="0">
      <w:start w:val="1"/>
      <w:numFmt w:val="decimal"/>
      <w:lvlText w:val="（%4）"/>
      <w:lvlJc w:val="left"/>
      <w:pPr>
        <w:ind w:left="1647" w:hanging="529"/>
      </w:pPr>
      <w:rPr>
        <w:rFonts w:hint="default" w:ascii="宋体" w:hAnsi="宋体" w:eastAsia="宋体" w:cs="宋体"/>
        <w:spacing w:val="-3"/>
        <w:w w:val="100"/>
        <w:sz w:val="24"/>
        <w:szCs w:val="24"/>
        <w:lang w:val="zh-CN" w:eastAsia="zh-CN" w:bidi="zh-CN"/>
      </w:rPr>
    </w:lvl>
    <w:lvl w:ilvl="4" w:tentative="0">
      <w:start w:val="0"/>
      <w:numFmt w:val="bullet"/>
      <w:lvlText w:val="•"/>
      <w:lvlJc w:val="left"/>
      <w:pPr>
        <w:ind w:left="1380" w:hanging="529"/>
      </w:pPr>
      <w:rPr>
        <w:rFonts w:hint="default"/>
        <w:lang w:val="zh-CN" w:eastAsia="zh-CN" w:bidi="zh-CN"/>
      </w:rPr>
    </w:lvl>
    <w:lvl w:ilvl="5" w:tentative="0">
      <w:start w:val="0"/>
      <w:numFmt w:val="bullet"/>
      <w:lvlText w:val="•"/>
      <w:lvlJc w:val="left"/>
      <w:pPr>
        <w:ind w:left="1640" w:hanging="529"/>
      </w:pPr>
      <w:rPr>
        <w:rFonts w:hint="default"/>
        <w:lang w:val="zh-CN" w:eastAsia="zh-CN" w:bidi="zh-CN"/>
      </w:rPr>
    </w:lvl>
    <w:lvl w:ilvl="6" w:tentative="0">
      <w:start w:val="0"/>
      <w:numFmt w:val="bullet"/>
      <w:lvlText w:val="•"/>
      <w:lvlJc w:val="left"/>
      <w:pPr>
        <w:ind w:left="3260" w:hanging="529"/>
      </w:pPr>
      <w:rPr>
        <w:rFonts w:hint="default"/>
        <w:lang w:val="zh-CN" w:eastAsia="zh-CN" w:bidi="zh-CN"/>
      </w:rPr>
    </w:lvl>
    <w:lvl w:ilvl="7" w:tentative="0">
      <w:start w:val="0"/>
      <w:numFmt w:val="bullet"/>
      <w:lvlText w:val="•"/>
      <w:lvlJc w:val="left"/>
      <w:pPr>
        <w:ind w:left="4880" w:hanging="529"/>
      </w:pPr>
      <w:rPr>
        <w:rFonts w:hint="default"/>
        <w:lang w:val="zh-CN" w:eastAsia="zh-CN" w:bidi="zh-CN"/>
      </w:rPr>
    </w:lvl>
    <w:lvl w:ilvl="8" w:tentative="0">
      <w:start w:val="0"/>
      <w:numFmt w:val="bullet"/>
      <w:lvlText w:val="•"/>
      <w:lvlJc w:val="left"/>
      <w:pPr>
        <w:ind w:left="6500" w:hanging="529"/>
      </w:pPr>
      <w:rPr>
        <w:rFonts w:hint="default"/>
        <w:lang w:val="zh-CN" w:eastAsia="zh-CN" w:bidi="zh-CN"/>
      </w:rPr>
    </w:lvl>
  </w:abstractNum>
  <w:abstractNum w:abstractNumId="12">
    <w:nsid w:val="4D8782F7"/>
    <w:multiLevelType w:val="singleLevel"/>
    <w:tmpl w:val="4D8782F7"/>
    <w:lvl w:ilvl="0" w:tentative="0">
      <w:start w:val="1"/>
      <w:numFmt w:val="decimal"/>
      <w:suff w:val="nothing"/>
      <w:lvlText w:val="%1、"/>
      <w:lvlJc w:val="left"/>
    </w:lvl>
  </w:abstractNum>
  <w:abstractNum w:abstractNumId="13">
    <w:nsid w:val="4D94DA66"/>
    <w:multiLevelType w:val="multilevel"/>
    <w:tmpl w:val="4D94DA66"/>
    <w:lvl w:ilvl="0" w:tentative="0">
      <w:start w:val="5"/>
      <w:numFmt w:val="decimal"/>
      <w:lvlText w:val="%1"/>
      <w:lvlJc w:val="left"/>
      <w:pPr>
        <w:ind w:left="1026" w:hanging="490"/>
      </w:pPr>
      <w:rPr>
        <w:rFonts w:hint="default"/>
        <w:lang w:val="zh-CN" w:eastAsia="zh-CN" w:bidi="zh-CN"/>
      </w:rPr>
    </w:lvl>
    <w:lvl w:ilvl="1" w:tentative="0">
      <w:start w:val="1"/>
      <w:numFmt w:val="decimal"/>
      <w:lvlText w:val="%1.%2"/>
      <w:lvlJc w:val="left"/>
      <w:pPr>
        <w:ind w:left="102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3）"/>
      <w:lvlJc w:val="left"/>
      <w:pPr>
        <w:ind w:left="1349" w:hanging="529"/>
      </w:pPr>
      <w:rPr>
        <w:rFonts w:hint="default" w:ascii="宋体" w:hAnsi="宋体" w:eastAsia="宋体" w:cs="宋体"/>
        <w:spacing w:val="-3"/>
        <w:w w:val="100"/>
        <w:sz w:val="19"/>
        <w:szCs w:val="19"/>
        <w:lang w:val="zh-CN" w:eastAsia="zh-CN" w:bidi="zh-CN"/>
      </w:rPr>
    </w:lvl>
    <w:lvl w:ilvl="3" w:tentative="0">
      <w:start w:val="0"/>
      <w:numFmt w:val="bullet"/>
      <w:lvlText w:val="•"/>
      <w:lvlJc w:val="left"/>
      <w:pPr>
        <w:ind w:left="3206" w:hanging="529"/>
      </w:pPr>
      <w:rPr>
        <w:rFonts w:hint="default"/>
        <w:lang w:val="zh-CN" w:eastAsia="zh-CN" w:bidi="zh-CN"/>
      </w:rPr>
    </w:lvl>
    <w:lvl w:ilvl="4" w:tentative="0">
      <w:start w:val="0"/>
      <w:numFmt w:val="bullet"/>
      <w:lvlText w:val="•"/>
      <w:lvlJc w:val="left"/>
      <w:pPr>
        <w:ind w:left="4140" w:hanging="529"/>
      </w:pPr>
      <w:rPr>
        <w:rFonts w:hint="default"/>
        <w:lang w:val="zh-CN" w:eastAsia="zh-CN" w:bidi="zh-CN"/>
      </w:rPr>
    </w:lvl>
    <w:lvl w:ilvl="5" w:tentative="0">
      <w:start w:val="0"/>
      <w:numFmt w:val="bullet"/>
      <w:lvlText w:val="•"/>
      <w:lvlJc w:val="left"/>
      <w:pPr>
        <w:ind w:left="5073" w:hanging="529"/>
      </w:pPr>
      <w:rPr>
        <w:rFonts w:hint="default"/>
        <w:lang w:val="zh-CN" w:eastAsia="zh-CN" w:bidi="zh-CN"/>
      </w:rPr>
    </w:lvl>
    <w:lvl w:ilvl="6" w:tentative="0">
      <w:start w:val="0"/>
      <w:numFmt w:val="bullet"/>
      <w:lvlText w:val="•"/>
      <w:lvlJc w:val="left"/>
      <w:pPr>
        <w:ind w:left="6006" w:hanging="529"/>
      </w:pPr>
      <w:rPr>
        <w:rFonts w:hint="default"/>
        <w:lang w:val="zh-CN" w:eastAsia="zh-CN" w:bidi="zh-CN"/>
      </w:rPr>
    </w:lvl>
    <w:lvl w:ilvl="7" w:tentative="0">
      <w:start w:val="0"/>
      <w:numFmt w:val="bullet"/>
      <w:lvlText w:val="•"/>
      <w:lvlJc w:val="left"/>
      <w:pPr>
        <w:ind w:left="6940" w:hanging="529"/>
      </w:pPr>
      <w:rPr>
        <w:rFonts w:hint="default"/>
        <w:lang w:val="zh-CN" w:eastAsia="zh-CN" w:bidi="zh-CN"/>
      </w:rPr>
    </w:lvl>
    <w:lvl w:ilvl="8" w:tentative="0">
      <w:start w:val="0"/>
      <w:numFmt w:val="bullet"/>
      <w:lvlText w:val="•"/>
      <w:lvlJc w:val="left"/>
      <w:pPr>
        <w:ind w:left="7873" w:hanging="529"/>
      </w:pPr>
      <w:rPr>
        <w:rFonts w:hint="default"/>
        <w:lang w:val="zh-CN" w:eastAsia="zh-CN" w:bidi="zh-CN"/>
      </w:rPr>
    </w:lvl>
  </w:abstractNum>
  <w:abstractNum w:abstractNumId="14">
    <w:nsid w:val="5071EEF5"/>
    <w:multiLevelType w:val="singleLevel"/>
    <w:tmpl w:val="5071EEF5"/>
    <w:lvl w:ilvl="0" w:tentative="0">
      <w:start w:val="2"/>
      <w:numFmt w:val="decimal"/>
      <w:suff w:val="nothing"/>
      <w:lvlText w:val="%1、"/>
      <w:lvlJc w:val="left"/>
    </w:lvl>
  </w:abstractNum>
  <w:abstractNum w:abstractNumId="15">
    <w:nsid w:val="53618315"/>
    <w:multiLevelType w:val="singleLevel"/>
    <w:tmpl w:val="53618315"/>
    <w:lvl w:ilvl="0" w:tentative="0">
      <w:start w:val="1"/>
      <w:numFmt w:val="decimal"/>
      <w:lvlText w:val="%1)"/>
      <w:lvlJc w:val="left"/>
      <w:pPr>
        <w:tabs>
          <w:tab w:val="left" w:pos="312"/>
        </w:tabs>
      </w:pPr>
    </w:lvl>
  </w:abstractNum>
  <w:abstractNum w:abstractNumId="16">
    <w:nsid w:val="56E91E6B"/>
    <w:multiLevelType w:val="singleLevel"/>
    <w:tmpl w:val="56E91E6B"/>
    <w:lvl w:ilvl="0" w:tentative="0">
      <w:start w:val="1"/>
      <w:numFmt w:val="decimal"/>
      <w:suff w:val="nothing"/>
      <w:lvlText w:val="%1．"/>
      <w:lvlJc w:val="left"/>
    </w:lvl>
  </w:abstractNum>
  <w:abstractNum w:abstractNumId="17">
    <w:nsid w:val="5B983F2F"/>
    <w:multiLevelType w:val="singleLevel"/>
    <w:tmpl w:val="5B983F2F"/>
    <w:lvl w:ilvl="0" w:tentative="0">
      <w:start w:val="1"/>
      <w:numFmt w:val="chineseCounting"/>
      <w:suff w:val="nothing"/>
      <w:lvlText w:val="%1、"/>
      <w:lvlJc w:val="left"/>
      <w:pPr>
        <w:ind w:left="0" w:firstLine="420"/>
      </w:pPr>
      <w:rPr>
        <w:rFonts w:hint="eastAsia"/>
      </w:rPr>
    </w:lvl>
  </w:abstractNum>
  <w:abstractNum w:abstractNumId="18">
    <w:nsid w:val="60382F6E"/>
    <w:multiLevelType w:val="multilevel"/>
    <w:tmpl w:val="60382F6E"/>
    <w:lvl w:ilvl="0" w:tentative="0">
      <w:start w:val="1"/>
      <w:numFmt w:val="decimal"/>
      <w:lvlText w:val="（%1）"/>
      <w:lvlJc w:val="left"/>
      <w:pPr>
        <w:ind w:left="1243"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090" w:hanging="529"/>
      </w:pPr>
      <w:rPr>
        <w:rFonts w:hint="default"/>
        <w:lang w:val="zh-CN" w:eastAsia="zh-CN" w:bidi="zh-CN"/>
      </w:rPr>
    </w:lvl>
    <w:lvl w:ilvl="2" w:tentative="0">
      <w:start w:val="0"/>
      <w:numFmt w:val="bullet"/>
      <w:lvlText w:val="•"/>
      <w:lvlJc w:val="left"/>
      <w:pPr>
        <w:ind w:left="2940" w:hanging="529"/>
      </w:pPr>
      <w:rPr>
        <w:rFonts w:hint="default"/>
        <w:lang w:val="zh-CN" w:eastAsia="zh-CN" w:bidi="zh-CN"/>
      </w:rPr>
    </w:lvl>
    <w:lvl w:ilvl="3" w:tentative="0">
      <w:start w:val="0"/>
      <w:numFmt w:val="bullet"/>
      <w:lvlText w:val="•"/>
      <w:lvlJc w:val="left"/>
      <w:pPr>
        <w:ind w:left="3790" w:hanging="529"/>
      </w:pPr>
      <w:rPr>
        <w:rFonts w:hint="default"/>
        <w:lang w:val="zh-CN" w:eastAsia="zh-CN" w:bidi="zh-CN"/>
      </w:rPr>
    </w:lvl>
    <w:lvl w:ilvl="4" w:tentative="0">
      <w:start w:val="0"/>
      <w:numFmt w:val="bullet"/>
      <w:lvlText w:val="•"/>
      <w:lvlJc w:val="left"/>
      <w:pPr>
        <w:ind w:left="4640" w:hanging="529"/>
      </w:pPr>
      <w:rPr>
        <w:rFonts w:hint="default"/>
        <w:lang w:val="zh-CN" w:eastAsia="zh-CN" w:bidi="zh-CN"/>
      </w:rPr>
    </w:lvl>
    <w:lvl w:ilvl="5" w:tentative="0">
      <w:start w:val="0"/>
      <w:numFmt w:val="bullet"/>
      <w:lvlText w:val="•"/>
      <w:lvlJc w:val="left"/>
      <w:pPr>
        <w:ind w:left="5490" w:hanging="529"/>
      </w:pPr>
      <w:rPr>
        <w:rFonts w:hint="default"/>
        <w:lang w:val="zh-CN" w:eastAsia="zh-CN" w:bidi="zh-CN"/>
      </w:rPr>
    </w:lvl>
    <w:lvl w:ilvl="6" w:tentative="0">
      <w:start w:val="0"/>
      <w:numFmt w:val="bullet"/>
      <w:lvlText w:val="•"/>
      <w:lvlJc w:val="left"/>
      <w:pPr>
        <w:ind w:left="6340" w:hanging="529"/>
      </w:pPr>
      <w:rPr>
        <w:rFonts w:hint="default"/>
        <w:lang w:val="zh-CN" w:eastAsia="zh-CN" w:bidi="zh-CN"/>
      </w:rPr>
    </w:lvl>
    <w:lvl w:ilvl="7" w:tentative="0">
      <w:start w:val="0"/>
      <w:numFmt w:val="bullet"/>
      <w:lvlText w:val="•"/>
      <w:lvlJc w:val="left"/>
      <w:pPr>
        <w:ind w:left="7190" w:hanging="529"/>
      </w:pPr>
      <w:rPr>
        <w:rFonts w:hint="default"/>
        <w:lang w:val="zh-CN" w:eastAsia="zh-CN" w:bidi="zh-CN"/>
      </w:rPr>
    </w:lvl>
    <w:lvl w:ilvl="8" w:tentative="0">
      <w:start w:val="0"/>
      <w:numFmt w:val="bullet"/>
      <w:lvlText w:val="•"/>
      <w:lvlJc w:val="left"/>
      <w:pPr>
        <w:ind w:left="8040" w:hanging="529"/>
      </w:pPr>
      <w:rPr>
        <w:rFonts w:hint="default"/>
        <w:lang w:val="zh-CN" w:eastAsia="zh-CN" w:bidi="zh-CN"/>
      </w:rPr>
    </w:lvl>
  </w:abstractNum>
  <w:abstractNum w:abstractNumId="19">
    <w:nsid w:val="65C36A84"/>
    <w:multiLevelType w:val="multilevel"/>
    <w:tmpl w:val="65C36A84"/>
    <w:lvl w:ilvl="0" w:tentative="0">
      <w:start w:val="3"/>
      <w:numFmt w:val="decimal"/>
      <w:lvlText w:val="%1"/>
      <w:lvlJc w:val="left"/>
      <w:pPr>
        <w:ind w:left="400" w:hanging="526"/>
      </w:pPr>
      <w:rPr>
        <w:rFonts w:hint="default"/>
        <w:lang w:val="zh-CN" w:eastAsia="zh-CN" w:bidi="zh-CN"/>
      </w:rPr>
    </w:lvl>
    <w:lvl w:ilvl="1" w:tentative="0">
      <w:start w:val="6"/>
      <w:numFmt w:val="decimal"/>
      <w:lvlText w:val="%1.%2"/>
      <w:lvlJc w:val="left"/>
      <w:pPr>
        <w:ind w:left="400" w:hanging="526"/>
      </w:pPr>
      <w:rPr>
        <w:rFonts w:hint="default"/>
        <w:lang w:val="zh-CN" w:eastAsia="zh-CN" w:bidi="zh-CN"/>
      </w:rPr>
    </w:lvl>
    <w:lvl w:ilvl="2" w:tentative="0">
      <w:start w:val="1"/>
      <w:numFmt w:val="decimal"/>
      <w:lvlText w:val="%1.%2.%3"/>
      <w:lvlJc w:val="left"/>
      <w:pPr>
        <w:ind w:left="400" w:hanging="52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202" w:hanging="526"/>
      </w:pPr>
      <w:rPr>
        <w:rFonts w:hint="default"/>
        <w:lang w:val="zh-CN" w:eastAsia="zh-CN" w:bidi="zh-CN"/>
      </w:rPr>
    </w:lvl>
    <w:lvl w:ilvl="4" w:tentative="0">
      <w:start w:val="0"/>
      <w:numFmt w:val="bullet"/>
      <w:lvlText w:val="•"/>
      <w:lvlJc w:val="left"/>
      <w:pPr>
        <w:ind w:left="4136" w:hanging="526"/>
      </w:pPr>
      <w:rPr>
        <w:rFonts w:hint="default"/>
        <w:lang w:val="zh-CN" w:eastAsia="zh-CN" w:bidi="zh-CN"/>
      </w:rPr>
    </w:lvl>
    <w:lvl w:ilvl="5" w:tentative="0">
      <w:start w:val="0"/>
      <w:numFmt w:val="bullet"/>
      <w:lvlText w:val="•"/>
      <w:lvlJc w:val="left"/>
      <w:pPr>
        <w:ind w:left="5070" w:hanging="526"/>
      </w:pPr>
      <w:rPr>
        <w:rFonts w:hint="default"/>
        <w:lang w:val="zh-CN" w:eastAsia="zh-CN" w:bidi="zh-CN"/>
      </w:rPr>
    </w:lvl>
    <w:lvl w:ilvl="6" w:tentative="0">
      <w:start w:val="0"/>
      <w:numFmt w:val="bullet"/>
      <w:lvlText w:val="•"/>
      <w:lvlJc w:val="left"/>
      <w:pPr>
        <w:ind w:left="6004" w:hanging="526"/>
      </w:pPr>
      <w:rPr>
        <w:rFonts w:hint="default"/>
        <w:lang w:val="zh-CN" w:eastAsia="zh-CN" w:bidi="zh-CN"/>
      </w:rPr>
    </w:lvl>
    <w:lvl w:ilvl="7" w:tentative="0">
      <w:start w:val="0"/>
      <w:numFmt w:val="bullet"/>
      <w:lvlText w:val="•"/>
      <w:lvlJc w:val="left"/>
      <w:pPr>
        <w:ind w:left="6938" w:hanging="526"/>
      </w:pPr>
      <w:rPr>
        <w:rFonts w:hint="default"/>
        <w:lang w:val="zh-CN" w:eastAsia="zh-CN" w:bidi="zh-CN"/>
      </w:rPr>
    </w:lvl>
    <w:lvl w:ilvl="8" w:tentative="0">
      <w:start w:val="0"/>
      <w:numFmt w:val="bullet"/>
      <w:lvlText w:val="•"/>
      <w:lvlJc w:val="left"/>
      <w:pPr>
        <w:ind w:left="7872" w:hanging="526"/>
      </w:pPr>
      <w:rPr>
        <w:rFonts w:hint="default"/>
        <w:lang w:val="zh-CN" w:eastAsia="zh-CN" w:bidi="zh-CN"/>
      </w:rPr>
    </w:lvl>
  </w:abstractNum>
  <w:abstractNum w:abstractNumId="20">
    <w:nsid w:val="75AA5C39"/>
    <w:multiLevelType w:val="multilevel"/>
    <w:tmpl w:val="75AA5C39"/>
    <w:lvl w:ilvl="0" w:tentative="0">
      <w:start w:val="3"/>
      <w:numFmt w:val="decimal"/>
      <w:lvlText w:val="%1"/>
      <w:lvlJc w:val="left"/>
      <w:pPr>
        <w:ind w:left="400" w:hanging="526"/>
      </w:pPr>
      <w:rPr>
        <w:rFonts w:hint="default"/>
        <w:lang w:val="zh-CN" w:eastAsia="zh-CN" w:bidi="zh-CN"/>
      </w:rPr>
    </w:lvl>
    <w:lvl w:ilvl="1" w:tentative="0">
      <w:start w:val="7"/>
      <w:numFmt w:val="decimal"/>
      <w:lvlText w:val="%1.%2"/>
      <w:lvlJc w:val="left"/>
      <w:pPr>
        <w:ind w:left="400" w:hanging="526"/>
      </w:pPr>
      <w:rPr>
        <w:rFonts w:hint="default" w:ascii="宋体" w:hAnsi="宋体" w:eastAsia="宋体" w:cs="宋体"/>
        <w:lang w:val="zh-CN" w:eastAsia="zh-CN" w:bidi="zh-CN"/>
      </w:rPr>
    </w:lvl>
    <w:lvl w:ilvl="2" w:tentative="0">
      <w:start w:val="1"/>
      <w:numFmt w:val="decimal"/>
      <w:lvlText w:val="%1.%2.%3"/>
      <w:lvlJc w:val="left"/>
      <w:pPr>
        <w:ind w:left="400" w:hanging="52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3202" w:hanging="526"/>
      </w:pPr>
      <w:rPr>
        <w:rFonts w:hint="default"/>
        <w:lang w:val="zh-CN" w:eastAsia="zh-CN" w:bidi="zh-CN"/>
      </w:rPr>
    </w:lvl>
    <w:lvl w:ilvl="4" w:tentative="0">
      <w:start w:val="0"/>
      <w:numFmt w:val="bullet"/>
      <w:lvlText w:val="•"/>
      <w:lvlJc w:val="left"/>
      <w:pPr>
        <w:ind w:left="4136" w:hanging="526"/>
      </w:pPr>
      <w:rPr>
        <w:rFonts w:hint="default"/>
        <w:lang w:val="zh-CN" w:eastAsia="zh-CN" w:bidi="zh-CN"/>
      </w:rPr>
    </w:lvl>
    <w:lvl w:ilvl="5" w:tentative="0">
      <w:start w:val="0"/>
      <w:numFmt w:val="bullet"/>
      <w:lvlText w:val="•"/>
      <w:lvlJc w:val="left"/>
      <w:pPr>
        <w:ind w:left="5070" w:hanging="526"/>
      </w:pPr>
      <w:rPr>
        <w:rFonts w:hint="default"/>
        <w:lang w:val="zh-CN" w:eastAsia="zh-CN" w:bidi="zh-CN"/>
      </w:rPr>
    </w:lvl>
    <w:lvl w:ilvl="6" w:tentative="0">
      <w:start w:val="0"/>
      <w:numFmt w:val="bullet"/>
      <w:lvlText w:val="•"/>
      <w:lvlJc w:val="left"/>
      <w:pPr>
        <w:ind w:left="6004" w:hanging="526"/>
      </w:pPr>
      <w:rPr>
        <w:rFonts w:hint="default"/>
        <w:lang w:val="zh-CN" w:eastAsia="zh-CN" w:bidi="zh-CN"/>
      </w:rPr>
    </w:lvl>
    <w:lvl w:ilvl="7" w:tentative="0">
      <w:start w:val="0"/>
      <w:numFmt w:val="bullet"/>
      <w:lvlText w:val="•"/>
      <w:lvlJc w:val="left"/>
      <w:pPr>
        <w:ind w:left="6938" w:hanging="526"/>
      </w:pPr>
      <w:rPr>
        <w:rFonts w:hint="default"/>
        <w:lang w:val="zh-CN" w:eastAsia="zh-CN" w:bidi="zh-CN"/>
      </w:rPr>
    </w:lvl>
    <w:lvl w:ilvl="8" w:tentative="0">
      <w:start w:val="0"/>
      <w:numFmt w:val="bullet"/>
      <w:lvlText w:val="•"/>
      <w:lvlJc w:val="left"/>
      <w:pPr>
        <w:ind w:left="7872" w:hanging="526"/>
      </w:pPr>
      <w:rPr>
        <w:rFonts w:hint="default"/>
        <w:lang w:val="zh-CN" w:eastAsia="zh-CN" w:bidi="zh-CN"/>
      </w:rPr>
    </w:lvl>
  </w:abstractNum>
  <w:num w:numId="1">
    <w:abstractNumId w:val="12"/>
  </w:num>
  <w:num w:numId="2">
    <w:abstractNumId w:val="8"/>
  </w:num>
  <w:num w:numId="3">
    <w:abstractNumId w:val="15"/>
  </w:num>
  <w:num w:numId="4">
    <w:abstractNumId w:val="9"/>
  </w:num>
  <w:num w:numId="5">
    <w:abstractNumId w:val="11"/>
  </w:num>
  <w:num w:numId="6">
    <w:abstractNumId w:val="18"/>
  </w:num>
  <w:num w:numId="7">
    <w:abstractNumId w:val="2"/>
  </w:num>
  <w:num w:numId="8">
    <w:abstractNumId w:val="5"/>
  </w:num>
  <w:num w:numId="9">
    <w:abstractNumId w:val="19"/>
  </w:num>
  <w:num w:numId="10">
    <w:abstractNumId w:val="20"/>
  </w:num>
  <w:num w:numId="11">
    <w:abstractNumId w:val="13"/>
  </w:num>
  <w:num w:numId="12">
    <w:abstractNumId w:val="10"/>
  </w:num>
  <w:num w:numId="13">
    <w:abstractNumId w:val="16"/>
  </w:num>
  <w:num w:numId="14">
    <w:abstractNumId w:val="6"/>
  </w:num>
  <w:num w:numId="15">
    <w:abstractNumId w:val="7"/>
  </w:num>
  <w:num w:numId="16">
    <w:abstractNumId w:val="17"/>
  </w:num>
  <w:num w:numId="17">
    <w:abstractNumId w:val="1"/>
  </w:num>
  <w:num w:numId="18">
    <w:abstractNumId w:val="3"/>
  </w:num>
  <w:num w:numId="19">
    <w:abstractNumId w:val="4"/>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214"/>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MWIzYjE3MTkxZDhhODIxY2NiZGVlZTYzNzkyN2IifQ=="/>
  </w:docVars>
  <w:rsids>
    <w:rsidRoot w:val="00000000"/>
    <w:rsid w:val="000332E6"/>
    <w:rsid w:val="00173719"/>
    <w:rsid w:val="00302622"/>
    <w:rsid w:val="003B5C6E"/>
    <w:rsid w:val="004159AC"/>
    <w:rsid w:val="00520897"/>
    <w:rsid w:val="00924E08"/>
    <w:rsid w:val="00B26BB1"/>
    <w:rsid w:val="00CE3D17"/>
    <w:rsid w:val="00F57553"/>
    <w:rsid w:val="0102303D"/>
    <w:rsid w:val="01044493"/>
    <w:rsid w:val="01343299"/>
    <w:rsid w:val="013F24B8"/>
    <w:rsid w:val="018F6E91"/>
    <w:rsid w:val="01921AA3"/>
    <w:rsid w:val="01CD5836"/>
    <w:rsid w:val="01CF7435"/>
    <w:rsid w:val="01E272A3"/>
    <w:rsid w:val="01F10DB1"/>
    <w:rsid w:val="02053D73"/>
    <w:rsid w:val="020E02AA"/>
    <w:rsid w:val="02503F29"/>
    <w:rsid w:val="0257431F"/>
    <w:rsid w:val="02653EA2"/>
    <w:rsid w:val="026A0515"/>
    <w:rsid w:val="026F580B"/>
    <w:rsid w:val="02A71A52"/>
    <w:rsid w:val="02C854D3"/>
    <w:rsid w:val="02FD721A"/>
    <w:rsid w:val="030E6646"/>
    <w:rsid w:val="034C68DF"/>
    <w:rsid w:val="03641794"/>
    <w:rsid w:val="03965B7F"/>
    <w:rsid w:val="03A1429E"/>
    <w:rsid w:val="03AF1786"/>
    <w:rsid w:val="03C20E03"/>
    <w:rsid w:val="03DF364B"/>
    <w:rsid w:val="04041965"/>
    <w:rsid w:val="042042C5"/>
    <w:rsid w:val="04341975"/>
    <w:rsid w:val="04476DA1"/>
    <w:rsid w:val="044A1355"/>
    <w:rsid w:val="04641540"/>
    <w:rsid w:val="047A5783"/>
    <w:rsid w:val="049169D3"/>
    <w:rsid w:val="04A10F62"/>
    <w:rsid w:val="04AF0C6B"/>
    <w:rsid w:val="04BC5E5B"/>
    <w:rsid w:val="04C11A7C"/>
    <w:rsid w:val="04DF7274"/>
    <w:rsid w:val="04E9131F"/>
    <w:rsid w:val="04ED1793"/>
    <w:rsid w:val="04EF1BED"/>
    <w:rsid w:val="04F86EA6"/>
    <w:rsid w:val="051F457C"/>
    <w:rsid w:val="05317378"/>
    <w:rsid w:val="05396AF1"/>
    <w:rsid w:val="053E1E20"/>
    <w:rsid w:val="05495341"/>
    <w:rsid w:val="054B3DBD"/>
    <w:rsid w:val="057317A7"/>
    <w:rsid w:val="058619C2"/>
    <w:rsid w:val="05B40DCB"/>
    <w:rsid w:val="05B437EC"/>
    <w:rsid w:val="05BE74B5"/>
    <w:rsid w:val="05E44D64"/>
    <w:rsid w:val="05E83D0D"/>
    <w:rsid w:val="05EA2383"/>
    <w:rsid w:val="06233AA0"/>
    <w:rsid w:val="06233BF8"/>
    <w:rsid w:val="062359DF"/>
    <w:rsid w:val="064B3441"/>
    <w:rsid w:val="06511123"/>
    <w:rsid w:val="067C65E4"/>
    <w:rsid w:val="06BB0913"/>
    <w:rsid w:val="06CA3EB3"/>
    <w:rsid w:val="06CC4821"/>
    <w:rsid w:val="06EB5B23"/>
    <w:rsid w:val="06F42F3B"/>
    <w:rsid w:val="06FB62C0"/>
    <w:rsid w:val="070345E4"/>
    <w:rsid w:val="071931C2"/>
    <w:rsid w:val="0758082A"/>
    <w:rsid w:val="07660241"/>
    <w:rsid w:val="077B78D4"/>
    <w:rsid w:val="07842E87"/>
    <w:rsid w:val="07A11D4D"/>
    <w:rsid w:val="07BD6C79"/>
    <w:rsid w:val="07C30D08"/>
    <w:rsid w:val="07D721EC"/>
    <w:rsid w:val="080D78FB"/>
    <w:rsid w:val="081467CE"/>
    <w:rsid w:val="083C24DA"/>
    <w:rsid w:val="083C52E7"/>
    <w:rsid w:val="0841589C"/>
    <w:rsid w:val="084A4760"/>
    <w:rsid w:val="08544064"/>
    <w:rsid w:val="08610D29"/>
    <w:rsid w:val="086C68AC"/>
    <w:rsid w:val="08783632"/>
    <w:rsid w:val="088E0328"/>
    <w:rsid w:val="08A32972"/>
    <w:rsid w:val="08AB574D"/>
    <w:rsid w:val="08C3530A"/>
    <w:rsid w:val="08CA55CE"/>
    <w:rsid w:val="08CB7E0F"/>
    <w:rsid w:val="08EB0A30"/>
    <w:rsid w:val="08FC2F51"/>
    <w:rsid w:val="09035BC8"/>
    <w:rsid w:val="09081B7B"/>
    <w:rsid w:val="09193897"/>
    <w:rsid w:val="096C025F"/>
    <w:rsid w:val="098E4BD8"/>
    <w:rsid w:val="099A3028"/>
    <w:rsid w:val="09AA1703"/>
    <w:rsid w:val="09BD5791"/>
    <w:rsid w:val="09CB0B91"/>
    <w:rsid w:val="09D9745E"/>
    <w:rsid w:val="09DA6187"/>
    <w:rsid w:val="09ED4C26"/>
    <w:rsid w:val="09F14739"/>
    <w:rsid w:val="0A0334A7"/>
    <w:rsid w:val="0A12265E"/>
    <w:rsid w:val="0A322808"/>
    <w:rsid w:val="0A5548F6"/>
    <w:rsid w:val="0A596F5B"/>
    <w:rsid w:val="0A7D3302"/>
    <w:rsid w:val="0A852F0E"/>
    <w:rsid w:val="0A9743F6"/>
    <w:rsid w:val="0AAE319A"/>
    <w:rsid w:val="0AC557E6"/>
    <w:rsid w:val="0AD007F3"/>
    <w:rsid w:val="0AE0309D"/>
    <w:rsid w:val="0AEA49DF"/>
    <w:rsid w:val="0AF60999"/>
    <w:rsid w:val="0B1E54CC"/>
    <w:rsid w:val="0B1E63C1"/>
    <w:rsid w:val="0B205622"/>
    <w:rsid w:val="0B2B4F36"/>
    <w:rsid w:val="0B3A001D"/>
    <w:rsid w:val="0B4E4D50"/>
    <w:rsid w:val="0B78703F"/>
    <w:rsid w:val="0B833E66"/>
    <w:rsid w:val="0B8443CB"/>
    <w:rsid w:val="0B9C01AF"/>
    <w:rsid w:val="0B9E763D"/>
    <w:rsid w:val="0BB145E9"/>
    <w:rsid w:val="0BD968EB"/>
    <w:rsid w:val="0C04034C"/>
    <w:rsid w:val="0C093875"/>
    <w:rsid w:val="0C1D0FED"/>
    <w:rsid w:val="0C2429B9"/>
    <w:rsid w:val="0C70181B"/>
    <w:rsid w:val="0C923C39"/>
    <w:rsid w:val="0C986AD4"/>
    <w:rsid w:val="0CB13836"/>
    <w:rsid w:val="0CB642E9"/>
    <w:rsid w:val="0CBC495D"/>
    <w:rsid w:val="0CCE600F"/>
    <w:rsid w:val="0CD85FC9"/>
    <w:rsid w:val="0CF832CA"/>
    <w:rsid w:val="0D1836EE"/>
    <w:rsid w:val="0D1D6B9E"/>
    <w:rsid w:val="0D325E5A"/>
    <w:rsid w:val="0D8638B7"/>
    <w:rsid w:val="0D8D61C7"/>
    <w:rsid w:val="0D99594C"/>
    <w:rsid w:val="0DC64FDA"/>
    <w:rsid w:val="0DDC5B0A"/>
    <w:rsid w:val="0E081E6B"/>
    <w:rsid w:val="0E0D1B4B"/>
    <w:rsid w:val="0E1C143C"/>
    <w:rsid w:val="0E285AD1"/>
    <w:rsid w:val="0E392479"/>
    <w:rsid w:val="0E5407D5"/>
    <w:rsid w:val="0E6A3D66"/>
    <w:rsid w:val="0E725D84"/>
    <w:rsid w:val="0E79051E"/>
    <w:rsid w:val="0E863A59"/>
    <w:rsid w:val="0E8D53CC"/>
    <w:rsid w:val="0E910299"/>
    <w:rsid w:val="0E970632"/>
    <w:rsid w:val="0E9A4F52"/>
    <w:rsid w:val="0E9D7B02"/>
    <w:rsid w:val="0EA10C97"/>
    <w:rsid w:val="0EC17659"/>
    <w:rsid w:val="0EE36B54"/>
    <w:rsid w:val="0EFA3966"/>
    <w:rsid w:val="0F0373B1"/>
    <w:rsid w:val="0F1F7132"/>
    <w:rsid w:val="0F317330"/>
    <w:rsid w:val="0F3B162D"/>
    <w:rsid w:val="0F747510"/>
    <w:rsid w:val="0F784FB5"/>
    <w:rsid w:val="0F7A4A71"/>
    <w:rsid w:val="0F80791C"/>
    <w:rsid w:val="0F8F01EB"/>
    <w:rsid w:val="0F917732"/>
    <w:rsid w:val="0F9832AB"/>
    <w:rsid w:val="0FA60050"/>
    <w:rsid w:val="0FC4644C"/>
    <w:rsid w:val="0FD81172"/>
    <w:rsid w:val="10143361"/>
    <w:rsid w:val="101A54BC"/>
    <w:rsid w:val="101C724C"/>
    <w:rsid w:val="103F5AD3"/>
    <w:rsid w:val="104408F6"/>
    <w:rsid w:val="104756B9"/>
    <w:rsid w:val="104E7896"/>
    <w:rsid w:val="105C7CC6"/>
    <w:rsid w:val="107338B5"/>
    <w:rsid w:val="108C51BC"/>
    <w:rsid w:val="10B62239"/>
    <w:rsid w:val="10C304B2"/>
    <w:rsid w:val="10F1210C"/>
    <w:rsid w:val="110A069A"/>
    <w:rsid w:val="111A0C9A"/>
    <w:rsid w:val="111C1C1F"/>
    <w:rsid w:val="11213EA8"/>
    <w:rsid w:val="112B40DA"/>
    <w:rsid w:val="11305356"/>
    <w:rsid w:val="11785A27"/>
    <w:rsid w:val="118D33CA"/>
    <w:rsid w:val="119D01B8"/>
    <w:rsid w:val="11B7195F"/>
    <w:rsid w:val="11BA1C5D"/>
    <w:rsid w:val="11EB109E"/>
    <w:rsid w:val="11F172A7"/>
    <w:rsid w:val="12224D50"/>
    <w:rsid w:val="124B4C03"/>
    <w:rsid w:val="12614426"/>
    <w:rsid w:val="126E4ACB"/>
    <w:rsid w:val="127146E0"/>
    <w:rsid w:val="127210CC"/>
    <w:rsid w:val="127C3DC5"/>
    <w:rsid w:val="12C02EFB"/>
    <w:rsid w:val="12CC2816"/>
    <w:rsid w:val="12EA61C1"/>
    <w:rsid w:val="133C52F6"/>
    <w:rsid w:val="133C708A"/>
    <w:rsid w:val="134C180E"/>
    <w:rsid w:val="134D30D3"/>
    <w:rsid w:val="13582F35"/>
    <w:rsid w:val="137055C1"/>
    <w:rsid w:val="13802975"/>
    <w:rsid w:val="138A61DE"/>
    <w:rsid w:val="139865E7"/>
    <w:rsid w:val="13B16CE7"/>
    <w:rsid w:val="13C77038"/>
    <w:rsid w:val="13C815D4"/>
    <w:rsid w:val="14042F20"/>
    <w:rsid w:val="14380363"/>
    <w:rsid w:val="143B6592"/>
    <w:rsid w:val="144F2191"/>
    <w:rsid w:val="14507177"/>
    <w:rsid w:val="146B73D5"/>
    <w:rsid w:val="1484409A"/>
    <w:rsid w:val="14860174"/>
    <w:rsid w:val="148B3D66"/>
    <w:rsid w:val="14D902A4"/>
    <w:rsid w:val="14DA11B3"/>
    <w:rsid w:val="14DC59DE"/>
    <w:rsid w:val="14EC0E8D"/>
    <w:rsid w:val="151F78A1"/>
    <w:rsid w:val="153E45AB"/>
    <w:rsid w:val="154E416C"/>
    <w:rsid w:val="1555225E"/>
    <w:rsid w:val="156839A2"/>
    <w:rsid w:val="15820E0E"/>
    <w:rsid w:val="159F5866"/>
    <w:rsid w:val="15C11C77"/>
    <w:rsid w:val="15C33BC1"/>
    <w:rsid w:val="15C5074A"/>
    <w:rsid w:val="15CC3832"/>
    <w:rsid w:val="15CD69EA"/>
    <w:rsid w:val="15D00CD9"/>
    <w:rsid w:val="161539CC"/>
    <w:rsid w:val="1624418C"/>
    <w:rsid w:val="1666200B"/>
    <w:rsid w:val="1669096D"/>
    <w:rsid w:val="166F1F90"/>
    <w:rsid w:val="1675720A"/>
    <w:rsid w:val="167D14CF"/>
    <w:rsid w:val="167F7DF2"/>
    <w:rsid w:val="16943FFC"/>
    <w:rsid w:val="1695582D"/>
    <w:rsid w:val="16AC2E3A"/>
    <w:rsid w:val="16BF7AD1"/>
    <w:rsid w:val="16D60851"/>
    <w:rsid w:val="16E92C77"/>
    <w:rsid w:val="16F21F6F"/>
    <w:rsid w:val="16F851DE"/>
    <w:rsid w:val="17224219"/>
    <w:rsid w:val="17467542"/>
    <w:rsid w:val="175A23DC"/>
    <w:rsid w:val="175F7AEB"/>
    <w:rsid w:val="17603394"/>
    <w:rsid w:val="177C430C"/>
    <w:rsid w:val="177D152E"/>
    <w:rsid w:val="177D4217"/>
    <w:rsid w:val="17935988"/>
    <w:rsid w:val="17A556C2"/>
    <w:rsid w:val="17AB44A2"/>
    <w:rsid w:val="17B86896"/>
    <w:rsid w:val="17E53404"/>
    <w:rsid w:val="17E75A2F"/>
    <w:rsid w:val="180B5101"/>
    <w:rsid w:val="180E64B6"/>
    <w:rsid w:val="182249A5"/>
    <w:rsid w:val="18266FBF"/>
    <w:rsid w:val="18433072"/>
    <w:rsid w:val="18584E7F"/>
    <w:rsid w:val="187E3E95"/>
    <w:rsid w:val="188A3553"/>
    <w:rsid w:val="18D35F6F"/>
    <w:rsid w:val="18E77183"/>
    <w:rsid w:val="1928708B"/>
    <w:rsid w:val="1933680E"/>
    <w:rsid w:val="19441B0A"/>
    <w:rsid w:val="199F004B"/>
    <w:rsid w:val="19AC41D9"/>
    <w:rsid w:val="19AD1230"/>
    <w:rsid w:val="19C35017"/>
    <w:rsid w:val="19D506FB"/>
    <w:rsid w:val="19F426A2"/>
    <w:rsid w:val="1A1A5013"/>
    <w:rsid w:val="1A1A79FC"/>
    <w:rsid w:val="1A235E99"/>
    <w:rsid w:val="1A2D11E6"/>
    <w:rsid w:val="1A361CF4"/>
    <w:rsid w:val="1A4117E7"/>
    <w:rsid w:val="1A6936B1"/>
    <w:rsid w:val="1A9133CF"/>
    <w:rsid w:val="1A9F5FE5"/>
    <w:rsid w:val="1AA677C3"/>
    <w:rsid w:val="1AC7254C"/>
    <w:rsid w:val="1ACE5888"/>
    <w:rsid w:val="1AD003D6"/>
    <w:rsid w:val="1AEC20FD"/>
    <w:rsid w:val="1AF24A76"/>
    <w:rsid w:val="1B0D0CA7"/>
    <w:rsid w:val="1B0F3804"/>
    <w:rsid w:val="1B207320"/>
    <w:rsid w:val="1B3D371D"/>
    <w:rsid w:val="1B5A1A13"/>
    <w:rsid w:val="1B5F3F7C"/>
    <w:rsid w:val="1B6F2570"/>
    <w:rsid w:val="1B900B26"/>
    <w:rsid w:val="1B9466A4"/>
    <w:rsid w:val="1B957E16"/>
    <w:rsid w:val="1B977350"/>
    <w:rsid w:val="1BA24967"/>
    <w:rsid w:val="1BAC2ABA"/>
    <w:rsid w:val="1BB30961"/>
    <w:rsid w:val="1BCF41AF"/>
    <w:rsid w:val="1BCF4E9E"/>
    <w:rsid w:val="1BD0473F"/>
    <w:rsid w:val="1BDD193F"/>
    <w:rsid w:val="1BEC025E"/>
    <w:rsid w:val="1BEF6118"/>
    <w:rsid w:val="1C0D4016"/>
    <w:rsid w:val="1C124A70"/>
    <w:rsid w:val="1C1E34A7"/>
    <w:rsid w:val="1C7D74A4"/>
    <w:rsid w:val="1C87045D"/>
    <w:rsid w:val="1CC161ED"/>
    <w:rsid w:val="1D181B85"/>
    <w:rsid w:val="1D2F31D2"/>
    <w:rsid w:val="1D3E0367"/>
    <w:rsid w:val="1D4A1464"/>
    <w:rsid w:val="1D51072D"/>
    <w:rsid w:val="1D7736FA"/>
    <w:rsid w:val="1DA70AE6"/>
    <w:rsid w:val="1DA7377A"/>
    <w:rsid w:val="1DAA4A53"/>
    <w:rsid w:val="1DB01DBE"/>
    <w:rsid w:val="1DC73F1F"/>
    <w:rsid w:val="1DD834AC"/>
    <w:rsid w:val="1E2A05DB"/>
    <w:rsid w:val="1E3775E6"/>
    <w:rsid w:val="1E47263C"/>
    <w:rsid w:val="1E654DBB"/>
    <w:rsid w:val="1E822314"/>
    <w:rsid w:val="1E8A4F14"/>
    <w:rsid w:val="1E8F353E"/>
    <w:rsid w:val="1EA93816"/>
    <w:rsid w:val="1EBD4859"/>
    <w:rsid w:val="1EC91389"/>
    <w:rsid w:val="1ED14A3C"/>
    <w:rsid w:val="1EE44826"/>
    <w:rsid w:val="1F100B38"/>
    <w:rsid w:val="1F2F281C"/>
    <w:rsid w:val="1F3E7CF0"/>
    <w:rsid w:val="1F451134"/>
    <w:rsid w:val="1F7B4A63"/>
    <w:rsid w:val="1F7F5EEC"/>
    <w:rsid w:val="1F814981"/>
    <w:rsid w:val="1F8F0DB7"/>
    <w:rsid w:val="1F9F2F95"/>
    <w:rsid w:val="1FA63478"/>
    <w:rsid w:val="1FAC3022"/>
    <w:rsid w:val="1FCA1DA7"/>
    <w:rsid w:val="1FD40539"/>
    <w:rsid w:val="1FD8624A"/>
    <w:rsid w:val="200C35C6"/>
    <w:rsid w:val="201B5C14"/>
    <w:rsid w:val="201C198C"/>
    <w:rsid w:val="20434B38"/>
    <w:rsid w:val="205E614A"/>
    <w:rsid w:val="20692D4A"/>
    <w:rsid w:val="20B03D2F"/>
    <w:rsid w:val="20C310BD"/>
    <w:rsid w:val="2102739E"/>
    <w:rsid w:val="210927B1"/>
    <w:rsid w:val="211516F9"/>
    <w:rsid w:val="212C3E93"/>
    <w:rsid w:val="21711E9E"/>
    <w:rsid w:val="219D2A48"/>
    <w:rsid w:val="21A34873"/>
    <w:rsid w:val="21DD6EAF"/>
    <w:rsid w:val="22080137"/>
    <w:rsid w:val="220A23E4"/>
    <w:rsid w:val="225541F9"/>
    <w:rsid w:val="22556DE9"/>
    <w:rsid w:val="22823C2A"/>
    <w:rsid w:val="22840137"/>
    <w:rsid w:val="229067C3"/>
    <w:rsid w:val="22911F3C"/>
    <w:rsid w:val="229F5E27"/>
    <w:rsid w:val="22B40B5C"/>
    <w:rsid w:val="22D277F1"/>
    <w:rsid w:val="22FD3574"/>
    <w:rsid w:val="23061C85"/>
    <w:rsid w:val="23314F54"/>
    <w:rsid w:val="23564079"/>
    <w:rsid w:val="2357291A"/>
    <w:rsid w:val="23706277"/>
    <w:rsid w:val="23795222"/>
    <w:rsid w:val="238F2EB6"/>
    <w:rsid w:val="23947C48"/>
    <w:rsid w:val="239A604D"/>
    <w:rsid w:val="23AA282D"/>
    <w:rsid w:val="23B75243"/>
    <w:rsid w:val="23C1690E"/>
    <w:rsid w:val="23D40EAA"/>
    <w:rsid w:val="23DC7A4B"/>
    <w:rsid w:val="240D7F6A"/>
    <w:rsid w:val="244D419B"/>
    <w:rsid w:val="24620537"/>
    <w:rsid w:val="246A6BEB"/>
    <w:rsid w:val="247321DC"/>
    <w:rsid w:val="247E6772"/>
    <w:rsid w:val="24857B00"/>
    <w:rsid w:val="249C779D"/>
    <w:rsid w:val="24CC572F"/>
    <w:rsid w:val="24CE3323"/>
    <w:rsid w:val="24F15D59"/>
    <w:rsid w:val="24F31868"/>
    <w:rsid w:val="25493139"/>
    <w:rsid w:val="25584558"/>
    <w:rsid w:val="25675168"/>
    <w:rsid w:val="25750EDD"/>
    <w:rsid w:val="25852068"/>
    <w:rsid w:val="25873A56"/>
    <w:rsid w:val="258D6A89"/>
    <w:rsid w:val="258E1521"/>
    <w:rsid w:val="25993E53"/>
    <w:rsid w:val="25A94E0D"/>
    <w:rsid w:val="25AD34C2"/>
    <w:rsid w:val="25AE72ED"/>
    <w:rsid w:val="25B47491"/>
    <w:rsid w:val="25C35196"/>
    <w:rsid w:val="25C61809"/>
    <w:rsid w:val="25C6686B"/>
    <w:rsid w:val="25D30B9F"/>
    <w:rsid w:val="25E940BF"/>
    <w:rsid w:val="26105163"/>
    <w:rsid w:val="261F5D33"/>
    <w:rsid w:val="263B6832"/>
    <w:rsid w:val="265D7F2A"/>
    <w:rsid w:val="26635AF3"/>
    <w:rsid w:val="26732E5A"/>
    <w:rsid w:val="26793FD4"/>
    <w:rsid w:val="267A70CD"/>
    <w:rsid w:val="267C3185"/>
    <w:rsid w:val="2686307B"/>
    <w:rsid w:val="26A55AEA"/>
    <w:rsid w:val="26AA6320"/>
    <w:rsid w:val="26B66363"/>
    <w:rsid w:val="26D43BAA"/>
    <w:rsid w:val="270F5DA7"/>
    <w:rsid w:val="273743F1"/>
    <w:rsid w:val="2739768B"/>
    <w:rsid w:val="2743767E"/>
    <w:rsid w:val="277D7CD3"/>
    <w:rsid w:val="2783494C"/>
    <w:rsid w:val="27913CE5"/>
    <w:rsid w:val="27AC7121"/>
    <w:rsid w:val="27B35CE0"/>
    <w:rsid w:val="27C106A6"/>
    <w:rsid w:val="27C159B1"/>
    <w:rsid w:val="27CC63B6"/>
    <w:rsid w:val="27D91034"/>
    <w:rsid w:val="27DE3A71"/>
    <w:rsid w:val="27E157ED"/>
    <w:rsid w:val="27EE21D6"/>
    <w:rsid w:val="2808019B"/>
    <w:rsid w:val="28176278"/>
    <w:rsid w:val="28182573"/>
    <w:rsid w:val="28245882"/>
    <w:rsid w:val="283A6E1E"/>
    <w:rsid w:val="285E01C8"/>
    <w:rsid w:val="28852777"/>
    <w:rsid w:val="289A63F3"/>
    <w:rsid w:val="28B577BF"/>
    <w:rsid w:val="28BC176E"/>
    <w:rsid w:val="28C130D1"/>
    <w:rsid w:val="28E173F5"/>
    <w:rsid w:val="290A6D1B"/>
    <w:rsid w:val="29251F30"/>
    <w:rsid w:val="29465F48"/>
    <w:rsid w:val="294D3EE6"/>
    <w:rsid w:val="295862D2"/>
    <w:rsid w:val="29626662"/>
    <w:rsid w:val="2976210D"/>
    <w:rsid w:val="29866B87"/>
    <w:rsid w:val="29882570"/>
    <w:rsid w:val="2991475E"/>
    <w:rsid w:val="29941ADD"/>
    <w:rsid w:val="299C178C"/>
    <w:rsid w:val="29B90F5C"/>
    <w:rsid w:val="29BA4C02"/>
    <w:rsid w:val="29FC6EAF"/>
    <w:rsid w:val="2A3135F2"/>
    <w:rsid w:val="2A415AED"/>
    <w:rsid w:val="2A6E08C3"/>
    <w:rsid w:val="2A6E6643"/>
    <w:rsid w:val="2A950493"/>
    <w:rsid w:val="2A9E00B6"/>
    <w:rsid w:val="2A9E57EF"/>
    <w:rsid w:val="2A9E7B49"/>
    <w:rsid w:val="2AA84CA6"/>
    <w:rsid w:val="2AE874E1"/>
    <w:rsid w:val="2AEB07F7"/>
    <w:rsid w:val="2AEB1501"/>
    <w:rsid w:val="2AFB4FC0"/>
    <w:rsid w:val="2AFB6C22"/>
    <w:rsid w:val="2B071388"/>
    <w:rsid w:val="2B147731"/>
    <w:rsid w:val="2B174F98"/>
    <w:rsid w:val="2B230073"/>
    <w:rsid w:val="2B297081"/>
    <w:rsid w:val="2B2C5DF8"/>
    <w:rsid w:val="2B4D32A0"/>
    <w:rsid w:val="2B58241A"/>
    <w:rsid w:val="2B583689"/>
    <w:rsid w:val="2B5B47F7"/>
    <w:rsid w:val="2B5C67DA"/>
    <w:rsid w:val="2B8F332A"/>
    <w:rsid w:val="2BA32656"/>
    <w:rsid w:val="2C0D53BB"/>
    <w:rsid w:val="2C4F6F68"/>
    <w:rsid w:val="2C5A5D16"/>
    <w:rsid w:val="2C6B1BF9"/>
    <w:rsid w:val="2C8A3614"/>
    <w:rsid w:val="2C9408B7"/>
    <w:rsid w:val="2C9F3729"/>
    <w:rsid w:val="2CAF07F8"/>
    <w:rsid w:val="2CB517A3"/>
    <w:rsid w:val="2CE10CB2"/>
    <w:rsid w:val="2CF76D45"/>
    <w:rsid w:val="2D1F0559"/>
    <w:rsid w:val="2D234F71"/>
    <w:rsid w:val="2D330BA6"/>
    <w:rsid w:val="2D4860D7"/>
    <w:rsid w:val="2D493B59"/>
    <w:rsid w:val="2D5E35E4"/>
    <w:rsid w:val="2D763339"/>
    <w:rsid w:val="2D765BC9"/>
    <w:rsid w:val="2D7711A5"/>
    <w:rsid w:val="2D9B2347"/>
    <w:rsid w:val="2DA82681"/>
    <w:rsid w:val="2DAC3F6B"/>
    <w:rsid w:val="2DC225E1"/>
    <w:rsid w:val="2DCC0C18"/>
    <w:rsid w:val="2DFD4901"/>
    <w:rsid w:val="2E2831C7"/>
    <w:rsid w:val="2E5318C4"/>
    <w:rsid w:val="2E614626"/>
    <w:rsid w:val="2E681E6E"/>
    <w:rsid w:val="2E79427F"/>
    <w:rsid w:val="2E7B5AFB"/>
    <w:rsid w:val="2E7C4B8F"/>
    <w:rsid w:val="2E8672F2"/>
    <w:rsid w:val="2E9B04EE"/>
    <w:rsid w:val="2E9B3B68"/>
    <w:rsid w:val="2EAA28B0"/>
    <w:rsid w:val="2ECD2616"/>
    <w:rsid w:val="2F26559E"/>
    <w:rsid w:val="2F3314A2"/>
    <w:rsid w:val="2F4476DE"/>
    <w:rsid w:val="2F655778"/>
    <w:rsid w:val="2F7D6521"/>
    <w:rsid w:val="2FAE7F4C"/>
    <w:rsid w:val="2FBC2844"/>
    <w:rsid w:val="2FD42644"/>
    <w:rsid w:val="2FDB716E"/>
    <w:rsid w:val="2FF002B0"/>
    <w:rsid w:val="30120F5C"/>
    <w:rsid w:val="30190B04"/>
    <w:rsid w:val="301F4F38"/>
    <w:rsid w:val="30351648"/>
    <w:rsid w:val="303F0333"/>
    <w:rsid w:val="304B6BCD"/>
    <w:rsid w:val="305C36F8"/>
    <w:rsid w:val="30763BCD"/>
    <w:rsid w:val="307707BE"/>
    <w:rsid w:val="30872363"/>
    <w:rsid w:val="308B70BE"/>
    <w:rsid w:val="30A86931"/>
    <w:rsid w:val="30E36225"/>
    <w:rsid w:val="30FD4EC2"/>
    <w:rsid w:val="310E70CF"/>
    <w:rsid w:val="313A1C72"/>
    <w:rsid w:val="313A6116"/>
    <w:rsid w:val="314A2025"/>
    <w:rsid w:val="3172593C"/>
    <w:rsid w:val="317811BB"/>
    <w:rsid w:val="318129B6"/>
    <w:rsid w:val="318F1F71"/>
    <w:rsid w:val="319D7E43"/>
    <w:rsid w:val="31AF4D28"/>
    <w:rsid w:val="31F47A26"/>
    <w:rsid w:val="325966D8"/>
    <w:rsid w:val="32706662"/>
    <w:rsid w:val="327B6E8F"/>
    <w:rsid w:val="32976D92"/>
    <w:rsid w:val="32D539D9"/>
    <w:rsid w:val="32D81743"/>
    <w:rsid w:val="32DF0E3C"/>
    <w:rsid w:val="32E60A1F"/>
    <w:rsid w:val="32F3657D"/>
    <w:rsid w:val="32F75029"/>
    <w:rsid w:val="33024917"/>
    <w:rsid w:val="3308275B"/>
    <w:rsid w:val="33182487"/>
    <w:rsid w:val="331F4660"/>
    <w:rsid w:val="33266EA2"/>
    <w:rsid w:val="332E1CAB"/>
    <w:rsid w:val="33310526"/>
    <w:rsid w:val="333A6EE6"/>
    <w:rsid w:val="33512C20"/>
    <w:rsid w:val="335E3117"/>
    <w:rsid w:val="33B11047"/>
    <w:rsid w:val="33CC7131"/>
    <w:rsid w:val="33CE508C"/>
    <w:rsid w:val="33E538E1"/>
    <w:rsid w:val="34127DB0"/>
    <w:rsid w:val="342406A1"/>
    <w:rsid w:val="343C632D"/>
    <w:rsid w:val="34493620"/>
    <w:rsid w:val="344F012B"/>
    <w:rsid w:val="34A10D79"/>
    <w:rsid w:val="34AD6312"/>
    <w:rsid w:val="34C7344B"/>
    <w:rsid w:val="34D77EC5"/>
    <w:rsid w:val="34DC4F6F"/>
    <w:rsid w:val="34EE27F6"/>
    <w:rsid w:val="35115392"/>
    <w:rsid w:val="353F3C69"/>
    <w:rsid w:val="354E08A4"/>
    <w:rsid w:val="354E7FBE"/>
    <w:rsid w:val="357C6CFE"/>
    <w:rsid w:val="35901488"/>
    <w:rsid w:val="359833FE"/>
    <w:rsid w:val="359B0108"/>
    <w:rsid w:val="35A354FD"/>
    <w:rsid w:val="35A720B8"/>
    <w:rsid w:val="35D46204"/>
    <w:rsid w:val="35FB5CD2"/>
    <w:rsid w:val="35FF3812"/>
    <w:rsid w:val="36173C37"/>
    <w:rsid w:val="36180728"/>
    <w:rsid w:val="361F5C13"/>
    <w:rsid w:val="362A7FD2"/>
    <w:rsid w:val="364D2448"/>
    <w:rsid w:val="36660C7A"/>
    <w:rsid w:val="366B672C"/>
    <w:rsid w:val="36736886"/>
    <w:rsid w:val="36767BF1"/>
    <w:rsid w:val="368B2339"/>
    <w:rsid w:val="36987B67"/>
    <w:rsid w:val="36A01A99"/>
    <w:rsid w:val="36A209E6"/>
    <w:rsid w:val="36BF4D4F"/>
    <w:rsid w:val="37023C58"/>
    <w:rsid w:val="37037950"/>
    <w:rsid w:val="376A74AE"/>
    <w:rsid w:val="376C26BF"/>
    <w:rsid w:val="37826772"/>
    <w:rsid w:val="37884128"/>
    <w:rsid w:val="37984D56"/>
    <w:rsid w:val="37A34A15"/>
    <w:rsid w:val="37C707E6"/>
    <w:rsid w:val="37D16100"/>
    <w:rsid w:val="37D20E57"/>
    <w:rsid w:val="380E0584"/>
    <w:rsid w:val="380E5F15"/>
    <w:rsid w:val="38130F00"/>
    <w:rsid w:val="382C7446"/>
    <w:rsid w:val="383A03B9"/>
    <w:rsid w:val="3856659D"/>
    <w:rsid w:val="386C070B"/>
    <w:rsid w:val="38732BD9"/>
    <w:rsid w:val="387825D1"/>
    <w:rsid w:val="38A13376"/>
    <w:rsid w:val="38A210C6"/>
    <w:rsid w:val="38BA0550"/>
    <w:rsid w:val="38BC46E6"/>
    <w:rsid w:val="38CA260C"/>
    <w:rsid w:val="38DB4455"/>
    <w:rsid w:val="38E11BE1"/>
    <w:rsid w:val="38F43FAE"/>
    <w:rsid w:val="38FF62E5"/>
    <w:rsid w:val="390331E7"/>
    <w:rsid w:val="390C49BC"/>
    <w:rsid w:val="39141E91"/>
    <w:rsid w:val="39167D0D"/>
    <w:rsid w:val="391E73A5"/>
    <w:rsid w:val="392575C8"/>
    <w:rsid w:val="39276F80"/>
    <w:rsid w:val="392947E2"/>
    <w:rsid w:val="392E14AC"/>
    <w:rsid w:val="393A4D97"/>
    <w:rsid w:val="39432317"/>
    <w:rsid w:val="3944106D"/>
    <w:rsid w:val="39484E09"/>
    <w:rsid w:val="396505BE"/>
    <w:rsid w:val="399C667F"/>
    <w:rsid w:val="39A46823"/>
    <w:rsid w:val="39B61247"/>
    <w:rsid w:val="39B8571B"/>
    <w:rsid w:val="39C90037"/>
    <w:rsid w:val="39D10834"/>
    <w:rsid w:val="39D6396A"/>
    <w:rsid w:val="39DB21C4"/>
    <w:rsid w:val="3A2164FA"/>
    <w:rsid w:val="3A227FEF"/>
    <w:rsid w:val="3A3358F8"/>
    <w:rsid w:val="3A616BAD"/>
    <w:rsid w:val="3A771257"/>
    <w:rsid w:val="3AB4564C"/>
    <w:rsid w:val="3AD24555"/>
    <w:rsid w:val="3B756562"/>
    <w:rsid w:val="3B9733D4"/>
    <w:rsid w:val="3B9C2A5B"/>
    <w:rsid w:val="3BA77BD4"/>
    <w:rsid w:val="3BC11EEE"/>
    <w:rsid w:val="3BC52B58"/>
    <w:rsid w:val="3C065D41"/>
    <w:rsid w:val="3C1041AB"/>
    <w:rsid w:val="3C2A3C8A"/>
    <w:rsid w:val="3C334EEB"/>
    <w:rsid w:val="3C3C7EA1"/>
    <w:rsid w:val="3C3E09C3"/>
    <w:rsid w:val="3C434A97"/>
    <w:rsid w:val="3C5A766D"/>
    <w:rsid w:val="3C787D9B"/>
    <w:rsid w:val="3C920BB5"/>
    <w:rsid w:val="3CA339C6"/>
    <w:rsid w:val="3CAB7EC8"/>
    <w:rsid w:val="3CC17606"/>
    <w:rsid w:val="3CCB49BD"/>
    <w:rsid w:val="3CE07B72"/>
    <w:rsid w:val="3CE255C2"/>
    <w:rsid w:val="3CE6612D"/>
    <w:rsid w:val="3CEC423D"/>
    <w:rsid w:val="3CF678E5"/>
    <w:rsid w:val="3CFB177F"/>
    <w:rsid w:val="3D024E56"/>
    <w:rsid w:val="3D165A83"/>
    <w:rsid w:val="3D2C42E4"/>
    <w:rsid w:val="3D491561"/>
    <w:rsid w:val="3D4B6908"/>
    <w:rsid w:val="3D52739D"/>
    <w:rsid w:val="3D635358"/>
    <w:rsid w:val="3D6C58AA"/>
    <w:rsid w:val="3D6F7E28"/>
    <w:rsid w:val="3D721390"/>
    <w:rsid w:val="3D850FF6"/>
    <w:rsid w:val="3D9A0A51"/>
    <w:rsid w:val="3DA3692C"/>
    <w:rsid w:val="3DA86637"/>
    <w:rsid w:val="3DB136C3"/>
    <w:rsid w:val="3DD60F75"/>
    <w:rsid w:val="3DD65E81"/>
    <w:rsid w:val="3DDC6AD7"/>
    <w:rsid w:val="3DE628F6"/>
    <w:rsid w:val="3DF847D6"/>
    <w:rsid w:val="3DFB09DB"/>
    <w:rsid w:val="3DFE7A92"/>
    <w:rsid w:val="3E104A16"/>
    <w:rsid w:val="3E2C6DE7"/>
    <w:rsid w:val="3E4B5493"/>
    <w:rsid w:val="3E5B3F25"/>
    <w:rsid w:val="3E6660E1"/>
    <w:rsid w:val="3E9C0020"/>
    <w:rsid w:val="3EA443F4"/>
    <w:rsid w:val="3EBF66F9"/>
    <w:rsid w:val="3ECC3927"/>
    <w:rsid w:val="3ECE352B"/>
    <w:rsid w:val="3ED26B1C"/>
    <w:rsid w:val="3EDE66B4"/>
    <w:rsid w:val="3EE269EB"/>
    <w:rsid w:val="3EE72E52"/>
    <w:rsid w:val="3EEE0D24"/>
    <w:rsid w:val="3F0A35CC"/>
    <w:rsid w:val="3F2E6B05"/>
    <w:rsid w:val="3F376851"/>
    <w:rsid w:val="3F51536E"/>
    <w:rsid w:val="3F780076"/>
    <w:rsid w:val="3F943558"/>
    <w:rsid w:val="3F957296"/>
    <w:rsid w:val="3F9820B6"/>
    <w:rsid w:val="3FBC67DC"/>
    <w:rsid w:val="3FC94CD2"/>
    <w:rsid w:val="3FE8638D"/>
    <w:rsid w:val="3FEB153C"/>
    <w:rsid w:val="3FEB237E"/>
    <w:rsid w:val="3FEB249C"/>
    <w:rsid w:val="3FFA5B87"/>
    <w:rsid w:val="400B002C"/>
    <w:rsid w:val="400D3523"/>
    <w:rsid w:val="400D52E8"/>
    <w:rsid w:val="400F1005"/>
    <w:rsid w:val="40443AD5"/>
    <w:rsid w:val="40697A2C"/>
    <w:rsid w:val="409F7527"/>
    <w:rsid w:val="40A62384"/>
    <w:rsid w:val="40AB0497"/>
    <w:rsid w:val="40AC2296"/>
    <w:rsid w:val="40B111B3"/>
    <w:rsid w:val="40B25784"/>
    <w:rsid w:val="40BE17FA"/>
    <w:rsid w:val="40D15BCF"/>
    <w:rsid w:val="40D514AA"/>
    <w:rsid w:val="40D914A8"/>
    <w:rsid w:val="40EE6FF6"/>
    <w:rsid w:val="40FA0340"/>
    <w:rsid w:val="40FA40F6"/>
    <w:rsid w:val="410713A7"/>
    <w:rsid w:val="41165A63"/>
    <w:rsid w:val="411B79B9"/>
    <w:rsid w:val="412F4914"/>
    <w:rsid w:val="413E42C6"/>
    <w:rsid w:val="41620B1C"/>
    <w:rsid w:val="416B0426"/>
    <w:rsid w:val="41815E93"/>
    <w:rsid w:val="418940D9"/>
    <w:rsid w:val="418C2FA6"/>
    <w:rsid w:val="41B91C33"/>
    <w:rsid w:val="41EC6FB9"/>
    <w:rsid w:val="421058AB"/>
    <w:rsid w:val="4228502C"/>
    <w:rsid w:val="423563AB"/>
    <w:rsid w:val="42427F3D"/>
    <w:rsid w:val="42492E4D"/>
    <w:rsid w:val="425C416E"/>
    <w:rsid w:val="42674930"/>
    <w:rsid w:val="42676E57"/>
    <w:rsid w:val="427B3DB2"/>
    <w:rsid w:val="429E4532"/>
    <w:rsid w:val="42AA366E"/>
    <w:rsid w:val="42B279CF"/>
    <w:rsid w:val="42BF7EF5"/>
    <w:rsid w:val="42C46384"/>
    <w:rsid w:val="42D77C69"/>
    <w:rsid w:val="42DE5C12"/>
    <w:rsid w:val="42E6622B"/>
    <w:rsid w:val="42EC03C0"/>
    <w:rsid w:val="42EC3CA8"/>
    <w:rsid w:val="4301434A"/>
    <w:rsid w:val="431A77EE"/>
    <w:rsid w:val="431F677C"/>
    <w:rsid w:val="432D6943"/>
    <w:rsid w:val="43387F8F"/>
    <w:rsid w:val="43454BD3"/>
    <w:rsid w:val="434B5F61"/>
    <w:rsid w:val="434D3803"/>
    <w:rsid w:val="435849D2"/>
    <w:rsid w:val="43636BD2"/>
    <w:rsid w:val="43741014"/>
    <w:rsid w:val="43771659"/>
    <w:rsid w:val="437D3F40"/>
    <w:rsid w:val="437E2B99"/>
    <w:rsid w:val="438871B8"/>
    <w:rsid w:val="43B835F7"/>
    <w:rsid w:val="43BD001B"/>
    <w:rsid w:val="43C108C9"/>
    <w:rsid w:val="43E06028"/>
    <w:rsid w:val="43E51F12"/>
    <w:rsid w:val="43E60440"/>
    <w:rsid w:val="43F30D92"/>
    <w:rsid w:val="43F74D30"/>
    <w:rsid w:val="43FF1225"/>
    <w:rsid w:val="440469A6"/>
    <w:rsid w:val="440B1130"/>
    <w:rsid w:val="44211DF6"/>
    <w:rsid w:val="443359AC"/>
    <w:rsid w:val="443E6E04"/>
    <w:rsid w:val="44551C28"/>
    <w:rsid w:val="4467786C"/>
    <w:rsid w:val="44A678F3"/>
    <w:rsid w:val="44AB18FE"/>
    <w:rsid w:val="44AD45BA"/>
    <w:rsid w:val="44AE3AC3"/>
    <w:rsid w:val="44B4165A"/>
    <w:rsid w:val="44BE7026"/>
    <w:rsid w:val="44E4554E"/>
    <w:rsid w:val="45080DD4"/>
    <w:rsid w:val="451A7DD6"/>
    <w:rsid w:val="45260024"/>
    <w:rsid w:val="45366C08"/>
    <w:rsid w:val="453A2007"/>
    <w:rsid w:val="454669E0"/>
    <w:rsid w:val="457733D1"/>
    <w:rsid w:val="45980F34"/>
    <w:rsid w:val="45991206"/>
    <w:rsid w:val="46010C53"/>
    <w:rsid w:val="461F31B0"/>
    <w:rsid w:val="46250CEB"/>
    <w:rsid w:val="46445615"/>
    <w:rsid w:val="46471C9F"/>
    <w:rsid w:val="46517D32"/>
    <w:rsid w:val="467E61C4"/>
    <w:rsid w:val="46920111"/>
    <w:rsid w:val="46B24A24"/>
    <w:rsid w:val="46C34CDF"/>
    <w:rsid w:val="46CF7B75"/>
    <w:rsid w:val="46D77B08"/>
    <w:rsid w:val="46D80BD1"/>
    <w:rsid w:val="46E436A1"/>
    <w:rsid w:val="47014B93"/>
    <w:rsid w:val="47087E4C"/>
    <w:rsid w:val="47163D12"/>
    <w:rsid w:val="471C74CE"/>
    <w:rsid w:val="472D42FC"/>
    <w:rsid w:val="473C01E1"/>
    <w:rsid w:val="475E7E09"/>
    <w:rsid w:val="47673BBC"/>
    <w:rsid w:val="477305A8"/>
    <w:rsid w:val="47753586"/>
    <w:rsid w:val="47792866"/>
    <w:rsid w:val="47961E6F"/>
    <w:rsid w:val="47A66B1D"/>
    <w:rsid w:val="47AE604A"/>
    <w:rsid w:val="47E6118B"/>
    <w:rsid w:val="47E65F1B"/>
    <w:rsid w:val="47E94804"/>
    <w:rsid w:val="47F02EAD"/>
    <w:rsid w:val="47F657F6"/>
    <w:rsid w:val="47F70D88"/>
    <w:rsid w:val="480840AD"/>
    <w:rsid w:val="480B400C"/>
    <w:rsid w:val="480C5746"/>
    <w:rsid w:val="48123142"/>
    <w:rsid w:val="4845669E"/>
    <w:rsid w:val="48516FB5"/>
    <w:rsid w:val="48521BEC"/>
    <w:rsid w:val="4854027F"/>
    <w:rsid w:val="486E73AB"/>
    <w:rsid w:val="48833D59"/>
    <w:rsid w:val="48923A9B"/>
    <w:rsid w:val="48964F48"/>
    <w:rsid w:val="48AE16DA"/>
    <w:rsid w:val="48C55B35"/>
    <w:rsid w:val="48CF6B54"/>
    <w:rsid w:val="491B6BBE"/>
    <w:rsid w:val="492B6619"/>
    <w:rsid w:val="492C7CDA"/>
    <w:rsid w:val="49333D25"/>
    <w:rsid w:val="49370C95"/>
    <w:rsid w:val="493A6C69"/>
    <w:rsid w:val="49625A49"/>
    <w:rsid w:val="496B4473"/>
    <w:rsid w:val="497173AF"/>
    <w:rsid w:val="49780F96"/>
    <w:rsid w:val="497F41A4"/>
    <w:rsid w:val="49804BB7"/>
    <w:rsid w:val="49852879"/>
    <w:rsid w:val="49862C61"/>
    <w:rsid w:val="499D11D6"/>
    <w:rsid w:val="49A74DDB"/>
    <w:rsid w:val="49DB70E6"/>
    <w:rsid w:val="4A082F59"/>
    <w:rsid w:val="4A0C3094"/>
    <w:rsid w:val="4A2B092B"/>
    <w:rsid w:val="4A485FEA"/>
    <w:rsid w:val="4A660868"/>
    <w:rsid w:val="4A7432FF"/>
    <w:rsid w:val="4A842484"/>
    <w:rsid w:val="4AA878F9"/>
    <w:rsid w:val="4AB81021"/>
    <w:rsid w:val="4AC67F52"/>
    <w:rsid w:val="4ADC40E1"/>
    <w:rsid w:val="4AEB1EF7"/>
    <w:rsid w:val="4AED709C"/>
    <w:rsid w:val="4B036933"/>
    <w:rsid w:val="4B296D1C"/>
    <w:rsid w:val="4B413EA1"/>
    <w:rsid w:val="4B547222"/>
    <w:rsid w:val="4B62209A"/>
    <w:rsid w:val="4B661B8A"/>
    <w:rsid w:val="4B8654D9"/>
    <w:rsid w:val="4BAB4921"/>
    <w:rsid w:val="4BAC42C6"/>
    <w:rsid w:val="4BC148BA"/>
    <w:rsid w:val="4BE77467"/>
    <w:rsid w:val="4BF5382E"/>
    <w:rsid w:val="4BFB72E7"/>
    <w:rsid w:val="4C070A32"/>
    <w:rsid w:val="4C304234"/>
    <w:rsid w:val="4C42381F"/>
    <w:rsid w:val="4C437896"/>
    <w:rsid w:val="4C5C44C0"/>
    <w:rsid w:val="4C655E8E"/>
    <w:rsid w:val="4C734B9C"/>
    <w:rsid w:val="4C7C2508"/>
    <w:rsid w:val="4C872352"/>
    <w:rsid w:val="4C8E12EE"/>
    <w:rsid w:val="4C955164"/>
    <w:rsid w:val="4CF2277F"/>
    <w:rsid w:val="4D0E6F71"/>
    <w:rsid w:val="4D1D5914"/>
    <w:rsid w:val="4D2A4A28"/>
    <w:rsid w:val="4D37030D"/>
    <w:rsid w:val="4D3D4460"/>
    <w:rsid w:val="4D4E01C1"/>
    <w:rsid w:val="4D54747A"/>
    <w:rsid w:val="4D561417"/>
    <w:rsid w:val="4D587400"/>
    <w:rsid w:val="4D616B71"/>
    <w:rsid w:val="4D862AC5"/>
    <w:rsid w:val="4D960EF6"/>
    <w:rsid w:val="4DB01399"/>
    <w:rsid w:val="4DB51EF2"/>
    <w:rsid w:val="4DB6480E"/>
    <w:rsid w:val="4DBC59A0"/>
    <w:rsid w:val="4DCC607B"/>
    <w:rsid w:val="4DCF518D"/>
    <w:rsid w:val="4DDE45F6"/>
    <w:rsid w:val="4DEE3F1B"/>
    <w:rsid w:val="4DF67853"/>
    <w:rsid w:val="4E8E297B"/>
    <w:rsid w:val="4E9B5FEF"/>
    <w:rsid w:val="4E9E3987"/>
    <w:rsid w:val="4EA03CF6"/>
    <w:rsid w:val="4EA517D2"/>
    <w:rsid w:val="4EAE1F59"/>
    <w:rsid w:val="4EBA34FE"/>
    <w:rsid w:val="4EBF4371"/>
    <w:rsid w:val="4EFB5E44"/>
    <w:rsid w:val="4F0F1789"/>
    <w:rsid w:val="4F0F7FFC"/>
    <w:rsid w:val="4F2A6939"/>
    <w:rsid w:val="4F381A8F"/>
    <w:rsid w:val="4F383FFE"/>
    <w:rsid w:val="4F386155"/>
    <w:rsid w:val="4F566515"/>
    <w:rsid w:val="4F6841D5"/>
    <w:rsid w:val="4F7C431F"/>
    <w:rsid w:val="4F7D4121"/>
    <w:rsid w:val="4F7F68E8"/>
    <w:rsid w:val="4F8000A2"/>
    <w:rsid w:val="4F842F54"/>
    <w:rsid w:val="4F8836FA"/>
    <w:rsid w:val="4F941987"/>
    <w:rsid w:val="4F960564"/>
    <w:rsid w:val="4FA161E8"/>
    <w:rsid w:val="4FA7451F"/>
    <w:rsid w:val="4FBA6B51"/>
    <w:rsid w:val="4FD55530"/>
    <w:rsid w:val="4FE97A05"/>
    <w:rsid w:val="4FF82CE7"/>
    <w:rsid w:val="4FFF3AA9"/>
    <w:rsid w:val="50252F29"/>
    <w:rsid w:val="502C3EEE"/>
    <w:rsid w:val="505C7A00"/>
    <w:rsid w:val="50783A64"/>
    <w:rsid w:val="507B14EB"/>
    <w:rsid w:val="50874A7C"/>
    <w:rsid w:val="509466EB"/>
    <w:rsid w:val="50AD4E86"/>
    <w:rsid w:val="50AD675E"/>
    <w:rsid w:val="50BF3476"/>
    <w:rsid w:val="50D70554"/>
    <w:rsid w:val="50ED7854"/>
    <w:rsid w:val="50FB1206"/>
    <w:rsid w:val="51004F3D"/>
    <w:rsid w:val="51103F9B"/>
    <w:rsid w:val="512C6E5C"/>
    <w:rsid w:val="51351729"/>
    <w:rsid w:val="51525E7C"/>
    <w:rsid w:val="51566257"/>
    <w:rsid w:val="51575BFE"/>
    <w:rsid w:val="51656433"/>
    <w:rsid w:val="516A534F"/>
    <w:rsid w:val="516C30F1"/>
    <w:rsid w:val="519C08F1"/>
    <w:rsid w:val="51B478FC"/>
    <w:rsid w:val="51D84E3D"/>
    <w:rsid w:val="51DE7FFB"/>
    <w:rsid w:val="520B53A7"/>
    <w:rsid w:val="52166256"/>
    <w:rsid w:val="5219500D"/>
    <w:rsid w:val="521E31BF"/>
    <w:rsid w:val="524C17BA"/>
    <w:rsid w:val="52691254"/>
    <w:rsid w:val="526A681D"/>
    <w:rsid w:val="527823C5"/>
    <w:rsid w:val="527C6EB1"/>
    <w:rsid w:val="5282419D"/>
    <w:rsid w:val="52E75090"/>
    <w:rsid w:val="52ED6F99"/>
    <w:rsid w:val="52F35BB6"/>
    <w:rsid w:val="532011D4"/>
    <w:rsid w:val="534E2C7B"/>
    <w:rsid w:val="53574EDE"/>
    <w:rsid w:val="535C4EE2"/>
    <w:rsid w:val="53685B94"/>
    <w:rsid w:val="536C20B4"/>
    <w:rsid w:val="53821BBF"/>
    <w:rsid w:val="538B6A6D"/>
    <w:rsid w:val="539C5E38"/>
    <w:rsid w:val="53A07C03"/>
    <w:rsid w:val="53B77CE7"/>
    <w:rsid w:val="53C95C66"/>
    <w:rsid w:val="53CC09F8"/>
    <w:rsid w:val="53D0673A"/>
    <w:rsid w:val="53E0477E"/>
    <w:rsid w:val="53EF0E79"/>
    <w:rsid w:val="53FB697D"/>
    <w:rsid w:val="54102CC3"/>
    <w:rsid w:val="541B2261"/>
    <w:rsid w:val="54432DE3"/>
    <w:rsid w:val="544C1D62"/>
    <w:rsid w:val="545E0A80"/>
    <w:rsid w:val="5475139F"/>
    <w:rsid w:val="54A55A70"/>
    <w:rsid w:val="54AA6F8B"/>
    <w:rsid w:val="54B3589D"/>
    <w:rsid w:val="54B4006B"/>
    <w:rsid w:val="54BD211A"/>
    <w:rsid w:val="54E40ECA"/>
    <w:rsid w:val="54F06048"/>
    <w:rsid w:val="54F31E5B"/>
    <w:rsid w:val="54F4202D"/>
    <w:rsid w:val="54F66095"/>
    <w:rsid w:val="550F0565"/>
    <w:rsid w:val="5528513C"/>
    <w:rsid w:val="552E03B1"/>
    <w:rsid w:val="55371E53"/>
    <w:rsid w:val="5541605F"/>
    <w:rsid w:val="55430C5C"/>
    <w:rsid w:val="55444ECC"/>
    <w:rsid w:val="555C4109"/>
    <w:rsid w:val="55911EF9"/>
    <w:rsid w:val="55935FFA"/>
    <w:rsid w:val="55A921F4"/>
    <w:rsid w:val="55C20DFD"/>
    <w:rsid w:val="55D948F5"/>
    <w:rsid w:val="55EB785C"/>
    <w:rsid w:val="56074452"/>
    <w:rsid w:val="562C6A7A"/>
    <w:rsid w:val="564101F4"/>
    <w:rsid w:val="56436C26"/>
    <w:rsid w:val="565B64D5"/>
    <w:rsid w:val="566238B9"/>
    <w:rsid w:val="56724B3C"/>
    <w:rsid w:val="56785D5C"/>
    <w:rsid w:val="56861332"/>
    <w:rsid w:val="56B6631C"/>
    <w:rsid w:val="56C75D2C"/>
    <w:rsid w:val="56E9366F"/>
    <w:rsid w:val="56EE1D06"/>
    <w:rsid w:val="5701275D"/>
    <w:rsid w:val="571C1D42"/>
    <w:rsid w:val="5720754C"/>
    <w:rsid w:val="575F33B6"/>
    <w:rsid w:val="576D604E"/>
    <w:rsid w:val="57923D07"/>
    <w:rsid w:val="57B819BF"/>
    <w:rsid w:val="57BE7B06"/>
    <w:rsid w:val="57C35F0A"/>
    <w:rsid w:val="57EE0B93"/>
    <w:rsid w:val="57F347D8"/>
    <w:rsid w:val="57F4510A"/>
    <w:rsid w:val="58163453"/>
    <w:rsid w:val="581856D7"/>
    <w:rsid w:val="58193B65"/>
    <w:rsid w:val="58255348"/>
    <w:rsid w:val="582F4707"/>
    <w:rsid w:val="584056FE"/>
    <w:rsid w:val="585B0EC2"/>
    <w:rsid w:val="58621827"/>
    <w:rsid w:val="586338A7"/>
    <w:rsid w:val="586475C7"/>
    <w:rsid w:val="586D3661"/>
    <w:rsid w:val="58782EFD"/>
    <w:rsid w:val="587E00DE"/>
    <w:rsid w:val="5884036A"/>
    <w:rsid w:val="58890AB9"/>
    <w:rsid w:val="58975A79"/>
    <w:rsid w:val="58AC2BA6"/>
    <w:rsid w:val="58B916C0"/>
    <w:rsid w:val="58DC4756"/>
    <w:rsid w:val="58F01126"/>
    <w:rsid w:val="590456AD"/>
    <w:rsid w:val="59514715"/>
    <w:rsid w:val="59515972"/>
    <w:rsid w:val="59861215"/>
    <w:rsid w:val="5991071A"/>
    <w:rsid w:val="599A503C"/>
    <w:rsid w:val="59AA71AD"/>
    <w:rsid w:val="59B42FD1"/>
    <w:rsid w:val="59CD070B"/>
    <w:rsid w:val="59E11998"/>
    <w:rsid w:val="59E13C2C"/>
    <w:rsid w:val="59FA7BC8"/>
    <w:rsid w:val="5A02195E"/>
    <w:rsid w:val="5A022F73"/>
    <w:rsid w:val="5A042BA2"/>
    <w:rsid w:val="5A240A94"/>
    <w:rsid w:val="5A26515D"/>
    <w:rsid w:val="5A3612C1"/>
    <w:rsid w:val="5A6B3A3C"/>
    <w:rsid w:val="5A6D0C81"/>
    <w:rsid w:val="5A9B5B51"/>
    <w:rsid w:val="5A9D4A5E"/>
    <w:rsid w:val="5AB86683"/>
    <w:rsid w:val="5ABD48CD"/>
    <w:rsid w:val="5AC65E82"/>
    <w:rsid w:val="5AD340B5"/>
    <w:rsid w:val="5AF035DB"/>
    <w:rsid w:val="5AF15021"/>
    <w:rsid w:val="5AF16D39"/>
    <w:rsid w:val="5AFB5A28"/>
    <w:rsid w:val="5AFD5351"/>
    <w:rsid w:val="5B165E5E"/>
    <w:rsid w:val="5B345801"/>
    <w:rsid w:val="5B3F4719"/>
    <w:rsid w:val="5B5F5AF0"/>
    <w:rsid w:val="5BA36807"/>
    <w:rsid w:val="5BC24519"/>
    <w:rsid w:val="5BC74415"/>
    <w:rsid w:val="5BD4085A"/>
    <w:rsid w:val="5BD91F04"/>
    <w:rsid w:val="5BDA0AAC"/>
    <w:rsid w:val="5C07178B"/>
    <w:rsid w:val="5C292DA7"/>
    <w:rsid w:val="5C407EF5"/>
    <w:rsid w:val="5C997AD8"/>
    <w:rsid w:val="5CAB6A15"/>
    <w:rsid w:val="5CDA5DDA"/>
    <w:rsid w:val="5CE61755"/>
    <w:rsid w:val="5CE9072D"/>
    <w:rsid w:val="5CE964FA"/>
    <w:rsid w:val="5CFB5EAA"/>
    <w:rsid w:val="5CFC3CEC"/>
    <w:rsid w:val="5D047455"/>
    <w:rsid w:val="5D2C1449"/>
    <w:rsid w:val="5D4F6922"/>
    <w:rsid w:val="5D7B47D6"/>
    <w:rsid w:val="5D956E69"/>
    <w:rsid w:val="5E1614EB"/>
    <w:rsid w:val="5E2F62ED"/>
    <w:rsid w:val="5E4A6B29"/>
    <w:rsid w:val="5E554383"/>
    <w:rsid w:val="5E5637B5"/>
    <w:rsid w:val="5E580F3D"/>
    <w:rsid w:val="5E5D157D"/>
    <w:rsid w:val="5E652175"/>
    <w:rsid w:val="5E6F1663"/>
    <w:rsid w:val="5E803D6F"/>
    <w:rsid w:val="5E974A99"/>
    <w:rsid w:val="5EA6357B"/>
    <w:rsid w:val="5EAA1F44"/>
    <w:rsid w:val="5EC40689"/>
    <w:rsid w:val="5EF33E24"/>
    <w:rsid w:val="5EF82672"/>
    <w:rsid w:val="5EFA0523"/>
    <w:rsid w:val="5EFB06A5"/>
    <w:rsid w:val="5F003D1A"/>
    <w:rsid w:val="5F013C4C"/>
    <w:rsid w:val="5F08001E"/>
    <w:rsid w:val="5F355C6B"/>
    <w:rsid w:val="5F49114F"/>
    <w:rsid w:val="5F4A3D74"/>
    <w:rsid w:val="5F4B3AE6"/>
    <w:rsid w:val="5F531FCE"/>
    <w:rsid w:val="5F681F1D"/>
    <w:rsid w:val="5F7D0846"/>
    <w:rsid w:val="5FBC4017"/>
    <w:rsid w:val="5FCE0849"/>
    <w:rsid w:val="5FCE14F9"/>
    <w:rsid w:val="5FDA75E2"/>
    <w:rsid w:val="5FF0124B"/>
    <w:rsid w:val="5FFC6C1A"/>
    <w:rsid w:val="5FFE63DD"/>
    <w:rsid w:val="60002155"/>
    <w:rsid w:val="60470972"/>
    <w:rsid w:val="605403EE"/>
    <w:rsid w:val="60804316"/>
    <w:rsid w:val="60AE3960"/>
    <w:rsid w:val="60BD57A9"/>
    <w:rsid w:val="60C45E36"/>
    <w:rsid w:val="60E86D2F"/>
    <w:rsid w:val="60E9485E"/>
    <w:rsid w:val="610417D1"/>
    <w:rsid w:val="61315CE8"/>
    <w:rsid w:val="61424178"/>
    <w:rsid w:val="61505ABE"/>
    <w:rsid w:val="61576349"/>
    <w:rsid w:val="61795D1D"/>
    <w:rsid w:val="61850A77"/>
    <w:rsid w:val="618B1825"/>
    <w:rsid w:val="61987D24"/>
    <w:rsid w:val="619F30BC"/>
    <w:rsid w:val="61AE5833"/>
    <w:rsid w:val="61BC610F"/>
    <w:rsid w:val="61C422C8"/>
    <w:rsid w:val="61F07FCA"/>
    <w:rsid w:val="621232AC"/>
    <w:rsid w:val="621F7D98"/>
    <w:rsid w:val="62266D9B"/>
    <w:rsid w:val="623F4DBD"/>
    <w:rsid w:val="62614A02"/>
    <w:rsid w:val="62740BD9"/>
    <w:rsid w:val="628059B2"/>
    <w:rsid w:val="628250A4"/>
    <w:rsid w:val="629D16BD"/>
    <w:rsid w:val="629F6B2D"/>
    <w:rsid w:val="62B529D4"/>
    <w:rsid w:val="62DB6133"/>
    <w:rsid w:val="62EE079F"/>
    <w:rsid w:val="62F23C4B"/>
    <w:rsid w:val="62F55338"/>
    <w:rsid w:val="63080C8D"/>
    <w:rsid w:val="6325291F"/>
    <w:rsid w:val="634B514E"/>
    <w:rsid w:val="63616199"/>
    <w:rsid w:val="63784636"/>
    <w:rsid w:val="637D1766"/>
    <w:rsid w:val="638B61DA"/>
    <w:rsid w:val="639F3A33"/>
    <w:rsid w:val="63B429E0"/>
    <w:rsid w:val="63C84976"/>
    <w:rsid w:val="63CD7AF7"/>
    <w:rsid w:val="63FC16BE"/>
    <w:rsid w:val="640F282B"/>
    <w:rsid w:val="64191CCD"/>
    <w:rsid w:val="641E5268"/>
    <w:rsid w:val="642671DC"/>
    <w:rsid w:val="644332F5"/>
    <w:rsid w:val="64596731"/>
    <w:rsid w:val="64686C1E"/>
    <w:rsid w:val="64810DF0"/>
    <w:rsid w:val="64872E45"/>
    <w:rsid w:val="649F77B2"/>
    <w:rsid w:val="64A4647A"/>
    <w:rsid w:val="64C33B06"/>
    <w:rsid w:val="64E35BA2"/>
    <w:rsid w:val="64EC0EF4"/>
    <w:rsid w:val="64EF46A6"/>
    <w:rsid w:val="65082AE7"/>
    <w:rsid w:val="65341B8C"/>
    <w:rsid w:val="659B647C"/>
    <w:rsid w:val="65A417D5"/>
    <w:rsid w:val="65A74C2C"/>
    <w:rsid w:val="65B0725E"/>
    <w:rsid w:val="65B25BD6"/>
    <w:rsid w:val="65B86C33"/>
    <w:rsid w:val="65BC08CD"/>
    <w:rsid w:val="65FB00E6"/>
    <w:rsid w:val="661601B3"/>
    <w:rsid w:val="6632520F"/>
    <w:rsid w:val="665262ED"/>
    <w:rsid w:val="6665172C"/>
    <w:rsid w:val="667C0ECF"/>
    <w:rsid w:val="667C2398"/>
    <w:rsid w:val="669F5AF9"/>
    <w:rsid w:val="66A650B0"/>
    <w:rsid w:val="66AE3383"/>
    <w:rsid w:val="66BA4711"/>
    <w:rsid w:val="66BF4623"/>
    <w:rsid w:val="66C45526"/>
    <w:rsid w:val="66C877B0"/>
    <w:rsid w:val="66F363F8"/>
    <w:rsid w:val="67087B42"/>
    <w:rsid w:val="67090B1A"/>
    <w:rsid w:val="6714181A"/>
    <w:rsid w:val="671C796E"/>
    <w:rsid w:val="67472418"/>
    <w:rsid w:val="676F03EF"/>
    <w:rsid w:val="67755CD2"/>
    <w:rsid w:val="67B01AB0"/>
    <w:rsid w:val="67B426C9"/>
    <w:rsid w:val="67C37FBA"/>
    <w:rsid w:val="67F7020E"/>
    <w:rsid w:val="681C38A5"/>
    <w:rsid w:val="682F0EB3"/>
    <w:rsid w:val="683C2E15"/>
    <w:rsid w:val="684A2A31"/>
    <w:rsid w:val="68642A54"/>
    <w:rsid w:val="686E3FED"/>
    <w:rsid w:val="6878545C"/>
    <w:rsid w:val="688A1383"/>
    <w:rsid w:val="6892481D"/>
    <w:rsid w:val="689816A4"/>
    <w:rsid w:val="68A152C4"/>
    <w:rsid w:val="68AF2172"/>
    <w:rsid w:val="68BA2B3A"/>
    <w:rsid w:val="68BF173F"/>
    <w:rsid w:val="68C322DF"/>
    <w:rsid w:val="68D73C27"/>
    <w:rsid w:val="68E37A17"/>
    <w:rsid w:val="68ED6E1E"/>
    <w:rsid w:val="690B1C5C"/>
    <w:rsid w:val="690B3BA6"/>
    <w:rsid w:val="690C1B6B"/>
    <w:rsid w:val="692F462C"/>
    <w:rsid w:val="69363F19"/>
    <w:rsid w:val="694640A3"/>
    <w:rsid w:val="695268BA"/>
    <w:rsid w:val="69665AFA"/>
    <w:rsid w:val="69685CAF"/>
    <w:rsid w:val="697C2AF8"/>
    <w:rsid w:val="698E3087"/>
    <w:rsid w:val="69A555DF"/>
    <w:rsid w:val="69AD70F6"/>
    <w:rsid w:val="69B875FD"/>
    <w:rsid w:val="69CF54F5"/>
    <w:rsid w:val="69D54703"/>
    <w:rsid w:val="69DD3FE6"/>
    <w:rsid w:val="69E0336B"/>
    <w:rsid w:val="69EA199C"/>
    <w:rsid w:val="69F134E0"/>
    <w:rsid w:val="69F7253D"/>
    <w:rsid w:val="6A025978"/>
    <w:rsid w:val="6A097E59"/>
    <w:rsid w:val="6A2036CB"/>
    <w:rsid w:val="6A397905"/>
    <w:rsid w:val="6A4C2A43"/>
    <w:rsid w:val="6A727371"/>
    <w:rsid w:val="6A941549"/>
    <w:rsid w:val="6B003330"/>
    <w:rsid w:val="6B2E7664"/>
    <w:rsid w:val="6B392B57"/>
    <w:rsid w:val="6B3B6738"/>
    <w:rsid w:val="6B4730B7"/>
    <w:rsid w:val="6B481710"/>
    <w:rsid w:val="6B585A05"/>
    <w:rsid w:val="6B767770"/>
    <w:rsid w:val="6B7826EE"/>
    <w:rsid w:val="6B7F1EA3"/>
    <w:rsid w:val="6B8852FB"/>
    <w:rsid w:val="6B8E3BFC"/>
    <w:rsid w:val="6B9A16DF"/>
    <w:rsid w:val="6BB66A94"/>
    <w:rsid w:val="6BE97F42"/>
    <w:rsid w:val="6BEC5795"/>
    <w:rsid w:val="6C12412D"/>
    <w:rsid w:val="6C1C3F25"/>
    <w:rsid w:val="6C205D8E"/>
    <w:rsid w:val="6C305198"/>
    <w:rsid w:val="6C420804"/>
    <w:rsid w:val="6C6153F8"/>
    <w:rsid w:val="6C6538E5"/>
    <w:rsid w:val="6C7328F6"/>
    <w:rsid w:val="6C7A7D05"/>
    <w:rsid w:val="6C846341"/>
    <w:rsid w:val="6C992139"/>
    <w:rsid w:val="6CC97DC5"/>
    <w:rsid w:val="6CF8016A"/>
    <w:rsid w:val="6CFC2164"/>
    <w:rsid w:val="6D02333A"/>
    <w:rsid w:val="6D1E3E6B"/>
    <w:rsid w:val="6D396CA7"/>
    <w:rsid w:val="6D594C53"/>
    <w:rsid w:val="6D6334EE"/>
    <w:rsid w:val="6D6A41BF"/>
    <w:rsid w:val="6D6B7B8D"/>
    <w:rsid w:val="6D766ED2"/>
    <w:rsid w:val="6D806684"/>
    <w:rsid w:val="6D9117E8"/>
    <w:rsid w:val="6D9C0A62"/>
    <w:rsid w:val="6DA34B2D"/>
    <w:rsid w:val="6DAC4691"/>
    <w:rsid w:val="6DB06846"/>
    <w:rsid w:val="6DB84A51"/>
    <w:rsid w:val="6DC71B59"/>
    <w:rsid w:val="6DD52067"/>
    <w:rsid w:val="6E04104A"/>
    <w:rsid w:val="6E081E9A"/>
    <w:rsid w:val="6E0C4853"/>
    <w:rsid w:val="6E1B5E35"/>
    <w:rsid w:val="6E2039C3"/>
    <w:rsid w:val="6E4E3A59"/>
    <w:rsid w:val="6E5673E4"/>
    <w:rsid w:val="6E5F44BF"/>
    <w:rsid w:val="6E6769CF"/>
    <w:rsid w:val="6E801EFD"/>
    <w:rsid w:val="6E827A5B"/>
    <w:rsid w:val="6E9260DA"/>
    <w:rsid w:val="6EAA02A3"/>
    <w:rsid w:val="6ED74F67"/>
    <w:rsid w:val="6ED924EF"/>
    <w:rsid w:val="6EDC3D8E"/>
    <w:rsid w:val="6EE4021E"/>
    <w:rsid w:val="6F1026B2"/>
    <w:rsid w:val="6F176D17"/>
    <w:rsid w:val="6F2375E4"/>
    <w:rsid w:val="6F3F60CB"/>
    <w:rsid w:val="6F483864"/>
    <w:rsid w:val="6F5778B8"/>
    <w:rsid w:val="6F5D37B0"/>
    <w:rsid w:val="6F6A0A0F"/>
    <w:rsid w:val="6F706477"/>
    <w:rsid w:val="6F9A5A8A"/>
    <w:rsid w:val="6F9F3459"/>
    <w:rsid w:val="6FCF61B3"/>
    <w:rsid w:val="6FDE7692"/>
    <w:rsid w:val="700C6D4F"/>
    <w:rsid w:val="7015387B"/>
    <w:rsid w:val="701C4BB1"/>
    <w:rsid w:val="701E4F19"/>
    <w:rsid w:val="701E687D"/>
    <w:rsid w:val="70344855"/>
    <w:rsid w:val="70352955"/>
    <w:rsid w:val="706F0D14"/>
    <w:rsid w:val="7083633D"/>
    <w:rsid w:val="70E40E26"/>
    <w:rsid w:val="70EE7DCA"/>
    <w:rsid w:val="70F83CE8"/>
    <w:rsid w:val="713003C1"/>
    <w:rsid w:val="713E62AA"/>
    <w:rsid w:val="714A76D4"/>
    <w:rsid w:val="714F6688"/>
    <w:rsid w:val="71614890"/>
    <w:rsid w:val="716952A0"/>
    <w:rsid w:val="71BD0693"/>
    <w:rsid w:val="71C84B3A"/>
    <w:rsid w:val="71E25E4D"/>
    <w:rsid w:val="71ED6FA6"/>
    <w:rsid w:val="720A6DE2"/>
    <w:rsid w:val="720C62AE"/>
    <w:rsid w:val="722C2BF5"/>
    <w:rsid w:val="723D0AFC"/>
    <w:rsid w:val="724265FE"/>
    <w:rsid w:val="72465D42"/>
    <w:rsid w:val="724D03BA"/>
    <w:rsid w:val="724F0EF5"/>
    <w:rsid w:val="725D3CED"/>
    <w:rsid w:val="72680780"/>
    <w:rsid w:val="726D5A47"/>
    <w:rsid w:val="728004E1"/>
    <w:rsid w:val="72B229EC"/>
    <w:rsid w:val="72C572C3"/>
    <w:rsid w:val="72D272FF"/>
    <w:rsid w:val="72D36A71"/>
    <w:rsid w:val="72DA526C"/>
    <w:rsid w:val="72F533A4"/>
    <w:rsid w:val="72F90BB3"/>
    <w:rsid w:val="73011B3E"/>
    <w:rsid w:val="733A49E2"/>
    <w:rsid w:val="73432B9F"/>
    <w:rsid w:val="734B006D"/>
    <w:rsid w:val="73550DB1"/>
    <w:rsid w:val="735D0BD3"/>
    <w:rsid w:val="73790E84"/>
    <w:rsid w:val="738D7458"/>
    <w:rsid w:val="7391204B"/>
    <w:rsid w:val="73AD3F4B"/>
    <w:rsid w:val="73D03EF7"/>
    <w:rsid w:val="73D52D49"/>
    <w:rsid w:val="73DF5EE4"/>
    <w:rsid w:val="73FA7121"/>
    <w:rsid w:val="7400485A"/>
    <w:rsid w:val="74035273"/>
    <w:rsid w:val="7404270E"/>
    <w:rsid w:val="74106EAF"/>
    <w:rsid w:val="742609AF"/>
    <w:rsid w:val="742A5D78"/>
    <w:rsid w:val="74491977"/>
    <w:rsid w:val="744A79EB"/>
    <w:rsid w:val="7450090B"/>
    <w:rsid w:val="74563B13"/>
    <w:rsid w:val="747B3629"/>
    <w:rsid w:val="74982ED9"/>
    <w:rsid w:val="749B27BA"/>
    <w:rsid w:val="74B6062A"/>
    <w:rsid w:val="74C261B4"/>
    <w:rsid w:val="74CF3971"/>
    <w:rsid w:val="74EB60DB"/>
    <w:rsid w:val="74F35382"/>
    <w:rsid w:val="74FC46C2"/>
    <w:rsid w:val="75034F63"/>
    <w:rsid w:val="75042DFF"/>
    <w:rsid w:val="75043F67"/>
    <w:rsid w:val="752E17E7"/>
    <w:rsid w:val="75394C61"/>
    <w:rsid w:val="755328D0"/>
    <w:rsid w:val="756B5F5C"/>
    <w:rsid w:val="757005AB"/>
    <w:rsid w:val="75823F3A"/>
    <w:rsid w:val="759024CB"/>
    <w:rsid w:val="75AB2B8A"/>
    <w:rsid w:val="75AF5D58"/>
    <w:rsid w:val="75BE6A70"/>
    <w:rsid w:val="75E35A02"/>
    <w:rsid w:val="75F83F80"/>
    <w:rsid w:val="7638515B"/>
    <w:rsid w:val="76425CC0"/>
    <w:rsid w:val="76475789"/>
    <w:rsid w:val="764A3282"/>
    <w:rsid w:val="76524935"/>
    <w:rsid w:val="765468FF"/>
    <w:rsid w:val="769179AA"/>
    <w:rsid w:val="76993924"/>
    <w:rsid w:val="76B4251D"/>
    <w:rsid w:val="76C46966"/>
    <w:rsid w:val="76D8054F"/>
    <w:rsid w:val="76E500C2"/>
    <w:rsid w:val="77045CA4"/>
    <w:rsid w:val="771A5453"/>
    <w:rsid w:val="77345D20"/>
    <w:rsid w:val="773E3179"/>
    <w:rsid w:val="77497EC4"/>
    <w:rsid w:val="777A4144"/>
    <w:rsid w:val="7780039E"/>
    <w:rsid w:val="778C5F09"/>
    <w:rsid w:val="77A53C03"/>
    <w:rsid w:val="77A6223F"/>
    <w:rsid w:val="77A776A5"/>
    <w:rsid w:val="77A8074F"/>
    <w:rsid w:val="77C21180"/>
    <w:rsid w:val="77CB499F"/>
    <w:rsid w:val="77D558AA"/>
    <w:rsid w:val="77E12415"/>
    <w:rsid w:val="77EC1C4C"/>
    <w:rsid w:val="78082846"/>
    <w:rsid w:val="780F0D30"/>
    <w:rsid w:val="783264F7"/>
    <w:rsid w:val="78340B66"/>
    <w:rsid w:val="784175C0"/>
    <w:rsid w:val="78450BF6"/>
    <w:rsid w:val="784B5AE0"/>
    <w:rsid w:val="785F79F6"/>
    <w:rsid w:val="786C12A0"/>
    <w:rsid w:val="787268FF"/>
    <w:rsid w:val="78796786"/>
    <w:rsid w:val="78887D31"/>
    <w:rsid w:val="78903312"/>
    <w:rsid w:val="78A811EC"/>
    <w:rsid w:val="78B15CB6"/>
    <w:rsid w:val="78C73AA6"/>
    <w:rsid w:val="78F01B41"/>
    <w:rsid w:val="78F47F26"/>
    <w:rsid w:val="792338A3"/>
    <w:rsid w:val="792955CC"/>
    <w:rsid w:val="794C419B"/>
    <w:rsid w:val="796902D2"/>
    <w:rsid w:val="796A413E"/>
    <w:rsid w:val="798D6A35"/>
    <w:rsid w:val="79982DE3"/>
    <w:rsid w:val="79AD28D8"/>
    <w:rsid w:val="79B44181"/>
    <w:rsid w:val="79C84AA5"/>
    <w:rsid w:val="79DF38A1"/>
    <w:rsid w:val="79EA0322"/>
    <w:rsid w:val="7A0423EA"/>
    <w:rsid w:val="7A0477BF"/>
    <w:rsid w:val="7A4378B7"/>
    <w:rsid w:val="7A441142"/>
    <w:rsid w:val="7A601D17"/>
    <w:rsid w:val="7A6F7EB4"/>
    <w:rsid w:val="7A7C5131"/>
    <w:rsid w:val="7A902877"/>
    <w:rsid w:val="7A903C7E"/>
    <w:rsid w:val="7A9366A7"/>
    <w:rsid w:val="7A96605A"/>
    <w:rsid w:val="7A9B72E9"/>
    <w:rsid w:val="7AB21F74"/>
    <w:rsid w:val="7B040A3C"/>
    <w:rsid w:val="7B054C06"/>
    <w:rsid w:val="7B0B276E"/>
    <w:rsid w:val="7B1B5C3E"/>
    <w:rsid w:val="7B1C59E8"/>
    <w:rsid w:val="7B29461C"/>
    <w:rsid w:val="7B2F16E9"/>
    <w:rsid w:val="7B3307AF"/>
    <w:rsid w:val="7B8A2EA1"/>
    <w:rsid w:val="7B914152"/>
    <w:rsid w:val="7BC1389C"/>
    <w:rsid w:val="7BCA6AAA"/>
    <w:rsid w:val="7BFD2D4E"/>
    <w:rsid w:val="7C016BE2"/>
    <w:rsid w:val="7C225EB9"/>
    <w:rsid w:val="7C252ABE"/>
    <w:rsid w:val="7C484D8B"/>
    <w:rsid w:val="7C547F45"/>
    <w:rsid w:val="7C573095"/>
    <w:rsid w:val="7C8767FF"/>
    <w:rsid w:val="7CA13713"/>
    <w:rsid w:val="7CAF4890"/>
    <w:rsid w:val="7CBB750D"/>
    <w:rsid w:val="7CCA5FE8"/>
    <w:rsid w:val="7CE02B8B"/>
    <w:rsid w:val="7CE85FF3"/>
    <w:rsid w:val="7CF250B3"/>
    <w:rsid w:val="7D00145F"/>
    <w:rsid w:val="7D0F17D2"/>
    <w:rsid w:val="7D5176F5"/>
    <w:rsid w:val="7D5E7E3F"/>
    <w:rsid w:val="7D61253A"/>
    <w:rsid w:val="7D864E01"/>
    <w:rsid w:val="7DB36601"/>
    <w:rsid w:val="7DB47549"/>
    <w:rsid w:val="7DBC1487"/>
    <w:rsid w:val="7DC70C30"/>
    <w:rsid w:val="7DCC7060"/>
    <w:rsid w:val="7DD943F1"/>
    <w:rsid w:val="7DFF0E4F"/>
    <w:rsid w:val="7E005CDF"/>
    <w:rsid w:val="7E217831"/>
    <w:rsid w:val="7E2B442C"/>
    <w:rsid w:val="7E2C384F"/>
    <w:rsid w:val="7E3A4163"/>
    <w:rsid w:val="7E3C61A8"/>
    <w:rsid w:val="7E4E0639"/>
    <w:rsid w:val="7E56441D"/>
    <w:rsid w:val="7E7E3F5A"/>
    <w:rsid w:val="7EC31C59"/>
    <w:rsid w:val="7EC83EDA"/>
    <w:rsid w:val="7EF26CB5"/>
    <w:rsid w:val="7EF822F8"/>
    <w:rsid w:val="7F0426D6"/>
    <w:rsid w:val="7F0A2251"/>
    <w:rsid w:val="7F181C41"/>
    <w:rsid w:val="7F213A44"/>
    <w:rsid w:val="7F34011D"/>
    <w:rsid w:val="7F3E09A4"/>
    <w:rsid w:val="7F407AF5"/>
    <w:rsid w:val="7F5A2F41"/>
    <w:rsid w:val="7F831401"/>
    <w:rsid w:val="7F8A2751"/>
    <w:rsid w:val="7F8F3C58"/>
    <w:rsid w:val="7FA91A6A"/>
    <w:rsid w:val="7FB7735D"/>
    <w:rsid w:val="7FDF314E"/>
    <w:rsid w:val="7FEF2AB0"/>
    <w:rsid w:val="7FFB3B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702" w:lineRule="exact"/>
      <w:outlineLvl w:val="0"/>
    </w:pPr>
    <w:rPr>
      <w:rFonts w:ascii="Microsoft JhengHei" w:hAnsi="Microsoft JhengHei" w:eastAsia="Microsoft JhengHei" w:cs="Microsoft JhengHei"/>
      <w:b/>
      <w:bCs/>
      <w:sz w:val="44"/>
      <w:szCs w:val="44"/>
    </w:rPr>
  </w:style>
  <w:style w:type="paragraph" w:styleId="3">
    <w:name w:val="heading 2"/>
    <w:basedOn w:val="1"/>
    <w:next w:val="1"/>
    <w:qFormat/>
    <w:uiPriority w:val="0"/>
    <w:pPr>
      <w:ind w:left="801" w:hanging="401"/>
      <w:outlineLvl w:val="1"/>
    </w:pPr>
    <w:rPr>
      <w:rFonts w:ascii="Microsoft JhengHei" w:hAnsi="Microsoft JhengHei" w:eastAsia="Microsoft JhengHei" w:cs="Microsoft JhengHei"/>
      <w:b/>
      <w:bCs/>
      <w:sz w:val="32"/>
      <w:szCs w:val="32"/>
    </w:rPr>
  </w:style>
  <w:style w:type="paragraph" w:styleId="4">
    <w:name w:val="heading 3"/>
    <w:basedOn w:val="1"/>
    <w:next w:val="5"/>
    <w:qFormat/>
    <w:uiPriority w:val="0"/>
    <w:pPr>
      <w:ind w:left="1026" w:hanging="489"/>
      <w:outlineLvl w:val="2"/>
    </w:pPr>
    <w:rPr>
      <w:sz w:val="28"/>
      <w:szCs w:val="28"/>
    </w:rPr>
  </w:style>
  <w:style w:type="paragraph" w:styleId="6">
    <w:name w:val="heading 4"/>
    <w:basedOn w:val="1"/>
    <w:next w:val="1"/>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List 3"/>
    <w:basedOn w:val="1"/>
    <w:qFormat/>
    <w:uiPriority w:val="0"/>
    <w:pPr>
      <w:spacing w:line="240" w:lineRule="auto"/>
      <w:ind w:left="0" w:firstLine="0" w:firstLineChars="0"/>
      <w:jc w:val="center"/>
    </w:pPr>
    <w:rPr>
      <w:sz w:val="21"/>
      <w:szCs w:val="20"/>
    </w:r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rPr>
  </w:style>
  <w:style w:type="paragraph" w:styleId="9">
    <w:name w:val="annotation text"/>
    <w:basedOn w:val="1"/>
    <w:unhideWhenUsed/>
    <w:qFormat/>
    <w:uiPriority w:val="0"/>
    <w:pPr>
      <w:jc w:val="left"/>
    </w:pPr>
  </w:style>
  <w:style w:type="paragraph" w:styleId="10">
    <w:name w:val="Body Text 3"/>
    <w:basedOn w:val="1"/>
    <w:qFormat/>
    <w:uiPriority w:val="99"/>
    <w:rPr>
      <w:sz w:val="20"/>
      <w:szCs w:val="20"/>
    </w:rPr>
  </w:style>
  <w:style w:type="paragraph" w:styleId="11">
    <w:name w:val="Body Text"/>
    <w:basedOn w:val="1"/>
    <w:qFormat/>
    <w:uiPriority w:val="0"/>
    <w:rPr>
      <w:szCs w:val="21"/>
    </w:rPr>
  </w:style>
  <w:style w:type="paragraph" w:styleId="12">
    <w:name w:val="Body Text Indent"/>
    <w:basedOn w:val="1"/>
    <w:next w:val="1"/>
    <w:qFormat/>
    <w:uiPriority w:val="0"/>
    <w:pPr>
      <w:ind w:firstLine="360"/>
    </w:pPr>
    <w:rPr>
      <w:rFonts w:ascii="Arial" w:hAnsi="Arial"/>
    </w:rPr>
  </w:style>
  <w:style w:type="paragraph" w:styleId="13">
    <w:name w:val="Plain Text"/>
    <w:basedOn w:val="1"/>
    <w:next w:val="14"/>
    <w:qFormat/>
    <w:uiPriority w:val="0"/>
    <w:rPr>
      <w:rFonts w:hAnsi="Courier New"/>
    </w:rPr>
  </w:style>
  <w:style w:type="paragraph" w:customStyle="1" w:styleId="14">
    <w:name w:val="Default"/>
    <w:next w:val="1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
    <w:name w:val="6'"/>
    <w:basedOn w:val="1"/>
    <w:next w:val="16"/>
    <w:qFormat/>
    <w:uiPriority w:val="0"/>
    <w:pPr>
      <w:autoSpaceDE w:val="0"/>
      <w:autoSpaceDN w:val="0"/>
      <w:adjustRightInd w:val="0"/>
      <w:spacing w:line="320" w:lineRule="exact"/>
      <w:jc w:val="center"/>
      <w:textAlignment w:val="baseline"/>
    </w:pPr>
    <w:rPr>
      <w:spacing w:val="20"/>
      <w:kern w:val="28"/>
      <w:szCs w:val="20"/>
    </w:rPr>
  </w:style>
  <w:style w:type="paragraph" w:customStyle="1" w:styleId="16">
    <w:name w:val="AOHead3"/>
    <w:basedOn w:val="1"/>
    <w:next w:val="1"/>
    <w:qFormat/>
    <w:uiPriority w:val="0"/>
    <w:pPr>
      <w:spacing w:line="360" w:lineRule="auto"/>
      <w:ind w:left="1260"/>
      <w:outlineLvl w:val="2"/>
    </w:pPr>
    <w:rPr>
      <w:color w:val="0000FF"/>
    </w:rPr>
  </w:style>
  <w:style w:type="paragraph" w:styleId="17">
    <w:name w:val="Date"/>
    <w:basedOn w:val="1"/>
    <w:next w:val="1"/>
    <w:qFormat/>
    <w:uiPriority w:val="0"/>
    <w:pPr>
      <w:ind w:left="100" w:leftChars="2500"/>
    </w:pPr>
    <w:rPr>
      <w:sz w:val="24"/>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0"/>
  </w:style>
  <w:style w:type="paragraph" w:styleId="22">
    <w:name w:val="toc 2"/>
    <w:basedOn w:val="1"/>
    <w:next w:val="1"/>
    <w:qFormat/>
    <w:uiPriority w:val="0"/>
  </w:style>
  <w:style w:type="paragraph" w:styleId="23">
    <w:name w:val="Body Text 2"/>
    <w:basedOn w:val="1"/>
    <w:qFormat/>
    <w:uiPriority w:val="0"/>
    <w:pPr>
      <w:spacing w:after="120" w:line="480" w:lineRule="auto"/>
    </w:pPr>
    <w:rPr>
      <w:rFonts w:ascii="Times New Roman" w:hAnsi="Times New Roman"/>
    </w:rPr>
  </w:style>
  <w:style w:type="paragraph" w:styleId="24">
    <w:name w:val="Normal (Web)"/>
    <w:basedOn w:val="1"/>
    <w:qFormat/>
    <w:uiPriority w:val="0"/>
    <w:pPr>
      <w:spacing w:before="100" w:beforeAutospacing="1" w:after="100" w:afterAutospacing="1"/>
      <w:jc w:val="left"/>
    </w:pPr>
    <w:rPr>
      <w:kern w:val="0"/>
      <w:sz w:val="24"/>
    </w:rPr>
  </w:style>
  <w:style w:type="paragraph" w:styleId="25">
    <w:name w:val="Title"/>
    <w:basedOn w:val="1"/>
    <w:next w:val="1"/>
    <w:qFormat/>
    <w:uiPriority w:val="0"/>
    <w:pPr>
      <w:spacing w:before="240" w:after="60" w:line="360" w:lineRule="auto"/>
      <w:jc w:val="center"/>
      <w:outlineLvl w:val="0"/>
    </w:pPr>
    <w:rPr>
      <w:rFonts w:ascii="Arial" w:hAnsi="Arial" w:cs="Arial"/>
      <w:b/>
      <w:bCs/>
      <w:sz w:val="32"/>
      <w:szCs w:val="32"/>
    </w:rPr>
  </w:style>
  <w:style w:type="paragraph" w:styleId="26">
    <w:name w:val="Body Text First Indent"/>
    <w:basedOn w:val="11"/>
    <w:qFormat/>
    <w:uiPriority w:val="0"/>
    <w:pPr>
      <w:ind w:firstLine="420"/>
    </w:pPr>
  </w:style>
  <w:style w:type="paragraph" w:styleId="27">
    <w:name w:val="Body Text First Indent 2"/>
    <w:basedOn w:val="12"/>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Hyperlink"/>
    <w:qFormat/>
    <w:uiPriority w:val="99"/>
    <w:rPr>
      <w:rFonts w:cs="Times New Roman"/>
      <w:color w:val="0000FF"/>
      <w:u w:val="single"/>
    </w:rPr>
  </w:style>
  <w:style w:type="paragraph" w:customStyle="1" w:styleId="34">
    <w:name w:val="样式 宋体 行距: 1.5 倍行距"/>
    <w:basedOn w:val="1"/>
    <w:qFormat/>
    <w:uiPriority w:val="0"/>
    <w:pPr>
      <w:jc w:val="center"/>
    </w:pPr>
    <w:rPr>
      <w:b/>
      <w:szCs w:val="22"/>
    </w:rPr>
  </w:style>
  <w:style w:type="paragraph" w:customStyle="1" w:styleId="35">
    <w:name w:val="新正文"/>
    <w:basedOn w:val="1"/>
    <w:next w:val="1"/>
    <w:qFormat/>
    <w:uiPriority w:val="0"/>
    <w:pPr>
      <w:spacing w:before="0" w:beforeLines="0" w:after="0" w:afterLines="0" w:line="336" w:lineRule="auto"/>
      <w:ind w:firstLine="482" w:firstLineChars="0"/>
    </w:pPr>
    <w:rPr>
      <w:rFonts w:ascii="宋体" w:hAnsi="宋体" w:eastAsia="宋体" w:cs="Times New Roman"/>
      <w:sz w:val="24"/>
      <w:szCs w:val="20"/>
    </w:rPr>
  </w:style>
  <w:style w:type="paragraph" w:customStyle="1" w:styleId="36">
    <w:name w:val="引文目录标题1"/>
    <w:basedOn w:val="37"/>
    <w:next w:val="1"/>
    <w:qFormat/>
    <w:uiPriority w:val="0"/>
    <w:rPr>
      <w:rFonts w:ascii="Arial" w:hAnsi="Arial"/>
      <w:sz w:val="24"/>
      <w:szCs w:val="22"/>
    </w:rPr>
  </w:style>
  <w:style w:type="paragraph" w:customStyle="1" w:styleId="37">
    <w:name w:val="正文_0"/>
    <w:next w:val="36"/>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列出段落1"/>
    <w:basedOn w:val="1"/>
    <w:next w:val="40"/>
    <w:qFormat/>
    <w:uiPriority w:val="0"/>
    <w:pPr>
      <w:autoSpaceDE w:val="0"/>
      <w:autoSpaceDN w:val="0"/>
      <w:adjustRightInd w:val="0"/>
      <w:snapToGrid w:val="0"/>
      <w:spacing w:before="0" w:beforeLines="0" w:after="0" w:afterLines="0" w:line="360" w:lineRule="auto"/>
      <w:ind w:firstLine="420"/>
    </w:pPr>
    <w:rPr>
      <w:rFonts w:eastAsia="宋体" w:cs="Times New Roman"/>
      <w:spacing w:val="10"/>
      <w:kern w:val="0"/>
      <w:sz w:val="24"/>
      <w:szCs w:val="24"/>
    </w:rPr>
  </w:style>
  <w:style w:type="paragraph" w:styleId="40">
    <w:name w:val="List Paragraph"/>
    <w:basedOn w:val="1"/>
    <w:qFormat/>
    <w:uiPriority w:val="0"/>
    <w:pPr>
      <w:ind w:left="400" w:firstLine="420"/>
    </w:pPr>
    <w:rPr>
      <w:rFonts w:ascii="宋体" w:hAnsi="宋体" w:cs="宋体"/>
      <w:lang w:val="zh-CN" w:bidi="zh-CN"/>
    </w:rPr>
  </w:style>
  <w:style w:type="paragraph" w:customStyle="1" w:styleId="41">
    <w:name w:val="_Style 3"/>
    <w:next w:val="4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List Paragraph1"/>
    <w:basedOn w:val="1"/>
    <w:qFormat/>
    <w:uiPriority w:val="0"/>
    <w:pPr>
      <w:ind w:firstLine="420" w:firstLineChars="200"/>
    </w:pPr>
    <w:rPr>
      <w:rFonts w:ascii="Calibri" w:hAnsi="Calibri"/>
      <w:szCs w:val="22"/>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p15"/>
    <w:basedOn w:val="1"/>
    <w:qFormat/>
    <w:uiPriority w:val="99"/>
    <w:pPr>
      <w:widowControl/>
      <w:spacing w:line="360" w:lineRule="auto"/>
      <w:ind w:firstLine="525"/>
    </w:pPr>
    <w:rPr>
      <w:rFonts w:ascii="黑体" w:hAnsi="黑体" w:eastAsia="黑体" w:cs="宋体"/>
      <w:kern w:val="0"/>
      <w:sz w:val="24"/>
      <w:szCs w:val="22"/>
    </w:rPr>
  </w:style>
  <w:style w:type="paragraph" w:customStyle="1" w:styleId="46">
    <w:name w:val="表格文字"/>
    <w:basedOn w:val="47"/>
    <w:qFormat/>
    <w:uiPriority w:val="0"/>
    <w:pPr>
      <w:spacing w:before="25" w:after="25"/>
      <w:jc w:val="left"/>
    </w:pPr>
    <w:rPr>
      <w:bCs/>
      <w:spacing w:val="10"/>
      <w:sz w:val="24"/>
      <w:szCs w:val="22"/>
    </w:rPr>
  </w:style>
  <w:style w:type="paragraph" w:customStyle="1" w:styleId="47">
    <w:name w:val="表格文字（两侧对齐）"/>
    <w:basedOn w:val="1"/>
    <w:qFormat/>
    <w:uiPriority w:val="0"/>
    <w:pPr>
      <w:snapToGrid w:val="0"/>
    </w:pPr>
    <w:rPr>
      <w:kern w:val="0"/>
      <w:sz w:val="20"/>
    </w:rPr>
  </w:style>
  <w:style w:type="paragraph" w:customStyle="1" w:styleId="48">
    <w:name w:val="*正文"/>
    <w:basedOn w:val="1"/>
    <w:qFormat/>
    <w:uiPriority w:val="0"/>
    <w:pPr>
      <w:spacing w:line="360" w:lineRule="auto"/>
    </w:pPr>
    <w:rPr>
      <w:rFonts w:ascii="宋体" w:hAnsi="宋体"/>
      <w:kern w:val="0"/>
      <w:sz w:val="24"/>
      <w:szCs w:val="20"/>
    </w:rPr>
  </w:style>
  <w:style w:type="paragraph" w:customStyle="1" w:styleId="4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50">
    <w:name w:val="Header or footer|2"/>
    <w:qFormat/>
    <w:uiPriority w:val="0"/>
    <w:pPr>
      <w:widowControl w:val="0"/>
    </w:pPr>
    <w:rPr>
      <w:rFonts w:ascii="Times New Roman" w:hAnsi="Times New Roman" w:eastAsia="Times New Roman" w:cs="Times New Roman"/>
      <w:color w:val="000000"/>
      <w:lang w:val="zh-TW" w:eastAsia="zh-TW" w:bidi="zh-TW"/>
    </w:rPr>
  </w:style>
  <w:style w:type="character" w:customStyle="1" w:styleId="51">
    <w:name w:val="font31"/>
    <w:basedOn w:val="30"/>
    <w:qFormat/>
    <w:uiPriority w:val="0"/>
    <w:rPr>
      <w:rFonts w:hint="eastAsia" w:ascii="宋体" w:hAnsi="宋体" w:eastAsia="宋体" w:cs="宋体"/>
      <w:color w:val="000000"/>
      <w:sz w:val="20"/>
      <w:szCs w:val="20"/>
      <w:u w:val="none"/>
    </w:rPr>
  </w:style>
  <w:style w:type="paragraph" w:customStyle="1" w:styleId="5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3">
    <w:name w:val="正文正"/>
    <w:basedOn w:val="1"/>
    <w:qFormat/>
    <w:uiPriority w:val="0"/>
    <w:pPr>
      <w:spacing w:line="560" w:lineRule="exact"/>
      <w:ind w:firstLine="561"/>
    </w:pPr>
    <w:rPr>
      <w:rFonts w:eastAsia="仿宋_GB2312"/>
      <w:sz w:val="28"/>
    </w:r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表格样式"/>
    <w:basedOn w:val="1"/>
    <w:next w:val="1"/>
    <w:qFormat/>
    <w:uiPriority w:val="0"/>
    <w:pPr>
      <w:tabs>
        <w:tab w:val="left" w:pos="840"/>
      </w:tabs>
      <w:adjustRightInd w:val="0"/>
      <w:snapToGrid w:val="0"/>
      <w:spacing w:beforeLines="50" w:afterLines="50"/>
      <w:jc w:val="center"/>
    </w:pPr>
    <w:rPr>
      <w:rFonts w:ascii="Arial" w:hAnsi="Arial"/>
      <w:bCs/>
      <w:kern w:val="0"/>
      <w:sz w:val="24"/>
      <w:szCs w:val="24"/>
    </w:rPr>
  </w:style>
  <w:style w:type="paragraph" w:customStyle="1" w:styleId="56">
    <w:name w:val="首行缩进"/>
    <w:basedOn w:val="1"/>
    <w:qFormat/>
    <w:uiPriority w:val="0"/>
    <w:pPr>
      <w:widowControl w:val="0"/>
      <w:spacing w:line="300" w:lineRule="auto"/>
      <w:ind w:firstLine="420" w:firstLineChars="200"/>
      <w:jc w:val="both"/>
    </w:pPr>
    <w:rPr>
      <w:rFonts w:eastAsia="方正书宋简体"/>
      <w:kern w:val="2"/>
      <w:sz w:val="21"/>
    </w:rPr>
  </w:style>
  <w:style w:type="character" w:customStyle="1" w:styleId="57">
    <w:name w:val="font11"/>
    <w:basedOn w:val="30"/>
    <w:qFormat/>
    <w:uiPriority w:val="0"/>
    <w:rPr>
      <w:rFonts w:hint="eastAsia" w:ascii="宋体" w:hAnsi="宋体" w:eastAsia="宋体" w:cs="宋体"/>
      <w:color w:val="000000"/>
      <w:sz w:val="21"/>
      <w:szCs w:val="21"/>
      <w:u w:val="none"/>
    </w:rPr>
  </w:style>
  <w:style w:type="character" w:customStyle="1" w:styleId="58">
    <w:name w:val="font21"/>
    <w:basedOn w:val="30"/>
    <w:qFormat/>
    <w:uiPriority w:val="0"/>
    <w:rPr>
      <w:rFonts w:hint="eastAsia" w:ascii="宋体" w:hAnsi="宋体" w:eastAsia="宋体" w:cs="宋体"/>
      <w:color w:val="000000"/>
      <w:sz w:val="22"/>
      <w:szCs w:val="22"/>
      <w:u w:val="none"/>
    </w:rPr>
  </w:style>
  <w:style w:type="character" w:customStyle="1" w:styleId="59">
    <w:name w:val="正文文本 (2) + 10 pt37"/>
    <w:qFormat/>
    <w:uiPriority w:val="99"/>
    <w:rPr>
      <w:rFonts w:ascii="MingLiU" w:eastAsia="MingLiU" w:cs="MingLiU"/>
      <w:spacing w:val="0"/>
      <w:sz w:val="20"/>
      <w:szCs w:val="20"/>
      <w:u w:val="none"/>
    </w:rPr>
  </w:style>
  <w:style w:type="paragraph" w:customStyle="1" w:styleId="60">
    <w:name w:val="表格2"/>
    <w:basedOn w:val="1"/>
    <w:qFormat/>
    <w:uiPriority w:val="0"/>
    <w:pPr>
      <w:widowControl/>
      <w:spacing w:line="220" w:lineRule="exact"/>
      <w:ind w:firstLine="0" w:firstLineChars="0"/>
      <w:jc w:val="center"/>
      <w:textAlignment w:val="center"/>
    </w:pPr>
    <w:rPr>
      <w:rFonts w:ascii="Times New Roman" w:hAnsi="Times New Roman" w:eastAsia="宋体"/>
      <w:sz w:val="21"/>
      <w:szCs w:val="21"/>
    </w:rPr>
  </w:style>
  <w:style w:type="paragraph" w:customStyle="1" w:styleId="61">
    <w:name w:val="正文（缩进）"/>
    <w:basedOn w:val="1"/>
    <w:qFormat/>
    <w:uiPriority w:val="0"/>
    <w:pPr>
      <w:spacing w:before="156" w:beforeLines="50" w:after="156" w:afterLines="50"/>
      <w:ind w:left="525" w:leftChars="250"/>
    </w:pPr>
    <w:rPr>
      <w:rFonts w:eastAsia="仿宋"/>
    </w:rPr>
  </w:style>
  <w:style w:type="paragraph" w:customStyle="1" w:styleId="62">
    <w:name w:val="_Style 104"/>
    <w:basedOn w:val="1"/>
    <w:next w:val="40"/>
    <w:qFormat/>
    <w:uiPriority w:val="0"/>
    <w:pPr>
      <w:autoSpaceDE w:val="0"/>
      <w:autoSpaceDN w:val="0"/>
      <w:ind w:left="240" w:firstLine="420"/>
    </w:pPr>
    <w:rPr>
      <w:rFonts w:ascii="Droid Sans Fallback" w:hAnsi="Droid Sans Fallback" w:eastAsia="Droid Sans Fallback" w:cs="Droid Sans Fallback"/>
      <w:sz w:val="22"/>
      <w:szCs w:val="22"/>
      <w:lang w:val="zh-CN" w:bidi="zh-CN"/>
    </w:rPr>
  </w:style>
  <w:style w:type="paragraph" w:customStyle="1" w:styleId="63">
    <w:name w:val="p0"/>
    <w:basedOn w:val="1"/>
    <w:qFormat/>
    <w:uiPriority w:val="0"/>
    <w:pPr>
      <w:widowControl/>
      <w:spacing w:line="365" w:lineRule="atLeast"/>
      <w:ind w:left="1"/>
    </w:pPr>
    <w:rPr>
      <w:kern w:val="0"/>
      <w:sz w:val="20"/>
      <w:szCs w:val="20"/>
    </w:rPr>
  </w:style>
  <w:style w:type="character" w:customStyle="1" w:styleId="64">
    <w:name w:val="font41"/>
    <w:basedOn w:val="30"/>
    <w:qFormat/>
    <w:uiPriority w:val="0"/>
    <w:rPr>
      <w:rFonts w:hint="eastAsia" w:ascii="宋体" w:hAnsi="宋体" w:eastAsia="宋体" w:cs="宋体"/>
      <w:color w:val="000000"/>
      <w:sz w:val="24"/>
      <w:szCs w:val="24"/>
      <w:u w:val="none"/>
    </w:rPr>
  </w:style>
  <w:style w:type="paragraph" w:customStyle="1" w:styleId="65">
    <w:name w:val="四级标题"/>
    <w:basedOn w:val="17"/>
    <w:next w:val="5"/>
    <w:qFormat/>
    <w:uiPriority w:val="0"/>
    <w:pPr>
      <w:ind w:left="2500"/>
    </w:pPr>
    <w:rPr>
      <w:rFonts w:ascii="Calibri" w:hAnsi="Calibri" w:eastAsia="黑体"/>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150</Words>
  <Characters>154</Characters>
  <Lines>1</Lines>
  <Paragraphs>1</Paragraphs>
  <TotalTime>5</TotalTime>
  <ScaleCrop>false</ScaleCrop>
  <LinksUpToDate>false</LinksUpToDate>
  <CharactersWithSpaces>170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yaner</cp:lastModifiedBy>
  <cp:lastPrinted>2025-04-03T00:55:00Z</cp:lastPrinted>
  <dcterms:modified xsi:type="dcterms:W3CDTF">2025-07-17T00:47:36Z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256137475FFB4B33A8251E786226B482_13</vt:lpwstr>
  </property>
  <property fmtid="{D5CDD505-2E9C-101B-9397-08002B2CF9AE}" pid="4" name="KSOTemplateDocerSaveRecord">
    <vt:lpwstr>eyJoZGlkIjoiMjI0ZDY2YTRmZmY1Mzg2ZGQ1MDNmYzQ3NWYxYmU4ODgiLCJ1c2VySWQiOiIzNzA0MjUzNTUifQ==</vt:lpwstr>
  </property>
</Properties>
</file>