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90904D">
      <w:pPr>
        <w:jc w:val="left"/>
        <w:rPr>
          <w:rStyle w:val="23"/>
          <w:rFonts w:ascii="宋体" w:hAnsi="宋体"/>
          <w:color w:val="auto"/>
          <w:highlight w:val="none"/>
        </w:rPr>
      </w:pPr>
      <w:bookmarkStart w:id="0" w:name="_Toc4310"/>
      <w:bookmarkStart w:id="1" w:name="_Toc6636"/>
    </w:p>
    <w:p w14:paraId="0DE3F6EF">
      <w:pPr>
        <w:pStyle w:val="24"/>
        <w:rPr>
          <w:rStyle w:val="23"/>
          <w:rFonts w:ascii="宋体" w:hAnsi="宋体"/>
          <w:color w:val="auto"/>
          <w:highlight w:val="none"/>
        </w:rPr>
      </w:pPr>
    </w:p>
    <w:p w14:paraId="31100325">
      <w:pPr>
        <w:pStyle w:val="24"/>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aseline"/>
        <w:outlineLvl w:val="9"/>
        <w:rPr>
          <w:rStyle w:val="23"/>
          <w:rFonts w:hint="eastAsia" w:ascii="宋体" w:hAnsi="宋体" w:cs="宋体"/>
          <w:b/>
          <w:bCs/>
          <w:color w:val="auto"/>
          <w:spacing w:val="28"/>
          <w:sz w:val="48"/>
          <w:szCs w:val="48"/>
          <w:highlight w:val="none"/>
        </w:rPr>
      </w:pPr>
      <w:r>
        <w:rPr>
          <w:rStyle w:val="23"/>
          <w:rFonts w:hint="eastAsia" w:ascii="宋体" w:hAnsi="宋体" w:cs="宋体"/>
          <w:b/>
          <w:bCs/>
          <w:color w:val="auto"/>
          <w:spacing w:val="28"/>
          <w:sz w:val="48"/>
          <w:szCs w:val="48"/>
          <w:highlight w:val="none"/>
        </w:rPr>
        <w:t>水西社区（水西片）旧村改造项目</w:t>
      </w:r>
    </w:p>
    <w:p w14:paraId="0FD9136C">
      <w:pPr>
        <w:pStyle w:val="24"/>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baseline"/>
        <w:outlineLvl w:val="9"/>
        <w:rPr>
          <w:rStyle w:val="23"/>
          <w:rFonts w:ascii="宋体" w:hAnsi="宋体"/>
          <w:b/>
          <w:bCs/>
          <w:color w:val="auto"/>
          <w:sz w:val="48"/>
          <w:szCs w:val="48"/>
          <w:highlight w:val="none"/>
        </w:rPr>
      </w:pPr>
      <w:r>
        <w:rPr>
          <w:rStyle w:val="23"/>
          <w:rFonts w:hint="eastAsia" w:ascii="宋体" w:hAnsi="宋体" w:cs="宋体"/>
          <w:b/>
          <w:bCs/>
          <w:color w:val="auto"/>
          <w:spacing w:val="28"/>
          <w:sz w:val="48"/>
          <w:szCs w:val="48"/>
          <w:highlight w:val="none"/>
        </w:rPr>
        <w:t>（复建地块二）监理服务</w:t>
      </w:r>
    </w:p>
    <w:p w14:paraId="21A7D71A">
      <w:pPr>
        <w:spacing w:line="360" w:lineRule="auto"/>
        <w:jc w:val="center"/>
        <w:rPr>
          <w:rStyle w:val="23"/>
          <w:rFonts w:ascii="宋体" w:hAnsi="宋体"/>
          <w:b/>
          <w:bCs/>
          <w:color w:val="auto"/>
          <w:spacing w:val="26"/>
          <w:sz w:val="110"/>
          <w:szCs w:val="110"/>
          <w:highlight w:val="none"/>
        </w:rPr>
      </w:pPr>
    </w:p>
    <w:p w14:paraId="1F453CA8">
      <w:pPr>
        <w:pStyle w:val="24"/>
        <w:rPr>
          <w:rStyle w:val="23"/>
          <w:rFonts w:ascii="宋体" w:hAnsi="宋体"/>
          <w:color w:val="auto"/>
          <w:highlight w:val="none"/>
        </w:rPr>
      </w:pPr>
    </w:p>
    <w:p w14:paraId="7E89BD2D">
      <w:pPr>
        <w:pStyle w:val="24"/>
        <w:rPr>
          <w:rStyle w:val="23"/>
          <w:rFonts w:ascii="宋体" w:hAnsi="宋体"/>
          <w:color w:val="auto"/>
          <w:highlight w:val="none"/>
        </w:rPr>
      </w:pPr>
    </w:p>
    <w:p w14:paraId="36B7EC09">
      <w:pPr>
        <w:pStyle w:val="24"/>
        <w:rPr>
          <w:rStyle w:val="23"/>
          <w:rFonts w:ascii="宋体" w:hAnsi="宋体"/>
          <w:color w:val="auto"/>
          <w:highlight w:val="none"/>
        </w:rPr>
      </w:pPr>
    </w:p>
    <w:p w14:paraId="53007877">
      <w:pPr>
        <w:pStyle w:val="24"/>
        <w:rPr>
          <w:rStyle w:val="23"/>
          <w:rFonts w:ascii="宋体" w:hAnsi="宋体"/>
          <w:color w:val="auto"/>
          <w:highlight w:val="none"/>
        </w:rPr>
      </w:pPr>
    </w:p>
    <w:p w14:paraId="730F69E9">
      <w:pPr>
        <w:pStyle w:val="24"/>
        <w:rPr>
          <w:rStyle w:val="23"/>
          <w:rFonts w:ascii="宋体" w:hAnsi="宋体"/>
          <w:color w:val="auto"/>
          <w:highlight w:val="none"/>
        </w:rPr>
      </w:pPr>
    </w:p>
    <w:p w14:paraId="023055B6">
      <w:pPr>
        <w:pStyle w:val="24"/>
        <w:rPr>
          <w:rStyle w:val="23"/>
          <w:rFonts w:ascii="宋体" w:hAnsi="宋体"/>
          <w:color w:val="auto"/>
          <w:highlight w:val="none"/>
        </w:rPr>
      </w:pPr>
    </w:p>
    <w:p w14:paraId="2F4BB830">
      <w:pPr>
        <w:spacing w:line="360" w:lineRule="auto"/>
        <w:jc w:val="center"/>
        <w:outlineLvl w:val="1"/>
        <w:rPr>
          <w:rStyle w:val="23"/>
          <w:rFonts w:ascii="宋体" w:hAnsi="宋体"/>
          <w:b/>
          <w:bCs/>
          <w:color w:val="auto"/>
          <w:spacing w:val="26"/>
          <w:sz w:val="96"/>
          <w:szCs w:val="96"/>
          <w:highlight w:val="none"/>
        </w:rPr>
      </w:pPr>
      <w:r>
        <w:rPr>
          <w:rStyle w:val="23"/>
          <w:rFonts w:hint="eastAsia" w:ascii="宋体" w:hAnsi="宋体" w:cs="宋体"/>
          <w:b/>
          <w:bCs/>
          <w:color w:val="auto"/>
          <w:spacing w:val="28"/>
          <w:sz w:val="96"/>
          <w:szCs w:val="96"/>
          <w:highlight w:val="none"/>
        </w:rPr>
        <w:t>招标</w:t>
      </w:r>
      <w:r>
        <w:rPr>
          <w:rStyle w:val="23"/>
          <w:rFonts w:hint="eastAsia" w:ascii="宋体" w:hAnsi="宋体" w:cs="宋体"/>
          <w:b/>
          <w:bCs/>
          <w:color w:val="auto"/>
          <w:spacing w:val="28"/>
          <w:sz w:val="96"/>
          <w:szCs w:val="96"/>
          <w:highlight w:val="none"/>
          <w:lang w:val="en-US"/>
        </w:rPr>
        <w:t>公告</w:t>
      </w:r>
    </w:p>
    <w:p w14:paraId="2B7F1476">
      <w:pPr>
        <w:jc w:val="left"/>
        <w:rPr>
          <w:rStyle w:val="23"/>
          <w:rFonts w:ascii="宋体" w:hAnsi="宋体"/>
          <w:color w:val="auto"/>
          <w:highlight w:val="none"/>
        </w:rPr>
      </w:pPr>
    </w:p>
    <w:p w14:paraId="45C6F817">
      <w:pPr>
        <w:pStyle w:val="24"/>
        <w:rPr>
          <w:rStyle w:val="23"/>
          <w:rFonts w:ascii="宋体" w:hAnsi="宋体"/>
          <w:color w:val="auto"/>
          <w:highlight w:val="none"/>
        </w:rPr>
      </w:pPr>
    </w:p>
    <w:p w14:paraId="0334D769">
      <w:pPr>
        <w:pStyle w:val="24"/>
        <w:rPr>
          <w:rStyle w:val="23"/>
          <w:rFonts w:ascii="宋体" w:hAnsi="宋体"/>
          <w:color w:val="auto"/>
          <w:highlight w:val="none"/>
        </w:rPr>
      </w:pPr>
    </w:p>
    <w:p w14:paraId="606DA563">
      <w:pPr>
        <w:jc w:val="left"/>
        <w:rPr>
          <w:rStyle w:val="23"/>
          <w:rFonts w:ascii="宋体" w:hAnsi="宋体"/>
          <w:color w:val="auto"/>
          <w:highlight w:val="none"/>
        </w:rPr>
      </w:pPr>
    </w:p>
    <w:p w14:paraId="6D013B28">
      <w:pPr>
        <w:jc w:val="left"/>
        <w:rPr>
          <w:rStyle w:val="23"/>
          <w:rFonts w:ascii="宋体" w:hAnsi="宋体"/>
          <w:color w:val="auto"/>
          <w:highlight w:val="none"/>
        </w:rPr>
      </w:pPr>
    </w:p>
    <w:p w14:paraId="066DD1D0">
      <w:pPr>
        <w:jc w:val="left"/>
        <w:rPr>
          <w:rStyle w:val="23"/>
          <w:rFonts w:ascii="宋体" w:hAnsi="宋体"/>
          <w:color w:val="auto"/>
          <w:highlight w:val="none"/>
        </w:rPr>
      </w:pPr>
    </w:p>
    <w:p w14:paraId="6CB55729">
      <w:pPr>
        <w:pStyle w:val="24"/>
        <w:rPr>
          <w:rStyle w:val="23"/>
          <w:rFonts w:ascii="宋体" w:hAnsi="宋体"/>
          <w:color w:val="auto"/>
          <w:highlight w:val="none"/>
        </w:rPr>
      </w:pPr>
    </w:p>
    <w:p w14:paraId="441C5372">
      <w:pPr>
        <w:jc w:val="left"/>
        <w:rPr>
          <w:rStyle w:val="23"/>
          <w:rFonts w:ascii="宋体" w:hAnsi="宋体"/>
          <w:color w:val="auto"/>
          <w:highlight w:val="none"/>
        </w:rPr>
      </w:pPr>
    </w:p>
    <w:p w14:paraId="7E75992D">
      <w:pPr>
        <w:jc w:val="left"/>
        <w:rPr>
          <w:rStyle w:val="23"/>
          <w:rFonts w:ascii="宋体" w:hAnsi="宋体"/>
          <w:color w:val="auto"/>
          <w:highlight w:val="none"/>
        </w:rPr>
      </w:pPr>
    </w:p>
    <w:p w14:paraId="4CB56F2E">
      <w:pPr>
        <w:jc w:val="left"/>
        <w:rPr>
          <w:rStyle w:val="23"/>
          <w:rFonts w:ascii="宋体" w:hAnsi="宋体"/>
          <w:color w:val="auto"/>
          <w:highlight w:val="none"/>
        </w:rPr>
      </w:pPr>
    </w:p>
    <w:p w14:paraId="0197E49D">
      <w:pPr>
        <w:jc w:val="left"/>
        <w:rPr>
          <w:rStyle w:val="23"/>
          <w:rFonts w:ascii="宋体" w:hAnsi="宋体"/>
          <w:color w:val="auto"/>
          <w:highlight w:val="none"/>
        </w:rPr>
      </w:pPr>
    </w:p>
    <w:p w14:paraId="0FDFB1A7">
      <w:pPr>
        <w:jc w:val="left"/>
        <w:rPr>
          <w:rStyle w:val="23"/>
          <w:rFonts w:ascii="宋体" w:hAnsi="宋体"/>
          <w:color w:val="auto"/>
          <w:highlight w:val="none"/>
        </w:rPr>
      </w:pPr>
    </w:p>
    <w:p w14:paraId="0DDA08FB">
      <w:pPr>
        <w:spacing w:line="360" w:lineRule="auto"/>
        <w:ind w:left="0" w:leftChars="0" w:firstLine="842" w:firstLineChars="262"/>
        <w:outlineLvl w:val="1"/>
        <w:rPr>
          <w:rStyle w:val="23"/>
          <w:rFonts w:ascii="宋体" w:hAnsi="宋体"/>
          <w:b/>
          <w:color w:val="auto"/>
          <w:sz w:val="32"/>
          <w:szCs w:val="32"/>
          <w:highlight w:val="none"/>
        </w:rPr>
      </w:pPr>
      <w:r>
        <w:rPr>
          <w:rStyle w:val="23"/>
          <w:rFonts w:ascii="宋体" w:hAnsi="宋体"/>
          <w:b/>
          <w:color w:val="auto"/>
          <w:sz w:val="32"/>
          <w:szCs w:val="32"/>
          <w:highlight w:val="none"/>
        </w:rPr>
        <w:t>招   标   人：</w:t>
      </w:r>
      <w:r>
        <w:rPr>
          <w:rStyle w:val="23"/>
          <w:rFonts w:hint="eastAsia" w:ascii="宋体" w:hAnsi="宋体"/>
          <w:b/>
          <w:color w:val="auto"/>
          <w:sz w:val="32"/>
          <w:szCs w:val="32"/>
          <w:highlight w:val="none"/>
        </w:rPr>
        <w:t>广州科瀚投资有限公司</w:t>
      </w:r>
    </w:p>
    <w:p w14:paraId="758A59B5">
      <w:pPr>
        <w:spacing w:line="360" w:lineRule="auto"/>
        <w:ind w:left="0" w:leftChars="0" w:firstLine="842" w:firstLineChars="262"/>
        <w:outlineLvl w:val="1"/>
        <w:rPr>
          <w:rStyle w:val="23"/>
          <w:rFonts w:ascii="宋体" w:hAnsi="宋体"/>
          <w:b/>
          <w:color w:val="auto"/>
          <w:sz w:val="32"/>
          <w:szCs w:val="32"/>
          <w:highlight w:val="none"/>
        </w:rPr>
      </w:pPr>
      <w:r>
        <w:rPr>
          <w:rStyle w:val="23"/>
          <w:rFonts w:ascii="宋体" w:hAnsi="宋体"/>
          <w:b/>
          <w:color w:val="auto"/>
          <w:sz w:val="32"/>
          <w:szCs w:val="32"/>
          <w:highlight w:val="none"/>
        </w:rPr>
        <w:t>招标代理机构：</w:t>
      </w:r>
      <w:r>
        <w:rPr>
          <w:rStyle w:val="23"/>
          <w:rFonts w:hint="eastAsia" w:ascii="宋体" w:hAnsi="宋体"/>
          <w:b/>
          <w:color w:val="auto"/>
          <w:sz w:val="32"/>
          <w:szCs w:val="32"/>
          <w:highlight w:val="none"/>
        </w:rPr>
        <w:t>广东省国际工程咨询有限公司</w:t>
      </w:r>
    </w:p>
    <w:p w14:paraId="40F52DA4">
      <w:pPr>
        <w:spacing w:line="360" w:lineRule="auto"/>
        <w:ind w:left="0" w:leftChars="0" w:firstLine="842" w:firstLineChars="262"/>
        <w:outlineLvl w:val="1"/>
        <w:rPr>
          <w:rStyle w:val="23"/>
          <w:rFonts w:ascii="宋体" w:hAnsi="宋体"/>
          <w:b/>
          <w:color w:val="auto"/>
          <w:sz w:val="32"/>
          <w:szCs w:val="32"/>
          <w:highlight w:val="none"/>
        </w:rPr>
      </w:pPr>
      <w:r>
        <w:rPr>
          <w:rStyle w:val="23"/>
          <w:rFonts w:ascii="宋体" w:hAnsi="宋体"/>
          <w:b/>
          <w:color w:val="auto"/>
          <w:sz w:val="32"/>
          <w:szCs w:val="32"/>
          <w:highlight w:val="none"/>
        </w:rPr>
        <w:t>日        期：202</w:t>
      </w:r>
      <w:r>
        <w:rPr>
          <w:rStyle w:val="23"/>
          <w:rFonts w:hint="eastAsia" w:ascii="宋体" w:hAnsi="宋体"/>
          <w:b/>
          <w:color w:val="auto"/>
          <w:sz w:val="32"/>
          <w:szCs w:val="32"/>
          <w:highlight w:val="none"/>
          <w:lang w:val="en-US"/>
        </w:rPr>
        <w:t>5</w:t>
      </w:r>
      <w:r>
        <w:rPr>
          <w:rStyle w:val="23"/>
          <w:rFonts w:ascii="宋体" w:hAnsi="宋体"/>
          <w:b/>
          <w:color w:val="auto"/>
          <w:sz w:val="32"/>
          <w:szCs w:val="32"/>
          <w:highlight w:val="none"/>
        </w:rPr>
        <w:t>年</w:t>
      </w:r>
      <w:r>
        <w:rPr>
          <w:rStyle w:val="23"/>
          <w:rFonts w:hint="eastAsia" w:ascii="宋体" w:hAnsi="宋体"/>
          <w:b/>
          <w:color w:val="auto"/>
          <w:sz w:val="32"/>
          <w:szCs w:val="32"/>
          <w:highlight w:val="none"/>
          <w:lang w:val="en-US"/>
        </w:rPr>
        <w:t xml:space="preserve">7 </w:t>
      </w:r>
      <w:r>
        <w:rPr>
          <w:rStyle w:val="23"/>
          <w:rFonts w:ascii="宋体" w:hAnsi="宋体"/>
          <w:b/>
          <w:color w:val="auto"/>
          <w:sz w:val="32"/>
          <w:szCs w:val="32"/>
          <w:highlight w:val="none"/>
        </w:rPr>
        <w:t>月</w:t>
      </w:r>
    </w:p>
    <w:p w14:paraId="4198636D">
      <w:pPr>
        <w:jc w:val="left"/>
        <w:rPr>
          <w:rStyle w:val="23"/>
          <w:rFonts w:ascii="宋体" w:hAnsi="宋体" w:eastAsia="宋体"/>
          <w:color w:val="auto"/>
          <w:highlight w:val="none"/>
        </w:rPr>
      </w:pPr>
    </w:p>
    <w:p w14:paraId="06FE3C91">
      <w:pPr>
        <w:jc w:val="left"/>
        <w:rPr>
          <w:rStyle w:val="23"/>
          <w:rFonts w:ascii="宋体" w:hAnsi="宋体" w:eastAsia="宋体"/>
          <w:color w:val="auto"/>
          <w:highlight w:val="none"/>
        </w:rPr>
        <w:sectPr>
          <w:pgSz w:w="11906" w:h="16838"/>
          <w:pgMar w:top="1440" w:right="1610" w:bottom="1440" w:left="1610" w:header="850" w:footer="992" w:gutter="0"/>
          <w:cols w:space="720" w:num="1"/>
        </w:sectPr>
      </w:pPr>
      <w:bookmarkStart w:id="43" w:name="_GoBack"/>
      <w:bookmarkEnd w:id="43"/>
    </w:p>
    <w:p w14:paraId="05A9A5C2">
      <w:pPr>
        <w:jc w:val="left"/>
        <w:rPr>
          <w:rStyle w:val="23"/>
          <w:rFonts w:hint="eastAsia" w:ascii="宋体" w:hAnsi="宋体" w:eastAsia="宋体"/>
          <w:color w:val="auto"/>
          <w:highlight w:val="none"/>
          <w:lang w:eastAsia="zh-CN"/>
        </w:rPr>
      </w:pPr>
    </w:p>
    <w:p w14:paraId="207485E2">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宋体" w:hAnsi="宋体" w:cs="宋体"/>
          <w:b/>
          <w:color w:val="auto"/>
          <w:sz w:val="32"/>
          <w:szCs w:val="32"/>
          <w:highlight w:val="none"/>
          <w:lang w:eastAsia="zh-CN"/>
        </w:rPr>
      </w:pPr>
      <w:r>
        <w:rPr>
          <w:rFonts w:hint="eastAsia" w:ascii="宋体" w:hAnsi="宋体" w:cs="宋体"/>
          <w:b/>
          <w:color w:val="auto"/>
          <w:sz w:val="32"/>
          <w:szCs w:val="32"/>
          <w:highlight w:val="none"/>
          <w:lang w:eastAsia="zh-CN"/>
        </w:rPr>
        <w:t>水西社区（水西片）旧村改造项目（复建地块二）</w:t>
      </w:r>
    </w:p>
    <w:p w14:paraId="486BF978">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宋体" w:hAnsi="宋体" w:cs="宋体"/>
          <w:b/>
          <w:bCs/>
          <w:color w:val="auto"/>
          <w:sz w:val="32"/>
          <w:szCs w:val="32"/>
          <w:highlight w:val="none"/>
        </w:rPr>
      </w:pPr>
      <w:r>
        <w:rPr>
          <w:rFonts w:hint="eastAsia" w:ascii="宋体" w:hAnsi="宋体" w:cs="宋体"/>
          <w:b/>
          <w:color w:val="auto"/>
          <w:sz w:val="32"/>
          <w:szCs w:val="32"/>
          <w:highlight w:val="none"/>
          <w:lang w:eastAsia="zh-CN"/>
        </w:rPr>
        <w:t>监理</w:t>
      </w:r>
      <w:r>
        <w:rPr>
          <w:rFonts w:hint="eastAsia" w:ascii="宋体" w:hAnsi="宋体" w:cs="宋体"/>
          <w:b/>
          <w:color w:val="auto"/>
          <w:sz w:val="32"/>
          <w:szCs w:val="32"/>
          <w:highlight w:val="none"/>
          <w:lang w:val="en-US" w:eastAsia="zh-CN"/>
        </w:rPr>
        <w:t>服务</w:t>
      </w:r>
      <w:r>
        <w:rPr>
          <w:rFonts w:hint="eastAsia" w:ascii="宋体" w:hAnsi="宋体" w:cs="宋体"/>
          <w:b/>
          <w:bCs/>
          <w:color w:val="auto"/>
          <w:sz w:val="32"/>
          <w:szCs w:val="32"/>
          <w:highlight w:val="none"/>
        </w:rPr>
        <w:t>招标公告</w:t>
      </w:r>
    </w:p>
    <w:p w14:paraId="025A9811">
      <w:pPr>
        <w:pStyle w:val="2"/>
        <w:keepNext w:val="0"/>
        <w:keepLines w:val="0"/>
        <w:pageBreakBefore w:val="0"/>
        <w:widowControl w:val="0"/>
        <w:kinsoku/>
        <w:wordWrap/>
        <w:overflowPunct/>
        <w:topLinePunct w:val="0"/>
        <w:autoSpaceDE/>
        <w:autoSpaceDN/>
        <w:bidi w:val="0"/>
        <w:adjustRightInd/>
        <w:snapToGrid w:val="0"/>
        <w:spacing w:line="240" w:lineRule="auto"/>
        <w:textAlignment w:val="auto"/>
        <w:rPr>
          <w:color w:val="auto"/>
          <w:highlight w:val="none"/>
        </w:rPr>
      </w:pPr>
    </w:p>
    <w:p w14:paraId="3175A9EC">
      <w:pPr>
        <w:pStyle w:val="3"/>
        <w:keepNext w:val="0"/>
        <w:keepLines w:val="0"/>
        <w:pageBreakBefore w:val="0"/>
        <w:kinsoku/>
        <w:wordWrap/>
        <w:overflowPunct/>
        <w:autoSpaceDE/>
        <w:autoSpaceDN/>
        <w:bidi w:val="0"/>
        <w:snapToGrid w:val="0"/>
        <w:spacing w:before="0" w:after="0" w:line="460" w:lineRule="exact"/>
        <w:textAlignment w:val="auto"/>
        <w:rPr>
          <w:rFonts w:ascii="宋体" w:hAnsi="宋体" w:eastAsia="宋体" w:cs="宋体"/>
          <w:b/>
          <w:color w:val="auto"/>
          <w:sz w:val="32"/>
          <w:highlight w:val="none"/>
        </w:rPr>
      </w:pPr>
      <w:bookmarkStart w:id="2" w:name="_Toc515033010"/>
      <w:bookmarkStart w:id="3" w:name="_Toc511557025"/>
      <w:r>
        <w:rPr>
          <w:rFonts w:hint="eastAsia" w:ascii="宋体" w:hAnsi="宋体" w:eastAsia="宋体" w:cs="宋体"/>
          <w:b/>
          <w:color w:val="auto"/>
          <w:sz w:val="32"/>
          <w:highlight w:val="none"/>
        </w:rPr>
        <w:t>1. 招标条件</w:t>
      </w:r>
      <w:bookmarkEnd w:id="2"/>
      <w:bookmarkEnd w:id="3"/>
    </w:p>
    <w:p w14:paraId="6410C5D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本招标项目</w:t>
      </w:r>
      <w:r>
        <w:rPr>
          <w:rFonts w:hint="eastAsia" w:ascii="宋体" w:hAnsi="宋体" w:cs="宋体"/>
          <w:color w:val="auto"/>
          <w:sz w:val="24"/>
          <w:highlight w:val="none"/>
          <w:u w:val="single"/>
          <w:lang w:eastAsia="zh-CN"/>
        </w:rPr>
        <w:t>水西社区（水西片）旧村改造项目（复建</w:t>
      </w:r>
      <w:r>
        <w:rPr>
          <w:rFonts w:hint="eastAsia" w:ascii="宋体" w:hAnsi="宋体" w:cs="宋体"/>
          <w:color w:val="auto"/>
          <w:sz w:val="24"/>
          <w:highlight w:val="none"/>
          <w:u w:val="single"/>
          <w:lang w:val="en-US" w:eastAsia="zh-CN"/>
        </w:rPr>
        <w:t>区</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rPr>
        <w:t>已由</w:t>
      </w:r>
      <w:r>
        <w:rPr>
          <w:rFonts w:hint="eastAsia" w:ascii="宋体" w:hAnsi="宋体" w:cs="宋体"/>
          <w:color w:val="auto"/>
          <w:sz w:val="24"/>
          <w:highlight w:val="none"/>
          <w:u w:val="single"/>
        </w:rPr>
        <w:t>广州市黄埔区发展和改革局</w:t>
      </w:r>
      <w:r>
        <w:rPr>
          <w:rFonts w:hint="eastAsia" w:ascii="宋体" w:hAnsi="宋体" w:cs="宋体"/>
          <w:color w:val="auto"/>
          <w:sz w:val="24"/>
          <w:highlight w:val="none"/>
          <w:u w:val="none"/>
        </w:rPr>
        <w:t>以</w:t>
      </w:r>
      <w:r>
        <w:rPr>
          <w:rFonts w:hint="eastAsia" w:ascii="宋体" w:hAnsi="宋体" w:cs="宋体"/>
          <w:color w:val="auto"/>
          <w:sz w:val="24"/>
          <w:highlight w:val="none"/>
          <w:u w:val="single"/>
        </w:rPr>
        <w:t>广东省企业投资项目备案证（项目代码：2411-440112-04-01-427858）</w:t>
      </w:r>
      <w:r>
        <w:rPr>
          <w:rFonts w:hint="eastAsia" w:ascii="宋体" w:hAnsi="宋体" w:cs="宋体"/>
          <w:color w:val="auto"/>
          <w:sz w:val="24"/>
          <w:highlight w:val="none"/>
          <w:u w:val="none"/>
        </w:rPr>
        <w:t>批准建设</w:t>
      </w:r>
      <w:r>
        <w:rPr>
          <w:rFonts w:hint="eastAsia" w:ascii="宋体" w:hAnsi="宋体" w:cs="宋体"/>
          <w:color w:val="auto"/>
          <w:sz w:val="24"/>
          <w:highlight w:val="none"/>
        </w:rPr>
        <w:t>，项目业主为</w:t>
      </w:r>
      <w:r>
        <w:rPr>
          <w:rFonts w:hint="eastAsia" w:ascii="宋体" w:hAnsi="宋体" w:cs="宋体"/>
          <w:color w:val="auto"/>
          <w:sz w:val="24"/>
          <w:highlight w:val="none"/>
          <w:u w:val="single"/>
          <w:lang w:eastAsia="zh-CN"/>
        </w:rPr>
        <w:t>广州科瀚投资有限公司</w:t>
      </w:r>
      <w:r>
        <w:rPr>
          <w:rFonts w:hint="eastAsia" w:ascii="宋体" w:hAnsi="宋体" w:cs="宋体"/>
          <w:color w:val="auto"/>
          <w:sz w:val="24"/>
          <w:highlight w:val="none"/>
        </w:rPr>
        <w:t>，建设资金来自</w:t>
      </w:r>
      <w:r>
        <w:rPr>
          <w:rFonts w:hint="eastAsia" w:ascii="宋体" w:hAnsi="宋体" w:cs="黑体"/>
          <w:color w:val="auto"/>
          <w:sz w:val="24"/>
          <w:szCs w:val="24"/>
          <w:highlight w:val="none"/>
          <w:u w:val="single"/>
        </w:rPr>
        <w:t>企业自筹</w:t>
      </w:r>
      <w:r>
        <w:rPr>
          <w:rFonts w:hint="eastAsia" w:ascii="宋体" w:hAnsi="宋体" w:cs="宋体"/>
          <w:color w:val="auto"/>
          <w:sz w:val="24"/>
          <w:highlight w:val="none"/>
        </w:rPr>
        <w:t>，招标人为</w:t>
      </w:r>
      <w:r>
        <w:rPr>
          <w:rFonts w:hint="eastAsia" w:ascii="宋体" w:hAnsi="宋体" w:cs="宋体"/>
          <w:color w:val="auto"/>
          <w:sz w:val="24"/>
          <w:highlight w:val="none"/>
          <w:u w:val="single"/>
          <w:lang w:eastAsia="zh-CN"/>
        </w:rPr>
        <w:t>广州科瀚投资有限公司</w:t>
      </w:r>
      <w:r>
        <w:rPr>
          <w:rFonts w:hint="eastAsia" w:ascii="宋体" w:hAnsi="宋体" w:cs="宋体"/>
          <w:color w:val="auto"/>
          <w:sz w:val="24"/>
          <w:highlight w:val="none"/>
        </w:rPr>
        <w:t>。项目已具备招标条件，现对该项目的</w:t>
      </w:r>
      <w:r>
        <w:rPr>
          <w:rFonts w:hint="eastAsia" w:ascii="宋体" w:hAnsi="宋体" w:cs="宋体"/>
          <w:color w:val="auto"/>
          <w:sz w:val="24"/>
          <w:highlight w:val="none"/>
          <w:u w:val="single"/>
        </w:rPr>
        <w:t>监理</w:t>
      </w:r>
      <w:r>
        <w:rPr>
          <w:rFonts w:hint="eastAsia" w:ascii="宋体" w:hAnsi="宋体" w:cs="宋体"/>
          <w:color w:val="auto"/>
          <w:sz w:val="24"/>
          <w:highlight w:val="none"/>
        </w:rPr>
        <w:t>进行公开招标。</w:t>
      </w:r>
    </w:p>
    <w:p w14:paraId="64E27FC6">
      <w:pPr>
        <w:pStyle w:val="3"/>
        <w:keepNext w:val="0"/>
        <w:keepLines w:val="0"/>
        <w:pageBreakBefore w:val="0"/>
        <w:kinsoku/>
        <w:wordWrap/>
        <w:overflowPunct/>
        <w:autoSpaceDE/>
        <w:autoSpaceDN/>
        <w:bidi w:val="0"/>
        <w:snapToGrid w:val="0"/>
        <w:spacing w:before="0" w:after="0" w:line="460" w:lineRule="exact"/>
        <w:textAlignment w:val="auto"/>
        <w:rPr>
          <w:rFonts w:ascii="宋体" w:hAnsi="宋体" w:eastAsia="宋体" w:cs="宋体"/>
          <w:color w:val="auto"/>
          <w:highlight w:val="none"/>
        </w:rPr>
      </w:pPr>
      <w:bookmarkStart w:id="4" w:name="_Toc515033011"/>
      <w:bookmarkStart w:id="5" w:name="_Toc511557026"/>
      <w:r>
        <w:rPr>
          <w:rFonts w:hint="eastAsia" w:ascii="宋体" w:hAnsi="宋体" w:eastAsia="宋体" w:cs="宋体"/>
          <w:color w:val="auto"/>
          <w:highlight w:val="none"/>
        </w:rPr>
        <w:t>2. 项目概况与招标范围</w:t>
      </w:r>
      <w:bookmarkEnd w:id="4"/>
      <w:bookmarkEnd w:id="5"/>
    </w:p>
    <w:p w14:paraId="2E9C3D77">
      <w:pPr>
        <w:keepNext w:val="0"/>
        <w:keepLines w:val="0"/>
        <w:pageBreakBefore w:val="0"/>
        <w:widowControl w:val="0"/>
        <w:tabs>
          <w:tab w:val="left" w:pos="7513"/>
        </w:tabs>
        <w:kinsoku/>
        <w:wordWrap/>
        <w:overflowPunct/>
        <w:topLinePunct w:val="0"/>
        <w:autoSpaceDE/>
        <w:autoSpaceDN/>
        <w:bidi w:val="0"/>
        <w:snapToGrid w:val="0"/>
        <w:spacing w:line="460" w:lineRule="exact"/>
        <w:ind w:firstLine="480" w:firstLineChars="200"/>
        <w:jc w:val="both"/>
        <w:textAlignment w:val="auto"/>
        <w:rPr>
          <w:rFonts w:ascii="宋体" w:hAnsi="宋体" w:cs="宋体"/>
          <w:color w:val="auto"/>
          <w:sz w:val="24"/>
          <w:highlight w:val="none"/>
        </w:rPr>
      </w:pPr>
      <w:r>
        <w:rPr>
          <w:rFonts w:hint="eastAsia" w:ascii="宋体" w:hAnsi="宋体" w:cs="宋体"/>
          <w:color w:val="auto"/>
          <w:sz w:val="24"/>
          <w:highlight w:val="none"/>
        </w:rPr>
        <w:t>2.1招标项目概况</w:t>
      </w:r>
    </w:p>
    <w:p w14:paraId="164C0D5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2.1.1 招标项目名称：</w:t>
      </w:r>
      <w:r>
        <w:rPr>
          <w:rFonts w:hint="eastAsia" w:ascii="宋体" w:hAnsi="宋体" w:cs="宋体"/>
          <w:color w:val="auto"/>
          <w:sz w:val="24"/>
          <w:highlight w:val="none"/>
          <w:u w:val="single"/>
          <w:lang w:eastAsia="zh-CN"/>
        </w:rPr>
        <w:t>水西社区（水西片）旧村改造项目（复建地块二）监理服务</w:t>
      </w:r>
    </w:p>
    <w:p w14:paraId="63FF5BC6">
      <w:pP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cs="宋体"/>
          <w:color w:val="auto"/>
          <w:sz w:val="24"/>
          <w:highlight w:val="none"/>
        </w:rPr>
        <w:t>2.1.2 工程建设规模：</w:t>
      </w:r>
      <w:r>
        <w:rPr>
          <w:rFonts w:hint="eastAsia" w:ascii="宋体" w:hAnsi="宋体" w:eastAsia="宋体" w:cs="宋体"/>
          <w:color w:val="auto"/>
          <w:sz w:val="24"/>
          <w:szCs w:val="24"/>
          <w:highlight w:val="none"/>
          <w:u w:val="single"/>
        </w:rPr>
        <w:t>水西社区（水西片）旧村改造项目(复建地块二)项目（住宅及配套）位于广州市黄埔区中部。复建地块2规划用地面积约37424㎡，总计容建筑面积197597㎡，其中：住宅约193957㎡，非独公服约3640㎡。地下不计容建筑面积约86943㎡，地上不计容建筑面积约19838㎡，总建筑面积约304378㎡（具体面积以政府批复的最终设计条件为准）。</w:t>
      </w:r>
    </w:p>
    <w:p w14:paraId="655D4B81">
      <w:pPr>
        <w:spacing w:line="360" w:lineRule="auto"/>
        <w:ind w:firstLine="480" w:firstLineChars="200"/>
        <w:jc w:val="left"/>
        <w:rPr>
          <w:rFonts w:ascii="宋体" w:hAnsi="宋体"/>
          <w:color w:val="auto"/>
          <w:sz w:val="24"/>
          <w:szCs w:val="24"/>
          <w:highlight w:val="none"/>
        </w:rPr>
      </w:pPr>
      <w:r>
        <w:rPr>
          <w:rFonts w:hint="eastAsia" w:ascii="宋体" w:hAnsi="宋体" w:cs="宋体"/>
          <w:color w:val="auto"/>
          <w:sz w:val="24"/>
          <w:highlight w:val="none"/>
        </w:rPr>
        <w:t>2.1.3 工程建设地点：</w:t>
      </w:r>
      <w:bookmarkStart w:id="6" w:name="_Hlk152490175"/>
      <w:r>
        <w:rPr>
          <w:rFonts w:hint="eastAsia" w:ascii="宋体" w:hAnsi="宋体" w:cs="黑体"/>
          <w:color w:val="auto"/>
          <w:sz w:val="24"/>
          <w:szCs w:val="24"/>
          <w:highlight w:val="none"/>
          <w:u w:val="single"/>
        </w:rPr>
        <w:t>广州市黄埔区中部，处于科学城板块。</w:t>
      </w:r>
    </w:p>
    <w:bookmarkEnd w:id="6"/>
    <w:p w14:paraId="4745ACA6">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sz w:val="24"/>
          <w:highlight w:val="none"/>
          <w:u w:val="single"/>
        </w:rPr>
      </w:pPr>
      <w:r>
        <w:rPr>
          <w:rFonts w:hint="eastAsia" w:ascii="宋体" w:hAnsi="宋体" w:cs="宋体"/>
          <w:color w:val="auto"/>
          <w:sz w:val="24"/>
          <w:highlight w:val="none"/>
        </w:rPr>
        <w:t>2.1.4 工程投资额：</w:t>
      </w:r>
      <w:r>
        <w:rPr>
          <w:rFonts w:hint="eastAsia" w:ascii="宋体" w:hAnsi="宋体" w:cs="宋体"/>
          <w:color w:val="auto"/>
          <w:sz w:val="24"/>
          <w:highlight w:val="none"/>
          <w:lang w:val="en-US" w:eastAsia="zh-CN"/>
        </w:rPr>
        <w:t>建筑安装</w:t>
      </w:r>
      <w:r>
        <w:rPr>
          <w:rFonts w:cs="(使用中文字体)"/>
          <w:color w:val="auto"/>
          <w:sz w:val="24"/>
          <w:szCs w:val="24"/>
          <w:highlight w:val="none"/>
          <w:u w:val="single"/>
        </w:rPr>
        <w:t>工程费</w:t>
      </w:r>
      <w:r>
        <w:rPr>
          <w:rFonts w:hint="eastAsia" w:cs="(使用中文字体)"/>
          <w:color w:val="auto"/>
          <w:sz w:val="24"/>
          <w:szCs w:val="24"/>
          <w:highlight w:val="none"/>
          <w:u w:val="single"/>
          <w:lang w:val="en-US" w:eastAsia="zh-CN"/>
        </w:rPr>
        <w:t>约</w:t>
      </w:r>
      <w:r>
        <w:rPr>
          <w:rFonts w:cs="(使用中文字体)"/>
          <w:color w:val="auto"/>
          <w:sz w:val="24"/>
          <w:szCs w:val="24"/>
          <w:highlight w:val="none"/>
          <w:u w:val="single"/>
        </w:rPr>
        <w:t>人民币</w:t>
      </w:r>
      <w:r>
        <w:rPr>
          <w:rFonts w:hint="eastAsia" w:ascii="宋体" w:hAnsi="宋体" w:eastAsia="宋体" w:cs="宋体"/>
          <w:color w:val="auto"/>
          <w:sz w:val="24"/>
          <w:highlight w:val="none"/>
          <w:u w:val="single"/>
        </w:rPr>
        <w:t>124245.17</w:t>
      </w:r>
      <w:r>
        <w:rPr>
          <w:rFonts w:hint="eastAsia" w:ascii="宋体" w:hAnsi="宋体" w:cs="宋体"/>
          <w:color w:val="auto"/>
          <w:sz w:val="24"/>
          <w:szCs w:val="24"/>
          <w:highlight w:val="none"/>
          <w:u w:val="single"/>
        </w:rPr>
        <w:t>万</w:t>
      </w:r>
      <w:r>
        <w:rPr>
          <w:rFonts w:hint="eastAsia" w:cs="(使用中文字体)"/>
          <w:color w:val="auto"/>
          <w:sz w:val="24"/>
          <w:szCs w:val="24"/>
          <w:highlight w:val="none"/>
          <w:u w:val="single"/>
        </w:rPr>
        <w:t>元</w:t>
      </w:r>
      <w:r>
        <w:rPr>
          <w:rFonts w:hint="eastAsia" w:ascii="宋体" w:hAnsi="宋体" w:cs="宋体"/>
          <w:color w:val="auto"/>
          <w:sz w:val="24"/>
          <w:highlight w:val="none"/>
          <w:u w:val="single"/>
        </w:rPr>
        <w:t>，最终金额以结算价格为准。</w:t>
      </w:r>
    </w:p>
    <w:p w14:paraId="6A9F3E25">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cs="宋体"/>
          <w:color w:val="auto"/>
          <w:sz w:val="24"/>
          <w:highlight w:val="none"/>
        </w:rPr>
      </w:pPr>
      <w:r>
        <w:rPr>
          <w:rFonts w:hint="eastAsia" w:ascii="宋体" w:hAnsi="宋体" w:cs="宋体"/>
          <w:color w:val="auto"/>
          <w:sz w:val="24"/>
          <w:highlight w:val="none"/>
          <w:u w:val="single"/>
        </w:rPr>
        <w:t>2.1.5资金来源：自筹资金。</w:t>
      </w:r>
    </w:p>
    <w:p w14:paraId="76FA25FB">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sz w:val="24"/>
          <w:highlight w:val="none"/>
        </w:rPr>
      </w:pPr>
      <w:r>
        <w:rPr>
          <w:rFonts w:hint="eastAsia" w:ascii="宋体" w:hAnsi="宋体" w:cs="宋体"/>
          <w:color w:val="auto"/>
          <w:sz w:val="24"/>
          <w:highlight w:val="none"/>
        </w:rPr>
        <w:t>2.2招标范围</w:t>
      </w:r>
    </w:p>
    <w:p w14:paraId="5D2C945F">
      <w:pPr>
        <w:keepNext w:val="0"/>
        <w:keepLines w:val="0"/>
        <w:pageBreakBefore w:val="0"/>
        <w:widowControl w:val="0"/>
        <w:shd w:val="clear" w:color="auto"/>
        <w:kinsoku/>
        <w:wordWrap/>
        <w:overflowPunct/>
        <w:topLinePunct w:val="0"/>
        <w:autoSpaceDE/>
        <w:autoSpaceDN/>
        <w:bidi w:val="0"/>
        <w:adjustRightInd w:val="0"/>
        <w:snapToGrid w:val="0"/>
        <w:spacing w:line="360" w:lineRule="auto"/>
        <w:ind w:firstLine="480" w:firstLineChars="200"/>
        <w:jc w:val="both"/>
        <w:textAlignment w:val="auto"/>
        <w:rPr>
          <w:rFonts w:ascii="宋体" w:hAnsi="宋体" w:cs="宋体"/>
          <w:color w:val="auto"/>
          <w:sz w:val="24"/>
          <w:highlight w:val="none"/>
        </w:rPr>
      </w:pPr>
      <w:r>
        <w:rPr>
          <w:rFonts w:hint="eastAsia" w:ascii="宋体" w:hAnsi="宋体" w:cs="宋体"/>
          <w:color w:val="auto"/>
          <w:sz w:val="24"/>
          <w:highlight w:val="none"/>
        </w:rPr>
        <w:t>2.2.1 监理标段划分：本项目分为</w:t>
      </w:r>
      <w:r>
        <w:rPr>
          <w:rFonts w:hint="eastAsia" w:ascii="宋体" w:hAnsi="宋体" w:cs="宋体"/>
          <w:color w:val="auto"/>
          <w:sz w:val="24"/>
          <w:highlight w:val="none"/>
          <w:u w:val="single"/>
        </w:rPr>
        <w:t>1</w:t>
      </w:r>
      <w:r>
        <w:rPr>
          <w:rFonts w:hint="eastAsia" w:ascii="宋体" w:hAnsi="宋体" w:cs="宋体"/>
          <w:color w:val="auto"/>
          <w:sz w:val="24"/>
          <w:highlight w:val="none"/>
        </w:rPr>
        <w:t>个标段。</w:t>
      </w:r>
    </w:p>
    <w:p w14:paraId="2505FD8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2.2.2 监理范围：</w:t>
      </w:r>
    </w:p>
    <w:p w14:paraId="6527A4D3">
      <w:pPr>
        <w:pageBreakBefore w:val="0"/>
        <w:kinsoku/>
        <w:wordWrap/>
        <w:overflowPunct/>
        <w:topLinePunct w:val="0"/>
        <w:bidi w:val="0"/>
        <w:adjustRightInd w:val="0"/>
        <w:snapToGrid w:val="0"/>
        <w:spacing w:line="360" w:lineRule="auto"/>
        <w:ind w:firstLine="480" w:firstLineChars="200"/>
        <w:jc w:val="left"/>
        <w:textAlignment w:val="auto"/>
        <w:rPr>
          <w:rFonts w:ascii="宋体" w:hAnsi="宋体" w:cs="宋体"/>
          <w:color w:val="auto"/>
          <w:sz w:val="24"/>
          <w:highlight w:val="none"/>
          <w:u w:val="single"/>
        </w:rPr>
      </w:pPr>
      <w:r>
        <w:rPr>
          <w:rFonts w:hint="eastAsia" w:ascii="宋体" w:hAnsi="宋体"/>
          <w:color w:val="auto"/>
          <w:sz w:val="24"/>
          <w:highlight w:val="none"/>
          <w:u w:val="single"/>
        </w:rPr>
        <w:t>包括本项目全部工程的勘察、设计阶段、施工准备阶段、施工阶段、验收阶段、竣工结算阶段、移交阶段、保修阶段的质量、投资、进度、安全控制；监督、管理建设工程合同的履行，以及协调和工程建设有关各方的工作关系</w:t>
      </w:r>
      <w:r>
        <w:rPr>
          <w:rFonts w:hint="eastAsia" w:ascii="宋体" w:hAnsi="宋体"/>
          <w:color w:val="auto"/>
          <w:sz w:val="24"/>
          <w:highlight w:val="none"/>
          <w:u w:val="single"/>
          <w:lang w:eastAsia="zh-CN"/>
        </w:rPr>
        <w:t>；</w:t>
      </w:r>
      <w:r>
        <w:rPr>
          <w:rFonts w:hint="eastAsia" w:ascii="宋体" w:hAnsi="Calibri" w:eastAsia="宋体" w:cs="Times New Roman"/>
          <w:snapToGrid w:val="0"/>
          <w:color w:val="auto"/>
          <w:kern w:val="0"/>
          <w:sz w:val="24"/>
          <w:szCs w:val="24"/>
          <w:highlight w:val="none"/>
          <w:u w:val="single"/>
        </w:rPr>
        <w:t>概算、预算、结算审核，进度款、变更、签证审核等造价管理</w:t>
      </w:r>
      <w:r>
        <w:rPr>
          <w:rFonts w:hint="eastAsia" w:ascii="宋体"/>
          <w:snapToGrid w:val="0"/>
          <w:color w:val="auto"/>
          <w:kern w:val="0"/>
          <w:sz w:val="24"/>
          <w:highlight w:val="none"/>
          <w:u w:val="single"/>
          <w:lang w:eastAsia="zh-CN"/>
        </w:rPr>
        <w:t>；</w:t>
      </w:r>
      <w:r>
        <w:rPr>
          <w:rFonts w:hint="eastAsia" w:ascii="宋体" w:hAnsi="Calibri" w:eastAsia="宋体" w:cs="Times New Roman"/>
          <w:snapToGrid w:val="0"/>
          <w:color w:val="auto"/>
          <w:kern w:val="0"/>
          <w:sz w:val="24"/>
          <w:szCs w:val="24"/>
          <w:highlight w:val="none"/>
          <w:u w:val="single"/>
        </w:rPr>
        <w:t>竣工图审核</w:t>
      </w:r>
      <w:r>
        <w:rPr>
          <w:rFonts w:hint="eastAsia" w:ascii="宋体"/>
          <w:snapToGrid w:val="0"/>
          <w:color w:val="auto"/>
          <w:kern w:val="0"/>
          <w:sz w:val="24"/>
          <w:highlight w:val="none"/>
          <w:u w:val="single"/>
        </w:rPr>
        <w:t>、验收备案、资料报送</w:t>
      </w:r>
      <w:r>
        <w:rPr>
          <w:rFonts w:hint="eastAsia" w:ascii="宋体"/>
          <w:snapToGrid w:val="0"/>
          <w:color w:val="auto"/>
          <w:kern w:val="0"/>
          <w:sz w:val="24"/>
          <w:highlight w:val="none"/>
          <w:u w:val="single"/>
          <w:lang w:eastAsia="zh-CN"/>
        </w:rPr>
        <w:t>、</w:t>
      </w:r>
      <w:r>
        <w:rPr>
          <w:rFonts w:hint="eastAsia" w:ascii="宋体" w:hAnsi="宋体"/>
          <w:color w:val="auto"/>
          <w:sz w:val="24"/>
          <w:highlight w:val="none"/>
          <w:u w:val="single"/>
        </w:rPr>
        <w:t>形象进度工程量审核等全过程监理工作。全部工程包括但不限于本项目勘察、设计施工总承包（EPC）合同涉及的所有工程内容、由本项目发包方发包的第三方专业分包工程等</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eastAsia="zh-CN"/>
        </w:rPr>
        <w:t>（详见“招标文件”“第四章 合同条款及格式”）</w:t>
      </w:r>
    </w:p>
    <w:p w14:paraId="4E94BEF3">
      <w:pPr>
        <w:keepNext w:val="0"/>
        <w:keepLines w:val="0"/>
        <w:pageBreakBefore w:val="0"/>
        <w:widowControl w:val="0"/>
        <w:shd w:val="clear"/>
        <w:tabs>
          <w:tab w:val="left" w:pos="7513"/>
        </w:tabs>
        <w:kinsoku/>
        <w:wordWrap/>
        <w:overflowPunct/>
        <w:topLinePunct w:val="0"/>
        <w:autoSpaceDE/>
        <w:autoSpaceDN/>
        <w:bidi w:val="0"/>
        <w:snapToGrid w:val="0"/>
        <w:spacing w:line="460" w:lineRule="exact"/>
        <w:ind w:firstLine="480" w:firstLineChars="200"/>
        <w:jc w:val="both"/>
        <w:textAlignment w:val="auto"/>
        <w:rPr>
          <w:rFonts w:ascii="宋体" w:hAnsi="宋体" w:cs="宋体"/>
          <w:color w:val="auto"/>
          <w:sz w:val="24"/>
          <w:highlight w:val="none"/>
          <w:u w:val="single"/>
        </w:rPr>
      </w:pPr>
      <w:r>
        <w:rPr>
          <w:rFonts w:hint="eastAsia" w:ascii="宋体" w:hAnsi="宋体" w:cs="宋体"/>
          <w:color w:val="auto"/>
          <w:sz w:val="24"/>
          <w:highlight w:val="none"/>
        </w:rPr>
        <w:t>2.2.3 监理服务期限</w:t>
      </w:r>
    </w:p>
    <w:p w14:paraId="3B92776D">
      <w:pPr>
        <w:keepNext w:val="0"/>
        <w:keepLines w:val="0"/>
        <w:pageBreakBefore w:val="0"/>
        <w:widowControl w:val="0"/>
        <w:tabs>
          <w:tab w:val="left" w:pos="7513"/>
        </w:tabs>
        <w:kinsoku/>
        <w:wordWrap/>
        <w:overflowPunct/>
        <w:topLinePunct w:val="0"/>
        <w:autoSpaceDE/>
        <w:autoSpaceDN/>
        <w:bidi w:val="0"/>
        <w:snapToGrid w:val="0"/>
        <w:spacing w:line="460" w:lineRule="exact"/>
        <w:ind w:firstLine="496" w:firstLineChars="200"/>
        <w:jc w:val="both"/>
        <w:textAlignment w:val="auto"/>
        <w:rPr>
          <w:rFonts w:hint="eastAsia" w:ascii="宋体" w:hAnsi="宋体"/>
          <w:color w:val="auto"/>
          <w:spacing w:val="4"/>
          <w:sz w:val="24"/>
          <w:highlight w:val="none"/>
          <w:lang w:val="en-US" w:eastAsia="zh-CN"/>
        </w:rPr>
      </w:pPr>
      <w:r>
        <w:rPr>
          <w:rFonts w:hint="eastAsia" w:ascii="宋体" w:hAnsi="宋体"/>
          <w:color w:val="auto"/>
          <w:spacing w:val="4"/>
          <w:sz w:val="24"/>
          <w:highlight w:val="none"/>
          <w:lang w:val="en-US" w:eastAsia="zh-CN"/>
        </w:rPr>
        <w:t>监理服务期限从中标通知书发出之日起至完成所有与本项目所有工程相关的监理工作内容后终止（包括施工准备阶段、施工阶段监理服务期、缺陷责任期阶段、竣工结算期、工程保修阶段）</w:t>
      </w:r>
    </w:p>
    <w:p w14:paraId="087C4856">
      <w:pPr>
        <w:keepNext w:val="0"/>
        <w:keepLines w:val="0"/>
        <w:pageBreakBefore w:val="0"/>
        <w:widowControl w:val="0"/>
        <w:tabs>
          <w:tab w:val="left" w:pos="7513"/>
        </w:tabs>
        <w:kinsoku/>
        <w:wordWrap/>
        <w:overflowPunct/>
        <w:topLinePunct w:val="0"/>
        <w:autoSpaceDE/>
        <w:autoSpaceDN/>
        <w:bidi w:val="0"/>
        <w:snapToGrid w:val="0"/>
        <w:spacing w:line="460" w:lineRule="exact"/>
        <w:ind w:firstLine="496" w:firstLineChars="200"/>
        <w:jc w:val="both"/>
        <w:textAlignment w:val="auto"/>
        <w:rPr>
          <w:rFonts w:hint="eastAsia" w:ascii="宋体" w:hAnsi="宋体"/>
          <w:color w:val="auto"/>
          <w:spacing w:val="4"/>
          <w:sz w:val="24"/>
          <w:highlight w:val="none"/>
          <w:lang w:val="en-US" w:eastAsia="zh-CN"/>
        </w:rPr>
      </w:pPr>
      <w:r>
        <w:rPr>
          <w:rFonts w:hint="eastAsia" w:ascii="宋体" w:hAnsi="宋体"/>
          <w:color w:val="auto"/>
          <w:spacing w:val="4"/>
          <w:sz w:val="24"/>
          <w:highlight w:val="none"/>
          <w:lang w:val="en-US" w:eastAsia="zh-CN"/>
        </w:rPr>
        <w:t>（1）施工准备阶段：自中标通知书发出之日起至工程开工之日止；</w:t>
      </w:r>
    </w:p>
    <w:p w14:paraId="09AFFA86">
      <w:pPr>
        <w:keepNext w:val="0"/>
        <w:keepLines w:val="0"/>
        <w:pageBreakBefore w:val="0"/>
        <w:widowControl w:val="0"/>
        <w:tabs>
          <w:tab w:val="left" w:pos="7513"/>
        </w:tabs>
        <w:kinsoku/>
        <w:wordWrap/>
        <w:overflowPunct/>
        <w:topLinePunct w:val="0"/>
        <w:autoSpaceDE/>
        <w:autoSpaceDN/>
        <w:bidi w:val="0"/>
        <w:snapToGrid w:val="0"/>
        <w:spacing w:line="460" w:lineRule="exact"/>
        <w:ind w:firstLine="496" w:firstLineChars="200"/>
        <w:jc w:val="both"/>
        <w:textAlignment w:val="auto"/>
        <w:rPr>
          <w:rFonts w:hint="eastAsia" w:ascii="宋体" w:hAnsi="宋体"/>
          <w:color w:val="auto"/>
          <w:spacing w:val="4"/>
          <w:sz w:val="24"/>
          <w:highlight w:val="none"/>
          <w:lang w:val="en-US" w:eastAsia="zh-CN"/>
        </w:rPr>
      </w:pPr>
      <w:r>
        <w:rPr>
          <w:rFonts w:hint="eastAsia" w:ascii="宋体" w:hAnsi="宋体"/>
          <w:color w:val="auto"/>
          <w:spacing w:val="4"/>
          <w:sz w:val="24"/>
          <w:highlight w:val="none"/>
          <w:lang w:val="en-US" w:eastAsia="zh-CN"/>
        </w:rPr>
        <w:t>（2）施工阶段：自开工令或开工报告审批之日起至施工项目全部完工并办理竣工验收、竣工结算、备案管理之日止；</w:t>
      </w:r>
    </w:p>
    <w:p w14:paraId="5785447F">
      <w:pPr>
        <w:keepNext w:val="0"/>
        <w:keepLines w:val="0"/>
        <w:pageBreakBefore w:val="0"/>
        <w:widowControl w:val="0"/>
        <w:tabs>
          <w:tab w:val="left" w:pos="7513"/>
        </w:tabs>
        <w:kinsoku/>
        <w:wordWrap/>
        <w:overflowPunct/>
        <w:topLinePunct w:val="0"/>
        <w:autoSpaceDE/>
        <w:autoSpaceDN/>
        <w:bidi w:val="0"/>
        <w:snapToGrid w:val="0"/>
        <w:spacing w:line="460" w:lineRule="exact"/>
        <w:ind w:firstLine="496" w:firstLineChars="200"/>
        <w:jc w:val="both"/>
        <w:textAlignment w:val="auto"/>
        <w:rPr>
          <w:rFonts w:hint="eastAsia" w:ascii="宋体" w:hAnsi="宋体"/>
          <w:color w:val="auto"/>
          <w:spacing w:val="4"/>
          <w:sz w:val="24"/>
          <w:highlight w:val="none"/>
          <w:lang w:val="en-US" w:eastAsia="zh-CN"/>
        </w:rPr>
      </w:pPr>
      <w:r>
        <w:rPr>
          <w:rFonts w:hint="eastAsia" w:ascii="宋体" w:hAnsi="宋体"/>
          <w:color w:val="auto"/>
          <w:spacing w:val="4"/>
          <w:sz w:val="24"/>
          <w:highlight w:val="none"/>
          <w:lang w:val="en-US" w:eastAsia="zh-CN"/>
        </w:rPr>
        <w:t>（3）缺陷责任期阶段：自工程竣工验收合格、备案管理完成之日起2年内止；</w:t>
      </w:r>
    </w:p>
    <w:p w14:paraId="6C21C0D5">
      <w:pPr>
        <w:keepNext w:val="0"/>
        <w:keepLines w:val="0"/>
        <w:pageBreakBefore w:val="0"/>
        <w:widowControl w:val="0"/>
        <w:tabs>
          <w:tab w:val="left" w:pos="7513"/>
        </w:tabs>
        <w:kinsoku/>
        <w:wordWrap/>
        <w:overflowPunct/>
        <w:topLinePunct w:val="0"/>
        <w:autoSpaceDE/>
        <w:autoSpaceDN/>
        <w:bidi w:val="0"/>
        <w:snapToGrid w:val="0"/>
        <w:spacing w:line="460" w:lineRule="exact"/>
        <w:ind w:firstLine="496" w:firstLineChars="200"/>
        <w:jc w:val="both"/>
        <w:textAlignment w:val="auto"/>
        <w:rPr>
          <w:rFonts w:hint="eastAsia" w:ascii="宋体" w:hAnsi="宋体"/>
          <w:color w:val="auto"/>
          <w:spacing w:val="4"/>
          <w:sz w:val="24"/>
          <w:highlight w:val="none"/>
          <w:lang w:val="en-US" w:eastAsia="zh-CN"/>
        </w:rPr>
      </w:pPr>
      <w:r>
        <w:rPr>
          <w:rFonts w:hint="eastAsia" w:ascii="宋体" w:hAnsi="宋体"/>
          <w:color w:val="auto"/>
          <w:spacing w:val="4"/>
          <w:sz w:val="24"/>
          <w:highlight w:val="none"/>
          <w:lang w:val="en-US" w:eastAsia="zh-CN"/>
        </w:rPr>
        <w:t>（4）工程竣工结算阶段：自结算送审之日起至终审之日止；</w:t>
      </w:r>
    </w:p>
    <w:p w14:paraId="309953CB">
      <w:pPr>
        <w:keepNext w:val="0"/>
        <w:keepLines w:val="0"/>
        <w:pageBreakBefore w:val="0"/>
        <w:widowControl w:val="0"/>
        <w:tabs>
          <w:tab w:val="left" w:pos="7513"/>
        </w:tabs>
        <w:kinsoku/>
        <w:wordWrap/>
        <w:overflowPunct/>
        <w:topLinePunct w:val="0"/>
        <w:autoSpaceDE/>
        <w:autoSpaceDN/>
        <w:bidi w:val="0"/>
        <w:snapToGrid w:val="0"/>
        <w:spacing w:line="460" w:lineRule="exact"/>
        <w:ind w:firstLine="496" w:firstLineChars="200"/>
        <w:jc w:val="both"/>
        <w:textAlignment w:val="auto"/>
        <w:rPr>
          <w:rFonts w:hint="eastAsia" w:ascii="宋体" w:hAnsi="宋体"/>
          <w:color w:val="auto"/>
          <w:spacing w:val="4"/>
          <w:sz w:val="24"/>
          <w:highlight w:val="none"/>
          <w:lang w:val="en-US" w:eastAsia="zh-CN"/>
        </w:rPr>
      </w:pPr>
      <w:r>
        <w:rPr>
          <w:rFonts w:hint="eastAsia" w:ascii="宋体" w:hAnsi="宋体"/>
          <w:color w:val="auto"/>
          <w:spacing w:val="4"/>
          <w:sz w:val="24"/>
          <w:highlight w:val="none"/>
          <w:lang w:val="en-US" w:eastAsia="zh-CN"/>
        </w:rPr>
        <w:t>（5）工程保修阶段：自本项目工程联合竣工验收合格、备案管理完成之日起计，按对应施工合同的有关规定，至保修期满且无质量缺陷为止；</w:t>
      </w:r>
    </w:p>
    <w:p w14:paraId="20169B98">
      <w:pPr>
        <w:keepNext w:val="0"/>
        <w:keepLines w:val="0"/>
        <w:pageBreakBefore w:val="0"/>
        <w:widowControl w:val="0"/>
        <w:tabs>
          <w:tab w:val="left" w:pos="7513"/>
        </w:tabs>
        <w:kinsoku/>
        <w:wordWrap/>
        <w:overflowPunct/>
        <w:topLinePunct w:val="0"/>
        <w:autoSpaceDE/>
        <w:autoSpaceDN/>
        <w:bidi w:val="0"/>
        <w:snapToGrid w:val="0"/>
        <w:spacing w:line="460" w:lineRule="exact"/>
        <w:ind w:firstLine="496" w:firstLineChars="200"/>
        <w:jc w:val="both"/>
        <w:textAlignment w:val="auto"/>
        <w:rPr>
          <w:rFonts w:hint="eastAsia" w:ascii="宋体" w:hAnsi="宋体" w:cs="宋体"/>
          <w:color w:val="auto"/>
          <w:sz w:val="24"/>
          <w:highlight w:val="none"/>
        </w:rPr>
      </w:pPr>
      <w:r>
        <w:rPr>
          <w:rFonts w:hint="eastAsia" w:ascii="宋体" w:hAnsi="宋体"/>
          <w:color w:val="auto"/>
          <w:spacing w:val="4"/>
          <w:sz w:val="24"/>
          <w:highlight w:val="none"/>
          <w:lang w:val="en-US" w:eastAsia="zh-CN"/>
        </w:rPr>
        <w:t>本工程委托人有权视现场实际情况分期分标段实施；整体完工时间应满足项目总进度计划要求并接受委托人的协调，暂定服务期为1790日历天。</w:t>
      </w:r>
    </w:p>
    <w:p w14:paraId="0ADC5FAF">
      <w:pPr>
        <w:keepNext w:val="0"/>
        <w:keepLines w:val="0"/>
        <w:pageBreakBefore w:val="0"/>
        <w:widowControl w:val="0"/>
        <w:tabs>
          <w:tab w:val="left" w:pos="7513"/>
        </w:tabs>
        <w:kinsoku/>
        <w:wordWrap/>
        <w:overflowPunct/>
        <w:topLinePunct w:val="0"/>
        <w:autoSpaceDE/>
        <w:autoSpaceDN/>
        <w:bidi w:val="0"/>
        <w:snapToGrid w:val="0"/>
        <w:spacing w:line="460" w:lineRule="exact"/>
        <w:ind w:firstLine="480" w:firstLineChars="200"/>
        <w:jc w:val="both"/>
        <w:textAlignment w:val="auto"/>
        <w:rPr>
          <w:rFonts w:ascii="宋体" w:hAnsi="宋体" w:cs="宋体"/>
          <w:color w:val="auto"/>
          <w:sz w:val="24"/>
          <w:highlight w:val="none"/>
        </w:rPr>
      </w:pPr>
      <w:r>
        <w:rPr>
          <w:rFonts w:hint="eastAsia" w:ascii="宋体" w:hAnsi="宋体" w:cs="宋体"/>
          <w:color w:val="auto"/>
          <w:sz w:val="24"/>
          <w:highlight w:val="none"/>
        </w:rPr>
        <w:t>2.2.4 监理服务最高投标限价：</w:t>
      </w:r>
      <w:r>
        <w:rPr>
          <w:rFonts w:hint="eastAsia" w:ascii="宋体" w:hAnsi="宋体" w:cs="宋体"/>
          <w:color w:val="auto"/>
          <w:sz w:val="24"/>
          <w:highlight w:val="none"/>
          <w:u w:val="none"/>
          <w:lang w:eastAsia="zh-CN"/>
        </w:rPr>
        <w:t>人民币</w:t>
      </w:r>
      <w:r>
        <w:rPr>
          <w:rFonts w:hint="eastAsia" w:ascii="宋体" w:hAnsi="宋体" w:cs="宋体"/>
          <w:color w:val="auto"/>
          <w:sz w:val="24"/>
          <w:highlight w:val="none"/>
          <w:u w:val="single"/>
          <w:lang w:val="en-US" w:eastAsia="zh-CN"/>
        </w:rPr>
        <w:t xml:space="preserve"> 10795700.00 </w:t>
      </w:r>
      <w:r>
        <w:rPr>
          <w:rFonts w:hint="eastAsia" w:ascii="宋体" w:hAnsi="宋体" w:cs="宋体"/>
          <w:color w:val="auto"/>
          <w:sz w:val="24"/>
          <w:highlight w:val="none"/>
        </w:rPr>
        <w:t>元。</w:t>
      </w:r>
    </w:p>
    <w:p w14:paraId="47E96E5E">
      <w:pPr>
        <w:pStyle w:val="3"/>
        <w:keepNext w:val="0"/>
        <w:keepLines w:val="0"/>
        <w:pageBreakBefore w:val="0"/>
        <w:kinsoku/>
        <w:wordWrap/>
        <w:overflowPunct/>
        <w:autoSpaceDE/>
        <w:autoSpaceDN/>
        <w:bidi w:val="0"/>
        <w:snapToGrid w:val="0"/>
        <w:spacing w:before="0" w:after="0" w:line="460" w:lineRule="exact"/>
        <w:textAlignment w:val="auto"/>
        <w:rPr>
          <w:rFonts w:ascii="宋体" w:hAnsi="宋体" w:eastAsia="宋体" w:cs="宋体"/>
          <w:color w:val="auto"/>
          <w:highlight w:val="none"/>
        </w:rPr>
      </w:pPr>
      <w:bookmarkStart w:id="7" w:name="_Toc515033012"/>
      <w:bookmarkStart w:id="8" w:name="_Toc511557027"/>
      <w:r>
        <w:rPr>
          <w:rFonts w:hint="eastAsia" w:ascii="宋体" w:hAnsi="宋体" w:eastAsia="宋体" w:cs="宋体"/>
          <w:color w:val="auto"/>
          <w:highlight w:val="none"/>
        </w:rPr>
        <w:t>3. 投标人资格要求</w:t>
      </w:r>
      <w:bookmarkEnd w:id="7"/>
      <w:bookmarkEnd w:id="8"/>
    </w:p>
    <w:p w14:paraId="7525BC4D">
      <w:pPr>
        <w:keepNext w:val="0"/>
        <w:keepLines w:val="0"/>
        <w:pageBreakBefore w:val="0"/>
        <w:widowControl w:val="0"/>
        <w:kinsoku/>
        <w:wordWrap/>
        <w:overflowPunct/>
        <w:autoSpaceDE/>
        <w:autoSpaceDN/>
        <w:bidi w:val="0"/>
        <w:snapToGrid w:val="0"/>
        <w:spacing w:line="460" w:lineRule="exact"/>
        <w:ind w:firstLine="480" w:firstLineChars="200"/>
        <w:jc w:val="both"/>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 xml:space="preserve"> 投标人具有独立法人资格，持有市场监管部门（工商行政管理部门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核发的有效法人营业执照，按国家法律经营。</w:t>
      </w:r>
    </w:p>
    <w:p w14:paraId="61A45605">
      <w:pPr>
        <w:keepNext w:val="0"/>
        <w:keepLines w:val="0"/>
        <w:pageBreakBefore w:val="0"/>
        <w:widowControl w:val="0"/>
        <w:kinsoku/>
        <w:wordWrap/>
        <w:overflowPunct/>
        <w:autoSpaceDE/>
        <w:autoSpaceDN/>
        <w:bidi w:val="0"/>
        <w:snapToGrid w:val="0"/>
        <w:spacing w:line="460" w:lineRule="exact"/>
        <w:ind w:firstLine="480" w:firstLineChars="200"/>
        <w:jc w:val="both"/>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 xml:space="preserve">2 </w:t>
      </w:r>
      <w:r>
        <w:rPr>
          <w:rFonts w:hint="eastAsia" w:ascii="宋体" w:hAnsi="宋体" w:cs="宋体"/>
          <w:color w:val="auto"/>
          <w:sz w:val="24"/>
          <w:szCs w:val="24"/>
          <w:highlight w:val="none"/>
        </w:rPr>
        <w:t>投标人须具备</w:t>
      </w:r>
      <w:r>
        <w:rPr>
          <w:rFonts w:hint="eastAsia" w:ascii="宋体" w:hAnsi="宋体" w:cs="宋体"/>
          <w:color w:val="auto"/>
          <w:sz w:val="24"/>
          <w:szCs w:val="24"/>
          <w:highlight w:val="none"/>
          <w:u w:val="single"/>
        </w:rPr>
        <w:t>工程监理综合资质或房屋建筑工程监理</w:t>
      </w:r>
      <w:r>
        <w:rPr>
          <w:rFonts w:hint="eastAsia" w:ascii="宋体" w:hAnsi="宋体" w:cs="宋体"/>
          <w:color w:val="auto"/>
          <w:sz w:val="24"/>
          <w:szCs w:val="24"/>
          <w:highlight w:val="none"/>
          <w:u w:val="single"/>
          <w:lang w:eastAsia="zh-CN"/>
        </w:rPr>
        <w:t>甲</w:t>
      </w:r>
      <w:r>
        <w:rPr>
          <w:rFonts w:hint="eastAsia" w:ascii="宋体" w:hAnsi="宋体" w:cs="宋体"/>
          <w:color w:val="auto"/>
          <w:sz w:val="24"/>
          <w:szCs w:val="24"/>
          <w:highlight w:val="none"/>
          <w:u w:val="single"/>
        </w:rPr>
        <w:t>级</w:t>
      </w:r>
      <w:r>
        <w:rPr>
          <w:rFonts w:hint="eastAsia" w:ascii="宋体" w:hAnsi="宋体" w:cs="宋体"/>
          <w:color w:val="auto"/>
          <w:sz w:val="24"/>
          <w:szCs w:val="24"/>
          <w:highlight w:val="none"/>
        </w:rPr>
        <w:t>资质。</w:t>
      </w:r>
    </w:p>
    <w:p w14:paraId="03384A49">
      <w:pPr>
        <w:keepNext w:val="0"/>
        <w:keepLines w:val="0"/>
        <w:pageBreakBefore w:val="0"/>
        <w:widowControl w:val="0"/>
        <w:kinsoku/>
        <w:wordWrap/>
        <w:overflowPunct/>
        <w:autoSpaceDE/>
        <w:autoSpaceDN/>
        <w:bidi w:val="0"/>
        <w:snapToGrid w:val="0"/>
        <w:spacing w:line="460" w:lineRule="exact"/>
        <w:ind w:firstLine="480" w:firstLineChars="200"/>
        <w:jc w:val="both"/>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香港企业参加投标的，须在广东省住房和城乡建设主管部门备案且备案的业务范围满足本项目招标文件要求。</w:t>
      </w:r>
    </w:p>
    <w:p w14:paraId="195F8713">
      <w:pPr>
        <w:keepNext w:val="0"/>
        <w:keepLines w:val="0"/>
        <w:pageBreakBefore w:val="0"/>
        <w:widowControl w:val="0"/>
        <w:kinsoku/>
        <w:wordWrap/>
        <w:overflowPunct/>
        <w:autoSpaceDE/>
        <w:autoSpaceDN/>
        <w:bidi w:val="0"/>
        <w:snapToGrid w:val="0"/>
        <w:spacing w:line="460" w:lineRule="exact"/>
        <w:ind w:firstLine="480" w:firstLineChars="200"/>
        <w:jc w:val="both"/>
        <w:textAlignment w:val="auto"/>
        <w:rPr>
          <w:rFonts w:hint="eastAsia" w:ascii="宋体" w:hAnsi="宋体" w:cs="宋体"/>
          <w:color w:val="auto"/>
          <w:sz w:val="24"/>
          <w:highlight w:val="none"/>
          <w:u w:val="none"/>
        </w:rPr>
      </w:pPr>
      <w:r>
        <w:rPr>
          <w:rFonts w:hint="eastAsia" w:ascii="宋体" w:hAnsi="宋体" w:cs="宋体"/>
          <w:color w:val="auto"/>
          <w:sz w:val="24"/>
          <w:szCs w:val="24"/>
          <w:highlight w:val="none"/>
          <w:u w:val="none"/>
        </w:rPr>
        <w:t>注：</w:t>
      </w:r>
      <w:r>
        <w:rPr>
          <w:rFonts w:hint="eastAsia" w:ascii="宋体" w:hAnsi="宋体" w:cs="宋体"/>
          <w:color w:val="auto"/>
          <w:sz w:val="24"/>
          <w:highlight w:val="none"/>
          <w:u w:val="none"/>
        </w:rPr>
        <w:t>①香港企业备案的业务范围依据《广东省住房和城乡建设厅关于印发香港工程建设咨询企业和专业人士在粤港澳大湾区内地城市开业执业试点管理暂行办法的通知》（粤建规范〔2020〕1号规定，详见链接：http://zfcxjst.gd.gov.cn/xxgk/wjtz/content/post_3137220.html）确定。</w:t>
      </w:r>
    </w:p>
    <w:p w14:paraId="6FFED979">
      <w:pPr>
        <w:keepNext w:val="0"/>
        <w:keepLines w:val="0"/>
        <w:pageBreakBefore w:val="0"/>
        <w:widowControl w:val="0"/>
        <w:kinsoku/>
        <w:wordWrap/>
        <w:overflowPunct/>
        <w:autoSpaceDE/>
        <w:autoSpaceDN/>
        <w:bidi w:val="0"/>
        <w:snapToGrid w:val="0"/>
        <w:spacing w:line="460" w:lineRule="exact"/>
        <w:ind w:firstLine="480" w:firstLineChars="200"/>
        <w:jc w:val="both"/>
        <w:textAlignment w:val="auto"/>
        <w:rPr>
          <w:rFonts w:hint="eastAsia" w:ascii="宋体" w:hAnsi="宋体" w:cs="宋体"/>
          <w:color w:val="auto"/>
          <w:sz w:val="24"/>
          <w:highlight w:val="none"/>
          <w:u w:val="none"/>
        </w:rPr>
      </w:pPr>
      <w:r>
        <w:rPr>
          <w:rFonts w:hint="eastAsia" w:ascii="宋体" w:hAnsi="宋体" w:cs="宋体"/>
          <w:color w:val="auto"/>
          <w:sz w:val="24"/>
          <w:highlight w:val="none"/>
          <w:u w:val="none"/>
        </w:rPr>
        <w:t>②工程监理企业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住房城乡建设部建筑市场监管司关于建设工程企业资质延续有关事项的通知》（建司局函市〔2023〕116号）、《住建部做好企业资质证书换领和延续工作的通知》（建办市〔2023〕47号）、《广东省住房和城乡建设厅关于建设工程企业资质延续有关事项的通知》（粤建许函〔2023〕820号）、《广东省住房和城乡建设厅关于做好有关建设工程企业资质证书换领工作的通知》（粤建许函〔2024〕124号）等相关规定执行。根据上述文件的要求，投标人需办理企业资质有效期延续的，应当按照相关规定及时办理。</w:t>
      </w:r>
    </w:p>
    <w:p w14:paraId="2E4999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 xml:space="preserve">3.3 </w:t>
      </w:r>
      <w:r>
        <w:rPr>
          <w:rFonts w:hint="eastAsia" w:ascii="宋体" w:hAnsi="宋体" w:cs="宋体"/>
          <w:color w:val="auto"/>
          <w:sz w:val="24"/>
          <w:highlight w:val="none"/>
        </w:rPr>
        <w:t>投标人自</w:t>
      </w:r>
      <w:r>
        <w:rPr>
          <w:rFonts w:hint="default" w:ascii="宋体" w:hAnsi="宋体" w:cs="宋体"/>
          <w:color w:val="auto"/>
          <w:sz w:val="24"/>
          <w:highlight w:val="none"/>
          <w:u w:val="single"/>
          <w:lang w:val="en-US"/>
        </w:rPr>
        <w:t>2019</w:t>
      </w:r>
      <w:r>
        <w:rPr>
          <w:rFonts w:hint="eastAsia" w:ascii="宋体" w:hAnsi="宋体" w:cs="宋体"/>
          <w:color w:val="auto"/>
          <w:sz w:val="24"/>
          <w:highlight w:val="none"/>
        </w:rPr>
        <w:t>年</w:t>
      </w:r>
      <w:r>
        <w:rPr>
          <w:rFonts w:hint="eastAsia" w:ascii="宋体" w:hAnsi="宋体" w:cs="宋体"/>
          <w:color w:val="auto"/>
          <w:sz w:val="24"/>
          <w:highlight w:val="none"/>
          <w:u w:val="single"/>
        </w:rPr>
        <w:t>1</w:t>
      </w:r>
      <w:r>
        <w:rPr>
          <w:rFonts w:hint="eastAsia" w:ascii="宋体" w:hAnsi="宋体" w:cs="宋体"/>
          <w:color w:val="auto"/>
          <w:sz w:val="24"/>
          <w:highlight w:val="none"/>
        </w:rPr>
        <w:t>月</w:t>
      </w:r>
      <w:r>
        <w:rPr>
          <w:rFonts w:hint="eastAsia" w:ascii="宋体" w:hAnsi="宋体" w:cs="宋体"/>
          <w:color w:val="auto"/>
          <w:sz w:val="24"/>
          <w:highlight w:val="none"/>
          <w:u w:val="single"/>
        </w:rPr>
        <w:t>1</w:t>
      </w:r>
      <w:r>
        <w:rPr>
          <w:rFonts w:hint="eastAsia" w:ascii="宋体" w:hAnsi="宋体" w:cs="宋体"/>
          <w:color w:val="auto"/>
          <w:sz w:val="24"/>
          <w:highlight w:val="none"/>
        </w:rPr>
        <w:t>日至今完成过质量合格的类似工程监理业绩（类似工程是指第3.</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点所述资质方能承接的</w:t>
      </w:r>
      <w:r>
        <w:rPr>
          <w:rFonts w:hint="eastAsia" w:ascii="宋体" w:hAnsi="宋体" w:cs="宋体"/>
          <w:color w:val="auto"/>
          <w:sz w:val="24"/>
          <w:highlight w:val="none"/>
          <w:u w:val="single"/>
        </w:rPr>
        <w:t>房屋建筑</w:t>
      </w:r>
      <w:r>
        <w:rPr>
          <w:rFonts w:hint="eastAsia" w:ascii="宋体" w:hAnsi="宋体" w:cs="宋体"/>
          <w:color w:val="auto"/>
          <w:sz w:val="24"/>
          <w:highlight w:val="none"/>
        </w:rPr>
        <w:t>工程）。需同时提供中标通知书或免招标的相关证明、施工监理合同、竣工验收报告或竣工验收证明。完成时间以竣工验收报告或竣工验收证明注明的竣工时间为准。</w:t>
      </w:r>
    </w:p>
    <w:p w14:paraId="37994FEC">
      <w:pPr>
        <w:keepNext w:val="0"/>
        <w:keepLines w:val="0"/>
        <w:pageBreakBefore w:val="0"/>
        <w:widowControl w:val="0"/>
        <w:kinsoku/>
        <w:wordWrap/>
        <w:overflowPunct/>
        <w:autoSpaceDE/>
        <w:autoSpaceDN/>
        <w:bidi w:val="0"/>
        <w:snapToGrid w:val="0"/>
        <w:spacing w:line="460" w:lineRule="exact"/>
        <w:ind w:firstLine="480" w:firstLineChars="200"/>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 xml:space="preserve">4 </w:t>
      </w:r>
      <w:r>
        <w:rPr>
          <w:rFonts w:hint="eastAsia" w:ascii="宋体" w:hAnsi="宋体" w:cs="宋体"/>
          <w:color w:val="auto"/>
          <w:sz w:val="24"/>
          <w:szCs w:val="24"/>
          <w:highlight w:val="none"/>
        </w:rPr>
        <w:t>总监理工程师：拟任本项目总监理工程师应具有建设部2006年4月1日后颁发且在有效期内的中华人民共和国注册监理工程师注册执业证书，且其注册专业为</w:t>
      </w:r>
      <w:r>
        <w:rPr>
          <w:rFonts w:hint="eastAsia" w:ascii="宋体" w:hAnsi="宋体" w:cs="宋体"/>
          <w:color w:val="auto"/>
          <w:sz w:val="24"/>
          <w:szCs w:val="24"/>
          <w:highlight w:val="none"/>
          <w:u w:val="single"/>
        </w:rPr>
        <w:t>房屋建筑工程</w:t>
      </w:r>
      <w:r>
        <w:rPr>
          <w:rFonts w:hint="eastAsia" w:ascii="宋体" w:hAnsi="宋体" w:cs="宋体"/>
          <w:color w:val="auto"/>
          <w:sz w:val="24"/>
          <w:szCs w:val="24"/>
          <w:highlight w:val="none"/>
        </w:rPr>
        <w:t>，注册执业单位为</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，并具有本科或以上的学历。或在广东省住房和城乡建设主管部门备案且备案的资格满足本项目总监理工程师的资格要求的香港专业人士。</w:t>
      </w:r>
    </w:p>
    <w:p w14:paraId="11ED9177">
      <w:pPr>
        <w:keepNext w:val="0"/>
        <w:keepLines w:val="0"/>
        <w:pageBreakBefore w:val="0"/>
        <w:widowControl w:val="0"/>
        <w:kinsoku/>
        <w:wordWrap/>
        <w:overflowPunct/>
        <w:autoSpaceDE/>
        <w:autoSpaceDN/>
        <w:bidi w:val="0"/>
        <w:snapToGrid w:val="0"/>
        <w:spacing w:line="460" w:lineRule="exact"/>
        <w:ind w:firstLine="480" w:firstLineChars="200"/>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注：香港专业人士的备案业务范围依据《广东省住房和城乡建设厅关于印发香港工程建设咨询企业和专业人士在粤港澳大湾区内地城市开业执业试点管理暂行办法的通知》（粤建规范〔</w:t>
      </w:r>
      <w:r>
        <w:rPr>
          <w:rFonts w:ascii="宋体" w:hAnsi="宋体" w:cs="宋体"/>
          <w:color w:val="auto"/>
          <w:sz w:val="24"/>
          <w:szCs w:val="24"/>
          <w:highlight w:val="none"/>
        </w:rPr>
        <w:t>2020〕1号）]。</w:t>
      </w:r>
    </w:p>
    <w:p w14:paraId="3CF2469A">
      <w:pPr>
        <w:keepNext w:val="0"/>
        <w:keepLines w:val="0"/>
        <w:pageBreakBefore w:val="0"/>
        <w:widowControl w:val="0"/>
        <w:kinsoku/>
        <w:wordWrap/>
        <w:overflowPunct/>
        <w:autoSpaceDE/>
        <w:autoSpaceDN/>
        <w:bidi w:val="0"/>
        <w:snapToGrid w:val="0"/>
        <w:spacing w:line="460" w:lineRule="exact"/>
        <w:ind w:firstLine="480" w:firstLineChars="200"/>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 xml:space="preserve"> 关于联合体投标：本次招标</w:t>
      </w:r>
      <w:r>
        <w:rPr>
          <w:rFonts w:hint="eastAsia" w:ascii="宋体" w:hAnsi="宋体" w:cs="宋体"/>
          <w:b/>
          <w:bCs/>
          <w:color w:val="auto"/>
          <w:sz w:val="24"/>
          <w:szCs w:val="24"/>
          <w:highlight w:val="none"/>
          <w:u w:val="single"/>
        </w:rPr>
        <w:t>不接受</w:t>
      </w:r>
      <w:r>
        <w:rPr>
          <w:rFonts w:hint="eastAsia" w:ascii="宋体" w:hAnsi="宋体" w:cs="宋体"/>
          <w:color w:val="auto"/>
          <w:sz w:val="24"/>
          <w:szCs w:val="24"/>
          <w:highlight w:val="none"/>
        </w:rPr>
        <w:t>联合体投标。</w:t>
      </w:r>
    </w:p>
    <w:p w14:paraId="4C9F58A4">
      <w:pPr>
        <w:keepNext w:val="0"/>
        <w:keepLines w:val="0"/>
        <w:pageBreakBefore w:val="0"/>
        <w:widowControl w:val="0"/>
        <w:kinsoku/>
        <w:wordWrap w:val="0"/>
        <w:overflowPunct/>
        <w:topLinePunct w:val="0"/>
        <w:autoSpaceDE/>
        <w:autoSpaceDN/>
        <w:bidi w:val="0"/>
        <w:adjustRightInd/>
        <w:snapToGrid w:val="0"/>
        <w:spacing w:line="460" w:lineRule="exact"/>
        <w:ind w:firstLine="480" w:firstLineChars="200"/>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 xml:space="preserve">6 </w:t>
      </w:r>
      <w:r>
        <w:rPr>
          <w:rFonts w:hint="eastAsia" w:ascii="宋体" w:hAnsi="宋体" w:cs="宋体"/>
          <w:color w:val="auto"/>
          <w:kern w:val="0"/>
          <w:sz w:val="24"/>
          <w:szCs w:val="24"/>
          <w:highlight w:val="none"/>
          <w:u w:val="single"/>
        </w:rPr>
        <w:t>资格审查</w:t>
      </w:r>
      <w:r>
        <w:rPr>
          <w:rFonts w:hint="eastAsia" w:ascii="宋体" w:hAnsi="宋体" w:cs="宋体"/>
          <w:color w:val="auto"/>
          <w:sz w:val="24"/>
          <w:szCs w:val="24"/>
          <w:highlight w:val="none"/>
          <w:u w:val="single"/>
        </w:rPr>
        <w:t>前，投标人须在广州市住建行业信用管理平台建立了企业信用档案及拟担任本工程总监理工程师须是本企业</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投标人</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本企业信用档案中的在册人员</w:t>
      </w:r>
      <w:r>
        <w:rPr>
          <w:rFonts w:hint="eastAsia" w:ascii="宋体" w:hAnsi="宋体" w:cs="宋体"/>
          <w:color w:val="auto"/>
          <w:kern w:val="0"/>
          <w:sz w:val="24"/>
          <w:szCs w:val="24"/>
          <w:highlight w:val="none"/>
          <w:u w:val="single"/>
        </w:rPr>
        <w:t>。</w:t>
      </w:r>
      <w:r>
        <w:rPr>
          <w:rFonts w:hint="eastAsia" w:ascii="宋体" w:hAnsi="宋体" w:cs="宋体"/>
          <w:color w:val="auto"/>
          <w:sz w:val="24"/>
          <w:szCs w:val="24"/>
          <w:highlight w:val="none"/>
          <w:u w:val="single"/>
        </w:rPr>
        <w:t>企业信用档案取自投标截止时间投标人在信用管理平台的信息，投标人无需提交相关资料，若招标人延长递交投标文件截止时间的，信用档案信息的评审时点也相应延长。注：</w:t>
      </w:r>
      <w:r>
        <w:rPr>
          <w:rFonts w:hint="eastAsia" w:ascii="宋体" w:hAnsi="宋体" w:cs="宋体"/>
          <w:color w:val="auto"/>
          <w:sz w:val="24"/>
          <w:highlight w:val="none"/>
          <w:u w:val="single"/>
        </w:rPr>
        <w:t>（信用档案办理详见《广州市住建行业信用管理平台监理企业信息录入指引》http://zfcj.gz.gov.cn/zwgk/zsdwxxgkzl/gzsjzyglfwzx/bszy/content/post_8073953.html）</w:t>
      </w:r>
      <w:r>
        <w:rPr>
          <w:rFonts w:hint="eastAsia" w:ascii="宋体" w:hAnsi="宋体" w:cs="宋体"/>
          <w:color w:val="auto"/>
          <w:sz w:val="24"/>
          <w:szCs w:val="24"/>
          <w:highlight w:val="none"/>
          <w:u w:val="none"/>
        </w:rPr>
        <w:t>。</w:t>
      </w:r>
    </w:p>
    <w:p w14:paraId="275EAF61">
      <w:pPr>
        <w:keepNext w:val="0"/>
        <w:keepLines w:val="0"/>
        <w:pageBreakBefore w:val="0"/>
        <w:widowControl w:val="0"/>
        <w:kinsoku/>
        <w:wordWrap/>
        <w:overflowPunct/>
        <w:autoSpaceDE/>
        <w:autoSpaceDN/>
        <w:bidi w:val="0"/>
        <w:snapToGrid w:val="0"/>
        <w:spacing w:line="460" w:lineRule="exact"/>
        <w:ind w:firstLine="480" w:firstLineChars="200"/>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 xml:space="preserve">7 </w:t>
      </w:r>
      <w:r>
        <w:rPr>
          <w:rFonts w:hint="eastAsia" w:ascii="宋体" w:hAnsi="宋体" w:cs="宋体"/>
          <w:color w:val="auto"/>
          <w:sz w:val="24"/>
          <w:szCs w:val="24"/>
          <w:highlight w:val="none"/>
        </w:rPr>
        <w:t>投标人出具按照招标文件要求的格式签署盖章的《投标人声明》（格式见招标文件第六章）。</w:t>
      </w:r>
    </w:p>
    <w:p w14:paraId="0788EE13">
      <w:pPr>
        <w:keepNext w:val="0"/>
        <w:keepLines w:val="0"/>
        <w:pageBreakBefore w:val="0"/>
        <w:widowControl w:val="0"/>
        <w:kinsoku/>
        <w:wordWrap/>
        <w:overflowPunct/>
        <w:autoSpaceDE/>
        <w:autoSpaceDN/>
        <w:bidi w:val="0"/>
        <w:snapToGrid w:val="0"/>
        <w:spacing w:line="460" w:lineRule="exact"/>
        <w:ind w:firstLine="480" w:firstLineChars="200"/>
        <w:jc w:val="both"/>
        <w:textAlignment w:val="auto"/>
        <w:rPr>
          <w:rFonts w:ascii="宋体" w:hAnsi="宋体" w:cs="宋体"/>
          <w:color w:val="auto"/>
          <w:sz w:val="24"/>
          <w:szCs w:val="24"/>
          <w:highlight w:val="none"/>
          <w:u w:val="singl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 xml:space="preserve">8 </w:t>
      </w:r>
      <w:r>
        <w:rPr>
          <w:rFonts w:hint="eastAsia" w:ascii="宋体" w:hAnsi="宋体" w:cs="宋体"/>
          <w:color w:val="auto"/>
          <w:sz w:val="24"/>
          <w:szCs w:val="24"/>
          <w:highlight w:val="none"/>
          <w:u w:val="single"/>
        </w:rPr>
        <w:t>投标人未被列入拖欠农民工工资失信联合惩戒对象名单（本项评审投标人无需提供资料，按</w:t>
      </w:r>
      <w:r>
        <w:rPr>
          <w:rFonts w:hint="eastAsia" w:ascii="宋体" w:hAnsi="宋体" w:cs="宋体"/>
          <w:b w:val="0"/>
          <w:bCs w:val="0"/>
          <w:color w:val="auto"/>
          <w:sz w:val="24"/>
          <w:szCs w:val="24"/>
          <w:highlight w:val="none"/>
          <w:u w:val="single"/>
          <w:lang w:val="en-US" w:eastAsia="zh-CN"/>
        </w:rPr>
        <w:t>投标截止时间</w:t>
      </w:r>
      <w:r>
        <w:rPr>
          <w:rFonts w:hint="eastAsia" w:ascii="宋体" w:hAnsi="宋体" w:cs="宋体"/>
          <w:color w:val="auto"/>
          <w:sz w:val="24"/>
          <w:szCs w:val="24"/>
          <w:highlight w:val="none"/>
          <w:u w:val="single"/>
        </w:rPr>
        <w:t>广州交易集团有限公司（广州公共资源交易中心)交易系统比对的结果进行评审）。</w:t>
      </w:r>
    </w:p>
    <w:p w14:paraId="63BD5F37">
      <w:pPr>
        <w:keepNext w:val="0"/>
        <w:keepLines w:val="0"/>
        <w:pageBreakBefore w:val="0"/>
        <w:widowControl w:val="0"/>
        <w:kinsoku/>
        <w:wordWrap/>
        <w:overflowPunct/>
        <w:autoSpaceDE/>
        <w:autoSpaceDN/>
        <w:bidi w:val="0"/>
        <w:snapToGrid w:val="0"/>
        <w:spacing w:line="460" w:lineRule="exact"/>
        <w:ind w:firstLine="480" w:firstLineChars="200"/>
        <w:jc w:val="both"/>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注：1、未在招标公告第</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条单列的投标人资格要求条件，不作为资审不合格的依据。</w:t>
      </w:r>
    </w:p>
    <w:p w14:paraId="3EB50657">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jc w:val="both"/>
        <w:textAlignment w:val="auto"/>
        <w:rPr>
          <w:rFonts w:hint="eastAsia" w:ascii="宋体" w:hAnsi="宋体" w:cs="宋体"/>
          <w:color w:val="auto"/>
          <w:sz w:val="24"/>
          <w:szCs w:val="24"/>
          <w:highlight w:val="none"/>
          <w:u w:val="single"/>
        </w:rPr>
      </w:pPr>
      <w:bookmarkStart w:id="9" w:name="_Toc511557028"/>
      <w:bookmarkStart w:id="10" w:name="_Toc515033013"/>
      <w:r>
        <w:rPr>
          <w:rFonts w:hint="eastAsia" w:ascii="宋体" w:hAnsi="宋体" w:cs="宋体"/>
          <w:color w:val="auto"/>
          <w:sz w:val="24"/>
          <w:szCs w:val="24"/>
          <w:highlight w:val="none"/>
          <w:u w:val="single"/>
        </w:rPr>
        <w:t>2、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及香港专业人士参与本次投标的，应按招标文件要求提供满足评审的相关证明文件。</w:t>
      </w:r>
    </w:p>
    <w:p w14:paraId="028D8D1D">
      <w:pPr>
        <w:keepNext w:val="0"/>
        <w:keepLines w:val="0"/>
        <w:pageBreakBefore w:val="0"/>
        <w:widowControl w:val="0"/>
        <w:kinsoku/>
        <w:wordWrap/>
        <w:overflowPunct/>
        <w:topLinePunct/>
        <w:autoSpaceDE/>
        <w:autoSpaceDN/>
        <w:bidi w:val="0"/>
        <w:adjustRightInd w:val="0"/>
        <w:snapToGrid w:val="0"/>
        <w:spacing w:line="460" w:lineRule="exact"/>
        <w:ind w:firstLine="480" w:firstLineChars="200"/>
        <w:jc w:val="both"/>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3、投标人在投标登记时选择了登记企业、拟投入本项目的总监理工程师，即已满足“资格审查前，投标人须在广州市住建行业信用管理平台建立企业信用档案及拟担任本工程总监理工程师须是本企业信用档案中的在册人员”的要求，投标人无需提供证明材料。</w:t>
      </w:r>
    </w:p>
    <w:bookmarkEnd w:id="9"/>
    <w:bookmarkEnd w:id="10"/>
    <w:p w14:paraId="745F8C1C">
      <w:pPr>
        <w:pStyle w:val="3"/>
        <w:keepNext w:val="0"/>
        <w:keepLines w:val="0"/>
        <w:pageBreakBefore w:val="0"/>
        <w:numPr>
          <w:ilvl w:val="0"/>
          <w:numId w:val="1"/>
        </w:numPr>
        <w:kinsoku/>
        <w:wordWrap/>
        <w:overflowPunct/>
        <w:autoSpaceDE/>
        <w:autoSpaceDN/>
        <w:bidi w:val="0"/>
        <w:snapToGrid w:val="0"/>
        <w:spacing w:before="0" w:after="0" w:line="460" w:lineRule="exact"/>
        <w:textAlignment w:val="auto"/>
        <w:rPr>
          <w:rFonts w:ascii="宋体" w:hAnsi="宋体" w:eastAsia="宋体" w:cs="宋体"/>
          <w:color w:val="auto"/>
          <w:highlight w:val="none"/>
        </w:rPr>
      </w:pPr>
      <w:bookmarkStart w:id="11" w:name="_Toc515033014"/>
      <w:bookmarkStart w:id="12" w:name="_Toc511557029"/>
      <w:r>
        <w:rPr>
          <w:rFonts w:hint="eastAsia" w:ascii="宋体" w:hAnsi="宋体" w:eastAsia="宋体" w:cs="宋体"/>
          <w:color w:val="auto"/>
          <w:highlight w:val="none"/>
        </w:rPr>
        <w:t>招标文件的获取</w:t>
      </w:r>
    </w:p>
    <w:p w14:paraId="3BC646B5">
      <w:pPr>
        <w:keepNext w:val="0"/>
        <w:keepLines w:val="0"/>
        <w:pageBreakBefore w:val="0"/>
        <w:widowControl w:val="0"/>
        <w:kinsoku/>
        <w:wordWrap/>
        <w:overflowPunct/>
        <w:topLinePunct w:val="0"/>
        <w:autoSpaceDE/>
        <w:autoSpaceDN/>
        <w:bidi w:val="0"/>
        <w:adjustRightInd/>
        <w:snapToGrid w:val="0"/>
        <w:spacing w:line="460" w:lineRule="exact"/>
        <w:ind w:left="0" w:lef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4.1 本项目招标文件随招标公告一并在</w:t>
      </w:r>
      <w:r>
        <w:rPr>
          <w:rFonts w:hint="eastAsia" w:ascii="宋体" w:hAnsi="宋体" w:cs="宋体"/>
          <w:color w:val="auto"/>
          <w:sz w:val="24"/>
          <w:highlight w:val="none"/>
          <w:u w:val="single"/>
        </w:rPr>
        <w:t>广州交易集团有限公司（广州公共资源交易中心）</w:t>
      </w:r>
      <w:r>
        <w:rPr>
          <w:rFonts w:hint="eastAsia" w:ascii="宋体" w:hAnsi="宋体" w:cs="宋体"/>
          <w:color w:val="auto"/>
          <w:sz w:val="24"/>
          <w:highlight w:val="none"/>
        </w:rPr>
        <w:t>网站发布。招标文件一经在</w:t>
      </w:r>
      <w:r>
        <w:rPr>
          <w:rFonts w:hint="eastAsia" w:ascii="宋体" w:hAnsi="宋体" w:cs="宋体"/>
          <w:color w:val="auto"/>
          <w:sz w:val="24"/>
          <w:highlight w:val="none"/>
          <w:u w:val="single"/>
        </w:rPr>
        <w:t>广州交易集团有限公司（广州公共资源交易中心）网站</w:t>
      </w:r>
      <w:r>
        <w:rPr>
          <w:rFonts w:hint="eastAsia" w:ascii="宋体" w:hAnsi="宋体" w:cs="宋体"/>
          <w:color w:val="auto"/>
          <w:sz w:val="24"/>
          <w:highlight w:val="none"/>
        </w:rPr>
        <w:t>发布，视为送达给投标人，招标文件由投标人自行在</w:t>
      </w:r>
      <w:r>
        <w:rPr>
          <w:rFonts w:hint="eastAsia" w:ascii="宋体" w:hAnsi="宋体" w:cs="宋体"/>
          <w:color w:val="auto"/>
          <w:sz w:val="24"/>
          <w:highlight w:val="none"/>
          <w:u w:val="single"/>
        </w:rPr>
        <w:t>广州交易集团有限公司（广州公共资源交易中心）网站</w:t>
      </w:r>
      <w:r>
        <w:rPr>
          <w:rFonts w:hint="eastAsia" w:ascii="宋体" w:hAnsi="宋体" w:cs="宋体"/>
          <w:color w:val="auto"/>
          <w:sz w:val="24"/>
          <w:highlight w:val="none"/>
        </w:rPr>
        <w:t>（网址：http://www.gzggzy.cn）下载电子招标文件。</w:t>
      </w:r>
    </w:p>
    <w:p w14:paraId="6EAC0E0B">
      <w:pPr>
        <w:keepNext w:val="0"/>
        <w:keepLines w:val="0"/>
        <w:pageBreakBefore w:val="0"/>
        <w:widowControl w:val="0"/>
        <w:kinsoku/>
        <w:wordWrap/>
        <w:overflowPunct/>
        <w:topLinePunct w:val="0"/>
        <w:autoSpaceDE/>
        <w:autoSpaceDN/>
        <w:bidi w:val="0"/>
        <w:adjustRightInd/>
        <w:snapToGrid w:val="0"/>
        <w:spacing w:line="460" w:lineRule="exact"/>
        <w:ind w:left="0" w:leftChars="0"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4.2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本项目采用资格后审方式</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由评标委员会负责资格审查</w:t>
      </w:r>
      <w:r>
        <w:rPr>
          <w:rFonts w:hint="eastAsia" w:ascii="宋体" w:hAnsi="宋体" w:eastAsia="宋体" w:cs="宋体"/>
          <w:color w:val="auto"/>
          <w:sz w:val="24"/>
          <w:szCs w:val="24"/>
          <w:highlight w:val="none"/>
          <w:u w:val="single"/>
        </w:rPr>
        <w:t>及评标工作。本工程采用评定分离方式确定中标人</w:t>
      </w:r>
      <w:r>
        <w:rPr>
          <w:rFonts w:hint="eastAsia" w:ascii="宋体" w:hAnsi="宋体" w:cs="宋体"/>
          <w:color w:val="auto"/>
          <w:sz w:val="24"/>
          <w:highlight w:val="none"/>
        </w:rPr>
        <w:t>。</w:t>
      </w:r>
    </w:p>
    <w:p w14:paraId="598CA204">
      <w:pPr>
        <w:pStyle w:val="3"/>
        <w:keepNext w:val="0"/>
        <w:keepLines w:val="0"/>
        <w:pageBreakBefore w:val="0"/>
        <w:kinsoku/>
        <w:wordWrap/>
        <w:overflowPunct/>
        <w:autoSpaceDE/>
        <w:autoSpaceDN/>
        <w:bidi w:val="0"/>
        <w:snapToGrid w:val="0"/>
        <w:spacing w:before="0" w:after="0" w:line="460" w:lineRule="exact"/>
        <w:textAlignment w:val="auto"/>
        <w:rPr>
          <w:rFonts w:ascii="宋体" w:hAnsi="宋体" w:eastAsia="宋体" w:cs="宋体"/>
          <w:color w:val="auto"/>
          <w:highlight w:val="none"/>
        </w:rPr>
      </w:pPr>
      <w:r>
        <w:rPr>
          <w:rFonts w:hint="eastAsia" w:ascii="宋体" w:hAnsi="宋体" w:eastAsia="宋体" w:cs="宋体"/>
          <w:color w:val="auto"/>
          <w:highlight w:val="none"/>
        </w:rPr>
        <w:t>5. 发布招标公告、递交投标文件时间、开标时间</w:t>
      </w:r>
    </w:p>
    <w:p w14:paraId="2615C22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sz w:val="24"/>
          <w:highlight w:val="none"/>
        </w:rPr>
      </w:pPr>
      <w:r>
        <w:rPr>
          <w:rFonts w:hint="eastAsia" w:ascii="宋体" w:hAnsi="宋体" w:cs="宋体"/>
          <w:color w:val="auto"/>
          <w:sz w:val="24"/>
          <w:highlight w:val="none"/>
        </w:rPr>
        <w:t>5.1 发布招标公告时间（含本日）：</w:t>
      </w:r>
      <w:r>
        <w:rPr>
          <w:rFonts w:hint="eastAsia" w:ascii="宋体" w:hAnsi="宋体" w:cs="宋体"/>
          <w:color w:val="auto"/>
          <w:sz w:val="24"/>
          <w:highlight w:val="none"/>
          <w:u w:val="single"/>
        </w:rPr>
        <w:t>20</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w:t>
      </w:r>
      <w:r>
        <w:rPr>
          <w:rFonts w:hint="eastAsia" w:ascii="宋体" w:hAnsi="宋体" w:cs="宋体"/>
          <w:color w:val="auto"/>
          <w:sz w:val="24"/>
          <w:highlight w:val="none"/>
          <w:u w:val="single"/>
        </w:rPr>
        <w:t>20</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p>
    <w:p w14:paraId="333D71F0">
      <w:pPr>
        <w:keepNext w:val="0"/>
        <w:keepLines w:val="0"/>
        <w:pageBreakBefore w:val="0"/>
        <w:widowControl w:val="0"/>
        <w:kinsoku/>
        <w:wordWrap/>
        <w:overflowPunct/>
        <w:topLinePunct w:val="0"/>
        <w:autoSpaceDE/>
        <w:autoSpaceDN/>
        <w:bidi w:val="0"/>
        <w:adjustRightInd/>
        <w:snapToGrid w:val="0"/>
        <w:spacing w:line="460" w:lineRule="exact"/>
        <w:jc w:val="both"/>
        <w:textAlignment w:val="auto"/>
        <w:rPr>
          <w:rFonts w:ascii="宋体" w:hAnsi="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p>
    <w:p w14:paraId="408AC617">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ascii="宋体" w:hAnsi="宋体" w:cs="宋体"/>
          <w:color w:val="auto"/>
          <w:sz w:val="24"/>
          <w:highlight w:val="none"/>
        </w:rPr>
      </w:pPr>
      <w:r>
        <w:rPr>
          <w:rFonts w:hint="eastAsia" w:ascii="宋体" w:hAnsi="宋体" w:cs="宋体"/>
          <w:color w:val="auto"/>
          <w:sz w:val="24"/>
          <w:highlight w:val="none"/>
        </w:rPr>
        <w:t>注：发布招标公告的时间为招标公告发出之日起至递交投标文件截止时间止。</w:t>
      </w:r>
    </w:p>
    <w:p w14:paraId="36BE1E6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5.2 递交投标文件时间：</w:t>
      </w:r>
      <w:r>
        <w:rPr>
          <w:rFonts w:hint="eastAsia" w:ascii="宋体" w:hAnsi="宋体" w:cs="宋体"/>
          <w:color w:val="auto"/>
          <w:sz w:val="24"/>
          <w:highlight w:val="none"/>
          <w:u w:val="single"/>
        </w:rPr>
        <w:t>20</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r>
        <w:rPr>
          <w:rFonts w:hint="eastAsia" w:ascii="宋体" w:hAnsi="宋体" w:cs="宋体"/>
          <w:color w:val="auto"/>
          <w:sz w:val="24"/>
          <w:highlight w:val="none"/>
          <w:lang w:eastAsia="zh-CN"/>
        </w:rPr>
        <w:t>；</w:t>
      </w:r>
    </w:p>
    <w:p w14:paraId="6AF68F01">
      <w:pPr>
        <w:keepNext w:val="0"/>
        <w:keepLines w:val="0"/>
        <w:pageBreakBefore w:val="0"/>
        <w:widowControl w:val="0"/>
        <w:kinsoku/>
        <w:wordWrap/>
        <w:overflowPunct/>
        <w:topLinePunct w:val="0"/>
        <w:autoSpaceDE/>
        <w:autoSpaceDN/>
        <w:bidi w:val="0"/>
        <w:adjustRightInd/>
        <w:snapToGrid w:val="0"/>
        <w:spacing w:line="460" w:lineRule="exact"/>
        <w:ind w:firstLine="1920" w:firstLineChars="800"/>
        <w:jc w:val="both"/>
        <w:textAlignment w:val="auto"/>
        <w:rPr>
          <w:rFonts w:hint="eastAsia" w:ascii="宋体" w:hAnsi="宋体" w:cs="宋体"/>
          <w:color w:val="auto"/>
          <w:sz w:val="24"/>
          <w:highlight w:val="none"/>
        </w:rPr>
      </w:pPr>
      <w:r>
        <w:rPr>
          <w:rFonts w:hint="eastAsia" w:ascii="宋体" w:hAnsi="宋体" w:cs="宋体"/>
          <w:color w:val="auto"/>
          <w:sz w:val="24"/>
          <w:highlight w:val="none"/>
        </w:rPr>
        <w:t>截止时间：</w:t>
      </w:r>
      <w:r>
        <w:rPr>
          <w:rFonts w:hint="eastAsia" w:ascii="宋体" w:hAnsi="宋体" w:cs="宋体"/>
          <w:color w:val="auto"/>
          <w:sz w:val="24"/>
          <w:highlight w:val="none"/>
          <w:u w:val="single"/>
        </w:rPr>
        <w:t>20</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w:t>
      </w:r>
    </w:p>
    <w:p w14:paraId="0C7881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ascii="宋体" w:hAnsi="宋体" w:cs="宋体"/>
          <w:color w:val="auto"/>
          <w:sz w:val="24"/>
          <w:highlight w:val="none"/>
          <w:u w:val="single"/>
        </w:rPr>
      </w:pPr>
      <w:r>
        <w:rPr>
          <w:rFonts w:hint="eastAsia" w:ascii="宋体" w:hAnsi="宋体" w:cs="宋体"/>
          <w:color w:val="auto"/>
          <w:sz w:val="24"/>
          <w:highlight w:val="none"/>
        </w:rPr>
        <w:t>投标人通过</w:t>
      </w:r>
      <w:r>
        <w:rPr>
          <w:rFonts w:hint="eastAsia" w:ascii="宋体" w:hAnsi="宋体" w:cs="宋体"/>
          <w:color w:val="auto"/>
          <w:sz w:val="24"/>
          <w:highlight w:val="none"/>
          <w:u w:val="single"/>
        </w:rPr>
        <w:t>广州交易集团有限公司（广州公共资源交易中心）网（网址：http://www.gzggzy.cn/）</w:t>
      </w:r>
      <w:r>
        <w:rPr>
          <w:rFonts w:hint="eastAsia" w:ascii="宋体" w:hAnsi="宋体" w:cs="宋体"/>
          <w:color w:val="auto"/>
          <w:sz w:val="24"/>
          <w:highlight w:val="none"/>
        </w:rPr>
        <w:t>交易平台递交电子投标文件。投标人应在递交投标文件截止时间前，登录</w:t>
      </w:r>
      <w:r>
        <w:rPr>
          <w:rFonts w:hint="eastAsia" w:ascii="宋体" w:hAnsi="宋体" w:cs="宋体"/>
          <w:color w:val="auto"/>
          <w:sz w:val="24"/>
          <w:highlight w:val="none"/>
          <w:u w:val="single"/>
        </w:rPr>
        <w:t>广州交易集团有限公司（广州公共资源交易中心）网</w:t>
      </w:r>
      <w:r>
        <w:rPr>
          <w:rFonts w:hint="eastAsia" w:ascii="宋体" w:hAnsi="宋体" w:cs="宋体"/>
          <w:color w:val="auto"/>
          <w:sz w:val="24"/>
          <w:highlight w:val="none"/>
        </w:rPr>
        <w:t>交易平台网站办理网上投标登记手续。按照</w:t>
      </w:r>
      <w:r>
        <w:rPr>
          <w:rFonts w:hint="eastAsia" w:ascii="宋体" w:hAnsi="宋体" w:eastAsia="宋体" w:cs="宋体"/>
          <w:color w:val="auto"/>
          <w:sz w:val="24"/>
          <w:szCs w:val="24"/>
          <w:highlight w:val="none"/>
          <w:u w:val="single"/>
          <w:lang w:eastAsia="zh-CN"/>
        </w:rPr>
        <w:t>广州交易集团有限公司（广州公共资源交易中心）</w:t>
      </w:r>
      <w:r>
        <w:rPr>
          <w:rFonts w:hint="eastAsia" w:ascii="宋体" w:hAnsi="宋体" w:cs="宋体"/>
          <w:color w:val="auto"/>
          <w:sz w:val="24"/>
          <w:highlight w:val="none"/>
        </w:rPr>
        <w:t>交易平台关于全流程电子化项目的相关指南进行操作。详见：</w:t>
      </w:r>
      <w:r>
        <w:rPr>
          <w:rFonts w:hint="eastAsia" w:ascii="宋体" w:hAnsi="宋体" w:cs="宋体"/>
          <w:color w:val="auto"/>
          <w:sz w:val="24"/>
          <w:highlight w:val="none"/>
          <w:u w:val="single"/>
        </w:rPr>
        <w:t>广州交易集团有限公司（广州公共资源交易中心）网站最新指引</w:t>
      </w:r>
      <w:r>
        <w:rPr>
          <w:rFonts w:hint="eastAsia" w:ascii="宋体" w:hAnsi="宋体" w:cs="宋体"/>
          <w:color w:val="auto"/>
          <w:sz w:val="24"/>
          <w:highlight w:val="none"/>
          <w:u w:val="none"/>
        </w:rPr>
        <w:t>。</w:t>
      </w:r>
    </w:p>
    <w:p w14:paraId="41D3C6B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sz w:val="24"/>
          <w:highlight w:val="none"/>
        </w:rPr>
      </w:pPr>
      <w:r>
        <w:rPr>
          <w:rFonts w:hint="eastAsia" w:ascii="宋体" w:hAnsi="宋体" w:cs="宋体"/>
          <w:color w:val="auto"/>
          <w:sz w:val="24"/>
          <w:highlight w:val="none"/>
        </w:rPr>
        <w:t>5.3递交备用投标文件电子光盘时间为：</w:t>
      </w:r>
      <w:r>
        <w:rPr>
          <w:rFonts w:hint="eastAsia" w:ascii="宋体" w:hAnsi="宋体" w:cs="宋体"/>
          <w:color w:val="auto"/>
          <w:sz w:val="24"/>
          <w:highlight w:val="none"/>
          <w:u w:val="single"/>
        </w:rPr>
        <w:t>20</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分至20</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年</w:t>
      </w:r>
    </w:p>
    <w:p w14:paraId="05090E81">
      <w:pPr>
        <w:keepNext w:val="0"/>
        <w:keepLines w:val="0"/>
        <w:pageBreakBefore w:val="0"/>
        <w:widowControl w:val="0"/>
        <w:kinsoku/>
        <w:wordWrap/>
        <w:overflowPunct/>
        <w:topLinePunct w:val="0"/>
        <w:autoSpaceDE/>
        <w:autoSpaceDN/>
        <w:bidi w:val="0"/>
        <w:adjustRightInd/>
        <w:snapToGrid w:val="0"/>
        <w:spacing w:line="460" w:lineRule="exact"/>
        <w:jc w:val="both"/>
        <w:textAlignment w:val="auto"/>
        <w:rPr>
          <w:rFonts w:hint="eastAsia" w:ascii="宋体" w:hAnsi="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分；地点：广州交易集团有限公司（广州公共资源交易中心）黄埔交易部指定开标室。（电子光盘需按规定封装。投标人在将数据刻录到光盘之后，投标前自行检查文件是否可以读取）。</w:t>
      </w:r>
    </w:p>
    <w:p w14:paraId="4AA000D7">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ascii="宋体" w:hAnsi="宋体" w:cs="宋体"/>
          <w:color w:val="auto"/>
          <w:sz w:val="24"/>
          <w:highlight w:val="none"/>
        </w:rPr>
      </w:pPr>
      <w:r>
        <w:rPr>
          <w:rFonts w:hint="eastAsia" w:ascii="宋体" w:hAnsi="宋体" w:cs="宋体"/>
          <w:color w:val="auto"/>
          <w:sz w:val="24"/>
          <w:highlight w:val="none"/>
        </w:rPr>
        <w:t>5.4 逾期送达的投标文件，电子招标投标交易平台将予以拒收。逾期未上传成功的电子投标文件，招标人拒绝接收。逾期或未在指定地点递交投标文件光盘的,招标人拒绝接收其投标文件光盘。</w:t>
      </w:r>
    </w:p>
    <w:p w14:paraId="3F428D6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sz w:val="24"/>
          <w:highlight w:val="none"/>
        </w:rPr>
      </w:pPr>
      <w:r>
        <w:rPr>
          <w:rFonts w:hint="eastAsia" w:ascii="宋体" w:hAnsi="宋体" w:cs="宋体"/>
          <w:color w:val="auto"/>
          <w:sz w:val="24"/>
          <w:highlight w:val="none"/>
        </w:rPr>
        <w:t>5.5 开标时间：</w:t>
      </w:r>
      <w:r>
        <w:rPr>
          <w:rFonts w:hint="eastAsia" w:ascii="宋体" w:hAnsi="宋体" w:cs="宋体"/>
          <w:color w:val="auto"/>
          <w:sz w:val="24"/>
          <w:highlight w:val="none"/>
          <w:u w:val="single"/>
        </w:rPr>
        <w:t>20</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分。地点：</w:t>
      </w:r>
      <w:r>
        <w:rPr>
          <w:rFonts w:hint="eastAsia" w:ascii="宋体" w:hAnsi="宋体" w:cs="宋体"/>
          <w:color w:val="auto"/>
          <w:sz w:val="24"/>
          <w:highlight w:val="none"/>
          <w:u w:val="single"/>
        </w:rPr>
        <w:t>广州交易集团有限公司（广州公共资源交易中心）黄埔交易部指定开标室</w:t>
      </w:r>
      <w:r>
        <w:rPr>
          <w:rFonts w:hint="eastAsia" w:ascii="宋体" w:hAnsi="宋体" w:cs="宋体"/>
          <w:color w:val="auto"/>
          <w:sz w:val="24"/>
          <w:highlight w:val="none"/>
        </w:rPr>
        <w:t>。</w:t>
      </w:r>
    </w:p>
    <w:p w14:paraId="28701B77">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sz w:val="24"/>
          <w:highlight w:val="none"/>
          <w:u w:val="single"/>
          <w:lang w:eastAsia="zh-CN"/>
        </w:rPr>
      </w:pPr>
      <w:r>
        <w:rPr>
          <w:rFonts w:hint="eastAsia" w:ascii="宋体" w:hAnsi="宋体" w:cs="宋体"/>
          <w:color w:val="auto"/>
          <w:sz w:val="24"/>
          <w:highlight w:val="none"/>
          <w:u w:val="single"/>
          <w:lang w:eastAsia="zh-CN"/>
        </w:rPr>
        <w:t>注：本项目具体的招投标活动日程安排及场地安排以广州交易集团有限公司（广州公共资源交易中心）网站中“建设工程”→“项目查询（日程安排、答疑纪要）”公布的为准。</w:t>
      </w:r>
    </w:p>
    <w:p w14:paraId="747F11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jc w:val="both"/>
        <w:textAlignment w:val="auto"/>
        <w:rPr>
          <w:rFonts w:hint="eastAsia" w:ascii="宋体" w:hAnsi="宋体" w:cs="宋体"/>
          <w:color w:val="auto"/>
          <w:sz w:val="24"/>
          <w:highlight w:val="none"/>
          <w:u w:val="none"/>
          <w:lang w:eastAsia="zh-CN"/>
        </w:rPr>
      </w:pPr>
      <w:r>
        <w:rPr>
          <w:rFonts w:hint="eastAsia" w:ascii="宋体" w:hAnsi="宋体" w:cs="宋体"/>
          <w:color w:val="auto"/>
          <w:sz w:val="24"/>
          <w:highlight w:val="none"/>
          <w:u w:val="none"/>
          <w:lang w:eastAsia="zh-CN"/>
        </w:rPr>
        <w:t>5.</w:t>
      </w:r>
      <w:r>
        <w:rPr>
          <w:rFonts w:hint="eastAsia" w:ascii="宋体" w:hAnsi="宋体" w:cs="宋体"/>
          <w:color w:val="auto"/>
          <w:sz w:val="24"/>
          <w:highlight w:val="none"/>
          <w:u w:val="none"/>
          <w:lang w:val="en-US" w:eastAsia="zh-CN"/>
        </w:rPr>
        <w:t xml:space="preserve">6 </w:t>
      </w:r>
      <w:r>
        <w:rPr>
          <w:rFonts w:hint="eastAsia" w:ascii="宋体" w:hAnsi="宋体" w:cs="宋体"/>
          <w:color w:val="auto"/>
          <w:sz w:val="24"/>
          <w:highlight w:val="none"/>
          <w:u w:val="none"/>
          <w:lang w:eastAsia="zh-CN"/>
        </w:rPr>
        <w:t>递交投标文件截止时间与开标时间是否有变化，请密切留意补充公告和招标答疑中的相关信息。递交投标文件截止时间后，开标时间因故推迟的，相关评标信息仍以原递交投标文件截止时间的信息为准。</w:t>
      </w:r>
    </w:p>
    <w:p w14:paraId="720165DC">
      <w:pPr>
        <w:pStyle w:val="3"/>
        <w:keepNext w:val="0"/>
        <w:keepLines w:val="0"/>
        <w:pageBreakBefore w:val="0"/>
        <w:kinsoku/>
        <w:wordWrap/>
        <w:overflowPunct/>
        <w:autoSpaceDE/>
        <w:autoSpaceDN/>
        <w:bidi w:val="0"/>
        <w:snapToGrid w:val="0"/>
        <w:spacing w:before="0" w:after="0" w:line="460" w:lineRule="exact"/>
        <w:textAlignment w:val="auto"/>
        <w:rPr>
          <w:rFonts w:ascii="宋体" w:hAnsi="宋体" w:eastAsia="宋体" w:cs="宋体"/>
          <w:color w:val="auto"/>
          <w:highlight w:val="none"/>
        </w:rPr>
      </w:pPr>
      <w:r>
        <w:rPr>
          <w:rFonts w:hint="eastAsia" w:ascii="宋体" w:hAnsi="宋体" w:eastAsia="宋体" w:cs="宋体"/>
          <w:color w:val="auto"/>
          <w:highlight w:val="none"/>
        </w:rPr>
        <w:t>6. 发布公告的媒介</w:t>
      </w:r>
    </w:p>
    <w:p w14:paraId="2DB66F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本次招标公告同时在</w:t>
      </w:r>
      <w:r>
        <w:rPr>
          <w:rFonts w:hint="eastAsia" w:ascii="宋体" w:hAnsi="宋体" w:cs="宋体"/>
          <w:color w:val="auto"/>
          <w:sz w:val="24"/>
          <w:highlight w:val="none"/>
          <w:u w:val="single"/>
        </w:rPr>
        <w:t>广州交易集团有限公司（广州公共资源交易中心）网站（网址：http://www.gzggzy.cn）、广东省招标投标监管网（网址：http://zbtb.gd.gov.cn/）和中国招标投标公共服务平台（网址：http://www.cebpubservice.com/）发布，本公告的修改、补充，在广州交易集团有限公司（广州公共资源交易中心）</w:t>
      </w:r>
      <w:r>
        <w:rPr>
          <w:rFonts w:hint="eastAsia" w:ascii="宋体" w:hAnsi="宋体" w:cs="宋体"/>
          <w:color w:val="auto"/>
          <w:sz w:val="24"/>
          <w:highlight w:val="none"/>
          <w:u w:val="single"/>
          <w:lang w:eastAsia="zh-CN"/>
        </w:rPr>
        <w:t>官</w:t>
      </w:r>
      <w:r>
        <w:rPr>
          <w:rFonts w:hint="eastAsia" w:ascii="宋体" w:hAnsi="宋体" w:cs="宋体"/>
          <w:color w:val="auto"/>
          <w:sz w:val="24"/>
          <w:highlight w:val="none"/>
          <w:u w:val="single"/>
        </w:rPr>
        <w:t>网</w:t>
      </w:r>
      <w:r>
        <w:rPr>
          <w:rFonts w:hint="eastAsia" w:ascii="宋体" w:hAnsi="宋体" w:cs="宋体"/>
          <w:color w:val="auto"/>
          <w:sz w:val="24"/>
          <w:highlight w:val="none"/>
        </w:rPr>
        <w:t>发布。</w:t>
      </w:r>
    </w:p>
    <w:bookmarkEnd w:id="11"/>
    <w:bookmarkEnd w:id="12"/>
    <w:p w14:paraId="4E29E98A">
      <w:pPr>
        <w:pStyle w:val="3"/>
        <w:keepNext w:val="0"/>
        <w:keepLines w:val="0"/>
        <w:pageBreakBefore w:val="0"/>
        <w:kinsoku/>
        <w:wordWrap/>
        <w:overflowPunct/>
        <w:autoSpaceDE/>
        <w:autoSpaceDN/>
        <w:bidi w:val="0"/>
        <w:snapToGrid w:val="0"/>
        <w:spacing w:before="0" w:after="0" w:line="460" w:lineRule="exact"/>
        <w:textAlignment w:val="auto"/>
        <w:rPr>
          <w:rFonts w:ascii="宋体" w:hAnsi="宋体" w:eastAsia="宋体" w:cs="宋体"/>
          <w:color w:val="auto"/>
          <w:highlight w:val="none"/>
        </w:rPr>
      </w:pPr>
      <w:bookmarkStart w:id="13" w:name="_Toc515033016"/>
      <w:bookmarkStart w:id="14" w:name="_Toc511557031"/>
      <w:r>
        <w:rPr>
          <w:rFonts w:hint="eastAsia" w:ascii="宋体" w:hAnsi="宋体" w:eastAsia="宋体" w:cs="宋体"/>
          <w:color w:val="auto"/>
          <w:highlight w:val="none"/>
        </w:rPr>
        <w:t>7. 联系方式</w:t>
      </w:r>
      <w:bookmarkEnd w:id="13"/>
      <w:bookmarkEnd w:id="14"/>
    </w:p>
    <w:p w14:paraId="3675B02E">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both"/>
        <w:textAlignment w:val="auto"/>
        <w:rPr>
          <w:rFonts w:hint="eastAsia" w:ascii="宋体" w:hAnsi="宋体" w:eastAsia="宋体" w:cs="宋体"/>
          <w:color w:val="auto"/>
          <w:sz w:val="24"/>
          <w:highlight w:val="none"/>
          <w:u w:val="single"/>
          <w:lang w:eastAsia="zh-CN"/>
        </w:rPr>
      </w:pPr>
      <w:bookmarkStart w:id="15" w:name="_Toc152045513"/>
      <w:bookmarkEnd w:id="15"/>
      <w:bookmarkStart w:id="16" w:name="_Toc300834930"/>
      <w:bookmarkEnd w:id="16"/>
      <w:bookmarkStart w:id="17" w:name="_Toc361508562"/>
      <w:bookmarkEnd w:id="17"/>
      <w:bookmarkStart w:id="18" w:name="_Toc369531495"/>
      <w:bookmarkEnd w:id="18"/>
      <w:bookmarkStart w:id="19" w:name="_Toc361508563"/>
      <w:bookmarkEnd w:id="19"/>
      <w:bookmarkStart w:id="20" w:name="_Toc352691455"/>
      <w:bookmarkEnd w:id="20"/>
      <w:bookmarkStart w:id="21" w:name="_Toc247527535"/>
      <w:bookmarkEnd w:id="21"/>
      <w:bookmarkStart w:id="22" w:name="_Toc384308188"/>
      <w:bookmarkEnd w:id="22"/>
      <w:bookmarkStart w:id="23" w:name="_Toc384308187"/>
      <w:bookmarkEnd w:id="23"/>
      <w:bookmarkStart w:id="24" w:name="_Toc247513935"/>
      <w:bookmarkEnd w:id="24"/>
      <w:bookmarkStart w:id="25" w:name="_Toc352691456"/>
      <w:bookmarkEnd w:id="25"/>
      <w:bookmarkStart w:id="26" w:name="_Toc369531497"/>
      <w:bookmarkEnd w:id="26"/>
      <w:bookmarkStart w:id="27" w:name="_Toc361508560"/>
      <w:bookmarkEnd w:id="27"/>
      <w:bookmarkStart w:id="28" w:name="_Toc300834929"/>
      <w:bookmarkEnd w:id="28"/>
      <w:bookmarkStart w:id="29" w:name="_Toc17972"/>
      <w:bookmarkEnd w:id="29"/>
      <w:bookmarkStart w:id="30" w:name="_Toc369531498"/>
      <w:bookmarkEnd w:id="30"/>
      <w:bookmarkStart w:id="31" w:name="_Toc152045512"/>
      <w:bookmarkEnd w:id="31"/>
      <w:bookmarkStart w:id="32" w:name="_Toc152042288"/>
      <w:bookmarkEnd w:id="32"/>
      <w:bookmarkStart w:id="33" w:name="_Toc144974480"/>
      <w:bookmarkEnd w:id="33"/>
      <w:bookmarkStart w:id="34" w:name="_Toc30817"/>
      <w:bookmarkEnd w:id="34"/>
      <w:bookmarkStart w:id="35" w:name="_Toc384308185"/>
      <w:bookmarkEnd w:id="35"/>
      <w:bookmarkStart w:id="36" w:name="_Toc247513934"/>
      <w:bookmarkEnd w:id="36"/>
      <w:bookmarkStart w:id="37" w:name="_Toc300834927"/>
      <w:bookmarkEnd w:id="37"/>
      <w:bookmarkStart w:id="38" w:name="_Toc247527536"/>
      <w:bookmarkEnd w:id="38"/>
      <w:bookmarkStart w:id="39" w:name="_Toc144974481"/>
      <w:bookmarkEnd w:id="39"/>
      <w:bookmarkStart w:id="40" w:name="_Toc10785"/>
      <w:bookmarkEnd w:id="40"/>
      <w:bookmarkStart w:id="41" w:name="_Toc152042289"/>
      <w:bookmarkEnd w:id="41"/>
      <w:bookmarkStart w:id="42" w:name="_Toc352691453"/>
      <w:bookmarkEnd w:id="42"/>
      <w:r>
        <w:rPr>
          <w:rFonts w:hint="eastAsia" w:ascii="宋体" w:hAnsi="宋体" w:cs="宋体"/>
          <w:color w:val="auto"/>
          <w:sz w:val="24"/>
          <w:highlight w:val="none"/>
        </w:rPr>
        <w:t>招 标 人：</w:t>
      </w:r>
      <w:r>
        <w:rPr>
          <w:rFonts w:hint="eastAsia" w:ascii="宋体" w:hAnsi="宋体" w:cs="宋体"/>
          <w:color w:val="auto"/>
          <w:sz w:val="24"/>
          <w:highlight w:val="none"/>
          <w:u w:val="single"/>
          <w:lang w:eastAsia="zh-CN"/>
        </w:rPr>
        <w:t>广州科瀚投资有限公司</w:t>
      </w:r>
    </w:p>
    <w:p w14:paraId="3261D9EE">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both"/>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    址：</w:t>
      </w:r>
      <w:r>
        <w:rPr>
          <w:rFonts w:hint="eastAsia" w:ascii="宋体" w:hAnsi="宋体" w:cs="宋体"/>
          <w:color w:val="auto"/>
          <w:sz w:val="24"/>
          <w:highlight w:val="none"/>
          <w:u w:val="single"/>
          <w:lang w:eastAsia="zh-CN"/>
        </w:rPr>
        <w:t>广州市黄埔区伴河路190号自编A栋411号</w:t>
      </w:r>
    </w:p>
    <w:p w14:paraId="7A014C93">
      <w:pPr>
        <w:keepNext w:val="0"/>
        <w:keepLines w:val="0"/>
        <w:pageBreakBefore w:val="0"/>
        <w:widowControl w:val="0"/>
        <w:kinsoku/>
        <w:wordWrap/>
        <w:overflowPunct/>
        <w:topLinePunct/>
        <w:autoSpaceDE/>
        <w:autoSpaceDN/>
        <w:bidi w:val="0"/>
        <w:adjustRightInd/>
        <w:snapToGrid w:val="0"/>
        <w:spacing w:line="460" w:lineRule="exact"/>
        <w:ind w:left="0" w:leftChars="0" w:right="0"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u w:val="single"/>
          <w:lang w:val="en-US" w:eastAsia="zh-CN"/>
        </w:rPr>
        <w:t>华工</w:t>
      </w:r>
      <w:r>
        <w:rPr>
          <w:rFonts w:hint="eastAsia" w:ascii="宋体" w:hAnsi="宋体" w:cs="宋体"/>
          <w:color w:val="auto"/>
          <w:sz w:val="24"/>
          <w:highlight w:val="none"/>
        </w:rPr>
        <w:t xml:space="preserve">     电    话：</w:t>
      </w:r>
      <w:r>
        <w:rPr>
          <w:rFonts w:hint="eastAsia" w:ascii="宋体" w:hAnsi="宋体" w:cs="宋体"/>
          <w:color w:val="auto"/>
          <w:sz w:val="24"/>
          <w:highlight w:val="none"/>
          <w:u w:val="single"/>
          <w:lang w:eastAsia="zh-CN"/>
        </w:rPr>
        <w:t>020-820</w:t>
      </w:r>
      <w:r>
        <w:rPr>
          <w:rFonts w:hint="eastAsia" w:ascii="宋体" w:hAnsi="宋体" w:cs="宋体"/>
          <w:color w:val="auto"/>
          <w:sz w:val="24"/>
          <w:highlight w:val="none"/>
          <w:u w:val="single"/>
          <w:lang w:val="en-US" w:eastAsia="zh-CN"/>
        </w:rPr>
        <w:t>12986</w:t>
      </w:r>
    </w:p>
    <w:p w14:paraId="45F484E2">
      <w:pPr>
        <w:keepNext w:val="0"/>
        <w:keepLines w:val="0"/>
        <w:pageBreakBefore w:val="0"/>
        <w:widowControl w:val="0"/>
        <w:kinsoku/>
        <w:wordWrap/>
        <w:overflowPunct/>
        <w:topLinePunct/>
        <w:autoSpaceDE/>
        <w:autoSpaceDN/>
        <w:bidi w:val="0"/>
        <w:adjustRightInd/>
        <w:snapToGrid w:val="0"/>
        <w:spacing w:line="460" w:lineRule="exact"/>
        <w:ind w:left="0" w:leftChars="0" w:right="0" w:firstLine="480" w:firstLineChars="200"/>
        <w:jc w:val="both"/>
        <w:textAlignment w:val="auto"/>
        <w:rPr>
          <w:rFonts w:ascii="宋体" w:hAnsi="宋体" w:cs="宋体"/>
          <w:color w:val="auto"/>
          <w:sz w:val="24"/>
          <w:highlight w:val="none"/>
        </w:rPr>
      </w:pPr>
    </w:p>
    <w:p w14:paraId="088B9557">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both"/>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招标代理机构：</w:t>
      </w:r>
      <w:r>
        <w:rPr>
          <w:rFonts w:hint="eastAsia" w:ascii="宋体" w:hAnsi="宋体" w:cs="宋体"/>
          <w:color w:val="auto"/>
          <w:sz w:val="24"/>
          <w:highlight w:val="none"/>
          <w:u w:val="single"/>
          <w:lang w:eastAsia="zh-CN"/>
        </w:rPr>
        <w:t>广东省国际工程咨询有限公司</w:t>
      </w:r>
    </w:p>
    <w:p w14:paraId="5152BA55">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both"/>
        <w:textAlignment w:val="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single"/>
          <w:lang w:eastAsia="zh-CN"/>
        </w:rPr>
        <w:t>广州市越秀区环市中路316号16楼</w:t>
      </w:r>
    </w:p>
    <w:p w14:paraId="5F5C86A1">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both"/>
        <w:textAlignment w:val="auto"/>
        <w:rPr>
          <w:rFonts w:hint="default" w:ascii="宋体" w:hAnsi="宋体" w:cs="宋体"/>
          <w:color w:val="auto"/>
          <w:sz w:val="24"/>
          <w:highlight w:val="none"/>
          <w:u w:val="single"/>
          <w:lang w:val="en-US"/>
        </w:rPr>
      </w:pPr>
      <w:r>
        <w:rPr>
          <w:rFonts w:hint="eastAsia" w:ascii="宋体" w:hAnsi="宋体" w:cs="宋体"/>
          <w:color w:val="auto"/>
          <w:sz w:val="24"/>
          <w:highlight w:val="none"/>
        </w:rPr>
        <w:t>联 系 人：</w:t>
      </w:r>
      <w:r>
        <w:rPr>
          <w:rFonts w:hint="eastAsia" w:ascii="宋体" w:hAnsi="宋体" w:cs="宋体"/>
          <w:color w:val="auto"/>
          <w:sz w:val="24"/>
          <w:szCs w:val="24"/>
          <w:highlight w:val="none"/>
          <w:u w:val="single"/>
          <w:lang w:val="en-US" w:eastAsia="zh-CN"/>
        </w:rPr>
        <w:t>杨工</w:t>
      </w:r>
      <w:r>
        <w:rPr>
          <w:rFonts w:hint="eastAsia" w:ascii="宋体" w:hAnsi="宋体" w:cs="宋体"/>
          <w:color w:val="auto"/>
          <w:sz w:val="24"/>
          <w:highlight w:val="none"/>
        </w:rPr>
        <w:t xml:space="preserve">     电    话：</w:t>
      </w:r>
      <w:r>
        <w:rPr>
          <w:rFonts w:hint="eastAsia" w:ascii="宋体" w:hAnsi="宋体" w:cs="宋体"/>
          <w:color w:val="auto"/>
          <w:sz w:val="24"/>
          <w:szCs w:val="24"/>
          <w:highlight w:val="none"/>
          <w:u w:val="single"/>
          <w:lang w:val="en-US" w:eastAsia="zh-CN"/>
        </w:rPr>
        <w:t>020-83549690</w:t>
      </w:r>
    </w:p>
    <w:p w14:paraId="317A4B9C">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both"/>
        <w:textAlignment w:val="auto"/>
        <w:rPr>
          <w:rFonts w:hint="eastAsia" w:ascii="宋体" w:hAnsi="宋体" w:cs="宋体"/>
          <w:color w:val="auto"/>
          <w:sz w:val="24"/>
          <w:highlight w:val="none"/>
        </w:rPr>
      </w:pPr>
    </w:p>
    <w:p w14:paraId="4017DBDD">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both"/>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异议受理部门：</w:t>
      </w:r>
      <w:r>
        <w:rPr>
          <w:rFonts w:hint="eastAsia" w:ascii="宋体" w:hAnsi="宋体" w:cs="宋体"/>
          <w:color w:val="auto"/>
          <w:sz w:val="24"/>
          <w:highlight w:val="none"/>
          <w:u w:val="single"/>
          <w:lang w:eastAsia="zh-CN"/>
        </w:rPr>
        <w:t>广州科瀚投资有限公司</w:t>
      </w:r>
    </w:p>
    <w:p w14:paraId="5356323F">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both"/>
        <w:textAlignment w:val="auto"/>
        <w:rPr>
          <w:rFonts w:hint="eastAsia" w:ascii="宋体" w:hAnsi="宋体" w:eastAsia="宋体" w:cs="宋体"/>
          <w:color w:val="auto"/>
          <w:sz w:val="24"/>
          <w:highlight w:val="none"/>
          <w:u w:val="single"/>
          <w:lang w:eastAsia="zh-CN"/>
        </w:rPr>
      </w:pPr>
      <w:r>
        <w:rPr>
          <w:rFonts w:hint="eastAsia" w:ascii="宋体" w:hAnsi="宋体" w:cs="宋体"/>
          <w:color w:val="auto"/>
          <w:sz w:val="24"/>
          <w:highlight w:val="none"/>
        </w:rPr>
        <w:t>地    址：</w:t>
      </w:r>
      <w:r>
        <w:rPr>
          <w:rFonts w:hint="eastAsia" w:ascii="宋体" w:hAnsi="宋体" w:cs="宋体"/>
          <w:color w:val="auto"/>
          <w:sz w:val="24"/>
          <w:highlight w:val="none"/>
          <w:u w:val="single"/>
          <w:lang w:eastAsia="zh-CN"/>
        </w:rPr>
        <w:t>广州市黄埔区伴河路190号自编A栋411号</w:t>
      </w:r>
    </w:p>
    <w:p w14:paraId="3552E72D">
      <w:pPr>
        <w:keepNext w:val="0"/>
        <w:keepLines w:val="0"/>
        <w:pageBreakBefore w:val="0"/>
        <w:widowControl w:val="0"/>
        <w:kinsoku/>
        <w:wordWrap/>
        <w:overflowPunct/>
        <w:topLinePunct/>
        <w:autoSpaceDE/>
        <w:autoSpaceDN/>
        <w:bidi w:val="0"/>
        <w:adjustRightInd/>
        <w:snapToGrid w:val="0"/>
        <w:spacing w:line="460" w:lineRule="exact"/>
        <w:ind w:left="0" w:leftChars="0" w:right="0"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 系 人：</w:t>
      </w:r>
      <w:r>
        <w:rPr>
          <w:rFonts w:hint="eastAsia" w:ascii="宋体" w:hAnsi="宋体" w:cs="宋体"/>
          <w:color w:val="auto"/>
          <w:sz w:val="24"/>
          <w:highlight w:val="none"/>
          <w:u w:val="single"/>
          <w:lang w:val="en-US" w:eastAsia="zh-CN"/>
        </w:rPr>
        <w:t>华工</w:t>
      </w:r>
      <w:r>
        <w:rPr>
          <w:rFonts w:hint="eastAsia" w:ascii="宋体" w:hAnsi="宋体" w:cs="宋体"/>
          <w:color w:val="auto"/>
          <w:sz w:val="24"/>
          <w:highlight w:val="none"/>
        </w:rPr>
        <w:t xml:space="preserve">     电    话：</w:t>
      </w:r>
      <w:r>
        <w:rPr>
          <w:rFonts w:hint="eastAsia" w:ascii="宋体" w:hAnsi="宋体" w:cs="宋体"/>
          <w:color w:val="auto"/>
          <w:sz w:val="24"/>
          <w:highlight w:val="none"/>
          <w:u w:val="single"/>
          <w:lang w:eastAsia="zh-CN"/>
        </w:rPr>
        <w:t>020-8</w:t>
      </w:r>
      <w:r>
        <w:rPr>
          <w:rFonts w:hint="eastAsia" w:ascii="宋体" w:hAnsi="宋体" w:cs="宋体"/>
          <w:color w:val="auto"/>
          <w:sz w:val="24"/>
          <w:highlight w:val="none"/>
          <w:u w:val="single"/>
          <w:lang w:val="en-US" w:eastAsia="zh-CN"/>
        </w:rPr>
        <w:t>2012986</w:t>
      </w:r>
    </w:p>
    <w:p w14:paraId="24F7B898">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both"/>
        <w:textAlignment w:val="auto"/>
        <w:rPr>
          <w:rFonts w:ascii="宋体" w:hAnsi="宋体" w:cs="宋体"/>
          <w:color w:val="auto"/>
          <w:sz w:val="24"/>
          <w:highlight w:val="none"/>
          <w:u w:val="none"/>
        </w:rPr>
      </w:pPr>
      <w:r>
        <w:rPr>
          <w:rFonts w:hint="eastAsia" w:ascii="宋体" w:hAnsi="宋体" w:cs="宋体"/>
          <w:color w:val="auto"/>
          <w:sz w:val="24"/>
          <w:highlight w:val="none"/>
          <w:u w:val="none"/>
        </w:rPr>
        <w:t>注：潜在投标人或利害关系人可以通过线下或线上的形式提出异议。线上提出异议的，应通过广州交易集团有限公司（广州公共资源交易中心）交易平台提交，招标人也应通过广州交易集团有限公司（广州公共资源交易中心）交易平台答复线上提出的异议。具体按照广州交易集团有限公司（广州公共资源交易中心）交易平台相关指南进行操作。作出答复前，应当暂停招标投标活动。</w:t>
      </w:r>
    </w:p>
    <w:p w14:paraId="17E2849E">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both"/>
        <w:textAlignment w:val="auto"/>
        <w:rPr>
          <w:rFonts w:ascii="宋体" w:hAnsi="宋体" w:cs="宋体"/>
          <w:color w:val="auto"/>
          <w:sz w:val="24"/>
          <w:highlight w:val="none"/>
        </w:rPr>
      </w:pPr>
    </w:p>
    <w:p w14:paraId="05BF9636">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both"/>
        <w:textAlignment w:val="auto"/>
        <w:rPr>
          <w:rFonts w:ascii="宋体" w:hAnsi="宋体" w:cs="宋体"/>
          <w:color w:val="auto"/>
          <w:sz w:val="24"/>
          <w:highlight w:val="none"/>
        </w:rPr>
      </w:pPr>
      <w:r>
        <w:rPr>
          <w:rFonts w:hint="eastAsia" w:ascii="宋体" w:hAnsi="宋体" w:cs="宋体"/>
          <w:color w:val="auto"/>
          <w:sz w:val="24"/>
          <w:highlight w:val="none"/>
        </w:rPr>
        <w:t>招标监督机构：</w:t>
      </w:r>
      <w:r>
        <w:rPr>
          <w:rFonts w:hint="eastAsia" w:ascii="宋体" w:hAnsi="宋体" w:cs="宋体"/>
          <w:color w:val="auto"/>
          <w:sz w:val="24"/>
          <w:highlight w:val="none"/>
          <w:u w:val="single"/>
        </w:rPr>
        <w:t>广州开发区建设工程招投标管理办公室（广州市黄埔区建设工程招投标管理办公室）</w:t>
      </w:r>
    </w:p>
    <w:p w14:paraId="3C4C218E">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both"/>
        <w:textAlignment w:val="auto"/>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广州黄埔区科学城水西路30号汇丽写字楼4楼</w:t>
      </w:r>
    </w:p>
    <w:p w14:paraId="753EF6C8">
      <w:pPr>
        <w:keepNext w:val="0"/>
        <w:keepLines w:val="0"/>
        <w:pageBreakBefore w:val="0"/>
        <w:widowControl w:val="0"/>
        <w:kinsoku/>
        <w:wordWrap/>
        <w:overflowPunct/>
        <w:autoSpaceDE/>
        <w:autoSpaceDN/>
        <w:bidi w:val="0"/>
        <w:adjustRightInd/>
        <w:snapToGrid w:val="0"/>
        <w:spacing w:line="460" w:lineRule="exact"/>
        <w:ind w:left="0" w:leftChars="0" w:right="0" w:firstLine="480" w:firstLineChars="200"/>
        <w:jc w:val="both"/>
        <w:textAlignment w:val="auto"/>
        <w:rPr>
          <w:rFonts w:ascii="宋体" w:hAnsi="宋体" w:cs="宋体"/>
          <w:color w:val="auto"/>
          <w:sz w:val="24"/>
          <w:highlight w:val="none"/>
        </w:rPr>
      </w:pPr>
      <w:r>
        <w:rPr>
          <w:rFonts w:hint="eastAsia" w:ascii="宋体" w:hAnsi="宋体" w:cs="宋体"/>
          <w:color w:val="auto"/>
          <w:sz w:val="24"/>
          <w:highlight w:val="none"/>
        </w:rPr>
        <w:t>监管电话：</w:t>
      </w:r>
      <w:r>
        <w:rPr>
          <w:rFonts w:hint="eastAsia" w:ascii="宋体" w:hAnsi="宋体" w:cs="宋体"/>
          <w:bCs/>
          <w:color w:val="auto"/>
          <w:sz w:val="24"/>
          <w:highlight w:val="none"/>
          <w:u w:val="single"/>
        </w:rPr>
        <w:t>020-82112206、020-82116676</w:t>
      </w:r>
    </w:p>
    <w:p w14:paraId="4954378C">
      <w:pPr>
        <w:keepNext w:val="0"/>
        <w:keepLines w:val="0"/>
        <w:pageBreakBefore w:val="0"/>
        <w:kinsoku/>
        <w:wordWrap/>
        <w:overflowPunct/>
        <w:topLinePunct/>
        <w:autoSpaceDE/>
        <w:autoSpaceDN/>
        <w:bidi w:val="0"/>
        <w:snapToGrid w:val="0"/>
        <w:spacing w:line="460" w:lineRule="exact"/>
        <w:ind w:left="235" w:leftChars="112" w:right="-58" w:firstLine="2880" w:firstLineChars="1200"/>
        <w:jc w:val="left"/>
        <w:textAlignment w:val="auto"/>
        <w:rPr>
          <w:rFonts w:hint="eastAsia" w:ascii="宋体" w:hAnsi="宋体" w:cs="宋体"/>
          <w:color w:val="auto"/>
          <w:sz w:val="24"/>
          <w:highlight w:val="none"/>
        </w:rPr>
      </w:pPr>
    </w:p>
    <w:p w14:paraId="3A96902C">
      <w:pPr>
        <w:keepNext w:val="0"/>
        <w:keepLines w:val="0"/>
        <w:pageBreakBefore w:val="0"/>
        <w:kinsoku/>
        <w:wordWrap/>
        <w:overflowPunct/>
        <w:topLinePunct/>
        <w:autoSpaceDE/>
        <w:autoSpaceDN/>
        <w:bidi w:val="0"/>
        <w:snapToGrid w:val="0"/>
        <w:spacing w:line="460" w:lineRule="exact"/>
        <w:ind w:left="235" w:leftChars="112" w:right="240" w:firstLine="4360" w:firstLineChars="1817"/>
        <w:jc w:val="left"/>
        <w:textAlignment w:val="auto"/>
        <w:rPr>
          <w:rFonts w:ascii="宋体" w:hAnsi="宋体" w:cs="宋体"/>
          <w:color w:val="auto"/>
          <w:highlight w:val="none"/>
        </w:rPr>
      </w:pPr>
      <w:r>
        <w:rPr>
          <w:rFonts w:hint="eastAsia" w:ascii="宋体" w:hAnsi="宋体" w:cs="宋体"/>
          <w:color w:val="auto"/>
          <w:sz w:val="24"/>
          <w:highlight w:val="none"/>
        </w:rPr>
        <w:t>日期：20</w:t>
      </w:r>
      <w:r>
        <w:rPr>
          <w:rFonts w:hint="eastAsia" w:ascii="宋体" w:hAnsi="宋体" w:cs="宋体"/>
          <w:color w:val="auto"/>
          <w:sz w:val="24"/>
          <w:highlight w:val="none"/>
          <w:lang w:val="en-US" w:eastAsia="zh-CN"/>
        </w:rPr>
        <w:t>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7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16  </w:t>
      </w:r>
      <w:r>
        <w:rPr>
          <w:rFonts w:hint="eastAsia" w:ascii="宋体" w:hAnsi="宋体" w:cs="宋体"/>
          <w:color w:val="auto"/>
          <w:sz w:val="24"/>
          <w:highlight w:val="none"/>
        </w:rPr>
        <w:t>日</w:t>
      </w:r>
      <w:bookmarkEnd w:id="0"/>
      <w:bookmarkEnd w:id="1"/>
    </w:p>
    <w:sectPr>
      <w:footerReference r:id="rId3" w:type="default"/>
      <w:pgSz w:w="11906" w:h="16838"/>
      <w:pgMar w:top="1383" w:right="1497" w:bottom="1383" w:left="1497" w:header="851" w:footer="907"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使用中文字体)">
    <w:altName w:val="宋体"/>
    <w:panose1 w:val="00000000000000000000"/>
    <w:charset w:val="86"/>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4BFA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C77BAB">
                          <w:pPr>
                            <w:pStyle w:val="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0C77BAB">
                    <w:pPr>
                      <w:pStyle w:val="8"/>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4"/>
      <w:numFmt w:val="decimal"/>
      <w:suff w:val="space"/>
      <w:lvlText w:val="%1."/>
      <w:lvlJc w:val="left"/>
      <w:pPr>
        <w:ind w:left="0" w:firstLine="0"/>
      </w:pPr>
    </w:lvl>
  </w:abstractNum>
  <w:num w:numId="1">
    <w:abstractNumId w:val="0"/>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iMWZkNWMzODMyNDk1NmUzOWViMzVhM2E5MTk5ZTgifQ=="/>
    <w:docVar w:name="KSO_WPS_MARK_KEY" w:val="2397cbfe-dd61-468c-b567-baf4ff8f4127"/>
  </w:docVars>
  <w:rsids>
    <w:rsidRoot w:val="00691CA0"/>
    <w:rsid w:val="00012F37"/>
    <w:rsid w:val="000175E1"/>
    <w:rsid w:val="00022FA0"/>
    <w:rsid w:val="00032181"/>
    <w:rsid w:val="000420FB"/>
    <w:rsid w:val="0005354D"/>
    <w:rsid w:val="00054051"/>
    <w:rsid w:val="000575B2"/>
    <w:rsid w:val="000648CF"/>
    <w:rsid w:val="00071272"/>
    <w:rsid w:val="00090218"/>
    <w:rsid w:val="000978FC"/>
    <w:rsid w:val="000A061C"/>
    <w:rsid w:val="000D0768"/>
    <w:rsid w:val="00103C57"/>
    <w:rsid w:val="001073AE"/>
    <w:rsid w:val="00114ACB"/>
    <w:rsid w:val="001165D3"/>
    <w:rsid w:val="001468B7"/>
    <w:rsid w:val="001519C2"/>
    <w:rsid w:val="001777B1"/>
    <w:rsid w:val="00177DD2"/>
    <w:rsid w:val="00184C3D"/>
    <w:rsid w:val="00185B79"/>
    <w:rsid w:val="001A561A"/>
    <w:rsid w:val="001B0A3C"/>
    <w:rsid w:val="001C5F07"/>
    <w:rsid w:val="001C7C33"/>
    <w:rsid w:val="001D364B"/>
    <w:rsid w:val="00227B0A"/>
    <w:rsid w:val="00234330"/>
    <w:rsid w:val="00240291"/>
    <w:rsid w:val="0026363F"/>
    <w:rsid w:val="0027410E"/>
    <w:rsid w:val="00274C43"/>
    <w:rsid w:val="00282DA5"/>
    <w:rsid w:val="002B0E14"/>
    <w:rsid w:val="002C4D90"/>
    <w:rsid w:val="00301319"/>
    <w:rsid w:val="00317BF3"/>
    <w:rsid w:val="00326681"/>
    <w:rsid w:val="00327101"/>
    <w:rsid w:val="0032741C"/>
    <w:rsid w:val="00327DCD"/>
    <w:rsid w:val="0033580A"/>
    <w:rsid w:val="0034139C"/>
    <w:rsid w:val="00346AA5"/>
    <w:rsid w:val="00353C52"/>
    <w:rsid w:val="00370688"/>
    <w:rsid w:val="00375FC4"/>
    <w:rsid w:val="003A2E49"/>
    <w:rsid w:val="003C3249"/>
    <w:rsid w:val="003E1C01"/>
    <w:rsid w:val="004002EA"/>
    <w:rsid w:val="004044E7"/>
    <w:rsid w:val="004315E6"/>
    <w:rsid w:val="00441864"/>
    <w:rsid w:val="0046127E"/>
    <w:rsid w:val="0046427D"/>
    <w:rsid w:val="00467B5A"/>
    <w:rsid w:val="004941D2"/>
    <w:rsid w:val="00496368"/>
    <w:rsid w:val="004B6862"/>
    <w:rsid w:val="004D2762"/>
    <w:rsid w:val="004E33C0"/>
    <w:rsid w:val="004E7822"/>
    <w:rsid w:val="004F716A"/>
    <w:rsid w:val="004F762F"/>
    <w:rsid w:val="00507930"/>
    <w:rsid w:val="005116DB"/>
    <w:rsid w:val="00521164"/>
    <w:rsid w:val="005246EA"/>
    <w:rsid w:val="00525DDB"/>
    <w:rsid w:val="00551AC9"/>
    <w:rsid w:val="005570BE"/>
    <w:rsid w:val="0058099A"/>
    <w:rsid w:val="00596094"/>
    <w:rsid w:val="005B1E16"/>
    <w:rsid w:val="005E32A0"/>
    <w:rsid w:val="005E7653"/>
    <w:rsid w:val="005F1B56"/>
    <w:rsid w:val="00600415"/>
    <w:rsid w:val="006005FA"/>
    <w:rsid w:val="006048BD"/>
    <w:rsid w:val="00612D3C"/>
    <w:rsid w:val="00644864"/>
    <w:rsid w:val="006462FE"/>
    <w:rsid w:val="006524E2"/>
    <w:rsid w:val="0065336A"/>
    <w:rsid w:val="00691CA0"/>
    <w:rsid w:val="006B361F"/>
    <w:rsid w:val="006D2737"/>
    <w:rsid w:val="006D4269"/>
    <w:rsid w:val="00702C57"/>
    <w:rsid w:val="0071323E"/>
    <w:rsid w:val="00724AD6"/>
    <w:rsid w:val="00735003"/>
    <w:rsid w:val="00762C4F"/>
    <w:rsid w:val="00780B0E"/>
    <w:rsid w:val="007879D0"/>
    <w:rsid w:val="007A74B9"/>
    <w:rsid w:val="007C2AF8"/>
    <w:rsid w:val="00805668"/>
    <w:rsid w:val="00827AA7"/>
    <w:rsid w:val="00831523"/>
    <w:rsid w:val="008324B2"/>
    <w:rsid w:val="00836A2D"/>
    <w:rsid w:val="00845DA1"/>
    <w:rsid w:val="00845E3D"/>
    <w:rsid w:val="00867CB4"/>
    <w:rsid w:val="008972C9"/>
    <w:rsid w:val="008A2984"/>
    <w:rsid w:val="008A5129"/>
    <w:rsid w:val="008C07B5"/>
    <w:rsid w:val="008C32D2"/>
    <w:rsid w:val="009020EE"/>
    <w:rsid w:val="00902564"/>
    <w:rsid w:val="00946854"/>
    <w:rsid w:val="00962C5A"/>
    <w:rsid w:val="00964103"/>
    <w:rsid w:val="009B3E87"/>
    <w:rsid w:val="009B59D9"/>
    <w:rsid w:val="009C2ACA"/>
    <w:rsid w:val="009D26FF"/>
    <w:rsid w:val="009D65AF"/>
    <w:rsid w:val="009E3E23"/>
    <w:rsid w:val="009F61F8"/>
    <w:rsid w:val="00A20660"/>
    <w:rsid w:val="00A27F35"/>
    <w:rsid w:val="00A35E97"/>
    <w:rsid w:val="00A72A48"/>
    <w:rsid w:val="00A86E5C"/>
    <w:rsid w:val="00A93667"/>
    <w:rsid w:val="00A9686C"/>
    <w:rsid w:val="00AA6A94"/>
    <w:rsid w:val="00AB5583"/>
    <w:rsid w:val="00AB63B1"/>
    <w:rsid w:val="00AC48E0"/>
    <w:rsid w:val="00AC623F"/>
    <w:rsid w:val="00AF649A"/>
    <w:rsid w:val="00B17909"/>
    <w:rsid w:val="00B31EA2"/>
    <w:rsid w:val="00B334A2"/>
    <w:rsid w:val="00B42F9D"/>
    <w:rsid w:val="00B60108"/>
    <w:rsid w:val="00B632C9"/>
    <w:rsid w:val="00B7333E"/>
    <w:rsid w:val="00B966F8"/>
    <w:rsid w:val="00BA418E"/>
    <w:rsid w:val="00BB1C85"/>
    <w:rsid w:val="00BB3025"/>
    <w:rsid w:val="00BC2C85"/>
    <w:rsid w:val="00BC419D"/>
    <w:rsid w:val="00BC5C82"/>
    <w:rsid w:val="00BE1586"/>
    <w:rsid w:val="00C127DC"/>
    <w:rsid w:val="00C13242"/>
    <w:rsid w:val="00C33798"/>
    <w:rsid w:val="00C445C0"/>
    <w:rsid w:val="00C4488B"/>
    <w:rsid w:val="00C5756C"/>
    <w:rsid w:val="00C67F74"/>
    <w:rsid w:val="00C725A5"/>
    <w:rsid w:val="00C96599"/>
    <w:rsid w:val="00CA2FB8"/>
    <w:rsid w:val="00CB51E9"/>
    <w:rsid w:val="00CB523B"/>
    <w:rsid w:val="00CC18A6"/>
    <w:rsid w:val="00CD65D6"/>
    <w:rsid w:val="00CF7C70"/>
    <w:rsid w:val="00D024D7"/>
    <w:rsid w:val="00D10AE8"/>
    <w:rsid w:val="00D22E64"/>
    <w:rsid w:val="00D3054E"/>
    <w:rsid w:val="00D65F8B"/>
    <w:rsid w:val="00DA22F1"/>
    <w:rsid w:val="00DD6E6C"/>
    <w:rsid w:val="00DE545B"/>
    <w:rsid w:val="00E03277"/>
    <w:rsid w:val="00E06C7A"/>
    <w:rsid w:val="00E11F99"/>
    <w:rsid w:val="00E220D1"/>
    <w:rsid w:val="00E25FC0"/>
    <w:rsid w:val="00E35CAE"/>
    <w:rsid w:val="00E71A83"/>
    <w:rsid w:val="00E838FD"/>
    <w:rsid w:val="00EA17F9"/>
    <w:rsid w:val="00EE5E4B"/>
    <w:rsid w:val="00EE7913"/>
    <w:rsid w:val="00EF00E3"/>
    <w:rsid w:val="00EF4DAD"/>
    <w:rsid w:val="00F23EBF"/>
    <w:rsid w:val="00F3013F"/>
    <w:rsid w:val="00FA5E6B"/>
    <w:rsid w:val="00FE456D"/>
    <w:rsid w:val="023818EC"/>
    <w:rsid w:val="03BE21AC"/>
    <w:rsid w:val="05C8277E"/>
    <w:rsid w:val="07D71CEE"/>
    <w:rsid w:val="0AE602B9"/>
    <w:rsid w:val="0B851339"/>
    <w:rsid w:val="0C613FA1"/>
    <w:rsid w:val="109278B8"/>
    <w:rsid w:val="10F61D43"/>
    <w:rsid w:val="110D7FF4"/>
    <w:rsid w:val="1149506D"/>
    <w:rsid w:val="12FE6718"/>
    <w:rsid w:val="13B519B9"/>
    <w:rsid w:val="140C3220"/>
    <w:rsid w:val="14DF1586"/>
    <w:rsid w:val="15C64800"/>
    <w:rsid w:val="15F008F9"/>
    <w:rsid w:val="17B303EA"/>
    <w:rsid w:val="182F3A2E"/>
    <w:rsid w:val="18633210"/>
    <w:rsid w:val="1A682661"/>
    <w:rsid w:val="1B094919"/>
    <w:rsid w:val="1B33735D"/>
    <w:rsid w:val="1B8F3DB2"/>
    <w:rsid w:val="1C167B87"/>
    <w:rsid w:val="1CD062D3"/>
    <w:rsid w:val="1D534756"/>
    <w:rsid w:val="1EF4300C"/>
    <w:rsid w:val="202D2761"/>
    <w:rsid w:val="219B7A7A"/>
    <w:rsid w:val="21FF1FF3"/>
    <w:rsid w:val="222E4C41"/>
    <w:rsid w:val="236D075E"/>
    <w:rsid w:val="23975967"/>
    <w:rsid w:val="24AF20DF"/>
    <w:rsid w:val="25D92F76"/>
    <w:rsid w:val="263422ED"/>
    <w:rsid w:val="26953C8B"/>
    <w:rsid w:val="26EF474C"/>
    <w:rsid w:val="295620FE"/>
    <w:rsid w:val="2A4D3FF8"/>
    <w:rsid w:val="2CC35E7E"/>
    <w:rsid w:val="30464E53"/>
    <w:rsid w:val="30696528"/>
    <w:rsid w:val="30D9023D"/>
    <w:rsid w:val="30F823DC"/>
    <w:rsid w:val="31413001"/>
    <w:rsid w:val="32223D4C"/>
    <w:rsid w:val="35290F4F"/>
    <w:rsid w:val="37040D59"/>
    <w:rsid w:val="39B75ECA"/>
    <w:rsid w:val="39BB3AC3"/>
    <w:rsid w:val="3A1D1DFC"/>
    <w:rsid w:val="3A686B06"/>
    <w:rsid w:val="3D085E9F"/>
    <w:rsid w:val="3EBC4E7A"/>
    <w:rsid w:val="3F253F62"/>
    <w:rsid w:val="3F5F2BC1"/>
    <w:rsid w:val="3FDF0AFA"/>
    <w:rsid w:val="403411E4"/>
    <w:rsid w:val="4294599E"/>
    <w:rsid w:val="44D438D0"/>
    <w:rsid w:val="44FC5410"/>
    <w:rsid w:val="45A100BA"/>
    <w:rsid w:val="45C35682"/>
    <w:rsid w:val="45E14E60"/>
    <w:rsid w:val="45FE67BA"/>
    <w:rsid w:val="47FA556E"/>
    <w:rsid w:val="488604DE"/>
    <w:rsid w:val="4B635241"/>
    <w:rsid w:val="4C596E50"/>
    <w:rsid w:val="4C64197D"/>
    <w:rsid w:val="4C825622"/>
    <w:rsid w:val="4DAC5CCB"/>
    <w:rsid w:val="4FB85258"/>
    <w:rsid w:val="5019122C"/>
    <w:rsid w:val="51236E43"/>
    <w:rsid w:val="51373C80"/>
    <w:rsid w:val="51D3784E"/>
    <w:rsid w:val="51D6733E"/>
    <w:rsid w:val="521928D0"/>
    <w:rsid w:val="55077500"/>
    <w:rsid w:val="55490C21"/>
    <w:rsid w:val="55D67CE1"/>
    <w:rsid w:val="56D73C72"/>
    <w:rsid w:val="57270A62"/>
    <w:rsid w:val="58CE700E"/>
    <w:rsid w:val="5A4F1B6F"/>
    <w:rsid w:val="5ADD476F"/>
    <w:rsid w:val="5AF4160D"/>
    <w:rsid w:val="5C076D8F"/>
    <w:rsid w:val="5C326B3C"/>
    <w:rsid w:val="5E2B4A94"/>
    <w:rsid w:val="5E333019"/>
    <w:rsid w:val="61C91EDC"/>
    <w:rsid w:val="624D6F86"/>
    <w:rsid w:val="62C813B3"/>
    <w:rsid w:val="6586430E"/>
    <w:rsid w:val="676861B2"/>
    <w:rsid w:val="6B373706"/>
    <w:rsid w:val="6CAA022C"/>
    <w:rsid w:val="6CDD2A45"/>
    <w:rsid w:val="6CDE6410"/>
    <w:rsid w:val="6D763011"/>
    <w:rsid w:val="6E153F18"/>
    <w:rsid w:val="6F254CE6"/>
    <w:rsid w:val="6FEB75F5"/>
    <w:rsid w:val="70595DDB"/>
    <w:rsid w:val="709C17D3"/>
    <w:rsid w:val="71426C40"/>
    <w:rsid w:val="72EC256D"/>
    <w:rsid w:val="75BF13BA"/>
    <w:rsid w:val="762E2BE6"/>
    <w:rsid w:val="772C1785"/>
    <w:rsid w:val="782B4FB4"/>
    <w:rsid w:val="786D0B9D"/>
    <w:rsid w:val="79AA730F"/>
    <w:rsid w:val="7ADB139D"/>
    <w:rsid w:val="7C231D1F"/>
    <w:rsid w:val="7CBF4A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link w:val="15"/>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6"/>
    <w:unhideWhenUsed/>
    <w:qFormat/>
    <w:uiPriority w:val="0"/>
    <w:rPr>
      <w:rFonts w:ascii="宋体" w:hAnsi="Courier New"/>
      <w:sz w:val="24"/>
    </w:rPr>
  </w:style>
  <w:style w:type="paragraph" w:styleId="4">
    <w:name w:val="Normal Indent"/>
    <w:basedOn w:val="1"/>
    <w:qFormat/>
    <w:uiPriority w:val="0"/>
    <w:pPr>
      <w:ind w:firstLine="420" w:firstLineChars="200"/>
    </w:pPr>
  </w:style>
  <w:style w:type="paragraph" w:styleId="5">
    <w:name w:val="annotation text"/>
    <w:basedOn w:val="1"/>
    <w:semiHidden/>
    <w:unhideWhenUsed/>
    <w:qFormat/>
    <w:uiPriority w:val="99"/>
    <w:pPr>
      <w:jc w:val="left"/>
    </w:pPr>
  </w:style>
  <w:style w:type="paragraph" w:styleId="6">
    <w:name w:val="Body Text"/>
    <w:basedOn w:val="1"/>
    <w:next w:val="1"/>
    <w:qFormat/>
    <w:uiPriority w:val="0"/>
    <w:pPr>
      <w:spacing w:after="120" w:afterLines="0"/>
    </w:pPr>
  </w:style>
  <w:style w:type="paragraph" w:styleId="7">
    <w:name w:val="Balloon Text"/>
    <w:basedOn w:val="1"/>
    <w:link w:val="19"/>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39"/>
    <w:pPr>
      <w:ind w:left="210"/>
      <w:jc w:val="left"/>
    </w:pPr>
    <w:rPr>
      <w:smallCaps/>
      <w:sz w:val="20"/>
      <w:szCs w:val="20"/>
    </w:rPr>
  </w:style>
  <w:style w:type="paragraph" w:styleId="11">
    <w:name w:val="Body Text First Indent"/>
    <w:basedOn w:val="6"/>
    <w:qFormat/>
    <w:uiPriority w:val="0"/>
    <w:pPr>
      <w:ind w:firstLine="420" w:firstLineChars="100"/>
    </w:pPr>
  </w:style>
  <w:style w:type="character" w:styleId="14">
    <w:name w:val="Emphasis"/>
    <w:qFormat/>
    <w:uiPriority w:val="0"/>
    <w:rPr>
      <w:i/>
    </w:rPr>
  </w:style>
  <w:style w:type="character" w:customStyle="1" w:styleId="15">
    <w:name w:val="标题 2 Char"/>
    <w:basedOn w:val="13"/>
    <w:link w:val="3"/>
    <w:semiHidden/>
    <w:qFormat/>
    <w:uiPriority w:val="0"/>
    <w:rPr>
      <w:rFonts w:ascii="Arial" w:hAnsi="Arial" w:eastAsia="黑体" w:cs="Times New Roman"/>
      <w:b/>
      <w:sz w:val="32"/>
      <w:szCs w:val="24"/>
    </w:rPr>
  </w:style>
  <w:style w:type="character" w:customStyle="1" w:styleId="16">
    <w:name w:val="纯文本 Char"/>
    <w:basedOn w:val="13"/>
    <w:link w:val="2"/>
    <w:qFormat/>
    <w:uiPriority w:val="0"/>
    <w:rPr>
      <w:rFonts w:ascii="宋体" w:hAnsi="Courier New" w:eastAsia="宋体" w:cs="Times New Roman"/>
      <w:sz w:val="24"/>
      <w:szCs w:val="24"/>
    </w:rPr>
  </w:style>
  <w:style w:type="character" w:customStyle="1" w:styleId="17">
    <w:name w:val="列出段落 Char"/>
    <w:link w:val="18"/>
    <w:qFormat/>
    <w:locked/>
    <w:uiPriority w:val="0"/>
    <w:rPr>
      <w:rFonts w:ascii="Calibri" w:hAnsi="Calibri" w:cs="Calibri"/>
    </w:rPr>
  </w:style>
  <w:style w:type="paragraph" w:styleId="18">
    <w:name w:val="List Paragraph"/>
    <w:basedOn w:val="1"/>
    <w:link w:val="17"/>
    <w:qFormat/>
    <w:uiPriority w:val="0"/>
    <w:pPr>
      <w:widowControl/>
      <w:ind w:firstLine="420" w:firstLineChars="200"/>
      <w:jc w:val="left"/>
    </w:pPr>
    <w:rPr>
      <w:rFonts w:ascii="Calibri" w:hAnsi="Calibri" w:cs="Calibri" w:eastAsiaTheme="minorEastAsia"/>
      <w:szCs w:val="22"/>
    </w:rPr>
  </w:style>
  <w:style w:type="character" w:customStyle="1" w:styleId="19">
    <w:name w:val="批注框文本 Char"/>
    <w:basedOn w:val="13"/>
    <w:link w:val="7"/>
    <w:semiHidden/>
    <w:qFormat/>
    <w:uiPriority w:val="99"/>
    <w:rPr>
      <w:rFonts w:ascii="Times New Roman" w:hAnsi="Times New Roman" w:eastAsia="宋体" w:cs="Times New Roman"/>
      <w:sz w:val="18"/>
      <w:szCs w:val="18"/>
    </w:rPr>
  </w:style>
  <w:style w:type="character" w:customStyle="1" w:styleId="20">
    <w:name w:val="页眉 Char"/>
    <w:basedOn w:val="13"/>
    <w:link w:val="9"/>
    <w:qFormat/>
    <w:uiPriority w:val="99"/>
    <w:rPr>
      <w:rFonts w:ascii="Times New Roman" w:hAnsi="Times New Roman" w:eastAsia="宋体" w:cs="Times New Roman"/>
      <w:sz w:val="18"/>
      <w:szCs w:val="18"/>
    </w:rPr>
  </w:style>
  <w:style w:type="character" w:customStyle="1" w:styleId="21">
    <w:name w:val="页脚 Char"/>
    <w:basedOn w:val="13"/>
    <w:link w:val="8"/>
    <w:qFormat/>
    <w:uiPriority w:val="99"/>
    <w:rPr>
      <w:rFonts w:ascii="Times New Roman" w:hAnsi="Times New Roman" w:eastAsia="宋体" w:cs="Times New Roman"/>
      <w:sz w:val="18"/>
      <w:szCs w:val="18"/>
    </w:rPr>
  </w:style>
  <w:style w:type="paragraph" w:customStyle="1" w:styleId="2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3">
    <w:name w:val="UserStyle_12"/>
    <w:qFormat/>
    <w:uiPriority w:val="0"/>
    <w:rPr>
      <w:rFonts w:ascii="Calibri" w:hAnsi="Calibri" w:eastAsia="宋体" w:cs="Times New Roman"/>
      <w:kern w:val="2"/>
      <w:sz w:val="21"/>
      <w:szCs w:val="22"/>
      <w:lang w:val="en-US" w:eastAsia="zh-CN" w:bidi="ar-SA"/>
    </w:rPr>
  </w:style>
  <w:style w:type="paragraph" w:customStyle="1" w:styleId="24">
    <w:name w:val="UserStyle_83"/>
    <w:qFormat/>
    <w:uiPriority w:val="0"/>
    <w:pPr>
      <w:jc w:val="both"/>
      <w:textAlignment w:val="baseline"/>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4172</Words>
  <Characters>4778</Characters>
  <Lines>30</Lines>
  <Paragraphs>8</Paragraphs>
  <TotalTime>46</TotalTime>
  <ScaleCrop>false</ScaleCrop>
  <LinksUpToDate>false</LinksUpToDate>
  <CharactersWithSpaces>4959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2022-11-07T03:12:00Z</dcterms:created>
  <dc:creator>NTKO</dc:creator>
  <cp:lastModifiedBy>❤huajessica</cp:lastModifiedBy>
  <cp:lastPrinted>2024-11-27T01:49:00Z</cp:lastPrinted>
  <dcterms:modified xsi:type="dcterms:W3CDTF">2025-07-16T02:49:30Z</dcterms:modified>
  <cp:revision>198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82454440AD414B51834F12C2F6183DD3_13</vt:lpwstr>
  </property>
  <property fmtid="{D5CDD505-2E9C-101B-9397-08002B2CF9AE}" pid="4" name="KSOTemplateDocerSaveRecord">
    <vt:lpwstr>eyJoZGlkIjoiNWIzZmRmNDkxOGVmZmRkZGE5OWYxZDIwMWFkZDQxZTEiLCJ1c2VySWQiOiI3MDEzNDA1MDkifQ==</vt:lpwstr>
  </property>
</Properties>
</file>