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DE50C">
      <w:pPr>
        <w:rPr>
          <w:color w:val="auto"/>
          <w:highlight w:val="none"/>
        </w:rPr>
      </w:pPr>
    </w:p>
    <w:p w14:paraId="319949FE">
      <w:pPr>
        <w:rPr>
          <w:color w:val="auto"/>
          <w:highlight w:val="none"/>
        </w:rPr>
      </w:pPr>
    </w:p>
    <w:p w14:paraId="37982777">
      <w:pPr>
        <w:rPr>
          <w:color w:val="auto"/>
          <w:highlight w:val="none"/>
        </w:rPr>
      </w:pPr>
    </w:p>
    <w:p w14:paraId="7080A56E">
      <w:pPr>
        <w:pStyle w:val="6"/>
        <w:spacing w:line="360" w:lineRule="auto"/>
        <w:jc w:val="center"/>
        <w:rPr>
          <w:rFonts w:hint="eastAsia" w:eastAsia="宋体" w:cs="宋体"/>
          <w:b/>
          <w:bCs/>
          <w:color w:val="auto"/>
          <w:kern w:val="2"/>
          <w:sz w:val="44"/>
          <w:szCs w:val="44"/>
          <w:highlight w:val="none"/>
          <w:u w:val="none"/>
        </w:rPr>
      </w:pPr>
      <w:r>
        <w:rPr>
          <w:rFonts w:hint="eastAsia" w:eastAsia="宋体" w:cs="宋体"/>
          <w:b/>
          <w:bCs/>
          <w:color w:val="auto"/>
          <w:kern w:val="2"/>
          <w:sz w:val="44"/>
          <w:szCs w:val="44"/>
          <w:highlight w:val="none"/>
          <w:u w:val="none"/>
          <w:lang w:eastAsia="zh-CN"/>
        </w:rPr>
        <w:t>广州净水公司健康城分公司储能设施项目</w:t>
      </w:r>
    </w:p>
    <w:p w14:paraId="4E6C8998">
      <w:pPr>
        <w:rPr>
          <w:rFonts w:ascii="宋体" w:hAnsi="宋体" w:eastAsia="楷体_GB2312"/>
          <w:b w:val="0"/>
          <w:color w:val="auto"/>
          <w:sz w:val="44"/>
          <w:szCs w:val="24"/>
          <w:highlight w:val="none"/>
        </w:rPr>
      </w:pPr>
    </w:p>
    <w:p w14:paraId="428FFF09">
      <w:pPr>
        <w:pStyle w:val="6"/>
        <w:spacing w:line="360" w:lineRule="auto"/>
        <w:jc w:val="center"/>
        <w:rPr>
          <w:rFonts w:ascii="仿宋" w:hAnsi="仿宋" w:eastAsia="仿宋"/>
          <w:b/>
          <w:color w:val="auto"/>
          <w:sz w:val="44"/>
          <w:szCs w:val="44"/>
          <w:highlight w:val="none"/>
        </w:rPr>
      </w:pPr>
    </w:p>
    <w:p w14:paraId="157D5404">
      <w:pPr>
        <w:pStyle w:val="6"/>
        <w:spacing w:line="360" w:lineRule="auto"/>
        <w:jc w:val="center"/>
        <w:rPr>
          <w:rFonts w:ascii="仿宋" w:hAnsi="仿宋" w:eastAsia="仿宋"/>
          <w:b/>
          <w:color w:val="auto"/>
          <w:sz w:val="44"/>
          <w:szCs w:val="44"/>
          <w:highlight w:val="none"/>
        </w:rPr>
      </w:pPr>
    </w:p>
    <w:p w14:paraId="05614B1B">
      <w:pPr>
        <w:pStyle w:val="6"/>
        <w:spacing w:line="360" w:lineRule="auto"/>
        <w:jc w:val="center"/>
        <w:rPr>
          <w:rFonts w:ascii="仿宋" w:hAnsi="仿宋" w:eastAsia="仿宋"/>
          <w:b/>
          <w:color w:val="auto"/>
          <w:sz w:val="44"/>
          <w:szCs w:val="44"/>
          <w:highlight w:val="none"/>
        </w:rPr>
      </w:pPr>
    </w:p>
    <w:p w14:paraId="62117BF9">
      <w:pPr>
        <w:pStyle w:val="6"/>
        <w:spacing w:line="360" w:lineRule="auto"/>
        <w:jc w:val="center"/>
        <w:rPr>
          <w:rFonts w:ascii="仿宋" w:hAnsi="仿宋" w:eastAsia="仿宋"/>
          <w:b/>
          <w:color w:val="auto"/>
          <w:sz w:val="44"/>
          <w:szCs w:val="44"/>
          <w:highlight w:val="none"/>
        </w:rPr>
      </w:pPr>
    </w:p>
    <w:p w14:paraId="705FF723">
      <w:pPr>
        <w:pStyle w:val="6"/>
        <w:spacing w:line="360" w:lineRule="auto"/>
        <w:jc w:val="center"/>
        <w:rPr>
          <w:rFonts w:ascii="仿宋" w:hAnsi="仿宋" w:eastAsia="仿宋"/>
          <w:b/>
          <w:color w:val="auto"/>
          <w:sz w:val="44"/>
          <w:szCs w:val="44"/>
          <w:highlight w:val="none"/>
        </w:rPr>
      </w:pPr>
    </w:p>
    <w:p w14:paraId="27E9571B">
      <w:pPr>
        <w:spacing w:line="360" w:lineRule="auto"/>
        <w:jc w:val="center"/>
        <w:rPr>
          <w:rFonts w:hint="eastAsia" w:ascii="宋体" w:hAnsi="宋体" w:eastAsia="宋体" w:cs="宋体"/>
          <w:b/>
          <w:bCs/>
          <w:color w:val="auto"/>
          <w:spacing w:val="26"/>
          <w:sz w:val="110"/>
          <w:szCs w:val="110"/>
          <w:highlight w:val="none"/>
          <w:lang w:eastAsia="zh-CN"/>
        </w:rPr>
      </w:pPr>
      <w:r>
        <w:rPr>
          <w:rFonts w:hint="eastAsia" w:ascii="宋体" w:hAnsi="宋体" w:eastAsia="宋体" w:cs="宋体"/>
          <w:b/>
          <w:bCs/>
          <w:color w:val="auto"/>
          <w:spacing w:val="26"/>
          <w:sz w:val="110"/>
          <w:szCs w:val="110"/>
          <w:highlight w:val="none"/>
        </w:rPr>
        <w:t>招标</w:t>
      </w:r>
      <w:r>
        <w:rPr>
          <w:rFonts w:hint="eastAsia" w:ascii="宋体" w:hAnsi="宋体" w:cs="宋体"/>
          <w:b/>
          <w:bCs/>
          <w:color w:val="auto"/>
          <w:spacing w:val="26"/>
          <w:sz w:val="110"/>
          <w:szCs w:val="110"/>
          <w:highlight w:val="none"/>
          <w:lang w:val="en-US" w:eastAsia="zh-CN"/>
        </w:rPr>
        <w:t>公告</w:t>
      </w:r>
    </w:p>
    <w:p w14:paraId="57A163AE">
      <w:pPr>
        <w:pStyle w:val="6"/>
        <w:spacing w:line="360" w:lineRule="auto"/>
        <w:jc w:val="center"/>
        <w:rPr>
          <w:rFonts w:ascii="仿宋" w:hAnsi="仿宋" w:eastAsia="仿宋"/>
          <w:b/>
          <w:color w:val="auto"/>
          <w:sz w:val="44"/>
          <w:szCs w:val="44"/>
          <w:highlight w:val="none"/>
        </w:rPr>
      </w:pPr>
    </w:p>
    <w:p w14:paraId="37A820BF">
      <w:pPr>
        <w:pStyle w:val="6"/>
        <w:spacing w:line="360" w:lineRule="auto"/>
        <w:jc w:val="center"/>
        <w:rPr>
          <w:rFonts w:ascii="仿宋" w:hAnsi="仿宋" w:eastAsia="仿宋"/>
          <w:b/>
          <w:color w:val="auto"/>
          <w:sz w:val="44"/>
          <w:szCs w:val="44"/>
          <w:highlight w:val="none"/>
        </w:rPr>
      </w:pPr>
    </w:p>
    <w:p w14:paraId="4ABA6A51">
      <w:pPr>
        <w:pStyle w:val="6"/>
        <w:spacing w:line="360" w:lineRule="auto"/>
        <w:jc w:val="center"/>
        <w:rPr>
          <w:rFonts w:ascii="仿宋" w:hAnsi="仿宋" w:eastAsia="仿宋"/>
          <w:b/>
          <w:color w:val="auto"/>
          <w:sz w:val="44"/>
          <w:szCs w:val="44"/>
          <w:highlight w:val="none"/>
        </w:rPr>
      </w:pPr>
    </w:p>
    <w:p w14:paraId="55E9DC25">
      <w:pPr>
        <w:pStyle w:val="6"/>
        <w:spacing w:line="360" w:lineRule="auto"/>
        <w:jc w:val="center"/>
        <w:rPr>
          <w:rFonts w:ascii="仿宋" w:hAnsi="仿宋" w:eastAsia="仿宋"/>
          <w:b/>
          <w:color w:val="auto"/>
          <w:sz w:val="44"/>
          <w:szCs w:val="44"/>
          <w:highlight w:val="none"/>
        </w:rPr>
      </w:pPr>
    </w:p>
    <w:p w14:paraId="49BE2D51">
      <w:pPr>
        <w:pStyle w:val="6"/>
        <w:spacing w:line="360" w:lineRule="auto"/>
        <w:jc w:val="center"/>
        <w:rPr>
          <w:rFonts w:ascii="仿宋" w:hAnsi="仿宋" w:eastAsia="仿宋"/>
          <w:b/>
          <w:color w:val="auto"/>
          <w:sz w:val="44"/>
          <w:szCs w:val="44"/>
          <w:highlight w:val="none"/>
        </w:rPr>
      </w:pPr>
    </w:p>
    <w:p w14:paraId="4BCECBE1">
      <w:pPr>
        <w:pStyle w:val="6"/>
        <w:spacing w:line="360" w:lineRule="auto"/>
        <w:jc w:val="center"/>
        <w:rPr>
          <w:rFonts w:hint="eastAsia" w:ascii="仿宋" w:hAnsi="仿宋" w:eastAsia="仿宋"/>
          <w:b/>
          <w:color w:val="auto"/>
          <w:sz w:val="44"/>
          <w:szCs w:val="44"/>
          <w:highlight w:val="none"/>
        </w:rPr>
      </w:pPr>
    </w:p>
    <w:p w14:paraId="6C99FA0C">
      <w:pPr>
        <w:widowControl/>
        <w:ind w:firstLine="1200" w:firstLineChars="400"/>
        <w:rPr>
          <w:rFonts w:hint="eastAsia" w:ascii="宋体" w:hAnsi="宋体" w:eastAsia="宋体"/>
          <w:color w:val="auto"/>
          <w:sz w:val="30"/>
          <w:szCs w:val="30"/>
          <w:highlight w:val="none"/>
          <w:lang w:eastAsia="zh-CN"/>
        </w:rPr>
      </w:pPr>
      <w:r>
        <w:rPr>
          <w:rFonts w:hint="eastAsia" w:ascii="宋体" w:hAnsi="宋体"/>
          <w:color w:val="auto"/>
          <w:sz w:val="30"/>
          <w:szCs w:val="30"/>
          <w:highlight w:val="none"/>
        </w:rPr>
        <w:t>招标人：广州市净水有限公司</w:t>
      </w:r>
      <w:r>
        <w:rPr>
          <w:rFonts w:hint="eastAsia" w:ascii="宋体" w:hAnsi="宋体"/>
          <w:color w:val="auto"/>
          <w:sz w:val="30"/>
          <w:szCs w:val="30"/>
          <w:highlight w:val="none"/>
          <w:lang w:eastAsia="zh-CN"/>
        </w:rPr>
        <w:t>（</w:t>
      </w:r>
      <w:r>
        <w:rPr>
          <w:rFonts w:hint="eastAsia" w:ascii="宋体" w:hAnsi="宋体"/>
          <w:color w:val="auto"/>
          <w:sz w:val="30"/>
          <w:szCs w:val="30"/>
          <w:highlight w:val="none"/>
          <w:lang w:val="en-US" w:eastAsia="zh-CN"/>
        </w:rPr>
        <w:t>盖单位章</w:t>
      </w:r>
      <w:r>
        <w:rPr>
          <w:rFonts w:hint="eastAsia" w:ascii="宋体" w:hAnsi="宋体"/>
          <w:color w:val="auto"/>
          <w:sz w:val="30"/>
          <w:szCs w:val="30"/>
          <w:highlight w:val="none"/>
          <w:lang w:eastAsia="zh-CN"/>
        </w:rPr>
        <w:t>）</w:t>
      </w:r>
    </w:p>
    <w:p w14:paraId="2752F2D2">
      <w:pPr>
        <w:widowControl/>
        <w:ind w:firstLine="1200" w:firstLineChars="400"/>
        <w:rPr>
          <w:rFonts w:hint="eastAsia" w:ascii="宋体" w:hAnsi="宋体" w:eastAsia="宋体"/>
          <w:color w:val="auto"/>
          <w:sz w:val="30"/>
          <w:szCs w:val="30"/>
          <w:highlight w:val="none"/>
          <w:lang w:eastAsia="zh-CN"/>
        </w:rPr>
      </w:pPr>
      <w:r>
        <w:rPr>
          <w:rFonts w:hint="eastAsia" w:ascii="宋体" w:hAnsi="宋体"/>
          <w:color w:val="auto"/>
          <w:sz w:val="30"/>
          <w:szCs w:val="30"/>
          <w:highlight w:val="none"/>
        </w:rPr>
        <w:t>招标代理单位：</w:t>
      </w:r>
      <w:r>
        <w:rPr>
          <w:rFonts w:hint="eastAsia" w:ascii="宋体" w:hAnsi="宋体"/>
          <w:color w:val="auto"/>
          <w:sz w:val="30"/>
          <w:szCs w:val="30"/>
          <w:highlight w:val="none"/>
          <w:lang w:eastAsia="zh-CN"/>
        </w:rPr>
        <w:t>广州市市政工程监理有限公司（</w:t>
      </w:r>
      <w:r>
        <w:rPr>
          <w:rFonts w:hint="eastAsia" w:ascii="宋体" w:hAnsi="宋体"/>
          <w:color w:val="auto"/>
          <w:sz w:val="30"/>
          <w:szCs w:val="30"/>
          <w:highlight w:val="none"/>
          <w:lang w:val="en-US" w:eastAsia="zh-CN"/>
        </w:rPr>
        <w:t>盖单位章</w:t>
      </w:r>
      <w:r>
        <w:rPr>
          <w:rFonts w:hint="eastAsia" w:ascii="宋体" w:hAnsi="宋体"/>
          <w:color w:val="auto"/>
          <w:sz w:val="30"/>
          <w:szCs w:val="30"/>
          <w:highlight w:val="none"/>
          <w:lang w:eastAsia="zh-CN"/>
        </w:rPr>
        <w:t>）</w:t>
      </w:r>
    </w:p>
    <w:p w14:paraId="0F1906E3">
      <w:pPr>
        <w:widowControl/>
        <w:ind w:firstLine="1200" w:firstLineChars="400"/>
        <w:jc w:val="left"/>
        <w:rPr>
          <w:rFonts w:hint="eastAsia" w:ascii="宋体" w:hAnsi="宋体" w:eastAsia="宋体" w:cs="Times New Roman"/>
          <w:color w:val="auto"/>
          <w:sz w:val="30"/>
          <w:szCs w:val="30"/>
          <w:highlight w:val="none"/>
        </w:rPr>
      </w:pPr>
      <w:r>
        <w:rPr>
          <w:rFonts w:hint="eastAsia" w:ascii="宋体" w:hAnsi="宋体"/>
          <w:color w:val="auto"/>
          <w:sz w:val="30"/>
          <w:szCs w:val="30"/>
          <w:highlight w:val="none"/>
        </w:rPr>
        <w:t>日        期：</w:t>
      </w:r>
      <w:r>
        <w:rPr>
          <w:rFonts w:hint="eastAsia" w:ascii="宋体" w:hAnsi="宋体"/>
          <w:color w:val="auto"/>
          <w:sz w:val="30"/>
          <w:szCs w:val="30"/>
          <w:highlight w:val="none"/>
          <w:lang w:eastAsia="zh-CN"/>
        </w:rPr>
        <w:t>2025</w:t>
      </w:r>
      <w:r>
        <w:rPr>
          <w:rFonts w:hint="eastAsia" w:ascii="宋体" w:hAnsi="宋体" w:eastAsia="宋体" w:cs="Times New Roman"/>
          <w:color w:val="auto"/>
          <w:sz w:val="30"/>
          <w:szCs w:val="30"/>
          <w:highlight w:val="none"/>
        </w:rPr>
        <w:t>年</w:t>
      </w:r>
      <w:r>
        <w:rPr>
          <w:rFonts w:hint="eastAsia" w:ascii="宋体" w:hAnsi="宋体" w:eastAsia="宋体" w:cs="Times New Roman"/>
          <w:color w:val="auto"/>
          <w:sz w:val="30"/>
          <w:szCs w:val="30"/>
          <w:highlight w:val="none"/>
          <w:lang w:val="en-US" w:eastAsia="zh-CN"/>
        </w:rPr>
        <w:t>7</w:t>
      </w:r>
      <w:r>
        <w:rPr>
          <w:rFonts w:hint="eastAsia" w:ascii="宋体" w:hAnsi="宋体" w:eastAsia="宋体" w:cs="Times New Roman"/>
          <w:color w:val="auto"/>
          <w:sz w:val="30"/>
          <w:szCs w:val="30"/>
          <w:highlight w:val="none"/>
        </w:rPr>
        <w:t>月</w:t>
      </w:r>
    </w:p>
    <w:p w14:paraId="393F9FDE">
      <w:pPr>
        <w:pStyle w:val="6"/>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color w:val="auto"/>
          <w:sz w:val="32"/>
          <w:szCs w:val="32"/>
          <w:highlight w:val="none"/>
          <w:u w:val="none"/>
          <w:lang w:eastAsia="zh-CN"/>
        </w:rPr>
        <w:sectPr>
          <w:pgSz w:w="11906" w:h="16838"/>
          <w:pgMar w:top="1440" w:right="1417" w:bottom="1440" w:left="1417" w:header="851" w:footer="992" w:gutter="0"/>
          <w:cols w:space="425" w:num="1"/>
          <w:docGrid w:type="lines" w:linePitch="312" w:charSpace="0"/>
        </w:sectPr>
      </w:pPr>
      <w:bookmarkStart w:id="71" w:name="_GoBack"/>
      <w:bookmarkEnd w:id="71"/>
    </w:p>
    <w:p w14:paraId="43F1C2C1">
      <w:pPr>
        <w:pStyle w:val="6"/>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color w:val="auto"/>
          <w:sz w:val="32"/>
          <w:szCs w:val="32"/>
          <w:highlight w:val="none"/>
          <w:u w:val="none"/>
          <w:lang w:eastAsia="zh-CN"/>
        </w:rPr>
      </w:pPr>
      <w:r>
        <w:rPr>
          <w:rFonts w:hint="eastAsia" w:eastAsia="宋体"/>
          <w:b/>
          <w:color w:val="auto"/>
          <w:sz w:val="32"/>
          <w:szCs w:val="32"/>
          <w:highlight w:val="none"/>
          <w:u w:val="none"/>
          <w:lang w:eastAsia="zh-CN"/>
        </w:rPr>
        <w:t>广州净水公司健康城分公司储能设施项目</w:t>
      </w:r>
    </w:p>
    <w:p w14:paraId="232ED12B">
      <w:pPr>
        <w:pStyle w:val="6"/>
        <w:pageBreakBefore w:val="0"/>
        <w:widowControl w:val="0"/>
        <w:kinsoku/>
        <w:wordWrap/>
        <w:overflowPunct/>
        <w:topLinePunct w:val="0"/>
        <w:autoSpaceDE/>
        <w:autoSpaceDN/>
        <w:bidi w:val="0"/>
        <w:adjustRightInd/>
        <w:snapToGrid/>
        <w:spacing w:line="400" w:lineRule="exact"/>
        <w:jc w:val="center"/>
        <w:textAlignment w:val="auto"/>
        <w:rPr>
          <w:rFonts w:eastAsia="宋体"/>
          <w:b/>
          <w:color w:val="auto"/>
          <w:sz w:val="32"/>
          <w:szCs w:val="32"/>
          <w:highlight w:val="none"/>
          <w:u w:val="none"/>
        </w:rPr>
      </w:pPr>
      <w:r>
        <w:rPr>
          <w:rFonts w:hint="eastAsia" w:eastAsia="宋体"/>
          <w:b/>
          <w:color w:val="auto"/>
          <w:sz w:val="32"/>
          <w:szCs w:val="32"/>
          <w:highlight w:val="none"/>
          <w:u w:val="none"/>
        </w:rPr>
        <w:t>招标公告</w:t>
      </w:r>
    </w:p>
    <w:p w14:paraId="690BD613">
      <w:pPr>
        <w:spacing w:line="360" w:lineRule="auto"/>
        <w:ind w:firstLine="542" w:firstLineChars="225"/>
        <w:rPr>
          <w:rFonts w:hint="eastAsia" w:ascii="宋体" w:hAnsi="宋体" w:eastAsia="宋体" w:cs="宋体"/>
          <w:b/>
          <w:color w:val="auto"/>
          <w:sz w:val="24"/>
          <w:szCs w:val="24"/>
          <w:highlight w:val="none"/>
        </w:rPr>
      </w:pPr>
      <w:bookmarkStart w:id="0" w:name="_Toc221949923"/>
      <w:r>
        <w:rPr>
          <w:rFonts w:hint="eastAsia" w:ascii="宋体" w:hAnsi="宋体" w:eastAsia="宋体" w:cs="宋体"/>
          <w:b/>
          <w:color w:val="auto"/>
          <w:sz w:val="24"/>
          <w:szCs w:val="24"/>
          <w:highlight w:val="none"/>
        </w:rPr>
        <w:t>1.招标条件</w:t>
      </w:r>
    </w:p>
    <w:p w14:paraId="267C7208">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lang w:eastAsia="zh-CN"/>
        </w:rPr>
        <w:t>广州净水公司健康城分公司储能设施项目</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项目业主为</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建设资金来自</w:t>
      </w:r>
      <w:r>
        <w:rPr>
          <w:rFonts w:hint="eastAsia" w:ascii="宋体" w:hAnsi="宋体" w:eastAsia="宋体" w:cs="宋体"/>
          <w:color w:val="auto"/>
          <w:sz w:val="24"/>
          <w:szCs w:val="24"/>
          <w:highlight w:val="none"/>
          <w:u w:val="single"/>
        </w:rPr>
        <w:t>企业自筹资金</w:t>
      </w:r>
      <w:r>
        <w:rPr>
          <w:rFonts w:hint="eastAsia" w:ascii="宋体" w:hAnsi="宋体" w:eastAsia="宋体" w:cs="宋体"/>
          <w:color w:val="auto"/>
          <w:sz w:val="24"/>
          <w:szCs w:val="24"/>
          <w:highlight w:val="none"/>
          <w:u w:val="none"/>
        </w:rPr>
        <w:t>，资金</w:t>
      </w:r>
      <w:r>
        <w:rPr>
          <w:rFonts w:hint="eastAsia" w:ascii="宋体" w:hAnsi="宋体" w:eastAsia="宋体" w:cs="宋体"/>
          <w:color w:val="auto"/>
          <w:sz w:val="24"/>
          <w:szCs w:val="24"/>
          <w:highlight w:val="none"/>
          <w:u w:val="none"/>
          <w:lang w:val="en-US" w:eastAsia="zh-CN"/>
        </w:rPr>
        <w:t>来源已落实，</w:t>
      </w:r>
      <w:r>
        <w:rPr>
          <w:rFonts w:hint="eastAsia" w:ascii="宋体" w:hAnsi="宋体" w:eastAsia="宋体" w:cs="宋体"/>
          <w:color w:val="auto"/>
          <w:sz w:val="24"/>
          <w:szCs w:val="24"/>
          <w:highlight w:val="none"/>
        </w:rPr>
        <w:t>项目出资比例为</w:t>
      </w:r>
      <w:r>
        <w:rPr>
          <w:rFonts w:hint="eastAsia" w:ascii="宋体" w:hAnsi="宋体" w:eastAsia="宋体" w:cs="宋体"/>
          <w:color w:val="auto"/>
          <w:sz w:val="24"/>
          <w:szCs w:val="24"/>
          <w:highlight w:val="none"/>
          <w:u w:val="single"/>
        </w:rPr>
        <w:t>100%</w:t>
      </w:r>
      <w:r>
        <w:rPr>
          <w:rFonts w:hint="eastAsia" w:ascii="宋体" w:hAnsi="宋体" w:eastAsia="宋体" w:cs="宋体"/>
          <w:color w:val="auto"/>
          <w:sz w:val="24"/>
          <w:szCs w:val="24"/>
          <w:highlight w:val="none"/>
        </w:rPr>
        <w:t>。项目已具备招标条件，现对该项目施工进行公开招标。</w:t>
      </w:r>
      <w:bookmarkEnd w:id="0"/>
    </w:p>
    <w:p w14:paraId="6D70EFA4">
      <w:pPr>
        <w:spacing w:line="360" w:lineRule="auto"/>
        <w:ind w:firstLine="542" w:firstLineChars="225"/>
        <w:rPr>
          <w:rFonts w:hint="eastAsia" w:ascii="宋体" w:hAnsi="宋体" w:eastAsia="宋体" w:cs="宋体"/>
          <w:b/>
          <w:color w:val="auto"/>
          <w:sz w:val="24"/>
          <w:szCs w:val="24"/>
          <w:highlight w:val="none"/>
        </w:rPr>
      </w:pPr>
      <w:bookmarkStart w:id="1" w:name="_Toc144974481"/>
      <w:bookmarkStart w:id="2" w:name="_Toc168476030"/>
      <w:bookmarkStart w:id="3" w:name="_Toc221949924"/>
      <w:bookmarkStart w:id="4" w:name="_Toc168475627"/>
      <w:bookmarkStart w:id="5" w:name="_Toc222029464"/>
      <w:bookmarkStart w:id="6" w:name="_Toc222033815"/>
      <w:bookmarkStart w:id="7" w:name="_Toc229305324"/>
      <w:bookmarkStart w:id="8" w:name="_Toc259524297"/>
      <w:bookmarkStart w:id="9" w:name="_Toc222032633"/>
      <w:bookmarkStart w:id="10" w:name="_Toc222030966"/>
      <w:r>
        <w:rPr>
          <w:rFonts w:hint="eastAsia" w:ascii="宋体" w:hAnsi="宋体" w:eastAsia="宋体" w:cs="宋体"/>
          <w:b/>
          <w:color w:val="auto"/>
          <w:sz w:val="24"/>
          <w:szCs w:val="24"/>
          <w:highlight w:val="none"/>
        </w:rPr>
        <w:t>2. 项目概况与招标范围</w:t>
      </w:r>
      <w:bookmarkEnd w:id="1"/>
      <w:bookmarkEnd w:id="2"/>
      <w:bookmarkEnd w:id="3"/>
      <w:bookmarkEnd w:id="4"/>
      <w:bookmarkEnd w:id="5"/>
      <w:bookmarkEnd w:id="6"/>
      <w:bookmarkEnd w:id="7"/>
      <w:bookmarkEnd w:id="8"/>
      <w:bookmarkEnd w:id="9"/>
      <w:bookmarkEnd w:id="10"/>
    </w:p>
    <w:p w14:paraId="7627A931">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2.1建设地点：</w:t>
      </w:r>
      <w:r>
        <w:rPr>
          <w:rFonts w:hint="eastAsia" w:ascii="宋体" w:hAnsi="宋体" w:eastAsia="宋体" w:cs="宋体"/>
          <w:color w:val="auto"/>
          <w:sz w:val="24"/>
          <w:szCs w:val="24"/>
          <w:highlight w:val="none"/>
          <w:u w:val="single"/>
        </w:rPr>
        <w:t>广东省广州市</w:t>
      </w:r>
      <w:r>
        <w:rPr>
          <w:rFonts w:hint="eastAsia" w:ascii="宋体" w:hAnsi="宋体" w:eastAsia="宋体" w:cs="宋体"/>
          <w:color w:val="auto"/>
          <w:sz w:val="24"/>
          <w:szCs w:val="24"/>
          <w:highlight w:val="none"/>
        </w:rPr>
        <w:t>。</w:t>
      </w:r>
    </w:p>
    <w:p w14:paraId="03982F0D">
      <w:pP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2.2项目规模：</w:t>
      </w:r>
      <w:r>
        <w:rPr>
          <w:rFonts w:hint="eastAsia" w:ascii="宋体" w:hAnsi="宋体" w:eastAsia="宋体" w:cs="宋体"/>
          <w:color w:val="auto"/>
          <w:sz w:val="24"/>
          <w:szCs w:val="24"/>
          <w:highlight w:val="none"/>
          <w:u w:val="single"/>
        </w:rPr>
        <w:t>本项目计划建设5.175MW/10.26MWh储能设施,采用磷酸铁锂电池方案,磷酸铁锂电池采用全户外布置方案。共设2套储能子系统单元其中1套1.725MW/3.42MWh10KV储能子系统单元,1套3.45MW/6.84MWh10KV储能子系统单元。户外共放置2套储能变流器(PCS)升压一体机,3套储能电池仓(非步入式)。（具体详见技术需求书）</w:t>
      </w:r>
    </w:p>
    <w:p w14:paraId="0FBDD8D6">
      <w:pPr>
        <w:keepNext w:val="0"/>
        <w:keepLines w:val="0"/>
        <w:pageBreakBefore w:val="0"/>
        <w:widowControl/>
        <w:kinsoku/>
        <w:wordWrap/>
        <w:overflowPunct/>
        <w:topLinePunct w:val="0"/>
        <w:autoSpaceDE/>
        <w:autoSpaceDN/>
        <w:bidi w:val="0"/>
        <w:adjustRightInd/>
        <w:snapToGrid/>
        <w:spacing w:line="360" w:lineRule="auto"/>
        <w:ind w:firstLine="540" w:firstLineChars="225"/>
        <w:rPr>
          <w:rFonts w:hint="eastAsia" w:ascii="宋体" w:hAnsi="宋体" w:eastAsia="宋体" w:cs="宋体"/>
          <w:color w:val="auto"/>
          <w:sz w:val="24"/>
          <w:szCs w:val="24"/>
          <w:highlight w:val="none"/>
          <w:u w:val="single"/>
          <w:lang w:eastAsia="zh-CN" w:bidi="ar"/>
        </w:rPr>
      </w:pPr>
      <w:r>
        <w:rPr>
          <w:rFonts w:hint="eastAsia" w:ascii="宋体" w:hAnsi="宋体" w:eastAsia="宋体" w:cs="宋体"/>
          <w:color w:val="auto"/>
          <w:sz w:val="24"/>
          <w:szCs w:val="24"/>
          <w:highlight w:val="none"/>
          <w:u w:val="none"/>
        </w:rPr>
        <w:t>2.3本次最高投标限价（招标控制价）：</w:t>
      </w:r>
      <w:r>
        <w:rPr>
          <w:rFonts w:hint="eastAsia" w:ascii="宋体" w:hAnsi="宋体" w:eastAsia="宋体" w:cs="宋体"/>
          <w:color w:val="auto"/>
          <w:sz w:val="24"/>
          <w:szCs w:val="24"/>
          <w:highlight w:val="none"/>
          <w:u w:val="single"/>
          <w:lang w:val="en-US" w:eastAsia="zh-CN"/>
        </w:rPr>
        <w:t>8469929.48元。</w:t>
      </w:r>
    </w:p>
    <w:p w14:paraId="3A69A37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rPr>
          <w:rFonts w:hint="eastAsia" w:ascii="宋体" w:hAnsi="宋体" w:eastAsia="宋体" w:cs="宋体"/>
          <w:color w:val="auto"/>
          <w:sz w:val="24"/>
          <w:szCs w:val="24"/>
          <w:highlight w:val="none"/>
          <w:u w:val="none"/>
          <w:lang w:eastAsia="zh-CN" w:bidi="ar"/>
        </w:rPr>
      </w:pPr>
      <w:r>
        <w:rPr>
          <w:rFonts w:hint="eastAsia" w:ascii="宋体" w:hAnsi="宋体" w:eastAsia="宋体" w:cs="宋体"/>
          <w:color w:val="auto"/>
          <w:sz w:val="24"/>
          <w:szCs w:val="24"/>
          <w:highlight w:val="none"/>
        </w:rPr>
        <w:t>注:投标人的投标总报价高于最高投标限价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或投标人</w:t>
      </w:r>
      <w:r>
        <w:rPr>
          <w:rFonts w:hint="eastAsia" w:ascii="宋体" w:hAnsi="宋体" w:eastAsia="宋体" w:cs="宋体"/>
          <w:color w:val="auto"/>
          <w:sz w:val="24"/>
          <w:szCs w:val="24"/>
          <w:highlight w:val="none"/>
          <w:lang w:val="en-US" w:eastAsia="zh-CN"/>
        </w:rPr>
        <w:t>的单价</w:t>
      </w:r>
      <w:r>
        <w:rPr>
          <w:rFonts w:hint="eastAsia" w:ascii="宋体" w:hAnsi="宋体" w:eastAsia="宋体" w:cs="宋体"/>
          <w:color w:val="auto"/>
          <w:sz w:val="24"/>
          <w:szCs w:val="24"/>
          <w:highlight w:val="none"/>
        </w:rPr>
        <w:t>报价高于最高</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限价，则其投标将被拒绝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（具体详见最高投标限价公布函</w:t>
      </w:r>
      <w:r>
        <w:rPr>
          <w:rFonts w:hint="eastAsia" w:ascii="宋体" w:hAnsi="宋体" w:eastAsia="宋体" w:cs="宋体"/>
          <w:color w:val="auto"/>
          <w:sz w:val="24"/>
          <w:szCs w:val="24"/>
          <w:highlight w:val="none"/>
          <w:lang w:val="en-US" w:eastAsia="zh-CN"/>
        </w:rPr>
        <w:t>及工程量清单</w:t>
      </w:r>
      <w:r>
        <w:rPr>
          <w:rFonts w:hint="eastAsia" w:ascii="宋体" w:hAnsi="宋体" w:eastAsia="宋体" w:cs="宋体"/>
          <w:color w:val="auto"/>
          <w:sz w:val="24"/>
          <w:szCs w:val="24"/>
          <w:highlight w:val="none"/>
        </w:rPr>
        <w:t>）。投标人根据招标文件要求以及企业自身情况填报工程量清单及汇总投标总报价，结算按照合同约定计算。投标总报价作为项目评审价，最高投标限价作为合同签订价。</w:t>
      </w:r>
    </w:p>
    <w:p w14:paraId="43B6DB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2.4计划工期：</w:t>
      </w:r>
      <w:r>
        <w:rPr>
          <w:rFonts w:hint="eastAsia" w:ascii="宋体" w:hAnsi="宋体" w:eastAsia="宋体" w:cs="宋体"/>
          <w:color w:val="auto"/>
          <w:sz w:val="24"/>
          <w:szCs w:val="24"/>
          <w:highlight w:val="none"/>
          <w:u w:val="single"/>
        </w:rPr>
        <w:t>120日历天，其中施工工期为60天，开工日期以开工令为准。</w:t>
      </w:r>
    </w:p>
    <w:p w14:paraId="20243E97">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2.5招标内容：</w:t>
      </w:r>
      <w:r>
        <w:rPr>
          <w:rFonts w:hint="eastAsia" w:ascii="宋体" w:hAnsi="宋体" w:eastAsia="宋体" w:cs="宋体"/>
          <w:color w:val="auto"/>
          <w:sz w:val="24"/>
          <w:szCs w:val="24"/>
          <w:highlight w:val="none"/>
          <w:u w:val="single"/>
        </w:rPr>
        <w:t>本项目计划建设5.175MW/10.26MWh储能设施,采用磷酸铁锂电池方案,磷酸铁锂电池采用全户外布置方案。共设2套储能子系统单元其中1套1.725MW/3.42MWh10KV储能子系统单元,1套3.45MW/6.84MWh10KV储能子系统单元。户外共放置2套储能变流器(PCS)升压一体机,3套储能电池仓(非步入式)。（具体详见技术需求书）</w:t>
      </w:r>
    </w:p>
    <w:p w14:paraId="29D674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2.6标段划分：</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个标段。</w:t>
      </w:r>
    </w:p>
    <w:p w14:paraId="6E39D107">
      <w:pPr>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承包方式： </w:t>
      </w:r>
      <w:r>
        <w:rPr>
          <w:rFonts w:hint="eastAsia" w:ascii="宋体" w:hAnsi="宋体"/>
          <w:color w:val="auto"/>
          <w:sz w:val="24"/>
          <w:szCs w:val="24"/>
          <w:highlight w:val="none"/>
          <w:u w:val="single"/>
        </w:rPr>
        <w:t>按施工图、施工方案内容，以综合单价包干形式，包人工、包材料、包安装、包质量、包工期、包安全、包文明施工，项目措施费按实计量</w:t>
      </w:r>
      <w:r>
        <w:rPr>
          <w:rFonts w:hint="eastAsia" w:ascii="宋体" w:hAnsi="宋体" w:eastAsia="宋体" w:cs="宋体"/>
          <w:color w:val="auto"/>
          <w:sz w:val="24"/>
          <w:szCs w:val="24"/>
          <w:highlight w:val="none"/>
        </w:rPr>
        <w:t>。</w:t>
      </w:r>
    </w:p>
    <w:p w14:paraId="515E5A59">
      <w:pPr>
        <w:pStyle w:val="9"/>
        <w:spacing w:before="0" w:after="0" w:line="360" w:lineRule="auto"/>
        <w:ind w:firstLine="540"/>
        <w:rPr>
          <w:rFonts w:hint="eastAsia" w:ascii="宋体" w:hAnsi="宋体" w:eastAsia="宋体" w:cs="宋体"/>
          <w:color w:val="auto"/>
          <w:sz w:val="24"/>
          <w:szCs w:val="24"/>
          <w:highlight w:val="none"/>
        </w:rPr>
      </w:pPr>
      <w:bookmarkStart w:id="11" w:name="_Toc168476031"/>
      <w:bookmarkStart w:id="12" w:name="_Toc222029465"/>
      <w:bookmarkStart w:id="13" w:name="_Toc221949926"/>
      <w:bookmarkStart w:id="14" w:name="_Toc168475628"/>
      <w:bookmarkStart w:id="15" w:name="_Toc222032634"/>
      <w:bookmarkStart w:id="16" w:name="_Toc229305325"/>
      <w:bookmarkStart w:id="17" w:name="_Toc222033816"/>
      <w:bookmarkStart w:id="18" w:name="_Toc222030967"/>
      <w:bookmarkStart w:id="19" w:name="_Toc259524298"/>
      <w:bookmarkStart w:id="20" w:name="_Toc144974482"/>
      <w:r>
        <w:rPr>
          <w:rFonts w:hint="eastAsia" w:ascii="宋体" w:hAnsi="宋体" w:eastAsia="宋体" w:cs="宋体"/>
          <w:b/>
          <w:color w:val="auto"/>
          <w:sz w:val="24"/>
          <w:szCs w:val="24"/>
          <w:highlight w:val="none"/>
        </w:rPr>
        <w:t>3. 投标人资格要求</w:t>
      </w:r>
      <w:bookmarkEnd w:id="11"/>
      <w:bookmarkEnd w:id="12"/>
      <w:bookmarkEnd w:id="13"/>
      <w:bookmarkEnd w:id="14"/>
      <w:bookmarkEnd w:id="15"/>
      <w:bookmarkEnd w:id="16"/>
      <w:bookmarkEnd w:id="17"/>
      <w:bookmarkEnd w:id="18"/>
      <w:bookmarkEnd w:id="19"/>
      <w:bookmarkEnd w:id="20"/>
    </w:p>
    <w:p w14:paraId="6E5F8A45">
      <w:pPr>
        <w:spacing w:line="360" w:lineRule="auto"/>
        <w:ind w:firstLine="480" w:firstLineChars="200"/>
        <w:rPr>
          <w:rFonts w:hint="eastAsia" w:ascii="宋体" w:hAnsi="宋体" w:eastAsia="宋体" w:cs="宋体"/>
          <w:bCs/>
          <w:color w:val="auto"/>
          <w:sz w:val="24"/>
          <w:szCs w:val="24"/>
          <w:highlight w:val="none"/>
          <w:lang w:eastAsia="zh-CN"/>
        </w:rPr>
      </w:pPr>
      <w:bookmarkStart w:id="21" w:name="_Toc229305326"/>
      <w:bookmarkStart w:id="22" w:name="_Toc144974483"/>
      <w:bookmarkStart w:id="23" w:name="_Toc221949930"/>
      <w:bookmarkStart w:id="24" w:name="_Toc168475629"/>
      <w:bookmarkStart w:id="25" w:name="_Toc222033817"/>
      <w:bookmarkStart w:id="26" w:name="_Toc168476032"/>
      <w:bookmarkStart w:id="27" w:name="_Toc222030968"/>
      <w:bookmarkStart w:id="28" w:name="_Toc259524299"/>
      <w:bookmarkStart w:id="29" w:name="_Toc222029466"/>
      <w:bookmarkStart w:id="30" w:name="_Toc222032635"/>
      <w:r>
        <w:rPr>
          <w:rFonts w:hint="eastAsia" w:ascii="宋体" w:hAnsi="宋体" w:eastAsia="宋体" w:cs="宋体"/>
          <w:bCs/>
          <w:color w:val="auto"/>
          <w:sz w:val="24"/>
          <w:szCs w:val="24"/>
          <w:highlight w:val="none"/>
          <w:lang w:val="en-US" w:eastAsia="zh-CN"/>
        </w:rPr>
        <w:t>3.1</w:t>
      </w:r>
      <w:r>
        <w:rPr>
          <w:rFonts w:hint="eastAsia" w:ascii="宋体" w:hAnsi="宋体" w:eastAsia="宋体" w:cs="宋体"/>
          <w:bCs/>
          <w:color w:val="auto"/>
          <w:sz w:val="24"/>
          <w:szCs w:val="24"/>
          <w:highlight w:val="none"/>
        </w:rPr>
        <w:t>投标人应具备承担本项目施工的资质条件、能力和信誉</w:t>
      </w:r>
      <w:r>
        <w:rPr>
          <w:rFonts w:hint="eastAsia" w:ascii="宋体" w:hAnsi="宋体" w:eastAsia="宋体" w:cs="宋体"/>
          <w:bCs/>
          <w:color w:val="auto"/>
          <w:sz w:val="24"/>
          <w:szCs w:val="24"/>
          <w:highlight w:val="none"/>
          <w:lang w:eastAsia="zh-CN"/>
        </w:rPr>
        <w:t>。</w:t>
      </w:r>
    </w:p>
    <w:p w14:paraId="398022F2">
      <w:pPr>
        <w:widowControl/>
        <w:spacing w:line="360" w:lineRule="auto"/>
        <w:ind w:firstLine="54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3.1</w:t>
      </w:r>
      <w:r>
        <w:rPr>
          <w:rFonts w:hint="eastAsia" w:ascii="宋体" w:hAnsi="宋体" w:eastAsia="宋体" w:cs="宋体"/>
          <w:color w:val="auto"/>
          <w:kern w:val="0"/>
          <w:sz w:val="24"/>
          <w:szCs w:val="24"/>
          <w:highlight w:val="none"/>
          <w:lang w:val="en-US" w:eastAsia="zh-CN"/>
        </w:rPr>
        <w:t>.1本次招标要求申请人具有独立法人资格，需提供营业执照；投标人具有承接本工程所需的</w:t>
      </w:r>
      <w:r>
        <w:rPr>
          <w:rFonts w:hint="eastAsia" w:ascii="宋体" w:hAnsi="宋体" w:eastAsia="宋体" w:cs="宋体"/>
          <w:color w:val="auto"/>
          <w:kern w:val="0"/>
          <w:sz w:val="24"/>
          <w:szCs w:val="24"/>
          <w:highlight w:val="none"/>
          <w:u w:val="single"/>
          <w:lang w:val="en-US" w:eastAsia="zh-CN"/>
        </w:rPr>
        <w:t>电力工程施工总承包三级（或以上）</w:t>
      </w:r>
      <w:r>
        <w:rPr>
          <w:rFonts w:hint="eastAsia" w:ascii="宋体" w:hAnsi="宋体" w:eastAsia="宋体" w:cs="宋体"/>
          <w:color w:val="auto"/>
          <w:kern w:val="0"/>
          <w:sz w:val="24"/>
          <w:szCs w:val="24"/>
          <w:highlight w:val="none"/>
          <w:u w:val="none"/>
          <w:lang w:val="en-US" w:eastAsia="zh-CN"/>
        </w:rPr>
        <w:t>施工总承包资质</w:t>
      </w:r>
      <w:r>
        <w:rPr>
          <w:rFonts w:hint="eastAsia" w:ascii="宋体" w:hAnsi="宋体" w:eastAsia="宋体" w:cs="宋体"/>
          <w:color w:val="auto"/>
          <w:kern w:val="0"/>
          <w:sz w:val="24"/>
          <w:szCs w:val="24"/>
          <w:highlight w:val="none"/>
          <w:lang w:val="en-US" w:eastAsia="zh-CN"/>
        </w:rPr>
        <w:t>。</w:t>
      </w:r>
    </w:p>
    <w:p w14:paraId="47B7CD89">
      <w:pPr>
        <w:widowControl/>
        <w:spacing w:line="360" w:lineRule="auto"/>
        <w:ind w:firstLine="540"/>
        <w:jc w:val="left"/>
        <w:rPr>
          <w:rFonts w:hint="eastAsia" w:ascii="仿宋" w:hAnsi="仿宋" w:eastAsia="仿宋" w:cs="宋体"/>
          <w:bCs/>
          <w:color w:val="auto"/>
          <w:kern w:val="0"/>
          <w:sz w:val="24"/>
          <w:szCs w:val="24"/>
          <w:highlight w:val="none"/>
        </w:rPr>
      </w:pPr>
      <w:r>
        <w:rPr>
          <w:rFonts w:hint="eastAsia" w:ascii="仿宋_GB2312" w:hAnsi="宋体" w:eastAsia="仿宋_GB2312" w:cs="Times New Roman"/>
          <w:bCs w:val="0"/>
          <w:color w:val="auto"/>
          <w:kern w:val="2"/>
          <w:sz w:val="24"/>
          <w:szCs w:val="24"/>
          <w:highlight w:val="none"/>
        </w:rPr>
        <w:t>注：（1）资质内容按照建市</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2014</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159号文颁布的新版《建筑业企业资质标准》中对应的资质类别及等级的承包工程范围和《住房城乡建设部关于建筑业企业资质管理有关问题的通知》（建市</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201</w:t>
      </w:r>
      <w:r>
        <w:rPr>
          <w:rFonts w:hint="eastAsia" w:ascii="仿宋_GB2312" w:hAnsi="宋体" w:eastAsia="仿宋_GB2312" w:cs="Times New Roman"/>
          <w:bCs w:val="0"/>
          <w:color w:val="auto"/>
          <w:kern w:val="2"/>
          <w:sz w:val="24"/>
          <w:szCs w:val="24"/>
          <w:highlight w:val="none"/>
          <w:lang w:val="en-US" w:eastAsia="zh-CN"/>
        </w:rPr>
        <w:t>5</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154号）、《住房城乡建设部关于简化建筑业企业资质标准部分指标的通知》(建市</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201</w:t>
      </w:r>
      <w:r>
        <w:rPr>
          <w:rFonts w:hint="eastAsia" w:ascii="仿宋_GB2312" w:hAnsi="宋体" w:eastAsia="仿宋_GB2312" w:cs="Times New Roman"/>
          <w:bCs w:val="0"/>
          <w:color w:val="auto"/>
          <w:kern w:val="2"/>
          <w:sz w:val="24"/>
          <w:szCs w:val="24"/>
          <w:highlight w:val="none"/>
          <w:lang w:val="en-US" w:eastAsia="zh-CN"/>
        </w:rPr>
        <w:t>6</w:t>
      </w:r>
      <w:r>
        <w:rPr>
          <w:rFonts w:hint="eastAsia" w:ascii="宋体" w:hAnsi="宋体" w:eastAsia="宋体" w:cs="宋体"/>
          <w:color w:val="auto"/>
          <w:sz w:val="24"/>
          <w:szCs w:val="24"/>
          <w:highlight w:val="none"/>
        </w:rPr>
        <w:t>〕</w:t>
      </w:r>
      <w:r>
        <w:rPr>
          <w:rFonts w:hint="eastAsia" w:ascii="仿宋_GB2312" w:hAnsi="宋体" w:eastAsia="仿宋_GB2312" w:cs="Times New Roman"/>
          <w:bCs w:val="0"/>
          <w:color w:val="auto"/>
          <w:kern w:val="2"/>
          <w:sz w:val="24"/>
          <w:szCs w:val="24"/>
          <w:highlight w:val="none"/>
        </w:rPr>
        <w:t>226号)、</w:t>
      </w:r>
      <w:r>
        <w:rPr>
          <w:rFonts w:hint="eastAsia" w:ascii="仿宋_GB2312" w:hAnsi="宋体" w:eastAsia="仿宋_GB2312" w:cs="Times New Roman"/>
          <w:bCs w:val="0"/>
          <w:color w:val="auto"/>
          <w:kern w:val="2"/>
          <w:sz w:val="24"/>
          <w:szCs w:val="24"/>
          <w:highlight w:val="none"/>
          <w:lang w:val="en-US" w:eastAsia="zh-CN"/>
        </w:rPr>
        <w:t>《住房和城乡建设部关于印发建设工程企业资质管理制度改革方案的通知》（</w:t>
      </w:r>
      <w:r>
        <w:rPr>
          <w:rFonts w:hint="eastAsia" w:ascii="仿宋_GB2312" w:hAnsi="宋体" w:eastAsia="仿宋_GB2312" w:cs="Times New Roman"/>
          <w:bCs w:val="0"/>
          <w:color w:val="auto"/>
          <w:kern w:val="2"/>
          <w:sz w:val="24"/>
          <w:szCs w:val="24"/>
          <w:highlight w:val="none"/>
        </w:rPr>
        <w:t>建市〔2020〕94号</w:t>
      </w:r>
      <w:r>
        <w:rPr>
          <w:rFonts w:hint="eastAsia" w:ascii="仿宋_GB2312" w:hAnsi="宋体" w:eastAsia="仿宋_GB2312" w:cs="Times New Roman"/>
          <w:bCs w:val="0"/>
          <w:color w:val="auto"/>
          <w:kern w:val="2"/>
          <w:sz w:val="24"/>
          <w:szCs w:val="24"/>
          <w:highlight w:val="none"/>
          <w:lang w:val="en-US" w:eastAsia="zh-CN"/>
        </w:rPr>
        <w:t>）</w:t>
      </w:r>
      <w:r>
        <w:rPr>
          <w:rFonts w:hint="eastAsia" w:ascii="仿宋_GB2312" w:hAnsi="宋体" w:eastAsia="仿宋_GB2312" w:cs="Times New Roman"/>
          <w:bCs w:val="0"/>
          <w:color w:val="auto"/>
          <w:kern w:val="2"/>
          <w:sz w:val="24"/>
          <w:szCs w:val="24"/>
          <w:highlight w:val="none"/>
          <w:lang w:eastAsia="zh-CN"/>
        </w:rPr>
        <w:t>、</w:t>
      </w:r>
      <w:r>
        <w:rPr>
          <w:rFonts w:hint="eastAsia" w:ascii="仿宋_GB2312" w:hAnsi="宋体" w:eastAsia="仿宋_GB2312" w:cs="Times New Roman"/>
          <w:bCs w:val="0"/>
          <w:color w:val="auto"/>
          <w:kern w:val="2"/>
          <w:sz w:val="24"/>
          <w:szCs w:val="24"/>
          <w:highlight w:val="none"/>
        </w:rPr>
        <w:t>《住房和城乡建设部办公厅关于做好建筑业“证照分离”改革衔接有关工作的通知》（建办市〔2021〕30号）、</w:t>
      </w:r>
      <w:r>
        <w:rPr>
          <w:rFonts w:hint="eastAsia" w:ascii="仿宋_GB2312" w:hAnsi="宋体" w:eastAsia="仿宋_GB2312" w:cs="Times New Roman"/>
          <w:b w:val="0"/>
          <w:bCs w:val="0"/>
          <w:color w:val="auto"/>
          <w:kern w:val="2"/>
          <w:sz w:val="24"/>
          <w:szCs w:val="24"/>
          <w:highlight w:val="none"/>
        </w:rPr>
        <w:t>《住房和城乡建设部办公厅关于建设工程企业资质有关事宜的通知》（建办市函〔2022〕361号）、</w:t>
      </w:r>
      <w:r>
        <w:rPr>
          <w:rFonts w:hint="eastAsia" w:ascii="仿宋_GB2312" w:hAnsi="宋体" w:eastAsia="仿宋_GB2312" w:cs="Times New Roman"/>
          <w:b w:val="0"/>
          <w:color w:val="auto"/>
          <w:kern w:val="2"/>
          <w:sz w:val="24"/>
          <w:szCs w:val="24"/>
          <w:highlight w:val="none"/>
        </w:rPr>
        <w:t>《广东省住房和城乡建设厅关于建设工程企业资质有关事宜的通知》（粤建许函〔2022〕846号）</w:t>
      </w:r>
      <w:r>
        <w:rPr>
          <w:rFonts w:hint="eastAsia" w:ascii="仿宋_GB2312" w:hAnsi="宋体" w:eastAsia="仿宋_GB2312" w:cs="Times New Roman"/>
          <w:b w:val="0"/>
          <w:color w:val="auto"/>
          <w:kern w:val="2"/>
          <w:sz w:val="24"/>
          <w:szCs w:val="24"/>
          <w:highlight w:val="none"/>
          <w:lang w:eastAsia="zh-CN"/>
        </w:rPr>
        <w:t>、《住房城乡建设部建筑市场监管司关于建设工程企业资质延续有关事项的通知》（建司局函市〔2023〕116号）、</w:t>
      </w:r>
      <w:r>
        <w:rPr>
          <w:rFonts w:hint="eastAsia" w:ascii="仿宋_GB2312" w:hAnsi="宋体" w:eastAsia="仿宋_GB2312" w:cs="Times New Roman"/>
          <w:b w:val="0"/>
          <w:color w:val="auto"/>
          <w:kern w:val="2"/>
          <w:sz w:val="24"/>
          <w:szCs w:val="24"/>
          <w:highlight w:val="none"/>
        </w:rPr>
        <w:t>《</w:t>
      </w:r>
      <w:r>
        <w:rPr>
          <w:rFonts w:hint="eastAsia" w:ascii="仿宋_GB2312" w:hAnsi="宋体" w:eastAsia="仿宋_GB2312" w:cs="Times New Roman"/>
          <w:b w:val="0"/>
          <w:color w:val="auto"/>
          <w:kern w:val="2"/>
          <w:sz w:val="24"/>
          <w:szCs w:val="24"/>
          <w:highlight w:val="none"/>
          <w:lang w:eastAsia="zh-CN"/>
        </w:rPr>
        <w:t>广东省住房和城乡建设厅关于建设工程企业资质延续有关事项的通知</w:t>
      </w:r>
      <w:r>
        <w:rPr>
          <w:rFonts w:hint="eastAsia" w:ascii="仿宋_GB2312" w:hAnsi="宋体" w:eastAsia="仿宋_GB2312" w:cs="Times New Roman"/>
          <w:b w:val="0"/>
          <w:color w:val="auto"/>
          <w:kern w:val="2"/>
          <w:sz w:val="24"/>
          <w:szCs w:val="24"/>
          <w:highlight w:val="none"/>
        </w:rPr>
        <w:t>》</w:t>
      </w:r>
      <w:r>
        <w:rPr>
          <w:rFonts w:hint="eastAsia" w:ascii="仿宋_GB2312" w:hAnsi="宋体" w:eastAsia="仿宋_GB2312" w:cs="Times New Roman"/>
          <w:b w:val="0"/>
          <w:color w:val="auto"/>
          <w:kern w:val="2"/>
          <w:sz w:val="24"/>
          <w:szCs w:val="24"/>
          <w:highlight w:val="none"/>
          <w:lang w:eastAsia="zh-CN"/>
        </w:rPr>
        <w:t>（粤建许函〔2023〕820号）、广东省住房和城乡建设厅关于做好有关建设工程企业资质证书换领工作的通知（粤建许函〔2024〕124号）</w:t>
      </w:r>
      <w:r>
        <w:rPr>
          <w:rFonts w:hint="eastAsia" w:ascii="仿宋_GB2312" w:hAnsi="宋体" w:eastAsia="仿宋_GB2312" w:cs="Times New Roman"/>
          <w:bCs w:val="0"/>
          <w:color w:val="auto"/>
          <w:kern w:val="2"/>
          <w:sz w:val="24"/>
          <w:szCs w:val="24"/>
          <w:highlight w:val="none"/>
        </w:rPr>
        <w:t>的要求设置。招标内容含有设计要求，且设计要求仅为深化设计的，在投标人的资质设置要求中，不允许设置设计资质</w:t>
      </w:r>
      <w:r>
        <w:rPr>
          <w:rFonts w:hint="eastAsia" w:ascii="仿宋" w:hAnsi="仿宋" w:eastAsia="仿宋" w:cs="宋体"/>
          <w:bCs/>
          <w:color w:val="auto"/>
          <w:kern w:val="0"/>
          <w:sz w:val="24"/>
          <w:szCs w:val="24"/>
          <w:highlight w:val="none"/>
        </w:rPr>
        <w:t>。</w:t>
      </w:r>
    </w:p>
    <w:p w14:paraId="4D44BA61">
      <w:pPr>
        <w:widowControl/>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安全生产许可证</w:t>
      </w:r>
      <w:r>
        <w:rPr>
          <w:rFonts w:hint="eastAsia" w:ascii="宋体" w:hAnsi="宋体" w:eastAsia="宋体" w:cs="宋体"/>
          <w:color w:val="auto"/>
          <w:kern w:val="0"/>
          <w:sz w:val="24"/>
          <w:szCs w:val="24"/>
          <w:highlight w:val="none"/>
          <w:lang w:eastAsia="zh-CN"/>
        </w:rPr>
        <w:t>：投标人需具有有效的建设行政主管部门颁发的安全生产许可证。</w:t>
      </w:r>
    </w:p>
    <w:p w14:paraId="797830E1">
      <w:pPr>
        <w:pStyle w:val="1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3.1.3项目负责人资格：具有</w:t>
      </w:r>
      <w:r>
        <w:rPr>
          <w:rFonts w:hint="eastAsia" w:ascii="宋体" w:hAnsi="宋体" w:eastAsia="宋体" w:cs="宋体"/>
          <w:color w:val="auto"/>
          <w:kern w:val="0"/>
          <w:sz w:val="24"/>
          <w:szCs w:val="24"/>
          <w:highlight w:val="none"/>
          <w:u w:val="single"/>
        </w:rPr>
        <w:t>机电工程专业二级或以上</w:t>
      </w:r>
      <w:r>
        <w:rPr>
          <w:rFonts w:hint="eastAsia" w:ascii="宋体" w:hAnsi="宋体" w:eastAsia="宋体" w:cs="宋体"/>
          <w:color w:val="auto"/>
          <w:kern w:val="0"/>
          <w:sz w:val="24"/>
          <w:szCs w:val="24"/>
          <w:highlight w:val="none"/>
        </w:rPr>
        <w:t>的注册建造师，为投标申请人本企业信息登记中的在册人员。同时具有有效期内的建设行政主管部门颁发的安全生产考核合格证书（B类）,或建筑施工企业项目负责人安全生产考核合格证书。</w:t>
      </w:r>
    </w:p>
    <w:p w14:paraId="5565BB97">
      <w:pPr>
        <w:pStyle w:val="9"/>
        <w:spacing w:before="0" w:after="0" w:line="360" w:lineRule="auto"/>
        <w:ind w:firstLine="540"/>
        <w:rPr>
          <w:rFonts w:hint="eastAsia" w:ascii="仿宋_GB2312" w:eastAsia="仿宋_GB2312"/>
          <w:color w:val="auto"/>
          <w:sz w:val="24"/>
          <w:szCs w:val="24"/>
          <w:highlight w:val="none"/>
        </w:rPr>
      </w:pPr>
      <w:r>
        <w:rPr>
          <w:rFonts w:hint="eastAsia" w:ascii="仿宋" w:hAnsi="仿宋" w:eastAsia="仿宋" w:cs="宋体"/>
          <w:b w:val="0"/>
          <w:bCs/>
          <w:color w:val="auto"/>
          <w:kern w:val="0"/>
          <w:sz w:val="24"/>
          <w:szCs w:val="24"/>
          <w:highlight w:val="none"/>
        </w:rPr>
        <w:t>注：</w:t>
      </w:r>
      <w:r>
        <w:rPr>
          <w:rFonts w:hint="eastAsia" w:ascii="仿宋" w:hAnsi="仿宋" w:eastAsia="仿宋" w:cs="宋体"/>
          <w:b w:val="0"/>
          <w:bCs/>
          <w:color w:val="auto"/>
          <w:kern w:val="0"/>
          <w:sz w:val="24"/>
          <w:szCs w:val="24"/>
          <w:highlight w:val="none"/>
          <w:lang w:eastAsia="zh-CN"/>
        </w:rPr>
        <w:t>（</w:t>
      </w:r>
      <w:r>
        <w:rPr>
          <w:rFonts w:hint="eastAsia" w:ascii="仿宋" w:hAnsi="仿宋" w:eastAsia="仿宋" w:cs="宋体"/>
          <w:b w:val="0"/>
          <w:bCs/>
          <w:color w:val="auto"/>
          <w:kern w:val="0"/>
          <w:sz w:val="24"/>
          <w:szCs w:val="24"/>
          <w:highlight w:val="none"/>
          <w:lang w:val="en-US" w:eastAsia="zh-CN"/>
        </w:rPr>
        <w:t>1</w:t>
      </w:r>
      <w:r>
        <w:rPr>
          <w:rFonts w:hint="eastAsia" w:ascii="仿宋" w:hAnsi="仿宋" w:eastAsia="仿宋" w:cs="宋体"/>
          <w:b w:val="0"/>
          <w:bCs/>
          <w:color w:val="auto"/>
          <w:kern w:val="0"/>
          <w:sz w:val="24"/>
          <w:szCs w:val="24"/>
          <w:highlight w:val="none"/>
          <w:lang w:eastAsia="zh-CN"/>
        </w:rPr>
        <w:t>）</w:t>
      </w:r>
      <w:r>
        <w:rPr>
          <w:rFonts w:hint="eastAsia" w:ascii="仿宋" w:hAnsi="仿宋" w:eastAsia="仿宋" w:cs="宋体"/>
          <w:b w:val="0"/>
          <w:bCs/>
          <w:color w:val="auto"/>
          <w:kern w:val="0"/>
          <w:sz w:val="24"/>
          <w:szCs w:val="24"/>
          <w:highlight w:val="none"/>
        </w:rPr>
        <w:t>根据广东省住建厅《关于明确二级建造师注册执业有关问题的通知》（粤建市函〔</w:t>
      </w:r>
      <w:r>
        <w:rPr>
          <w:rFonts w:ascii="仿宋" w:hAnsi="仿宋" w:eastAsia="仿宋" w:cs="宋体"/>
          <w:b w:val="0"/>
          <w:bCs/>
          <w:color w:val="auto"/>
          <w:kern w:val="0"/>
          <w:sz w:val="24"/>
          <w:szCs w:val="24"/>
          <w:highlight w:val="none"/>
        </w:rPr>
        <w:t>20</w:t>
      </w:r>
      <w:r>
        <w:rPr>
          <w:rFonts w:hint="eastAsia" w:ascii="仿宋" w:hAnsi="仿宋" w:eastAsia="仿宋" w:cs="宋体"/>
          <w:b w:val="0"/>
          <w:bCs/>
          <w:color w:val="auto"/>
          <w:kern w:val="0"/>
          <w:sz w:val="24"/>
          <w:szCs w:val="24"/>
          <w:highlight w:val="none"/>
        </w:rPr>
        <w:t>23</w:t>
      </w:r>
      <w:r>
        <w:rPr>
          <w:rFonts w:ascii="仿宋" w:hAnsi="仿宋" w:eastAsia="仿宋" w:cs="宋体"/>
          <w:b w:val="0"/>
          <w:bCs/>
          <w:color w:val="auto"/>
          <w:kern w:val="0"/>
          <w:sz w:val="24"/>
          <w:szCs w:val="24"/>
          <w:highlight w:val="none"/>
        </w:rPr>
        <w:t>〕</w:t>
      </w:r>
      <w:r>
        <w:rPr>
          <w:rFonts w:hint="eastAsia" w:ascii="仿宋" w:hAnsi="仿宋" w:eastAsia="仿宋" w:cs="宋体"/>
          <w:b w:val="0"/>
          <w:bCs/>
          <w:color w:val="auto"/>
          <w:kern w:val="0"/>
          <w:sz w:val="24"/>
          <w:szCs w:val="24"/>
          <w:highlight w:val="none"/>
        </w:rPr>
        <w:t>469</w:t>
      </w:r>
      <w:r>
        <w:rPr>
          <w:rFonts w:ascii="仿宋" w:hAnsi="仿宋" w:eastAsia="仿宋" w:cs="宋体"/>
          <w:b w:val="0"/>
          <w:bCs/>
          <w:color w:val="auto"/>
          <w:kern w:val="0"/>
          <w:sz w:val="24"/>
          <w:szCs w:val="24"/>
          <w:highlight w:val="none"/>
        </w:rPr>
        <w:t>号），二级建造师</w:t>
      </w:r>
      <w:r>
        <w:rPr>
          <w:rFonts w:hint="eastAsia" w:ascii="仿宋" w:hAnsi="仿宋" w:eastAsia="仿宋" w:cs="宋体"/>
          <w:b w:val="0"/>
          <w:bCs/>
          <w:color w:val="auto"/>
          <w:kern w:val="0"/>
          <w:sz w:val="24"/>
          <w:szCs w:val="24"/>
          <w:highlight w:val="none"/>
        </w:rPr>
        <w:t>应在考试取得执业资格的省、自治区、直辖市申请注册，二级注册</w:t>
      </w:r>
      <w:r>
        <w:rPr>
          <w:rFonts w:ascii="仿宋" w:hAnsi="仿宋" w:eastAsia="仿宋" w:cs="宋体"/>
          <w:b w:val="0"/>
          <w:bCs/>
          <w:color w:val="auto"/>
          <w:kern w:val="0"/>
          <w:sz w:val="24"/>
          <w:szCs w:val="24"/>
          <w:highlight w:val="none"/>
        </w:rPr>
        <w:t>建造师</w:t>
      </w:r>
      <w:r>
        <w:rPr>
          <w:rFonts w:hint="eastAsia" w:ascii="仿宋" w:hAnsi="仿宋" w:eastAsia="仿宋" w:cs="宋体"/>
          <w:b w:val="0"/>
          <w:bCs/>
          <w:color w:val="auto"/>
          <w:kern w:val="0"/>
          <w:sz w:val="24"/>
          <w:szCs w:val="24"/>
          <w:highlight w:val="none"/>
        </w:rPr>
        <w:t>可随注册企业在全国范围内执业。</w:t>
      </w:r>
      <w:r>
        <w:rPr>
          <w:rFonts w:ascii="仿宋" w:hAnsi="仿宋" w:eastAsia="仿宋" w:cs="宋体"/>
          <w:bCs/>
          <w:color w:val="auto"/>
          <w:kern w:val="0"/>
          <w:sz w:val="24"/>
          <w:szCs w:val="24"/>
          <w:highlight w:val="none"/>
        </w:rPr>
        <w:t>项目负责人在任职期间不得担任专职安全员，项目专职安全员在任职期间也不得担任项目负责人，项</w:t>
      </w:r>
      <w:r>
        <w:rPr>
          <w:rFonts w:hint="eastAsia" w:ascii="仿宋" w:hAnsi="仿宋" w:eastAsia="仿宋" w:cs="宋体"/>
          <w:bCs/>
          <w:color w:val="auto"/>
          <w:kern w:val="0"/>
          <w:sz w:val="24"/>
          <w:szCs w:val="24"/>
          <w:highlight w:val="none"/>
        </w:rPr>
        <w:t>目负责人和</w:t>
      </w:r>
      <w:r>
        <w:rPr>
          <w:rFonts w:hint="eastAsia" w:ascii="仿宋" w:hAnsi="仿宋" w:eastAsia="仿宋" w:cs="宋体"/>
          <w:b w:val="0"/>
          <w:bCs/>
          <w:color w:val="auto"/>
          <w:kern w:val="0"/>
          <w:sz w:val="24"/>
          <w:szCs w:val="24"/>
          <w:highlight w:val="none"/>
        </w:rPr>
        <w:t>专职</w:t>
      </w:r>
      <w:r>
        <w:rPr>
          <w:rFonts w:hint="eastAsia" w:ascii="仿宋" w:hAnsi="仿宋" w:eastAsia="仿宋" w:cs="宋体"/>
          <w:bCs/>
          <w:color w:val="auto"/>
          <w:kern w:val="0"/>
          <w:sz w:val="24"/>
          <w:szCs w:val="24"/>
          <w:highlight w:val="none"/>
        </w:rPr>
        <w:t>安全员不为同一人。</w:t>
      </w:r>
    </w:p>
    <w:p w14:paraId="39FDCD66">
      <w:pPr>
        <w:pStyle w:val="9"/>
        <w:spacing w:before="0" w:after="0" w:line="360" w:lineRule="auto"/>
        <w:ind w:firstLine="540"/>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kern w:val="0"/>
          <w:sz w:val="24"/>
          <w:szCs w:val="24"/>
          <w:highlight w:val="none"/>
          <w:lang w:eastAsia="zh-CN"/>
        </w:rPr>
        <w:t>（</w:t>
      </w:r>
      <w:r>
        <w:rPr>
          <w:rFonts w:hint="eastAsia" w:ascii="仿宋" w:hAnsi="仿宋" w:eastAsia="仿宋" w:cs="仿宋"/>
          <w:b w:val="0"/>
          <w:bCs/>
          <w:color w:val="auto"/>
          <w:kern w:val="0"/>
          <w:sz w:val="24"/>
          <w:szCs w:val="24"/>
          <w:highlight w:val="none"/>
          <w:lang w:val="en-US" w:eastAsia="zh-CN"/>
        </w:rPr>
        <w:t>2</w:t>
      </w:r>
      <w:r>
        <w:rPr>
          <w:rFonts w:hint="eastAsia" w:ascii="仿宋" w:hAnsi="仿宋" w:eastAsia="仿宋" w:cs="仿宋"/>
          <w:b w:val="0"/>
          <w:bCs/>
          <w:color w:val="auto"/>
          <w:kern w:val="0"/>
          <w:sz w:val="24"/>
          <w:szCs w:val="24"/>
          <w:highlight w:val="none"/>
          <w:lang w:eastAsia="zh-CN"/>
        </w:rPr>
        <w:t>）</w:t>
      </w:r>
      <w:r>
        <w:rPr>
          <w:rFonts w:hint="eastAsia" w:ascii="仿宋" w:hAnsi="仿宋" w:eastAsia="仿宋" w:cs="仿宋"/>
          <w:b w:val="0"/>
          <w:bCs/>
          <w:color w:val="auto"/>
          <w:sz w:val="24"/>
          <w:szCs w:val="24"/>
          <w:highlight w:val="none"/>
          <w:vertAlign w:val="baseline"/>
          <w:lang w:val="en-US" w:eastAsia="zh-CN"/>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2A2E5F3">
      <w:pPr>
        <w:pStyle w:val="9"/>
        <w:spacing w:before="0" w:after="0" w:line="360" w:lineRule="auto"/>
        <w:ind w:firstLine="540"/>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3A6D28E">
      <w:pPr>
        <w:pStyle w:val="9"/>
        <w:spacing w:before="0" w:after="0" w:line="360" w:lineRule="auto"/>
        <w:ind w:firstLine="54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3.1.</w:t>
      </w:r>
      <w:r>
        <w:rPr>
          <w:rFonts w:hint="eastAsia" w:cs="宋体"/>
          <w:color w:val="auto"/>
          <w:kern w:val="0"/>
          <w:sz w:val="24"/>
          <w:szCs w:val="24"/>
          <w:highlight w:val="none"/>
          <w:lang w:val="en-US" w:eastAsia="zh-CN"/>
        </w:rPr>
        <w:t>4</w:t>
      </w:r>
      <w:r>
        <w:rPr>
          <w:rFonts w:hint="eastAsia" w:ascii="宋体" w:hAnsi="宋体" w:cs="宋体"/>
          <w:color w:val="auto"/>
          <w:kern w:val="0"/>
          <w:sz w:val="24"/>
          <w:szCs w:val="24"/>
          <w:highlight w:val="none"/>
        </w:rPr>
        <w:t>专职安全员资格要求</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须持有在有效期内的建设行政主管部门颁发的安全生产考核合格证书（C类）或能够提供建筑施工企业专职安全生产管理人员安全生产考核合格证书（C3类），专职安全员和项目负责人不得为同一人。</w:t>
      </w:r>
    </w:p>
    <w:p w14:paraId="6294A592">
      <w:pPr>
        <w:pStyle w:val="9"/>
        <w:spacing w:before="0" w:after="0" w:line="360" w:lineRule="auto"/>
        <w:ind w:firstLine="540"/>
        <w:rPr>
          <w:rFonts w:hint="eastAsia"/>
          <w:color w:val="auto"/>
          <w:highlight w:val="none"/>
          <w:u w:val="single"/>
          <w:lang w:val="en-US" w:eastAsia="zh-CN"/>
        </w:rPr>
      </w:pPr>
      <w:r>
        <w:rPr>
          <w:rFonts w:hint="eastAsia"/>
          <w:color w:val="auto"/>
          <w:highlight w:val="none"/>
          <w:lang w:val="en-US" w:eastAsia="zh-CN"/>
        </w:rPr>
        <w:t>3.1.5类似项目业绩要求：</w:t>
      </w:r>
      <w:r>
        <w:rPr>
          <w:rFonts w:hint="eastAsia"/>
          <w:color w:val="auto"/>
          <w:highlight w:val="none"/>
          <w:u w:val="single"/>
          <w:lang w:val="en-US" w:eastAsia="zh-CN"/>
        </w:rPr>
        <w:t>无。</w:t>
      </w:r>
    </w:p>
    <w:p w14:paraId="6362EFCC">
      <w:pPr>
        <w:pStyle w:val="9"/>
        <w:spacing w:before="0" w:after="0" w:line="360" w:lineRule="auto"/>
        <w:ind w:firstLine="540"/>
        <w:rPr>
          <w:rFonts w:hint="default"/>
          <w:color w:val="auto"/>
          <w:highlight w:val="none"/>
          <w:u w:val="single"/>
          <w:lang w:val="en-US" w:eastAsia="zh-CN"/>
        </w:rPr>
      </w:pPr>
      <w:r>
        <w:rPr>
          <w:rFonts w:hint="eastAsia"/>
          <w:color w:val="auto"/>
          <w:highlight w:val="none"/>
          <w:u w:val="single"/>
          <w:lang w:val="en-US" w:eastAsia="zh-CN"/>
        </w:rPr>
        <w:t>3.1.6</w:t>
      </w:r>
      <w:r>
        <w:rPr>
          <w:rFonts w:hint="default"/>
          <w:color w:val="auto"/>
          <w:highlight w:val="none"/>
          <w:u w:val="single"/>
          <w:lang w:val="en-US" w:eastAsia="zh-CN"/>
        </w:rPr>
        <w:t>技术负责人：须持有机电类相关专业中级（或以上）工程师职称证书，技术负责人和项目负责人不得为同一人。</w:t>
      </w:r>
    </w:p>
    <w:p w14:paraId="7BC7725C">
      <w:pPr>
        <w:pStyle w:val="9"/>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7</w:t>
      </w:r>
      <w:r>
        <w:rPr>
          <w:rFonts w:hint="eastAsia" w:ascii="宋体" w:hAnsi="宋体" w:eastAsia="宋体" w:cs="宋体"/>
          <w:color w:val="auto"/>
          <w:sz w:val="24"/>
          <w:szCs w:val="24"/>
          <w:highlight w:val="none"/>
        </w:rPr>
        <w:t>提交社保文件的要求：投标申请人须保证授权的委托代理人及项目部主要组成人员（项目负责人、专职安全员）均为本单位的正式职工，必须具有离投标截止时间最近</w:t>
      </w:r>
      <w:r>
        <w:rPr>
          <w:rFonts w:hint="eastAsia" w:ascii="宋体" w:hAnsi="宋体" w:eastAsia="宋体" w:cs="宋体"/>
          <w:color w:val="auto"/>
          <w:sz w:val="24"/>
          <w:szCs w:val="24"/>
          <w:highlight w:val="none"/>
          <w:u w:val="single"/>
        </w:rPr>
        <w:t>三个月（时间为：2025年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rPr>
        <w:t>在本单位交纳的社保证明文件（以加盖社会保险基金管理中心印章的《投保单》或《社会保险参保人员证明》资料为准）。</w:t>
      </w:r>
    </w:p>
    <w:p w14:paraId="7A47F229">
      <w:pPr>
        <w:pStyle w:val="9"/>
        <w:spacing w:before="0" w:after="0" w:line="360" w:lineRule="auto"/>
        <w:ind w:firstLine="54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8</w:t>
      </w:r>
      <w:r>
        <w:rPr>
          <w:rFonts w:hint="eastAsia" w:ascii="宋体" w:hAnsi="宋体" w:eastAsia="宋体" w:cs="宋体"/>
          <w:color w:val="auto"/>
          <w:kern w:val="0"/>
          <w:sz w:val="24"/>
          <w:szCs w:val="24"/>
          <w:highlight w:val="none"/>
          <w:lang w:val="en-US" w:eastAsia="zh-CN" w:bidi="ar-SA"/>
        </w:rPr>
        <w:t>投标人提交的《投标人声明》（格式见本公告附件一）内容及签署盖章与招标文件要求一致，法定代表人、项目负责人、技术负责人均必须签字或签章及加盖单位公章，没有签字或签章不予通过资格审查。</w:t>
      </w:r>
    </w:p>
    <w:p w14:paraId="2488174A">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本项目投标人不得存在下列情形：</w:t>
      </w:r>
    </w:p>
    <w:p w14:paraId="3859AEA7">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（1）为招标人不具有独立法人资格的附属机构（单位）；</w:t>
      </w:r>
    </w:p>
    <w:p w14:paraId="0FC1777D">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（2）为本标段前期准备提供设计或咨询服务或者与本项目设计人或提供咨询服务的机构存在附属关系的；</w:t>
      </w:r>
    </w:p>
    <w:p w14:paraId="53063330">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（3）为本项目监理人或者与本项目监理人存在隶属关系或者其他利害关系；</w:t>
      </w:r>
    </w:p>
    <w:p w14:paraId="594EE837">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（4）为本标段的代建人；</w:t>
      </w:r>
    </w:p>
    <w:p w14:paraId="46E93205">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（5）为本标段提供招标代理服务的；</w:t>
      </w:r>
    </w:p>
    <w:p w14:paraId="5A407678">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（6）与本标段的监理人或代建人或招标代理机构同为一个法定代表人的；</w:t>
      </w:r>
    </w:p>
    <w:p w14:paraId="3B2DD749">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（7）与本标段的监理人或代建人或招标代理机构互相控股或参股的；</w:t>
      </w:r>
    </w:p>
    <w:p w14:paraId="120B0BE8">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（8）与本标段的监理人或代建人或招标代理机构相互任职或工作的；</w:t>
      </w:r>
    </w:p>
    <w:p w14:paraId="2D970EFC">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（9）与本标段的检测机构、建设、监理单位以及建筑材料、建筑构配件和设备供应商有隶属关系或者其他利害关系有隶属关系或者其他利害关系；</w:t>
      </w:r>
    </w:p>
    <w:p w14:paraId="4F3A03A4">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（10）与招标人存在利害关系且可能影响招标公正性；</w:t>
      </w:r>
    </w:p>
    <w:p w14:paraId="69AF6F59">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7FC84B8">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（12）被责令停产停业、暂扣或者吊销许可证、暂扣或者吊销执照的（本项事实应当以根据《中华人民共和国行政处罚法》依法作出并已经生效的行政处罚决定为认定依据。）；</w:t>
      </w:r>
    </w:p>
    <w:p w14:paraId="2C146F69">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（13）进入清算程序，或被宣布破产，或其他丧失履约能力的情形；</w:t>
      </w:r>
    </w:p>
    <w:p w14:paraId="7544EF17">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AB5C357">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（15）被列入拖欠农民工工资失信联合惩戒对象名单。</w:t>
      </w:r>
    </w:p>
    <w:p w14:paraId="2751BF0D">
      <w:pPr>
        <w:snapToGrid w:val="0"/>
        <w:spacing w:line="360" w:lineRule="auto"/>
        <w:ind w:firstLine="480" w:firstLineChars="200"/>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（16）法律法规规定的其他情形。</w:t>
      </w:r>
    </w:p>
    <w:p w14:paraId="64FE8922">
      <w:pPr>
        <w:snapToGrid w:val="0"/>
        <w:spacing w:line="360" w:lineRule="auto"/>
        <w:ind w:firstLine="480" w:firstLineChars="200"/>
        <w:rPr>
          <w:rFonts w:hint="default" w:ascii="宋体" w:hAnsi="宋体" w:eastAsia="宋体" w:cs="Times New Roman"/>
          <w:color w:val="auto"/>
          <w:sz w:val="24"/>
          <w:szCs w:val="24"/>
          <w:highlight w:val="none"/>
          <w:u w:val="none"/>
        </w:rPr>
      </w:pPr>
      <w:r>
        <w:rPr>
          <w:rFonts w:hint="default" w:ascii="宋体" w:hAnsi="宋体" w:eastAsia="宋体" w:cs="Times New Roman"/>
          <w:color w:val="auto"/>
          <w:sz w:val="24"/>
          <w:szCs w:val="24"/>
          <w:highlight w:val="none"/>
          <w:u w:val="none"/>
          <w:lang w:val="en-US" w:eastAsia="zh-CN"/>
        </w:rPr>
        <w:t>3.</w:t>
      </w:r>
      <w:r>
        <w:rPr>
          <w:rFonts w:hint="eastAsia" w:ascii="宋体" w:hAnsi="宋体" w:eastAsia="宋体" w:cs="Times New Roman"/>
          <w:color w:val="auto"/>
          <w:sz w:val="24"/>
          <w:szCs w:val="24"/>
          <w:highlight w:val="none"/>
          <w:u w:val="none"/>
          <w:lang w:val="en-US" w:eastAsia="zh-CN"/>
        </w:rPr>
        <w:t>1.8</w:t>
      </w:r>
      <w:r>
        <w:rPr>
          <w:rFonts w:hint="default" w:ascii="宋体" w:hAnsi="宋体" w:eastAsia="宋体" w:cs="Times New Roman"/>
          <w:color w:val="auto"/>
          <w:sz w:val="24"/>
          <w:szCs w:val="24"/>
          <w:highlight w:val="none"/>
          <w:u w:val="none"/>
        </w:rPr>
        <w:t>投标人未被列入“在一定期限内依法取消参加依法必须进行招标的项目的投标资格”，具体名单以递交投标文件截止时间“信用广州”公布的“黑名单”为准。</w:t>
      </w:r>
    </w:p>
    <w:p w14:paraId="02E8C0EC">
      <w:pPr>
        <w:pStyle w:val="9"/>
        <w:spacing w:before="0" w:after="0" w:line="360" w:lineRule="auto"/>
        <w:ind w:firstLine="540"/>
        <w:rPr>
          <w:rFonts w:hint="eastAsia"/>
          <w:color w:val="auto"/>
          <w:highlight w:val="none"/>
          <w:lang w:val="en-US" w:eastAsia="zh-CN"/>
        </w:rPr>
      </w:pPr>
      <w:r>
        <w:rPr>
          <w:rFonts w:hint="eastAsia" w:ascii="仿宋" w:hAnsi="仿宋" w:eastAsia="仿宋" w:cs="仿宋"/>
          <w:color w:val="auto"/>
          <w:sz w:val="24"/>
          <w:szCs w:val="24"/>
          <w:highlight w:val="none"/>
          <w:u w:val="none"/>
          <w:lang w:eastAsia="zh-CN"/>
        </w:rPr>
        <w:t>注：《全国失信惩戒措施清单基础清单》（2024版）</w:t>
      </w:r>
      <w:r>
        <w:rPr>
          <w:rFonts w:hint="eastAsia" w:ascii="仿宋" w:hAnsi="仿宋" w:eastAsia="仿宋" w:cs="仿宋"/>
          <w:i w:val="0"/>
          <w:iCs w:val="0"/>
          <w:caps w:val="0"/>
          <w:color w:val="auto"/>
          <w:spacing w:val="0"/>
          <w:sz w:val="24"/>
          <w:szCs w:val="24"/>
          <w:highlight w:val="none"/>
          <w:shd w:val="clear" w:color="auto" w:fill="auto"/>
        </w:rPr>
        <w:t>。</w:t>
      </w:r>
    </w:p>
    <w:p w14:paraId="31EF21A0">
      <w:pPr>
        <w:spacing w:line="360" w:lineRule="auto"/>
        <w:ind w:left="0" w:leftChars="0" w:firstLine="420" w:firstLineChars="175"/>
        <w:rPr>
          <w:rFonts w:ascii="宋体" w:hAnsi="宋体"/>
          <w:color w:val="auto"/>
          <w:sz w:val="24"/>
          <w:szCs w:val="24"/>
          <w:highlight w:val="none"/>
        </w:rPr>
      </w:pPr>
      <w:r>
        <w:rPr>
          <w:rFonts w:hint="eastAsia" w:ascii="宋体" w:hAnsi="宋体"/>
          <w:color w:val="auto"/>
          <w:sz w:val="24"/>
          <w:szCs w:val="24"/>
          <w:highlight w:val="none"/>
        </w:rPr>
        <w:t>3.2本次招标</w:t>
      </w:r>
      <w:r>
        <w:rPr>
          <w:rFonts w:hint="eastAsia" w:ascii="宋体" w:hAnsi="宋体"/>
          <w:color w:val="auto"/>
          <w:sz w:val="24"/>
          <w:szCs w:val="24"/>
          <w:highlight w:val="none"/>
          <w:u w:val="single"/>
        </w:rPr>
        <w:t>不接受</w:t>
      </w:r>
      <w:r>
        <w:rPr>
          <w:rFonts w:hint="eastAsia" w:ascii="宋体" w:hAnsi="宋体"/>
          <w:color w:val="auto"/>
          <w:sz w:val="24"/>
          <w:szCs w:val="24"/>
          <w:highlight w:val="none"/>
        </w:rPr>
        <w:t>联合体投标。</w:t>
      </w:r>
    </w:p>
    <w:p w14:paraId="47287BC4">
      <w:pPr>
        <w:spacing w:line="360" w:lineRule="auto"/>
        <w:ind w:left="0" w:leftChars="0" w:firstLine="420" w:firstLineChars="175"/>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本次招标实行资格后审,资格审查不合格的投标人投标文件将按无效投标处理被否决。</w:t>
      </w:r>
    </w:p>
    <w:p w14:paraId="5C47891F">
      <w:pPr>
        <w:spacing w:line="360" w:lineRule="auto"/>
        <w:ind w:left="0" w:leftChars="0" w:firstLine="420" w:firstLineChars="175"/>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3.4投标申请人须在投标文件中按招标文件要求提交签署盖章的《投标人廉洁承诺书》。</w:t>
      </w:r>
    </w:p>
    <w:p w14:paraId="70291861">
      <w:pPr>
        <w:spacing w:line="360" w:lineRule="auto"/>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注：未在招标公告第3条单列的资审合格条件，不作为资审不合格的依据。</w:t>
      </w:r>
    </w:p>
    <w:bookmarkEnd w:id="21"/>
    <w:bookmarkEnd w:id="22"/>
    <w:bookmarkEnd w:id="23"/>
    <w:bookmarkEnd w:id="24"/>
    <w:bookmarkEnd w:id="25"/>
    <w:bookmarkEnd w:id="26"/>
    <w:bookmarkEnd w:id="27"/>
    <w:bookmarkEnd w:id="28"/>
    <w:bookmarkEnd w:id="29"/>
    <w:bookmarkEnd w:id="30"/>
    <w:p w14:paraId="3DA07F0D">
      <w:pPr>
        <w:spacing w:line="360" w:lineRule="auto"/>
        <w:ind w:firstLine="542" w:firstLineChars="225"/>
        <w:rPr>
          <w:rFonts w:ascii="宋体" w:hAnsi="宋体"/>
          <w:b/>
          <w:color w:val="auto"/>
          <w:sz w:val="24"/>
          <w:szCs w:val="24"/>
          <w:highlight w:val="none"/>
        </w:rPr>
      </w:pPr>
      <w:bookmarkStart w:id="31" w:name="_Toc222030969"/>
      <w:bookmarkStart w:id="32" w:name="_Toc222033818"/>
      <w:bookmarkStart w:id="33" w:name="_Toc259524300"/>
      <w:bookmarkStart w:id="34" w:name="_Toc168475630"/>
      <w:bookmarkStart w:id="35" w:name="_Toc222029467"/>
      <w:bookmarkStart w:id="36" w:name="_Toc168476033"/>
      <w:bookmarkStart w:id="37" w:name="_Toc222032636"/>
      <w:bookmarkStart w:id="38" w:name="_Toc229305327"/>
      <w:bookmarkStart w:id="39" w:name="_Toc144974484"/>
      <w:bookmarkStart w:id="40" w:name="_Toc221949934"/>
      <w:r>
        <w:rPr>
          <w:rFonts w:hint="eastAsia" w:ascii="宋体" w:hAnsi="宋体"/>
          <w:b/>
          <w:color w:val="auto"/>
          <w:sz w:val="24"/>
          <w:szCs w:val="24"/>
          <w:highlight w:val="none"/>
        </w:rPr>
        <w:t>4</w:t>
      </w:r>
      <w:r>
        <w:rPr>
          <w:rFonts w:ascii="宋体" w:hAnsi="宋体"/>
          <w:b/>
          <w:color w:val="auto"/>
          <w:sz w:val="24"/>
          <w:szCs w:val="24"/>
          <w:highlight w:val="none"/>
        </w:rPr>
        <w:t>. 招标公告和招标文件的获取</w:t>
      </w:r>
    </w:p>
    <w:p w14:paraId="61AC890D">
      <w:pPr>
        <w:widowControl/>
        <w:shd w:val="clear" w:color="auto" w:fill="FFFFFF"/>
        <w:snapToGrid w:val="0"/>
        <w:spacing w:line="360" w:lineRule="auto"/>
        <w:ind w:left="567"/>
        <w:textAlignment w:val="baseline"/>
        <w:rPr>
          <w:rStyle w:val="11"/>
          <w:rFonts w:ascii="宋体" w:hAnsi="宋体" w:cs="宋体"/>
          <w:bCs/>
          <w:color w:val="auto"/>
          <w:sz w:val="24"/>
          <w:highlight w:val="none"/>
        </w:rPr>
      </w:pPr>
      <w:bookmarkStart w:id="41" w:name="_Toc221949931"/>
      <w:r>
        <w:rPr>
          <w:rFonts w:hint="eastAsia" w:ascii="宋体" w:hAnsi="宋体"/>
          <w:color w:val="auto"/>
          <w:sz w:val="24"/>
          <w:szCs w:val="24"/>
          <w:highlight w:val="none"/>
        </w:rPr>
        <w:t>4</w:t>
      </w:r>
      <w:r>
        <w:rPr>
          <w:rFonts w:ascii="宋体" w:hAnsi="宋体"/>
          <w:color w:val="auto"/>
          <w:sz w:val="24"/>
          <w:szCs w:val="24"/>
          <w:highlight w:val="none"/>
        </w:rPr>
        <w:t>.1</w:t>
      </w:r>
      <w:r>
        <w:rPr>
          <w:rStyle w:val="11"/>
          <w:rFonts w:ascii="宋体" w:hAnsi="宋体" w:cs="宋体"/>
          <w:bCs/>
          <w:color w:val="auto"/>
          <w:sz w:val="24"/>
          <w:highlight w:val="none"/>
        </w:rPr>
        <w:t>招标公告发布时间</w:t>
      </w:r>
    </w:p>
    <w:p w14:paraId="521BE124">
      <w:pPr>
        <w:spacing w:line="360" w:lineRule="auto"/>
        <w:ind w:firstLine="540" w:firstLineChars="225"/>
        <w:rPr>
          <w:rStyle w:val="11"/>
          <w:rFonts w:ascii="宋体" w:hAnsi="宋体"/>
          <w:color w:val="auto"/>
          <w:sz w:val="24"/>
          <w:szCs w:val="24"/>
          <w:highlight w:val="none"/>
        </w:rPr>
      </w:pPr>
      <w:r>
        <w:rPr>
          <w:rStyle w:val="11"/>
          <w:rFonts w:ascii="宋体" w:hAnsi="宋体" w:cs="宋体"/>
          <w:bCs/>
          <w:color w:val="auto"/>
          <w:sz w:val="24"/>
          <w:highlight w:val="none"/>
        </w:rPr>
        <w:t>从</w:t>
      </w:r>
      <w:r>
        <w:rPr>
          <w:rStyle w:val="11"/>
          <w:rFonts w:hint="eastAsia" w:ascii="宋体" w:hAnsi="宋体" w:cs="宋体"/>
          <w:bCs/>
          <w:color w:val="auto"/>
          <w:sz w:val="24"/>
          <w:highlight w:val="none"/>
          <w:u w:val="single"/>
        </w:rPr>
        <w:t>2025</w:t>
      </w:r>
      <w:r>
        <w:rPr>
          <w:rStyle w:val="11"/>
          <w:rFonts w:ascii="宋体" w:hAnsi="宋体" w:cs="宋体"/>
          <w:bCs/>
          <w:color w:val="auto"/>
          <w:sz w:val="24"/>
          <w:highlight w:val="none"/>
        </w:rPr>
        <w:t>年</w:t>
      </w:r>
      <w:r>
        <w:rPr>
          <w:rStyle w:val="11"/>
          <w:rFonts w:ascii="宋体" w:hAnsi="宋体" w:cs="宋体"/>
          <w:bCs/>
          <w:color w:val="auto"/>
          <w:sz w:val="24"/>
          <w:highlight w:val="none"/>
          <w:u w:val="single"/>
        </w:rPr>
        <w:t xml:space="preserve">  </w:t>
      </w:r>
      <w:r>
        <w:rPr>
          <w:rStyle w:val="11"/>
          <w:rFonts w:hint="eastAsia" w:ascii="宋体" w:hAnsi="宋体" w:cs="宋体"/>
          <w:bCs/>
          <w:color w:val="auto"/>
          <w:sz w:val="24"/>
          <w:highlight w:val="none"/>
          <w:u w:val="single"/>
          <w:lang w:val="en-US"/>
        </w:rPr>
        <w:t xml:space="preserve"> </w:t>
      </w:r>
      <w:r>
        <w:rPr>
          <w:rStyle w:val="11"/>
          <w:rFonts w:ascii="宋体" w:hAnsi="宋体" w:cs="宋体"/>
          <w:bCs/>
          <w:color w:val="auto"/>
          <w:sz w:val="24"/>
          <w:highlight w:val="none"/>
        </w:rPr>
        <w:t>月</w:t>
      </w:r>
      <w:r>
        <w:rPr>
          <w:rStyle w:val="11"/>
          <w:rFonts w:ascii="宋体" w:hAnsi="宋体" w:cs="宋体"/>
          <w:bCs/>
          <w:color w:val="auto"/>
          <w:sz w:val="24"/>
          <w:highlight w:val="none"/>
          <w:u w:val="single"/>
        </w:rPr>
        <w:t xml:space="preserve">  </w:t>
      </w:r>
      <w:r>
        <w:rPr>
          <w:rStyle w:val="11"/>
          <w:rFonts w:hint="eastAsia" w:ascii="宋体" w:hAnsi="宋体" w:cs="宋体"/>
          <w:bCs/>
          <w:color w:val="auto"/>
          <w:sz w:val="24"/>
          <w:highlight w:val="none"/>
          <w:u w:val="single"/>
          <w:lang w:val="en-US"/>
        </w:rPr>
        <w:t xml:space="preserve"> </w:t>
      </w:r>
      <w:r>
        <w:rPr>
          <w:rStyle w:val="11"/>
          <w:rFonts w:ascii="宋体" w:hAnsi="宋体" w:cs="宋体"/>
          <w:bCs/>
          <w:color w:val="auto"/>
          <w:sz w:val="24"/>
          <w:highlight w:val="none"/>
        </w:rPr>
        <w:t>日</w:t>
      </w:r>
      <w:r>
        <w:rPr>
          <w:rStyle w:val="11"/>
          <w:rFonts w:ascii="宋体" w:hAnsi="宋体" w:cs="宋体"/>
          <w:bCs/>
          <w:color w:val="auto"/>
          <w:sz w:val="24"/>
          <w:highlight w:val="none"/>
          <w:u w:val="single"/>
        </w:rPr>
        <w:t xml:space="preserve">   </w:t>
      </w:r>
      <w:r>
        <w:rPr>
          <w:rStyle w:val="11"/>
          <w:rFonts w:ascii="宋体" w:hAnsi="宋体" w:cs="宋体"/>
          <w:bCs/>
          <w:color w:val="auto"/>
          <w:sz w:val="24"/>
          <w:highlight w:val="none"/>
        </w:rPr>
        <w:t>时</w:t>
      </w:r>
      <w:r>
        <w:rPr>
          <w:rStyle w:val="11"/>
          <w:rFonts w:ascii="宋体" w:hAnsi="宋体" w:cs="宋体"/>
          <w:bCs/>
          <w:color w:val="auto"/>
          <w:sz w:val="24"/>
          <w:highlight w:val="none"/>
          <w:u w:val="single"/>
        </w:rPr>
        <w:t xml:space="preserve"> </w:t>
      </w:r>
      <w:r>
        <w:rPr>
          <w:rStyle w:val="11"/>
          <w:rFonts w:hint="eastAsia" w:ascii="宋体" w:hAnsi="宋体" w:cs="宋体"/>
          <w:bCs/>
          <w:color w:val="auto"/>
          <w:sz w:val="24"/>
          <w:highlight w:val="none"/>
          <w:u w:val="single"/>
        </w:rPr>
        <w:t xml:space="preserve"> </w:t>
      </w:r>
      <w:r>
        <w:rPr>
          <w:rStyle w:val="11"/>
          <w:rFonts w:hint="eastAsia" w:ascii="宋体" w:hAnsi="宋体" w:cs="宋体"/>
          <w:bCs/>
          <w:color w:val="auto"/>
          <w:sz w:val="24"/>
          <w:highlight w:val="none"/>
          <w:u w:val="single"/>
          <w:lang w:val="en-US"/>
        </w:rPr>
        <w:t xml:space="preserve"> </w:t>
      </w:r>
      <w:r>
        <w:rPr>
          <w:rStyle w:val="11"/>
          <w:rFonts w:ascii="宋体" w:hAnsi="宋体" w:cs="宋体"/>
          <w:bCs/>
          <w:color w:val="auto"/>
          <w:sz w:val="24"/>
          <w:highlight w:val="none"/>
        </w:rPr>
        <w:t>分至</w:t>
      </w:r>
      <w:r>
        <w:rPr>
          <w:rStyle w:val="11"/>
          <w:rFonts w:hint="eastAsia" w:ascii="宋体" w:hAnsi="宋体" w:cs="宋体"/>
          <w:bCs/>
          <w:color w:val="auto"/>
          <w:sz w:val="24"/>
          <w:highlight w:val="none"/>
          <w:u w:val="single"/>
        </w:rPr>
        <w:t>2025</w:t>
      </w:r>
      <w:r>
        <w:rPr>
          <w:rStyle w:val="11"/>
          <w:rFonts w:ascii="宋体" w:hAnsi="宋体" w:cs="宋体"/>
          <w:bCs/>
          <w:color w:val="auto"/>
          <w:sz w:val="24"/>
          <w:highlight w:val="none"/>
        </w:rPr>
        <w:t>年</w:t>
      </w:r>
      <w:r>
        <w:rPr>
          <w:rStyle w:val="11"/>
          <w:rFonts w:ascii="宋体" w:hAnsi="宋体" w:cs="宋体"/>
          <w:bCs/>
          <w:color w:val="auto"/>
          <w:sz w:val="24"/>
          <w:highlight w:val="none"/>
          <w:u w:val="single"/>
        </w:rPr>
        <w:t xml:space="preserve">  </w:t>
      </w:r>
      <w:r>
        <w:rPr>
          <w:rStyle w:val="11"/>
          <w:rFonts w:hint="eastAsia" w:ascii="宋体" w:hAnsi="宋体" w:cs="宋体"/>
          <w:bCs/>
          <w:color w:val="auto"/>
          <w:sz w:val="24"/>
          <w:highlight w:val="none"/>
          <w:u w:val="single"/>
          <w:lang w:val="en-US"/>
        </w:rPr>
        <w:t xml:space="preserve"> </w:t>
      </w:r>
      <w:r>
        <w:rPr>
          <w:rStyle w:val="11"/>
          <w:rFonts w:ascii="宋体" w:hAnsi="宋体" w:cs="宋体"/>
          <w:bCs/>
          <w:color w:val="auto"/>
          <w:sz w:val="24"/>
          <w:highlight w:val="none"/>
        </w:rPr>
        <w:t>月</w:t>
      </w:r>
      <w:r>
        <w:rPr>
          <w:rStyle w:val="11"/>
          <w:rFonts w:ascii="宋体" w:hAnsi="宋体" w:cs="宋体"/>
          <w:bCs/>
          <w:color w:val="auto"/>
          <w:sz w:val="24"/>
          <w:highlight w:val="none"/>
          <w:u w:val="single"/>
        </w:rPr>
        <w:t xml:space="preserve">  </w:t>
      </w:r>
      <w:r>
        <w:rPr>
          <w:rStyle w:val="11"/>
          <w:rFonts w:hint="eastAsia" w:ascii="宋体" w:hAnsi="宋体" w:cs="宋体"/>
          <w:bCs/>
          <w:color w:val="auto"/>
          <w:sz w:val="24"/>
          <w:highlight w:val="none"/>
          <w:u w:val="single"/>
          <w:lang w:val="en-US"/>
        </w:rPr>
        <w:t xml:space="preserve"> </w:t>
      </w:r>
      <w:r>
        <w:rPr>
          <w:rStyle w:val="11"/>
          <w:rFonts w:ascii="宋体" w:hAnsi="宋体" w:cs="宋体"/>
          <w:bCs/>
          <w:color w:val="auto"/>
          <w:sz w:val="24"/>
          <w:highlight w:val="none"/>
        </w:rPr>
        <w:t>日</w:t>
      </w:r>
      <w:r>
        <w:rPr>
          <w:rStyle w:val="11"/>
          <w:rFonts w:ascii="宋体" w:hAnsi="宋体" w:cs="宋体"/>
          <w:bCs/>
          <w:color w:val="auto"/>
          <w:sz w:val="24"/>
          <w:highlight w:val="none"/>
          <w:u w:val="single"/>
        </w:rPr>
        <w:t xml:space="preserve">   </w:t>
      </w:r>
      <w:r>
        <w:rPr>
          <w:rStyle w:val="11"/>
          <w:rFonts w:ascii="宋体" w:hAnsi="宋体" w:cs="宋体"/>
          <w:bCs/>
          <w:color w:val="auto"/>
          <w:sz w:val="24"/>
          <w:highlight w:val="none"/>
        </w:rPr>
        <w:t>时</w:t>
      </w:r>
      <w:r>
        <w:rPr>
          <w:rStyle w:val="11"/>
          <w:rFonts w:ascii="宋体" w:hAnsi="宋体" w:cs="宋体"/>
          <w:bCs/>
          <w:color w:val="auto"/>
          <w:sz w:val="24"/>
          <w:highlight w:val="none"/>
          <w:u w:val="single"/>
        </w:rPr>
        <w:t xml:space="preserve"> </w:t>
      </w:r>
      <w:r>
        <w:rPr>
          <w:rStyle w:val="11"/>
          <w:rFonts w:hint="eastAsia" w:ascii="宋体" w:hAnsi="宋体" w:cs="宋体"/>
          <w:bCs/>
          <w:color w:val="auto"/>
          <w:sz w:val="24"/>
          <w:highlight w:val="none"/>
          <w:u w:val="single"/>
        </w:rPr>
        <w:t xml:space="preserve"> </w:t>
      </w:r>
      <w:r>
        <w:rPr>
          <w:rStyle w:val="11"/>
          <w:rFonts w:hint="eastAsia" w:ascii="宋体" w:hAnsi="宋体" w:cs="宋体"/>
          <w:bCs/>
          <w:color w:val="auto"/>
          <w:sz w:val="24"/>
          <w:highlight w:val="none"/>
          <w:u w:val="single"/>
          <w:lang w:val="en-US"/>
        </w:rPr>
        <w:t xml:space="preserve"> </w:t>
      </w:r>
      <w:r>
        <w:rPr>
          <w:rStyle w:val="11"/>
          <w:rFonts w:ascii="宋体" w:hAnsi="宋体" w:cs="宋体"/>
          <w:bCs/>
          <w:color w:val="auto"/>
          <w:sz w:val="24"/>
          <w:highlight w:val="none"/>
        </w:rPr>
        <w:t>分</w:t>
      </w:r>
      <w:r>
        <w:rPr>
          <w:rFonts w:hint="eastAsia" w:ascii="宋体" w:hAnsi="宋体"/>
          <w:bCs/>
          <w:color w:val="auto"/>
          <w:sz w:val="24"/>
          <w:highlight w:val="none"/>
          <w:lang w:eastAsia="zh-CN"/>
        </w:rPr>
        <w:t>，凡有意参加投标者，请登录</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bCs/>
          <w:color w:val="auto"/>
          <w:sz w:val="24"/>
          <w:highlight w:val="none"/>
          <w:lang w:eastAsia="zh-CN"/>
        </w:rPr>
        <w:t>下载电子招标文件。</w:t>
      </w:r>
      <w:r>
        <w:rPr>
          <w:rFonts w:hint="eastAsia" w:ascii="宋体" w:hAnsi="宋体"/>
          <w:bCs/>
          <w:color w:val="auto"/>
          <w:sz w:val="24"/>
          <w:highlight w:val="none"/>
        </w:rPr>
        <w:t>（注：发布招标公告的时间为招标公告发出之日起至投标截止时间止）。</w:t>
      </w:r>
    </w:p>
    <w:p w14:paraId="3AAF8BCA">
      <w:pPr>
        <w:widowControl/>
        <w:shd w:val="clear" w:color="auto" w:fill="FFFFFF"/>
        <w:snapToGrid w:val="0"/>
        <w:spacing w:line="360" w:lineRule="auto"/>
        <w:ind w:left="567"/>
        <w:textAlignment w:val="baseline"/>
        <w:rPr>
          <w:rStyle w:val="11"/>
          <w:rFonts w:ascii="宋体" w:hAnsi="宋体" w:cs="宋体"/>
          <w:bCs/>
          <w:color w:val="auto"/>
          <w:sz w:val="24"/>
          <w:highlight w:val="none"/>
        </w:rPr>
      </w:pPr>
      <w:r>
        <w:rPr>
          <w:rStyle w:val="11"/>
          <w:rFonts w:hint="eastAsia" w:ascii="宋体" w:hAnsi="宋体" w:cs="宋体"/>
          <w:bCs/>
          <w:color w:val="auto"/>
          <w:sz w:val="24"/>
          <w:highlight w:val="none"/>
        </w:rPr>
        <w:t>4.2</w:t>
      </w:r>
      <w:r>
        <w:rPr>
          <w:rStyle w:val="11"/>
          <w:rFonts w:ascii="宋体" w:hAnsi="宋体" w:cs="宋体"/>
          <w:bCs/>
          <w:color w:val="auto"/>
          <w:sz w:val="24"/>
          <w:highlight w:val="none"/>
        </w:rPr>
        <w:t>招标文件获取方式</w:t>
      </w:r>
    </w:p>
    <w:bookmarkEnd w:id="41"/>
    <w:p w14:paraId="654870BF">
      <w:pPr>
        <w:spacing w:line="360" w:lineRule="auto"/>
        <w:ind w:firstLine="540" w:firstLineChars="225"/>
        <w:rPr>
          <w:rFonts w:hint="eastAsia" w:ascii="宋体" w:hAnsi="宋体"/>
          <w:color w:val="auto"/>
          <w:sz w:val="24"/>
          <w:szCs w:val="24"/>
          <w:highlight w:val="none"/>
        </w:rPr>
      </w:pPr>
      <w:bookmarkStart w:id="42" w:name="_Toc221949933"/>
      <w:r>
        <w:rPr>
          <w:rFonts w:hint="eastAsia" w:ascii="宋体" w:hAnsi="宋体" w:cs="宋体"/>
          <w:color w:val="auto"/>
          <w:kern w:val="0"/>
          <w:sz w:val="24"/>
          <w:szCs w:val="24"/>
          <w:highlight w:val="none"/>
        </w:rPr>
        <w:t>本项</w:t>
      </w:r>
      <w:r>
        <w:rPr>
          <w:rFonts w:hint="eastAsia" w:ascii="宋体" w:hAnsi="宋体" w:eastAsia="宋体" w:cs="Times New Roman"/>
          <w:color w:val="auto"/>
          <w:kern w:val="2"/>
          <w:sz w:val="24"/>
          <w:szCs w:val="24"/>
          <w:highlight w:val="none"/>
        </w:rPr>
        <w:t>目招标文件随招标公告一并在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eastAsia="宋体"/>
          <w:color w:val="auto"/>
          <w:sz w:val="24"/>
          <w:szCs w:val="24"/>
          <w:highlight w:val="none"/>
        </w:rPr>
        <w:t>发布</w:t>
      </w:r>
      <w:r>
        <w:rPr>
          <w:rFonts w:hint="eastAsia" w:ascii="宋体" w:hAnsi="宋体" w:eastAsia="宋体" w:cs="Times New Roman"/>
          <w:color w:val="auto"/>
          <w:kern w:val="2"/>
          <w:sz w:val="24"/>
          <w:szCs w:val="24"/>
          <w:highlight w:val="none"/>
        </w:rPr>
        <w:t>，由投标人自行下载。</w:t>
      </w:r>
    </w:p>
    <w:p w14:paraId="0E9F9A64">
      <w:pPr>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4.3</w:t>
      </w:r>
      <w:bookmarkEnd w:id="42"/>
      <w:r>
        <w:rPr>
          <w:rFonts w:hint="eastAsia" w:ascii="宋体" w:hAnsi="宋体"/>
          <w:color w:val="auto"/>
          <w:sz w:val="24"/>
          <w:szCs w:val="24"/>
          <w:highlight w:val="none"/>
        </w:rPr>
        <w:t>招标公告网上发布时，</w:t>
      </w:r>
      <w:r>
        <w:rPr>
          <w:rFonts w:hint="eastAsia" w:ascii="宋体" w:hAnsi="宋体"/>
          <w:bCs/>
          <w:color w:val="auto"/>
          <w:sz w:val="24"/>
          <w:highlight w:val="none"/>
        </w:rPr>
        <w:t>同时</w:t>
      </w:r>
      <w:r>
        <w:rPr>
          <w:rFonts w:hint="eastAsia" w:ascii="宋体" w:hAnsi="宋体" w:eastAsia="宋体" w:cs="Times New Roman"/>
          <w:color w:val="auto"/>
          <w:kern w:val="2"/>
          <w:sz w:val="24"/>
          <w:szCs w:val="24"/>
          <w:highlight w:val="none"/>
        </w:rPr>
        <w:t>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bCs/>
          <w:color w:val="auto"/>
          <w:sz w:val="24"/>
          <w:highlight w:val="none"/>
        </w:rPr>
        <w:t>发布招标文件、施工图纸、</w:t>
      </w:r>
      <w:r>
        <w:rPr>
          <w:rFonts w:hint="eastAsia" w:ascii="宋体" w:hAnsi="宋体"/>
          <w:bCs/>
          <w:color w:val="auto"/>
          <w:sz w:val="24"/>
          <w:highlight w:val="none"/>
          <w:lang w:eastAsia="zh-CN"/>
        </w:rPr>
        <w:t>最高投标限价</w:t>
      </w:r>
      <w:r>
        <w:rPr>
          <w:rFonts w:hint="eastAsia" w:ascii="宋体" w:hAnsi="宋体"/>
          <w:color w:val="auto"/>
          <w:sz w:val="24"/>
          <w:szCs w:val="24"/>
          <w:highlight w:val="none"/>
        </w:rPr>
        <w:t>。</w:t>
      </w:r>
    </w:p>
    <w:p w14:paraId="4D9AFF7B">
      <w:pPr>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如招标人需发布补充公告的，以最后发布的补充公告的时间起计算编制投标文件时间，并需在招标答疑中明确说明。</w:t>
      </w:r>
    </w:p>
    <w:p w14:paraId="5C7E5939">
      <w:pPr>
        <w:spacing w:line="360" w:lineRule="auto"/>
        <w:ind w:firstLine="542" w:firstLineChars="225"/>
        <w:rPr>
          <w:rFonts w:ascii="宋体" w:hAnsi="宋体"/>
          <w:b/>
          <w:color w:val="auto"/>
          <w:sz w:val="24"/>
          <w:szCs w:val="24"/>
          <w:highlight w:val="none"/>
        </w:rPr>
      </w:pPr>
      <w:r>
        <w:rPr>
          <w:rFonts w:hint="eastAsia" w:ascii="宋体" w:hAnsi="宋体"/>
          <w:b/>
          <w:color w:val="auto"/>
          <w:sz w:val="24"/>
          <w:szCs w:val="24"/>
          <w:highlight w:val="none"/>
        </w:rPr>
        <w:t>5</w:t>
      </w:r>
      <w:r>
        <w:rPr>
          <w:rFonts w:ascii="宋体" w:hAnsi="宋体"/>
          <w:b/>
          <w:color w:val="auto"/>
          <w:sz w:val="24"/>
          <w:szCs w:val="24"/>
          <w:highlight w:val="none"/>
        </w:rPr>
        <w:t>. 投标文件的递交</w:t>
      </w:r>
      <w:bookmarkEnd w:id="31"/>
      <w:bookmarkEnd w:id="32"/>
      <w:bookmarkEnd w:id="33"/>
      <w:bookmarkEnd w:id="34"/>
      <w:bookmarkEnd w:id="35"/>
      <w:bookmarkEnd w:id="36"/>
      <w:bookmarkEnd w:id="37"/>
      <w:bookmarkEnd w:id="38"/>
      <w:bookmarkEnd w:id="39"/>
      <w:bookmarkEnd w:id="40"/>
    </w:p>
    <w:p w14:paraId="47F2D1DC">
      <w:pPr>
        <w:numPr>
          <w:ilvl w:val="0"/>
          <w:numId w:val="1"/>
        </w:numPr>
        <w:spacing w:line="360" w:lineRule="auto"/>
        <w:ind w:left="420" w:firstLine="0"/>
        <w:jc w:val="left"/>
        <w:rPr>
          <w:rFonts w:ascii="宋体" w:hAnsi="宋体"/>
          <w:color w:val="auto"/>
          <w:sz w:val="24"/>
          <w:szCs w:val="24"/>
          <w:highlight w:val="none"/>
        </w:rPr>
      </w:pPr>
      <w:r>
        <w:rPr>
          <w:rFonts w:hint="eastAsia" w:ascii="宋体" w:hAnsi="宋体"/>
          <w:color w:val="auto"/>
          <w:sz w:val="24"/>
          <w:szCs w:val="24"/>
          <w:highlight w:val="none"/>
        </w:rPr>
        <w:t>递交投标文件</w:t>
      </w:r>
      <w:r>
        <w:rPr>
          <w:rFonts w:hint="eastAsia" w:ascii="宋体" w:hAnsi="宋体"/>
          <w:color w:val="auto"/>
          <w:sz w:val="24"/>
          <w:szCs w:val="24"/>
          <w:highlight w:val="none"/>
          <w:lang w:eastAsia="zh-CN"/>
        </w:rPr>
        <w:t>起始时间：</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p>
    <w:p w14:paraId="0EE4320C">
      <w:pPr>
        <w:numPr>
          <w:ilvl w:val="0"/>
          <w:numId w:val="0"/>
        </w:numPr>
        <w:spacing w:line="360" w:lineRule="auto"/>
        <w:ind w:left="0" w:leftChars="0" w:firstLine="2318" w:firstLineChars="966"/>
        <w:jc w:val="left"/>
        <w:rPr>
          <w:rFonts w:ascii="宋体" w:hAnsi="宋体"/>
          <w:color w:val="auto"/>
          <w:sz w:val="24"/>
          <w:szCs w:val="24"/>
          <w:highlight w:val="none"/>
        </w:rPr>
      </w:pPr>
      <w:r>
        <w:rPr>
          <w:rFonts w:hint="eastAsia" w:ascii="宋体" w:hAnsi="宋体"/>
          <w:color w:val="auto"/>
          <w:sz w:val="24"/>
          <w:szCs w:val="24"/>
          <w:highlight w:val="none"/>
        </w:rPr>
        <w:t>截止时间</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分</w:t>
      </w:r>
    </w:p>
    <w:p w14:paraId="134903BD">
      <w:pPr>
        <w:spacing w:line="360" w:lineRule="auto"/>
        <w:ind w:firstLine="540" w:firstLineChars="225"/>
        <w:rPr>
          <w:rFonts w:ascii="宋体" w:hAnsi="宋体"/>
          <w:color w:val="auto"/>
          <w:sz w:val="24"/>
          <w:szCs w:val="24"/>
          <w:highlight w:val="none"/>
        </w:rPr>
      </w:pPr>
      <w:r>
        <w:rPr>
          <w:rFonts w:hint="eastAsia" w:ascii="宋体" w:hAnsi="宋体" w:cs="宋体"/>
          <w:color w:val="auto"/>
          <w:sz w:val="24"/>
          <w:szCs w:val="24"/>
          <w:highlight w:val="none"/>
        </w:rPr>
        <w:t>在投标截止时间后半小时内，投标人通过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lang w:eastAsia="zh-CN"/>
        </w:rPr>
        <w:t>网站</w:t>
      </w:r>
      <w:r>
        <w:rPr>
          <w:rFonts w:hint="eastAsia" w:ascii="宋体" w:hAnsi="宋体" w:cs="宋体"/>
          <w:color w:val="auto"/>
          <w:sz w:val="24"/>
          <w:szCs w:val="24"/>
          <w:highlight w:val="none"/>
        </w:rPr>
        <w:t>对已递交的电子投标文件进行解密。</w:t>
      </w:r>
    </w:p>
    <w:p w14:paraId="1881F241">
      <w:pPr>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5.2开标</w:t>
      </w:r>
      <w:r>
        <w:rPr>
          <w:rFonts w:hint="eastAsia" w:ascii="宋体" w:hAnsi="宋体"/>
          <w:color w:val="auto"/>
          <w:sz w:val="24"/>
          <w:szCs w:val="24"/>
          <w:highlight w:val="none"/>
          <w:lang w:eastAsia="zh-CN"/>
        </w:rPr>
        <w:t>开始</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2025</w:t>
      </w:r>
      <w:r>
        <w:rPr>
          <w:rFonts w:hint="eastAsia" w:ascii="宋体" w:hAnsi="宋体"/>
          <w:color w:val="auto"/>
          <w:sz w:val="24"/>
          <w:szCs w:val="24"/>
          <w:highlight w:val="none"/>
        </w:rPr>
        <w:t>年_</w:t>
      </w:r>
      <w:r>
        <w:rPr>
          <w:rFonts w:ascii="宋体" w:hAnsi="宋体"/>
          <w:color w:val="auto"/>
          <w:sz w:val="24"/>
          <w:szCs w:val="24"/>
          <w:highlight w:val="none"/>
        </w:rPr>
        <w:t>_</w:t>
      </w:r>
      <w:r>
        <w:rPr>
          <w:rFonts w:hint="eastAsia" w:ascii="宋体" w:hAnsi="宋体"/>
          <w:color w:val="auto"/>
          <w:sz w:val="24"/>
          <w:szCs w:val="24"/>
          <w:highlight w:val="none"/>
        </w:rPr>
        <w:t>_月_</w:t>
      </w:r>
      <w:r>
        <w:rPr>
          <w:rFonts w:ascii="宋体" w:hAnsi="宋体"/>
          <w:color w:val="auto"/>
          <w:sz w:val="24"/>
          <w:szCs w:val="24"/>
          <w:highlight w:val="none"/>
        </w:rPr>
        <w:t>_</w:t>
      </w:r>
      <w:r>
        <w:rPr>
          <w:rFonts w:hint="eastAsia" w:ascii="宋体" w:hAnsi="宋体"/>
          <w:color w:val="auto"/>
          <w:sz w:val="24"/>
          <w:szCs w:val="24"/>
          <w:highlight w:val="none"/>
        </w:rPr>
        <w:t>_日_</w:t>
      </w:r>
      <w:r>
        <w:rPr>
          <w:rFonts w:ascii="宋体" w:hAnsi="宋体"/>
          <w:color w:val="auto"/>
          <w:sz w:val="24"/>
          <w:szCs w:val="24"/>
          <w:highlight w:val="none"/>
        </w:rPr>
        <w:t>_</w:t>
      </w:r>
      <w:r>
        <w:rPr>
          <w:rFonts w:hint="eastAsia" w:ascii="宋体" w:hAnsi="宋体"/>
          <w:color w:val="auto"/>
          <w:sz w:val="24"/>
          <w:szCs w:val="24"/>
          <w:highlight w:val="none"/>
        </w:rPr>
        <w:t>_时_</w:t>
      </w:r>
      <w:r>
        <w:rPr>
          <w:rFonts w:ascii="宋体" w:hAnsi="宋体"/>
          <w:color w:val="auto"/>
          <w:sz w:val="24"/>
          <w:szCs w:val="24"/>
          <w:highlight w:val="none"/>
        </w:rPr>
        <w:t>_</w:t>
      </w:r>
      <w:r>
        <w:rPr>
          <w:rFonts w:hint="eastAsia" w:ascii="宋体" w:hAnsi="宋体"/>
          <w:color w:val="auto"/>
          <w:sz w:val="24"/>
          <w:szCs w:val="24"/>
          <w:highlight w:val="none"/>
        </w:rPr>
        <w:t>_分</w:t>
      </w:r>
    </w:p>
    <w:p w14:paraId="45CC793C">
      <w:pPr>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5.3递交投标文件截止时间与开标开始时间是否有变化，请密切留意招标答疑中的相关信息。递交投标文件截止时间后，开标开始时间因故推迟的，相关评标信息仍以原递交投标文件截止时间的信息为准。</w:t>
      </w:r>
    </w:p>
    <w:p w14:paraId="6274C862">
      <w:pPr>
        <w:widowControl/>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5.4</w:t>
      </w:r>
      <w:r>
        <w:rPr>
          <w:rFonts w:hint="eastAsia" w:ascii="宋体" w:hAnsi="宋体"/>
          <w:color w:val="auto"/>
          <w:sz w:val="24"/>
          <w:szCs w:val="24"/>
          <w:highlight w:val="none"/>
        </w:rPr>
        <w:t>投标人通过</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olor w:val="auto"/>
          <w:sz w:val="24"/>
          <w:szCs w:val="24"/>
          <w:highlight w:val="none"/>
        </w:rPr>
        <w:t>递交电子投标文件。投标人应在递交投标文件截止时间前，登录</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olor w:val="auto"/>
          <w:sz w:val="24"/>
          <w:szCs w:val="24"/>
          <w:highlight w:val="none"/>
        </w:rPr>
        <w:t>办理网上投标登记手续</w:t>
      </w:r>
      <w:r>
        <w:rPr>
          <w:rFonts w:hint="eastAsia" w:ascii="宋体" w:hAnsi="宋体"/>
          <w:color w:val="auto"/>
          <w:sz w:val="24"/>
          <w:szCs w:val="24"/>
          <w:highlight w:val="none"/>
          <w:lang w:eastAsia="zh-CN"/>
        </w:rPr>
        <w:t>。按照</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olor w:val="auto"/>
          <w:sz w:val="24"/>
          <w:szCs w:val="24"/>
          <w:highlight w:val="none"/>
          <w:lang w:eastAsia="zh-CN"/>
        </w:rPr>
        <w:t>关于全流程电子化项目的相关指南进行操作</w:t>
      </w:r>
      <w:r>
        <w:rPr>
          <w:rFonts w:hint="eastAsia" w:ascii="宋体" w:hAnsi="宋体"/>
          <w:color w:val="auto"/>
          <w:sz w:val="24"/>
          <w:szCs w:val="24"/>
          <w:highlight w:val="none"/>
        </w:rPr>
        <w:t>。</w:t>
      </w:r>
    </w:p>
    <w:p w14:paraId="0913B4C3">
      <w:pPr>
        <w:widowControl/>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投标人应自行检查</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信息登记中的企业基础信息扫描件（包括企业资质证书、企业营业执照、企业安全生产许可证、项目负责人相关证书、</w:t>
      </w:r>
      <w:r>
        <w:rPr>
          <w:rFonts w:hint="eastAsia" w:ascii="宋体" w:hAnsi="宋体"/>
          <w:color w:val="auto"/>
          <w:sz w:val="24"/>
          <w:szCs w:val="24"/>
          <w:highlight w:val="none"/>
          <w:lang w:val="en-US" w:eastAsia="zh-CN"/>
        </w:rPr>
        <w:t>专职</w:t>
      </w:r>
      <w:r>
        <w:rPr>
          <w:rFonts w:hint="eastAsia" w:ascii="宋体" w:hAnsi="宋体"/>
          <w:color w:val="auto"/>
          <w:sz w:val="24"/>
          <w:szCs w:val="24"/>
          <w:highlight w:val="none"/>
        </w:rPr>
        <w:t>安全员</w:t>
      </w:r>
      <w:r>
        <w:rPr>
          <w:rFonts w:hint="eastAsia" w:ascii="宋体" w:hAnsi="宋体"/>
          <w:color w:val="auto"/>
          <w:sz w:val="24"/>
          <w:szCs w:val="24"/>
          <w:highlight w:val="none"/>
          <w:lang w:eastAsia="zh-CN"/>
        </w:rPr>
        <w:t>安全生产考核合格证</w:t>
      </w:r>
      <w:r>
        <w:rPr>
          <w:rFonts w:hint="eastAsia" w:ascii="宋体" w:hAnsi="宋体"/>
          <w:color w:val="auto"/>
          <w:sz w:val="24"/>
          <w:szCs w:val="24"/>
          <w:highlight w:val="none"/>
        </w:rPr>
        <w:t>等），评标委员会对上述资料的审查将以递交投标文件截止时间在</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信息登记的信息为依据。投标人应及时维护其在</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信息登记的信息，确保各项信息在有效期内。如因投标单位资料缺失导致资格审查不通过，责任由投标单位自行承担。</w:t>
      </w:r>
    </w:p>
    <w:p w14:paraId="3091CC69">
      <w:pPr>
        <w:spacing w:line="360" w:lineRule="auto"/>
        <w:ind w:firstLine="542" w:firstLineChars="225"/>
        <w:rPr>
          <w:rFonts w:ascii="宋体" w:hAnsi="宋体"/>
          <w:b/>
          <w:color w:val="auto"/>
          <w:sz w:val="24"/>
          <w:szCs w:val="24"/>
          <w:highlight w:val="none"/>
        </w:rPr>
      </w:pPr>
      <w:bookmarkStart w:id="43" w:name="_Toc259524301"/>
      <w:bookmarkStart w:id="44" w:name="_Toc222030970"/>
      <w:bookmarkStart w:id="45" w:name="_Toc222029468"/>
      <w:bookmarkStart w:id="46" w:name="_Toc221949937"/>
      <w:bookmarkStart w:id="47" w:name="_Toc222032637"/>
      <w:bookmarkStart w:id="48" w:name="_Toc229305328"/>
      <w:bookmarkStart w:id="49" w:name="_Toc222033819"/>
      <w:r>
        <w:rPr>
          <w:rFonts w:hint="eastAsia" w:ascii="宋体" w:hAnsi="宋体"/>
          <w:b/>
          <w:color w:val="auto"/>
          <w:sz w:val="24"/>
          <w:szCs w:val="24"/>
          <w:highlight w:val="none"/>
        </w:rPr>
        <w:t>6、办理</w:t>
      </w:r>
      <w:r>
        <w:rPr>
          <w:rFonts w:hint="eastAsia" w:ascii="宋体" w:hAnsi="宋体"/>
          <w:b/>
          <w:color w:val="auto"/>
          <w:sz w:val="24"/>
          <w:szCs w:val="24"/>
          <w:highlight w:val="none"/>
          <w:lang w:eastAsia="zh-CN"/>
        </w:rPr>
        <w:t>企业信息登记</w:t>
      </w:r>
    </w:p>
    <w:p w14:paraId="615FABD7">
      <w:pPr>
        <w:spacing w:line="360" w:lineRule="auto"/>
        <w:ind w:firstLine="480" w:firstLineChars="200"/>
        <w:rPr>
          <w:rFonts w:hint="eastAsia" w:ascii="宋体" w:hAnsi="宋体"/>
          <w:color w:val="auto"/>
          <w:sz w:val="24"/>
          <w:szCs w:val="24"/>
          <w:highlight w:val="none"/>
        </w:rPr>
      </w:pPr>
      <w:bookmarkStart w:id="50" w:name="OLE_LINK2"/>
      <w:r>
        <w:rPr>
          <w:rFonts w:hint="eastAsia"/>
          <w:color w:val="auto"/>
          <w:sz w:val="24"/>
          <w:highlight w:val="none"/>
        </w:rPr>
        <w:t>本次招标要求投标人办理网上投标登记前，须在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color w:val="auto"/>
          <w:sz w:val="24"/>
          <w:highlight w:val="none"/>
        </w:rPr>
        <w:t>完成企业信息登记，及拟担任本工程项目负责人</w:t>
      </w:r>
      <w:bookmarkEnd w:id="50"/>
      <w:r>
        <w:rPr>
          <w:rFonts w:hint="eastAsia"/>
          <w:color w:val="auto"/>
          <w:sz w:val="24"/>
          <w:highlight w:val="none"/>
        </w:rPr>
        <w:t>、专职安全员须是本企业信息登记中的在册人员。</w:t>
      </w:r>
      <w:r>
        <w:rPr>
          <w:rFonts w:hint="eastAsia" w:ascii="宋体" w:hAnsi="宋体" w:cs="宋体"/>
          <w:color w:val="auto"/>
          <w:kern w:val="0"/>
          <w:sz w:val="24"/>
          <w:szCs w:val="24"/>
          <w:highlight w:val="none"/>
        </w:rPr>
        <w:t>企业信息登记应按照</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u w:val="none"/>
          <w:lang w:eastAsia="zh-CN"/>
        </w:rPr>
        <w:t>网站</w:t>
      </w:r>
      <w:r>
        <w:rPr>
          <w:rFonts w:hint="eastAsia" w:ascii="宋体" w:hAnsi="宋体" w:cs="宋体"/>
          <w:color w:val="auto"/>
          <w:kern w:val="0"/>
          <w:sz w:val="24"/>
          <w:szCs w:val="24"/>
          <w:highlight w:val="none"/>
        </w:rPr>
        <w:t>关于企业信息登记的相关指南进行操作。</w:t>
      </w:r>
    </w:p>
    <w:p w14:paraId="5C0BC1AB">
      <w:pPr>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7</w:t>
      </w:r>
      <w:r>
        <w:rPr>
          <w:rFonts w:hint="eastAsia" w:ascii="宋体" w:hAnsi="宋体"/>
          <w:b/>
          <w:color w:val="auto"/>
          <w:sz w:val="24"/>
          <w:szCs w:val="24"/>
          <w:highlight w:val="none"/>
        </w:rPr>
        <w:t>、</w:t>
      </w:r>
      <w:r>
        <w:rPr>
          <w:rFonts w:hint="eastAsia" w:ascii="宋体" w:hAnsi="宋体" w:cs="宋体"/>
          <w:b/>
          <w:color w:val="auto"/>
          <w:kern w:val="0"/>
          <w:sz w:val="24"/>
          <w:szCs w:val="24"/>
          <w:highlight w:val="none"/>
        </w:rPr>
        <w:t>疑问、异议和投诉处理</w:t>
      </w:r>
    </w:p>
    <w:p w14:paraId="36825F85">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.1</w:t>
      </w:r>
      <w:r>
        <w:rPr>
          <w:rFonts w:hint="eastAsia"/>
          <w:color w:val="auto"/>
          <w:sz w:val="24"/>
          <w:highlight w:val="none"/>
        </w:rPr>
        <w:t>关于疑问、异议、投诉的基本概念和处理程序详见</w:t>
      </w:r>
      <w:r>
        <w:rPr>
          <w:rFonts w:hint="eastAsia"/>
          <w:color w:val="auto"/>
          <w:sz w:val="24"/>
          <w:highlight w:val="none"/>
          <w:lang w:eastAsia="zh-CN"/>
        </w:rPr>
        <w:t>《中华人民共和国招标投标法》、《中华人民共和国招标投标法实施条例》、《工程建设项目招标投标活动投诉处理办法》</w:t>
      </w:r>
      <w:r>
        <w:rPr>
          <w:rFonts w:hint="eastAsia"/>
          <w:color w:val="auto"/>
          <w:sz w:val="24"/>
          <w:szCs w:val="24"/>
          <w:highlight w:val="none"/>
          <w:lang w:eastAsia="zh-CN"/>
        </w:rPr>
        <w:t>和</w:t>
      </w:r>
      <w:r>
        <w:rPr>
          <w:rFonts w:hint="eastAsia" w:ascii="宋体" w:hAnsi="宋体" w:eastAsia="宋体" w:cs="宋体"/>
          <w:color w:val="auto"/>
          <w:sz w:val="24"/>
          <w:szCs w:val="24"/>
          <w:highlight w:val="none"/>
        </w:rPr>
        <w:t>《广州市水务局关于进一步加强水务工程项目招标投标活动监督管理工作的通知》（穗水建管〔2023〕78号）</w:t>
      </w:r>
      <w:r>
        <w:rPr>
          <w:rFonts w:hint="eastAsia"/>
          <w:color w:val="auto"/>
          <w:sz w:val="24"/>
          <w:highlight w:val="none"/>
        </w:rPr>
        <w:t>。</w:t>
      </w:r>
    </w:p>
    <w:p w14:paraId="2DCB125F">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387B5489">
      <w:pPr>
        <w:widowControl/>
        <w:spacing w:before="94" w:after="94"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6F94C2EB">
      <w:pPr>
        <w:widowControl/>
        <w:spacing w:before="94" w:after="94" w:line="360" w:lineRule="auto"/>
        <w:ind w:firstLine="598"/>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2932EDF1">
      <w:pPr>
        <w:widowControl/>
        <w:spacing w:before="94" w:after="94" w:line="360" w:lineRule="auto"/>
        <w:ind w:firstLine="598"/>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40D6CFB">
      <w:pPr>
        <w:keepNext w:val="0"/>
        <w:keepLines w:val="0"/>
        <w:pageBreakBefore w:val="0"/>
        <w:widowControl/>
        <w:kinsoku/>
        <w:wordWrap/>
        <w:overflowPunct/>
        <w:topLinePunct w:val="0"/>
        <w:autoSpaceDE/>
        <w:autoSpaceDN/>
        <w:bidi w:val="0"/>
        <w:adjustRightInd/>
        <w:snapToGrid/>
        <w:spacing w:before="94" w:after="94" w:line="360" w:lineRule="auto"/>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异议受理部门：广州市净水有限公司</w:t>
      </w:r>
    </w:p>
    <w:p w14:paraId="2CAA1F12">
      <w:pPr>
        <w:keepNext w:val="0"/>
        <w:keepLines w:val="0"/>
        <w:pageBreakBefore w:val="0"/>
        <w:widowControl/>
        <w:kinsoku/>
        <w:wordWrap/>
        <w:overflowPunct/>
        <w:topLinePunct w:val="0"/>
        <w:autoSpaceDE/>
        <w:autoSpaceDN/>
        <w:bidi w:val="0"/>
        <w:adjustRightInd/>
        <w:snapToGrid/>
        <w:spacing w:before="94" w:after="94" w:line="360" w:lineRule="auto"/>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电话：020-</w:t>
      </w:r>
      <w:r>
        <w:rPr>
          <w:rFonts w:hint="eastAsia" w:ascii="宋体" w:hAnsi="宋体" w:cs="宋体"/>
          <w:color w:val="auto"/>
          <w:kern w:val="0"/>
          <w:sz w:val="24"/>
          <w:szCs w:val="24"/>
          <w:highlight w:val="none"/>
          <w:lang w:val="en-US" w:eastAsia="zh-CN"/>
        </w:rPr>
        <w:t>38890841</w:t>
      </w:r>
    </w:p>
    <w:p w14:paraId="207E474D">
      <w:pPr>
        <w:keepNext w:val="0"/>
        <w:keepLines w:val="0"/>
        <w:pageBreakBefore w:val="0"/>
        <w:widowControl/>
        <w:kinsoku/>
        <w:wordWrap/>
        <w:overflowPunct/>
        <w:topLinePunct w:val="0"/>
        <w:autoSpaceDE/>
        <w:autoSpaceDN/>
        <w:bidi w:val="0"/>
        <w:adjustRightInd/>
        <w:snapToGrid/>
        <w:spacing w:before="94" w:after="94" w:line="360" w:lineRule="auto"/>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地址：广州市</w:t>
      </w:r>
      <w:r>
        <w:rPr>
          <w:rFonts w:hint="eastAsia" w:ascii="宋体" w:hAnsi="宋体" w:cs="宋体"/>
          <w:color w:val="auto"/>
          <w:kern w:val="0"/>
          <w:sz w:val="24"/>
          <w:szCs w:val="24"/>
          <w:highlight w:val="none"/>
          <w:lang w:val="en-US" w:eastAsia="zh-CN"/>
        </w:rPr>
        <w:t>天河区</w:t>
      </w:r>
      <w:r>
        <w:rPr>
          <w:rFonts w:hint="eastAsia" w:ascii="宋体" w:hAnsi="宋体" w:cs="宋体"/>
          <w:color w:val="auto"/>
          <w:kern w:val="0"/>
          <w:sz w:val="24"/>
          <w:szCs w:val="24"/>
          <w:highlight w:val="none"/>
        </w:rPr>
        <w:t>临江大道501号</w:t>
      </w:r>
    </w:p>
    <w:p w14:paraId="4D42FF94">
      <w:pPr>
        <w:keepNext w:val="0"/>
        <w:keepLines w:val="0"/>
        <w:pageBreakBefore w:val="0"/>
        <w:widowControl/>
        <w:kinsoku/>
        <w:wordWrap/>
        <w:overflowPunct/>
        <w:topLinePunct w:val="0"/>
        <w:autoSpaceDE/>
        <w:autoSpaceDN/>
        <w:bidi w:val="0"/>
        <w:adjustRightInd/>
        <w:snapToGrid/>
        <w:spacing w:before="94" w:after="94" w:line="360" w:lineRule="auto"/>
        <w:ind w:firstLine="480" w:firstLineChars="200"/>
        <w:jc w:val="left"/>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投诉受理部门：广州市净水有限公司</w:t>
      </w:r>
    </w:p>
    <w:p w14:paraId="417475DE">
      <w:pPr>
        <w:keepNext w:val="0"/>
        <w:keepLines w:val="0"/>
        <w:pageBreakBefore w:val="0"/>
        <w:widowControl/>
        <w:kinsoku/>
        <w:wordWrap/>
        <w:overflowPunct/>
        <w:topLinePunct w:val="0"/>
        <w:autoSpaceDE/>
        <w:autoSpaceDN/>
        <w:bidi w:val="0"/>
        <w:adjustRightInd/>
        <w:snapToGrid/>
        <w:spacing w:before="94" w:after="94" w:line="360" w:lineRule="auto"/>
        <w:ind w:firstLine="480" w:firstLineChars="200"/>
        <w:jc w:val="left"/>
        <w:textAlignment w:val="auto"/>
        <w:rPr>
          <w:rFonts w:hint="default" w:eastAsia="宋体"/>
          <w:color w:val="auto"/>
          <w:highlight w:val="none"/>
          <w:lang w:val="en-US" w:eastAsia="zh-CN"/>
        </w:rPr>
      </w:pPr>
      <w:r>
        <w:rPr>
          <w:rFonts w:hint="eastAsia" w:ascii="宋体" w:hAnsi="宋体" w:cs="宋体"/>
          <w:color w:val="auto"/>
          <w:kern w:val="0"/>
          <w:sz w:val="24"/>
          <w:szCs w:val="24"/>
          <w:highlight w:val="none"/>
        </w:rPr>
        <w:t>电话：020-</w:t>
      </w:r>
      <w:r>
        <w:rPr>
          <w:rFonts w:hint="eastAsia" w:ascii="宋体" w:hAnsi="宋体" w:cs="宋体"/>
          <w:color w:val="auto"/>
          <w:kern w:val="0"/>
          <w:sz w:val="24"/>
          <w:szCs w:val="24"/>
          <w:highlight w:val="none"/>
          <w:lang w:val="en-US" w:eastAsia="zh-CN"/>
        </w:rPr>
        <w:t>62315524</w:t>
      </w:r>
    </w:p>
    <w:bookmarkEnd w:id="43"/>
    <w:bookmarkEnd w:id="44"/>
    <w:bookmarkEnd w:id="45"/>
    <w:bookmarkEnd w:id="46"/>
    <w:bookmarkEnd w:id="47"/>
    <w:bookmarkEnd w:id="48"/>
    <w:bookmarkEnd w:id="49"/>
    <w:p w14:paraId="40A1223F">
      <w:pPr>
        <w:keepNext w:val="0"/>
        <w:keepLines w:val="0"/>
        <w:pageBreakBefore w:val="0"/>
        <w:kinsoku/>
        <w:wordWrap/>
        <w:overflowPunct/>
        <w:topLinePunct w:val="0"/>
        <w:autoSpaceDE/>
        <w:autoSpaceDN/>
        <w:bidi w:val="0"/>
        <w:adjustRightInd/>
        <w:snapToGrid/>
        <w:spacing w:line="360" w:lineRule="auto"/>
        <w:ind w:firstLine="542" w:firstLineChars="225"/>
        <w:textAlignment w:val="auto"/>
        <w:rPr>
          <w:rFonts w:hint="eastAsia" w:ascii="宋体" w:hAnsi="宋体" w:eastAsia="宋体" w:cs="宋体"/>
          <w:b/>
          <w:color w:val="auto"/>
          <w:sz w:val="24"/>
          <w:szCs w:val="24"/>
          <w:highlight w:val="none"/>
        </w:rPr>
      </w:pPr>
      <w:bookmarkStart w:id="51" w:name="_Toc221949939"/>
      <w:bookmarkStart w:id="52" w:name="_Toc168476034"/>
      <w:bookmarkStart w:id="53" w:name="_Toc222030971"/>
      <w:bookmarkStart w:id="54" w:name="_Toc259524302"/>
      <w:bookmarkStart w:id="55" w:name="_Toc222033820"/>
      <w:bookmarkStart w:id="56" w:name="_Toc229305329"/>
      <w:bookmarkStart w:id="57" w:name="_Toc222029469"/>
      <w:bookmarkStart w:id="58" w:name="_Toc168475631"/>
      <w:bookmarkStart w:id="59" w:name="_Toc222032638"/>
      <w:r>
        <w:rPr>
          <w:rFonts w:hint="eastAsia" w:ascii="宋体" w:hAnsi="宋体" w:eastAsia="宋体" w:cs="宋体"/>
          <w:b/>
          <w:color w:val="auto"/>
          <w:sz w:val="24"/>
          <w:szCs w:val="24"/>
          <w:highlight w:val="none"/>
        </w:rPr>
        <w:t>8.发布公告的媒介</w:t>
      </w:r>
      <w:bookmarkEnd w:id="51"/>
      <w:bookmarkEnd w:id="52"/>
      <w:bookmarkEnd w:id="53"/>
      <w:bookmarkEnd w:id="54"/>
      <w:bookmarkEnd w:id="55"/>
      <w:bookmarkEnd w:id="56"/>
      <w:bookmarkEnd w:id="57"/>
      <w:bookmarkEnd w:id="58"/>
      <w:bookmarkEnd w:id="59"/>
    </w:p>
    <w:p w14:paraId="20F352F3">
      <w:pPr>
        <w:spacing w:line="360" w:lineRule="auto"/>
        <w:ind w:firstLine="480" w:firstLineChars="200"/>
        <w:rPr>
          <w:rFonts w:hint="eastAsia" w:ascii="宋体" w:hAnsi="宋体" w:eastAsia="宋体" w:cs="宋体"/>
          <w:color w:val="auto"/>
          <w:sz w:val="24"/>
          <w:szCs w:val="24"/>
          <w:highlight w:val="none"/>
        </w:rPr>
      </w:pPr>
      <w:bookmarkStart w:id="60" w:name="_Toc221949940"/>
      <w:r>
        <w:rPr>
          <w:rFonts w:hint="eastAsia" w:ascii="宋体" w:hAnsi="宋体" w:eastAsia="宋体" w:cs="宋体"/>
          <w:bCs/>
          <w:color w:val="auto"/>
          <w:sz w:val="24"/>
          <w:highlight w:val="none"/>
        </w:rPr>
        <w:t>本公告在</w:t>
      </w:r>
      <w:r>
        <w:rPr>
          <w:rFonts w:hint="eastAsia" w:ascii="宋体" w:hAnsi="宋体" w:eastAsia="宋体" w:cs="宋体"/>
          <w:bCs/>
          <w:color w:val="auto"/>
          <w:sz w:val="24"/>
          <w:highlight w:val="none"/>
          <w:lang w:eastAsia="zh-CN"/>
        </w:rPr>
        <w:t>广州交易集团有限公司（广州公共资源交易中心）</w:t>
      </w:r>
      <w:r>
        <w:rPr>
          <w:rFonts w:hint="eastAsia" w:ascii="宋体" w:hAnsi="宋体" w:eastAsia="宋体" w:cs="宋体"/>
          <w:bCs/>
          <w:color w:val="auto"/>
          <w:sz w:val="24"/>
          <w:highlight w:val="none"/>
        </w:rPr>
        <w:t>网（网址：http://www.gzggzy.cn）</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中国招标投标公共服务平台（网址：http://www.cebpubservice.com/）和</w:t>
      </w:r>
      <w:r>
        <w:rPr>
          <w:rFonts w:hint="eastAsia" w:ascii="宋体" w:hAnsi="宋体" w:eastAsia="宋体" w:cs="宋体"/>
          <w:bCs/>
          <w:color w:val="auto"/>
          <w:sz w:val="24"/>
          <w:highlight w:val="none"/>
          <w:lang w:eastAsia="zh-CN"/>
        </w:rPr>
        <w:t>广州国企阳光采购信息发布平台网站（http://ygcg.gzggzy.cn/）上</w:t>
      </w:r>
      <w:r>
        <w:rPr>
          <w:rFonts w:hint="eastAsia" w:ascii="宋体" w:hAnsi="宋体" w:eastAsia="宋体" w:cs="宋体"/>
          <w:bCs/>
          <w:color w:val="auto"/>
          <w:sz w:val="24"/>
          <w:highlight w:val="none"/>
        </w:rPr>
        <w:t>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u w:val="none"/>
          <w:lang w:eastAsia="zh-CN"/>
        </w:rPr>
        <w:t>网站</w:t>
      </w:r>
      <w:r>
        <w:rPr>
          <w:rFonts w:hint="eastAsia" w:ascii="宋体" w:hAnsi="宋体" w:eastAsia="宋体" w:cs="宋体"/>
          <w:bCs/>
          <w:color w:val="auto"/>
          <w:sz w:val="24"/>
          <w:highlight w:val="none"/>
        </w:rPr>
        <w:t>发布</w:t>
      </w:r>
      <w:r>
        <w:rPr>
          <w:rFonts w:hint="eastAsia" w:ascii="宋体" w:hAnsi="宋体" w:eastAsia="宋体" w:cs="宋体"/>
          <w:color w:val="auto"/>
          <w:sz w:val="24"/>
          <w:szCs w:val="24"/>
          <w:highlight w:val="none"/>
        </w:rPr>
        <w:t>。</w:t>
      </w:r>
      <w:bookmarkEnd w:id="60"/>
    </w:p>
    <w:p w14:paraId="0B6D0F7C">
      <w:pPr>
        <w:spacing w:line="360" w:lineRule="auto"/>
        <w:ind w:firstLine="542" w:firstLineChars="225"/>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34D1BFD">
      <w:pPr>
        <w:spacing w:line="360" w:lineRule="auto"/>
        <w:ind w:firstLine="542" w:firstLineChars="225"/>
        <w:rPr>
          <w:rFonts w:hint="eastAsia" w:ascii="宋体" w:hAnsi="宋体" w:eastAsia="宋体" w:cs="宋体"/>
          <w:b/>
          <w:color w:val="auto"/>
          <w:sz w:val="24"/>
          <w:szCs w:val="24"/>
          <w:highlight w:val="none"/>
        </w:rPr>
      </w:pPr>
      <w:bookmarkStart w:id="61" w:name="_Toc229305330"/>
      <w:bookmarkStart w:id="62" w:name="_Toc222029470"/>
      <w:bookmarkStart w:id="63" w:name="_Toc222030972"/>
      <w:bookmarkStart w:id="64" w:name="_Toc222033821"/>
      <w:bookmarkStart w:id="65" w:name="_Toc259524303"/>
      <w:bookmarkStart w:id="66" w:name="_Toc221949941"/>
      <w:bookmarkStart w:id="67" w:name="_Toc222032639"/>
      <w:bookmarkStart w:id="68" w:name="_Toc144974485"/>
      <w:bookmarkStart w:id="69" w:name="_Toc168476035"/>
      <w:bookmarkStart w:id="70" w:name="_Toc168475632"/>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.联系方式</w:t>
      </w:r>
      <w:bookmarkEnd w:id="61"/>
      <w:bookmarkEnd w:id="62"/>
      <w:bookmarkEnd w:id="63"/>
      <w:bookmarkEnd w:id="64"/>
      <w:bookmarkEnd w:id="65"/>
      <w:bookmarkEnd w:id="66"/>
      <w:bookmarkEnd w:id="67"/>
      <w:bookmarkEnd w:id="68"/>
      <w:bookmarkEnd w:id="69"/>
      <w:bookmarkEnd w:id="70"/>
    </w:p>
    <w:tbl>
      <w:tblPr>
        <w:tblStyle w:val="7"/>
        <w:tblW w:w="9631" w:type="dxa"/>
        <w:tblInd w:w="0" w:type="dxa"/>
        <w:tblLayout w:type="autofit"/>
        <w:tblCellMar>
          <w:top w:w="0" w:type="dxa"/>
          <w:left w:w="108" w:type="dxa"/>
          <w:bottom w:w="0" w:type="dxa"/>
          <w:right w:w="108" w:type="dxa"/>
        </w:tblCellMar>
      </w:tblPr>
      <w:tblGrid>
        <w:gridCol w:w="4636"/>
        <w:gridCol w:w="4995"/>
      </w:tblGrid>
      <w:tr w14:paraId="15B39E76">
        <w:tblPrEx>
          <w:tblCellMar>
            <w:top w:w="0" w:type="dxa"/>
            <w:left w:w="108" w:type="dxa"/>
            <w:bottom w:w="0" w:type="dxa"/>
            <w:right w:w="108" w:type="dxa"/>
          </w:tblCellMar>
        </w:tblPrEx>
        <w:trPr>
          <w:trHeight w:val="447" w:hRule="atLeast"/>
        </w:trPr>
        <w:tc>
          <w:tcPr>
            <w:tcW w:w="4636" w:type="dxa"/>
            <w:noWrap w:val="0"/>
            <w:vAlign w:val="center"/>
          </w:tcPr>
          <w:p w14:paraId="5240045B">
            <w:pPr>
              <w:topLinePunct/>
              <w:spacing w:line="276" w:lineRule="auto"/>
              <w:ind w:right="31" w:rightChars="15"/>
              <w:jc w:val="both"/>
              <w:rPr>
                <w:rFonts w:ascii="宋体" w:hAnsi="宋体"/>
                <w:color w:val="auto"/>
                <w:sz w:val="24"/>
                <w:szCs w:val="21"/>
                <w:highlight w:val="none"/>
              </w:rPr>
            </w:pPr>
            <w:r>
              <w:rPr>
                <w:rFonts w:ascii="宋体" w:hAnsi="宋体"/>
                <w:color w:val="auto"/>
                <w:sz w:val="24"/>
                <w:szCs w:val="21"/>
                <w:highlight w:val="none"/>
              </w:rPr>
              <w:t>招 标 人：</w:t>
            </w:r>
            <w:r>
              <w:rPr>
                <w:rFonts w:hint="eastAsia" w:ascii="宋体" w:hAnsi="宋体"/>
                <w:color w:val="auto"/>
                <w:sz w:val="24"/>
                <w:szCs w:val="21"/>
                <w:highlight w:val="none"/>
                <w:u w:val="single"/>
              </w:rPr>
              <w:t>广州市</w:t>
            </w:r>
            <w:r>
              <w:rPr>
                <w:rFonts w:ascii="宋体" w:hAnsi="宋体"/>
                <w:color w:val="auto"/>
                <w:sz w:val="24"/>
                <w:szCs w:val="21"/>
                <w:highlight w:val="none"/>
                <w:u w:val="single"/>
              </w:rPr>
              <w:t>净水有限公司</w:t>
            </w:r>
          </w:p>
        </w:tc>
        <w:tc>
          <w:tcPr>
            <w:tcW w:w="4995" w:type="dxa"/>
            <w:noWrap w:val="0"/>
            <w:vAlign w:val="center"/>
          </w:tcPr>
          <w:p w14:paraId="5D6A8B11">
            <w:pPr>
              <w:topLinePunct/>
              <w:spacing w:line="276" w:lineRule="auto"/>
              <w:ind w:left="1680" w:hanging="1680" w:hangingChars="700"/>
              <w:jc w:val="both"/>
              <w:rPr>
                <w:rFonts w:ascii="宋体" w:hAnsi="宋体"/>
                <w:color w:val="auto"/>
                <w:sz w:val="24"/>
                <w:szCs w:val="21"/>
                <w:highlight w:val="none"/>
                <w:u w:val="single"/>
              </w:rPr>
            </w:pPr>
            <w:r>
              <w:rPr>
                <w:rFonts w:ascii="宋体" w:hAnsi="宋体"/>
                <w:color w:val="auto"/>
                <w:sz w:val="24"/>
                <w:szCs w:val="21"/>
                <w:highlight w:val="none"/>
              </w:rPr>
              <w:t>招标代理机构：</w:t>
            </w:r>
            <w:r>
              <w:rPr>
                <w:rFonts w:hint="eastAsia" w:ascii="宋体" w:hAnsi="宋体"/>
                <w:color w:val="auto"/>
                <w:sz w:val="24"/>
                <w:highlight w:val="none"/>
                <w:u w:val="single"/>
                <w:lang w:eastAsia="zh-CN"/>
              </w:rPr>
              <w:t>广州市市政工程监理有限公司</w:t>
            </w:r>
          </w:p>
        </w:tc>
      </w:tr>
      <w:tr w14:paraId="75EF0E02">
        <w:tblPrEx>
          <w:tblCellMar>
            <w:top w:w="0" w:type="dxa"/>
            <w:left w:w="108" w:type="dxa"/>
            <w:bottom w:w="0" w:type="dxa"/>
            <w:right w:w="108" w:type="dxa"/>
          </w:tblCellMar>
        </w:tblPrEx>
        <w:trPr>
          <w:trHeight w:val="790" w:hRule="atLeast"/>
        </w:trPr>
        <w:tc>
          <w:tcPr>
            <w:tcW w:w="4636" w:type="dxa"/>
            <w:noWrap w:val="0"/>
            <w:vAlign w:val="top"/>
          </w:tcPr>
          <w:p w14:paraId="71B9E5DC">
            <w:pPr>
              <w:topLinePunct/>
              <w:spacing w:line="276" w:lineRule="auto"/>
              <w:rPr>
                <w:rFonts w:ascii="宋体" w:hAnsi="宋体"/>
                <w:color w:val="auto"/>
                <w:sz w:val="24"/>
                <w:szCs w:val="21"/>
                <w:highlight w:val="none"/>
              </w:rPr>
            </w:pPr>
            <w:r>
              <w:rPr>
                <w:rFonts w:ascii="宋体" w:hAnsi="宋体"/>
                <w:color w:val="auto"/>
                <w:sz w:val="24"/>
                <w:szCs w:val="21"/>
                <w:highlight w:val="none"/>
              </w:rPr>
              <w:t>地    址：</w:t>
            </w:r>
            <w:r>
              <w:rPr>
                <w:rFonts w:hint="eastAsia" w:ascii="宋体" w:hAnsi="宋体"/>
                <w:color w:val="auto"/>
                <w:sz w:val="24"/>
                <w:szCs w:val="24"/>
                <w:highlight w:val="none"/>
                <w:u w:val="single"/>
              </w:rPr>
              <w:t>广州市</w:t>
            </w:r>
            <w:r>
              <w:rPr>
                <w:rFonts w:hint="eastAsia" w:ascii="宋体" w:hAnsi="宋体"/>
                <w:color w:val="auto"/>
                <w:sz w:val="24"/>
                <w:szCs w:val="24"/>
                <w:highlight w:val="none"/>
                <w:u w:val="single"/>
                <w:lang w:val="en-US" w:eastAsia="zh-CN"/>
              </w:rPr>
              <w:t>天河区</w:t>
            </w:r>
            <w:r>
              <w:rPr>
                <w:rFonts w:hint="eastAsia" w:ascii="宋体" w:hAnsi="宋体"/>
                <w:color w:val="auto"/>
                <w:sz w:val="24"/>
                <w:szCs w:val="24"/>
                <w:highlight w:val="none"/>
                <w:u w:val="single"/>
              </w:rPr>
              <w:t>临江大道501号</w:t>
            </w:r>
          </w:p>
        </w:tc>
        <w:tc>
          <w:tcPr>
            <w:tcW w:w="4995" w:type="dxa"/>
            <w:noWrap w:val="0"/>
            <w:vAlign w:val="top"/>
          </w:tcPr>
          <w:p w14:paraId="4952F691">
            <w:pPr>
              <w:topLinePunct/>
              <w:spacing w:line="276" w:lineRule="auto"/>
              <w:ind w:left="1166" w:hanging="1166" w:hangingChars="486"/>
              <w:rPr>
                <w:rFonts w:hint="default" w:ascii="宋体" w:hAnsi="宋体" w:eastAsia="宋体"/>
                <w:color w:val="auto"/>
                <w:sz w:val="24"/>
                <w:szCs w:val="21"/>
                <w:highlight w:val="none"/>
                <w:lang w:val="en-US" w:eastAsia="zh-CN"/>
              </w:rPr>
            </w:pPr>
            <w:r>
              <w:rPr>
                <w:rFonts w:ascii="宋体" w:hAnsi="宋体"/>
                <w:color w:val="auto"/>
                <w:sz w:val="24"/>
                <w:szCs w:val="21"/>
                <w:highlight w:val="none"/>
              </w:rPr>
              <w:t>地    址：</w:t>
            </w:r>
            <w:r>
              <w:rPr>
                <w:rFonts w:hint="eastAsia" w:ascii="宋体" w:hAnsi="宋体"/>
                <w:color w:val="auto"/>
                <w:sz w:val="24"/>
                <w:highlight w:val="none"/>
                <w:u w:val="single"/>
                <w:lang w:val="en-US" w:eastAsia="zh-CN"/>
              </w:rPr>
              <w:fldChar w:fldCharType="begin"/>
            </w:r>
            <w:r>
              <w:rPr>
                <w:rFonts w:hint="eastAsia" w:ascii="宋体" w:hAnsi="宋体"/>
                <w:color w:val="auto"/>
                <w:sz w:val="24"/>
                <w:highlight w:val="none"/>
                <w:u w:val="single"/>
                <w:lang w:val="en-US" w:eastAsia="zh-CN"/>
              </w:rPr>
              <w:instrText xml:space="preserve"> HYPERLINK "http://map.baidu.com/" \t "http://www.gzszjl.com/view_window" </w:instrText>
            </w:r>
            <w:r>
              <w:rPr>
                <w:rFonts w:hint="eastAsia" w:ascii="宋体" w:hAnsi="宋体"/>
                <w:color w:val="auto"/>
                <w:sz w:val="24"/>
                <w:highlight w:val="none"/>
                <w:u w:val="single"/>
                <w:lang w:val="en-US" w:eastAsia="zh-CN"/>
              </w:rPr>
              <w:fldChar w:fldCharType="separate"/>
            </w:r>
            <w:r>
              <w:rPr>
                <w:rFonts w:hint="eastAsia" w:ascii="宋体" w:hAnsi="宋体"/>
                <w:color w:val="auto"/>
                <w:sz w:val="24"/>
                <w:highlight w:val="none"/>
                <w:u w:val="single"/>
                <w:lang w:val="en-US" w:eastAsia="zh-CN"/>
              </w:rPr>
              <w:t>广州市越秀区东风中路437号越秀城市广场南塔38层</w:t>
            </w:r>
            <w:r>
              <w:rPr>
                <w:rFonts w:hint="eastAsia" w:ascii="宋体" w:hAnsi="宋体"/>
                <w:color w:val="auto"/>
                <w:sz w:val="24"/>
                <w:highlight w:val="none"/>
                <w:u w:val="single"/>
                <w:lang w:val="en-US" w:eastAsia="zh-CN"/>
              </w:rPr>
              <w:fldChar w:fldCharType="end"/>
            </w:r>
          </w:p>
        </w:tc>
      </w:tr>
      <w:tr w14:paraId="2164203A">
        <w:tblPrEx>
          <w:tblCellMar>
            <w:top w:w="0" w:type="dxa"/>
            <w:left w:w="108" w:type="dxa"/>
            <w:bottom w:w="0" w:type="dxa"/>
            <w:right w:w="108" w:type="dxa"/>
          </w:tblCellMar>
        </w:tblPrEx>
        <w:trPr>
          <w:trHeight w:val="454" w:hRule="exact"/>
        </w:trPr>
        <w:tc>
          <w:tcPr>
            <w:tcW w:w="4636" w:type="dxa"/>
            <w:noWrap w:val="0"/>
            <w:vAlign w:val="center"/>
          </w:tcPr>
          <w:p w14:paraId="5DBFB9BE">
            <w:pPr>
              <w:topLinePunct/>
              <w:spacing w:line="276" w:lineRule="auto"/>
              <w:jc w:val="both"/>
              <w:rPr>
                <w:rFonts w:ascii="宋体" w:hAnsi="宋体"/>
                <w:color w:val="auto"/>
                <w:sz w:val="24"/>
                <w:szCs w:val="21"/>
                <w:highlight w:val="none"/>
                <w:u w:val="single"/>
              </w:rPr>
            </w:pPr>
            <w:r>
              <w:rPr>
                <w:rFonts w:ascii="宋体" w:hAnsi="宋体"/>
                <w:color w:val="auto"/>
                <w:sz w:val="24"/>
                <w:szCs w:val="21"/>
                <w:highlight w:val="none"/>
              </w:rPr>
              <w:t>邮    编：</w:t>
            </w:r>
            <w:r>
              <w:rPr>
                <w:rFonts w:hint="eastAsia" w:ascii="宋体" w:hAnsi="宋体"/>
                <w:color w:val="auto"/>
                <w:sz w:val="24"/>
                <w:szCs w:val="24"/>
                <w:highlight w:val="none"/>
                <w:u w:val="single"/>
              </w:rPr>
              <w:t>510655</w:t>
            </w:r>
          </w:p>
        </w:tc>
        <w:tc>
          <w:tcPr>
            <w:tcW w:w="4995" w:type="dxa"/>
            <w:noWrap w:val="0"/>
            <w:vAlign w:val="center"/>
          </w:tcPr>
          <w:p w14:paraId="20BEDA03">
            <w:pPr>
              <w:topLinePunct/>
              <w:spacing w:line="276" w:lineRule="auto"/>
              <w:jc w:val="both"/>
              <w:rPr>
                <w:rFonts w:hint="default" w:ascii="宋体" w:hAnsi="宋体" w:eastAsia="宋体"/>
                <w:color w:val="auto"/>
                <w:sz w:val="24"/>
                <w:szCs w:val="21"/>
                <w:highlight w:val="none"/>
                <w:lang w:val="en-US" w:eastAsia="zh-CN"/>
              </w:rPr>
            </w:pPr>
            <w:r>
              <w:rPr>
                <w:rFonts w:ascii="宋体" w:hAnsi="宋体"/>
                <w:color w:val="auto"/>
                <w:sz w:val="24"/>
                <w:szCs w:val="21"/>
                <w:highlight w:val="none"/>
              </w:rPr>
              <w:t>邮    编：</w:t>
            </w:r>
            <w:r>
              <w:rPr>
                <w:rFonts w:hint="eastAsia" w:ascii="宋体" w:hAnsi="宋体"/>
                <w:color w:val="auto"/>
                <w:sz w:val="24"/>
                <w:szCs w:val="21"/>
                <w:highlight w:val="none"/>
                <w:u w:val="single"/>
                <w:lang w:val="en-US" w:eastAsia="zh-CN"/>
              </w:rPr>
              <w:t>510030</w:t>
            </w:r>
          </w:p>
        </w:tc>
      </w:tr>
      <w:tr w14:paraId="2841923E">
        <w:tblPrEx>
          <w:tblCellMar>
            <w:top w:w="0" w:type="dxa"/>
            <w:left w:w="108" w:type="dxa"/>
            <w:bottom w:w="0" w:type="dxa"/>
            <w:right w:w="108" w:type="dxa"/>
          </w:tblCellMar>
        </w:tblPrEx>
        <w:trPr>
          <w:trHeight w:val="454" w:hRule="exact"/>
        </w:trPr>
        <w:tc>
          <w:tcPr>
            <w:tcW w:w="4636" w:type="dxa"/>
            <w:noWrap w:val="0"/>
            <w:vAlign w:val="center"/>
          </w:tcPr>
          <w:p w14:paraId="02FB5FD3">
            <w:pPr>
              <w:topLinePunct/>
              <w:spacing w:line="276" w:lineRule="auto"/>
              <w:jc w:val="both"/>
              <w:rPr>
                <w:rFonts w:ascii="宋体" w:hAnsi="宋体"/>
                <w:color w:val="auto"/>
                <w:sz w:val="24"/>
                <w:szCs w:val="21"/>
                <w:highlight w:val="none"/>
              </w:rPr>
            </w:pPr>
            <w:r>
              <w:rPr>
                <w:rFonts w:ascii="宋体" w:hAnsi="宋体"/>
                <w:color w:val="auto"/>
                <w:sz w:val="24"/>
                <w:szCs w:val="21"/>
                <w:highlight w:val="none"/>
              </w:rPr>
              <w:t>联 系 人：</w:t>
            </w:r>
            <w:r>
              <w:rPr>
                <w:rFonts w:hint="eastAsia" w:ascii="宋体" w:hAnsi="宋体"/>
                <w:color w:val="auto"/>
                <w:sz w:val="24"/>
                <w:szCs w:val="21"/>
                <w:highlight w:val="none"/>
                <w:u w:val="single"/>
                <w:lang w:val="en-US" w:eastAsia="zh-CN"/>
              </w:rPr>
              <w:t>杜工</w:t>
            </w:r>
            <w:r>
              <w:rPr>
                <w:rFonts w:hint="eastAsia" w:ascii="宋体" w:hAnsi="宋体"/>
                <w:color w:val="auto"/>
                <w:sz w:val="24"/>
                <w:szCs w:val="21"/>
                <w:highlight w:val="none"/>
                <w:u w:val="single"/>
              </w:rPr>
              <w:t xml:space="preserve"> </w:t>
            </w:r>
          </w:p>
        </w:tc>
        <w:tc>
          <w:tcPr>
            <w:tcW w:w="4995" w:type="dxa"/>
            <w:noWrap w:val="0"/>
            <w:vAlign w:val="center"/>
          </w:tcPr>
          <w:p w14:paraId="7436FB98">
            <w:pPr>
              <w:spacing w:line="276" w:lineRule="auto"/>
              <w:jc w:val="both"/>
              <w:rPr>
                <w:rFonts w:ascii="宋体" w:hAnsi="宋体"/>
                <w:color w:val="auto"/>
                <w:sz w:val="24"/>
                <w:szCs w:val="24"/>
                <w:highlight w:val="none"/>
              </w:rPr>
            </w:pPr>
            <w:r>
              <w:rPr>
                <w:rFonts w:ascii="宋体" w:hAnsi="宋体"/>
                <w:color w:val="auto"/>
                <w:sz w:val="24"/>
                <w:szCs w:val="21"/>
                <w:highlight w:val="none"/>
              </w:rPr>
              <w:t>联 系 人：</w:t>
            </w:r>
            <w:r>
              <w:rPr>
                <w:rFonts w:hint="eastAsia" w:ascii="宋体" w:hAnsi="宋体"/>
                <w:color w:val="auto"/>
                <w:sz w:val="24"/>
                <w:szCs w:val="21"/>
                <w:highlight w:val="none"/>
                <w:u w:val="single"/>
                <w:lang w:val="en-US" w:eastAsia="zh-CN"/>
              </w:rPr>
              <w:t>彭工</w:t>
            </w:r>
          </w:p>
        </w:tc>
      </w:tr>
      <w:tr w14:paraId="1CC44E82">
        <w:tblPrEx>
          <w:tblCellMar>
            <w:top w:w="0" w:type="dxa"/>
            <w:left w:w="108" w:type="dxa"/>
            <w:bottom w:w="0" w:type="dxa"/>
            <w:right w:w="108" w:type="dxa"/>
          </w:tblCellMar>
        </w:tblPrEx>
        <w:trPr>
          <w:trHeight w:val="454" w:hRule="exact"/>
        </w:trPr>
        <w:tc>
          <w:tcPr>
            <w:tcW w:w="4636" w:type="dxa"/>
            <w:noWrap w:val="0"/>
            <w:vAlign w:val="center"/>
          </w:tcPr>
          <w:p w14:paraId="1E7CB609">
            <w:pPr>
              <w:topLinePunct/>
              <w:spacing w:line="276" w:lineRule="auto"/>
              <w:jc w:val="both"/>
              <w:rPr>
                <w:rFonts w:hint="default" w:ascii="宋体" w:hAnsi="宋体" w:eastAsia="宋体"/>
                <w:color w:val="auto"/>
                <w:sz w:val="24"/>
                <w:szCs w:val="21"/>
                <w:highlight w:val="none"/>
                <w:lang w:val="en-US" w:eastAsia="zh-CN"/>
              </w:rPr>
            </w:pPr>
            <w:r>
              <w:rPr>
                <w:rFonts w:ascii="宋体" w:hAnsi="宋体"/>
                <w:color w:val="auto"/>
                <w:sz w:val="24"/>
                <w:szCs w:val="21"/>
                <w:highlight w:val="none"/>
              </w:rPr>
              <w:t>电    话：</w:t>
            </w:r>
            <w:r>
              <w:rPr>
                <w:rFonts w:hint="eastAsia" w:ascii="宋体" w:hAnsi="宋体"/>
                <w:color w:val="auto"/>
                <w:sz w:val="24"/>
                <w:szCs w:val="21"/>
                <w:highlight w:val="none"/>
                <w:u w:val="single"/>
                <w:lang w:eastAsia="zh-CN"/>
              </w:rPr>
              <w:t>020-</w:t>
            </w:r>
            <w:r>
              <w:rPr>
                <w:rFonts w:hint="eastAsia" w:ascii="宋体" w:hAnsi="宋体"/>
                <w:color w:val="auto"/>
                <w:sz w:val="24"/>
                <w:szCs w:val="21"/>
                <w:highlight w:val="none"/>
                <w:u w:val="single"/>
                <w:lang w:val="en-US" w:eastAsia="zh-CN"/>
              </w:rPr>
              <w:t>38890841</w:t>
            </w:r>
          </w:p>
        </w:tc>
        <w:tc>
          <w:tcPr>
            <w:tcW w:w="4995" w:type="dxa"/>
            <w:noWrap w:val="0"/>
            <w:vAlign w:val="center"/>
          </w:tcPr>
          <w:p w14:paraId="621646DC">
            <w:pPr>
              <w:topLinePunct/>
              <w:spacing w:line="276" w:lineRule="auto"/>
              <w:jc w:val="both"/>
              <w:rPr>
                <w:rFonts w:hint="default" w:ascii="宋体" w:hAnsi="宋体" w:eastAsia="宋体"/>
                <w:color w:val="auto"/>
                <w:sz w:val="24"/>
                <w:szCs w:val="21"/>
                <w:highlight w:val="none"/>
                <w:u w:val="single"/>
                <w:lang w:val="en-US" w:eastAsia="zh-CN"/>
              </w:rPr>
            </w:pPr>
            <w:r>
              <w:rPr>
                <w:rFonts w:ascii="宋体" w:hAnsi="宋体"/>
                <w:color w:val="auto"/>
                <w:sz w:val="24"/>
                <w:szCs w:val="21"/>
                <w:highlight w:val="none"/>
              </w:rPr>
              <w:t>电    话：</w:t>
            </w:r>
            <w:r>
              <w:rPr>
                <w:rFonts w:hint="eastAsia" w:ascii="宋体" w:hAnsi="宋体"/>
                <w:color w:val="auto"/>
                <w:sz w:val="24"/>
                <w:szCs w:val="21"/>
                <w:highlight w:val="none"/>
                <w:u w:val="single"/>
                <w:lang w:val="en-US" w:eastAsia="zh-CN"/>
              </w:rPr>
              <w:t>020-83313605</w:t>
            </w:r>
          </w:p>
        </w:tc>
      </w:tr>
      <w:tr w14:paraId="0DB04CFB">
        <w:tblPrEx>
          <w:tblCellMar>
            <w:top w:w="0" w:type="dxa"/>
            <w:left w:w="108" w:type="dxa"/>
            <w:bottom w:w="0" w:type="dxa"/>
            <w:right w:w="108" w:type="dxa"/>
          </w:tblCellMar>
        </w:tblPrEx>
        <w:trPr>
          <w:trHeight w:val="454" w:hRule="exact"/>
        </w:trPr>
        <w:tc>
          <w:tcPr>
            <w:tcW w:w="4636" w:type="dxa"/>
            <w:noWrap w:val="0"/>
            <w:vAlign w:val="center"/>
          </w:tcPr>
          <w:p w14:paraId="0CFE2AFA">
            <w:pPr>
              <w:topLinePunct/>
              <w:spacing w:line="276" w:lineRule="auto"/>
              <w:jc w:val="both"/>
              <w:rPr>
                <w:rFonts w:ascii="宋体" w:hAnsi="宋体"/>
                <w:color w:val="auto"/>
                <w:sz w:val="24"/>
                <w:szCs w:val="21"/>
                <w:highlight w:val="none"/>
              </w:rPr>
            </w:pPr>
            <w:r>
              <w:rPr>
                <w:rFonts w:ascii="宋体" w:hAnsi="宋体"/>
                <w:color w:val="auto"/>
                <w:sz w:val="24"/>
                <w:szCs w:val="21"/>
                <w:highlight w:val="none"/>
              </w:rPr>
              <w:t>传    真：</w:t>
            </w:r>
            <w:r>
              <w:rPr>
                <w:rFonts w:hint="eastAsia" w:ascii="宋体" w:hAnsi="宋体"/>
                <w:color w:val="auto"/>
                <w:sz w:val="24"/>
                <w:szCs w:val="21"/>
                <w:highlight w:val="none"/>
                <w:u w:val="single"/>
              </w:rPr>
              <w:t>/</w:t>
            </w:r>
            <w:r>
              <w:rPr>
                <w:rFonts w:ascii="宋体" w:hAnsi="宋体"/>
                <w:color w:val="auto"/>
                <w:sz w:val="24"/>
                <w:szCs w:val="21"/>
                <w:highlight w:val="none"/>
              </w:rPr>
              <w:t xml:space="preserve"> </w:t>
            </w:r>
          </w:p>
        </w:tc>
        <w:tc>
          <w:tcPr>
            <w:tcW w:w="4995" w:type="dxa"/>
            <w:noWrap w:val="0"/>
            <w:vAlign w:val="center"/>
          </w:tcPr>
          <w:p w14:paraId="50DA227E">
            <w:pPr>
              <w:topLinePunct/>
              <w:spacing w:line="276" w:lineRule="auto"/>
              <w:jc w:val="both"/>
              <w:rPr>
                <w:rFonts w:hint="eastAsia" w:ascii="宋体" w:hAnsi="宋体" w:eastAsia="宋体"/>
                <w:color w:val="auto"/>
                <w:sz w:val="24"/>
                <w:szCs w:val="21"/>
                <w:highlight w:val="none"/>
                <w:lang w:eastAsia="zh-CN"/>
              </w:rPr>
            </w:pPr>
            <w:r>
              <w:rPr>
                <w:rFonts w:ascii="宋体" w:hAnsi="宋体"/>
                <w:color w:val="auto"/>
                <w:sz w:val="24"/>
                <w:szCs w:val="21"/>
                <w:highlight w:val="none"/>
              </w:rPr>
              <w:t>传    真：</w:t>
            </w:r>
            <w:r>
              <w:rPr>
                <w:rFonts w:hint="eastAsia" w:ascii="宋体" w:hAnsi="宋体"/>
                <w:color w:val="auto"/>
                <w:sz w:val="24"/>
                <w:szCs w:val="21"/>
                <w:highlight w:val="none"/>
                <w:u w:val="single"/>
                <w:lang w:val="en-US" w:eastAsia="zh-CN"/>
              </w:rPr>
              <w:t>/</w:t>
            </w:r>
          </w:p>
        </w:tc>
      </w:tr>
      <w:tr w14:paraId="19725877">
        <w:tblPrEx>
          <w:tblCellMar>
            <w:top w:w="0" w:type="dxa"/>
            <w:left w:w="108" w:type="dxa"/>
            <w:bottom w:w="0" w:type="dxa"/>
            <w:right w:w="108" w:type="dxa"/>
          </w:tblCellMar>
        </w:tblPrEx>
        <w:trPr>
          <w:trHeight w:val="454" w:hRule="exact"/>
        </w:trPr>
        <w:tc>
          <w:tcPr>
            <w:tcW w:w="4636" w:type="dxa"/>
            <w:noWrap w:val="0"/>
            <w:vAlign w:val="center"/>
          </w:tcPr>
          <w:p w14:paraId="2D597C32">
            <w:pPr>
              <w:topLinePunct/>
              <w:spacing w:line="276" w:lineRule="auto"/>
              <w:jc w:val="both"/>
              <w:rPr>
                <w:rFonts w:ascii="宋体" w:hAnsi="宋体"/>
                <w:color w:val="auto"/>
                <w:sz w:val="24"/>
                <w:szCs w:val="21"/>
                <w:highlight w:val="none"/>
              </w:rPr>
            </w:pPr>
            <w:r>
              <w:rPr>
                <w:rFonts w:ascii="宋体" w:hAnsi="宋体"/>
                <w:color w:val="auto"/>
                <w:sz w:val="24"/>
                <w:szCs w:val="21"/>
                <w:highlight w:val="none"/>
              </w:rPr>
              <w:t>电子邮件：</w:t>
            </w:r>
            <w:r>
              <w:rPr>
                <w:rFonts w:hint="eastAsia" w:ascii="宋体" w:hAnsi="宋体"/>
                <w:color w:val="auto"/>
                <w:sz w:val="24"/>
                <w:szCs w:val="21"/>
                <w:highlight w:val="none"/>
                <w:u w:val="single"/>
              </w:rPr>
              <w:t>/</w:t>
            </w:r>
          </w:p>
        </w:tc>
        <w:tc>
          <w:tcPr>
            <w:tcW w:w="4995" w:type="dxa"/>
            <w:noWrap w:val="0"/>
            <w:vAlign w:val="center"/>
          </w:tcPr>
          <w:p w14:paraId="2C9B3A7D">
            <w:pPr>
              <w:spacing w:line="276" w:lineRule="auto"/>
              <w:jc w:val="both"/>
              <w:rPr>
                <w:rFonts w:hint="eastAsia" w:ascii="宋体" w:hAnsi="宋体" w:eastAsia="宋体"/>
                <w:color w:val="auto"/>
                <w:sz w:val="24"/>
                <w:szCs w:val="21"/>
                <w:highlight w:val="none"/>
                <w:u w:val="single"/>
                <w:lang w:eastAsia="zh-CN"/>
              </w:rPr>
            </w:pPr>
            <w:r>
              <w:rPr>
                <w:rFonts w:ascii="宋体" w:hAnsi="宋体"/>
                <w:color w:val="auto"/>
                <w:sz w:val="24"/>
                <w:szCs w:val="21"/>
                <w:highlight w:val="none"/>
              </w:rPr>
              <w:t>电子邮件：</w:t>
            </w:r>
            <w:r>
              <w:rPr>
                <w:rFonts w:hint="eastAsia" w:ascii="宋体" w:hAnsi="宋体"/>
                <w:color w:val="auto"/>
                <w:sz w:val="24"/>
                <w:szCs w:val="21"/>
                <w:highlight w:val="none"/>
                <w:u w:val="single"/>
                <w:lang w:val="en-US" w:eastAsia="zh-CN"/>
              </w:rPr>
              <w:t>/</w:t>
            </w:r>
          </w:p>
        </w:tc>
      </w:tr>
    </w:tbl>
    <w:p w14:paraId="7E631CAF">
      <w:pPr>
        <w:jc w:val="righ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u w:val="single"/>
          <w:lang w:eastAsia="zh-CN"/>
        </w:rPr>
        <w:t>2025</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日</w:t>
      </w:r>
    </w:p>
    <w:p w14:paraId="5043A848">
      <w:pPr>
        <w:spacing w:line="400" w:lineRule="exact"/>
        <w:ind w:left="0"/>
        <w:jc w:val="left"/>
        <w:outlineLvl w:val="2"/>
        <w:rPr>
          <w:rFonts w:hint="default" w:ascii="宋体" w:hAnsi="宋体" w:eastAsia="宋体" w:cs="宋体"/>
          <w:b/>
          <w:bCs/>
          <w:color w:val="auto"/>
          <w:sz w:val="24"/>
          <w:szCs w:val="24"/>
          <w:highlight w:val="none"/>
          <w:lang w:val="en-US" w:eastAsia="zh-CN"/>
        </w:rPr>
      </w:pPr>
      <w:r>
        <w:rPr>
          <w:rFonts w:hint="eastAsia"/>
          <w:color w:val="auto"/>
          <w:highlight w:val="none"/>
        </w:rPr>
        <w:br w:type="page"/>
      </w:r>
      <w:r>
        <w:rPr>
          <w:rFonts w:hint="eastAsia" w:ascii="宋体" w:hAnsi="宋体" w:eastAsia="宋体" w:cs="宋体"/>
          <w:b/>
          <w:bCs/>
          <w:color w:val="auto"/>
          <w:kern w:val="0"/>
          <w:sz w:val="24"/>
          <w:szCs w:val="24"/>
          <w:highlight w:val="none"/>
          <w:lang w:val="en-US" w:eastAsia="zh-CN"/>
        </w:rPr>
        <w:t>附件一：</w:t>
      </w:r>
    </w:p>
    <w:p w14:paraId="51E45655">
      <w:pPr>
        <w:spacing w:line="600" w:lineRule="exact"/>
        <w:ind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投标人声明</w:t>
      </w:r>
    </w:p>
    <w:p w14:paraId="256F2557">
      <w:pPr>
        <w:pStyle w:val="12"/>
        <w:ind w:firstLine="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广州市水务局</w:t>
      </w:r>
      <w:r>
        <w:rPr>
          <w:rFonts w:hint="default" w:ascii="宋体" w:hAnsi="宋体" w:eastAsia="宋体" w:cs="宋体"/>
          <w:color w:val="auto"/>
          <w:sz w:val="24"/>
          <w:szCs w:val="24"/>
          <w:highlight w:val="none"/>
          <w:lang w:val="en-US"/>
        </w:rPr>
        <w:t>、本招标项目招标人及招标监管机构</w:t>
      </w:r>
      <w:r>
        <w:rPr>
          <w:rFonts w:hint="eastAsia" w:ascii="宋体" w:hAnsi="宋体" w:eastAsia="宋体" w:cs="宋体"/>
          <w:color w:val="auto"/>
          <w:sz w:val="24"/>
          <w:szCs w:val="24"/>
          <w:highlight w:val="none"/>
        </w:rPr>
        <w:t>：</w:t>
      </w:r>
    </w:p>
    <w:p w14:paraId="0A35E1DE">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10B88804">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3D7A5006">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二、本公司保证在本项目投标中不与其他单位围标、串标，不出让投标资格，不向招标人或评标委员会成员行贿。</w:t>
      </w:r>
    </w:p>
    <w:p w14:paraId="697B1C6D">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405696D6">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14:paraId="7AC5CD19">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（2）为本标段前期准备提供设计或咨询服务或者与本项目设计人或提供咨询服务的机构存在附属关系的；</w:t>
      </w:r>
    </w:p>
    <w:p w14:paraId="7A07283E">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（3）为本项目监理人或者与本项目监理人存在隶属关系或者其他利害关系；</w:t>
      </w:r>
    </w:p>
    <w:p w14:paraId="55741BC2">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（4）为本标段的代建人；</w:t>
      </w:r>
    </w:p>
    <w:p w14:paraId="10762233">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（5）为本标段提供招标代理服务的；</w:t>
      </w:r>
    </w:p>
    <w:p w14:paraId="67B1F66D">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（6）与本标段的监理人或代建人或招标代理机构同为一个法定代表人的；</w:t>
      </w:r>
    </w:p>
    <w:p w14:paraId="5797BB94">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（7）与本标段的监理人或代建人或招标代理机构互相控股或参股的；</w:t>
      </w:r>
    </w:p>
    <w:p w14:paraId="36BDE3C7">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（8）与本标段的监理人或代建人或招标代理机构相互任职或工作的；</w:t>
      </w:r>
    </w:p>
    <w:p w14:paraId="14861077">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（9）与本</w:t>
      </w:r>
      <w:r>
        <w:rPr>
          <w:rFonts w:hint="eastAsia" w:ascii="宋体" w:hAnsi="宋体" w:eastAsia="宋体"/>
          <w:color w:val="auto"/>
          <w:sz w:val="24"/>
          <w:szCs w:val="24"/>
          <w:highlight w:val="none"/>
          <w:lang w:eastAsia="zh-CN"/>
        </w:rPr>
        <w:t>标段</w:t>
      </w:r>
      <w:r>
        <w:rPr>
          <w:rFonts w:hint="eastAsia" w:ascii="宋体" w:hAnsi="宋体" w:eastAsia="宋体"/>
          <w:color w:val="auto"/>
          <w:sz w:val="24"/>
          <w:szCs w:val="24"/>
          <w:highlight w:val="none"/>
        </w:rPr>
        <w:t>的检测机构、建设、监理单位以及建筑材料、建筑构配件和设备供应商有隶属关系或者其他利害关系有隶属关系或者其他利害关系；</w:t>
      </w:r>
    </w:p>
    <w:p w14:paraId="1DA39BB0">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（10）与招标人存在利害关系且可能影响招标公正性；</w:t>
      </w:r>
    </w:p>
    <w:p w14:paraId="2D92E75F">
      <w:pPr>
        <w:pStyle w:val="12"/>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8F9AD22">
      <w:pPr>
        <w:pStyle w:val="12"/>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391DDD17">
      <w:pPr>
        <w:pStyle w:val="12"/>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（13）进入清算程序，或被宣布破产，或其他丧失履约能力的情形；</w:t>
      </w:r>
    </w:p>
    <w:p w14:paraId="520A0CD6">
      <w:pPr>
        <w:pStyle w:val="12"/>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DD31676">
      <w:pPr>
        <w:pStyle w:val="12"/>
        <w:ind w:firstLine="480" w:firstLineChars="200"/>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u w:val="single"/>
        </w:rPr>
        <w:t>（1</w:t>
      </w:r>
      <w:r>
        <w:rPr>
          <w:rFonts w:ascii="宋体" w:hAnsi="宋体" w:eastAsia="宋体"/>
          <w:color w:val="auto"/>
          <w:sz w:val="24"/>
          <w:szCs w:val="24"/>
          <w:highlight w:val="none"/>
          <w:u w:val="single"/>
        </w:rPr>
        <w:t>5</w:t>
      </w:r>
      <w:r>
        <w:rPr>
          <w:rFonts w:hint="eastAsia" w:ascii="宋体" w:hAnsi="宋体" w:eastAsia="宋体"/>
          <w:color w:val="auto"/>
          <w:sz w:val="24"/>
          <w:szCs w:val="24"/>
          <w:highlight w:val="none"/>
          <w:u w:val="single"/>
        </w:rPr>
        <w:t>）被列入拖欠农民工工资失信联合惩戒对象名单；</w:t>
      </w:r>
    </w:p>
    <w:p w14:paraId="1B7DA880">
      <w:pPr>
        <w:pStyle w:val="12"/>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）法律法规规定的其他情形</w:t>
      </w:r>
      <w:r>
        <w:rPr>
          <w:rFonts w:hint="eastAsia" w:ascii="宋体" w:hAnsi="宋体" w:eastAsia="宋体" w:cs="Times New Roman"/>
          <w:color w:val="auto"/>
          <w:sz w:val="24"/>
          <w:szCs w:val="24"/>
          <w:highlight w:val="none"/>
        </w:rPr>
        <w:t>。</w:t>
      </w:r>
    </w:p>
    <w:p w14:paraId="2DE0C326">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14:paraId="0C05C144">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B8F8B49">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39F1B8F">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b w:val="0"/>
          <w:bCs w:val="0"/>
          <w:i w:val="0"/>
          <w:iCs w:val="0"/>
          <w:caps w:val="0"/>
          <w:color w:val="auto"/>
          <w:spacing w:val="0"/>
          <w:sz w:val="24"/>
          <w:szCs w:val="24"/>
          <w:highlight w:val="none"/>
          <w:shd w:val="clear" w:color="auto" w:fill="auto"/>
        </w:rPr>
        <w:t>住房和城乡建设部人力资源社会保障部关于修改</w:t>
      </w:r>
      <w:r>
        <w:rPr>
          <w:rFonts w:hint="eastAsia" w:ascii="宋体" w:hAnsi="宋体" w:eastAsia="宋体"/>
          <w:color w:val="auto"/>
          <w:sz w:val="24"/>
          <w:szCs w:val="24"/>
          <w:highlight w:val="none"/>
        </w:rPr>
        <w:t>&lt;</w:t>
      </w:r>
      <w:r>
        <w:rPr>
          <w:rFonts w:hint="eastAsia" w:ascii="宋体" w:hAnsi="宋体" w:eastAsia="宋体" w:cs="Times New Roman"/>
          <w:b w:val="0"/>
          <w:bCs w:val="0"/>
          <w:i w:val="0"/>
          <w:iCs w:val="0"/>
          <w:caps w:val="0"/>
          <w:color w:val="auto"/>
          <w:spacing w:val="0"/>
          <w:sz w:val="24"/>
          <w:szCs w:val="24"/>
          <w:highlight w:val="none"/>
          <w:shd w:val="clear" w:color="auto" w:fill="auto"/>
        </w:rPr>
        <w:t>建筑工人实名制管理办法（试行）</w:t>
      </w:r>
      <w:r>
        <w:rPr>
          <w:rFonts w:hint="eastAsia" w:ascii="宋体" w:hAnsi="宋体" w:eastAsia="宋体"/>
          <w:color w:val="auto"/>
          <w:sz w:val="24"/>
          <w:szCs w:val="24"/>
          <w:highlight w:val="none"/>
        </w:rPr>
        <w:t>&gt;</w:t>
      </w:r>
      <w:r>
        <w:rPr>
          <w:rFonts w:hint="eastAsia" w:ascii="宋体" w:hAnsi="宋体" w:eastAsia="宋体" w:cs="Times New Roman"/>
          <w:b w:val="0"/>
          <w:bCs w:val="0"/>
          <w:i w:val="0"/>
          <w:iCs w:val="0"/>
          <w:caps w:val="0"/>
          <w:color w:val="auto"/>
          <w:spacing w:val="0"/>
          <w:sz w:val="24"/>
          <w:szCs w:val="24"/>
          <w:highlight w:val="none"/>
          <w:shd w:val="clear" w:color="auto" w:fill="auto"/>
        </w:rPr>
        <w:t>的通知</w:t>
      </w:r>
      <w:r>
        <w:rPr>
          <w:rFonts w:hint="eastAsia" w:ascii="宋体" w:hAnsi="宋体" w:eastAsia="宋体" w:cs="Times New Roman"/>
          <w:b w:val="0"/>
          <w:bCs w:val="0"/>
          <w:i w:val="0"/>
          <w:iCs w:val="0"/>
          <w:caps w:val="0"/>
          <w:color w:val="auto"/>
          <w:spacing w:val="0"/>
          <w:sz w:val="24"/>
          <w:szCs w:val="24"/>
          <w:highlight w:val="none"/>
          <w:shd w:val="clear" w:color="auto" w:fill="auto"/>
          <w:lang w:eastAsia="zh-CN"/>
        </w:rPr>
        <w:t>》</w:t>
      </w:r>
      <w:r>
        <w:rPr>
          <w:rFonts w:hint="eastAsia" w:ascii="宋体" w:hAnsi="宋体" w:eastAsia="宋体" w:cs="Times New Roman"/>
          <w:i w:val="0"/>
          <w:iCs w:val="0"/>
          <w:caps w:val="0"/>
          <w:color w:val="auto"/>
          <w:spacing w:val="0"/>
          <w:sz w:val="24"/>
          <w:szCs w:val="24"/>
          <w:highlight w:val="none"/>
          <w:shd w:val="clear" w:color="auto" w:fill="auto"/>
        </w:rPr>
        <w:t>建市〔2022〕59号</w:t>
      </w:r>
      <w:r>
        <w:rPr>
          <w:rFonts w:hint="eastAsia" w:ascii="宋体" w:hAnsi="宋体" w:eastAsia="宋体" w:cs="Times New Roman"/>
          <w:i w:val="0"/>
          <w:iCs w:val="0"/>
          <w:caps w:val="0"/>
          <w:color w:val="auto"/>
          <w:spacing w:val="0"/>
          <w:sz w:val="24"/>
          <w:szCs w:val="24"/>
          <w:highlight w:val="none"/>
          <w:shd w:val="clear" w:color="auto" w:fill="auto"/>
          <w:lang w:eastAsia="zh-CN"/>
        </w:rPr>
        <w:t>、</w:t>
      </w:r>
      <w:r>
        <w:rPr>
          <w:rFonts w:hint="eastAsia" w:ascii="宋体" w:hAnsi="宋体" w:eastAsia="宋体"/>
          <w:color w:val="auto"/>
          <w:sz w:val="24"/>
          <w:szCs w:val="24"/>
          <w:highlight w:val="none"/>
        </w:rPr>
        <w:t>《住房城乡建设部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w:t>
      </w:r>
      <w:r>
        <w:rPr>
          <w:rFonts w:hint="eastAsia" w:ascii="宋体" w:hAnsi="宋体" w:eastAsia="宋体"/>
          <w:color w:val="auto"/>
          <w:sz w:val="24"/>
          <w:szCs w:val="24"/>
          <w:highlight w:val="none"/>
          <w:lang w:eastAsia="zh-CN"/>
        </w:rPr>
        <w:t>水</w:t>
      </w:r>
      <w:r>
        <w:rPr>
          <w:rFonts w:hint="eastAsia" w:ascii="宋体" w:hAnsi="宋体" w:eastAsia="宋体"/>
          <w:color w:val="auto"/>
          <w:sz w:val="24"/>
          <w:szCs w:val="24"/>
          <w:highlight w:val="none"/>
        </w:rPr>
        <w:t>行政主管部门的监督、检查。</w:t>
      </w:r>
    </w:p>
    <w:p w14:paraId="60326B33">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14:paraId="7033A5E7">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40BC3918">
      <w:pPr>
        <w:pStyle w:val="12"/>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F37D0AE">
      <w:pPr>
        <w:pStyle w:val="12"/>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97C5030">
      <w:pPr>
        <w:pStyle w:val="12"/>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十二</w:t>
      </w:r>
      <w:r>
        <w:rPr>
          <w:rFonts w:hint="eastAsia" w:ascii="宋体" w:hAnsi="宋体" w:eastAsia="宋体"/>
          <w:color w:val="auto"/>
          <w:sz w:val="24"/>
          <w:szCs w:val="24"/>
          <w:highlight w:val="none"/>
          <w:lang w:val="en-US" w:eastAsia="zh-CN"/>
        </w:rPr>
        <w:t>、本公司积极响应广州市关于投身“百千万工程”的号召，主动参与政府投资类建设工程施工项目的建筑业结对帮扶等活动。</w:t>
      </w:r>
    </w:p>
    <w:p w14:paraId="3225E99F">
      <w:p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4E28598">
      <w:pPr>
        <w:spacing w:line="360" w:lineRule="auto"/>
        <w:ind w:firstLine="240" w:firstLineChars="100"/>
        <w:jc w:val="left"/>
        <w:rPr>
          <w:rFonts w:hint="eastAsia" w:ascii="宋体" w:hAnsi="宋体" w:eastAsia="宋体" w:cs="宋体"/>
          <w:color w:val="auto"/>
          <w:sz w:val="24"/>
          <w:szCs w:val="24"/>
          <w:highlight w:val="none"/>
        </w:rPr>
      </w:pPr>
    </w:p>
    <w:p w14:paraId="3FC511DA">
      <w:pPr>
        <w:pStyle w:val="13"/>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14:paraId="61ADBC8D">
      <w:pPr>
        <w:pStyle w:val="12"/>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法定代表人签字或签章：</w:t>
      </w:r>
    </w:p>
    <w:p w14:paraId="5F380D7C">
      <w:pPr>
        <w:pStyle w:val="12"/>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项目负责人签字或签章:</w:t>
      </w:r>
    </w:p>
    <w:p w14:paraId="3E6D9737">
      <w:pPr>
        <w:pStyle w:val="12"/>
        <w:ind w:right="879" w:firstLine="2160" w:firstLineChars="9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技术负责人签字或签章：</w:t>
      </w:r>
    </w:p>
    <w:p w14:paraId="5397AF88">
      <w:pPr>
        <w:pStyle w:val="12"/>
        <w:ind w:right="8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6B0394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（企业公章）</w:t>
      </w:r>
    </w:p>
    <w:p w14:paraId="0AB3AA62">
      <w:pPr>
        <w:pStyle w:val="2"/>
      </w:pPr>
      <w:r>
        <w:rPr>
          <w:rFonts w:hint="eastAsia" w:ascii="宋体" w:hAnsi="宋体" w:eastAsia="宋体" w:cs="宋体"/>
          <w:color w:val="auto"/>
          <w:szCs w:val="24"/>
          <w:highlight w:val="none"/>
        </w:rPr>
        <w:t>注：招标人应当要求投标人的项目负责人和技术负责人签字或签章。</w:t>
      </w:r>
    </w:p>
    <w:sectPr>
      <w:footerReference r:id="rId3" w:type="default"/>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90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13F2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913F2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C4EF6"/>
    <w:multiLevelType w:val="multilevel"/>
    <w:tmpl w:val="198C4EF6"/>
    <w:lvl w:ilvl="0" w:tentative="0">
      <w:start w:val="1"/>
      <w:numFmt w:val="decimal"/>
      <w:lvlText w:val="5.%1"/>
      <w:lvlJc w:val="left"/>
      <w:pPr>
        <w:ind w:left="846" w:hanging="420"/>
      </w:pPr>
      <w:rPr>
        <w:rFonts w:hint="eastAsia"/>
      </w:rPr>
    </w:lvl>
    <w:lvl w:ilvl="1" w:tentative="0">
      <w:start w:val="1"/>
      <w:numFmt w:val="lowerLetter"/>
      <w:lvlText w:val="%2)"/>
      <w:lvlJc w:val="left"/>
      <w:pPr>
        <w:ind w:left="726" w:hanging="420"/>
      </w:pPr>
    </w:lvl>
    <w:lvl w:ilvl="2" w:tentative="0">
      <w:start w:val="1"/>
      <w:numFmt w:val="lowerRoman"/>
      <w:lvlText w:val="%3."/>
      <w:lvlJc w:val="right"/>
      <w:pPr>
        <w:ind w:left="1146" w:hanging="420"/>
      </w:pPr>
    </w:lvl>
    <w:lvl w:ilvl="3" w:tentative="0">
      <w:start w:val="1"/>
      <w:numFmt w:val="decimal"/>
      <w:lvlText w:val="%4."/>
      <w:lvlJc w:val="left"/>
      <w:pPr>
        <w:ind w:left="1566" w:hanging="420"/>
      </w:pPr>
    </w:lvl>
    <w:lvl w:ilvl="4" w:tentative="0">
      <w:start w:val="1"/>
      <w:numFmt w:val="lowerLetter"/>
      <w:lvlText w:val="%5)"/>
      <w:lvlJc w:val="left"/>
      <w:pPr>
        <w:ind w:left="1986" w:hanging="420"/>
      </w:pPr>
    </w:lvl>
    <w:lvl w:ilvl="5" w:tentative="0">
      <w:start w:val="1"/>
      <w:numFmt w:val="lowerRoman"/>
      <w:lvlText w:val="%6."/>
      <w:lvlJc w:val="right"/>
      <w:pPr>
        <w:ind w:left="2406" w:hanging="420"/>
      </w:pPr>
    </w:lvl>
    <w:lvl w:ilvl="6" w:tentative="0">
      <w:start w:val="1"/>
      <w:numFmt w:val="decimal"/>
      <w:lvlText w:val="%7."/>
      <w:lvlJc w:val="left"/>
      <w:pPr>
        <w:ind w:left="2826" w:hanging="420"/>
      </w:pPr>
    </w:lvl>
    <w:lvl w:ilvl="7" w:tentative="0">
      <w:start w:val="1"/>
      <w:numFmt w:val="lowerLetter"/>
      <w:lvlText w:val="%8)"/>
      <w:lvlJc w:val="left"/>
      <w:pPr>
        <w:ind w:left="3246" w:hanging="420"/>
      </w:pPr>
    </w:lvl>
    <w:lvl w:ilvl="8" w:tentative="0">
      <w:start w:val="1"/>
      <w:numFmt w:val="lowerRoman"/>
      <w:lvlText w:val="%9."/>
      <w:lvlJc w:val="right"/>
      <w:pPr>
        <w:ind w:left="366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1076A"/>
    <w:rsid w:val="055528CC"/>
    <w:rsid w:val="0EAE1784"/>
    <w:rsid w:val="1E117F64"/>
    <w:rsid w:val="40A1076A"/>
    <w:rsid w:val="61304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rPr>
      <w:rFonts w:ascii="Times New Roman" w:hAnsi="Times New Roman"/>
      <w:kern w:val="0"/>
      <w:sz w:val="20"/>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unhideWhenUsed/>
    <w:qFormat/>
    <w:uiPriority w:val="0"/>
    <w:rPr>
      <w:rFonts w:ascii="宋体" w:hAnsi="宋体" w:eastAsia="楷体_GB2312"/>
      <w:kern w:val="0"/>
      <w:sz w:val="20"/>
      <w:szCs w:val="24"/>
      <w:u w:val="single"/>
    </w:rPr>
  </w:style>
  <w:style w:type="paragraph" w:customStyle="1" w:styleId="9">
    <w:name w:val="p0"/>
    <w:basedOn w:val="1"/>
    <w:uiPriority w:val="0"/>
    <w:pPr>
      <w:widowControl/>
      <w:spacing w:before="75" w:after="75"/>
      <w:jc w:val="left"/>
    </w:pPr>
    <w:rPr>
      <w:rFonts w:ascii="宋体" w:hAnsi="宋体" w:cs="宋体"/>
      <w:kern w:val="0"/>
      <w:sz w:val="24"/>
      <w:szCs w:val="24"/>
    </w:rPr>
  </w:style>
  <w:style w:type="paragraph" w:customStyle="1" w:styleId="1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NormalCharacter"/>
    <w:qFormat/>
    <w:uiPriority w:val="0"/>
    <w:rPr>
      <w:kern w:val="2"/>
      <w:sz w:val="21"/>
      <w:szCs w:val="22"/>
      <w:lang w:val="en-US" w:eastAsia="zh-CN" w:bidi="ar-SA"/>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qFormat/>
    <w:uiPriority w:val="99"/>
    <w:pPr>
      <w:ind w:left="4094" w:right="607" w:firstLine="0"/>
      <w:jc w:val="center"/>
    </w:pPr>
    <w:rPr>
      <w:rFonts w:cs="仿宋_GB231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74</Words>
  <Characters>77</Characters>
  <Lines>0</Lines>
  <Paragraphs>0</Paragraphs>
  <TotalTime>0</TotalTime>
  <ScaleCrop>false</ScaleCrop>
  <LinksUpToDate>false</LinksUpToDate>
  <CharactersWithSpaces>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2025-07-02T07:19:00Z</dcterms:created>
  <dc:creator>Administrator</dc:creator>
  <cp:lastModifiedBy>Administrator</cp:lastModifiedBy>
  <dcterms:modified xsi:type="dcterms:W3CDTF">2025-07-16T06:52:45Z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5EEFE23A701346D2966E46F02364C8C2_13</vt:lpwstr>
  </property>
  <property fmtid="{D5CDD505-2E9C-101B-9397-08002B2CF9AE}" pid="4" name="KSOTemplateDocerSaveRecord">
    <vt:lpwstr>eyJoZGlkIjoiMmNjNDQ4MDQ4YjFlYmEwYWRlYjdkZjk3MjQyNzRhNzMiLCJ1c2VySWQiOiIyMDYzMTExODMifQ==</vt:lpwstr>
  </property>
</Properties>
</file>