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EB9773">
      <w:pPr>
        <w:spacing w:line="360" w:lineRule="auto"/>
        <w:ind w:firstLine="723" w:firstLineChars="200"/>
        <w:jc w:val="center"/>
        <w:rPr>
          <w:rFonts w:ascii="仿宋_GB2312" w:hAnsi="宋体" w:eastAsia="仿宋_GB2312"/>
          <w:b/>
          <w:color w:val="000000"/>
          <w:sz w:val="36"/>
          <w:szCs w:val="36"/>
          <w:highlight w:val="none"/>
        </w:rPr>
      </w:pPr>
    </w:p>
    <w:p w14:paraId="06676890">
      <w:pPr>
        <w:pStyle w:val="12"/>
        <w:kinsoku w:val="0"/>
        <w:overflowPunct w:val="0"/>
        <w:ind w:left="0"/>
        <w:rPr>
          <w:rFonts w:ascii="Times New Roman" w:hAnsi="Times New Roman" w:eastAsia="Times New Roman"/>
          <w:sz w:val="20"/>
          <w:highlight w:val="none"/>
        </w:rPr>
      </w:pPr>
    </w:p>
    <w:p w14:paraId="1049555F">
      <w:pPr>
        <w:pStyle w:val="12"/>
        <w:kinsoku w:val="0"/>
        <w:overflowPunct w:val="0"/>
        <w:ind w:left="0"/>
        <w:rPr>
          <w:rFonts w:ascii="Times New Roman" w:hAnsi="Times New Roman" w:eastAsia="Times New Roman"/>
          <w:sz w:val="20"/>
          <w:highlight w:val="none"/>
        </w:rPr>
      </w:pPr>
    </w:p>
    <w:p w14:paraId="76A0392D">
      <w:pPr>
        <w:spacing w:line="360" w:lineRule="auto"/>
        <w:ind w:left="410" w:leftChars="171"/>
        <w:jc w:val="center"/>
        <w:rPr>
          <w:rFonts w:hint="eastAsia" w:ascii="宋体" w:hAnsi="宋体" w:cs="华文中宋"/>
          <w:b/>
          <w:bCs/>
          <w:color w:val="auto"/>
          <w:spacing w:val="40"/>
          <w:sz w:val="48"/>
          <w:szCs w:val="48"/>
          <w:highlight w:val="none"/>
        </w:rPr>
      </w:pPr>
      <w:bookmarkStart w:id="0" w:name="_Toc6405"/>
      <w:r>
        <w:rPr>
          <w:rFonts w:hint="eastAsia" w:ascii="宋体" w:hAnsi="宋体" w:cs="宋体"/>
          <w:b/>
          <w:bCs/>
          <w:sz w:val="44"/>
          <w:szCs w:val="44"/>
          <w:highlight w:val="none"/>
          <w:lang w:val="en-US" w:eastAsia="zh-CN"/>
        </w:rPr>
        <w:t>石滩大围达标加固工程</w:t>
      </w:r>
      <w:r>
        <w:rPr>
          <w:rFonts w:hint="eastAsia" w:ascii="宋体" w:hAnsi="宋体" w:eastAsia="宋体" w:cs="宋体"/>
          <w:b/>
          <w:bCs/>
          <w:sz w:val="44"/>
          <w:szCs w:val="44"/>
          <w:highlight w:val="none"/>
          <w:lang w:val="en-US" w:eastAsia="zh-CN"/>
        </w:rPr>
        <w:t>施工监理</w:t>
      </w:r>
    </w:p>
    <w:bookmarkEnd w:id="0"/>
    <w:p w14:paraId="7E66DF24">
      <w:pPr>
        <w:pStyle w:val="12"/>
        <w:kinsoku w:val="0"/>
        <w:overflowPunct w:val="0"/>
        <w:spacing w:before="2"/>
        <w:ind w:left="0"/>
        <w:rPr>
          <w:sz w:val="23"/>
          <w:highlight w:val="none"/>
        </w:rPr>
      </w:pPr>
    </w:p>
    <w:p w14:paraId="28547CD6">
      <w:pPr>
        <w:pStyle w:val="12"/>
        <w:kinsoku w:val="0"/>
        <w:overflowPunct w:val="0"/>
        <w:ind w:left="0"/>
        <w:rPr>
          <w:sz w:val="20"/>
          <w:highlight w:val="none"/>
        </w:rPr>
      </w:pPr>
    </w:p>
    <w:p w14:paraId="2D59F82E">
      <w:pPr>
        <w:pStyle w:val="12"/>
        <w:kinsoku w:val="0"/>
        <w:overflowPunct w:val="0"/>
        <w:ind w:left="0"/>
        <w:rPr>
          <w:sz w:val="20"/>
          <w:highlight w:val="none"/>
        </w:rPr>
      </w:pPr>
    </w:p>
    <w:p w14:paraId="154512C1">
      <w:pPr>
        <w:pStyle w:val="12"/>
        <w:kinsoku w:val="0"/>
        <w:overflowPunct w:val="0"/>
        <w:ind w:left="0"/>
        <w:rPr>
          <w:sz w:val="20"/>
          <w:highlight w:val="none"/>
        </w:rPr>
      </w:pPr>
    </w:p>
    <w:p w14:paraId="5AD93DD4">
      <w:pPr>
        <w:pStyle w:val="12"/>
        <w:kinsoku w:val="0"/>
        <w:overflowPunct w:val="0"/>
        <w:ind w:left="0"/>
        <w:rPr>
          <w:sz w:val="20"/>
          <w:highlight w:val="none"/>
        </w:rPr>
      </w:pPr>
    </w:p>
    <w:p w14:paraId="64625439">
      <w:pPr>
        <w:pStyle w:val="12"/>
        <w:kinsoku w:val="0"/>
        <w:overflowPunct w:val="0"/>
        <w:ind w:left="0"/>
        <w:rPr>
          <w:sz w:val="20"/>
          <w:highlight w:val="none"/>
        </w:rPr>
      </w:pPr>
    </w:p>
    <w:p w14:paraId="3A39FD35">
      <w:pPr>
        <w:pStyle w:val="12"/>
        <w:kinsoku w:val="0"/>
        <w:overflowPunct w:val="0"/>
        <w:spacing w:before="106"/>
        <w:ind w:left="3" w:right="4"/>
        <w:jc w:val="center"/>
        <w:rPr>
          <w:sz w:val="44"/>
          <w:highlight w:val="none"/>
        </w:rPr>
      </w:pPr>
      <w:r>
        <w:rPr>
          <w:rFonts w:hint="eastAsia" w:ascii="黑体" w:hAnsi="黑体" w:eastAsia="黑体"/>
          <w:sz w:val="84"/>
          <w:highlight w:val="none"/>
        </w:rPr>
        <w:t>招标文件</w:t>
      </w:r>
    </w:p>
    <w:p w14:paraId="38AA7C80">
      <w:pPr>
        <w:pStyle w:val="12"/>
        <w:kinsoku w:val="0"/>
        <w:overflowPunct w:val="0"/>
        <w:ind w:left="0"/>
        <w:rPr>
          <w:sz w:val="44"/>
          <w:highlight w:val="none"/>
        </w:rPr>
      </w:pPr>
    </w:p>
    <w:p w14:paraId="406E7F2E">
      <w:pPr>
        <w:pStyle w:val="12"/>
        <w:kinsoku w:val="0"/>
        <w:overflowPunct w:val="0"/>
        <w:ind w:left="0"/>
        <w:rPr>
          <w:sz w:val="44"/>
          <w:highlight w:val="none"/>
        </w:rPr>
      </w:pPr>
    </w:p>
    <w:p w14:paraId="172807DE">
      <w:pPr>
        <w:pStyle w:val="12"/>
        <w:kinsoku w:val="0"/>
        <w:overflowPunct w:val="0"/>
        <w:ind w:left="0"/>
        <w:rPr>
          <w:sz w:val="44"/>
          <w:highlight w:val="none"/>
        </w:rPr>
      </w:pPr>
    </w:p>
    <w:p w14:paraId="1F5C557E">
      <w:pPr>
        <w:pStyle w:val="12"/>
        <w:kinsoku w:val="0"/>
        <w:overflowPunct w:val="0"/>
        <w:ind w:left="0"/>
        <w:rPr>
          <w:sz w:val="44"/>
          <w:highlight w:val="none"/>
        </w:rPr>
      </w:pPr>
    </w:p>
    <w:p w14:paraId="20845593">
      <w:pPr>
        <w:pStyle w:val="12"/>
        <w:kinsoku w:val="0"/>
        <w:overflowPunct w:val="0"/>
        <w:ind w:left="0"/>
        <w:rPr>
          <w:sz w:val="44"/>
          <w:highlight w:val="none"/>
        </w:rPr>
      </w:pPr>
    </w:p>
    <w:p w14:paraId="2843CF7A">
      <w:pPr>
        <w:pStyle w:val="12"/>
        <w:kinsoku w:val="0"/>
        <w:overflowPunct w:val="0"/>
        <w:ind w:left="0"/>
        <w:rPr>
          <w:sz w:val="44"/>
          <w:highlight w:val="none"/>
        </w:rPr>
      </w:pPr>
    </w:p>
    <w:p w14:paraId="55042965">
      <w:pPr>
        <w:pStyle w:val="12"/>
        <w:kinsoku w:val="0"/>
        <w:overflowPunct w:val="0"/>
        <w:ind w:left="0"/>
        <w:rPr>
          <w:sz w:val="44"/>
          <w:highlight w:val="none"/>
        </w:rPr>
      </w:pPr>
    </w:p>
    <w:p w14:paraId="01FE84BB">
      <w:pPr>
        <w:pStyle w:val="12"/>
        <w:kinsoku w:val="0"/>
        <w:overflowPunct w:val="0"/>
        <w:spacing w:before="8"/>
        <w:ind w:left="0"/>
        <w:rPr>
          <w:sz w:val="33"/>
          <w:highlight w:val="none"/>
        </w:rPr>
      </w:pPr>
    </w:p>
    <w:p w14:paraId="001AF7A4">
      <w:pPr>
        <w:pStyle w:val="12"/>
        <w:kinsoku w:val="0"/>
        <w:overflowPunct w:val="0"/>
        <w:spacing w:before="8"/>
        <w:rPr>
          <w:rFonts w:ascii="黑体" w:hAnsi="黑体" w:eastAsia="黑体" w:cs="黑体"/>
          <w:spacing w:val="-4"/>
          <w:sz w:val="27"/>
          <w:szCs w:val="27"/>
          <w:highlight w:val="none"/>
        </w:rPr>
      </w:pPr>
      <w:r>
        <w:rPr>
          <w:rFonts w:hint="eastAsia" w:ascii="黑体" w:hAnsi="黑体" w:eastAsia="黑体" w:cs="黑体"/>
          <w:spacing w:val="-4"/>
          <w:sz w:val="27"/>
          <w:szCs w:val="27"/>
          <w:highlight w:val="none"/>
        </w:rPr>
        <w:t>招  标 单 位：</w:t>
      </w:r>
      <w:r>
        <w:rPr>
          <w:rFonts w:hint="eastAsia" w:ascii="黑体" w:hAnsi="黑体" w:eastAsia="黑体" w:cs="黑体"/>
          <w:spacing w:val="-4"/>
          <w:sz w:val="27"/>
          <w:szCs w:val="27"/>
          <w:highlight w:val="none"/>
          <w:lang w:eastAsia="zh-CN"/>
        </w:rPr>
        <w:t>广州市增城区石滩镇农业农村技术服务中心</w:t>
      </w:r>
      <w:r>
        <w:rPr>
          <w:rFonts w:hint="eastAsia" w:ascii="黑体" w:hAnsi="黑体" w:eastAsia="黑体" w:cs="黑体"/>
          <w:spacing w:val="-4"/>
          <w:sz w:val="27"/>
          <w:szCs w:val="27"/>
          <w:highlight w:val="none"/>
        </w:rPr>
        <w:t>(盖单位章)</w:t>
      </w:r>
    </w:p>
    <w:p w14:paraId="3D5658EE">
      <w:pPr>
        <w:spacing w:before="88" w:line="468" w:lineRule="auto"/>
        <w:ind w:firstLine="524" w:firstLineChars="200"/>
        <w:rPr>
          <w:rFonts w:ascii="黑体" w:hAnsi="黑体" w:eastAsia="黑体" w:cs="黑体"/>
          <w:sz w:val="27"/>
          <w:szCs w:val="27"/>
          <w:highlight w:val="none"/>
        </w:rPr>
      </w:pPr>
      <w:r>
        <w:rPr>
          <w:rFonts w:hint="eastAsia" w:ascii="黑体" w:hAnsi="黑体" w:eastAsia="黑体" w:cs="黑体"/>
          <w:spacing w:val="-4"/>
          <w:sz w:val="27"/>
          <w:szCs w:val="27"/>
          <w:highlight w:val="none"/>
        </w:rPr>
        <w:t>招标代理单位：</w:t>
      </w:r>
      <w:r>
        <w:rPr>
          <w:rFonts w:hint="eastAsia" w:ascii="黑体" w:hAnsi="黑体" w:eastAsia="黑体" w:cs="黑体"/>
          <w:spacing w:val="-4"/>
          <w:sz w:val="27"/>
          <w:szCs w:val="27"/>
          <w:highlight w:val="none"/>
          <w:lang w:eastAsia="zh-CN"/>
        </w:rPr>
        <w:t>广州市弘鑫工程咨询有限公司</w:t>
      </w:r>
      <w:r>
        <w:rPr>
          <w:rFonts w:hint="eastAsia" w:ascii="黑体" w:hAnsi="黑体" w:eastAsia="黑体" w:cs="黑体"/>
          <w:spacing w:val="-4"/>
          <w:sz w:val="27"/>
          <w:szCs w:val="27"/>
          <w:highlight w:val="none"/>
        </w:rPr>
        <w:t>(盖单位章)</w:t>
      </w:r>
    </w:p>
    <w:p w14:paraId="3255C963">
      <w:pPr>
        <w:pStyle w:val="12"/>
        <w:tabs>
          <w:tab w:val="left" w:pos="3611"/>
          <w:tab w:val="left" w:pos="4626"/>
          <w:tab w:val="left" w:pos="5642"/>
        </w:tabs>
        <w:kinsoku w:val="0"/>
        <w:overflowPunct w:val="0"/>
        <w:spacing w:before="14"/>
        <w:ind w:left="2877" w:right="175"/>
        <w:rPr>
          <w:sz w:val="28"/>
          <w:highlight w:val="none"/>
        </w:rPr>
        <w:sectPr>
          <w:footerReference r:id="rId3" w:type="default"/>
          <w:pgSz w:w="11905" w:h="16838"/>
          <w:pgMar w:top="1417" w:right="1417" w:bottom="1417" w:left="1417" w:header="720" w:footer="720" w:gutter="0"/>
          <w:cols w:space="720" w:num="1"/>
        </w:sectPr>
      </w:pPr>
      <w:r>
        <w:rPr>
          <w:rFonts w:hint="eastAsia" w:ascii="黑体" w:hAnsi="黑体" w:eastAsia="黑体" w:cs="黑体"/>
          <w:sz w:val="27"/>
          <w:szCs w:val="27"/>
          <w:highlight w:val="none"/>
          <w:u w:val="single"/>
        </w:rPr>
        <w:t>202</w:t>
      </w:r>
      <w:r>
        <w:rPr>
          <w:rFonts w:hint="eastAsia" w:ascii="黑体" w:hAnsi="黑体" w:eastAsia="黑体" w:cs="黑体"/>
          <w:sz w:val="27"/>
          <w:szCs w:val="27"/>
          <w:highlight w:val="none"/>
          <w:u w:val="single"/>
          <w:lang w:val="en-US" w:eastAsia="zh-CN"/>
        </w:rPr>
        <w:t>5</w:t>
      </w:r>
      <w:r>
        <w:rPr>
          <w:rFonts w:hint="eastAsia" w:ascii="黑体" w:hAnsi="黑体" w:eastAsia="黑体" w:cs="黑体"/>
          <w:spacing w:val="6"/>
          <w:sz w:val="27"/>
          <w:szCs w:val="27"/>
          <w:highlight w:val="none"/>
        </w:rPr>
        <w:t>年</w:t>
      </w:r>
      <w:r>
        <w:rPr>
          <w:rFonts w:hint="eastAsia" w:ascii="黑体" w:hAnsi="黑体" w:eastAsia="黑体" w:cs="黑体"/>
          <w:spacing w:val="3"/>
          <w:sz w:val="27"/>
          <w:szCs w:val="27"/>
          <w:highlight w:val="none"/>
          <w:u w:val="single"/>
          <w:lang w:val="en-US" w:eastAsia="zh-CN"/>
        </w:rPr>
        <w:t>7</w:t>
      </w:r>
      <w:r>
        <w:rPr>
          <w:rFonts w:hint="eastAsia" w:ascii="黑体" w:hAnsi="黑体" w:eastAsia="黑体" w:cs="黑体"/>
          <w:spacing w:val="3"/>
          <w:sz w:val="27"/>
          <w:szCs w:val="27"/>
          <w:highlight w:val="none"/>
        </w:rPr>
        <w:t>月</w:t>
      </w:r>
    </w:p>
    <w:sdt>
      <w:sdtPr>
        <w:rPr>
          <w:rFonts w:hint="eastAsia" w:ascii="宋体" w:hAnsi="宋体" w:cs="宋体"/>
          <w:sz w:val="21"/>
          <w:highlight w:val="none"/>
        </w:rPr>
        <w:id w:val="147452449"/>
      </w:sdtPr>
      <w:sdtEndPr>
        <w:rPr>
          <w:rFonts w:hint="eastAsia" w:ascii="宋体" w:hAnsi="宋体" w:cs="宋体"/>
          <w:sz w:val="21"/>
          <w:highlight w:val="none"/>
        </w:rPr>
      </w:sdtEndPr>
      <w:sdtContent>
        <w:p w14:paraId="75BC73B4">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目 录</w:t>
          </w:r>
        </w:p>
        <w:p w14:paraId="346A9BB1">
          <w:pPr>
            <w:pStyle w:val="18"/>
            <w:tabs>
              <w:tab w:val="right" w:leader="dot" w:pos="9071"/>
            </w:tabs>
            <w:spacing w:line="360" w:lineRule="auto"/>
            <w:rPr>
              <w:rFonts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TOC \o "1-3" \h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"_Toc19294" </w:instrText>
          </w:r>
          <w:r>
            <w:rPr>
              <w:highlight w:val="none"/>
            </w:rPr>
            <w:fldChar w:fldCharType="separate"/>
          </w:r>
          <w:r>
            <w:rPr>
              <w:rFonts w:hint="eastAsia" w:ascii="宋体" w:hAnsi="宋体" w:cs="宋体"/>
              <w:b/>
              <w:bCs/>
              <w:highlight w:val="none"/>
            </w:rPr>
            <w:t>第一卷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_Toc19294 \h </w:instrText>
          </w:r>
          <w:r>
            <w:rPr>
              <w:rFonts w:hint="eastAsia" w:ascii="宋体" w:hAnsi="宋体" w:cs="宋体"/>
              <w:b/>
              <w:bCs/>
              <w:highlight w:val="none"/>
            </w:rPr>
            <w:fldChar w:fldCharType="separate"/>
          </w:r>
          <w:r>
            <w:rPr>
              <w:rFonts w:hint="eastAsia" w:ascii="宋体" w:hAnsi="宋体" w:cs="宋体"/>
              <w:b/>
              <w:bCs/>
              <w:highlight w:val="none"/>
            </w:rPr>
            <w:t>3</w:t>
          </w:r>
          <w:r>
            <w:rPr>
              <w:rFonts w:hint="eastAsia" w:ascii="宋体" w:hAnsi="宋体" w:cs="宋体"/>
              <w:b/>
              <w:bCs/>
              <w:highlight w:val="none"/>
            </w:rPr>
            <w:fldChar w:fldCharType="end"/>
          </w:r>
          <w:r>
            <w:rPr>
              <w:rFonts w:hint="eastAsia" w:ascii="宋体" w:hAnsi="宋体" w:cs="宋体"/>
              <w:b/>
              <w:bCs/>
              <w:highlight w:val="none"/>
            </w:rPr>
            <w:fldChar w:fldCharType="end"/>
          </w:r>
        </w:p>
        <w:p w14:paraId="24B764F1">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"_Toc4842" </w:instrText>
          </w:r>
          <w:r>
            <w:rPr>
              <w:highlight w:val="none"/>
            </w:rPr>
            <w:fldChar w:fldCharType="separate"/>
          </w:r>
          <w:r>
            <w:rPr>
              <w:rFonts w:hint="eastAsia" w:ascii="宋体" w:hAnsi="宋体" w:cs="宋体"/>
              <w:highlight w:val="none"/>
            </w:rPr>
            <w:t>第一章 招标公告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_Toc4842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23A5C5E9">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"_Toc10685" </w:instrText>
          </w:r>
          <w:r>
            <w:rPr>
              <w:highlight w:val="none"/>
            </w:rPr>
            <w:fldChar w:fldCharType="separate"/>
          </w:r>
          <w:r>
            <w:rPr>
              <w:rFonts w:hint="eastAsia" w:ascii="宋体" w:hAnsi="宋体" w:cs="宋体"/>
              <w:highlight w:val="none"/>
            </w:rPr>
            <w:t>第二章 投标人须知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_Toc10685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43F90791">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"_Toc29250" </w:instrText>
          </w:r>
          <w:r>
            <w:rPr>
              <w:highlight w:val="none"/>
            </w:rPr>
            <w:fldChar w:fldCharType="separate"/>
          </w:r>
          <w:r>
            <w:rPr>
              <w:rFonts w:hint="eastAsia" w:ascii="宋体" w:hAnsi="宋体" w:cs="宋体"/>
              <w:highlight w:val="none"/>
            </w:rPr>
            <w:t>第三章 评标办法（综合评估法）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_Toc29250 \h </w:instrText>
          </w:r>
          <w:r>
            <w:rPr>
              <w:rFonts w:hint="eastAsia" w:ascii="宋体" w:hAnsi="宋体" w:cs="宋体"/>
              <w:highlight w:val="none"/>
            </w:rPr>
            <w:fldChar w:fldCharType="separate"/>
          </w:r>
          <w:r>
            <w:rPr>
              <w:rFonts w:hint="eastAsia" w:ascii="宋体" w:hAnsi="宋体" w:cs="宋体"/>
              <w:highlight w:val="none"/>
            </w:rPr>
            <w:t>40</w:t>
          </w:r>
          <w:r>
            <w:rPr>
              <w:rFonts w:hint="eastAsia" w:ascii="宋体" w:hAnsi="宋体" w:cs="宋体"/>
              <w:highlight w:val="none"/>
            </w:rPr>
            <w:fldChar w:fldCharType="end"/>
          </w:r>
          <w:r>
            <w:rPr>
              <w:rFonts w:hint="eastAsia" w:ascii="宋体" w:hAnsi="宋体" w:cs="宋体"/>
              <w:highlight w:val="none"/>
            </w:rPr>
            <w:fldChar w:fldCharType="end"/>
          </w:r>
        </w:p>
        <w:p w14:paraId="2A83B872">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"_Toc15665" </w:instrText>
          </w:r>
          <w:r>
            <w:rPr>
              <w:highlight w:val="none"/>
            </w:rPr>
            <w:fldChar w:fldCharType="separate"/>
          </w:r>
          <w:r>
            <w:rPr>
              <w:rFonts w:hint="eastAsia" w:ascii="宋体" w:hAnsi="宋体" w:cs="宋体"/>
              <w:highlight w:val="none"/>
            </w:rPr>
            <w:t>第四章 合同条款及格式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_Toc15665 \h </w:instrText>
          </w:r>
          <w:r>
            <w:rPr>
              <w:rFonts w:hint="eastAsia" w:ascii="宋体" w:hAnsi="宋体" w:cs="宋体"/>
              <w:highlight w:val="none"/>
            </w:rPr>
            <w:fldChar w:fldCharType="separate"/>
          </w:r>
          <w:r>
            <w:rPr>
              <w:rFonts w:hint="eastAsia" w:ascii="宋体" w:hAnsi="宋体" w:cs="宋体"/>
              <w:highlight w:val="none"/>
            </w:rPr>
            <w:t>51</w:t>
          </w:r>
          <w:r>
            <w:rPr>
              <w:rFonts w:hint="eastAsia" w:ascii="宋体" w:hAnsi="宋体" w:cs="宋体"/>
              <w:highlight w:val="none"/>
            </w:rPr>
            <w:fldChar w:fldCharType="end"/>
          </w:r>
          <w:r>
            <w:rPr>
              <w:rFonts w:hint="eastAsia" w:ascii="宋体" w:hAnsi="宋体" w:cs="宋体"/>
              <w:highlight w:val="none"/>
            </w:rPr>
            <w:fldChar w:fldCharType="end"/>
          </w:r>
        </w:p>
        <w:p w14:paraId="05DE501A">
          <w:pPr>
            <w:pStyle w:val="18"/>
            <w:tabs>
              <w:tab w:val="right" w:leader="dot" w:pos="9071"/>
            </w:tabs>
            <w:spacing w:line="360" w:lineRule="auto"/>
            <w:rPr>
              <w:rFonts w:ascii="宋体" w:hAnsi="宋体" w:cs="宋体"/>
              <w:b/>
              <w:bCs/>
              <w:highlight w:val="none"/>
            </w:rPr>
          </w:pPr>
          <w:r>
            <w:rPr>
              <w:highlight w:val="none"/>
            </w:rPr>
            <w:fldChar w:fldCharType="begin"/>
          </w:r>
          <w:r>
            <w:rPr>
              <w:highlight w:val="none"/>
            </w:rPr>
            <w:instrText xml:space="preserve"> HYPERLINK \l "_Toc29682" </w:instrText>
          </w:r>
          <w:r>
            <w:rPr>
              <w:highlight w:val="none"/>
            </w:rPr>
            <w:fldChar w:fldCharType="separate"/>
          </w:r>
          <w:r>
            <w:rPr>
              <w:rFonts w:hint="eastAsia" w:ascii="宋体" w:hAnsi="宋体" w:cs="宋体"/>
              <w:b/>
              <w:bCs/>
              <w:highlight w:val="none"/>
            </w:rPr>
            <w:t>第二卷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_Toc29682 \h </w:instrText>
          </w:r>
          <w:r>
            <w:rPr>
              <w:rFonts w:hint="eastAsia" w:ascii="宋体" w:hAnsi="宋体" w:cs="宋体"/>
              <w:b/>
              <w:bCs/>
              <w:highlight w:val="none"/>
            </w:rPr>
            <w:fldChar w:fldCharType="separate"/>
          </w:r>
          <w:r>
            <w:rPr>
              <w:rFonts w:hint="eastAsia" w:ascii="宋体" w:hAnsi="宋体" w:cs="宋体"/>
              <w:b/>
              <w:bCs/>
              <w:highlight w:val="none"/>
            </w:rPr>
            <w:t>51</w:t>
          </w:r>
          <w:r>
            <w:rPr>
              <w:rFonts w:hint="eastAsia" w:ascii="宋体" w:hAnsi="宋体" w:cs="宋体"/>
              <w:b/>
              <w:bCs/>
              <w:highlight w:val="none"/>
            </w:rPr>
            <w:fldChar w:fldCharType="end"/>
          </w:r>
          <w:r>
            <w:rPr>
              <w:rFonts w:hint="eastAsia" w:ascii="宋体" w:hAnsi="宋体" w:cs="宋体"/>
              <w:b/>
              <w:bCs/>
              <w:highlight w:val="none"/>
            </w:rPr>
            <w:fldChar w:fldCharType="end"/>
          </w:r>
        </w:p>
        <w:p w14:paraId="501B86BF">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"_Toc17878" </w:instrText>
          </w:r>
          <w:r>
            <w:rPr>
              <w:highlight w:val="none"/>
            </w:rPr>
            <w:fldChar w:fldCharType="separate"/>
          </w:r>
          <w:r>
            <w:rPr>
              <w:rFonts w:hint="eastAsia" w:ascii="宋体" w:hAnsi="宋体" w:cs="宋体"/>
              <w:highlight w:val="none"/>
            </w:rPr>
            <w:t>第五章 委托人要求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_Toc17878 \h </w:instrText>
          </w:r>
          <w:r>
            <w:rPr>
              <w:rFonts w:hint="eastAsia" w:ascii="宋体" w:hAnsi="宋体" w:cs="宋体"/>
              <w:highlight w:val="none"/>
            </w:rPr>
            <w:fldChar w:fldCharType="separate"/>
          </w:r>
          <w:r>
            <w:rPr>
              <w:rFonts w:hint="eastAsia" w:ascii="宋体" w:hAnsi="宋体" w:cs="宋体"/>
              <w:highlight w:val="none"/>
            </w:rPr>
            <w:t>68</w:t>
          </w:r>
          <w:r>
            <w:rPr>
              <w:rFonts w:hint="eastAsia" w:ascii="宋体" w:hAnsi="宋体" w:cs="宋体"/>
              <w:highlight w:val="none"/>
            </w:rPr>
            <w:fldChar w:fldCharType="end"/>
          </w:r>
          <w:r>
            <w:rPr>
              <w:rFonts w:hint="eastAsia" w:ascii="宋体" w:hAnsi="宋体" w:cs="宋体"/>
              <w:highlight w:val="none"/>
            </w:rPr>
            <w:fldChar w:fldCharType="end"/>
          </w:r>
        </w:p>
        <w:p w14:paraId="75FF4CEB">
          <w:pPr>
            <w:pStyle w:val="18"/>
            <w:tabs>
              <w:tab w:val="right" w:leader="dot" w:pos="9071"/>
            </w:tabs>
            <w:spacing w:line="360" w:lineRule="auto"/>
            <w:rPr>
              <w:rFonts w:ascii="宋体" w:hAnsi="宋体" w:cs="宋体"/>
              <w:b/>
              <w:bCs/>
              <w:highlight w:val="none"/>
            </w:rPr>
          </w:pPr>
          <w:r>
            <w:rPr>
              <w:highlight w:val="none"/>
            </w:rPr>
            <w:fldChar w:fldCharType="begin"/>
          </w:r>
          <w:r>
            <w:rPr>
              <w:highlight w:val="none"/>
            </w:rPr>
            <w:instrText xml:space="preserve"> HYPERLINK \l "_Toc9855" </w:instrText>
          </w:r>
          <w:r>
            <w:rPr>
              <w:highlight w:val="none"/>
            </w:rPr>
            <w:fldChar w:fldCharType="separate"/>
          </w:r>
          <w:r>
            <w:rPr>
              <w:rFonts w:hint="eastAsia" w:ascii="宋体" w:hAnsi="宋体" w:cs="宋体"/>
              <w:b/>
              <w:bCs/>
              <w:highlight w:val="none"/>
            </w:rPr>
            <w:t>第三卷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_Toc9855 \h </w:instrText>
          </w:r>
          <w:r>
            <w:rPr>
              <w:rFonts w:hint="eastAsia" w:ascii="宋体" w:hAnsi="宋体" w:cs="宋体"/>
              <w:b/>
              <w:bCs/>
              <w:highlight w:val="none"/>
            </w:rPr>
            <w:fldChar w:fldCharType="separate"/>
          </w:r>
          <w:r>
            <w:rPr>
              <w:rFonts w:hint="eastAsia" w:ascii="宋体" w:hAnsi="宋体" w:cs="宋体"/>
              <w:b/>
              <w:bCs/>
              <w:highlight w:val="none"/>
            </w:rPr>
            <w:t>75</w:t>
          </w:r>
          <w:r>
            <w:rPr>
              <w:rFonts w:hint="eastAsia" w:ascii="宋体" w:hAnsi="宋体" w:cs="宋体"/>
              <w:b/>
              <w:bCs/>
              <w:highlight w:val="none"/>
            </w:rPr>
            <w:fldChar w:fldCharType="end"/>
          </w:r>
          <w:r>
            <w:rPr>
              <w:rFonts w:hint="eastAsia" w:ascii="宋体" w:hAnsi="宋体" w:cs="宋体"/>
              <w:b/>
              <w:bCs/>
              <w:highlight w:val="none"/>
            </w:rPr>
            <w:fldChar w:fldCharType="end"/>
          </w:r>
        </w:p>
        <w:p w14:paraId="535668EA">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宋体" w:hAnsi="宋体" w:cs="宋体"/>
              <w:highlight w:val="none"/>
            </w:rPr>
            <w:t>第六章 投标文件格式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_Toc1895 \h </w:instrText>
          </w:r>
          <w:r>
            <w:rPr>
              <w:rFonts w:hint="eastAsia" w:ascii="宋体" w:hAnsi="宋体" w:cs="宋体"/>
              <w:highlight w:val="none"/>
            </w:rPr>
            <w:fldChar w:fldCharType="separate"/>
          </w:r>
          <w:r>
            <w:rPr>
              <w:rFonts w:hint="eastAsia" w:ascii="宋体" w:hAnsi="宋体" w:cs="宋体"/>
              <w:highlight w:val="none"/>
            </w:rPr>
            <w:t>76</w:t>
          </w:r>
          <w:r>
            <w:rPr>
              <w:rFonts w:hint="eastAsia" w:ascii="宋体" w:hAnsi="宋体" w:cs="宋体"/>
              <w:highlight w:val="none"/>
            </w:rPr>
            <w:fldChar w:fldCharType="end"/>
          </w:r>
          <w:r>
            <w:rPr>
              <w:rFonts w:hint="eastAsia" w:ascii="宋体" w:hAnsi="宋体" w:cs="宋体"/>
              <w:highlight w:val="none"/>
            </w:rPr>
            <w:fldChar w:fldCharType="end"/>
          </w:r>
        </w:p>
        <w:p w14:paraId="7E320BA2">
          <w:pPr>
            <w:pStyle w:val="19"/>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"_Toc27375" </w:instrText>
          </w:r>
          <w:r>
            <w:rPr>
              <w:highlight w:val="none"/>
            </w:rPr>
            <w:fldChar w:fldCharType="separate"/>
          </w:r>
          <w:r>
            <w:rPr>
              <w:rFonts w:hint="eastAsia" w:ascii="宋体" w:hAnsi="宋体" w:cs="宋体"/>
              <w:highlight w:val="none"/>
            </w:rPr>
            <w:t>第七章 投标人须知前附表规定的其他资料。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_Toc27375 \h </w:instrText>
          </w:r>
          <w:r>
            <w:rPr>
              <w:rFonts w:hint="eastAsia" w:ascii="宋体" w:hAnsi="宋体" w:cs="宋体"/>
              <w:highlight w:val="none"/>
            </w:rPr>
            <w:fldChar w:fldCharType="separate"/>
          </w:r>
          <w:r>
            <w:rPr>
              <w:rFonts w:hint="eastAsia" w:ascii="宋体" w:hAnsi="宋体" w:cs="宋体"/>
              <w:highlight w:val="none"/>
            </w:rPr>
            <w:t>96</w:t>
          </w:r>
          <w:r>
            <w:rPr>
              <w:rFonts w:hint="eastAsia" w:ascii="宋体" w:hAnsi="宋体" w:cs="宋体"/>
              <w:highlight w:val="none"/>
            </w:rPr>
            <w:fldChar w:fldCharType="end"/>
          </w:r>
          <w:r>
            <w:rPr>
              <w:rFonts w:hint="eastAsia" w:ascii="宋体" w:hAnsi="宋体" w:cs="宋体"/>
              <w:highlight w:val="none"/>
            </w:rPr>
            <w:fldChar w:fldCharType="end"/>
          </w:r>
        </w:p>
        <w:p w14:paraId="427FB92F">
          <w:pPr>
            <w:pStyle w:val="12"/>
            <w:tabs>
              <w:tab w:val="right" w:leader="dot" w:pos="8714"/>
            </w:tabs>
            <w:kinsoku w:val="0"/>
            <w:overflowPunct w:val="0"/>
            <w:spacing w:line="360" w:lineRule="auto"/>
            <w:ind w:left="0"/>
            <w:jc w:val="center"/>
            <w:rPr>
              <w:rFonts w:cs="宋体"/>
              <w:sz w:val="24"/>
              <w:highlight w:val="none"/>
            </w:rPr>
          </w:pPr>
          <w:r>
            <w:rPr>
              <w:rFonts w:hint="eastAsia" w:cs="宋体"/>
              <w:sz w:val="24"/>
              <w:highlight w:val="none"/>
            </w:rPr>
            <w:fldChar w:fldCharType="end"/>
          </w:r>
        </w:p>
      </w:sdtContent>
    </w:sdt>
    <w:p w14:paraId="60410ED9">
      <w:pPr>
        <w:pStyle w:val="45"/>
        <w:tabs>
          <w:tab w:val="right" w:leader="dot" w:pos="9071"/>
        </w:tabs>
        <w:ind w:left="720" w:leftChars="300"/>
        <w:rPr>
          <w:rFonts w:ascii="宋体" w:hAnsi="宋体" w:cs="宋体"/>
          <w:sz w:val="24"/>
          <w:szCs w:val="24"/>
          <w:highlight w:val="none"/>
        </w:rPr>
      </w:pPr>
    </w:p>
    <w:p w14:paraId="35558C15">
      <w:pPr>
        <w:pStyle w:val="12"/>
        <w:tabs>
          <w:tab w:val="right" w:leader="dot" w:pos="8714"/>
        </w:tabs>
        <w:kinsoku w:val="0"/>
        <w:overflowPunct w:val="0"/>
        <w:spacing w:line="288" w:lineRule="exact"/>
        <w:ind w:left="0"/>
        <w:jc w:val="center"/>
        <w:rPr>
          <w:rFonts w:hAnsi="Calibri"/>
          <w:highlight w:val="none"/>
        </w:rPr>
        <w:sectPr>
          <w:pgSz w:w="11905" w:h="16838"/>
          <w:pgMar w:top="1417" w:right="1417" w:bottom="1417" w:left="1417" w:header="720" w:footer="720" w:gutter="0"/>
          <w:cols w:space="720" w:num="1"/>
        </w:sectPr>
      </w:pPr>
    </w:p>
    <w:p w14:paraId="2845B35B">
      <w:pPr>
        <w:pStyle w:val="2"/>
        <w:spacing w:before="5280" w:beforeLines="2200"/>
        <w:ind w:left="6"/>
        <w:rPr>
          <w:rFonts w:hint="default"/>
          <w:sz w:val="52"/>
          <w:szCs w:val="52"/>
          <w:highlight w:val="none"/>
        </w:rPr>
      </w:pPr>
      <w:bookmarkStart w:id="1" w:name="bookmark0"/>
      <w:bookmarkEnd w:id="1"/>
      <w:bookmarkStart w:id="2" w:name="_Toc19294"/>
      <w:r>
        <w:rPr>
          <w:sz w:val="52"/>
          <w:szCs w:val="52"/>
          <w:highlight w:val="none"/>
        </w:rPr>
        <w:t>第一卷</w:t>
      </w:r>
      <w:bookmarkEnd w:id="2"/>
    </w:p>
    <w:p w14:paraId="2D7E387D">
      <w:pPr>
        <w:pStyle w:val="2"/>
        <w:kinsoku w:val="0"/>
        <w:overflowPunct w:val="0"/>
        <w:spacing w:before="5280" w:beforeLines="2200"/>
        <w:ind w:left="6" w:right="1"/>
        <w:rPr>
          <w:rFonts w:hint="default"/>
          <w:b w:val="0"/>
          <w:highlight w:val="none"/>
        </w:rPr>
        <w:sectPr>
          <w:footerReference r:id="rId4" w:type="default"/>
          <w:pgSz w:w="11905" w:h="16838"/>
          <w:pgMar w:top="1417" w:right="1417" w:bottom="1417" w:left="1417" w:header="720" w:footer="720" w:gutter="0"/>
          <w:cols w:space="720" w:num="1"/>
        </w:sectPr>
      </w:pPr>
    </w:p>
    <w:p w14:paraId="5BF036B9">
      <w:pPr>
        <w:pStyle w:val="4"/>
        <w:rPr>
          <w:rFonts w:cs="宋体"/>
          <w:sz w:val="44"/>
          <w:highlight w:val="none"/>
        </w:rPr>
      </w:pPr>
      <w:bookmarkStart w:id="3" w:name="bookmark1"/>
      <w:bookmarkEnd w:id="3"/>
      <w:bookmarkStart w:id="4" w:name="_Toc4842"/>
      <w:r>
        <w:rPr>
          <w:rFonts w:cs="宋体"/>
          <w:sz w:val="44"/>
          <w:highlight w:val="none"/>
        </w:rPr>
        <w:t>第一章 招标公告</w:t>
      </w:r>
      <w:bookmarkEnd w:id="4"/>
    </w:p>
    <w:p w14:paraId="295637D1">
      <w:pPr>
        <w:ind w:firstLine="0" w:firstLineChars="0"/>
        <w:jc w:val="center"/>
        <w:rPr>
          <w:rFonts w:hint="eastAsia" w:cs="宋体"/>
          <w:sz w:val="36"/>
          <w:szCs w:val="21"/>
          <w:highlight w:val="none"/>
          <w:lang w:val="en-US" w:eastAsia="zh-CN"/>
        </w:rPr>
      </w:pPr>
      <w:bookmarkStart w:id="5" w:name="bookmark9"/>
      <w:bookmarkEnd w:id="5"/>
      <w:bookmarkStart w:id="6" w:name="bookmark18"/>
      <w:bookmarkEnd w:id="6"/>
      <w:bookmarkStart w:id="7" w:name="_Toc10685"/>
      <w:r>
        <w:rPr>
          <w:rFonts w:hint="eastAsia" w:cs="宋体"/>
          <w:sz w:val="36"/>
          <w:szCs w:val="21"/>
          <w:highlight w:val="none"/>
          <w:lang w:val="en-US" w:eastAsia="zh-CN"/>
        </w:rPr>
        <w:t>详见招标公告</w:t>
      </w:r>
    </w:p>
    <w:p w14:paraId="223E5EF1">
      <w:pPr>
        <w:kinsoku/>
        <w:overflowPunct/>
        <w:autoSpaceDE w:val="0"/>
        <w:autoSpaceDN w:val="0"/>
        <w:adjustRightInd w:val="0"/>
        <w:spacing w:before="312" w:beforeLines="100" w:after="312" w:afterLines="100" w:line="360" w:lineRule="auto"/>
        <w:jc w:val="center"/>
        <w:rPr>
          <w:rFonts w:ascii="宋体" w:hAnsi="宋体"/>
          <w:color w:val="auto"/>
          <w:kern w:val="0"/>
          <w:sz w:val="20"/>
          <w:szCs w:val="24"/>
          <w:highlight w:val="none"/>
        </w:rPr>
      </w:pPr>
      <w:r>
        <w:rPr>
          <w:rFonts w:hint="eastAsia" w:ascii="宋体"/>
          <w:b/>
          <w:color w:val="auto"/>
          <w:sz w:val="30"/>
          <w:szCs w:val="24"/>
          <w:highlight w:val="none"/>
          <w:u w:val="single"/>
          <w:lang w:eastAsia="zh-CN"/>
        </w:rPr>
        <w:t>石滩大围达标加固工程</w:t>
      </w:r>
      <w:r>
        <w:rPr>
          <w:rFonts w:hint="default" w:ascii="宋体" w:hAnsi="Times New Roman" w:eastAsia="宋体"/>
          <w:b/>
          <w:color w:val="auto"/>
          <w:sz w:val="30"/>
          <w:szCs w:val="24"/>
          <w:highlight w:val="none"/>
          <w:u w:val="single"/>
          <w:lang w:val="en-US" w:eastAsia="zh-CN"/>
        </w:rPr>
        <w:t>施工</w:t>
      </w:r>
      <w:r>
        <w:rPr>
          <w:rFonts w:ascii="宋体" w:hAnsi="Times New Roman"/>
          <w:b/>
          <w:color w:val="auto"/>
          <w:kern w:val="0"/>
          <w:sz w:val="30"/>
          <w:szCs w:val="24"/>
          <w:highlight w:val="none"/>
          <w:u w:val="single"/>
        </w:rPr>
        <w:t>监理</w:t>
      </w:r>
      <w:r>
        <w:rPr>
          <w:rFonts w:ascii="宋体" w:hAnsi="Times New Roman"/>
          <w:b/>
          <w:color w:val="auto"/>
          <w:kern w:val="0"/>
          <w:sz w:val="30"/>
          <w:szCs w:val="24"/>
          <w:highlight w:val="none"/>
        </w:rPr>
        <w:t>招标公告</w:t>
      </w:r>
    </w:p>
    <w:p w14:paraId="71A39C56">
      <w:pPr>
        <w:autoSpaceDE w:val="0"/>
        <w:autoSpaceDN w:val="0"/>
        <w:adjustRightInd w:val="0"/>
        <w:spacing w:before="156" w:beforeLines="50" w:after="156" w:afterLines="50" w:line="360" w:lineRule="auto"/>
        <w:jc w:val="left"/>
        <w:outlineLvl w:val="2"/>
        <w:rPr>
          <w:rFonts w:ascii="Microsoft JhengHei" w:hAnsi="宋体" w:eastAsia="Microsoft JhengHei"/>
          <w:color w:val="auto"/>
          <w:kern w:val="0"/>
          <w:sz w:val="24"/>
          <w:szCs w:val="24"/>
          <w:highlight w:val="none"/>
        </w:rPr>
      </w:pPr>
      <w:bookmarkStart w:id="8" w:name="bookmark2"/>
      <w:bookmarkEnd w:id="8"/>
      <w:bookmarkStart w:id="9" w:name="_Toc5169"/>
      <w:r>
        <w:rPr>
          <w:rFonts w:ascii="宋体" w:hAnsi="宋体" w:cs="宋体"/>
          <w:b/>
          <w:color w:val="auto"/>
          <w:kern w:val="0"/>
          <w:sz w:val="24"/>
          <w:szCs w:val="24"/>
          <w:highlight w:val="none"/>
        </w:rPr>
        <w:t>1.招标条件</w:t>
      </w:r>
      <w:bookmarkEnd w:id="9"/>
    </w:p>
    <w:p w14:paraId="3A03E0CD">
      <w:pPr>
        <w:tabs>
          <w:tab w:val="left" w:pos="1343"/>
          <w:tab w:val="left" w:pos="2697"/>
          <w:tab w:val="left" w:pos="3264"/>
          <w:tab w:val="left" w:pos="4896"/>
          <w:tab w:val="left" w:pos="6005"/>
          <w:tab w:val="left" w:pos="7085"/>
          <w:tab w:val="left" w:pos="7498"/>
        </w:tabs>
        <w:kinsoku w:val="0"/>
        <w:overflowPunct w:val="0"/>
        <w:autoSpaceDE w:val="0"/>
        <w:autoSpaceDN w:val="0"/>
        <w:adjustRightInd w:val="0"/>
        <w:spacing w:line="351"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本招标项目</w:t>
      </w:r>
      <w:r>
        <w:rPr>
          <w:rFonts w:hint="eastAsia" w:ascii="宋体" w:hAnsi="宋体" w:cs="宋体"/>
          <w:color w:val="auto"/>
          <w:kern w:val="0"/>
          <w:sz w:val="24"/>
          <w:szCs w:val="24"/>
          <w:highlight w:val="none"/>
          <w:u w:val="single"/>
          <w:lang w:eastAsia="zh-CN"/>
        </w:rPr>
        <w:t>石滩大围达标加固工程</w:t>
      </w:r>
      <w:r>
        <w:rPr>
          <w:rFonts w:ascii="宋体" w:hAnsi="宋体"/>
          <w:color w:val="auto"/>
          <w:spacing w:val="-1"/>
          <w:kern w:val="0"/>
          <w:sz w:val="24"/>
          <w:szCs w:val="24"/>
          <w:highlight w:val="none"/>
        </w:rPr>
        <w:t>（项目名称）已由</w:t>
      </w:r>
      <w:r>
        <w:rPr>
          <w:rFonts w:hint="eastAsia" w:ascii="宋体" w:hAnsi="宋体" w:cs="宋体"/>
          <w:color w:val="auto"/>
          <w:spacing w:val="-1"/>
          <w:kern w:val="0"/>
          <w:sz w:val="24"/>
          <w:szCs w:val="24"/>
          <w:highlight w:val="none"/>
          <w:u w:val="single"/>
        </w:rPr>
        <w:t>广州市增城区发展和改革局</w:t>
      </w:r>
      <w:r>
        <w:rPr>
          <w:rFonts w:ascii="宋体" w:hAnsi="宋体"/>
          <w:color w:val="auto"/>
          <w:spacing w:val="-5"/>
          <w:kern w:val="0"/>
          <w:sz w:val="24"/>
          <w:szCs w:val="24"/>
          <w:highlight w:val="none"/>
        </w:rPr>
        <w:t>以</w:t>
      </w:r>
      <w:r>
        <w:rPr>
          <w:rFonts w:hint="eastAsia" w:ascii="宋体" w:hAnsi="宋体"/>
          <w:color w:val="auto"/>
          <w:sz w:val="24"/>
          <w:szCs w:val="24"/>
          <w:u w:val="single"/>
        </w:rPr>
        <w:t>穗增发改投批[202</w:t>
      </w:r>
      <w:r>
        <w:rPr>
          <w:rFonts w:hint="eastAsia" w:ascii="宋体" w:hAnsi="宋体"/>
          <w:color w:val="auto"/>
          <w:sz w:val="24"/>
          <w:szCs w:val="24"/>
          <w:u w:val="single"/>
          <w:lang w:val="en-US" w:eastAsia="zh-CN"/>
        </w:rPr>
        <w:t>4</w:t>
      </w:r>
      <w:r>
        <w:rPr>
          <w:rFonts w:hint="eastAsia" w:ascii="宋体" w:hAnsi="宋体"/>
          <w:color w:val="auto"/>
          <w:sz w:val="24"/>
          <w:szCs w:val="24"/>
          <w:u w:val="single"/>
        </w:rPr>
        <w:t>]</w:t>
      </w:r>
      <w:r>
        <w:rPr>
          <w:rFonts w:hint="eastAsia" w:ascii="宋体" w:hAnsi="宋体"/>
          <w:color w:val="auto"/>
          <w:sz w:val="24"/>
          <w:szCs w:val="24"/>
          <w:u w:val="single"/>
          <w:lang w:val="en-US" w:eastAsia="zh-CN"/>
        </w:rPr>
        <w:t>118</w:t>
      </w:r>
      <w:r>
        <w:rPr>
          <w:rFonts w:hint="eastAsia" w:ascii="宋体" w:hAnsi="宋体"/>
          <w:color w:val="auto"/>
          <w:sz w:val="24"/>
          <w:szCs w:val="24"/>
          <w:u w:val="single"/>
        </w:rPr>
        <w:t>号</w:t>
      </w:r>
      <w:r>
        <w:rPr>
          <w:rFonts w:ascii="宋体" w:hAnsi="宋体"/>
          <w:color w:val="auto"/>
          <w:spacing w:val="-4"/>
          <w:kern w:val="0"/>
          <w:sz w:val="24"/>
          <w:szCs w:val="24"/>
          <w:highlight w:val="none"/>
        </w:rPr>
        <w:t>批准建设，项目业主为</w:t>
      </w:r>
      <w:r>
        <w:rPr>
          <w:rFonts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u w:val="single"/>
          <w:lang w:eastAsia="zh-CN"/>
        </w:rPr>
        <w:t>广州市增城区石滩镇农业农村技术服务中心</w:t>
      </w:r>
      <w:r>
        <w:rPr>
          <w:rFonts w:ascii="宋体" w:hAnsi="宋体"/>
          <w:color w:val="auto"/>
          <w:spacing w:val="-4"/>
          <w:kern w:val="0"/>
          <w:sz w:val="24"/>
          <w:szCs w:val="24"/>
          <w:highlight w:val="none"/>
        </w:rPr>
        <w:t>，建设资金来</w:t>
      </w:r>
      <w:r>
        <w:rPr>
          <w:rFonts w:ascii="宋体" w:hAnsi="宋体"/>
          <w:color w:val="auto"/>
          <w:spacing w:val="-1"/>
          <w:kern w:val="0"/>
          <w:sz w:val="24"/>
          <w:szCs w:val="24"/>
          <w:highlight w:val="none"/>
        </w:rPr>
        <w:t>自</w:t>
      </w:r>
      <w:r>
        <w:rPr>
          <w:rFonts w:hint="eastAsia" w:ascii="宋体" w:hAnsi="Times New Roman"/>
          <w:color w:val="auto"/>
          <w:spacing w:val="-1"/>
          <w:kern w:val="0"/>
          <w:sz w:val="24"/>
          <w:szCs w:val="24"/>
          <w:highlight w:val="none"/>
          <w:u w:val="single"/>
        </w:rPr>
        <w:t>财政资金</w:t>
      </w:r>
      <w:r>
        <w:rPr>
          <w:rFonts w:ascii="宋体" w:hAnsi="宋体"/>
          <w:color w:val="auto"/>
          <w:spacing w:val="-12"/>
          <w:kern w:val="0"/>
          <w:sz w:val="24"/>
          <w:szCs w:val="24"/>
          <w:highlight w:val="none"/>
        </w:rPr>
        <w:t>（资金来源），出资比例为</w:t>
      </w:r>
      <w:r>
        <w:rPr>
          <w:rFonts w:hint="eastAsia" w:ascii="宋体" w:hAnsi="Times New Roman"/>
          <w:color w:val="auto"/>
          <w:spacing w:val="-12"/>
          <w:kern w:val="0"/>
          <w:sz w:val="24"/>
          <w:szCs w:val="24"/>
          <w:highlight w:val="none"/>
          <w:u w:val="single"/>
        </w:rPr>
        <w:t>100%</w:t>
      </w:r>
      <w:r>
        <w:rPr>
          <w:rFonts w:ascii="宋体" w:hAnsi="宋体"/>
          <w:color w:val="auto"/>
          <w:spacing w:val="-6"/>
          <w:kern w:val="0"/>
          <w:sz w:val="24"/>
          <w:szCs w:val="24"/>
          <w:highlight w:val="none"/>
        </w:rPr>
        <w:t>，招标人为</w:t>
      </w:r>
      <w:r>
        <w:rPr>
          <w:rFonts w:hint="eastAsia" w:ascii="宋体" w:hAnsi="宋体" w:cs="宋体"/>
          <w:color w:val="auto"/>
          <w:spacing w:val="-6"/>
          <w:kern w:val="0"/>
          <w:sz w:val="24"/>
          <w:szCs w:val="24"/>
          <w:highlight w:val="none"/>
          <w:u w:val="single"/>
          <w:lang w:eastAsia="zh-CN"/>
        </w:rPr>
        <w:t>广州市增城区石滩镇农业农村技术服务中心</w:t>
      </w:r>
      <w:r>
        <w:rPr>
          <w:rFonts w:ascii="宋体" w:hAnsi="宋体"/>
          <w:color w:val="auto"/>
          <w:spacing w:val="-4"/>
          <w:kern w:val="0"/>
          <w:sz w:val="24"/>
          <w:szCs w:val="24"/>
          <w:highlight w:val="none"/>
        </w:rPr>
        <w:t>。项目已具备招标</w:t>
      </w:r>
      <w:r>
        <w:rPr>
          <w:rFonts w:ascii="宋体" w:hAnsi="宋体"/>
          <w:color w:val="auto"/>
          <w:kern w:val="0"/>
          <w:sz w:val="24"/>
          <w:szCs w:val="24"/>
          <w:highlight w:val="none"/>
        </w:rPr>
        <w:t>条件，现对该项目的</w:t>
      </w:r>
      <w:r>
        <w:rPr>
          <w:rFonts w:hint="eastAsia" w:ascii="宋体" w:hAnsi="宋体"/>
          <w:color w:val="auto"/>
          <w:kern w:val="0"/>
          <w:sz w:val="24"/>
          <w:szCs w:val="24"/>
          <w:highlight w:val="none"/>
          <w:u w:val="single"/>
        </w:rPr>
        <w:t>施工</w:t>
      </w:r>
      <w:r>
        <w:rPr>
          <w:rFonts w:ascii="宋体" w:hAnsi="宋体"/>
          <w:color w:val="auto"/>
          <w:kern w:val="0"/>
          <w:sz w:val="24"/>
          <w:szCs w:val="24"/>
          <w:highlight w:val="none"/>
          <w:u w:val="single"/>
        </w:rPr>
        <w:t>监理</w:t>
      </w:r>
      <w:r>
        <w:rPr>
          <w:rFonts w:ascii="宋体" w:hAnsi="宋体"/>
          <w:color w:val="auto"/>
          <w:kern w:val="0"/>
          <w:sz w:val="24"/>
          <w:szCs w:val="24"/>
          <w:highlight w:val="none"/>
        </w:rPr>
        <w:t>进行公开招标。</w:t>
      </w:r>
    </w:p>
    <w:p w14:paraId="10E6B43D">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10" w:name="bookmark3"/>
      <w:bookmarkEnd w:id="10"/>
      <w:bookmarkStart w:id="11" w:name="_Toc32523"/>
      <w:r>
        <w:rPr>
          <w:rFonts w:ascii="宋体" w:hAnsi="宋体" w:cs="宋体"/>
          <w:b/>
          <w:color w:val="auto"/>
          <w:kern w:val="0"/>
          <w:sz w:val="24"/>
          <w:szCs w:val="24"/>
          <w:highlight w:val="none"/>
        </w:rPr>
        <w:t>2.项目概况与招标范围</w:t>
      </w:r>
      <w:bookmarkEnd w:id="11"/>
    </w:p>
    <w:p w14:paraId="3D697F2F">
      <w:pPr>
        <w:tabs>
          <w:tab w:val="left" w:pos="7513"/>
        </w:tabs>
        <w:autoSpaceDE w:val="0"/>
        <w:autoSpaceDN w:val="0"/>
        <w:adjustRightInd w:val="0"/>
        <w:spacing w:line="360" w:lineRule="auto"/>
        <w:ind w:firstLine="240" w:firstLineChars="100"/>
        <w:jc w:val="left"/>
        <w:outlineLvl w:val="2"/>
        <w:rPr>
          <w:rFonts w:ascii="宋体" w:hAnsi="宋体"/>
          <w:color w:val="auto"/>
          <w:kern w:val="0"/>
          <w:sz w:val="24"/>
          <w:szCs w:val="24"/>
          <w:highlight w:val="none"/>
        </w:rPr>
      </w:pPr>
      <w:bookmarkStart w:id="12" w:name="_Toc20255"/>
      <w:bookmarkStart w:id="13" w:name="_Toc17345"/>
      <w:r>
        <w:rPr>
          <w:rFonts w:ascii="宋体" w:hAnsi="宋体"/>
          <w:color w:val="auto"/>
          <w:kern w:val="0"/>
          <w:sz w:val="24"/>
          <w:szCs w:val="24"/>
          <w:highlight w:val="none"/>
        </w:rPr>
        <w:t>2.1</w:t>
      </w: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招标项目概况</w:t>
      </w:r>
      <w:bookmarkEnd w:id="12"/>
      <w:bookmarkEnd w:id="13"/>
    </w:p>
    <w:p w14:paraId="618DAF40">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olor w:val="auto"/>
          <w:kern w:val="0"/>
          <w:sz w:val="24"/>
          <w:szCs w:val="24"/>
          <w:highlight w:val="none"/>
        </w:rPr>
        <w:t>2.1.1招标项目名称：</w:t>
      </w:r>
      <w:r>
        <w:rPr>
          <w:rFonts w:hint="eastAsia" w:ascii="宋体" w:hAnsi="宋体"/>
          <w:color w:val="auto"/>
          <w:kern w:val="0"/>
          <w:sz w:val="24"/>
          <w:szCs w:val="24"/>
          <w:highlight w:val="none"/>
          <w:u w:val="single"/>
          <w:lang w:eastAsia="zh-CN"/>
        </w:rPr>
        <w:t>石滩大围达标加固工程施工监理</w:t>
      </w:r>
      <w:r>
        <w:rPr>
          <w:rFonts w:hint="eastAsia" w:ascii="宋体" w:hAnsi="宋体"/>
          <w:color w:val="auto"/>
          <w:kern w:val="0"/>
          <w:sz w:val="24"/>
          <w:szCs w:val="24"/>
          <w:highlight w:val="none"/>
          <w:u w:val="single"/>
        </w:rPr>
        <w:t>。</w:t>
      </w:r>
    </w:p>
    <w:p w14:paraId="33201882">
      <w:pPr>
        <w:tabs>
          <w:tab w:val="left" w:pos="7513"/>
        </w:tabs>
        <w:autoSpaceDE w:val="0"/>
        <w:autoSpaceDN w:val="0"/>
        <w:adjustRightInd w:val="0"/>
        <w:spacing w:line="360" w:lineRule="auto"/>
        <w:ind w:firstLine="424" w:firstLineChars="177"/>
        <w:jc w:val="left"/>
        <w:rPr>
          <w:rFonts w:ascii="宋体" w:hAnsi="宋体" w:cs="宋体"/>
          <w:color w:val="auto"/>
          <w:kern w:val="0"/>
          <w:sz w:val="24"/>
          <w:szCs w:val="24"/>
          <w:highlight w:val="none"/>
        </w:rPr>
      </w:pPr>
      <w:r>
        <w:rPr>
          <w:rFonts w:ascii="宋体" w:hAnsi="宋体"/>
          <w:color w:val="auto"/>
          <w:kern w:val="0"/>
          <w:sz w:val="24"/>
          <w:szCs w:val="24"/>
          <w:highlight w:val="none"/>
        </w:rPr>
        <w:t>2.1.2工程建设地点：</w:t>
      </w:r>
      <w:r>
        <w:rPr>
          <w:rFonts w:hint="eastAsia" w:ascii="宋体" w:hAnsi="宋体"/>
          <w:color w:val="auto"/>
          <w:kern w:val="0"/>
          <w:sz w:val="24"/>
          <w:szCs w:val="24"/>
          <w:highlight w:val="none"/>
          <w:u w:val="single"/>
        </w:rPr>
        <w:t>广州市增城区。</w:t>
      </w:r>
      <w:r>
        <w:rPr>
          <w:rFonts w:ascii="宋体" w:hAnsi="宋体"/>
          <w:color w:val="auto"/>
          <w:kern w:val="0"/>
          <w:sz w:val="24"/>
          <w:szCs w:val="24"/>
          <w:highlight w:val="none"/>
        </w:rPr>
        <w:t xml:space="preserve"> </w:t>
      </w:r>
    </w:p>
    <w:p w14:paraId="7B656BF0">
      <w:pPr>
        <w:spacing w:line="360" w:lineRule="auto"/>
        <w:ind w:firstLine="480" w:firstLineChars="200"/>
        <w:jc w:val="left"/>
        <w:rPr>
          <w:rFonts w:ascii="宋体" w:hAnsi="Times New Roman"/>
          <w:color w:val="auto"/>
          <w:kern w:val="0"/>
          <w:sz w:val="24"/>
          <w:szCs w:val="24"/>
          <w:highlight w:val="none"/>
        </w:rPr>
      </w:pPr>
      <w:r>
        <w:rPr>
          <w:rFonts w:ascii="宋体" w:hAnsi="宋体"/>
          <w:color w:val="auto"/>
          <w:kern w:val="0"/>
          <w:sz w:val="24"/>
          <w:szCs w:val="24"/>
          <w:highlight w:val="none"/>
        </w:rPr>
        <w:t>2.1.3工程建设规模</w:t>
      </w:r>
      <w:r>
        <w:rPr>
          <w:rFonts w:ascii="宋体" w:hAnsi="Times New Roman"/>
          <w:color w:val="auto"/>
          <w:kern w:val="0"/>
          <w:sz w:val="24"/>
          <w:szCs w:val="24"/>
          <w:highlight w:val="none"/>
        </w:rPr>
        <w:t>：</w:t>
      </w:r>
    </w:p>
    <w:p w14:paraId="3881A600">
      <w:pPr>
        <w:tabs>
          <w:tab w:val="left" w:pos="7513"/>
        </w:tabs>
        <w:autoSpaceDE w:val="0"/>
        <w:autoSpaceDN w:val="0"/>
        <w:adjustRightInd w:val="0"/>
        <w:spacing w:line="360" w:lineRule="auto"/>
        <w:ind w:firstLine="424" w:firstLineChars="177"/>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项目位于石滩镇，对石滩大围按100年一遇防洪标准进行达标加固，加固长度12.477km，堤线基本沿现有堤线，其中：增江段堤防5.894km，东江北干流段堤防1.640km，西福河段堤防4.943km。根据排水需要，结合排水沟及穿堤涵分布情况，拟原址拆除重建穿堤涵闸7座，重建或新建穿堤旱闸2座。</w:t>
      </w:r>
      <w:r>
        <w:rPr>
          <w:rFonts w:hint="eastAsia" w:ascii="宋体" w:hAnsi="宋体" w:eastAsia="宋体" w:cs="Times New Roman"/>
          <w:color w:val="auto"/>
          <w:kern w:val="2"/>
          <w:sz w:val="24"/>
          <w:szCs w:val="24"/>
          <w:highlight w:val="none"/>
          <w:u w:val="single"/>
          <w:lang w:val="en-US" w:eastAsia="zh-CN" w:bidi="ar"/>
        </w:rPr>
        <w:t>（具体工作内容详见施工设计图纸和工程量清单）</w:t>
      </w:r>
      <w:r>
        <w:rPr>
          <w:rFonts w:hint="eastAsia" w:ascii="宋体" w:hAnsi="宋体"/>
          <w:color w:val="auto"/>
          <w:sz w:val="24"/>
          <w:szCs w:val="24"/>
          <w:highlight w:val="none"/>
          <w:u w:val="single"/>
        </w:rPr>
        <w:t>。</w:t>
      </w:r>
    </w:p>
    <w:p w14:paraId="5A65A4ED">
      <w:pPr>
        <w:tabs>
          <w:tab w:val="left" w:pos="7513"/>
        </w:tabs>
        <w:autoSpaceDE w:val="0"/>
        <w:autoSpaceDN w:val="0"/>
        <w:adjustRightInd w:val="0"/>
        <w:spacing w:line="360" w:lineRule="auto"/>
        <w:ind w:firstLine="424" w:firstLineChars="177"/>
        <w:jc w:val="left"/>
        <w:rPr>
          <w:rFonts w:ascii="宋体" w:hAnsi="宋体"/>
          <w:color w:val="auto"/>
          <w:kern w:val="0"/>
          <w:sz w:val="24"/>
          <w:szCs w:val="24"/>
          <w:highlight w:val="none"/>
          <w:u w:val="single"/>
        </w:rPr>
      </w:pPr>
      <w:r>
        <w:rPr>
          <w:rFonts w:ascii="Times New Roman" w:hAnsi="Times New Roman"/>
          <w:color w:val="auto"/>
          <w:kern w:val="0"/>
          <w:sz w:val="24"/>
          <w:szCs w:val="24"/>
          <w:highlight w:val="none"/>
        </w:rPr>
        <w:t>2.1.4</w:t>
      </w:r>
      <w:r>
        <w:rPr>
          <w:rFonts w:hint="eastAsia" w:ascii="Times New Roman" w:hAnsi="Times New Roman"/>
          <w:color w:val="auto"/>
          <w:kern w:val="0"/>
          <w:sz w:val="24"/>
          <w:szCs w:val="24"/>
          <w:highlight w:val="none"/>
        </w:rPr>
        <w:t>建筑安装工程费</w:t>
      </w: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工程概算：</w:t>
      </w:r>
      <w:r>
        <w:rPr>
          <w:rFonts w:hint="eastAsia" w:ascii="Times New Roman" w:hAnsi="Times New Roman"/>
          <w:color w:val="auto"/>
          <w:kern w:val="0"/>
          <w:sz w:val="24"/>
          <w:szCs w:val="24"/>
          <w:highlight w:val="none"/>
          <w:u w:val="none"/>
        </w:rPr>
        <w:t>项目概算总投资</w:t>
      </w:r>
      <w:r>
        <w:rPr>
          <w:rFonts w:hint="eastAsia" w:cs="仿宋_GB2312"/>
          <w:bCs/>
          <w:szCs w:val="32"/>
          <w:highlight w:val="none"/>
          <w:u w:val="single"/>
          <w:lang w:val="en-US" w:eastAsia="zh-CN"/>
        </w:rPr>
        <w:t>420</w:t>
      </w:r>
      <w:r>
        <w:rPr>
          <w:rFonts w:hint="eastAsia" w:ascii="Times New Roman" w:hAnsi="Times New Roman"/>
          <w:color w:val="auto"/>
          <w:kern w:val="0"/>
          <w:sz w:val="24"/>
          <w:szCs w:val="24"/>
          <w:highlight w:val="none"/>
          <w:u w:val="single"/>
          <w:lang w:val="en-US" w:eastAsia="zh-CN"/>
        </w:rPr>
        <w:t>,</w:t>
      </w:r>
      <w:r>
        <w:rPr>
          <w:rFonts w:hint="eastAsia" w:cs="仿宋_GB2312"/>
          <w:bCs/>
          <w:szCs w:val="32"/>
          <w:highlight w:val="none"/>
          <w:u w:val="single"/>
          <w:lang w:val="en-US" w:eastAsia="zh-CN"/>
        </w:rPr>
        <w:t>855</w:t>
      </w:r>
      <w:r>
        <w:rPr>
          <w:rFonts w:hint="eastAsia" w:ascii="Times New Roman" w:hAnsi="Times New Roman"/>
          <w:color w:val="auto"/>
          <w:kern w:val="0"/>
          <w:sz w:val="24"/>
          <w:szCs w:val="24"/>
          <w:highlight w:val="none"/>
          <w:u w:val="single"/>
          <w:lang w:val="en-US" w:eastAsia="zh-CN"/>
        </w:rPr>
        <w:t>,</w:t>
      </w:r>
      <w:r>
        <w:rPr>
          <w:rFonts w:hint="eastAsia" w:cs="仿宋_GB2312"/>
          <w:bCs/>
          <w:szCs w:val="32"/>
          <w:highlight w:val="none"/>
          <w:u w:val="single"/>
          <w:lang w:val="en-US" w:eastAsia="zh-CN"/>
        </w:rPr>
        <w:t>920.70</w:t>
      </w:r>
      <w:r>
        <w:rPr>
          <w:rFonts w:hint="eastAsia" w:cs="仿宋_GB2312"/>
          <w:bCs/>
          <w:szCs w:val="32"/>
          <w:highlight w:val="none"/>
          <w:u w:val="single"/>
        </w:rPr>
        <w:t>元</w:t>
      </w:r>
      <w:r>
        <w:rPr>
          <w:rFonts w:hint="eastAsia" w:ascii="Times New Roman" w:hAnsi="Times New Roman"/>
          <w:color w:val="auto"/>
          <w:kern w:val="0"/>
          <w:sz w:val="24"/>
          <w:szCs w:val="24"/>
          <w:highlight w:val="none"/>
          <w:u w:val="none"/>
        </w:rPr>
        <w:t>，建安费为</w:t>
      </w:r>
      <w:r>
        <w:rPr>
          <w:rFonts w:hint="eastAsia" w:ascii="Times New Roman" w:hAnsi="Times New Roman"/>
          <w:color w:val="auto"/>
          <w:kern w:val="0"/>
          <w:sz w:val="24"/>
          <w:szCs w:val="24"/>
          <w:highlight w:val="none"/>
          <w:u w:val="single"/>
          <w:lang w:val="en-US" w:eastAsia="zh-CN"/>
        </w:rPr>
        <w:t>240,103,336.29</w:t>
      </w:r>
      <w:r>
        <w:rPr>
          <w:rFonts w:hint="eastAsia" w:ascii="Times New Roman" w:hAnsi="Times New Roman"/>
          <w:color w:val="auto"/>
          <w:kern w:val="0"/>
          <w:sz w:val="24"/>
          <w:szCs w:val="24"/>
          <w:highlight w:val="none"/>
          <w:u w:val="single"/>
        </w:rPr>
        <w:t>元。</w:t>
      </w:r>
    </w:p>
    <w:p w14:paraId="0F931FC4">
      <w:pPr>
        <w:tabs>
          <w:tab w:val="left" w:pos="7513"/>
        </w:tabs>
        <w:autoSpaceDE w:val="0"/>
        <w:autoSpaceDN w:val="0"/>
        <w:adjustRightInd w:val="0"/>
        <w:spacing w:line="360" w:lineRule="auto"/>
        <w:ind w:firstLine="240" w:firstLineChars="100"/>
        <w:jc w:val="left"/>
        <w:outlineLvl w:val="2"/>
        <w:rPr>
          <w:rFonts w:ascii="宋体" w:hAnsi="宋体"/>
          <w:color w:val="auto"/>
          <w:kern w:val="0"/>
          <w:sz w:val="24"/>
          <w:szCs w:val="24"/>
          <w:highlight w:val="none"/>
        </w:rPr>
      </w:pPr>
      <w:bookmarkStart w:id="14" w:name="_Toc13481"/>
      <w:bookmarkStart w:id="15" w:name="_Toc22253"/>
      <w:r>
        <w:rPr>
          <w:rFonts w:ascii="宋体" w:hAnsi="宋体"/>
          <w:color w:val="auto"/>
          <w:kern w:val="0"/>
          <w:sz w:val="24"/>
          <w:szCs w:val="24"/>
          <w:highlight w:val="none"/>
        </w:rPr>
        <w:t>2.2</w:t>
      </w:r>
      <w:r>
        <w:rPr>
          <w:rFonts w:hint="eastAsia" w:ascii="宋体" w:hAnsi="宋体"/>
          <w:color w:val="auto"/>
          <w:kern w:val="0"/>
          <w:sz w:val="24"/>
          <w:szCs w:val="24"/>
          <w:highlight w:val="none"/>
        </w:rPr>
        <w:t xml:space="preserve"> </w:t>
      </w:r>
      <w:r>
        <w:rPr>
          <w:rFonts w:ascii="宋体" w:hAnsi="宋体"/>
          <w:color w:val="auto"/>
          <w:kern w:val="0"/>
          <w:sz w:val="24"/>
          <w:szCs w:val="24"/>
          <w:highlight w:val="none"/>
        </w:rPr>
        <w:t>招标范围</w:t>
      </w:r>
      <w:bookmarkEnd w:id="14"/>
      <w:bookmarkEnd w:id="15"/>
    </w:p>
    <w:p w14:paraId="39E3C861">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olor w:val="auto"/>
          <w:kern w:val="0"/>
          <w:sz w:val="24"/>
          <w:szCs w:val="24"/>
          <w:highlight w:val="none"/>
        </w:rPr>
        <w:t>2.2.1</w:t>
      </w:r>
      <w:r>
        <w:rPr>
          <w:rFonts w:ascii="宋体" w:hAnsi="Times New Roman"/>
          <w:color w:val="auto"/>
          <w:kern w:val="0"/>
          <w:sz w:val="24"/>
          <w:szCs w:val="24"/>
          <w:highlight w:val="none"/>
        </w:rPr>
        <w:t>标段划分：</w:t>
      </w:r>
      <w:r>
        <w:rPr>
          <w:rFonts w:hint="eastAsia" w:ascii="Times New Roman" w:hAnsi="Times New Roman"/>
          <w:color w:val="auto"/>
          <w:kern w:val="0"/>
          <w:sz w:val="24"/>
          <w:szCs w:val="24"/>
          <w:highlight w:val="none"/>
          <w:u w:val="single"/>
        </w:rPr>
        <w:t>本项目设1个标段。</w:t>
      </w:r>
      <w:r>
        <w:rPr>
          <w:rFonts w:ascii="Times New Roman" w:hAnsi="Times New Roman"/>
          <w:color w:val="auto"/>
          <w:kern w:val="0"/>
          <w:sz w:val="24"/>
          <w:szCs w:val="24"/>
          <w:highlight w:val="none"/>
        </w:rPr>
        <w:t xml:space="preserve"> </w:t>
      </w:r>
    </w:p>
    <w:p w14:paraId="7B5B7FF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2.2.2监理范围：</w:t>
      </w:r>
      <w:r>
        <w:rPr>
          <w:rFonts w:hint="eastAsia" w:ascii="宋体" w:hAnsi="宋体"/>
          <w:color w:val="auto"/>
          <w:kern w:val="0"/>
          <w:sz w:val="24"/>
          <w:szCs w:val="24"/>
          <w:highlight w:val="none"/>
          <w:u w:val="single"/>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r>
        <w:rPr>
          <w:rFonts w:ascii="宋体" w:hAnsi="宋体"/>
          <w:color w:val="auto"/>
          <w:kern w:val="0"/>
          <w:sz w:val="24"/>
          <w:szCs w:val="24"/>
          <w:highlight w:val="none"/>
        </w:rPr>
        <w:t xml:space="preserve">                 </w:t>
      </w:r>
    </w:p>
    <w:p w14:paraId="5DD1DD4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2.2.3监理服务期：</w:t>
      </w:r>
      <w:r>
        <w:rPr>
          <w:rFonts w:hint="eastAsia" w:ascii="宋体" w:hAnsi="宋体"/>
          <w:color w:val="auto"/>
          <w:kern w:val="0"/>
          <w:sz w:val="24"/>
          <w:szCs w:val="24"/>
          <w:highlight w:val="none"/>
          <w:u w:val="single"/>
        </w:rPr>
        <w:t>从中标人收到招标人中标通知或参加由招标人组织的进场动员会开始算起，至本项目工程质量保修期结束且本合同工程结算金额经政府主管部门审定之日止。</w:t>
      </w:r>
      <w:r>
        <w:rPr>
          <w:rFonts w:ascii="宋体" w:hAnsi="宋体"/>
          <w:color w:val="auto"/>
          <w:kern w:val="0"/>
          <w:sz w:val="24"/>
          <w:szCs w:val="24"/>
          <w:highlight w:val="none"/>
        </w:rPr>
        <w:t xml:space="preserve">                </w:t>
      </w:r>
    </w:p>
    <w:p w14:paraId="63EC7A0A">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2.2.4监理服务最高投标限价：</w:t>
      </w:r>
      <w:bookmarkStart w:id="16" w:name="OLE_LINK1"/>
      <w:r>
        <w:rPr>
          <w:rFonts w:hint="eastAsia" w:ascii="宋体" w:hAnsi="宋体"/>
          <w:color w:val="auto"/>
          <w:kern w:val="0"/>
          <w:sz w:val="24"/>
          <w:szCs w:val="24"/>
          <w:highlight w:val="none"/>
          <w:u w:val="single"/>
          <w:lang w:val="en-US" w:eastAsia="zh-CN"/>
        </w:rPr>
        <w:t>4725000.00</w:t>
      </w:r>
      <w:r>
        <w:rPr>
          <w:rFonts w:hint="eastAsia" w:ascii="宋体" w:hAnsi="宋体"/>
          <w:color w:val="auto"/>
          <w:kern w:val="0"/>
          <w:sz w:val="24"/>
          <w:szCs w:val="24"/>
          <w:highlight w:val="none"/>
          <w:u w:val="single"/>
        </w:rPr>
        <w:t>元</w:t>
      </w:r>
      <w:r>
        <w:rPr>
          <w:rFonts w:ascii="宋体" w:hAnsi="宋体"/>
          <w:color w:val="auto"/>
          <w:kern w:val="0"/>
          <w:sz w:val="24"/>
          <w:szCs w:val="24"/>
          <w:highlight w:val="none"/>
          <w:u w:val="single"/>
        </w:rPr>
        <w:t>。</w:t>
      </w:r>
      <w:r>
        <w:rPr>
          <w:rFonts w:ascii="宋体" w:hAnsi="宋体" w:cs="宋体"/>
          <w:color w:val="auto"/>
          <w:kern w:val="0"/>
          <w:sz w:val="24"/>
          <w:szCs w:val="24"/>
          <w:highlight w:val="none"/>
          <w:lang w:bidi="ar"/>
        </w:rPr>
        <w:t xml:space="preserve">       </w:t>
      </w:r>
      <w:bookmarkEnd w:id="16"/>
    </w:p>
    <w:p w14:paraId="725C6F90">
      <w:pPr>
        <w:autoSpaceDE w:val="0"/>
        <w:autoSpaceDN w:val="0"/>
        <w:adjustRightInd w:val="0"/>
        <w:spacing w:before="156" w:beforeLines="50" w:after="156" w:afterLines="50" w:line="360" w:lineRule="auto"/>
        <w:jc w:val="left"/>
        <w:outlineLvl w:val="2"/>
        <w:rPr>
          <w:rFonts w:ascii="宋体" w:hAnsi="宋体" w:cs="宋体"/>
          <w:i/>
          <w:color w:val="auto"/>
          <w:kern w:val="0"/>
          <w:szCs w:val="21"/>
          <w:highlight w:val="none"/>
        </w:rPr>
      </w:pPr>
      <w:bookmarkStart w:id="17" w:name="bookmark4"/>
      <w:bookmarkEnd w:id="17"/>
      <w:bookmarkStart w:id="18" w:name="_Toc6545"/>
      <w:r>
        <w:rPr>
          <w:rFonts w:ascii="宋体" w:hAnsi="宋体" w:cs="宋体"/>
          <w:b/>
          <w:color w:val="auto"/>
          <w:kern w:val="0"/>
          <w:sz w:val="24"/>
          <w:szCs w:val="24"/>
          <w:highlight w:val="none"/>
        </w:rPr>
        <w:t>3.投标人资格要求</w:t>
      </w:r>
      <w:bookmarkEnd w:id="18"/>
    </w:p>
    <w:p w14:paraId="61A7D517">
      <w:pPr>
        <w:tabs>
          <w:tab w:val="left" w:pos="7513"/>
        </w:tabs>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19" w:name="_Toc31217"/>
      <w:bookmarkStart w:id="20" w:name="_Toc15591"/>
      <w:r>
        <w:rPr>
          <w:rFonts w:ascii="宋体" w:hAnsi="宋体" w:cs="宋体"/>
          <w:color w:val="auto"/>
          <w:kern w:val="0"/>
          <w:sz w:val="24"/>
          <w:szCs w:val="24"/>
          <w:highlight w:val="none"/>
        </w:rPr>
        <w:t xml:space="preserve">3.1 </w:t>
      </w:r>
      <w:r>
        <w:rPr>
          <w:rFonts w:ascii="宋体" w:hAnsi="宋体"/>
          <w:color w:val="auto"/>
          <w:kern w:val="0"/>
          <w:sz w:val="24"/>
          <w:szCs w:val="24"/>
          <w:highlight w:val="none"/>
        </w:rPr>
        <w:t>投标人参加投标的意思表达清楚，投标人代表被授权有效</w:t>
      </w:r>
      <w:r>
        <w:rPr>
          <w:rFonts w:ascii="宋体" w:hAnsi="宋体" w:cs="宋体"/>
          <w:color w:val="auto"/>
          <w:kern w:val="0"/>
          <w:sz w:val="24"/>
          <w:szCs w:val="24"/>
          <w:highlight w:val="none"/>
        </w:rPr>
        <w:t>。</w:t>
      </w:r>
      <w:bookmarkEnd w:id="19"/>
      <w:bookmarkEnd w:id="20"/>
    </w:p>
    <w:p w14:paraId="54AEA832">
      <w:pPr>
        <w:tabs>
          <w:tab w:val="left" w:pos="7513"/>
        </w:tabs>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s="宋体"/>
          <w:color w:val="auto"/>
          <w:kern w:val="0"/>
          <w:sz w:val="24"/>
          <w:szCs w:val="24"/>
          <w:highlight w:val="none"/>
        </w:rPr>
        <w:t xml:space="preserve">3.2 </w:t>
      </w:r>
      <w:r>
        <w:rPr>
          <w:rFonts w:ascii="宋体" w:hAnsi="宋体"/>
          <w:color w:val="auto"/>
          <w:kern w:val="0"/>
          <w:sz w:val="24"/>
          <w:szCs w:val="24"/>
          <w:highlight w:val="none"/>
        </w:rPr>
        <w:t>投标人是法人或其他组织，按国家法律经营。</w:t>
      </w:r>
    </w:p>
    <w:p w14:paraId="52E55F06">
      <w:pPr>
        <w:tabs>
          <w:tab w:val="left" w:pos="7513"/>
        </w:tabs>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21" w:name="_Toc9121"/>
      <w:bookmarkStart w:id="22" w:name="_Toc25809"/>
      <w:r>
        <w:rPr>
          <w:rFonts w:ascii="宋体" w:hAnsi="宋体" w:cs="宋体"/>
          <w:color w:val="auto"/>
          <w:kern w:val="0"/>
          <w:sz w:val="24"/>
          <w:szCs w:val="24"/>
          <w:highlight w:val="none"/>
        </w:rPr>
        <w:t xml:space="preserve">3.3 </w:t>
      </w:r>
      <w:r>
        <w:rPr>
          <w:rFonts w:ascii="宋体" w:hAnsi="宋体"/>
          <w:color w:val="auto"/>
          <w:kern w:val="0"/>
          <w:sz w:val="24"/>
          <w:szCs w:val="24"/>
          <w:highlight w:val="none"/>
        </w:rPr>
        <w:t>本次招标要求投标人须具备</w:t>
      </w:r>
      <w:r>
        <w:rPr>
          <w:rFonts w:ascii="宋体" w:hAnsi="宋体"/>
          <w:b/>
          <w:color w:val="auto"/>
          <w:kern w:val="0"/>
          <w:sz w:val="24"/>
          <w:szCs w:val="24"/>
          <w:highlight w:val="none"/>
          <w:u w:val="single"/>
        </w:rPr>
        <w:t xml:space="preserve"> </w:t>
      </w:r>
      <w:r>
        <w:rPr>
          <w:rFonts w:hint="eastAsia" w:ascii="宋体" w:hAnsi="宋体"/>
          <w:b/>
          <w:color w:val="auto"/>
          <w:kern w:val="0"/>
          <w:sz w:val="24"/>
          <w:szCs w:val="24"/>
          <w:highlight w:val="none"/>
          <w:u w:val="single"/>
        </w:rPr>
        <w:t>水利工程施工监理甲级</w:t>
      </w:r>
      <w:r>
        <w:rPr>
          <w:rFonts w:ascii="宋体" w:hAnsi="宋体"/>
          <w:b/>
          <w:color w:val="auto"/>
          <w:kern w:val="0"/>
          <w:sz w:val="24"/>
          <w:szCs w:val="24"/>
          <w:highlight w:val="none"/>
          <w:u w:val="single"/>
        </w:rPr>
        <w:t xml:space="preserve"> </w:t>
      </w:r>
      <w:r>
        <w:rPr>
          <w:rFonts w:ascii="宋体" w:hAnsi="宋体"/>
          <w:color w:val="auto"/>
          <w:kern w:val="0"/>
          <w:sz w:val="24"/>
          <w:szCs w:val="24"/>
          <w:highlight w:val="none"/>
        </w:rPr>
        <w:t>资质。</w:t>
      </w:r>
      <w:bookmarkEnd w:id="21"/>
      <w:bookmarkEnd w:id="22"/>
    </w:p>
    <w:p w14:paraId="7805DAC7">
      <w:pPr>
        <w:tabs>
          <w:tab w:val="left" w:pos="7513"/>
        </w:tabs>
        <w:autoSpaceDE w:val="0"/>
        <w:autoSpaceDN w:val="0"/>
        <w:adjustRightIn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港企业独立参加投标的，须在广东省住房和城乡建设主管部门备案且备案的业务范围满足本项目招标资质要求。注：依据《广东省住房和城乡建设厅关于印发香港工程建设咨询企业和专业人士在粤港澳大湾区内地城市开业执业试点管理暂行办法的通知》（粤建规范[2020]1号）确定。</w:t>
      </w:r>
    </w:p>
    <w:p w14:paraId="4D7E8D75">
      <w:pPr>
        <w:tabs>
          <w:tab w:val="left" w:pos="7513"/>
        </w:tabs>
        <w:autoSpaceDE w:val="0"/>
        <w:autoSpaceDN w:val="0"/>
        <w:adjustRightIn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注：根据《水利部关于开展水利工程建设监理单位资质行政许可有关工作的公告》（</w:t>
      </w:r>
      <w:bookmarkStart w:id="23" w:name="OLE_LINK2"/>
      <w:r>
        <w:rPr>
          <w:rFonts w:hint="eastAsia" w:ascii="仿宋" w:hAnsi="仿宋" w:eastAsia="仿宋" w:cs="仿宋"/>
          <w:color w:val="auto"/>
          <w:kern w:val="0"/>
          <w:sz w:val="24"/>
          <w:szCs w:val="24"/>
          <w:highlight w:val="none"/>
        </w:rPr>
        <w:t>中华人民共和国水利部公告2021年第9号</w:t>
      </w:r>
      <w:bookmarkEnd w:id="23"/>
      <w:r>
        <w:rPr>
          <w:rFonts w:hint="eastAsia" w:ascii="仿宋" w:hAnsi="仿宋" w:eastAsia="仿宋" w:cs="仿宋"/>
          <w:color w:val="auto"/>
          <w:kern w:val="0"/>
          <w:sz w:val="24"/>
          <w:szCs w:val="24"/>
          <w:highlight w:val="none"/>
        </w:rPr>
        <w:t>）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2D2EDE32">
      <w:pPr>
        <w:spacing w:line="360" w:lineRule="auto"/>
        <w:ind w:firstLine="480" w:firstLineChars="200"/>
        <w:rPr>
          <w:rFonts w:hint="eastAsia" w:ascii="宋体" w:hAnsi="宋体" w:eastAsia="宋体" w:cs="宋体"/>
          <w:color w:val="auto"/>
          <w:sz w:val="24"/>
          <w:szCs w:val="24"/>
          <w:highlight w:val="none"/>
        </w:rPr>
      </w:pPr>
      <w:r>
        <w:rPr>
          <w:rFonts w:ascii="宋体" w:hAnsi="宋体" w:cs="宋体"/>
          <w:color w:val="auto"/>
          <w:kern w:val="0"/>
          <w:sz w:val="24"/>
          <w:szCs w:val="24"/>
          <w:highlight w:val="none"/>
        </w:rPr>
        <w:t xml:space="preserve">3.4 </w:t>
      </w:r>
      <w:r>
        <w:rPr>
          <w:rFonts w:ascii="宋体" w:hAnsi="宋体"/>
          <w:color w:val="auto"/>
          <w:kern w:val="0"/>
          <w:sz w:val="24"/>
          <w:szCs w:val="24"/>
          <w:highlight w:val="none"/>
        </w:rPr>
        <w:t>拟派总监理工程师须具备</w:t>
      </w:r>
      <w:r>
        <w:rPr>
          <w:rFonts w:hint="eastAsia" w:ascii="宋体" w:hAnsi="宋体" w:eastAsia="宋体" w:cs="宋体"/>
          <w:color w:val="auto"/>
          <w:sz w:val="24"/>
          <w:szCs w:val="24"/>
          <w:highlight w:val="none"/>
          <w:u w:val="single"/>
          <w:lang w:val="en-US" w:eastAsia="zh-CN"/>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w:t>
      </w:r>
      <w:r>
        <w:rPr>
          <w:rFonts w:hint="eastAsia" w:ascii="宋体" w:hAnsi="宋体" w:eastAsia="宋体" w:cs="宋体"/>
          <w:color w:val="auto"/>
          <w:sz w:val="24"/>
          <w:szCs w:val="24"/>
          <w:highlight w:val="none"/>
        </w:rPr>
        <w:t>。</w:t>
      </w:r>
    </w:p>
    <w:p w14:paraId="7C3D4A1A">
      <w:pPr>
        <w:tabs>
          <w:tab w:val="left" w:pos="7513"/>
        </w:tabs>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83E729B">
      <w:pPr>
        <w:tabs>
          <w:tab w:val="left" w:pos="7513"/>
        </w:tabs>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 xml:space="preserve"> </w:t>
      </w:r>
      <w:r>
        <w:rPr>
          <w:rFonts w:ascii="宋体" w:hAnsi="宋体" w:cs="宋体"/>
          <w:color w:val="auto"/>
          <w:kern w:val="0"/>
          <w:sz w:val="24"/>
          <w:szCs w:val="21"/>
          <w:highlight w:val="none"/>
        </w:rPr>
        <w:t>投标登记前，投标人须在</w:t>
      </w:r>
      <w:r>
        <w:rPr>
          <w:rFonts w:hint="eastAsia" w:ascii="宋体" w:hAnsi="宋体" w:cs="宋体"/>
          <w:color w:val="auto"/>
          <w:kern w:val="0"/>
          <w:sz w:val="24"/>
          <w:szCs w:val="21"/>
          <w:highlight w:val="none"/>
        </w:rPr>
        <w:t>广州交易集团有限公司（广州公共资源交易中心）</w:t>
      </w:r>
      <w:r>
        <w:rPr>
          <w:rFonts w:ascii="宋体" w:hAnsi="宋体" w:cs="宋体"/>
          <w:color w:val="auto"/>
          <w:kern w:val="0"/>
          <w:sz w:val="24"/>
          <w:szCs w:val="21"/>
          <w:highlight w:val="none"/>
        </w:rPr>
        <w:t>企业库已办理企业信息登记及拟担任本工程总监理工程师须是本单位在企业库中的在册人员。</w:t>
      </w:r>
    </w:p>
    <w:p w14:paraId="5BF3B567">
      <w:pPr>
        <w:widowControl/>
        <w:autoSpaceDE w:val="0"/>
        <w:autoSpaceDN w:val="0"/>
        <w:adjustRightInd w:val="0"/>
        <w:snapToGrid w:val="0"/>
        <w:spacing w:line="360" w:lineRule="auto"/>
        <w:ind w:right="34" w:rightChars="14"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6</w:t>
      </w:r>
      <w:r>
        <w:rPr>
          <w:rFonts w:ascii="宋体" w:hAnsi="宋体" w:cs="宋体"/>
          <w:color w:val="auto"/>
          <w:kern w:val="0"/>
          <w:sz w:val="24"/>
          <w:szCs w:val="24"/>
          <w:highlight w:val="none"/>
        </w:rPr>
        <w:t xml:space="preserve"> </w:t>
      </w:r>
      <w:r>
        <w:rPr>
          <w:rFonts w:ascii="宋体" w:hAnsi="宋体" w:cs="宋体"/>
          <w:color w:val="auto"/>
          <w:kern w:val="0"/>
          <w:sz w:val="24"/>
          <w:szCs w:val="21"/>
          <w:highlight w:val="none"/>
        </w:rPr>
        <w:t>投标人已按规定格式签署盖章《投标人声明》（格式见招标文件第六章投标文件格式）</w:t>
      </w:r>
      <w:r>
        <w:rPr>
          <w:rFonts w:ascii="宋体" w:hAnsi="宋体" w:cs="宋体"/>
          <w:color w:val="auto"/>
          <w:kern w:val="0"/>
          <w:sz w:val="24"/>
          <w:szCs w:val="24"/>
          <w:highlight w:val="none"/>
        </w:rPr>
        <w:t>，且总监理工程师</w:t>
      </w:r>
      <w:r>
        <w:rPr>
          <w:rFonts w:hint="eastAsia" w:ascii="宋体" w:hAnsi="宋体" w:cs="宋体"/>
          <w:color w:val="auto"/>
          <w:kern w:val="0"/>
          <w:sz w:val="24"/>
          <w:szCs w:val="24"/>
          <w:highlight w:val="none"/>
        </w:rPr>
        <w:t>、技术负责人</w:t>
      </w:r>
      <w:r>
        <w:rPr>
          <w:rFonts w:ascii="宋体" w:hAnsi="宋体" w:cs="宋体"/>
          <w:color w:val="auto"/>
          <w:kern w:val="0"/>
          <w:sz w:val="24"/>
          <w:szCs w:val="24"/>
          <w:highlight w:val="none"/>
        </w:rPr>
        <w:t>已签字确认。</w:t>
      </w:r>
    </w:p>
    <w:p w14:paraId="4AF2D174">
      <w:pPr>
        <w:autoSpaceDE w:val="0"/>
        <w:autoSpaceDN w:val="0"/>
        <w:adjustRightInd w:val="0"/>
        <w:snapToGrid w:val="0"/>
        <w:spacing w:line="360" w:lineRule="auto"/>
        <w:ind w:firstLine="480" w:firstLineChars="200"/>
        <w:jc w:val="left"/>
        <w:rPr>
          <w:rFonts w:ascii="Times New Roman" w:hAnsi="Times New Roman"/>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 xml:space="preserve"> </w:t>
      </w:r>
      <w:r>
        <w:rPr>
          <w:rFonts w:hint="eastAsia" w:ascii="宋体" w:hAnsi="宋体"/>
          <w:color w:val="auto"/>
          <w:kern w:val="0"/>
          <w:sz w:val="24"/>
          <w:szCs w:val="24"/>
          <w:highlight w:val="none"/>
        </w:rPr>
        <w:t>投标人未被列入“在一定期限内依法取消参加依法必须进行招标的项目的投标资格”，具体名单以递交投标文件截止时间“信用广州”公布的“黑名单”为准。注：《全国失信惩戒措施清单基础清单》（</w:t>
      </w:r>
      <w:r>
        <w:rPr>
          <w:rFonts w:hint="eastAsia" w:ascii="宋体" w:hAnsi="宋体"/>
          <w:color w:val="auto"/>
          <w:kern w:val="0"/>
          <w:sz w:val="24"/>
          <w:szCs w:val="24"/>
          <w:highlight w:val="none"/>
          <w:lang w:eastAsia="zh-CN"/>
        </w:rPr>
        <w:t>2025</w:t>
      </w:r>
      <w:r>
        <w:rPr>
          <w:rFonts w:hint="eastAsia" w:ascii="宋体" w:hAnsi="宋体"/>
          <w:color w:val="auto"/>
          <w:kern w:val="0"/>
          <w:sz w:val="24"/>
          <w:szCs w:val="24"/>
          <w:highlight w:val="none"/>
        </w:rPr>
        <w:t>版）</w:t>
      </w:r>
      <w:r>
        <w:rPr>
          <w:rFonts w:hint="eastAsia" w:ascii="仿宋" w:hAnsi="仿宋" w:eastAsia="仿宋" w:cs="仿宋"/>
          <w:color w:val="auto"/>
          <w:kern w:val="0"/>
          <w:sz w:val="24"/>
          <w:szCs w:val="24"/>
          <w:highlight w:val="none"/>
        </w:rPr>
        <w:t>。</w:t>
      </w:r>
    </w:p>
    <w:p w14:paraId="6CDC8F30">
      <w:pPr>
        <w:tabs>
          <w:tab w:val="left" w:pos="7513"/>
        </w:tabs>
        <w:autoSpaceDE w:val="0"/>
        <w:autoSpaceDN w:val="0"/>
        <w:adjustRightInd w:val="0"/>
        <w:spacing w:line="360" w:lineRule="auto"/>
        <w:ind w:firstLine="480" w:firstLineChars="200"/>
        <w:jc w:val="left"/>
        <w:rPr>
          <w:rFonts w:ascii="Times New Roman" w:hAnsi="Times New Roman" w:cs="宋体"/>
          <w:color w:val="auto"/>
          <w:kern w:val="0"/>
          <w:sz w:val="13"/>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8</w:t>
      </w:r>
      <w:r>
        <w:rPr>
          <w:rFonts w:ascii="宋体" w:hAnsi="宋体" w:cs="宋体"/>
          <w:color w:val="auto"/>
          <w:kern w:val="0"/>
          <w:sz w:val="24"/>
          <w:szCs w:val="24"/>
          <w:highlight w:val="none"/>
        </w:rPr>
        <w:t xml:space="preserve"> </w:t>
      </w:r>
      <w:r>
        <w:rPr>
          <w:rFonts w:ascii="宋体" w:hAnsi="宋体" w:cs="宋体"/>
          <w:color w:val="auto"/>
          <w:spacing w:val="7"/>
          <w:kern w:val="0"/>
          <w:sz w:val="24"/>
          <w:szCs w:val="24"/>
          <w:highlight w:val="none"/>
        </w:rPr>
        <w:t>本次</w:t>
      </w:r>
      <w:r>
        <w:rPr>
          <w:rFonts w:ascii="宋体" w:hAnsi="Times New Roman" w:cs="宋体"/>
          <w:color w:val="auto"/>
          <w:spacing w:val="7"/>
          <w:kern w:val="0"/>
          <w:sz w:val="24"/>
          <w:szCs w:val="24"/>
          <w:highlight w:val="none"/>
        </w:rPr>
        <w:t>招标</w:t>
      </w:r>
      <w:r>
        <w:rPr>
          <w:rFonts w:ascii="Times New Roman" w:hAnsi="Times New Roman" w:cs="宋体"/>
          <w:color w:val="auto"/>
          <w:spacing w:val="7"/>
          <w:kern w:val="0"/>
          <w:sz w:val="24"/>
          <w:szCs w:val="24"/>
          <w:highlight w:val="none"/>
          <w:u w:val="single"/>
        </w:rPr>
        <w:t xml:space="preserve">  </w:t>
      </w:r>
      <w:r>
        <w:rPr>
          <w:rFonts w:hint="eastAsia" w:ascii="Times New Roman" w:hAnsi="Times New Roman" w:cs="宋体"/>
          <w:color w:val="auto"/>
          <w:spacing w:val="7"/>
          <w:kern w:val="0"/>
          <w:sz w:val="24"/>
          <w:szCs w:val="24"/>
          <w:highlight w:val="none"/>
          <w:u w:val="single"/>
        </w:rPr>
        <w:t>不接受</w:t>
      </w:r>
      <w:r>
        <w:rPr>
          <w:rFonts w:ascii="Times New Roman" w:hAnsi="Times New Roman" w:cs="宋体"/>
          <w:color w:val="auto"/>
          <w:spacing w:val="7"/>
          <w:kern w:val="0"/>
          <w:sz w:val="24"/>
          <w:szCs w:val="24"/>
          <w:highlight w:val="none"/>
          <w:u w:val="single"/>
        </w:rPr>
        <w:t xml:space="preserve">  </w:t>
      </w:r>
      <w:r>
        <w:rPr>
          <w:rFonts w:ascii="宋体" w:hAnsi="Times New Roman" w:cs="宋体"/>
          <w:color w:val="auto"/>
          <w:spacing w:val="6"/>
          <w:kern w:val="0"/>
          <w:sz w:val="24"/>
          <w:szCs w:val="24"/>
          <w:highlight w:val="none"/>
        </w:rPr>
        <w:t>联合体投标。</w:t>
      </w:r>
    </w:p>
    <w:p w14:paraId="50A5834E">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24" w:name="bookmark5"/>
      <w:bookmarkEnd w:id="24"/>
      <w:bookmarkStart w:id="25" w:name="_Toc31806"/>
      <w:r>
        <w:rPr>
          <w:rFonts w:ascii="宋体" w:hAnsi="宋体" w:cs="宋体"/>
          <w:b/>
          <w:color w:val="auto"/>
          <w:kern w:val="0"/>
          <w:sz w:val="24"/>
          <w:szCs w:val="24"/>
          <w:highlight w:val="none"/>
        </w:rPr>
        <w:t>4.招标文件的获取</w:t>
      </w:r>
      <w:bookmarkEnd w:id="25"/>
    </w:p>
    <w:p w14:paraId="70BAE305">
      <w:pPr>
        <w:widowControl/>
        <w:topLinePunct/>
        <w:snapToGrid w:val="0"/>
        <w:spacing w:line="400" w:lineRule="exact"/>
        <w:ind w:firstLine="476" w:firstLineChars="200"/>
        <w:jc w:val="left"/>
        <w:rPr>
          <w:rFonts w:ascii="宋体" w:hAnsi="宋体" w:cs="宋体"/>
          <w:color w:val="auto"/>
          <w:kern w:val="0"/>
          <w:sz w:val="24"/>
          <w:szCs w:val="24"/>
          <w:highlight w:val="none"/>
        </w:rPr>
      </w:pPr>
      <w:r>
        <w:rPr>
          <w:rFonts w:ascii="宋体" w:hAnsi="宋体" w:cs="宋体"/>
          <w:color w:val="auto"/>
          <w:spacing w:val="-1"/>
          <w:kern w:val="0"/>
          <w:sz w:val="24"/>
          <w:szCs w:val="24"/>
          <w:highlight w:val="none"/>
        </w:rPr>
        <w:t xml:space="preserve">4.1 </w:t>
      </w:r>
      <w:r>
        <w:rPr>
          <w:rFonts w:ascii="宋体" w:hAnsi="宋体" w:cs="宋体"/>
          <w:color w:val="auto"/>
          <w:kern w:val="0"/>
          <w:sz w:val="24"/>
          <w:szCs w:val="24"/>
          <w:highlight w:val="none"/>
        </w:rPr>
        <w:t>发布招标公告的时间：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2025</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2025</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分（北京时间，下同），凡有意参加投标者，请登录</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网站下载电子招标文件。</w:t>
      </w:r>
    </w:p>
    <w:p w14:paraId="77F5C871">
      <w:pPr>
        <w:widowControl/>
        <w:topLinePunct/>
        <w:snapToGrid w:val="0"/>
        <w:spacing w:line="400" w:lineRule="exact"/>
        <w:ind w:left="480" w:left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注：发布招标公告的时间为招标公告发出之日起至递交投标文件截止时间止。</w:t>
      </w:r>
    </w:p>
    <w:p w14:paraId="6CAC0CCE">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4.2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本项目招标文件随招标公告一并在</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网站交易平台发布。招标文件一经在交易平台发布，视为发出给投标人，招标文件由投标人自行在交易平台下载。</w:t>
      </w:r>
    </w:p>
    <w:p w14:paraId="54DD7BA9">
      <w:pPr>
        <w:widowControl/>
        <w:topLinePunct/>
        <w:snapToGrid w:val="0"/>
        <w:spacing w:line="400" w:lineRule="exact"/>
        <w:ind w:firstLine="480" w:firstLineChars="200"/>
        <w:jc w:val="left"/>
        <w:outlineLvl w:val="2"/>
        <w:rPr>
          <w:rFonts w:ascii="宋体" w:hAnsi="宋体" w:cs="宋体"/>
          <w:color w:val="auto"/>
          <w:kern w:val="0"/>
          <w:sz w:val="24"/>
          <w:szCs w:val="24"/>
          <w:highlight w:val="none"/>
        </w:rPr>
      </w:pPr>
      <w:bookmarkStart w:id="26" w:name="_Toc31577"/>
      <w:bookmarkStart w:id="27" w:name="_Toc31143"/>
      <w:r>
        <w:rPr>
          <w:rFonts w:ascii="宋体" w:hAnsi="宋体" w:cs="宋体"/>
          <w:color w:val="auto"/>
          <w:kern w:val="0"/>
          <w:sz w:val="24"/>
          <w:szCs w:val="24"/>
          <w:highlight w:val="none"/>
        </w:rPr>
        <w:t>4.3 本项目采用资格后审方式。</w:t>
      </w:r>
      <w:bookmarkEnd w:id="26"/>
      <w:bookmarkEnd w:id="27"/>
    </w:p>
    <w:p w14:paraId="266371E7">
      <w:pPr>
        <w:autoSpaceDE w:val="0"/>
        <w:autoSpaceDN w:val="0"/>
        <w:adjustRightInd w:val="0"/>
        <w:spacing w:before="156" w:beforeLines="50" w:after="156" w:afterLines="50" w:line="360" w:lineRule="auto"/>
        <w:jc w:val="left"/>
        <w:outlineLvl w:val="2"/>
        <w:rPr>
          <w:rFonts w:ascii="宋体" w:hAnsi="宋体" w:cs="宋体"/>
          <w:b/>
          <w:color w:val="auto"/>
          <w:kern w:val="0"/>
          <w:sz w:val="24"/>
          <w:szCs w:val="24"/>
          <w:highlight w:val="none"/>
        </w:rPr>
      </w:pPr>
      <w:bookmarkStart w:id="28" w:name="bookmark6"/>
      <w:bookmarkEnd w:id="28"/>
      <w:bookmarkStart w:id="29" w:name="_Toc8907"/>
      <w:r>
        <w:rPr>
          <w:rFonts w:ascii="宋体" w:hAnsi="宋体" w:cs="宋体"/>
          <w:b/>
          <w:color w:val="auto"/>
          <w:kern w:val="0"/>
          <w:sz w:val="24"/>
          <w:szCs w:val="24"/>
          <w:highlight w:val="none"/>
        </w:rPr>
        <w:t>5.投标文件的递交</w:t>
      </w:r>
      <w:bookmarkEnd w:id="29"/>
    </w:p>
    <w:p w14:paraId="43DB918D">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5.1</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投标截止时间为</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分，投标人应在截止时间前通过</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网站交易平台递交电子投标文件。投标人完成电子投标文件上传后，交易平台即时向投标人发出递交回执通知。递交时间以递交回执通知载明的传输完成时间为准。</w:t>
      </w:r>
    </w:p>
    <w:p w14:paraId="6CAC7163">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在投标截止时间后半小时内，投标人通过</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网站对已递交的电子投标文件进行解密。</w:t>
      </w:r>
    </w:p>
    <w:p w14:paraId="4250632D">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5.2</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投标人应在递交投标文件截止时间前，登录</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网站交易平台办理网上投标登记手续；</w:t>
      </w:r>
      <w:r>
        <w:rPr>
          <w:rFonts w:ascii="宋体" w:hAnsi="宋体"/>
          <w:color w:val="auto"/>
          <w:kern w:val="0"/>
          <w:sz w:val="24"/>
          <w:szCs w:val="24"/>
          <w:highlight w:val="none"/>
        </w:rPr>
        <w:t>按照</w:t>
      </w:r>
      <w:r>
        <w:rPr>
          <w:rFonts w:hint="eastAsia" w:ascii="宋体" w:hAnsi="宋体"/>
          <w:color w:val="auto"/>
          <w:kern w:val="0"/>
          <w:sz w:val="24"/>
          <w:szCs w:val="24"/>
          <w:highlight w:val="none"/>
        </w:rPr>
        <w:t>广州交易集团有限公司（广州公共资源交易中心）</w:t>
      </w:r>
      <w:r>
        <w:rPr>
          <w:rFonts w:ascii="宋体" w:hAnsi="宋体"/>
          <w:color w:val="auto"/>
          <w:kern w:val="0"/>
          <w:sz w:val="24"/>
          <w:szCs w:val="24"/>
          <w:highlight w:val="none"/>
        </w:rPr>
        <w:t>网站关于全流程电子化项目的相关指南进行操作。</w:t>
      </w:r>
    </w:p>
    <w:p w14:paraId="204380BC">
      <w:pPr>
        <w:widowControl/>
        <w:topLinePunct/>
        <w:snapToGrid w:val="0"/>
        <w:spacing w:line="400" w:lineRule="exact"/>
        <w:ind w:left="480" w:left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5.3</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开标开始时间：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时</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分。</w:t>
      </w:r>
    </w:p>
    <w:p w14:paraId="678B13F7">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5.4</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B5592C7">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5.5 逾期送达的电子投标文件，</w:t>
      </w:r>
      <w:r>
        <w:rPr>
          <w:rFonts w:hint="eastAsia" w:ascii="宋体" w:hAnsi="宋体" w:cs="宋体"/>
          <w:color w:val="auto"/>
          <w:kern w:val="0"/>
          <w:sz w:val="24"/>
          <w:szCs w:val="24"/>
          <w:highlight w:val="none"/>
        </w:rPr>
        <w:t>广州交易集团有限公司（广州公共资源交易中心）</w:t>
      </w:r>
      <w:r>
        <w:rPr>
          <w:rFonts w:ascii="宋体" w:hAnsi="宋体" w:cs="宋体"/>
          <w:color w:val="auto"/>
          <w:kern w:val="0"/>
          <w:sz w:val="24"/>
          <w:szCs w:val="24"/>
          <w:highlight w:val="none"/>
        </w:rPr>
        <w:t>网站交易平台将予以拒收。</w:t>
      </w:r>
    </w:p>
    <w:p w14:paraId="22D6944C">
      <w:pPr>
        <w:widowControl/>
        <w:topLinePunct/>
        <w:snapToGrid w:val="0"/>
        <w:spacing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3B8BB829">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bookmarkStart w:id="30" w:name="bookmark7"/>
      <w:bookmarkEnd w:id="30"/>
      <w:bookmarkStart w:id="31" w:name="_Toc15859"/>
      <w:r>
        <w:rPr>
          <w:rFonts w:ascii="宋体" w:hAnsi="宋体"/>
          <w:b/>
          <w:color w:val="auto"/>
          <w:kern w:val="0"/>
          <w:sz w:val="24"/>
          <w:szCs w:val="24"/>
          <w:highlight w:val="none"/>
        </w:rPr>
        <w:t>6.发布公告的媒介</w:t>
      </w:r>
      <w:bookmarkEnd w:id="31"/>
    </w:p>
    <w:p w14:paraId="3A035B4F">
      <w:pPr>
        <w:autoSpaceDE w:val="0"/>
        <w:autoSpaceDN w:val="0"/>
        <w:adjustRightInd w:val="0"/>
        <w:snapToGrid w:val="0"/>
        <w:spacing w:line="360" w:lineRule="auto"/>
        <w:ind w:firstLine="240" w:firstLineChars="100"/>
        <w:rPr>
          <w:rFonts w:ascii="宋体" w:hAnsi="宋体"/>
          <w:color w:val="auto"/>
          <w:kern w:val="0"/>
          <w:sz w:val="24"/>
          <w:szCs w:val="24"/>
          <w:highlight w:val="none"/>
        </w:rPr>
      </w:pPr>
      <w:r>
        <w:rPr>
          <w:rFonts w:ascii="宋体" w:hAnsi="宋体"/>
          <w:color w:val="auto"/>
          <w:kern w:val="0"/>
          <w:sz w:val="24"/>
          <w:szCs w:val="24"/>
          <w:highlight w:val="none"/>
        </w:rPr>
        <w:t>本次招标公告同时在</w:t>
      </w:r>
      <w:r>
        <w:rPr>
          <w:rFonts w:hint="eastAsia" w:ascii="宋体" w:hAnsi="宋体"/>
          <w:color w:val="auto"/>
          <w:kern w:val="0"/>
          <w:sz w:val="24"/>
          <w:szCs w:val="24"/>
          <w:highlight w:val="none"/>
          <w:u w:val="single"/>
        </w:rPr>
        <w:t>广州交易集团有限公司（广州公共资源交易中心）</w:t>
      </w:r>
      <w:r>
        <w:rPr>
          <w:rFonts w:ascii="宋体" w:hAnsi="宋体"/>
          <w:color w:val="auto"/>
          <w:kern w:val="0"/>
          <w:sz w:val="24"/>
          <w:szCs w:val="24"/>
          <w:highlight w:val="none"/>
          <w:u w:val="single"/>
        </w:rPr>
        <w:t>网（网址：http://www.gzggzy.cn）、广东省招标投标监管网（网址：http://zbtb.gd.gov.cn/）和中国招标投标公共服务平台（网址：http://www.cebpubservice.com/）</w:t>
      </w:r>
      <w:r>
        <w:rPr>
          <w:rFonts w:hint="eastAsia" w:ascii="宋体" w:hAnsi="宋体"/>
          <w:color w:val="auto"/>
          <w:kern w:val="0"/>
          <w:sz w:val="24"/>
          <w:szCs w:val="24"/>
          <w:highlight w:val="none"/>
          <w:u w:val="single"/>
        </w:rPr>
        <w:t>和广州市增城区人民政府门户网站（</w:t>
      </w:r>
      <w:r>
        <w:rPr>
          <w:rFonts w:ascii="宋体" w:hAnsi="宋体"/>
          <w:color w:val="auto"/>
          <w:kern w:val="0"/>
          <w:sz w:val="24"/>
          <w:szCs w:val="24"/>
          <w:highlight w:val="none"/>
          <w:u w:val="single"/>
        </w:rPr>
        <w:t>http://www.zc.gov.cn/）的“首页&gt;</w:t>
      </w:r>
      <w:r>
        <w:rPr>
          <w:rFonts w:hint="eastAsia" w:ascii="宋体" w:hAnsi="宋体"/>
          <w:color w:val="auto"/>
          <w:kern w:val="0"/>
          <w:sz w:val="24"/>
          <w:szCs w:val="24"/>
          <w:highlight w:val="none"/>
          <w:u w:val="single"/>
        </w:rPr>
        <w:t>公开</w:t>
      </w:r>
      <w:r>
        <w:rPr>
          <w:rFonts w:ascii="宋体" w:hAnsi="宋体"/>
          <w:color w:val="auto"/>
          <w:kern w:val="0"/>
          <w:sz w:val="24"/>
          <w:szCs w:val="24"/>
          <w:highlight w:val="none"/>
          <w:u w:val="single"/>
        </w:rPr>
        <w:t>&gt;</w:t>
      </w:r>
      <w:r>
        <w:rPr>
          <w:rFonts w:hint="eastAsia" w:ascii="宋体" w:hAnsi="宋体"/>
          <w:color w:val="auto"/>
          <w:kern w:val="0"/>
          <w:sz w:val="24"/>
          <w:szCs w:val="24"/>
          <w:highlight w:val="none"/>
          <w:u w:val="single"/>
        </w:rPr>
        <w:t>公共资源配置领域</w:t>
      </w:r>
      <w:r>
        <w:rPr>
          <w:rFonts w:ascii="宋体" w:hAnsi="宋体"/>
          <w:color w:val="auto"/>
          <w:kern w:val="0"/>
          <w:sz w:val="24"/>
          <w:szCs w:val="24"/>
          <w:highlight w:val="none"/>
          <w:u w:val="single"/>
        </w:rPr>
        <w:t>&gt;</w:t>
      </w:r>
      <w:r>
        <w:rPr>
          <w:rFonts w:hint="eastAsia" w:ascii="宋体" w:hAnsi="宋体"/>
          <w:color w:val="auto"/>
          <w:kern w:val="0"/>
          <w:sz w:val="24"/>
          <w:szCs w:val="24"/>
          <w:highlight w:val="none"/>
          <w:u w:val="single"/>
        </w:rPr>
        <w:t>工程建设项目招投标”栏目</w:t>
      </w:r>
      <w:r>
        <w:rPr>
          <w:rFonts w:ascii="宋体" w:hAnsi="宋体"/>
          <w:color w:val="auto"/>
          <w:kern w:val="0"/>
          <w:sz w:val="24"/>
          <w:szCs w:val="24"/>
          <w:highlight w:val="none"/>
        </w:rPr>
        <w:t>发布，本公告的修改、补充，在</w:t>
      </w:r>
      <w:r>
        <w:rPr>
          <w:rFonts w:hint="eastAsia" w:ascii="宋体" w:hAnsi="宋体"/>
          <w:color w:val="auto"/>
          <w:kern w:val="0"/>
          <w:sz w:val="24"/>
          <w:szCs w:val="24"/>
          <w:highlight w:val="none"/>
        </w:rPr>
        <w:t>广州交易集团有限公司（广州公共资源交易中心）</w:t>
      </w:r>
      <w:r>
        <w:rPr>
          <w:rFonts w:ascii="宋体" w:hAnsi="宋体"/>
          <w:color w:val="auto"/>
          <w:kern w:val="0"/>
          <w:sz w:val="24"/>
          <w:szCs w:val="24"/>
          <w:highlight w:val="none"/>
        </w:rPr>
        <w:t>网站上发布。</w:t>
      </w:r>
    </w:p>
    <w:p w14:paraId="386FF1F3">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bookmarkStart w:id="32" w:name="bookmark8"/>
      <w:bookmarkEnd w:id="32"/>
      <w:bookmarkStart w:id="33" w:name="_Toc12025"/>
      <w:bookmarkStart w:id="34" w:name="_Toc29700"/>
      <w:r>
        <w:rPr>
          <w:rFonts w:hint="eastAsia" w:ascii="宋体" w:hAnsi="宋体"/>
          <w:b/>
          <w:color w:val="auto"/>
          <w:kern w:val="0"/>
          <w:sz w:val="24"/>
          <w:szCs w:val="24"/>
          <w:highlight w:val="none"/>
        </w:rPr>
        <w:t>7</w:t>
      </w:r>
      <w:r>
        <w:rPr>
          <w:rFonts w:ascii="宋体" w:hAnsi="宋体"/>
          <w:b/>
          <w:color w:val="auto"/>
          <w:kern w:val="0"/>
          <w:sz w:val="24"/>
          <w:szCs w:val="24"/>
          <w:highlight w:val="none"/>
        </w:rPr>
        <w:t>.疑问、异议、投诉处理</w:t>
      </w:r>
      <w:bookmarkEnd w:id="33"/>
    </w:p>
    <w:p w14:paraId="144B0F86">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35D12A8F">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35495CB">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11E3443">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55589A95">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57D6317">
      <w:pPr>
        <w:autoSpaceDE w:val="0"/>
        <w:autoSpaceDN w:val="0"/>
        <w:adjustRightInd w:val="0"/>
        <w:spacing w:before="156" w:beforeLines="50" w:after="156" w:afterLines="50" w:line="360" w:lineRule="auto"/>
        <w:jc w:val="left"/>
        <w:outlineLvl w:val="2"/>
        <w:rPr>
          <w:rFonts w:ascii="宋体" w:hAnsi="宋体"/>
          <w:b/>
          <w:color w:val="auto"/>
          <w:kern w:val="0"/>
          <w:sz w:val="24"/>
          <w:szCs w:val="24"/>
          <w:highlight w:val="none"/>
        </w:rPr>
      </w:pPr>
      <w:r>
        <w:rPr>
          <w:rFonts w:hint="eastAsia" w:ascii="宋体" w:hAnsi="宋体"/>
          <w:b/>
          <w:color w:val="auto"/>
          <w:kern w:val="0"/>
          <w:sz w:val="24"/>
          <w:szCs w:val="24"/>
          <w:highlight w:val="none"/>
        </w:rPr>
        <w:t>8</w:t>
      </w:r>
      <w:r>
        <w:rPr>
          <w:rFonts w:ascii="宋体" w:hAnsi="宋体"/>
          <w:b/>
          <w:color w:val="auto"/>
          <w:kern w:val="0"/>
          <w:sz w:val="24"/>
          <w:szCs w:val="24"/>
          <w:highlight w:val="none"/>
        </w:rPr>
        <w:t>.</w:t>
      </w:r>
      <w:r>
        <w:rPr>
          <w:rFonts w:hint="eastAsia" w:ascii="宋体" w:hAnsi="宋体"/>
          <w:b/>
          <w:color w:val="auto"/>
          <w:kern w:val="0"/>
          <w:sz w:val="24"/>
          <w:szCs w:val="24"/>
          <w:highlight w:val="none"/>
        </w:rPr>
        <w:t>投标人和中标候选人的重大变化告知义务：</w:t>
      </w:r>
    </w:p>
    <w:p w14:paraId="3CE0CCB3">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s="宋体"/>
          <w:color w:val="auto"/>
          <w:kern w:val="0"/>
          <w:sz w:val="24"/>
          <w:szCs w:val="24"/>
          <w:highlight w:val="none"/>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34"/>
    </w:p>
    <w:p w14:paraId="1625A83E">
      <w:pPr>
        <w:autoSpaceDE w:val="0"/>
        <w:autoSpaceDN w:val="0"/>
        <w:adjustRightInd w:val="0"/>
        <w:spacing w:before="156" w:beforeLines="50" w:after="156" w:afterLines="50" w:line="360" w:lineRule="auto"/>
        <w:jc w:val="left"/>
        <w:outlineLvl w:val="2"/>
        <w:rPr>
          <w:rFonts w:ascii="Microsoft JhengHei" w:hAnsi="Microsoft JhengHei" w:eastAsia="Microsoft JhengHei"/>
          <w:color w:val="auto"/>
          <w:kern w:val="0"/>
          <w:sz w:val="19"/>
          <w:szCs w:val="24"/>
          <w:highlight w:val="none"/>
        </w:rPr>
      </w:pPr>
      <w:bookmarkStart w:id="35" w:name="_Toc20179"/>
      <w:r>
        <w:rPr>
          <w:rFonts w:hint="eastAsia" w:ascii="宋体" w:hAnsi="宋体"/>
          <w:b/>
          <w:color w:val="auto"/>
          <w:kern w:val="0"/>
          <w:sz w:val="24"/>
          <w:szCs w:val="24"/>
          <w:highlight w:val="none"/>
        </w:rPr>
        <w:t>9</w:t>
      </w:r>
      <w:r>
        <w:rPr>
          <w:rFonts w:ascii="宋体" w:hAnsi="宋体"/>
          <w:b/>
          <w:color w:val="auto"/>
          <w:kern w:val="0"/>
          <w:sz w:val="24"/>
          <w:szCs w:val="24"/>
          <w:highlight w:val="none"/>
        </w:rPr>
        <w:t>.联系方式</w:t>
      </w:r>
      <w:bookmarkEnd w:id="35"/>
    </w:p>
    <w:p w14:paraId="4A0E2E35">
      <w:pPr>
        <w:autoSpaceDE w:val="0"/>
        <w:autoSpaceDN w:val="0"/>
        <w:adjustRightInd w:val="0"/>
        <w:spacing w:line="360" w:lineRule="auto"/>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招标单位：</w:t>
      </w:r>
      <w:r>
        <w:rPr>
          <w:rFonts w:hint="eastAsia" w:ascii="宋体" w:hAnsi="宋体"/>
          <w:color w:val="auto"/>
          <w:kern w:val="0"/>
          <w:sz w:val="24"/>
          <w:szCs w:val="24"/>
          <w:highlight w:val="none"/>
          <w:lang w:eastAsia="zh-CN"/>
        </w:rPr>
        <w:t>广州市增城区石滩镇农业农村技术服务中心</w:t>
      </w:r>
    </w:p>
    <w:p w14:paraId="2F091633">
      <w:pPr>
        <w:tabs>
          <w:tab w:val="left" w:pos="7513"/>
        </w:tabs>
        <w:autoSpaceDE w:val="0"/>
        <w:autoSpaceDN w:val="0"/>
        <w:adjustRightInd w:val="0"/>
        <w:spacing w:line="360" w:lineRule="auto"/>
        <w:jc w:val="left"/>
        <w:rPr>
          <w:rFonts w:ascii="宋体" w:hAnsi="Times New Roman"/>
          <w:color w:val="auto"/>
          <w:kern w:val="0"/>
          <w:sz w:val="24"/>
          <w:szCs w:val="24"/>
          <w:highlight w:val="none"/>
        </w:rPr>
      </w:pPr>
      <w:r>
        <w:rPr>
          <w:rFonts w:hint="eastAsia" w:ascii="宋体" w:hAnsi="Times New Roman"/>
          <w:color w:val="auto"/>
          <w:kern w:val="0"/>
          <w:sz w:val="24"/>
          <w:szCs w:val="24"/>
          <w:highlight w:val="none"/>
        </w:rPr>
        <w:t>地</w:t>
      </w:r>
      <w:r>
        <w:rPr>
          <w:rFonts w:ascii="宋体" w:hAnsi="Times New Roman"/>
          <w:color w:val="auto"/>
          <w:kern w:val="0"/>
          <w:sz w:val="24"/>
          <w:szCs w:val="24"/>
          <w:highlight w:val="none"/>
        </w:rPr>
        <w:t xml:space="preserve">    </w:t>
      </w:r>
      <w:r>
        <w:rPr>
          <w:rFonts w:hint="eastAsia" w:ascii="宋体" w:hAnsi="Times New Roman"/>
          <w:color w:val="auto"/>
          <w:kern w:val="0"/>
          <w:sz w:val="24"/>
          <w:szCs w:val="24"/>
          <w:highlight w:val="none"/>
        </w:rPr>
        <w:t>址：</w:t>
      </w:r>
      <w:r>
        <w:rPr>
          <w:rFonts w:hint="eastAsia" w:ascii="Times New Roman" w:hAnsi="Times New Roman" w:eastAsia="宋体" w:cs="Times New Roman"/>
          <w:sz w:val="21"/>
          <w:szCs w:val="24"/>
          <w:highlight w:val="none"/>
          <w:lang w:val="en-US" w:eastAsia="zh-CN" w:bidi="ar-SA"/>
        </w:rPr>
        <w:t>广州市增城区石滩镇石顺大道政务中心8号楼302室</w:t>
      </w:r>
    </w:p>
    <w:p w14:paraId="634F9222">
      <w:pPr>
        <w:autoSpaceDE w:val="0"/>
        <w:autoSpaceDN w:val="0"/>
        <w:adjustRightInd w:val="0"/>
        <w:spacing w:line="360" w:lineRule="auto"/>
        <w:jc w:val="left"/>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联系</w:t>
      </w:r>
      <w:r>
        <w:rPr>
          <w:rFonts w:hint="eastAsia" w:ascii="宋体" w:hAnsi="宋体"/>
          <w:color w:val="auto"/>
          <w:kern w:val="0"/>
          <w:sz w:val="24"/>
          <w:szCs w:val="24"/>
          <w:highlight w:val="none"/>
          <w:lang w:val="en-US" w:eastAsia="zh-CN"/>
        </w:rPr>
        <w:t xml:space="preserve">人：孙工             联系电话：020-82923241 </w:t>
      </w:r>
    </w:p>
    <w:p w14:paraId="04116978">
      <w:pPr>
        <w:autoSpaceDE w:val="0"/>
        <w:autoSpaceDN w:val="0"/>
        <w:adjustRightInd w:val="0"/>
        <w:spacing w:line="360" w:lineRule="auto"/>
        <w:jc w:val="left"/>
        <w:rPr>
          <w:rFonts w:hint="eastAsia" w:ascii="宋体" w:hAnsi="宋体"/>
          <w:color w:val="auto"/>
          <w:kern w:val="0"/>
          <w:sz w:val="24"/>
          <w:szCs w:val="24"/>
          <w:highlight w:val="none"/>
          <w:lang w:val="en-US" w:eastAsia="zh-CN"/>
        </w:rPr>
      </w:pPr>
    </w:p>
    <w:p w14:paraId="7AF29B6F">
      <w:pPr>
        <w:autoSpaceDE w:val="0"/>
        <w:autoSpaceDN w:val="0"/>
        <w:adjustRightInd w:val="0"/>
        <w:spacing w:line="360" w:lineRule="auto"/>
        <w:jc w:val="left"/>
        <w:rPr>
          <w:rFonts w:ascii="宋体" w:hAnsi="Times New Roman"/>
          <w:color w:val="auto"/>
          <w:kern w:val="0"/>
          <w:sz w:val="24"/>
          <w:szCs w:val="24"/>
          <w:highlight w:val="none"/>
          <w:u w:val="single"/>
        </w:rPr>
      </w:pPr>
      <w:r>
        <w:rPr>
          <w:rFonts w:hint="eastAsia" w:ascii="宋体" w:hAnsi="宋体"/>
          <w:color w:val="auto"/>
          <w:kern w:val="0"/>
          <w:sz w:val="24"/>
          <w:szCs w:val="24"/>
          <w:highlight w:val="none"/>
        </w:rPr>
        <w:t>招标代理机构：</w:t>
      </w:r>
      <w:r>
        <w:rPr>
          <w:rFonts w:hint="eastAsia" w:ascii="宋体" w:hAnsi="宋体"/>
          <w:color w:val="auto"/>
          <w:kern w:val="0"/>
          <w:sz w:val="24"/>
          <w:szCs w:val="24"/>
          <w:highlight w:val="none"/>
          <w:lang w:eastAsia="zh-CN"/>
        </w:rPr>
        <w:t>广州市弘鑫工程咨询有限公司</w:t>
      </w:r>
    </w:p>
    <w:p w14:paraId="6AFC9D25">
      <w:pPr>
        <w:autoSpaceDE w:val="0"/>
        <w:autoSpaceDN w:val="0"/>
        <w:adjustRightInd w:val="0"/>
        <w:spacing w:line="360" w:lineRule="auto"/>
        <w:jc w:val="left"/>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联系人：</w:t>
      </w:r>
      <w:r>
        <w:rPr>
          <w:rFonts w:hint="eastAsia" w:ascii="宋体" w:hAnsi="宋体"/>
          <w:color w:val="auto"/>
          <w:kern w:val="0"/>
          <w:sz w:val="24"/>
          <w:szCs w:val="24"/>
          <w:highlight w:val="none"/>
          <w:lang w:val="en-US" w:eastAsia="zh-CN"/>
        </w:rPr>
        <w:t>陈工</w:t>
      </w:r>
      <w:r>
        <w:rPr>
          <w:rFonts w:hint="eastAsia" w:ascii="宋体" w:hAnsi="宋体"/>
          <w:color w:val="auto"/>
          <w:kern w:val="0"/>
          <w:sz w:val="24"/>
          <w:szCs w:val="24"/>
          <w:highlight w:val="none"/>
        </w:rPr>
        <w:t xml:space="preserve">        联系电话：</w:t>
      </w:r>
      <w:r>
        <w:rPr>
          <w:rFonts w:hint="eastAsia" w:ascii="宋体" w:hAnsi="宋体"/>
          <w:color w:val="auto"/>
          <w:kern w:val="0"/>
          <w:sz w:val="24"/>
          <w:szCs w:val="24"/>
          <w:highlight w:val="none"/>
          <w:lang w:val="en-US" w:eastAsia="zh-CN"/>
        </w:rPr>
        <w:t>13422202875</w:t>
      </w:r>
    </w:p>
    <w:p w14:paraId="46AB5ABD">
      <w:pPr>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宋体" w:hAnsi="Times New Roman"/>
          <w:color w:val="auto"/>
          <w:kern w:val="0"/>
          <w:sz w:val="24"/>
          <w:szCs w:val="24"/>
          <w:highlight w:val="none"/>
        </w:rPr>
        <w:t>地</w:t>
      </w:r>
      <w:r>
        <w:rPr>
          <w:rFonts w:ascii="宋体" w:hAnsi="Times New Roman"/>
          <w:color w:val="auto"/>
          <w:kern w:val="0"/>
          <w:sz w:val="24"/>
          <w:szCs w:val="24"/>
          <w:highlight w:val="none"/>
        </w:rPr>
        <w:t xml:space="preserve">    </w:t>
      </w:r>
      <w:r>
        <w:rPr>
          <w:rFonts w:hint="eastAsia" w:ascii="宋体" w:hAnsi="Times New Roman"/>
          <w:color w:val="auto"/>
          <w:kern w:val="0"/>
          <w:sz w:val="24"/>
          <w:szCs w:val="24"/>
          <w:highlight w:val="none"/>
        </w:rPr>
        <w:t>址：</w:t>
      </w:r>
      <w:r>
        <w:rPr>
          <w:rFonts w:hint="eastAsia" w:ascii="宋体" w:hAnsi="宋体"/>
          <w:color w:val="auto"/>
          <w:kern w:val="0"/>
          <w:sz w:val="24"/>
          <w:szCs w:val="24"/>
          <w:highlight w:val="none"/>
          <w:lang w:val="en-US" w:eastAsia="zh-CN"/>
        </w:rPr>
        <w:t>广州市增城区荔城街菜园路13号二幢301房之一</w:t>
      </w:r>
    </w:p>
    <w:p w14:paraId="046CDE0E">
      <w:pPr>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p>
    <w:p w14:paraId="0D5646D9">
      <w:pPr>
        <w:autoSpaceDE w:val="0"/>
        <w:autoSpaceDN w:val="0"/>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招标监督机构：广州市增城区水务局</w:t>
      </w:r>
    </w:p>
    <w:p w14:paraId="247D58F0">
      <w:pPr>
        <w:autoSpaceDE w:val="0"/>
        <w:autoSpaceDN w:val="0"/>
        <w:adjustRightInd w:val="0"/>
        <w:spacing w:line="360" w:lineRule="auto"/>
        <w:jc w:val="left"/>
        <w:rPr>
          <w:rFonts w:ascii="宋体" w:hAnsi="Times New Roman"/>
          <w:color w:val="auto"/>
          <w:kern w:val="0"/>
          <w:sz w:val="24"/>
          <w:szCs w:val="24"/>
          <w:highlight w:val="none"/>
        </w:rPr>
      </w:pPr>
      <w:r>
        <w:rPr>
          <w:rFonts w:hint="eastAsia" w:ascii="宋体" w:hAnsi="Times New Roman"/>
          <w:color w:val="auto"/>
          <w:kern w:val="0"/>
          <w:sz w:val="24"/>
          <w:szCs w:val="24"/>
          <w:highlight w:val="none"/>
        </w:rPr>
        <w:t>地    址：广州市增城区荔城街园圃路4号</w:t>
      </w:r>
    </w:p>
    <w:p w14:paraId="094C24A9">
      <w:pPr>
        <w:autoSpaceDE w:val="0"/>
        <w:autoSpaceDN w:val="0"/>
        <w:adjustRightInd w:val="0"/>
        <w:spacing w:line="360" w:lineRule="auto"/>
        <w:jc w:val="left"/>
        <w:rPr>
          <w:rFonts w:ascii="Times New Roman" w:hAnsi="Times New Roman"/>
          <w:color w:val="auto"/>
          <w:kern w:val="0"/>
          <w:sz w:val="24"/>
          <w:szCs w:val="21"/>
          <w:highlight w:val="none"/>
        </w:rPr>
      </w:pPr>
      <w:r>
        <w:rPr>
          <w:rFonts w:hint="eastAsia" w:ascii="宋体" w:hAnsi="宋体"/>
          <w:color w:val="auto"/>
          <w:kern w:val="0"/>
          <w:sz w:val="24"/>
          <w:szCs w:val="24"/>
          <w:highlight w:val="none"/>
        </w:rPr>
        <w:t>监督电话：</w:t>
      </w:r>
      <w:r>
        <w:rPr>
          <w:rFonts w:ascii="宋体" w:hAnsi="宋体"/>
          <w:color w:val="auto"/>
          <w:kern w:val="0"/>
          <w:sz w:val="24"/>
          <w:szCs w:val="24"/>
          <w:highlight w:val="none"/>
        </w:rPr>
        <w:t>020-82639502</w:t>
      </w:r>
    </w:p>
    <w:p w14:paraId="4F7921B0">
      <w:pPr>
        <w:autoSpaceDE w:val="0"/>
        <w:autoSpaceDN w:val="0"/>
        <w:adjustRightInd w:val="0"/>
        <w:jc w:val="right"/>
        <w:rPr>
          <w:rFonts w:ascii="宋体" w:hAnsi="宋体"/>
          <w:color w:val="auto"/>
          <w:kern w:val="0"/>
          <w:sz w:val="24"/>
          <w:szCs w:val="24"/>
          <w:highlight w:val="none"/>
        </w:rPr>
      </w:pPr>
      <w:r>
        <w:rPr>
          <w:rFonts w:hint="eastAsia" w:ascii="宋体" w:hAnsi="宋体"/>
          <w:color w:val="auto"/>
          <w:kern w:val="0"/>
          <w:sz w:val="24"/>
          <w:szCs w:val="24"/>
          <w:highlight w:val="none"/>
          <w:lang w:eastAsia="zh-CN"/>
        </w:rPr>
        <w:t>2025</w:t>
      </w:r>
      <w:r>
        <w:rPr>
          <w:rFonts w:hint="eastAsia" w:ascii="宋体" w:hAnsi="宋体"/>
          <w:color w:val="auto"/>
          <w:kern w:val="0"/>
          <w:sz w:val="24"/>
          <w:szCs w:val="24"/>
          <w:highlight w:val="none"/>
        </w:rPr>
        <w:t>年</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月____日</w:t>
      </w:r>
    </w:p>
    <w:p w14:paraId="0D8A4678">
      <w:pPr>
        <w:spacing w:line="360" w:lineRule="auto"/>
        <w:jc w:val="right"/>
        <w:rPr>
          <w:color w:val="auto"/>
          <w:highlight w:val="none"/>
        </w:rPr>
      </w:pPr>
    </w:p>
    <w:p w14:paraId="289C8840">
      <w:pPr>
        <w:ind w:firstLine="0" w:firstLineChars="0"/>
        <w:jc w:val="center"/>
        <w:rPr>
          <w:rFonts w:cs="宋体"/>
          <w:sz w:val="44"/>
          <w:highlight w:val="none"/>
        </w:rPr>
      </w:pPr>
      <w:r>
        <w:rPr>
          <w:rFonts w:cs="宋体"/>
          <w:sz w:val="44"/>
          <w:highlight w:val="none"/>
        </w:rPr>
        <w:br w:type="page"/>
      </w:r>
    </w:p>
    <w:p w14:paraId="3204D866">
      <w:pPr>
        <w:pStyle w:val="4"/>
        <w:rPr>
          <w:rFonts w:ascii="Microsoft JhengHei" w:hAnsi="Microsoft JhengHei" w:eastAsia="Microsoft JhengHei"/>
          <w:b w:val="0"/>
          <w:sz w:val="57"/>
          <w:highlight w:val="none"/>
        </w:rPr>
      </w:pPr>
      <w:r>
        <w:rPr>
          <w:rFonts w:cs="宋体"/>
          <w:sz w:val="44"/>
          <w:highlight w:val="none"/>
        </w:rPr>
        <w:t>第二章 投标人须知</w:t>
      </w:r>
      <w:bookmarkEnd w:id="7"/>
    </w:p>
    <w:p w14:paraId="2DA1EF9E">
      <w:pPr>
        <w:pStyle w:val="5"/>
        <w:kinsoku w:val="0"/>
        <w:overflowPunct w:val="0"/>
        <w:spacing w:before="120" w:after="120"/>
        <w:ind w:left="220"/>
        <w:jc w:val="center"/>
        <w:rPr>
          <w:rFonts w:ascii="Microsoft JhengHei" w:hAnsi="Microsoft JhengHei" w:eastAsia="Microsoft JhengHei"/>
          <w:b w:val="0"/>
          <w:sz w:val="20"/>
          <w:highlight w:val="none"/>
        </w:rPr>
      </w:pPr>
      <w:bookmarkStart w:id="36" w:name="bookmark19"/>
      <w:bookmarkEnd w:id="36"/>
      <w:bookmarkStart w:id="37" w:name="_Toc8684"/>
      <w:r>
        <w:rPr>
          <w:sz w:val="32"/>
          <w:highlight w:val="none"/>
        </w:rPr>
        <w:t>投标人须知前附表</w:t>
      </w:r>
      <w:bookmarkEnd w:id="37"/>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41F6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C4D0D5B">
            <w:pPr>
              <w:pStyle w:val="34"/>
              <w:kinsoku w:val="0"/>
              <w:overflowPunct w:val="0"/>
              <w:spacing w:before="41"/>
              <w:jc w:val="center"/>
              <w:rPr>
                <w:sz w:val="21"/>
                <w:highlight w:val="none"/>
              </w:rPr>
            </w:pPr>
            <w:r>
              <w:rPr>
                <w:rFonts w:ascii="宋体" w:hAnsi="宋体" w:cs="宋体"/>
                <w:b/>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D9BCA1E">
            <w:pPr>
              <w:pStyle w:val="34"/>
              <w:kinsoku w:val="0"/>
              <w:overflowPunct w:val="0"/>
              <w:spacing w:before="41"/>
              <w:jc w:val="center"/>
              <w:rPr>
                <w:sz w:val="21"/>
                <w:highlight w:val="none"/>
              </w:rPr>
            </w:pPr>
            <w:r>
              <w:rPr>
                <w:rFonts w:ascii="宋体" w:hAnsi="宋体" w:cs="宋体"/>
                <w:b/>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39284B5">
            <w:pPr>
              <w:pStyle w:val="34"/>
              <w:kinsoku w:val="0"/>
              <w:overflowPunct w:val="0"/>
              <w:spacing w:before="41"/>
              <w:jc w:val="center"/>
              <w:rPr>
                <w:sz w:val="21"/>
                <w:highlight w:val="none"/>
              </w:rPr>
            </w:pPr>
            <w:r>
              <w:rPr>
                <w:rFonts w:ascii="宋体" w:hAnsi="宋体" w:cs="宋体"/>
                <w:b/>
                <w:sz w:val="21"/>
                <w:szCs w:val="21"/>
                <w:highlight w:val="none"/>
              </w:rPr>
              <w:t>编列内容</w:t>
            </w:r>
          </w:p>
        </w:tc>
      </w:tr>
      <w:tr w14:paraId="7CF8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98651FB">
            <w:pPr>
              <w:pStyle w:val="34"/>
              <w:kinsoku w:val="0"/>
              <w:overflowPunct w:val="0"/>
              <w:jc w:val="center"/>
              <w:rPr>
                <w:sz w:val="21"/>
                <w:highlight w:val="none"/>
              </w:rPr>
            </w:pPr>
            <w:r>
              <w:rPr>
                <w:rFonts w:hint="eastAsia" w:eastAsia="Times New Roman"/>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E9D84E8">
            <w:pPr>
              <w:pStyle w:val="34"/>
              <w:kinsoku w:val="0"/>
              <w:overflowPunct w:val="0"/>
              <w:spacing w:line="360" w:lineRule="auto"/>
              <w:jc w:val="both"/>
              <w:rPr>
                <w:sz w:val="21"/>
                <w:highlight w:val="none"/>
              </w:rPr>
            </w:pPr>
            <w:r>
              <w:rPr>
                <w:rFonts w:ascii="宋体" w:hAnsi="宋体"/>
                <w:sz w:val="21"/>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D77251">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名称：广州市增城区石滩镇农业农村技术服务中心</w:t>
            </w:r>
          </w:p>
          <w:p w14:paraId="5D7E36BF">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地址：广州市增城区石滩镇石顺大道政务中心8号楼302室</w:t>
            </w:r>
          </w:p>
          <w:p w14:paraId="73D0ECC1">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联系人：孙工</w:t>
            </w:r>
          </w:p>
          <w:p w14:paraId="1D995FEE">
            <w:pPr>
              <w:tabs>
                <w:tab w:val="left" w:pos="7513"/>
              </w:tabs>
              <w:autoSpaceDE w:val="0"/>
              <w:autoSpaceDN w:val="0"/>
              <w:adjustRightInd w:val="0"/>
              <w:spacing w:line="360" w:lineRule="auto"/>
              <w:jc w:val="left"/>
              <w:rPr>
                <w:sz w:val="21"/>
                <w:highlight w:val="none"/>
              </w:rPr>
            </w:pPr>
            <w:r>
              <w:rPr>
                <w:rFonts w:hint="eastAsia" w:ascii="Times New Roman" w:hAnsi="Times New Roman" w:eastAsia="宋体" w:cs="Times New Roman"/>
                <w:sz w:val="21"/>
                <w:szCs w:val="24"/>
                <w:highlight w:val="none"/>
                <w:lang w:val="en-US" w:eastAsia="zh-CN" w:bidi="ar-SA"/>
              </w:rPr>
              <w:t xml:space="preserve">电话：020-82923241 </w:t>
            </w:r>
          </w:p>
        </w:tc>
      </w:tr>
      <w:tr w14:paraId="456F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B6EFE1">
            <w:pPr>
              <w:pStyle w:val="34"/>
              <w:kinsoku w:val="0"/>
              <w:overflowPunct w:val="0"/>
              <w:jc w:val="center"/>
              <w:rPr>
                <w:sz w:val="21"/>
                <w:highlight w:val="none"/>
              </w:rPr>
            </w:pPr>
            <w:r>
              <w:rPr>
                <w:rFonts w:hint="eastAsia" w:eastAsia="Times New Roman"/>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149B45A">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10EBE40">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名称：广州市弘鑫工程咨询有限公司</w:t>
            </w:r>
          </w:p>
          <w:p w14:paraId="77444AF8">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地址：广州市增城区荔城街菜园路13号二幢301房之一</w:t>
            </w:r>
          </w:p>
          <w:p w14:paraId="1D41BF2E">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联系人：陈工</w:t>
            </w:r>
          </w:p>
          <w:p w14:paraId="1E17A20C">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电话：13422202875</w:t>
            </w:r>
          </w:p>
        </w:tc>
      </w:tr>
      <w:tr w14:paraId="451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29F7705">
            <w:pPr>
              <w:pStyle w:val="34"/>
              <w:kinsoku w:val="0"/>
              <w:overflowPunct w:val="0"/>
              <w:jc w:val="center"/>
              <w:rPr>
                <w:sz w:val="21"/>
                <w:highlight w:val="none"/>
              </w:rPr>
            </w:pPr>
            <w:r>
              <w:rPr>
                <w:rFonts w:hint="eastAsia" w:eastAsia="Times New Roman"/>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9BD04F">
            <w:pPr>
              <w:pStyle w:val="34"/>
              <w:kinsoku w:val="0"/>
              <w:overflowPunct w:val="0"/>
              <w:jc w:val="both"/>
              <w:rPr>
                <w:sz w:val="21"/>
                <w:highlight w:val="none"/>
              </w:rPr>
            </w:pPr>
            <w:r>
              <w:rPr>
                <w:rFonts w:ascii="宋体" w:hAnsi="宋体"/>
                <w:sz w:val="21"/>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2E945F8">
            <w:pPr>
              <w:jc w:val="both"/>
              <w:rPr>
                <w:sz w:val="21"/>
                <w:highlight w:val="none"/>
              </w:rPr>
            </w:pPr>
            <w:r>
              <w:rPr>
                <w:rFonts w:hint="eastAsia" w:eastAsia="宋体"/>
                <w:sz w:val="21"/>
                <w:highlight w:val="none"/>
                <w:lang w:val="en-US" w:eastAsia="zh-CN"/>
              </w:rPr>
              <w:t>石滩大围达标加固工程</w:t>
            </w:r>
            <w:r>
              <w:rPr>
                <w:rFonts w:hint="eastAsia"/>
                <w:sz w:val="21"/>
                <w:highlight w:val="none"/>
                <w:lang w:val="en-US" w:eastAsia="zh-CN"/>
              </w:rPr>
              <w:t>施工监理</w:t>
            </w:r>
          </w:p>
        </w:tc>
      </w:tr>
      <w:tr w14:paraId="5024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242187E">
            <w:pPr>
              <w:pStyle w:val="34"/>
              <w:kinsoku w:val="0"/>
              <w:overflowPunct w:val="0"/>
              <w:jc w:val="center"/>
              <w:rPr>
                <w:sz w:val="21"/>
                <w:highlight w:val="none"/>
              </w:rPr>
            </w:pPr>
            <w:r>
              <w:rPr>
                <w:rFonts w:hint="eastAsia" w:eastAsia="Times New Roman"/>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C556FEA">
            <w:pPr>
              <w:pStyle w:val="34"/>
              <w:kinsoku w:val="0"/>
              <w:overflowPunct w:val="0"/>
              <w:jc w:val="both"/>
              <w:rPr>
                <w:sz w:val="21"/>
                <w:highlight w:val="none"/>
              </w:rPr>
            </w:pPr>
            <w:r>
              <w:rPr>
                <w:rFonts w:ascii="宋体" w:hAnsi="宋体"/>
                <w:sz w:val="21"/>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D63B991">
            <w:pPr>
              <w:jc w:val="both"/>
              <w:rPr>
                <w:sz w:val="21"/>
                <w:highlight w:val="none"/>
              </w:rPr>
            </w:pPr>
            <w:r>
              <w:rPr>
                <w:rFonts w:hint="eastAsia"/>
                <w:sz w:val="21"/>
                <w:highlight w:val="none"/>
              </w:rPr>
              <w:t>详见本项目招标公告。</w:t>
            </w:r>
          </w:p>
        </w:tc>
      </w:tr>
      <w:tr w14:paraId="48C6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6A49B7E">
            <w:pPr>
              <w:pStyle w:val="34"/>
              <w:kinsoku w:val="0"/>
              <w:overflowPunct w:val="0"/>
              <w:jc w:val="center"/>
              <w:rPr>
                <w:sz w:val="21"/>
                <w:highlight w:val="none"/>
              </w:rPr>
            </w:pPr>
            <w:r>
              <w:rPr>
                <w:rFonts w:hint="eastAsia" w:eastAsia="Times New Roman"/>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7A147FC">
            <w:pPr>
              <w:pStyle w:val="34"/>
              <w:kinsoku w:val="0"/>
              <w:overflowPunct w:val="0"/>
              <w:jc w:val="both"/>
              <w:rPr>
                <w:sz w:val="21"/>
                <w:highlight w:val="none"/>
              </w:rPr>
            </w:pPr>
            <w:r>
              <w:rPr>
                <w:rFonts w:ascii="宋体" w:hAnsi="宋体"/>
                <w:sz w:val="21"/>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D52C91B">
            <w:pPr>
              <w:jc w:val="both"/>
              <w:rPr>
                <w:sz w:val="21"/>
                <w:highlight w:val="none"/>
              </w:rPr>
            </w:pPr>
            <w:r>
              <w:rPr>
                <w:rFonts w:hint="eastAsia"/>
                <w:sz w:val="21"/>
                <w:highlight w:val="none"/>
              </w:rPr>
              <w:t>详见本项目招标公告。</w:t>
            </w:r>
          </w:p>
        </w:tc>
      </w:tr>
      <w:tr w14:paraId="4C14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B2621F2">
            <w:pPr>
              <w:pStyle w:val="34"/>
              <w:kinsoku w:val="0"/>
              <w:overflowPunct w:val="0"/>
              <w:jc w:val="center"/>
              <w:rPr>
                <w:sz w:val="21"/>
                <w:highlight w:val="none"/>
              </w:rPr>
            </w:pPr>
            <w:r>
              <w:rPr>
                <w:rFonts w:hint="eastAsia" w:eastAsia="Times New Roman"/>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364669E">
            <w:pPr>
              <w:pStyle w:val="34"/>
              <w:kinsoku w:val="0"/>
              <w:overflowPunct w:val="0"/>
              <w:jc w:val="both"/>
              <w:rPr>
                <w:sz w:val="21"/>
                <w:highlight w:val="none"/>
              </w:rPr>
            </w:pPr>
            <w:r>
              <w:rPr>
                <w:rFonts w:ascii="宋体" w:hAnsi="宋体"/>
                <w:sz w:val="21"/>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25BFF18">
            <w:pPr>
              <w:jc w:val="both"/>
              <w:rPr>
                <w:sz w:val="21"/>
                <w:highlight w:val="none"/>
              </w:rPr>
            </w:pPr>
            <w:r>
              <w:rPr>
                <w:rFonts w:hint="eastAsia"/>
                <w:sz w:val="21"/>
                <w:highlight w:val="none"/>
              </w:rPr>
              <w:t>具体以开工报告为准。</w:t>
            </w:r>
          </w:p>
        </w:tc>
      </w:tr>
      <w:tr w14:paraId="2DD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655A93B">
            <w:pPr>
              <w:pStyle w:val="34"/>
              <w:kinsoku w:val="0"/>
              <w:overflowPunct w:val="0"/>
              <w:jc w:val="center"/>
              <w:rPr>
                <w:sz w:val="21"/>
                <w:highlight w:val="none"/>
              </w:rPr>
            </w:pPr>
            <w:r>
              <w:rPr>
                <w:rFonts w:hint="eastAsia" w:eastAsia="Times New Roman"/>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C601966">
            <w:pPr>
              <w:pStyle w:val="34"/>
              <w:kinsoku w:val="0"/>
              <w:overflowPunct w:val="0"/>
              <w:jc w:val="both"/>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8F5EE4B">
            <w:pPr>
              <w:tabs>
                <w:tab w:val="left" w:pos="7513"/>
              </w:tabs>
              <w:autoSpaceDE w:val="0"/>
              <w:autoSpaceDN w:val="0"/>
              <w:adjustRightInd w:val="0"/>
              <w:spacing w:line="360" w:lineRule="auto"/>
              <w:jc w:val="left"/>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项目概算总投资420,855,920.70元，建安费240,103,336.29元。</w:t>
            </w:r>
          </w:p>
        </w:tc>
      </w:tr>
      <w:tr w14:paraId="01B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DD7B495">
            <w:pPr>
              <w:pStyle w:val="34"/>
              <w:kinsoku w:val="0"/>
              <w:overflowPunct w:val="0"/>
              <w:jc w:val="center"/>
              <w:rPr>
                <w:sz w:val="21"/>
                <w:highlight w:val="none"/>
              </w:rPr>
            </w:pPr>
            <w:r>
              <w:rPr>
                <w:rFonts w:hint="eastAsia" w:eastAsia="Times New Roman"/>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94D9BD6">
            <w:pPr>
              <w:pStyle w:val="34"/>
              <w:kinsoku w:val="0"/>
              <w:overflowPunct w:val="0"/>
              <w:jc w:val="both"/>
              <w:rPr>
                <w:sz w:val="21"/>
                <w:highlight w:val="none"/>
              </w:rPr>
            </w:pPr>
            <w:r>
              <w:rPr>
                <w:rFonts w:ascii="宋体" w:hAnsi="宋体"/>
                <w:sz w:val="21"/>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DEE6984">
            <w:pPr>
              <w:jc w:val="both"/>
              <w:rPr>
                <w:sz w:val="21"/>
                <w:highlight w:val="none"/>
              </w:rPr>
            </w:pPr>
            <w:r>
              <w:rPr>
                <w:rFonts w:hint="eastAsia"/>
                <w:sz w:val="21"/>
                <w:highlight w:val="none"/>
              </w:rPr>
              <w:t>财政资金，100%。</w:t>
            </w:r>
          </w:p>
        </w:tc>
      </w:tr>
      <w:tr w14:paraId="3CD7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F492663">
            <w:pPr>
              <w:pStyle w:val="34"/>
              <w:kinsoku w:val="0"/>
              <w:overflowPunct w:val="0"/>
              <w:jc w:val="center"/>
              <w:rPr>
                <w:sz w:val="21"/>
                <w:highlight w:val="none"/>
              </w:rPr>
            </w:pPr>
            <w:r>
              <w:rPr>
                <w:rFonts w:hint="eastAsia" w:eastAsia="Times New Roman"/>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612F035">
            <w:pPr>
              <w:pStyle w:val="34"/>
              <w:kinsoku w:val="0"/>
              <w:overflowPunct w:val="0"/>
              <w:jc w:val="both"/>
              <w:rPr>
                <w:sz w:val="21"/>
                <w:highlight w:val="none"/>
              </w:rPr>
            </w:pPr>
            <w:r>
              <w:rPr>
                <w:rFonts w:ascii="宋体" w:hAnsi="宋体"/>
                <w:sz w:val="21"/>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748AB01">
            <w:pPr>
              <w:jc w:val="both"/>
              <w:rPr>
                <w:sz w:val="21"/>
                <w:highlight w:val="none"/>
              </w:rPr>
            </w:pPr>
            <w:r>
              <w:rPr>
                <w:rFonts w:hint="eastAsia"/>
                <w:sz w:val="21"/>
                <w:highlight w:val="none"/>
              </w:rPr>
              <w:t>已落实。</w:t>
            </w:r>
          </w:p>
        </w:tc>
      </w:tr>
      <w:tr w14:paraId="10A2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CAB3A00">
            <w:pPr>
              <w:pStyle w:val="34"/>
              <w:kinsoku w:val="0"/>
              <w:overflowPunct w:val="0"/>
              <w:jc w:val="center"/>
              <w:rPr>
                <w:sz w:val="21"/>
                <w:highlight w:val="none"/>
              </w:rPr>
            </w:pPr>
            <w:r>
              <w:rPr>
                <w:rFonts w:hint="eastAsia" w:eastAsia="Times New Roman"/>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6BC8A92">
            <w:pPr>
              <w:pStyle w:val="34"/>
              <w:kinsoku w:val="0"/>
              <w:overflowPunct w:val="0"/>
              <w:jc w:val="both"/>
              <w:rPr>
                <w:sz w:val="21"/>
                <w:highlight w:val="none"/>
              </w:rPr>
            </w:pPr>
            <w:r>
              <w:rPr>
                <w:rFonts w:ascii="宋体" w:hAnsi="宋体"/>
                <w:sz w:val="21"/>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00424B1">
            <w:pPr>
              <w:jc w:val="both"/>
              <w:rPr>
                <w:sz w:val="21"/>
                <w:highlight w:val="none"/>
              </w:rPr>
            </w:pPr>
            <w:r>
              <w:rPr>
                <w:rFonts w:hint="eastAsia"/>
                <w:sz w:val="21"/>
                <w:highlight w:val="none"/>
              </w:rPr>
              <w:t>详见本项目招标公告。</w:t>
            </w:r>
          </w:p>
        </w:tc>
      </w:tr>
      <w:tr w14:paraId="4DDD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6BFFCAC">
            <w:pPr>
              <w:pStyle w:val="34"/>
              <w:kinsoku w:val="0"/>
              <w:overflowPunct w:val="0"/>
              <w:jc w:val="center"/>
              <w:rPr>
                <w:sz w:val="21"/>
                <w:highlight w:val="none"/>
              </w:rPr>
            </w:pPr>
            <w:r>
              <w:rPr>
                <w:rFonts w:hint="eastAsia" w:eastAsia="Times New Roman"/>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C832EB7">
            <w:pPr>
              <w:pStyle w:val="34"/>
              <w:kinsoku w:val="0"/>
              <w:overflowPunct w:val="0"/>
              <w:jc w:val="both"/>
              <w:rPr>
                <w:sz w:val="21"/>
                <w:highlight w:val="none"/>
              </w:rPr>
            </w:pPr>
            <w:r>
              <w:rPr>
                <w:rFonts w:ascii="宋体" w:hAnsi="宋体"/>
                <w:sz w:val="21"/>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6A4FC3C">
            <w:pPr>
              <w:jc w:val="both"/>
              <w:rPr>
                <w:sz w:val="21"/>
                <w:highlight w:val="none"/>
              </w:rPr>
            </w:pPr>
            <w:r>
              <w:rPr>
                <w:rFonts w:hint="eastAsia"/>
                <w:sz w:val="21"/>
                <w:highlight w:val="none"/>
              </w:rPr>
              <w:t>详见本项目招标公告。</w:t>
            </w:r>
          </w:p>
        </w:tc>
      </w:tr>
      <w:tr w14:paraId="134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2B868DE">
            <w:pPr>
              <w:pStyle w:val="34"/>
              <w:kinsoku w:val="0"/>
              <w:overflowPunct w:val="0"/>
              <w:jc w:val="center"/>
              <w:rPr>
                <w:sz w:val="21"/>
                <w:highlight w:val="none"/>
              </w:rPr>
            </w:pPr>
            <w:r>
              <w:rPr>
                <w:rFonts w:hint="eastAsia" w:eastAsia="Times New Roman"/>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16D10D7">
            <w:pPr>
              <w:pStyle w:val="34"/>
              <w:kinsoku w:val="0"/>
              <w:overflowPunct w:val="0"/>
              <w:jc w:val="both"/>
              <w:rPr>
                <w:sz w:val="21"/>
                <w:highlight w:val="none"/>
              </w:rPr>
            </w:pPr>
            <w:r>
              <w:rPr>
                <w:rFonts w:ascii="宋体" w:hAnsi="宋体"/>
                <w:sz w:val="21"/>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E008A0B">
            <w:pPr>
              <w:jc w:val="both"/>
              <w:rPr>
                <w:sz w:val="21"/>
                <w:highlight w:val="none"/>
              </w:rPr>
            </w:pPr>
            <w:r>
              <w:rPr>
                <w:rFonts w:hint="eastAsia"/>
                <w:sz w:val="21"/>
                <w:highlight w:val="none"/>
              </w:rPr>
              <w:t>按国家相关规定执行的合格标准。</w:t>
            </w:r>
          </w:p>
        </w:tc>
      </w:tr>
      <w:tr w14:paraId="076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6F033BA">
            <w:pPr>
              <w:pStyle w:val="34"/>
              <w:kinsoku w:val="0"/>
              <w:overflowPunct w:val="0"/>
              <w:jc w:val="center"/>
              <w:rPr>
                <w:sz w:val="21"/>
                <w:highlight w:val="none"/>
              </w:rPr>
            </w:pPr>
            <w:r>
              <w:rPr>
                <w:rFonts w:hint="eastAsia" w:eastAsia="Times New Roman"/>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AE5876E">
            <w:pPr>
              <w:pStyle w:val="34"/>
              <w:kinsoku w:val="0"/>
              <w:overflowPunct w:val="0"/>
              <w:jc w:val="both"/>
              <w:rPr>
                <w:sz w:val="21"/>
                <w:highlight w:val="none"/>
              </w:rPr>
            </w:pPr>
            <w:r>
              <w:rPr>
                <w:rFonts w:ascii="宋体" w:hAnsi="宋体"/>
                <w:sz w:val="21"/>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D178F55">
            <w:pPr>
              <w:pStyle w:val="34"/>
              <w:kinsoku w:val="0"/>
              <w:overflowPunct w:val="0"/>
              <w:jc w:val="both"/>
              <w:rPr>
                <w:rFonts w:ascii="宋体" w:hAnsi="宋体"/>
                <w:sz w:val="21"/>
                <w:highlight w:val="none"/>
              </w:rPr>
            </w:pPr>
            <w:r>
              <w:rPr>
                <w:rFonts w:ascii="宋体" w:hAnsi="宋体"/>
                <w:sz w:val="21"/>
                <w:highlight w:val="none"/>
              </w:rPr>
              <w:t>详见本项目招标公告。</w:t>
            </w:r>
          </w:p>
        </w:tc>
      </w:tr>
      <w:tr w14:paraId="795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FBC1235">
            <w:pPr>
              <w:pStyle w:val="34"/>
              <w:kinsoku w:val="0"/>
              <w:overflowPunct w:val="0"/>
              <w:jc w:val="center"/>
              <w:rPr>
                <w:sz w:val="21"/>
                <w:highlight w:val="none"/>
              </w:rPr>
            </w:pPr>
            <w:r>
              <w:rPr>
                <w:rFonts w:hint="eastAsia" w:eastAsia="Times New Roman"/>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7F5C385">
            <w:pPr>
              <w:pStyle w:val="34"/>
              <w:kinsoku w:val="0"/>
              <w:overflowPunct w:val="0"/>
              <w:jc w:val="both"/>
              <w:rPr>
                <w:sz w:val="21"/>
                <w:highlight w:val="none"/>
              </w:rPr>
            </w:pPr>
            <w:r>
              <w:rPr>
                <w:rFonts w:ascii="宋体" w:hAnsi="宋体"/>
                <w:sz w:val="21"/>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6A60B7E">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不接受</w:t>
            </w:r>
          </w:p>
          <w:p w14:paraId="795019E4">
            <w:pPr>
              <w:pStyle w:val="34"/>
              <w:kinsoku w:val="0"/>
              <w:overflowPunct w:val="0"/>
              <w:jc w:val="both"/>
              <w:rPr>
                <w:sz w:val="21"/>
                <w:highlight w:val="none"/>
              </w:rPr>
            </w:pPr>
            <w:r>
              <w:rPr>
                <w:rFonts w:hint="eastAsia" w:eastAsia="Times New Roman"/>
                <w:sz w:val="21"/>
                <w:highlight w:val="none"/>
              </w:rPr>
              <w:sym w:font="Wingdings 2" w:char="00A3"/>
            </w:r>
            <w:r>
              <w:rPr>
                <w:rFonts w:ascii="宋体" w:hAnsi="宋体"/>
                <w:sz w:val="21"/>
                <w:highlight w:val="none"/>
              </w:rPr>
              <w:t>接受，应满足下列要求：</w:t>
            </w:r>
            <w:r>
              <w:rPr>
                <w:rFonts w:hint="eastAsia" w:ascii="宋体" w:hAnsi="宋体"/>
                <w:sz w:val="21"/>
                <w:highlight w:val="none"/>
              </w:rPr>
              <w:t>/</w:t>
            </w:r>
          </w:p>
        </w:tc>
      </w:tr>
      <w:tr w14:paraId="09B6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A3B1D34">
            <w:pPr>
              <w:pStyle w:val="34"/>
              <w:kinsoku w:val="0"/>
              <w:overflowPunct w:val="0"/>
              <w:jc w:val="center"/>
              <w:rPr>
                <w:rFonts w:ascii="宋体" w:hAnsi="宋体" w:cs="宋体"/>
                <w:b/>
                <w:sz w:val="21"/>
                <w:szCs w:val="21"/>
                <w:highlight w:val="none"/>
              </w:rPr>
            </w:pPr>
            <w:r>
              <w:rPr>
                <w:rFonts w:hint="eastAsia" w:eastAsia="Times New Roman"/>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BEE0BC">
            <w:pPr>
              <w:pStyle w:val="34"/>
              <w:kinsoku w:val="0"/>
              <w:overflowPunct w:val="0"/>
              <w:jc w:val="both"/>
              <w:rPr>
                <w:rFonts w:ascii="宋体" w:hAnsi="宋体" w:cs="宋体"/>
                <w:b/>
                <w:sz w:val="21"/>
                <w:szCs w:val="21"/>
                <w:highlight w:val="none"/>
              </w:rPr>
            </w:pPr>
            <w:r>
              <w:rPr>
                <w:rFonts w:ascii="宋体" w:hAnsi="宋体"/>
                <w:sz w:val="21"/>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8032AE9">
            <w:pPr>
              <w:jc w:val="both"/>
              <w:rPr>
                <w:rFonts w:ascii="宋体" w:hAnsi="宋体" w:cs="宋体"/>
                <w:b/>
                <w:sz w:val="21"/>
                <w:szCs w:val="21"/>
                <w:highlight w:val="none"/>
              </w:rPr>
            </w:pPr>
            <w:r>
              <w:rPr>
                <w:rFonts w:hint="eastAsia" w:ascii="宋体" w:hAnsi="宋体"/>
                <w:sz w:val="21"/>
                <w:highlight w:val="none"/>
              </w:rPr>
              <w:t>详见第二章“投标人须知”第</w:t>
            </w:r>
            <w:r>
              <w:rPr>
                <w:rFonts w:ascii="宋体" w:hAnsi="宋体"/>
                <w:sz w:val="21"/>
                <w:highlight w:val="none"/>
              </w:rPr>
              <w:t>1.4.3项规定</w:t>
            </w:r>
            <w:r>
              <w:rPr>
                <w:rFonts w:hint="eastAsia" w:ascii="宋体" w:hAnsi="宋体"/>
                <w:sz w:val="21"/>
                <w:highlight w:val="none"/>
              </w:rPr>
              <w:t>。</w:t>
            </w:r>
          </w:p>
        </w:tc>
      </w:tr>
      <w:tr w14:paraId="38D8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40E454B">
            <w:pPr>
              <w:pStyle w:val="34"/>
              <w:kinsoku w:val="0"/>
              <w:overflowPunct w:val="0"/>
              <w:jc w:val="center"/>
              <w:rPr>
                <w:rFonts w:ascii="宋体" w:hAnsi="宋体" w:cs="宋体"/>
                <w:b/>
                <w:sz w:val="21"/>
                <w:szCs w:val="21"/>
                <w:highlight w:val="none"/>
              </w:rPr>
            </w:pPr>
            <w:r>
              <w:rPr>
                <w:rFonts w:hint="eastAsia" w:eastAsia="Times New Roman"/>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428CB74">
            <w:pPr>
              <w:pStyle w:val="34"/>
              <w:kinsoku w:val="0"/>
              <w:overflowPunct w:val="0"/>
              <w:jc w:val="both"/>
              <w:rPr>
                <w:rFonts w:ascii="宋体" w:hAnsi="宋体" w:cs="宋体"/>
                <w:b/>
                <w:sz w:val="21"/>
                <w:szCs w:val="21"/>
                <w:highlight w:val="none"/>
              </w:rPr>
            </w:pPr>
            <w:r>
              <w:rPr>
                <w:rFonts w:ascii="宋体" w:hAnsi="宋体"/>
                <w:sz w:val="21"/>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0DAD931">
            <w:pPr>
              <w:rPr>
                <w:rFonts w:ascii="宋体"/>
                <w:sz w:val="21"/>
                <w:highlight w:val="none"/>
              </w:rPr>
            </w:pPr>
            <w:r>
              <w:rPr>
                <w:rFonts w:ascii="宋体" w:hAnsi="宋体" w:cs="宋体"/>
                <w:sz w:val="21"/>
                <w:szCs w:val="21"/>
                <w:highlight w:val="none"/>
              </w:rPr>
              <w:t>☑</w:t>
            </w:r>
            <w:r>
              <w:rPr>
                <w:rFonts w:hint="eastAsia" w:ascii="宋体"/>
                <w:sz w:val="21"/>
                <w:highlight w:val="none"/>
              </w:rPr>
              <w:t>不组织，由投标人自行现场考察。</w:t>
            </w:r>
          </w:p>
          <w:p w14:paraId="1789CA94">
            <w:pPr>
              <w:rPr>
                <w:rFonts w:ascii="宋体"/>
                <w:sz w:val="21"/>
                <w:highlight w:val="none"/>
              </w:rPr>
            </w:pPr>
            <w:r>
              <w:rPr>
                <w:rFonts w:hint="eastAsia" w:ascii="宋体"/>
                <w:sz w:val="21"/>
                <w:highlight w:val="none"/>
              </w:rPr>
              <w:t>□组织，踏勘时间：/</w:t>
            </w:r>
          </w:p>
          <w:p w14:paraId="1945098C">
            <w:pPr>
              <w:pStyle w:val="34"/>
              <w:kinsoku w:val="0"/>
              <w:overflowPunct w:val="0"/>
              <w:jc w:val="both"/>
              <w:rPr>
                <w:rFonts w:ascii="宋体" w:hAnsi="宋体" w:cs="宋体"/>
                <w:b/>
                <w:sz w:val="21"/>
                <w:szCs w:val="21"/>
                <w:highlight w:val="none"/>
              </w:rPr>
            </w:pPr>
            <w:r>
              <w:rPr>
                <w:rFonts w:hint="eastAsia" w:ascii="宋体"/>
                <w:sz w:val="21"/>
                <w:highlight w:val="none"/>
              </w:rPr>
              <w:t>踏勘集中地点：/</w:t>
            </w:r>
          </w:p>
        </w:tc>
      </w:tr>
      <w:tr w14:paraId="266E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15B570B">
            <w:pPr>
              <w:spacing w:before="60" w:line="186" w:lineRule="auto"/>
              <w:jc w:val="center"/>
              <w:rPr>
                <w:rFonts w:eastAsia="Times New Roman"/>
                <w:sz w:val="21"/>
                <w:szCs w:val="21"/>
                <w:highlight w:val="none"/>
              </w:rPr>
            </w:pPr>
            <w:r>
              <w:rPr>
                <w:rFonts w:hint="eastAsia" w:eastAsia="Times New Roman"/>
                <w:spacing w:val="-5"/>
                <w:sz w:val="21"/>
                <w:szCs w:val="21"/>
                <w:highlight w:val="none"/>
              </w:rPr>
              <w:t>1</w:t>
            </w:r>
            <w:r>
              <w:rPr>
                <w:rFonts w:hint="eastAsia" w:eastAsia="Times New Roman"/>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D8A5457">
            <w:pPr>
              <w:spacing w:before="68" w:line="217" w:lineRule="auto"/>
              <w:jc w:val="both"/>
              <w:rPr>
                <w:rFonts w:ascii="宋体" w:hAnsi="宋体" w:cs="宋体"/>
                <w:sz w:val="21"/>
                <w:szCs w:val="21"/>
                <w:highlight w:val="none"/>
              </w:rPr>
            </w:pPr>
            <w:r>
              <w:rPr>
                <w:rFonts w:ascii="宋体" w:hAnsi="宋体"/>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tcPr>
          <w:p w14:paraId="58439627">
            <w:pPr>
              <w:pStyle w:val="11"/>
              <w:spacing w:before="48" w:beforeLines="20" w:after="48" w:afterLines="20"/>
              <w:ind w:left="48" w:leftChars="20" w:right="48" w:rightChars="20"/>
              <w:rPr>
                <w:rFonts w:hint="default" w:ascii="宋体" w:hAnsi="宋体" w:eastAsia="宋体" w:cs="宋体"/>
                <w:sz w:val="21"/>
                <w:szCs w:val="21"/>
                <w:highlight w:val="none"/>
              </w:rPr>
            </w:pPr>
            <w:r>
              <w:rPr>
                <w:rFonts w:hint="default" w:ascii="宋体" w:hAnsi="宋体" w:eastAsia="宋体" w:cs="宋体"/>
                <w:sz w:val="21"/>
                <w:szCs w:val="21"/>
                <w:highlight w:val="none"/>
              </w:rPr>
              <w:t>☑不召开</w:t>
            </w:r>
          </w:p>
          <w:p w14:paraId="6639C831">
            <w:pPr>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sym w:font="Wingdings 2" w:char="00A3"/>
            </w:r>
            <w:r>
              <w:rPr>
                <w:rFonts w:ascii="宋体" w:hAnsi="宋体" w:cs="宋体"/>
                <w:sz w:val="21"/>
                <w:szCs w:val="21"/>
                <w:highlight w:val="none"/>
              </w:rPr>
              <w:t>召开，召开时间：</w:t>
            </w:r>
          </w:p>
          <w:p w14:paraId="4D1C5BCF">
            <w:pPr>
              <w:spacing w:before="173"/>
              <w:ind w:right="50" w:firstLine="840" w:firstLineChars="400"/>
              <w:rPr>
                <w:rFonts w:ascii="宋体" w:hAnsi="宋体"/>
                <w:sz w:val="21"/>
                <w:highlight w:val="none"/>
              </w:rPr>
            </w:pPr>
            <w:r>
              <w:rPr>
                <w:rFonts w:ascii="宋体" w:hAnsi="宋体" w:cs="宋体"/>
                <w:sz w:val="21"/>
                <w:szCs w:val="21"/>
                <w:highlight w:val="none"/>
              </w:rPr>
              <w:t>召开地点：</w:t>
            </w:r>
          </w:p>
        </w:tc>
      </w:tr>
      <w:tr w14:paraId="55AD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02C0C37">
            <w:pPr>
              <w:spacing w:before="60" w:line="186" w:lineRule="auto"/>
              <w:jc w:val="center"/>
              <w:rPr>
                <w:rFonts w:eastAsia="Times New Roman"/>
                <w:spacing w:val="-5"/>
                <w:sz w:val="21"/>
                <w:szCs w:val="21"/>
                <w:highlight w:val="none"/>
              </w:rPr>
            </w:pPr>
            <w:r>
              <w:rPr>
                <w:rFonts w:hint="eastAsia" w:eastAsia="Times New Roman"/>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7BC1E2B">
            <w:pPr>
              <w:spacing w:before="68" w:line="217" w:lineRule="auto"/>
              <w:rPr>
                <w:rFonts w:ascii="宋体" w:hAnsi="宋体" w:cs="宋体"/>
                <w:spacing w:val="-2"/>
                <w:sz w:val="21"/>
                <w:szCs w:val="21"/>
                <w:highlight w:val="none"/>
              </w:rPr>
            </w:pPr>
            <w:r>
              <w:rPr>
                <w:rFonts w:ascii="宋体" w:hAnsi="宋体" w:cs="宋体"/>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E237DB">
            <w:pPr>
              <w:autoSpaceDE/>
              <w:autoSpaceDN/>
              <w:adjustRightInd/>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t>时间： /</w:t>
            </w:r>
          </w:p>
        </w:tc>
      </w:tr>
      <w:tr w14:paraId="225E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8CF013">
            <w:pPr>
              <w:pStyle w:val="34"/>
              <w:kinsoku w:val="0"/>
              <w:overflowPunct w:val="0"/>
              <w:jc w:val="center"/>
              <w:rPr>
                <w:rFonts w:eastAsia="Times New Roman"/>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95856B">
            <w:pPr>
              <w:pStyle w:val="34"/>
              <w:kinsoku w:val="0"/>
              <w:overflowPunct w:val="0"/>
              <w:jc w:val="both"/>
              <w:rPr>
                <w:rFonts w:ascii="宋体" w:hAnsi="宋体"/>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B20680B">
            <w:pPr>
              <w:autoSpaceDE/>
              <w:autoSpaceDN/>
              <w:adjustRightInd/>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t>形式： /</w:t>
            </w:r>
          </w:p>
        </w:tc>
      </w:tr>
      <w:tr w14:paraId="514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0EE8D36">
            <w:pPr>
              <w:spacing w:before="48" w:beforeLines="20" w:after="48" w:afterLines="20"/>
              <w:ind w:left="48" w:leftChars="20" w:right="48" w:rightChars="20"/>
              <w:jc w:val="center"/>
              <w:rPr>
                <w:rFonts w:ascii="Arial" w:hAnsi="宋体" w:cs="宋体"/>
                <w:snapToGrid w:val="0"/>
                <w:sz w:val="21"/>
                <w:szCs w:val="21"/>
                <w:highlight w:val="none"/>
              </w:rPr>
            </w:pPr>
            <w:r>
              <w:rPr>
                <w:rFonts w:hint="eastAsia" w:eastAsia="Times New Roman"/>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E3D603A">
            <w:pPr>
              <w:spacing w:before="48" w:beforeLines="20" w:after="48" w:afterLines="20"/>
              <w:ind w:left="48" w:leftChars="20" w:right="48" w:rightChars="20"/>
              <w:rPr>
                <w:rFonts w:ascii="宋体" w:hAnsi="宋体" w:cs="宋体"/>
                <w:snapToGrid w:val="0"/>
                <w:sz w:val="21"/>
                <w:szCs w:val="21"/>
                <w:highlight w:val="none"/>
              </w:rPr>
            </w:pPr>
            <w:r>
              <w:rPr>
                <w:rFonts w:ascii="宋体" w:hAnsi="宋体" w:cs="宋体"/>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ED22B5E">
            <w:pPr>
              <w:autoSpaceDE/>
              <w:autoSpaceDN/>
              <w:adjustRightInd/>
              <w:spacing w:before="48" w:beforeLines="20" w:after="48" w:afterLines="20"/>
              <w:ind w:left="48" w:leftChars="20" w:right="48" w:rightChars="20"/>
              <w:rPr>
                <w:rFonts w:ascii="宋体" w:hAnsi="宋体" w:cs="宋体"/>
                <w:sz w:val="21"/>
                <w:szCs w:val="21"/>
                <w:highlight w:val="none"/>
              </w:rPr>
            </w:pPr>
            <w:r>
              <w:rPr>
                <w:rFonts w:hint="eastAsia" w:ascii="宋体" w:hAnsi="宋体" w:cs="宋体"/>
                <w:sz w:val="21"/>
                <w:szCs w:val="21"/>
                <w:highlight w:val="none"/>
              </w:rPr>
              <w:t>在广州公共资源交易中心网站“招标答疑”专区发布。</w:t>
            </w:r>
          </w:p>
        </w:tc>
      </w:tr>
      <w:tr w14:paraId="2425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ACDA76B">
            <w:pPr>
              <w:pStyle w:val="34"/>
              <w:kinsoku w:val="0"/>
              <w:overflowPunct w:val="0"/>
              <w:jc w:val="center"/>
              <w:rPr>
                <w:rFonts w:ascii="宋体" w:hAnsi="宋体" w:cs="宋体"/>
                <w:b/>
                <w:sz w:val="21"/>
                <w:szCs w:val="21"/>
                <w:highlight w:val="none"/>
              </w:rPr>
            </w:pPr>
            <w:r>
              <w:rPr>
                <w:rFonts w:hint="eastAsia" w:eastAsia="Times New Roman"/>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4023396">
            <w:pPr>
              <w:pStyle w:val="34"/>
              <w:kinsoku w:val="0"/>
              <w:overflowPunct w:val="0"/>
              <w:jc w:val="both"/>
              <w:rPr>
                <w:rFonts w:ascii="宋体" w:hAnsi="宋体" w:cs="宋体"/>
                <w:b/>
                <w:sz w:val="21"/>
                <w:szCs w:val="21"/>
                <w:highlight w:val="none"/>
              </w:rPr>
            </w:pPr>
            <w:r>
              <w:rPr>
                <w:rFonts w:ascii="宋体" w:hAnsi="宋体"/>
                <w:sz w:val="21"/>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5498CE4">
            <w:pPr>
              <w:jc w:val="both"/>
              <w:rPr>
                <w:rFonts w:ascii="宋体" w:hAnsi="宋体" w:cs="宋体"/>
                <w:b/>
                <w:sz w:val="21"/>
                <w:szCs w:val="21"/>
                <w:highlight w:val="none"/>
              </w:rPr>
            </w:pPr>
            <w:r>
              <w:rPr>
                <w:rFonts w:hint="eastAsia" w:hAnsi="宋体" w:cs="宋体"/>
                <w:sz w:val="21"/>
                <w:szCs w:val="21"/>
                <w:highlight w:val="none"/>
                <w:u w:val="single"/>
              </w:rPr>
              <w:t>详见评标办法前附表中2.1.1、2.1.2、2.1.3的评审标准。</w:t>
            </w:r>
          </w:p>
        </w:tc>
      </w:tr>
      <w:tr w14:paraId="500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C97BB3B">
            <w:pPr>
              <w:pStyle w:val="34"/>
              <w:kinsoku w:val="0"/>
              <w:overflowPunct w:val="0"/>
              <w:jc w:val="center"/>
              <w:rPr>
                <w:rFonts w:ascii="宋体" w:hAnsi="宋体" w:cs="宋体"/>
                <w:b/>
                <w:sz w:val="21"/>
                <w:szCs w:val="21"/>
                <w:highlight w:val="none"/>
              </w:rPr>
            </w:pPr>
            <w:r>
              <w:rPr>
                <w:rFonts w:hint="eastAsia" w:eastAsia="Times New Roman"/>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D8A8624">
            <w:pPr>
              <w:pStyle w:val="34"/>
              <w:kinsoku w:val="0"/>
              <w:overflowPunct w:val="0"/>
              <w:jc w:val="both"/>
              <w:rPr>
                <w:rFonts w:ascii="宋体" w:hAnsi="宋体" w:cs="宋体"/>
                <w:b/>
                <w:sz w:val="21"/>
                <w:szCs w:val="21"/>
                <w:highlight w:val="none"/>
              </w:rPr>
            </w:pPr>
            <w:r>
              <w:rPr>
                <w:rFonts w:ascii="宋体" w:hAnsi="宋体"/>
                <w:sz w:val="21"/>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2A8037D">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不允许</w:t>
            </w:r>
          </w:p>
          <w:p w14:paraId="06D65AD8">
            <w:pPr>
              <w:pStyle w:val="34"/>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允许，偏差范围：</w:t>
            </w:r>
          </w:p>
          <w:p w14:paraId="4ADE57FB">
            <w:pPr>
              <w:pStyle w:val="34"/>
              <w:kinsoku w:val="0"/>
              <w:overflowPunct w:val="0"/>
              <w:jc w:val="both"/>
              <w:rPr>
                <w:rFonts w:ascii="宋体" w:hAnsi="宋体" w:cs="宋体"/>
                <w:b/>
                <w:sz w:val="21"/>
                <w:szCs w:val="21"/>
                <w:highlight w:val="none"/>
              </w:rPr>
            </w:pPr>
            <w:r>
              <w:rPr>
                <w:rFonts w:ascii="宋体" w:hAnsi="宋体"/>
                <w:sz w:val="21"/>
                <w:highlight w:val="none"/>
              </w:rPr>
              <w:t>偏差幅度：</w:t>
            </w:r>
          </w:p>
        </w:tc>
      </w:tr>
      <w:tr w14:paraId="5471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FEF0BF1">
            <w:pPr>
              <w:pStyle w:val="34"/>
              <w:kinsoku w:val="0"/>
              <w:overflowPunct w:val="0"/>
              <w:jc w:val="center"/>
              <w:rPr>
                <w:rFonts w:ascii="宋体" w:hAnsi="宋体" w:cs="宋体"/>
                <w:b/>
                <w:sz w:val="21"/>
                <w:szCs w:val="21"/>
                <w:highlight w:val="none"/>
              </w:rPr>
            </w:pPr>
            <w:r>
              <w:rPr>
                <w:rFonts w:hint="eastAsia" w:eastAsia="Times New Roman"/>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84452B0">
            <w:pPr>
              <w:pStyle w:val="34"/>
              <w:kinsoku w:val="0"/>
              <w:overflowPunct w:val="0"/>
              <w:jc w:val="both"/>
              <w:rPr>
                <w:rFonts w:ascii="宋体" w:hAnsi="宋体" w:cs="宋体"/>
                <w:b/>
                <w:sz w:val="21"/>
                <w:szCs w:val="21"/>
                <w:highlight w:val="none"/>
              </w:rPr>
            </w:pPr>
            <w:r>
              <w:rPr>
                <w:rFonts w:ascii="宋体" w:hAnsi="宋体"/>
                <w:sz w:val="21"/>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187B073">
            <w:pPr>
              <w:jc w:val="both"/>
              <w:rPr>
                <w:rFonts w:ascii="宋体" w:hAnsi="宋体" w:cs="宋体"/>
                <w:b/>
                <w:sz w:val="21"/>
                <w:szCs w:val="21"/>
                <w:highlight w:val="none"/>
              </w:rPr>
            </w:pPr>
            <w:r>
              <w:rPr>
                <w:rFonts w:hint="eastAsia" w:ascii="宋体" w:hAnsi="宋体" w:cs="宋体"/>
                <w:b/>
                <w:sz w:val="21"/>
                <w:szCs w:val="21"/>
                <w:highlight w:val="none"/>
              </w:rPr>
              <w:t>/</w:t>
            </w:r>
          </w:p>
        </w:tc>
      </w:tr>
      <w:tr w14:paraId="1E4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90C8676">
            <w:pPr>
              <w:spacing w:before="60" w:line="186" w:lineRule="auto"/>
              <w:jc w:val="center"/>
              <w:rPr>
                <w:rFonts w:eastAsia="Times New Roman"/>
                <w:sz w:val="21"/>
                <w:highlight w:val="none"/>
              </w:rPr>
            </w:pPr>
            <w:r>
              <w:rPr>
                <w:rFonts w:hint="eastAsia" w:eastAsia="Times New Roman"/>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3A1AC60">
            <w:pPr>
              <w:spacing w:line="272" w:lineRule="auto"/>
              <w:jc w:val="center"/>
              <w:rPr>
                <w:sz w:val="21"/>
                <w:highlight w:val="none"/>
              </w:rPr>
            </w:pPr>
          </w:p>
          <w:p w14:paraId="36548944">
            <w:pPr>
              <w:spacing w:before="69" w:line="220" w:lineRule="auto"/>
              <w:jc w:val="center"/>
              <w:rPr>
                <w:sz w:val="21"/>
                <w:highlight w:val="none"/>
              </w:rPr>
            </w:pPr>
            <w:r>
              <w:rPr>
                <w:rFonts w:ascii="宋体"/>
                <w:sz w:val="21"/>
                <w:highlight w:val="none"/>
              </w:rPr>
              <w:t>招标答疑</w:t>
            </w:r>
          </w:p>
          <w:p w14:paraId="3AB72F72">
            <w:pPr>
              <w:jc w:val="center"/>
              <w:rPr>
                <w:sz w:val="21"/>
                <w:highlight w:val="none"/>
              </w:rPr>
            </w:pPr>
          </w:p>
          <w:p w14:paraId="603D55A6">
            <w:pPr>
              <w:tabs>
                <w:tab w:val="left" w:pos="1103"/>
              </w:tabs>
              <w:jc w:val="center"/>
              <w:rPr>
                <w:rFonts w:ascii="宋体" w:hAnsi="宋体"/>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tcPr>
          <w:p w14:paraId="1CC75BD6">
            <w:pPr>
              <w:autoSpaceDE/>
              <w:autoSpaceDN/>
              <w:adjustRightInd/>
              <w:snapToGrid w:val="0"/>
              <w:jc w:val="both"/>
              <w:rPr>
                <w:rFonts w:ascii="宋体" w:hAnsi="宋体" w:cs="宋体"/>
                <w:kern w:val="2"/>
                <w:sz w:val="21"/>
                <w:szCs w:val="21"/>
                <w:highlight w:val="none"/>
                <w:u w:val="single"/>
              </w:rPr>
            </w:pPr>
            <w:r>
              <w:rPr>
                <w:rFonts w:hint="eastAsia" w:ascii="宋体" w:hAnsi="宋体" w:cs="宋体"/>
                <w:kern w:val="2"/>
                <w:sz w:val="21"/>
                <w:szCs w:val="21"/>
                <w:highlight w:val="none"/>
                <w:u w:val="single"/>
              </w:rPr>
              <w:t>时间：在投标截止日期前18日</w:t>
            </w:r>
          </w:p>
          <w:p w14:paraId="7F44E43D">
            <w:pPr>
              <w:autoSpaceDE/>
              <w:autoSpaceDN/>
              <w:adjustRightInd/>
              <w:snapToGrid w:val="0"/>
              <w:jc w:val="both"/>
              <w:outlineLvl w:val="0"/>
              <w:rPr>
                <w:rFonts w:ascii="宋体" w:hAnsi="宋体" w:cs="宋体"/>
                <w:sz w:val="21"/>
                <w:szCs w:val="21"/>
                <w:highlight w:val="none"/>
                <w:u w:val="single"/>
              </w:rPr>
            </w:pPr>
            <w:r>
              <w:rPr>
                <w:rFonts w:hint="eastAsia" w:ascii="宋体" w:hAnsi="宋体" w:cs="宋体"/>
                <w:sz w:val="21"/>
                <w:szCs w:val="21"/>
                <w:highlight w:val="none"/>
                <w:u w:val="single"/>
              </w:rPr>
              <w:t>形式：1、招标答疑采用网上答疑方式进行。投标人若对招标文件有疑问的，可在规定的时间内通过广州公共资源交易中心网站进入提问区域将问题提交给招标人或招标代理人，提交问题时一律不得署名。</w:t>
            </w:r>
          </w:p>
          <w:p w14:paraId="276893D0">
            <w:pPr>
              <w:autoSpaceDE/>
              <w:autoSpaceDN/>
              <w:adjustRightInd/>
              <w:snapToGrid w:val="0"/>
              <w:ind w:firstLine="420" w:firstLineChars="200"/>
              <w:jc w:val="both"/>
              <w:outlineLvl w:val="0"/>
              <w:rPr>
                <w:rFonts w:ascii="宋体" w:hAnsi="宋体" w:cs="宋体"/>
                <w:sz w:val="21"/>
                <w:szCs w:val="21"/>
                <w:highlight w:val="none"/>
                <w:u w:val="single"/>
              </w:rPr>
            </w:pPr>
            <w:r>
              <w:rPr>
                <w:rFonts w:hint="eastAsia" w:ascii="宋体" w:hAnsi="宋体" w:cs="宋体"/>
                <w:sz w:val="21"/>
                <w:szCs w:val="21"/>
                <w:highlight w:val="none"/>
                <w:u w:val="single"/>
              </w:rPr>
              <w:t>网上答疑的操作指南为：网上答疑的操作指南为：登录广州公共资源交易中心网站→进入“我是投标人”→进入“新建设工程交易平台”→进入“我的投标”→进入“招标答疑提问”→通过项目编号或名称找到所需的项目→在下述的答疑时间内点击“答疑提问”进入到提问区域→无记名或匿名提出问题。</w:t>
            </w:r>
          </w:p>
          <w:p w14:paraId="146DB9F4">
            <w:pPr>
              <w:autoSpaceDE/>
              <w:autoSpaceDN/>
              <w:adjustRightInd/>
              <w:snapToGrid w:val="0"/>
              <w:jc w:val="both"/>
              <w:outlineLvl w:val="0"/>
              <w:rPr>
                <w:rFonts w:ascii="宋体" w:hAnsi="宋体" w:cs="宋体"/>
                <w:sz w:val="21"/>
                <w:szCs w:val="21"/>
                <w:highlight w:val="none"/>
                <w:u w:val="single"/>
              </w:rPr>
            </w:pPr>
            <w:r>
              <w:rPr>
                <w:rFonts w:hint="eastAsia" w:ascii="宋体" w:hAnsi="宋体" w:cs="宋体"/>
                <w:sz w:val="21"/>
                <w:szCs w:val="21"/>
                <w:highlight w:val="none"/>
                <w:u w:val="single"/>
              </w:rPr>
              <w:t>2、投标人应在投标截止时间18日前停止质疑。招标人应在投标截止时间15日前解答投标人对招标文件提出的疑问，形成答疑纪要，并经招标监管机构备案后，方可在广州公共资源交易中心网站项目答疑专区发布。</w:t>
            </w:r>
          </w:p>
          <w:p w14:paraId="496F3B6B">
            <w:pPr>
              <w:autoSpaceDE/>
              <w:autoSpaceDN/>
              <w:adjustRightInd/>
              <w:snapToGrid w:val="0"/>
              <w:jc w:val="both"/>
              <w:outlineLvl w:val="0"/>
              <w:rPr>
                <w:rFonts w:ascii="宋体" w:hAnsi="宋体" w:cs="宋体"/>
                <w:sz w:val="21"/>
                <w:szCs w:val="21"/>
                <w:highlight w:val="none"/>
                <w:u w:val="single"/>
              </w:rPr>
            </w:pPr>
            <w:r>
              <w:rPr>
                <w:rFonts w:hint="eastAsia" w:ascii="宋体" w:hAnsi="宋体" w:cs="宋体"/>
                <w:sz w:val="21"/>
                <w:szCs w:val="21"/>
                <w:highlight w:val="none"/>
                <w:u w:val="single"/>
              </w:rPr>
              <w:t>3、招标答疑纪要一经在广州公共资源交易中心网站发布，视作已发放给所有投标人。</w:t>
            </w:r>
          </w:p>
          <w:p w14:paraId="7C3E95F7">
            <w:pPr>
              <w:spacing w:before="120" w:beforeLines="50"/>
              <w:ind w:left="113" w:leftChars="47"/>
              <w:rPr>
                <w:rFonts w:ascii="宋体" w:hAnsi="宋体" w:cs="宋体"/>
                <w:b/>
                <w:sz w:val="21"/>
                <w:szCs w:val="21"/>
                <w:highlight w:val="none"/>
              </w:rPr>
            </w:pPr>
            <w:r>
              <w:rPr>
                <w:rFonts w:hint="eastAsia" w:ascii="宋体" w:hAnsi="宋体" w:cs="宋体"/>
                <w:kern w:val="2"/>
                <w:sz w:val="21"/>
                <w:szCs w:val="21"/>
                <w:highlight w:val="none"/>
                <w:u w:val="single"/>
              </w:rPr>
              <w:t>4、招标答疑纪要为招标文件的一部分。投标人可在广州公资源交易中心网站浏览、下载招标答疑纪要。</w:t>
            </w:r>
          </w:p>
        </w:tc>
      </w:tr>
      <w:tr w14:paraId="2ADB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2BECA7C">
            <w:pPr>
              <w:spacing w:before="209" w:line="186" w:lineRule="auto"/>
              <w:jc w:val="center"/>
              <w:rPr>
                <w:rFonts w:eastAsia="Times New Roman"/>
                <w:sz w:val="21"/>
                <w:highlight w:val="none"/>
              </w:rPr>
            </w:pPr>
            <w:r>
              <w:rPr>
                <w:rFonts w:hint="eastAsia" w:eastAsia="Times New Roman"/>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79A22E">
            <w:pPr>
              <w:spacing w:before="170" w:line="220" w:lineRule="auto"/>
              <w:jc w:val="center"/>
              <w:rPr>
                <w:rFonts w:ascii="宋体" w:hAnsi="宋体"/>
                <w:sz w:val="21"/>
                <w:highlight w:val="none"/>
              </w:rPr>
            </w:pPr>
            <w:r>
              <w:rPr>
                <w:rFonts w:ascii="宋体" w:hAnsi="宋体" w:cs="宋体"/>
                <w:spacing w:val="-1"/>
                <w:sz w:val="21"/>
                <w:szCs w:val="21"/>
                <w:highlight w:val="none"/>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F943375">
            <w:pPr>
              <w:ind w:left="91" w:leftChars="38"/>
              <w:jc w:val="both"/>
              <w:rPr>
                <w:rFonts w:ascii="宋体" w:hAnsi="宋体" w:cs="宋体"/>
                <w:b/>
                <w:sz w:val="21"/>
                <w:szCs w:val="21"/>
                <w:highlight w:val="none"/>
              </w:rPr>
            </w:pPr>
            <w:r>
              <w:rPr>
                <w:rFonts w:ascii="宋体" w:hAnsi="宋体"/>
                <w:sz w:val="21"/>
                <w:highlight w:val="none"/>
              </w:rPr>
              <w:t>招标文件的修改期限：在投标截止时间</w:t>
            </w:r>
            <w:r>
              <w:rPr>
                <w:rFonts w:ascii="宋体" w:hAnsi="宋体"/>
                <w:sz w:val="21"/>
                <w:highlight w:val="none"/>
                <w:u w:val="single"/>
              </w:rPr>
              <w:t xml:space="preserve"> 15 </w:t>
            </w:r>
            <w:r>
              <w:rPr>
                <w:rFonts w:ascii="宋体" w:hAnsi="宋体"/>
                <w:sz w:val="21"/>
                <w:highlight w:val="none"/>
              </w:rPr>
              <w:t>天前</w:t>
            </w:r>
          </w:p>
        </w:tc>
      </w:tr>
      <w:tr w14:paraId="7DF6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367E37D">
            <w:pPr>
              <w:pStyle w:val="34"/>
              <w:kinsoku w:val="0"/>
              <w:overflowPunct w:val="0"/>
              <w:jc w:val="center"/>
              <w:rPr>
                <w:rFonts w:ascii="宋体" w:hAnsi="宋体" w:cs="宋体"/>
                <w:b/>
                <w:sz w:val="21"/>
                <w:szCs w:val="21"/>
                <w:highlight w:val="none"/>
              </w:rPr>
            </w:pPr>
            <w:r>
              <w:rPr>
                <w:rFonts w:hint="eastAsia" w:eastAsia="Times New Roman"/>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1BDF95F">
            <w:pPr>
              <w:pStyle w:val="34"/>
              <w:kinsoku w:val="0"/>
              <w:overflowPunct w:val="0"/>
              <w:jc w:val="both"/>
              <w:rPr>
                <w:rFonts w:ascii="宋体" w:hAnsi="宋体" w:cs="宋体"/>
                <w:b/>
                <w:sz w:val="21"/>
                <w:szCs w:val="21"/>
                <w:highlight w:val="none"/>
              </w:rPr>
            </w:pPr>
            <w:r>
              <w:rPr>
                <w:rFonts w:ascii="宋体" w:hAnsi="宋体"/>
                <w:sz w:val="21"/>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5F54265">
            <w:pPr>
              <w:jc w:val="both"/>
              <w:rPr>
                <w:rFonts w:ascii="宋体" w:hAnsi="宋体" w:cs="宋体"/>
                <w:b/>
                <w:sz w:val="21"/>
                <w:szCs w:val="21"/>
                <w:highlight w:val="none"/>
              </w:rPr>
            </w:pPr>
            <w:r>
              <w:rPr>
                <w:rFonts w:ascii="宋体" w:hAnsi="宋体" w:cs="宋体"/>
                <w:spacing w:val="-1"/>
                <w:sz w:val="21"/>
                <w:szCs w:val="21"/>
                <w:highlight w:val="none"/>
              </w:rPr>
              <w:t>满足本项目评审要求的其他资料。</w:t>
            </w:r>
          </w:p>
        </w:tc>
      </w:tr>
      <w:tr w14:paraId="63FA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25BE698">
            <w:pPr>
              <w:pStyle w:val="34"/>
              <w:kinsoku w:val="0"/>
              <w:overflowPunct w:val="0"/>
              <w:jc w:val="center"/>
              <w:rPr>
                <w:rFonts w:ascii="宋体" w:hAnsi="宋体" w:cs="宋体"/>
                <w:b/>
                <w:sz w:val="21"/>
                <w:szCs w:val="21"/>
                <w:highlight w:val="none"/>
              </w:rPr>
            </w:pPr>
            <w:r>
              <w:rPr>
                <w:rFonts w:hint="eastAsia" w:eastAsia="Times New Roman"/>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FA4A0CD">
            <w:pPr>
              <w:pStyle w:val="34"/>
              <w:kinsoku w:val="0"/>
              <w:overflowPunct w:val="0"/>
              <w:jc w:val="both"/>
              <w:rPr>
                <w:rFonts w:ascii="宋体" w:hAnsi="宋体" w:cs="宋体"/>
                <w:b/>
                <w:sz w:val="21"/>
                <w:szCs w:val="21"/>
                <w:highlight w:val="none"/>
              </w:rPr>
            </w:pPr>
            <w:r>
              <w:rPr>
                <w:rFonts w:ascii="宋体" w:hAnsi="宋体"/>
                <w:sz w:val="21"/>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C692622">
            <w:pPr>
              <w:jc w:val="both"/>
              <w:rPr>
                <w:rFonts w:ascii="宋体" w:hAnsi="宋体" w:cs="宋体"/>
                <w:b/>
                <w:sz w:val="21"/>
                <w:szCs w:val="21"/>
                <w:highlight w:val="none"/>
              </w:rPr>
            </w:pPr>
            <w:r>
              <w:rPr>
                <w:rFonts w:hint="eastAsia" w:ascii="宋体" w:hAnsi="宋体" w:cs="宋体"/>
                <w:spacing w:val="-1"/>
                <w:sz w:val="21"/>
                <w:szCs w:val="21"/>
                <w:highlight w:val="none"/>
              </w:rPr>
              <w:t>按国家税务机关的规定执行。</w:t>
            </w:r>
          </w:p>
        </w:tc>
      </w:tr>
      <w:tr w14:paraId="4EAC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0F4ED7A">
            <w:pPr>
              <w:pStyle w:val="34"/>
              <w:kinsoku w:val="0"/>
              <w:overflowPunct w:val="0"/>
              <w:jc w:val="center"/>
              <w:rPr>
                <w:rFonts w:ascii="宋体" w:hAnsi="宋体" w:cs="宋体"/>
                <w:b/>
                <w:sz w:val="21"/>
                <w:szCs w:val="21"/>
                <w:highlight w:val="none"/>
              </w:rPr>
            </w:pPr>
            <w:r>
              <w:rPr>
                <w:rFonts w:hint="eastAsia" w:eastAsia="Times New Roman"/>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F63DB52">
            <w:pPr>
              <w:pStyle w:val="34"/>
              <w:kinsoku w:val="0"/>
              <w:overflowPunct w:val="0"/>
              <w:jc w:val="both"/>
              <w:rPr>
                <w:rFonts w:ascii="宋体" w:hAnsi="宋体" w:cs="宋体"/>
                <w:b/>
                <w:sz w:val="21"/>
                <w:szCs w:val="21"/>
                <w:highlight w:val="none"/>
              </w:rPr>
            </w:pPr>
            <w:r>
              <w:rPr>
                <w:rFonts w:ascii="宋体" w:hAnsi="宋体"/>
                <w:sz w:val="21"/>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2167520">
            <w:pPr>
              <w:jc w:val="both"/>
              <w:rPr>
                <w:rFonts w:ascii="宋体" w:hAnsi="宋体" w:cs="宋体"/>
                <w:b/>
                <w:sz w:val="21"/>
                <w:szCs w:val="21"/>
                <w:highlight w:val="none"/>
              </w:rPr>
            </w:pPr>
            <w:r>
              <w:rPr>
                <w:rFonts w:hint="eastAsia" w:ascii="宋体" w:hAnsi="宋体" w:cs="宋体"/>
                <w:sz w:val="21"/>
                <w:szCs w:val="21"/>
                <w:highlight w:val="none"/>
              </w:rPr>
              <w:t>投标人自行填报投标下浮率，并依据所报下浮率列明投标报价。</w:t>
            </w:r>
          </w:p>
        </w:tc>
      </w:tr>
      <w:tr w14:paraId="5E09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E0EEC9F">
            <w:pPr>
              <w:pStyle w:val="34"/>
              <w:kinsoku w:val="0"/>
              <w:overflowPunct w:val="0"/>
              <w:jc w:val="center"/>
              <w:rPr>
                <w:rFonts w:eastAsia="Times New Roman"/>
                <w:sz w:val="21"/>
                <w:highlight w:val="none"/>
              </w:rPr>
            </w:pPr>
          </w:p>
          <w:p w14:paraId="1EEA2575">
            <w:pPr>
              <w:pStyle w:val="34"/>
              <w:kinsoku w:val="0"/>
              <w:overflowPunct w:val="0"/>
              <w:jc w:val="center"/>
              <w:rPr>
                <w:rFonts w:ascii="宋体" w:hAnsi="宋体" w:cs="宋体"/>
                <w:b/>
                <w:sz w:val="21"/>
                <w:szCs w:val="21"/>
                <w:highlight w:val="none"/>
              </w:rPr>
            </w:pPr>
            <w:r>
              <w:rPr>
                <w:rFonts w:hint="eastAsia" w:eastAsia="Times New Roman"/>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25EA6B5">
            <w:pPr>
              <w:pStyle w:val="34"/>
              <w:kinsoku w:val="0"/>
              <w:overflowPunct w:val="0"/>
              <w:jc w:val="both"/>
              <w:rPr>
                <w:rFonts w:ascii="宋体" w:hAnsi="宋体" w:cs="宋体"/>
                <w:b/>
                <w:sz w:val="21"/>
                <w:szCs w:val="21"/>
                <w:highlight w:val="none"/>
              </w:rPr>
            </w:pPr>
            <w:r>
              <w:rPr>
                <w:rFonts w:ascii="宋体" w:hAnsi="宋体"/>
                <w:sz w:val="21"/>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85F5F01">
            <w:pPr>
              <w:pStyle w:val="34"/>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无</w:t>
            </w:r>
          </w:p>
          <w:p w14:paraId="2347557F">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有，最高投标限价：</w:t>
            </w:r>
            <w:r>
              <w:rPr>
                <w:rFonts w:hint="eastAsia" w:ascii="宋体" w:hAnsi="宋体"/>
                <w:sz w:val="21"/>
                <w:highlight w:val="none"/>
                <w:lang w:val="en-US" w:eastAsia="zh-CN"/>
              </w:rPr>
              <w:t>4725000.00</w:t>
            </w:r>
            <w:r>
              <w:rPr>
                <w:rFonts w:hint="eastAsia" w:ascii="宋体" w:hAnsi="宋体"/>
                <w:sz w:val="21"/>
                <w:highlight w:val="none"/>
              </w:rPr>
              <w:t>元</w:t>
            </w:r>
            <w:r>
              <w:rPr>
                <w:rFonts w:ascii="宋体" w:hAnsi="宋体"/>
                <w:sz w:val="21"/>
                <w:highlight w:val="none"/>
              </w:rPr>
              <w:t>。</w:t>
            </w:r>
          </w:p>
          <w:p w14:paraId="3F1F9632">
            <w:pPr>
              <w:pStyle w:val="34"/>
              <w:kinsoku w:val="0"/>
              <w:overflowPunct w:val="0"/>
              <w:jc w:val="both"/>
              <w:rPr>
                <w:rFonts w:ascii="宋体" w:hAnsi="宋体" w:cs="宋体"/>
                <w:b/>
                <w:sz w:val="21"/>
                <w:szCs w:val="21"/>
                <w:highlight w:val="none"/>
              </w:rPr>
            </w:pPr>
            <w:r>
              <w:rPr>
                <w:rFonts w:hint="eastAsia" w:ascii="宋体" w:hAnsi="宋体"/>
                <w:sz w:val="21"/>
                <w:highlight w:val="none"/>
              </w:rPr>
              <w:t>注：投标报价不得超过本项目最高投标限价。</w:t>
            </w:r>
          </w:p>
        </w:tc>
      </w:tr>
      <w:tr w14:paraId="6797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C75210E">
            <w:pPr>
              <w:pStyle w:val="34"/>
              <w:kinsoku w:val="0"/>
              <w:overflowPunct w:val="0"/>
              <w:jc w:val="center"/>
              <w:rPr>
                <w:rFonts w:eastAsia="Times New Roman"/>
                <w:sz w:val="21"/>
                <w:highlight w:val="none"/>
              </w:rPr>
            </w:pPr>
            <w:r>
              <w:rPr>
                <w:rFonts w:hint="eastAsia" w:eastAsia="Times New Roman"/>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2D8EAB4">
            <w:pPr>
              <w:pStyle w:val="34"/>
              <w:kinsoku w:val="0"/>
              <w:overflowPunct w:val="0"/>
              <w:jc w:val="both"/>
              <w:rPr>
                <w:rFonts w:ascii="宋体" w:hAnsi="宋体"/>
                <w:sz w:val="21"/>
                <w:highlight w:val="none"/>
              </w:rPr>
            </w:pPr>
            <w:r>
              <w:rPr>
                <w:rFonts w:ascii="宋体" w:hAnsi="宋体"/>
                <w:sz w:val="21"/>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D798078">
            <w:pPr>
              <w:spacing w:before="173"/>
              <w:ind w:right="50"/>
              <w:rPr>
                <w:rFonts w:ascii="宋体" w:hAnsi="宋体"/>
                <w:sz w:val="21"/>
                <w:highlight w:val="none"/>
              </w:rPr>
            </w:pPr>
            <w:r>
              <w:rPr>
                <w:rFonts w:hint="eastAsia" w:ascii="宋体" w:hAnsi="宋体"/>
                <w:sz w:val="21"/>
                <w:highlight w:val="none"/>
              </w:rPr>
              <w:t>投标</w:t>
            </w:r>
            <w:r>
              <w:rPr>
                <w:rFonts w:hint="eastAsia" w:ascii="宋体" w:hAnsi="宋体" w:cs="宋体"/>
                <w:sz w:val="21"/>
                <w:szCs w:val="21"/>
                <w:highlight w:val="none"/>
              </w:rPr>
              <w:t>报价</w:t>
            </w:r>
            <w:r>
              <w:rPr>
                <w:rFonts w:hint="eastAsia" w:ascii="宋体" w:hAnsi="宋体"/>
                <w:sz w:val="21"/>
                <w:highlight w:val="none"/>
              </w:rPr>
              <w:t>超过本项目最高投标限价的投标文件将被否决其投标。</w:t>
            </w:r>
          </w:p>
          <w:p w14:paraId="7D059D15">
            <w:pPr>
              <w:spacing w:before="173"/>
              <w:ind w:right="50"/>
              <w:rPr>
                <w:rFonts w:eastAsiaTheme="minorEastAsia"/>
                <w:sz w:val="21"/>
                <w:highlight w:val="none"/>
              </w:rPr>
            </w:pPr>
            <w:r>
              <w:rPr>
                <w:rFonts w:hint="eastAsia" w:ascii="宋体" w:hAnsi="宋体" w:cs="宋体"/>
                <w:spacing w:val="-1"/>
                <w:sz w:val="21"/>
                <w:szCs w:val="21"/>
                <w:highlight w:val="none"/>
              </w:rPr>
              <w:t>投标人</w:t>
            </w:r>
            <w:r>
              <w:rPr>
                <w:rFonts w:hint="eastAsia" w:ascii="宋体" w:hAnsi="宋体"/>
                <w:sz w:val="21"/>
                <w:highlight w:val="none"/>
              </w:rPr>
              <w:t>必须详细审阅全部招标文件及招标相关资料</w:t>
            </w:r>
            <w:r>
              <w:rPr>
                <w:rFonts w:ascii="宋体" w:hAnsi="宋体"/>
                <w:sz w:val="21"/>
                <w:highlight w:val="none"/>
              </w:rPr>
              <w:t>,充分考虑职责和</w:t>
            </w:r>
            <w:r>
              <w:rPr>
                <w:rFonts w:hint="eastAsia" w:ascii="宋体" w:hAnsi="宋体" w:cs="宋体"/>
                <w:spacing w:val="-1"/>
                <w:sz w:val="21"/>
                <w:szCs w:val="21"/>
                <w:highlight w:val="none"/>
              </w:rPr>
              <w:t>义务</w:t>
            </w:r>
            <w:r>
              <w:rPr>
                <w:rFonts w:ascii="宋体" w:hAnsi="宋体"/>
                <w:sz w:val="21"/>
                <w:highlight w:val="none"/>
              </w:rPr>
              <w:t>,全面地理解招标文件对投标报价的要求,并按</w:t>
            </w:r>
            <w:r>
              <w:rPr>
                <w:rFonts w:hint="eastAsia" w:ascii="宋体" w:hAnsi="宋体" w:cs="宋体"/>
                <w:spacing w:val="-1"/>
                <w:sz w:val="21"/>
                <w:szCs w:val="21"/>
                <w:highlight w:val="none"/>
              </w:rPr>
              <w:t>招标</w:t>
            </w:r>
            <w:r>
              <w:rPr>
                <w:rFonts w:hint="eastAsia" w:ascii="宋体" w:hAnsi="宋体"/>
                <w:sz w:val="21"/>
                <w:highlight w:val="none"/>
              </w:rPr>
              <w:t>人提出的条件及内容进行报价。</w:t>
            </w:r>
          </w:p>
        </w:tc>
      </w:tr>
      <w:tr w14:paraId="58D3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6AEA01">
            <w:pPr>
              <w:pStyle w:val="34"/>
              <w:kinsoku w:val="0"/>
              <w:overflowPunct w:val="0"/>
              <w:jc w:val="center"/>
              <w:rPr>
                <w:rFonts w:eastAsia="Times New Roman"/>
                <w:sz w:val="21"/>
                <w:highlight w:val="none"/>
              </w:rPr>
            </w:pPr>
            <w:r>
              <w:rPr>
                <w:rFonts w:hint="eastAsia" w:eastAsia="Times New Roman"/>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CF66611">
            <w:pPr>
              <w:pStyle w:val="34"/>
              <w:kinsoku w:val="0"/>
              <w:overflowPunct w:val="0"/>
              <w:jc w:val="both"/>
              <w:rPr>
                <w:rFonts w:ascii="宋体" w:hAnsi="宋体"/>
                <w:sz w:val="21"/>
                <w:highlight w:val="none"/>
              </w:rPr>
            </w:pPr>
            <w:r>
              <w:rPr>
                <w:rFonts w:ascii="宋体" w:hAnsi="宋体"/>
                <w:sz w:val="21"/>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88DFA3E">
            <w:pPr>
              <w:jc w:val="both"/>
              <w:rPr>
                <w:rFonts w:eastAsia="Times New Roman"/>
                <w:sz w:val="21"/>
                <w:highlight w:val="none"/>
              </w:rPr>
            </w:pPr>
            <w:r>
              <w:rPr>
                <w:rFonts w:hint="eastAsia"/>
                <w:sz w:val="21"/>
                <w:highlight w:val="none"/>
              </w:rPr>
              <w:t>90</w:t>
            </w:r>
            <w:r>
              <w:rPr>
                <w:rFonts w:ascii="宋体"/>
                <w:sz w:val="21"/>
                <w:highlight w:val="none"/>
              </w:rPr>
              <w:t>日历天（从投标截止之日计起）</w:t>
            </w:r>
          </w:p>
        </w:tc>
      </w:tr>
      <w:tr w14:paraId="2499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3B669CC">
            <w:pPr>
              <w:pStyle w:val="34"/>
              <w:kinsoku w:val="0"/>
              <w:overflowPunct w:val="0"/>
              <w:jc w:val="center"/>
              <w:rPr>
                <w:rFonts w:eastAsia="Times New Roman"/>
                <w:sz w:val="21"/>
                <w:highlight w:val="none"/>
              </w:rPr>
            </w:pPr>
            <w:r>
              <w:rPr>
                <w:rFonts w:hint="eastAsia" w:eastAsia="Times New Roman"/>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E9438DE">
            <w:pPr>
              <w:pStyle w:val="34"/>
              <w:kinsoku w:val="0"/>
              <w:overflowPunct w:val="0"/>
              <w:jc w:val="both"/>
              <w:rPr>
                <w:rFonts w:ascii="宋体" w:hAnsi="宋体"/>
                <w:sz w:val="21"/>
                <w:highlight w:val="none"/>
              </w:rPr>
            </w:pPr>
            <w:r>
              <w:rPr>
                <w:rFonts w:ascii="宋体" w:hAnsi="宋体"/>
                <w:sz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80197E4">
            <w:pPr>
              <w:spacing w:before="139" w:line="221" w:lineRule="auto"/>
              <w:rPr>
                <w:rFonts w:ascii="宋体" w:hAnsi="宋体" w:cs="宋体"/>
                <w:sz w:val="21"/>
                <w:szCs w:val="21"/>
                <w:highlight w:val="none"/>
              </w:rPr>
            </w:pPr>
            <w:r>
              <w:rPr>
                <w:rFonts w:ascii="宋体" w:hAnsi="宋体" w:cs="宋体"/>
                <w:spacing w:val="-6"/>
                <w:sz w:val="21"/>
                <w:szCs w:val="21"/>
                <w:highlight w:val="none"/>
              </w:rPr>
              <w:t>是否要</w:t>
            </w:r>
            <w:r>
              <w:rPr>
                <w:rFonts w:ascii="宋体" w:hAnsi="宋体" w:cs="宋体"/>
                <w:spacing w:val="-5"/>
                <w:sz w:val="21"/>
                <w:szCs w:val="21"/>
                <w:highlight w:val="none"/>
              </w:rPr>
              <w:t>求</w:t>
            </w:r>
            <w:r>
              <w:rPr>
                <w:rFonts w:ascii="宋体" w:hAnsi="宋体" w:cs="宋体"/>
                <w:spacing w:val="-3"/>
                <w:sz w:val="21"/>
                <w:szCs w:val="21"/>
                <w:highlight w:val="none"/>
              </w:rPr>
              <w:t>投标人递交投标保证金：</w:t>
            </w:r>
          </w:p>
          <w:p w14:paraId="03596D9D">
            <w:pPr>
              <w:pStyle w:val="34"/>
              <w:kinsoku w:val="0"/>
              <w:overflowPunct w:val="0"/>
              <w:jc w:val="both"/>
              <w:rPr>
                <w:rFonts w:eastAsia="Times New Roman"/>
                <w:spacing w:val="-6"/>
                <w:sz w:val="21"/>
                <w:szCs w:val="21"/>
                <w:highlight w:val="none"/>
              </w:rPr>
            </w:pPr>
            <w:r>
              <w:rPr>
                <w:rFonts w:ascii="宋体" w:hAnsi="宋体" w:cs="宋体"/>
                <w:sz w:val="21"/>
                <w:szCs w:val="21"/>
                <w:highlight w:val="none"/>
              </w:rPr>
              <w:t>☑</w:t>
            </w:r>
            <w:r>
              <w:rPr>
                <w:rFonts w:ascii="宋体" w:hAnsi="宋体" w:cs="宋体"/>
                <w:spacing w:val="-3"/>
                <w:sz w:val="21"/>
                <w:szCs w:val="21"/>
                <w:highlight w:val="none"/>
              </w:rPr>
              <w:t>不要求</w:t>
            </w:r>
          </w:p>
          <w:p w14:paraId="1CD55F48">
            <w:pPr>
              <w:pStyle w:val="34"/>
              <w:kinsoku w:val="0"/>
              <w:overflowPunct w:val="0"/>
              <w:jc w:val="both"/>
              <w:rPr>
                <w:rFonts w:eastAsia="Times New Roman"/>
                <w:sz w:val="21"/>
                <w:highlight w:val="none"/>
              </w:rPr>
            </w:pPr>
            <w:r>
              <w:rPr>
                <w:rFonts w:hint="eastAsia" w:eastAsia="Times New Roman"/>
                <w:spacing w:val="-7"/>
                <w:sz w:val="21"/>
                <w:szCs w:val="21"/>
                <w:highlight w:val="none"/>
              </w:rPr>
              <w:sym w:font="Wingdings 2" w:char="00A3"/>
            </w:r>
            <w:r>
              <w:rPr>
                <w:rFonts w:ascii="宋体" w:hAnsi="宋体" w:cs="宋体"/>
                <w:spacing w:val="-5"/>
                <w:sz w:val="21"/>
                <w:szCs w:val="21"/>
                <w:highlight w:val="none"/>
              </w:rPr>
              <w:t>要求，</w:t>
            </w:r>
            <w:r>
              <w:rPr>
                <w:rFonts w:ascii="宋体" w:hAnsi="宋体" w:cs="宋体"/>
                <w:spacing w:val="-3"/>
                <w:sz w:val="21"/>
                <w:szCs w:val="21"/>
                <w:highlight w:val="none"/>
              </w:rPr>
              <w:t>投标</w:t>
            </w:r>
            <w:r>
              <w:rPr>
                <w:rFonts w:ascii="宋体" w:hAnsi="宋体" w:cs="宋体"/>
                <w:spacing w:val="-5"/>
                <w:sz w:val="21"/>
                <w:szCs w:val="21"/>
                <w:highlight w:val="none"/>
              </w:rPr>
              <w:t>保证金的形式：</w:t>
            </w:r>
            <w:r>
              <w:rPr>
                <w:rFonts w:hint="eastAsia" w:hAnsi="宋体" w:cs="宋体"/>
                <w:sz w:val="21"/>
                <w:szCs w:val="21"/>
                <w:highlight w:val="none"/>
                <w:shd w:val="clear" w:color="auto" w:fill="FFFFFF"/>
              </w:rPr>
              <w:t>/。</w:t>
            </w:r>
          </w:p>
        </w:tc>
      </w:tr>
      <w:tr w14:paraId="025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62A984A">
            <w:pPr>
              <w:pStyle w:val="34"/>
              <w:kinsoku w:val="0"/>
              <w:overflowPunct w:val="0"/>
              <w:jc w:val="center"/>
              <w:rPr>
                <w:rFonts w:eastAsia="Times New Roman"/>
                <w:sz w:val="21"/>
                <w:highlight w:val="none"/>
              </w:rPr>
            </w:pPr>
            <w:r>
              <w:rPr>
                <w:rFonts w:hint="eastAsia" w:eastAsia="Times New Roman"/>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84A7030">
            <w:pPr>
              <w:pStyle w:val="34"/>
              <w:kinsoku w:val="0"/>
              <w:overflowPunct w:val="0"/>
              <w:jc w:val="both"/>
              <w:rPr>
                <w:rFonts w:ascii="宋体" w:hAnsi="宋体"/>
                <w:sz w:val="21"/>
                <w:highlight w:val="none"/>
              </w:rPr>
            </w:pPr>
            <w:r>
              <w:rPr>
                <w:rFonts w:ascii="宋体" w:hAnsi="宋体"/>
                <w:sz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B8AC03B">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无</w:t>
            </w:r>
          </w:p>
          <w:p w14:paraId="759A71A0">
            <w:pPr>
              <w:pStyle w:val="34"/>
              <w:kinsoku w:val="0"/>
              <w:overflowPunct w:val="0"/>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有，具体要求：</w:t>
            </w:r>
          </w:p>
        </w:tc>
      </w:tr>
      <w:tr w14:paraId="6111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1BA344A">
            <w:pPr>
              <w:pStyle w:val="34"/>
              <w:kinsoku w:val="0"/>
              <w:overflowPunct w:val="0"/>
              <w:jc w:val="center"/>
              <w:rPr>
                <w:rFonts w:eastAsia="Times New Roman"/>
                <w:sz w:val="21"/>
                <w:highlight w:val="none"/>
              </w:rPr>
            </w:pPr>
            <w:r>
              <w:rPr>
                <w:rFonts w:hint="eastAsia" w:eastAsia="Times New Roman"/>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BE477B2">
            <w:pPr>
              <w:pStyle w:val="34"/>
              <w:kinsoku w:val="0"/>
              <w:overflowPunct w:val="0"/>
              <w:jc w:val="both"/>
              <w:rPr>
                <w:rFonts w:ascii="宋体" w:hAnsi="宋体"/>
                <w:sz w:val="21"/>
                <w:highlight w:val="none"/>
              </w:rPr>
            </w:pPr>
            <w:r>
              <w:rPr>
                <w:rFonts w:ascii="宋体" w:hAnsi="宋体"/>
                <w:sz w:val="21"/>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E57D7A4">
            <w:pPr>
              <w:pStyle w:val="34"/>
              <w:tabs>
                <w:tab w:val="left" w:pos="799"/>
                <w:tab w:val="left" w:pos="1569"/>
                <w:tab w:val="left" w:pos="2340"/>
              </w:tabs>
              <w:kinsoku w:val="0"/>
              <w:overflowPunct w:val="0"/>
              <w:jc w:val="both"/>
              <w:rPr>
                <w:rFonts w:ascii="宋体"/>
                <w:sz w:val="21"/>
                <w:highlight w:val="none"/>
              </w:rPr>
            </w:pPr>
            <w:r>
              <w:rPr>
                <w:rFonts w:ascii="宋体" w:hAnsi="宋体"/>
                <w:sz w:val="21"/>
                <w:highlight w:val="none"/>
              </w:rPr>
              <w:t>/年/月/日至今</w:t>
            </w:r>
          </w:p>
        </w:tc>
      </w:tr>
      <w:tr w14:paraId="6ED2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C515228">
            <w:pPr>
              <w:pStyle w:val="34"/>
              <w:kinsoku w:val="0"/>
              <w:overflowPunct w:val="0"/>
              <w:jc w:val="center"/>
              <w:rPr>
                <w:rFonts w:eastAsia="Times New Roman"/>
                <w:sz w:val="21"/>
                <w:highlight w:val="none"/>
              </w:rPr>
            </w:pPr>
            <w:r>
              <w:rPr>
                <w:rFonts w:hint="eastAsia" w:eastAsia="Times New Roman"/>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8A8A0A">
            <w:pPr>
              <w:pStyle w:val="34"/>
              <w:kinsoku w:val="0"/>
              <w:overflowPunct w:val="0"/>
              <w:jc w:val="both"/>
              <w:rPr>
                <w:rFonts w:ascii="宋体" w:hAnsi="宋体"/>
                <w:sz w:val="21"/>
                <w:highlight w:val="none"/>
              </w:rPr>
            </w:pPr>
            <w:r>
              <w:rPr>
                <w:rFonts w:ascii="宋体" w:hAnsi="宋体"/>
                <w:sz w:val="21"/>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199B918">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不允许</w:t>
            </w:r>
          </w:p>
          <w:p w14:paraId="6B5CAE86">
            <w:pPr>
              <w:pStyle w:val="34"/>
              <w:kinsoku w:val="0"/>
              <w:overflowPunct w:val="0"/>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允许</w:t>
            </w:r>
          </w:p>
        </w:tc>
      </w:tr>
      <w:tr w14:paraId="65F6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EF7F34B">
            <w:pPr>
              <w:pStyle w:val="34"/>
              <w:kinsoku w:val="0"/>
              <w:overflowPunct w:val="0"/>
              <w:jc w:val="center"/>
              <w:rPr>
                <w:rFonts w:eastAsia="Times New Roman"/>
                <w:sz w:val="21"/>
                <w:highlight w:val="none"/>
              </w:rPr>
            </w:pPr>
            <w:r>
              <w:rPr>
                <w:rFonts w:hint="eastAsia" w:eastAsia="Times New Roman"/>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68FFF43">
            <w:pPr>
              <w:pStyle w:val="34"/>
              <w:kinsoku w:val="0"/>
              <w:overflowPunct w:val="0"/>
              <w:jc w:val="both"/>
              <w:rPr>
                <w:rFonts w:ascii="宋体" w:hAnsi="宋体"/>
                <w:sz w:val="21"/>
                <w:highlight w:val="none"/>
              </w:rPr>
            </w:pPr>
            <w:r>
              <w:rPr>
                <w:rFonts w:ascii="宋体" w:hAnsi="宋体"/>
                <w:sz w:val="21"/>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F3B66CD">
            <w:pPr>
              <w:jc w:val="both"/>
              <w:rPr>
                <w:rFonts w:eastAsia="Times New Roman"/>
                <w:sz w:val="21"/>
                <w:highlight w:val="none"/>
              </w:rPr>
            </w:pPr>
            <w:r>
              <w:rPr>
                <w:rFonts w:ascii="宋体" w:hAnsi="宋体"/>
                <w:sz w:val="21"/>
                <w:highlight w:val="none"/>
              </w:rPr>
              <w:t>投标文件格式规定需个人签字的，应签字或签章后扫描上传</w:t>
            </w:r>
            <w:r>
              <w:rPr>
                <w:rFonts w:hint="eastAsia"/>
                <w:kern w:val="2"/>
                <w:sz w:val="21"/>
                <w:szCs w:val="21"/>
                <w:highlight w:val="none"/>
              </w:rPr>
              <w:t>（</w:t>
            </w:r>
            <w:r>
              <w:rPr>
                <w:rFonts w:ascii="Calibri" w:hAnsi="Calibri"/>
                <w:kern w:val="2"/>
                <w:sz w:val="21"/>
                <w:highlight w:val="none"/>
              </w:rPr>
              <w:t>可靠的电子签名与手写签名或者盖章具有同等的法律效力</w:t>
            </w:r>
            <w:r>
              <w:rPr>
                <w:rFonts w:hint="eastAsia"/>
                <w:kern w:val="2"/>
                <w:sz w:val="21"/>
                <w:szCs w:val="21"/>
                <w:highlight w:val="none"/>
              </w:rPr>
              <w:t>）</w:t>
            </w:r>
            <w:r>
              <w:rPr>
                <w:rFonts w:ascii="宋体" w:hAnsi="宋体"/>
                <w:sz w:val="21"/>
                <w:highlight w:val="none"/>
              </w:rPr>
              <w:t>。投标文件格式规定盖单位公章的页面必须盖单位公章（公章与电子公章具有相同法律效力）</w:t>
            </w:r>
            <w:r>
              <w:rPr>
                <w:rFonts w:hint="eastAsia" w:ascii="宋体" w:hAnsi="宋体"/>
                <w:sz w:val="21"/>
                <w:highlight w:val="none"/>
              </w:rPr>
              <w:t>。电子招投标操作流程详见广州公共资源交易中心网站发布的最新版操作指引。</w:t>
            </w:r>
          </w:p>
        </w:tc>
      </w:tr>
      <w:tr w14:paraId="4CA8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64B34A3">
            <w:pPr>
              <w:pStyle w:val="34"/>
              <w:kinsoku w:val="0"/>
              <w:overflowPunct w:val="0"/>
              <w:jc w:val="center"/>
              <w:rPr>
                <w:rFonts w:eastAsia="Times New Roman"/>
                <w:sz w:val="21"/>
                <w:highlight w:val="none"/>
              </w:rPr>
            </w:pPr>
            <w:r>
              <w:rPr>
                <w:rFonts w:hint="eastAsia" w:eastAsia="Times New Roman"/>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D83283D">
            <w:pPr>
              <w:pStyle w:val="34"/>
              <w:kinsoku w:val="0"/>
              <w:overflowPunct w:val="0"/>
              <w:jc w:val="both"/>
              <w:rPr>
                <w:rFonts w:ascii="宋体" w:hAnsi="宋体"/>
                <w:sz w:val="21"/>
                <w:highlight w:val="none"/>
              </w:rPr>
            </w:pPr>
            <w:r>
              <w:rPr>
                <w:rFonts w:ascii="宋体" w:hAnsi="宋体"/>
                <w:sz w:val="21"/>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6DA9074">
            <w:pPr>
              <w:spacing w:before="48" w:beforeLines="20" w:after="48" w:afterLines="20"/>
              <w:ind w:left="48" w:leftChars="20" w:right="48" w:rightChars="20"/>
              <w:rPr>
                <w:rFonts w:eastAsia="Times New Roman"/>
                <w:sz w:val="21"/>
                <w:highlight w:val="none"/>
              </w:rPr>
            </w:pPr>
            <w:r>
              <w:rPr>
                <w:rFonts w:hint="eastAsia" w:ascii="宋体"/>
                <w:sz w:val="21"/>
                <w:highlight w:val="none"/>
              </w:rPr>
              <w:t>具体时间以广州公共资源交易中心公布的为准。</w:t>
            </w:r>
          </w:p>
        </w:tc>
      </w:tr>
      <w:tr w14:paraId="04D7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A252A1">
            <w:pPr>
              <w:pStyle w:val="34"/>
              <w:kinsoku w:val="0"/>
              <w:overflowPunct w:val="0"/>
              <w:jc w:val="center"/>
              <w:rPr>
                <w:rFonts w:eastAsiaTheme="minorEastAsia"/>
                <w:sz w:val="21"/>
                <w:highlight w:val="none"/>
              </w:rPr>
            </w:pPr>
            <w:r>
              <w:rPr>
                <w:rFonts w:eastAsia="Times New Roman"/>
                <w:sz w:val="21"/>
                <w:highlight w:val="none"/>
              </w:rPr>
              <w:t>4.2.2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EF4A359">
            <w:pPr>
              <w:pStyle w:val="34"/>
              <w:kinsoku w:val="0"/>
              <w:overflowPunct w:val="0"/>
              <w:jc w:val="both"/>
              <w:rPr>
                <w:rFonts w:eastAsia="Times New Roman"/>
                <w:sz w:val="21"/>
                <w:highlight w:val="none"/>
              </w:rPr>
            </w:pPr>
            <w:r>
              <w:rPr>
                <w:rFonts w:hint="eastAsia" w:eastAsia="Times New Roman"/>
                <w:sz w:val="21"/>
                <w:highlight w:val="none"/>
              </w:rPr>
              <w:t>递交投标文件时间和地点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0DC61A4">
            <w:pPr>
              <w:numPr>
                <w:ilvl w:val="0"/>
                <w:numId w:val="1"/>
              </w:numPr>
              <w:autoSpaceDE/>
              <w:autoSpaceDN/>
              <w:adjustRightInd/>
              <w:snapToGrid w:val="0"/>
              <w:rPr>
                <w:rFonts w:eastAsia="Times New Roman"/>
                <w:sz w:val="21"/>
                <w:highlight w:val="none"/>
              </w:rPr>
            </w:pPr>
            <w:r>
              <w:rPr>
                <w:rFonts w:hint="eastAsia" w:eastAsia="Times New Roman"/>
                <w:sz w:val="21"/>
                <w:highlight w:val="none"/>
              </w:rPr>
              <w:t>递交方式：网上递交投标文件</w:t>
            </w:r>
          </w:p>
          <w:p w14:paraId="0C70DCC0">
            <w:pPr>
              <w:numPr>
                <w:ilvl w:val="0"/>
                <w:numId w:val="1"/>
              </w:numPr>
              <w:autoSpaceDE/>
              <w:autoSpaceDN/>
              <w:adjustRightInd/>
              <w:snapToGrid w:val="0"/>
              <w:rPr>
                <w:rFonts w:eastAsia="Times New Roman"/>
                <w:sz w:val="21"/>
                <w:highlight w:val="none"/>
              </w:rPr>
            </w:pPr>
            <w:r>
              <w:rPr>
                <w:rFonts w:hint="eastAsia" w:eastAsia="Times New Roman"/>
                <w:sz w:val="21"/>
                <w:highlight w:val="none"/>
              </w:rPr>
              <w:t>文件的递交截止时间：同投标截止时间。</w:t>
            </w:r>
          </w:p>
          <w:p w14:paraId="277120C4">
            <w:pPr>
              <w:numPr>
                <w:ilvl w:val="0"/>
                <w:numId w:val="1"/>
              </w:numPr>
              <w:autoSpaceDE/>
              <w:autoSpaceDN/>
              <w:adjustRightInd/>
              <w:snapToGrid w:val="0"/>
              <w:rPr>
                <w:rFonts w:eastAsia="Times New Roman"/>
                <w:sz w:val="21"/>
                <w:highlight w:val="none"/>
              </w:rPr>
            </w:pPr>
            <w:r>
              <w:rPr>
                <w:rFonts w:hint="eastAsia" w:eastAsia="Times New Roman"/>
                <w:sz w:val="21"/>
                <w:highlight w:val="none"/>
              </w:rPr>
              <w:t>地点：广州公共资源交易中心网站</w:t>
            </w:r>
          </w:p>
          <w:p w14:paraId="3626D28F">
            <w:pPr>
              <w:spacing w:before="48" w:beforeLines="20" w:after="48" w:afterLines="20"/>
              <w:ind w:left="48" w:leftChars="20" w:right="48" w:rightChars="20"/>
              <w:rPr>
                <w:rFonts w:eastAsiaTheme="minorEastAsia"/>
                <w:sz w:val="21"/>
                <w:highlight w:val="none"/>
              </w:rPr>
            </w:pPr>
            <w:r>
              <w:rPr>
                <w:rFonts w:hint="eastAsia" w:eastAsia="Times New Roman"/>
                <w:sz w:val="21"/>
                <w:highlight w:val="none"/>
              </w:rPr>
              <w:t>上述时间及地点是否有改变，请密切留意招标答疑纪要或广州公共资源交易中心网站日程安排的相关信息。</w:t>
            </w:r>
          </w:p>
          <w:p w14:paraId="6C858CA9">
            <w:pPr>
              <w:spacing w:before="48" w:beforeLines="20" w:after="48" w:afterLines="20"/>
              <w:ind w:left="48" w:leftChars="20" w:right="48" w:rightChars="20"/>
              <w:rPr>
                <w:rFonts w:eastAsiaTheme="minorEastAsia"/>
                <w:sz w:val="21"/>
                <w:highlight w:val="none"/>
              </w:rPr>
            </w:pPr>
            <w:r>
              <w:rPr>
                <w:rFonts w:hint="eastAsia" w:eastAsiaTheme="minorEastAsia"/>
                <w:sz w:val="21"/>
                <w:highlight w:val="none"/>
              </w:rPr>
              <w:t>4、上述时间及地点是否有改变，请密切留意招标答疑纪要或广州公共资源交易中心网站日程安排的相关信息。</w:t>
            </w:r>
          </w:p>
        </w:tc>
      </w:tr>
      <w:tr w14:paraId="526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312D2ED">
            <w:pPr>
              <w:pStyle w:val="34"/>
              <w:kinsoku w:val="0"/>
              <w:overflowPunct w:val="0"/>
              <w:jc w:val="center"/>
              <w:rPr>
                <w:rFonts w:eastAsia="Times New Roman"/>
                <w:sz w:val="21"/>
                <w:highlight w:val="none"/>
              </w:rPr>
            </w:pPr>
            <w:r>
              <w:rPr>
                <w:rFonts w:hint="eastAsia" w:eastAsia="Times New Roman"/>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FFC153F">
            <w:pPr>
              <w:pStyle w:val="34"/>
              <w:kinsoku w:val="0"/>
              <w:overflowPunct w:val="0"/>
              <w:jc w:val="both"/>
              <w:rPr>
                <w:rFonts w:ascii="宋体" w:hAnsi="宋体"/>
                <w:sz w:val="21"/>
                <w:highlight w:val="none"/>
              </w:rPr>
            </w:pPr>
            <w:r>
              <w:rPr>
                <w:rFonts w:ascii="宋体" w:hAnsi="宋体"/>
                <w:sz w:val="21"/>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FCA08B">
            <w:pPr>
              <w:spacing w:before="120" w:beforeLines="50"/>
              <w:rPr>
                <w:sz w:val="21"/>
                <w:szCs w:val="21"/>
                <w:highlight w:val="none"/>
              </w:rPr>
            </w:pPr>
            <w:r>
              <w:rPr>
                <w:sz w:val="21"/>
                <w:szCs w:val="21"/>
                <w:highlight w:val="none"/>
              </w:rPr>
              <w:t>1</w:t>
            </w:r>
            <w:r>
              <w:rPr>
                <w:rFonts w:ascii="宋体"/>
                <w:sz w:val="21"/>
                <w:szCs w:val="21"/>
                <w:highlight w:val="none"/>
              </w:rPr>
              <w:t>、开标时间：同投标截止时间</w:t>
            </w:r>
          </w:p>
          <w:p w14:paraId="43534A77">
            <w:pPr>
              <w:spacing w:before="174"/>
              <w:rPr>
                <w:rFonts w:ascii="宋体" w:hAnsi="宋体" w:cs="宋体"/>
                <w:sz w:val="21"/>
                <w:szCs w:val="21"/>
                <w:highlight w:val="none"/>
              </w:rPr>
            </w:pPr>
            <w:r>
              <w:rPr>
                <w:rFonts w:ascii="宋体" w:hAnsi="宋体" w:cs="宋体"/>
                <w:sz w:val="21"/>
                <w:szCs w:val="21"/>
                <w:highlight w:val="none"/>
              </w:rPr>
              <w:t>2、开标地点：</w:t>
            </w:r>
            <w:r>
              <w:rPr>
                <w:rFonts w:hint="eastAsia" w:ascii="宋体" w:hAnsi="宋体" w:cs="宋体"/>
                <w:sz w:val="21"/>
                <w:szCs w:val="21"/>
                <w:highlight w:val="none"/>
              </w:rPr>
              <w:t>广州交易集团有限公司（广州公共资源交易中心）</w:t>
            </w:r>
            <w:r>
              <w:rPr>
                <w:rFonts w:ascii="宋体" w:hAnsi="宋体" w:cs="宋体"/>
                <w:sz w:val="21"/>
                <w:szCs w:val="21"/>
                <w:highlight w:val="none"/>
                <w:u w:val="single"/>
              </w:rPr>
              <w:t xml:space="preserve">   </w:t>
            </w:r>
            <w:r>
              <w:rPr>
                <w:rFonts w:ascii="宋体" w:hAnsi="宋体" w:cs="宋体"/>
                <w:sz w:val="21"/>
                <w:szCs w:val="21"/>
                <w:highlight w:val="none"/>
              </w:rPr>
              <w:t>开标室</w:t>
            </w:r>
          </w:p>
          <w:p w14:paraId="5906B041">
            <w:pPr>
              <w:spacing w:before="120" w:beforeLines="50" w:line="360" w:lineRule="auto"/>
              <w:contextualSpacing/>
              <w:rPr>
                <w:sz w:val="21"/>
                <w:szCs w:val="18"/>
                <w:highlight w:val="none"/>
              </w:rPr>
            </w:pPr>
            <w:r>
              <w:rPr>
                <w:rFonts w:hint="eastAsia"/>
                <w:sz w:val="21"/>
                <w:szCs w:val="18"/>
                <w:highlight w:val="none"/>
              </w:rPr>
              <w:t>（选择性条款）3、递交投标文件备用光盘时间：____年____月____日____时____分至____年____月____日____时____分；递交地点：____。(建议安排在投标文件截止时间前 15 分钟至投标文件截止时间）</w:t>
            </w:r>
          </w:p>
          <w:p w14:paraId="76EE4593">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4、提交投标文件光盘备用</w:t>
            </w:r>
          </w:p>
          <w:p w14:paraId="5D953ECA">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投标人可制作非加密的电子投标文件（PDF 格式）刻入光盘（1份），在投标须知前附表规定的时间、地点</w:t>
            </w:r>
            <w:r>
              <w:rPr>
                <w:rFonts w:hint="eastAsia" w:ascii="宋体" w:hAnsi="宋体" w:cs="宋体"/>
                <w:sz w:val="21"/>
                <w:szCs w:val="21"/>
                <w:highlight w:val="none"/>
                <w:u w:val="single"/>
              </w:rPr>
              <w:t>凭法定代表人证明书原件、法定代表人授权委托证明书原件（非法定代表人办理手续时提供）、本人身份证原件</w:t>
            </w:r>
            <w:r>
              <w:rPr>
                <w:rFonts w:hint="eastAsia" w:ascii="宋体" w:hAnsi="宋体" w:cs="宋体"/>
                <w:sz w:val="21"/>
                <w:szCs w:val="21"/>
                <w:highlight w:val="none"/>
              </w:rPr>
              <w:t>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9B7ABB4">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5、补救方案</w:t>
            </w:r>
          </w:p>
          <w:p w14:paraId="35C50000">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（1）投标文件解密失败的补救方案：</w:t>
            </w:r>
          </w:p>
          <w:p w14:paraId="0B31E743">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8D2B92A">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（2）评标时突发情况的补救方案</w:t>
            </w:r>
          </w:p>
          <w:p w14:paraId="68D69E95">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若遇不可抗力发生（指网络瘫痪、服务器损坏、交易系统故障短期无法恢复等因素），由评标委员会开启投标人递交的全部投标文件光盘，并按光盘内容进行评审。</w:t>
            </w:r>
          </w:p>
          <w:p w14:paraId="1AEA6254">
            <w:pPr>
              <w:spacing w:before="120" w:beforeLines="50"/>
              <w:contextualSpacing/>
              <w:rPr>
                <w:rFonts w:ascii="Calibri" w:hAnsi="Calibri"/>
                <w:kern w:val="2"/>
                <w:sz w:val="21"/>
                <w:szCs w:val="21"/>
                <w:highlight w:val="none"/>
              </w:rPr>
            </w:pPr>
            <w:r>
              <w:rPr>
                <w:rFonts w:hint="eastAsia" w:ascii="宋体" w:hAnsi="宋体" w:cs="宋体"/>
                <w:sz w:val="21"/>
                <w:szCs w:val="21"/>
                <w:highlight w:val="none"/>
              </w:rPr>
              <w:t>（3）除发生上述情况外，开标评标均以投标人通过交易平台网上递交的电子投标文件为准。</w:t>
            </w:r>
          </w:p>
          <w:p w14:paraId="53496D18">
            <w:pPr>
              <w:spacing w:before="174"/>
              <w:rPr>
                <w:sz w:val="21"/>
                <w:szCs w:val="21"/>
                <w:highlight w:val="none"/>
              </w:rPr>
            </w:pPr>
            <w:r>
              <w:rPr>
                <w:rFonts w:hint="eastAsia" w:ascii="Calibri" w:hAnsi="Calibri"/>
                <w:kern w:val="2"/>
                <w:sz w:val="21"/>
                <w:szCs w:val="21"/>
                <w:highlight w:val="none"/>
              </w:rPr>
              <w:t>开标时，投标人代表有权参加现场开标或在线开标，也可以自主决定不参加开标</w:t>
            </w:r>
            <w:r>
              <w:rPr>
                <w:rFonts w:hint="eastAsia"/>
                <w:kern w:val="2"/>
                <w:sz w:val="21"/>
                <w:szCs w:val="21"/>
                <w:highlight w:val="none"/>
              </w:rPr>
              <w:t>，</w:t>
            </w:r>
            <w:r>
              <w:rPr>
                <w:rFonts w:hint="eastAsia"/>
                <w:sz w:val="21"/>
                <w:szCs w:val="21"/>
                <w:highlight w:val="none"/>
              </w:rPr>
              <w:t>投标人选择参加在线开标的，具体按照交易平台相关指南进行操作。</w:t>
            </w:r>
          </w:p>
          <w:p w14:paraId="5870CF07">
            <w:pPr>
              <w:spacing w:before="174"/>
              <w:rPr>
                <w:rFonts w:eastAsia="Times New Roman"/>
                <w:sz w:val="21"/>
                <w:highlight w:val="none"/>
              </w:rPr>
            </w:pPr>
            <w:r>
              <w:rPr>
                <w:rFonts w:hint="eastAsia"/>
                <w:sz w:val="21"/>
                <w:szCs w:val="21"/>
                <w:highlight w:val="none"/>
              </w:rPr>
              <w:t>6、上述时</w:t>
            </w:r>
            <w:r>
              <w:rPr>
                <w:rFonts w:hint="eastAsia" w:ascii="宋体" w:hAnsi="宋体" w:cs="宋体"/>
                <w:sz w:val="21"/>
                <w:szCs w:val="21"/>
                <w:highlight w:val="none"/>
              </w:rPr>
              <w:t>间</w:t>
            </w:r>
            <w:r>
              <w:rPr>
                <w:rFonts w:hint="eastAsia"/>
                <w:sz w:val="21"/>
                <w:szCs w:val="21"/>
                <w:highlight w:val="none"/>
              </w:rPr>
              <w:t>及地点是否有改变，请密切留意补充公告或招标答疑纪要的相关信息。</w:t>
            </w:r>
          </w:p>
        </w:tc>
      </w:tr>
      <w:tr w14:paraId="71A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515F6E9">
            <w:pPr>
              <w:pStyle w:val="34"/>
              <w:kinsoku w:val="0"/>
              <w:overflowPunct w:val="0"/>
              <w:jc w:val="center"/>
              <w:rPr>
                <w:rFonts w:eastAsia="Times New Roman"/>
                <w:sz w:val="21"/>
                <w:highlight w:val="none"/>
              </w:rPr>
            </w:pPr>
            <w:r>
              <w:rPr>
                <w:rFonts w:hint="eastAsia" w:eastAsia="Times New Roman"/>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11F63F8">
            <w:pPr>
              <w:pStyle w:val="34"/>
              <w:kinsoku w:val="0"/>
              <w:overflowPunct w:val="0"/>
              <w:jc w:val="both"/>
              <w:rPr>
                <w:rFonts w:ascii="宋体" w:hAnsi="宋体"/>
                <w:sz w:val="21"/>
                <w:highlight w:val="none"/>
              </w:rPr>
            </w:pPr>
            <w:r>
              <w:rPr>
                <w:rFonts w:ascii="宋体" w:hAnsi="宋体"/>
                <w:sz w:val="21"/>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C2D4543">
            <w:pPr>
              <w:pStyle w:val="34"/>
              <w:tabs>
                <w:tab w:val="left" w:pos="2729"/>
              </w:tabs>
              <w:kinsoku w:val="0"/>
              <w:overflowPunct w:val="0"/>
              <w:jc w:val="both"/>
              <w:rPr>
                <w:rFonts w:ascii="宋体" w:hAnsi="宋体"/>
                <w:spacing w:val="-2"/>
                <w:sz w:val="21"/>
                <w:highlight w:val="none"/>
              </w:rPr>
            </w:pPr>
            <w:r>
              <w:rPr>
                <w:rFonts w:ascii="宋体" w:hAnsi="宋体"/>
                <w:spacing w:val="-2"/>
                <w:sz w:val="21"/>
                <w:highlight w:val="none"/>
              </w:rPr>
              <w:t>评标委员会构成：</w:t>
            </w:r>
            <w:r>
              <w:rPr>
                <w:rFonts w:hint="eastAsia" w:ascii="宋体" w:hAnsi="宋体"/>
                <w:spacing w:val="-2"/>
                <w:sz w:val="21"/>
                <w:highlight w:val="none"/>
                <w:u w:val="single"/>
                <w:lang w:val="en-US" w:eastAsia="zh-CN"/>
              </w:rPr>
              <w:t>5</w:t>
            </w:r>
            <w:r>
              <w:rPr>
                <w:rFonts w:ascii="宋体" w:hAnsi="宋体"/>
                <w:spacing w:val="-2"/>
                <w:sz w:val="21"/>
                <w:highlight w:val="none"/>
                <w:u w:val="single"/>
              </w:rPr>
              <w:t>人</w:t>
            </w:r>
          </w:p>
          <w:p w14:paraId="59167AC7">
            <w:pPr>
              <w:pStyle w:val="34"/>
              <w:tabs>
                <w:tab w:val="left" w:pos="2309"/>
                <w:tab w:val="left" w:pos="3826"/>
              </w:tabs>
              <w:kinsoku w:val="0"/>
              <w:overflowPunct w:val="0"/>
              <w:spacing w:line="440" w:lineRule="atLeast"/>
              <w:jc w:val="both"/>
              <w:rPr>
                <w:rFonts w:ascii="宋体" w:hAnsi="宋体"/>
                <w:spacing w:val="-3"/>
                <w:sz w:val="21"/>
                <w:highlight w:val="none"/>
              </w:rPr>
            </w:pPr>
            <w:r>
              <w:rPr>
                <w:rFonts w:ascii="宋体" w:hAnsi="宋体"/>
                <w:spacing w:val="-2"/>
                <w:sz w:val="21"/>
                <w:highlight w:val="none"/>
              </w:rPr>
              <w:t>其中招标人代表</w:t>
            </w:r>
            <w:r>
              <w:rPr>
                <w:rFonts w:hint="eastAsia" w:ascii="宋体" w:hAnsi="宋体"/>
                <w:spacing w:val="-2"/>
                <w:sz w:val="21"/>
                <w:highlight w:val="none"/>
                <w:u w:val="single"/>
                <w:lang w:val="en-US" w:eastAsia="zh-CN"/>
              </w:rPr>
              <w:t>1</w:t>
            </w:r>
            <w:r>
              <w:rPr>
                <w:rFonts w:ascii="宋体" w:hAnsi="宋体"/>
                <w:spacing w:val="-2"/>
                <w:sz w:val="21"/>
                <w:highlight w:val="none"/>
                <w:u w:val="single"/>
              </w:rPr>
              <w:t>人</w:t>
            </w:r>
            <w:r>
              <w:rPr>
                <w:rFonts w:ascii="宋体" w:hAnsi="宋体"/>
                <w:spacing w:val="-2"/>
                <w:sz w:val="21"/>
                <w:highlight w:val="none"/>
              </w:rPr>
              <w:t>，专家</w:t>
            </w:r>
            <w:r>
              <w:rPr>
                <w:rFonts w:hint="eastAsia" w:ascii="宋体" w:hAnsi="宋体"/>
                <w:spacing w:val="-2"/>
                <w:sz w:val="21"/>
                <w:highlight w:val="none"/>
                <w:u w:val="single"/>
                <w:lang w:val="en-US" w:eastAsia="zh-CN"/>
              </w:rPr>
              <w:t>4</w:t>
            </w:r>
            <w:r>
              <w:rPr>
                <w:rFonts w:ascii="宋体" w:hAnsi="宋体"/>
                <w:spacing w:val="-2"/>
                <w:sz w:val="21"/>
                <w:highlight w:val="none"/>
                <w:u w:val="single"/>
              </w:rPr>
              <w:t>人</w:t>
            </w:r>
            <w:r>
              <w:rPr>
                <w:rFonts w:ascii="宋体" w:hAnsi="宋体"/>
                <w:spacing w:val="-2"/>
                <w:sz w:val="21"/>
                <w:highlight w:val="none"/>
              </w:rPr>
              <w:t>；</w:t>
            </w:r>
          </w:p>
          <w:p w14:paraId="1322DAED">
            <w:pPr>
              <w:pStyle w:val="34"/>
              <w:tabs>
                <w:tab w:val="left" w:pos="2309"/>
                <w:tab w:val="left" w:pos="3826"/>
              </w:tabs>
              <w:kinsoku w:val="0"/>
              <w:overflowPunct w:val="0"/>
              <w:spacing w:line="440" w:lineRule="atLeast"/>
              <w:jc w:val="both"/>
              <w:rPr>
                <w:rFonts w:eastAsia="Times New Roman"/>
                <w:sz w:val="21"/>
                <w:highlight w:val="none"/>
              </w:rPr>
            </w:pPr>
            <w:r>
              <w:rPr>
                <w:rFonts w:ascii="宋体" w:hAnsi="宋体"/>
                <w:spacing w:val="-103"/>
                <w:sz w:val="21"/>
                <w:highlight w:val="none"/>
              </w:rPr>
              <w:t xml:space="preserve"> </w:t>
            </w:r>
            <w:r>
              <w:rPr>
                <w:rFonts w:ascii="宋体" w:hAnsi="宋体"/>
                <w:sz w:val="21"/>
                <w:highlight w:val="none"/>
              </w:rPr>
              <w:t>评标专家确定方式：</w:t>
            </w:r>
            <w:r>
              <w:rPr>
                <w:rFonts w:hint="eastAsia" w:ascii="宋体" w:hAnsi="宋体"/>
                <w:sz w:val="21"/>
                <w:highlight w:val="none"/>
                <w:u w:val="single"/>
              </w:rPr>
              <w:t>从广东省综合评标专家库中随机抽取。</w:t>
            </w:r>
          </w:p>
        </w:tc>
      </w:tr>
      <w:tr w14:paraId="6D59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493528D">
            <w:pPr>
              <w:pStyle w:val="34"/>
              <w:kinsoku w:val="0"/>
              <w:overflowPunct w:val="0"/>
              <w:jc w:val="center"/>
              <w:rPr>
                <w:rFonts w:eastAsia="Times New Roman"/>
                <w:sz w:val="21"/>
                <w:highlight w:val="none"/>
              </w:rPr>
            </w:pPr>
            <w:r>
              <w:rPr>
                <w:rFonts w:hint="eastAsia" w:eastAsia="Times New Roman"/>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56BB6AA">
            <w:pPr>
              <w:pStyle w:val="34"/>
              <w:kinsoku w:val="0"/>
              <w:overflowPunct w:val="0"/>
              <w:jc w:val="both"/>
              <w:rPr>
                <w:rFonts w:ascii="宋体" w:hAnsi="宋体"/>
                <w:sz w:val="21"/>
                <w:highlight w:val="none"/>
              </w:rPr>
            </w:pPr>
            <w:r>
              <w:rPr>
                <w:rFonts w:ascii="宋体" w:hAnsi="宋体"/>
                <w:sz w:val="21"/>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4C83EE7">
            <w:pPr>
              <w:jc w:val="both"/>
              <w:rPr>
                <w:rFonts w:eastAsia="Times New Roman"/>
                <w:sz w:val="21"/>
                <w:highlight w:val="none"/>
              </w:rPr>
            </w:pPr>
            <w:r>
              <w:rPr>
                <w:rFonts w:hint="eastAsia" w:ascii="宋体" w:hAnsi="宋体"/>
                <w:sz w:val="21"/>
                <w:highlight w:val="none"/>
              </w:rPr>
              <w:t>推荐的中标候选人数：</w:t>
            </w:r>
            <w:r>
              <w:rPr>
                <w:rFonts w:ascii="宋体" w:hAnsi="宋体"/>
                <w:sz w:val="21"/>
                <w:highlight w:val="none"/>
                <w:u w:val="single"/>
              </w:rPr>
              <w:t xml:space="preserve"> 3 人</w:t>
            </w:r>
            <w:r>
              <w:rPr>
                <w:rFonts w:hint="eastAsia" w:ascii="宋体" w:hAnsi="宋体"/>
                <w:sz w:val="21"/>
                <w:highlight w:val="none"/>
              </w:rPr>
              <w:t>。</w:t>
            </w:r>
          </w:p>
        </w:tc>
      </w:tr>
      <w:tr w14:paraId="744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E88F328">
            <w:pPr>
              <w:pStyle w:val="34"/>
              <w:kinsoku w:val="0"/>
              <w:overflowPunct w:val="0"/>
              <w:jc w:val="center"/>
              <w:rPr>
                <w:rFonts w:eastAsia="Times New Roman"/>
                <w:sz w:val="21"/>
                <w:highlight w:val="none"/>
              </w:rPr>
            </w:pPr>
            <w:r>
              <w:rPr>
                <w:rFonts w:hint="eastAsia" w:eastAsia="Times New Roman"/>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3555F98">
            <w:pPr>
              <w:pStyle w:val="34"/>
              <w:kinsoku w:val="0"/>
              <w:overflowPunct w:val="0"/>
              <w:jc w:val="both"/>
              <w:rPr>
                <w:rFonts w:ascii="宋体" w:hAnsi="宋体"/>
                <w:sz w:val="21"/>
                <w:highlight w:val="none"/>
              </w:rPr>
            </w:pPr>
            <w:r>
              <w:rPr>
                <w:rFonts w:ascii="宋体" w:hAnsi="宋体"/>
                <w:sz w:val="21"/>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525C369">
            <w:pPr>
              <w:spacing w:before="171"/>
              <w:ind w:left="40"/>
              <w:rPr>
                <w:rFonts w:ascii="宋体" w:hAnsi="宋体" w:cs="宋体"/>
                <w:sz w:val="21"/>
                <w:szCs w:val="21"/>
                <w:highlight w:val="none"/>
              </w:rPr>
            </w:pPr>
            <w:r>
              <w:rPr>
                <w:rFonts w:ascii="宋体" w:hAnsi="宋体" w:cs="宋体"/>
                <w:spacing w:val="-11"/>
                <w:sz w:val="21"/>
                <w:szCs w:val="21"/>
                <w:highlight w:val="none"/>
              </w:rPr>
              <w:t>公</w:t>
            </w:r>
            <w:r>
              <w:rPr>
                <w:rFonts w:ascii="宋体" w:hAnsi="宋体" w:cs="宋体"/>
                <w:spacing w:val="-10"/>
                <w:sz w:val="21"/>
                <w:szCs w:val="21"/>
                <w:highlight w:val="none"/>
              </w:rPr>
              <w:t>示媒介：</w:t>
            </w:r>
            <w:r>
              <w:rPr>
                <w:rFonts w:hint="eastAsia" w:ascii="宋体" w:hAnsi="宋体" w:cs="宋体"/>
                <w:sz w:val="21"/>
                <w:szCs w:val="21"/>
                <w:highlight w:val="none"/>
                <w:lang w:val="zh-CN"/>
              </w:rPr>
              <w:t>广州交易集团有限公司</w:t>
            </w:r>
            <w:r>
              <w:rPr>
                <w:rFonts w:hint="eastAsia" w:ascii="宋体" w:hAnsi="宋体" w:cs="宋体"/>
                <w:sz w:val="21"/>
                <w:szCs w:val="21"/>
                <w:highlight w:val="none"/>
              </w:rPr>
              <w:t>（</w:t>
            </w:r>
            <w:r>
              <w:rPr>
                <w:rFonts w:hint="eastAsia" w:ascii="宋体" w:hAnsi="宋体" w:cs="宋体"/>
                <w:sz w:val="21"/>
                <w:szCs w:val="21"/>
                <w:highlight w:val="none"/>
                <w:lang w:val="zh-CN"/>
              </w:rPr>
              <w:t>广州公共资源交易中心</w:t>
            </w:r>
            <w:r>
              <w:rPr>
                <w:rFonts w:hint="eastAsia" w:ascii="宋体" w:hAnsi="宋体" w:cs="宋体"/>
                <w:sz w:val="21"/>
                <w:szCs w:val="21"/>
                <w:highlight w:val="none"/>
              </w:rPr>
              <w:t>）</w:t>
            </w:r>
            <w:r>
              <w:rPr>
                <w:rFonts w:ascii="宋体" w:hAnsi="宋体" w:cs="宋体"/>
                <w:sz w:val="21"/>
                <w:szCs w:val="21"/>
                <w:highlight w:val="none"/>
                <w:lang w:val="zh-CN"/>
              </w:rPr>
              <w:t>网和广东省招标投标监管网和</w:t>
            </w:r>
            <w:r>
              <w:rPr>
                <w:rFonts w:hint="eastAsia" w:ascii="宋体" w:hAnsi="宋体" w:cs="宋体"/>
                <w:sz w:val="21"/>
                <w:szCs w:val="21"/>
                <w:highlight w:val="none"/>
                <w:lang w:val="zh-CN"/>
              </w:rPr>
              <w:t>中国招标投标公共服务平台和广州市增城区人民政府门户网站的</w:t>
            </w:r>
            <w:r>
              <w:rPr>
                <w:rFonts w:hint="eastAsia" w:ascii="宋体" w:hAnsi="宋体" w:cs="宋体"/>
                <w:sz w:val="21"/>
                <w:szCs w:val="21"/>
                <w:highlight w:val="none"/>
              </w:rPr>
              <w:t>“</w:t>
            </w:r>
            <w:r>
              <w:rPr>
                <w:rFonts w:hint="eastAsia" w:ascii="宋体" w:hAnsi="宋体" w:cs="宋体"/>
                <w:sz w:val="21"/>
                <w:szCs w:val="21"/>
                <w:highlight w:val="none"/>
                <w:lang w:val="zh-CN"/>
              </w:rPr>
              <w:t>首页</w:t>
            </w:r>
            <w:r>
              <w:rPr>
                <w:rFonts w:ascii="宋体" w:hAnsi="宋体" w:cs="宋体"/>
                <w:sz w:val="21"/>
                <w:szCs w:val="21"/>
                <w:highlight w:val="none"/>
              </w:rPr>
              <w:t>&gt;</w:t>
            </w:r>
            <w:r>
              <w:rPr>
                <w:rFonts w:hint="eastAsia" w:ascii="宋体" w:hAnsi="宋体" w:cs="宋体"/>
                <w:sz w:val="21"/>
                <w:szCs w:val="21"/>
                <w:highlight w:val="none"/>
                <w:lang w:val="zh-CN"/>
              </w:rPr>
              <w:t>公开</w:t>
            </w:r>
            <w:r>
              <w:rPr>
                <w:rFonts w:ascii="宋体" w:hAnsi="宋体" w:cs="宋体"/>
                <w:sz w:val="21"/>
                <w:szCs w:val="21"/>
                <w:highlight w:val="none"/>
              </w:rPr>
              <w:t>&gt;</w:t>
            </w:r>
            <w:r>
              <w:rPr>
                <w:rFonts w:hint="eastAsia" w:ascii="宋体" w:hAnsi="宋体" w:cs="宋体"/>
                <w:sz w:val="21"/>
                <w:szCs w:val="21"/>
                <w:highlight w:val="none"/>
                <w:lang w:val="zh-CN"/>
              </w:rPr>
              <w:t>公共资源配置领域</w:t>
            </w:r>
            <w:r>
              <w:rPr>
                <w:rFonts w:ascii="宋体" w:hAnsi="宋体" w:cs="宋体"/>
                <w:sz w:val="21"/>
                <w:szCs w:val="21"/>
                <w:highlight w:val="none"/>
              </w:rPr>
              <w:t>&gt;</w:t>
            </w:r>
            <w:r>
              <w:rPr>
                <w:rFonts w:hint="eastAsia" w:ascii="宋体" w:hAnsi="宋体" w:cs="宋体"/>
                <w:sz w:val="21"/>
                <w:szCs w:val="21"/>
                <w:highlight w:val="none"/>
                <w:lang w:val="zh-CN"/>
              </w:rPr>
              <w:t>工程建设项目招投标</w:t>
            </w:r>
            <w:r>
              <w:rPr>
                <w:rFonts w:hint="eastAsia" w:ascii="宋体" w:hAnsi="宋体" w:cs="宋体"/>
                <w:sz w:val="21"/>
                <w:szCs w:val="21"/>
                <w:highlight w:val="none"/>
              </w:rPr>
              <w:t>”</w:t>
            </w:r>
            <w:r>
              <w:rPr>
                <w:rFonts w:hint="eastAsia" w:ascii="宋体" w:hAnsi="宋体" w:cs="宋体"/>
                <w:sz w:val="21"/>
                <w:szCs w:val="21"/>
                <w:highlight w:val="none"/>
                <w:lang w:val="zh-CN"/>
              </w:rPr>
              <w:t>栏目发布</w:t>
            </w:r>
          </w:p>
          <w:p w14:paraId="48A9E05A">
            <w:pPr>
              <w:pStyle w:val="34"/>
              <w:tabs>
                <w:tab w:val="left" w:pos="2100"/>
              </w:tabs>
              <w:kinsoku w:val="0"/>
              <w:overflowPunct w:val="0"/>
              <w:jc w:val="both"/>
              <w:rPr>
                <w:rFonts w:eastAsia="Times New Roman"/>
                <w:sz w:val="21"/>
                <w:highlight w:val="none"/>
              </w:rPr>
            </w:pPr>
            <w:r>
              <w:rPr>
                <w:rFonts w:ascii="宋体" w:hAnsi="宋体" w:cs="宋体"/>
                <w:spacing w:val="-8"/>
                <w:sz w:val="21"/>
                <w:szCs w:val="21"/>
                <w:highlight w:val="none"/>
              </w:rPr>
              <w:t>公示期</w:t>
            </w:r>
            <w:r>
              <w:rPr>
                <w:rFonts w:ascii="宋体" w:hAnsi="宋体" w:cs="宋体"/>
                <w:spacing w:val="-4"/>
                <w:sz w:val="21"/>
                <w:szCs w:val="21"/>
                <w:highlight w:val="none"/>
              </w:rPr>
              <w:t>限：</w:t>
            </w:r>
            <w:r>
              <w:rPr>
                <w:rFonts w:ascii="宋体" w:hAnsi="宋体" w:cs="宋体"/>
                <w:spacing w:val="-4"/>
                <w:sz w:val="21"/>
                <w:szCs w:val="21"/>
                <w:highlight w:val="none"/>
                <w:u w:val="single"/>
              </w:rPr>
              <w:t>不少于3</w:t>
            </w:r>
            <w:r>
              <w:rPr>
                <w:rFonts w:ascii="宋体" w:hAnsi="宋体" w:cs="宋体"/>
                <w:spacing w:val="-4"/>
                <w:sz w:val="21"/>
                <w:szCs w:val="21"/>
                <w:highlight w:val="none"/>
              </w:rPr>
              <w:t>日</w:t>
            </w:r>
            <w:r>
              <w:rPr>
                <w:rFonts w:ascii="宋体" w:hAnsi="宋体" w:cs="宋体"/>
                <w:spacing w:val="-5"/>
                <w:sz w:val="21"/>
                <w:szCs w:val="21"/>
                <w:highlight w:val="none"/>
              </w:rPr>
              <w:t>（最后一天应为工作日）</w:t>
            </w:r>
          </w:p>
        </w:tc>
      </w:tr>
      <w:tr w14:paraId="2C9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00D88DA">
            <w:pPr>
              <w:pStyle w:val="34"/>
              <w:kinsoku w:val="0"/>
              <w:overflowPunct w:val="0"/>
              <w:jc w:val="center"/>
              <w:rPr>
                <w:rFonts w:eastAsia="Times New Roman"/>
                <w:sz w:val="21"/>
                <w:highlight w:val="none"/>
              </w:rPr>
            </w:pPr>
            <w:r>
              <w:rPr>
                <w:rFonts w:hint="eastAsia" w:eastAsia="Times New Roman"/>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399897B">
            <w:pPr>
              <w:pStyle w:val="34"/>
              <w:kinsoku w:val="0"/>
              <w:overflowPunct w:val="0"/>
              <w:jc w:val="both"/>
              <w:rPr>
                <w:rFonts w:ascii="宋体" w:hAnsi="宋体"/>
                <w:sz w:val="21"/>
                <w:highlight w:val="none"/>
              </w:rPr>
            </w:pPr>
            <w:r>
              <w:rPr>
                <w:rFonts w:ascii="宋体" w:hAnsi="宋体"/>
                <w:sz w:val="21"/>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5A6AD16">
            <w:pPr>
              <w:pStyle w:val="34"/>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是</w:t>
            </w:r>
          </w:p>
          <w:p w14:paraId="198E93DF">
            <w:pPr>
              <w:pStyle w:val="34"/>
              <w:kinsoku w:val="0"/>
              <w:overflowPunct w:val="0"/>
              <w:jc w:val="both"/>
              <w:rPr>
                <w:rFonts w:ascii="宋体" w:hAnsi="宋体"/>
                <w:sz w:val="21"/>
                <w:highlight w:val="none"/>
              </w:rPr>
            </w:pPr>
            <w:r>
              <w:rPr>
                <w:rFonts w:ascii="宋体" w:hAnsi="宋体" w:cs="宋体"/>
                <w:sz w:val="21"/>
                <w:szCs w:val="21"/>
                <w:highlight w:val="none"/>
              </w:rPr>
              <w:t>☑</w:t>
            </w:r>
            <w:r>
              <w:rPr>
                <w:rFonts w:ascii="宋体" w:hAnsi="宋体"/>
                <w:sz w:val="21"/>
                <w:highlight w:val="none"/>
              </w:rPr>
              <w:t>否</w:t>
            </w:r>
          </w:p>
          <w:p w14:paraId="76CB30DE">
            <w:pPr>
              <w:pStyle w:val="34"/>
              <w:kinsoku w:val="0"/>
              <w:overflowPunct w:val="0"/>
              <w:jc w:val="both"/>
              <w:rPr>
                <w:rFonts w:eastAsia="Times New Roman"/>
                <w:sz w:val="21"/>
                <w:highlight w:val="none"/>
              </w:rPr>
            </w:pPr>
            <w:r>
              <w:rPr>
                <w:rFonts w:hint="eastAsia" w:eastAsia="Times New Roman"/>
                <w:sz w:val="21"/>
                <w:highlight w:val="none"/>
              </w:rPr>
              <w:t>1</w:t>
            </w:r>
            <w:r>
              <w:rPr>
                <w:rFonts w:hint="eastAsia" w:ascii="宋体" w:hAnsi="宋体" w:cs="宋体"/>
                <w:sz w:val="21"/>
                <w:highlight w:val="none"/>
              </w:rPr>
              <w:t>、招标人依据评标委员会推荐的中标候选人确定中标人。</w:t>
            </w:r>
          </w:p>
          <w:p w14:paraId="5595DCE6">
            <w:pPr>
              <w:pStyle w:val="34"/>
              <w:kinsoku w:val="0"/>
              <w:overflowPunct w:val="0"/>
              <w:jc w:val="both"/>
              <w:rPr>
                <w:rFonts w:eastAsia="Times New Roman"/>
                <w:sz w:val="21"/>
                <w:highlight w:val="none"/>
              </w:rPr>
            </w:pPr>
            <w:r>
              <w:rPr>
                <w:rFonts w:hint="eastAsia" w:eastAsia="Times New Roman"/>
                <w:sz w:val="21"/>
                <w:highlight w:val="none"/>
              </w:rPr>
              <w:t>2</w:t>
            </w:r>
            <w:r>
              <w:rPr>
                <w:rFonts w:hint="eastAsia" w:ascii="宋体" w:hAnsi="宋体" w:cs="宋体"/>
                <w:sz w:val="21"/>
                <w:highlight w:val="none"/>
              </w:rPr>
              <w:t>、依法必须进行公开招标的项目，招标人确定排名第一的中标候选人为中标人。</w:t>
            </w:r>
          </w:p>
          <w:p w14:paraId="70B68EE4">
            <w:pPr>
              <w:pStyle w:val="34"/>
              <w:kinsoku w:val="0"/>
              <w:overflowPunct w:val="0"/>
              <w:jc w:val="both"/>
              <w:rPr>
                <w:rFonts w:eastAsia="Times New Roman"/>
                <w:sz w:val="21"/>
                <w:highlight w:val="none"/>
              </w:rPr>
            </w:pPr>
            <w:r>
              <w:rPr>
                <w:rFonts w:hint="eastAsia" w:eastAsia="Times New Roman"/>
                <w:sz w:val="21"/>
                <w:highlight w:val="none"/>
              </w:rPr>
              <w:t>3</w:t>
            </w:r>
            <w:r>
              <w:rPr>
                <w:rFonts w:hint="eastAsia" w:ascii="宋体" w:hAnsi="宋体" w:cs="宋体"/>
                <w:sz w:val="21"/>
                <w:highlight w:val="none"/>
              </w:rPr>
              <w:t>、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p>
          <w:p w14:paraId="0282DFEE">
            <w:pPr>
              <w:pStyle w:val="34"/>
              <w:kinsoku w:val="0"/>
              <w:overflowPunct w:val="0"/>
              <w:jc w:val="both"/>
              <w:rPr>
                <w:rFonts w:eastAsia="Times New Roman"/>
                <w:sz w:val="21"/>
                <w:highlight w:val="none"/>
              </w:rPr>
            </w:pPr>
            <w:r>
              <w:rPr>
                <w:rFonts w:hint="eastAsia" w:eastAsia="Times New Roman"/>
                <w:sz w:val="21"/>
                <w:highlight w:val="none"/>
              </w:rPr>
              <w:t>4.</w:t>
            </w:r>
            <w:r>
              <w:rPr>
                <w:rFonts w:hint="eastAsia" w:ascii="宋体" w:hAnsi="宋体" w:cs="宋体"/>
                <w:sz w:val="21"/>
                <w:highlight w:val="none"/>
              </w:rPr>
              <w:t>发出中标通知书前，中标人应未被纳入失信联合惩戒名单，失信联合惩戒名单以</w:t>
            </w:r>
            <w:r>
              <w:rPr>
                <w:rFonts w:eastAsia="Times New Roman"/>
                <w:sz w:val="21"/>
                <w:highlight w:val="none"/>
              </w:rPr>
              <w:t>“</w:t>
            </w:r>
            <w:r>
              <w:rPr>
                <w:rFonts w:hint="eastAsia" w:ascii="宋体" w:hAnsi="宋体" w:cs="宋体"/>
                <w:sz w:val="21"/>
                <w:highlight w:val="none"/>
              </w:rPr>
              <w:t>信用广州</w:t>
            </w:r>
            <w:r>
              <w:rPr>
                <w:rFonts w:eastAsia="Times New Roman"/>
                <w:sz w:val="21"/>
                <w:highlight w:val="none"/>
              </w:rPr>
              <w:t>”</w:t>
            </w:r>
            <w:r>
              <w:rPr>
                <w:rFonts w:hint="eastAsia" w:ascii="宋体" w:hAnsi="宋体" w:cs="宋体"/>
                <w:sz w:val="21"/>
                <w:highlight w:val="none"/>
              </w:rPr>
              <w:t>网站公布的名单为准。否则招标人取消其中标资格，招标人可以按照评标委员会提出的中标候选人名单排序依次确定其他中标候选人为中标人。</w:t>
            </w:r>
          </w:p>
        </w:tc>
      </w:tr>
      <w:tr w14:paraId="6A89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BB677D0">
            <w:pPr>
              <w:pStyle w:val="34"/>
              <w:kinsoku w:val="0"/>
              <w:overflowPunct w:val="0"/>
              <w:jc w:val="center"/>
              <w:rPr>
                <w:rFonts w:eastAsia="Times New Roman"/>
                <w:sz w:val="21"/>
                <w:highlight w:val="none"/>
              </w:rPr>
            </w:pPr>
            <w:r>
              <w:rPr>
                <w:rFonts w:hint="eastAsia" w:eastAsia="Times New Roman"/>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1F02FCC">
            <w:pPr>
              <w:pStyle w:val="34"/>
              <w:kinsoku w:val="0"/>
              <w:overflowPunct w:val="0"/>
              <w:jc w:val="both"/>
              <w:rPr>
                <w:rFonts w:ascii="宋体" w:hAnsi="宋体"/>
                <w:sz w:val="21"/>
                <w:highlight w:val="none"/>
              </w:rPr>
            </w:pPr>
            <w:r>
              <w:rPr>
                <w:rFonts w:ascii="宋体" w:hAnsi="宋体"/>
                <w:sz w:val="21"/>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D993B0C">
            <w:pPr>
              <w:pStyle w:val="34"/>
              <w:kinsoku w:val="0"/>
              <w:overflowPunct w:val="0"/>
              <w:spacing w:line="360" w:lineRule="auto"/>
              <w:jc w:val="both"/>
              <w:rPr>
                <w:rFonts w:ascii="宋体" w:hAnsi="宋体"/>
                <w:sz w:val="21"/>
                <w:highlight w:val="none"/>
              </w:rPr>
            </w:pPr>
            <w:r>
              <w:rPr>
                <w:rFonts w:ascii="宋体" w:hAnsi="宋体"/>
                <w:sz w:val="21"/>
                <w:highlight w:val="none"/>
              </w:rPr>
              <w:t>是否要求中标人提交履约保证金：</w:t>
            </w:r>
          </w:p>
          <w:p w14:paraId="4212D25E">
            <w:pPr>
              <w:pStyle w:val="34"/>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不要求</w:t>
            </w:r>
          </w:p>
          <w:p w14:paraId="4DB4F167">
            <w:pPr>
              <w:pStyle w:val="34"/>
              <w:kinsoku w:val="0"/>
              <w:overflowPunct w:val="0"/>
              <w:spacing w:line="360" w:lineRule="auto"/>
              <w:jc w:val="both"/>
              <w:rPr>
                <w:rFonts w:ascii="宋体" w:hAnsi="宋体"/>
                <w:sz w:val="21"/>
                <w:highlight w:val="none"/>
              </w:rPr>
            </w:pPr>
            <w:r>
              <w:rPr>
                <w:rFonts w:hint="eastAsia" w:ascii="宋体" w:hAnsi="宋体" w:cs="宋体"/>
                <w:sz w:val="21"/>
                <w:szCs w:val="21"/>
                <w:highlight w:val="none"/>
                <w:lang w:eastAsia="zh-CN"/>
              </w:rPr>
              <w:t>□</w:t>
            </w:r>
            <w:r>
              <w:rPr>
                <w:rFonts w:ascii="宋体" w:hAnsi="宋体"/>
                <w:sz w:val="21"/>
                <w:highlight w:val="none"/>
              </w:rPr>
              <w:t>要求，履约保证金的形式：</w:t>
            </w:r>
            <w:r>
              <w:rPr>
                <w:rFonts w:hint="eastAsia" w:ascii="宋体" w:hAnsi="宋体"/>
                <w:sz w:val="21"/>
                <w:highlight w:val="none"/>
              </w:rPr>
              <w:t>中标人根据自身情况，自主选择提供履约保证金的形式。担保内容、担保范围、担保金额、担保要求等须按合同约定格式。</w:t>
            </w:r>
          </w:p>
          <w:p w14:paraId="48D41341">
            <w:pPr>
              <w:pStyle w:val="34"/>
              <w:kinsoku w:val="0"/>
              <w:overflowPunct w:val="0"/>
              <w:spacing w:line="360" w:lineRule="auto"/>
              <w:jc w:val="both"/>
              <w:rPr>
                <w:rFonts w:ascii="宋体" w:hAnsi="宋体"/>
                <w:sz w:val="21"/>
                <w:highlight w:val="none"/>
              </w:rPr>
            </w:pPr>
            <w:r>
              <w:rPr>
                <w:rFonts w:ascii="宋体" w:hAnsi="宋体"/>
                <w:sz w:val="21"/>
                <w:highlight w:val="none"/>
              </w:rPr>
              <w:t>履约保证金的金额：</w:t>
            </w:r>
            <w:r>
              <w:rPr>
                <w:rFonts w:hint="eastAsia" w:ascii="宋体" w:hAnsi="宋体"/>
                <w:sz w:val="21"/>
                <w:highlight w:val="none"/>
              </w:rPr>
              <w:t>中标价款的10%。</w:t>
            </w:r>
          </w:p>
          <w:p w14:paraId="08365975">
            <w:pPr>
              <w:pStyle w:val="34"/>
              <w:kinsoku w:val="0"/>
              <w:overflowPunct w:val="0"/>
              <w:jc w:val="both"/>
              <w:rPr>
                <w:rFonts w:eastAsia="Times New Roman"/>
                <w:sz w:val="21"/>
                <w:highlight w:val="none"/>
              </w:rPr>
            </w:pPr>
          </w:p>
        </w:tc>
      </w:tr>
      <w:tr w14:paraId="2E0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CF927F8">
            <w:pPr>
              <w:pStyle w:val="34"/>
              <w:kinsoku w:val="0"/>
              <w:overflowPunct w:val="0"/>
              <w:jc w:val="center"/>
              <w:rPr>
                <w:rFonts w:eastAsia="Times New Roman"/>
                <w:sz w:val="21"/>
                <w:highlight w:val="none"/>
              </w:rPr>
            </w:pPr>
            <w:r>
              <w:rPr>
                <w:rFonts w:hint="eastAsia" w:eastAsia="Times New Roman"/>
                <w:sz w:val="21"/>
                <w:highlight w:val="none"/>
              </w:rPr>
              <w:t>10</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94B349">
            <w:pPr>
              <w:pStyle w:val="34"/>
              <w:kinsoku w:val="0"/>
              <w:overflowPunct w:val="0"/>
              <w:jc w:val="both"/>
              <w:rPr>
                <w:rFonts w:eastAsiaTheme="minorEastAsia"/>
                <w:b/>
                <w:sz w:val="21"/>
                <w:highlight w:val="none"/>
              </w:rPr>
            </w:pPr>
            <w:r>
              <w:rPr>
                <w:rFonts w:ascii="宋体" w:hAnsi="宋体"/>
                <w:sz w:val="21"/>
                <w:highlight w:val="none"/>
              </w:rPr>
              <w:t>需要补充的其他内容</w:t>
            </w:r>
          </w:p>
        </w:tc>
      </w:tr>
      <w:tr w14:paraId="51A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E63C835">
            <w:pPr>
              <w:pStyle w:val="34"/>
              <w:kinsoku w:val="0"/>
              <w:overflowPunct w:val="0"/>
              <w:jc w:val="center"/>
              <w:rPr>
                <w:rFonts w:eastAsia="Times New Roman"/>
                <w:sz w:val="21"/>
                <w:highlight w:val="none"/>
              </w:rPr>
            </w:pPr>
            <w:r>
              <w:rPr>
                <w:rFonts w:hint="eastAsia" w:ascii="宋体" w:hAnsi="宋体" w:cs="宋体"/>
                <w:sz w:val="21"/>
                <w:highlight w:val="none"/>
              </w:rPr>
              <w:t>10.1</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1DE2FA">
            <w:pPr>
              <w:jc w:val="both"/>
              <w:rPr>
                <w:rFonts w:eastAsia="Times New Roman"/>
                <w:sz w:val="21"/>
                <w:highlight w:val="none"/>
              </w:rPr>
            </w:pPr>
            <w:r>
              <w:rPr>
                <w:rFonts w:hint="eastAsia" w:ascii="宋体" w:hAnsi="宋体" w:cs="宋体"/>
                <w:sz w:val="21"/>
                <w:highlight w:val="none"/>
              </w:rPr>
              <w:t>1、中标人必须按照招标代理机构的通知及时地向广州交易集团有限公司（广州公共资源交易中心）缴纳公共资源交易服务费，向广州交易集团有限公司（广州公共资源交易中心）索取发票，并在取得发票后及时告知招标代理机构。（该公共资源交易服务费具体收费标准投标人可以在广州交易集团有限公司（广州公共资源交易中心）网站查阅，如有变更以广州交易集团有限公司（广州公共资源交易中心）最新发布的标准为准）。</w:t>
            </w:r>
          </w:p>
        </w:tc>
      </w:tr>
      <w:tr w14:paraId="02EF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092FDDC">
            <w:pPr>
              <w:pStyle w:val="34"/>
              <w:kinsoku w:val="0"/>
              <w:overflowPunct w:val="0"/>
              <w:jc w:val="center"/>
              <w:rPr>
                <w:rFonts w:hint="eastAsia" w:eastAsia="宋体"/>
                <w:sz w:val="21"/>
                <w:highlight w:val="none"/>
                <w:lang w:eastAsia="zh-CN"/>
              </w:rPr>
            </w:pPr>
            <w:r>
              <w:rPr>
                <w:rFonts w:hint="eastAsia" w:ascii="宋体" w:hAnsi="宋体" w:cs="宋体"/>
                <w:sz w:val="21"/>
                <w:highlight w:val="none"/>
              </w:rPr>
              <w:t>10.2</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C76CB3">
            <w:pPr>
              <w:jc w:val="both"/>
              <w:rPr>
                <w:rFonts w:eastAsia="Times New Roman"/>
                <w:sz w:val="21"/>
                <w:highlight w:val="none"/>
              </w:rPr>
            </w:pPr>
            <w:r>
              <w:rPr>
                <w:rFonts w:hint="eastAsia" w:ascii="宋体" w:hAnsi="宋体" w:cs="宋体"/>
                <w:sz w:val="21"/>
                <w:highlight w:val="none"/>
              </w:rPr>
              <w:t>投标人通过本项目的资格审查或成为本项目中标候选人，须同意并授招标人将其响应招标文件资格能力条件（资质、营业执照等证书名称、等级、编号，人员、业绩）、投标文件商务部分（报价清单、技术方案等涉及商业秘密的内容除外）等资料进行公示。</w:t>
            </w:r>
          </w:p>
        </w:tc>
      </w:tr>
      <w:tr w14:paraId="6623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C7A60E5">
            <w:pPr>
              <w:pStyle w:val="34"/>
              <w:kinsoku w:val="0"/>
              <w:overflowPunct w:val="0"/>
              <w:jc w:val="center"/>
              <w:rPr>
                <w:rFonts w:eastAsia="Times New Roman"/>
                <w:sz w:val="21"/>
                <w:highlight w:val="none"/>
              </w:rPr>
            </w:pPr>
            <w:r>
              <w:rPr>
                <w:rFonts w:hint="eastAsia" w:ascii="宋体" w:hAnsi="宋体" w:cs="宋体"/>
                <w:sz w:val="21"/>
                <w:highlight w:val="none"/>
              </w:rPr>
              <w:t>10.3</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1A1AF5">
            <w:pPr>
              <w:jc w:val="both"/>
              <w:rPr>
                <w:rFonts w:eastAsia="Times New Roman"/>
                <w:sz w:val="21"/>
                <w:highlight w:val="none"/>
              </w:rPr>
            </w:pPr>
            <w:r>
              <w:rPr>
                <w:rFonts w:hint="eastAsia" w:ascii="宋体" w:hAnsi="宋体" w:cs="宋体"/>
                <w:sz w:val="21"/>
                <w:highlight w:val="none"/>
              </w:rPr>
              <w:t>中标人在领取中标通知书前，须按招标人要求向招标人提供盖章的纸质版投标文件（内容与交易平台网上递交的电子投标文件一致）5套（1正4副）及电子文件光盘2份。</w:t>
            </w:r>
          </w:p>
        </w:tc>
      </w:tr>
      <w:tr w14:paraId="564D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E239F99">
            <w:pPr>
              <w:pStyle w:val="34"/>
              <w:kinsoku w:val="0"/>
              <w:overflowPunct w:val="0"/>
              <w:jc w:val="center"/>
              <w:rPr>
                <w:rFonts w:eastAsia="Times New Roman"/>
                <w:sz w:val="21"/>
                <w:highlight w:val="none"/>
              </w:rPr>
            </w:pPr>
            <w:r>
              <w:rPr>
                <w:rFonts w:hint="eastAsia" w:ascii="宋体" w:hAnsi="宋体" w:cs="宋体"/>
                <w:sz w:val="21"/>
                <w:highlight w:val="none"/>
              </w:rPr>
              <w:t>10.4</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B1C5E6">
            <w:pPr>
              <w:spacing w:line="288" w:lineRule="auto"/>
              <w:rPr>
                <w:rFonts w:ascii="宋体" w:hAnsi="宋体" w:cs="宋体"/>
                <w:sz w:val="21"/>
                <w:szCs w:val="21"/>
                <w:highlight w:val="none"/>
              </w:rPr>
            </w:pPr>
            <w:r>
              <w:rPr>
                <w:rFonts w:hint="eastAsia" w:ascii="宋体" w:hAnsi="宋体" w:cs="宋体"/>
                <w:sz w:val="21"/>
                <w:szCs w:val="21"/>
                <w:highlight w:val="none"/>
              </w:rPr>
              <w:t>（1）根据《广东省政府采购促进中小企业发展实施细则(试行)》要求，对符合《政府采购促进中小企业发展管理办法》的投标人，给予相应的价格评审优惠。</w:t>
            </w:r>
          </w:p>
          <w:p w14:paraId="2CA04645">
            <w:pPr>
              <w:spacing w:line="288" w:lineRule="auto"/>
              <w:rPr>
                <w:rFonts w:ascii="宋体" w:hAnsi="宋体" w:cs="宋体"/>
                <w:sz w:val="21"/>
                <w:szCs w:val="21"/>
                <w:highlight w:val="none"/>
              </w:rPr>
            </w:pPr>
            <w:r>
              <w:rPr>
                <w:rFonts w:hint="eastAsia" w:ascii="宋体" w:hAnsi="宋体" w:cs="宋体"/>
                <w:sz w:val="21"/>
                <w:szCs w:val="21"/>
                <w:highlight w:val="none"/>
              </w:rPr>
              <w:t>（2）本招标项目评标计算价格分时，对小微企业投标的，在采用原报价进行评分的基础上增加其价格得分（分数出现小数点时，保留小数点后二位，第三位小数四舍五入）的5%作为其价格分，若原报价己满分，仍可突破满分上限继续享受加分优惠，以实际计算结果作为最终价格分。</w:t>
            </w:r>
          </w:p>
          <w:p w14:paraId="2AE827C2">
            <w:pPr>
              <w:spacing w:line="288" w:lineRule="auto"/>
              <w:rPr>
                <w:rFonts w:hint="eastAsia" w:ascii="宋体" w:hAnsi="宋体" w:cs="宋体"/>
                <w:sz w:val="21"/>
                <w:szCs w:val="21"/>
                <w:highlight w:val="none"/>
              </w:rPr>
            </w:pPr>
            <w:r>
              <w:rPr>
                <w:rFonts w:hint="eastAsia" w:ascii="宋体" w:hAnsi="宋体" w:cs="宋体"/>
                <w:sz w:val="21"/>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7FBF8B4C">
            <w:pPr>
              <w:spacing w:line="288" w:lineRule="auto"/>
              <w:rPr>
                <w:rFonts w:hint="eastAsia" w:ascii="宋体" w:hAnsi="宋体" w:cs="宋体"/>
                <w:sz w:val="21"/>
                <w:szCs w:val="21"/>
                <w:highlight w:val="none"/>
              </w:rPr>
            </w:pPr>
            <w:r>
              <w:rPr>
                <w:rFonts w:hint="eastAsia" w:ascii="宋体" w:hAnsi="宋体" w:cs="宋体"/>
                <w:sz w:val="21"/>
                <w:szCs w:val="21"/>
                <w:highlight w:val="none"/>
              </w:rPr>
              <w:t>(4)小微企业划分标准按照《工业和信息化部国家统计局国家发展和改革委员会财政部关于印发中小企业划型标准规定的通知》(工信部联企业(2011)300号)执行。本招标项目属于</w:t>
            </w:r>
            <w:r>
              <w:rPr>
                <w:rFonts w:hint="eastAsia" w:ascii="宋体" w:hAnsi="宋体" w:cs="宋体"/>
                <w:b/>
                <w:sz w:val="21"/>
                <w:szCs w:val="21"/>
                <w:highlight w:val="none"/>
                <w:u w:val="single"/>
              </w:rPr>
              <w:t>其他未列明</w:t>
            </w:r>
            <w:r>
              <w:rPr>
                <w:rFonts w:hint="eastAsia" w:ascii="宋体" w:hAnsi="宋体" w:cs="宋体"/>
                <w:sz w:val="21"/>
                <w:szCs w:val="21"/>
                <w:highlight w:val="none"/>
              </w:rPr>
              <w:t>行业。从业人员300人以下的为中小微型企业。其中，从业人员100人及以上的为中型企业;从业人员10人及以上的为小型企业;从业人员10人以下的为微型企业。</w:t>
            </w:r>
          </w:p>
          <w:p w14:paraId="2648356D">
            <w:pPr>
              <w:spacing w:line="288" w:lineRule="auto"/>
              <w:rPr>
                <w:rFonts w:hint="eastAsia" w:ascii="宋体" w:hAnsi="宋体" w:cs="宋体"/>
                <w:sz w:val="21"/>
                <w:szCs w:val="21"/>
                <w:highlight w:val="none"/>
              </w:rPr>
            </w:pPr>
            <w:r>
              <w:rPr>
                <w:rFonts w:hint="eastAsia" w:ascii="宋体" w:hAnsi="宋体" w:cs="宋体"/>
                <w:sz w:val="21"/>
                <w:szCs w:val="21"/>
                <w:highlight w:val="non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260A539A">
            <w:pPr>
              <w:spacing w:line="288" w:lineRule="auto"/>
              <w:rPr>
                <w:rFonts w:hint="eastAsia" w:ascii="宋体" w:hAnsi="宋体" w:cs="宋体"/>
                <w:sz w:val="21"/>
                <w:szCs w:val="21"/>
                <w:highlight w:val="none"/>
              </w:rPr>
            </w:pPr>
            <w:r>
              <w:rPr>
                <w:rFonts w:hint="eastAsia" w:ascii="宋体" w:hAnsi="宋体" w:cs="宋体"/>
                <w:sz w:val="21"/>
                <w:szCs w:val="21"/>
                <w:highlight w:val="none"/>
              </w:rPr>
              <w:t>（2）公示期间如有异议、投诉的，被异议、投诉单位需提供注册登记所在地的县级以上人民政府中小企业主管部门认定函。</w:t>
            </w:r>
          </w:p>
          <w:p w14:paraId="225D586F">
            <w:pPr>
              <w:jc w:val="both"/>
              <w:rPr>
                <w:rFonts w:eastAsia="Times New Roman"/>
                <w:sz w:val="21"/>
                <w:highlight w:val="none"/>
              </w:rPr>
            </w:pPr>
            <w:r>
              <w:rPr>
                <w:rFonts w:hint="eastAsia" w:ascii="宋体" w:hAnsi="宋体" w:cs="宋体"/>
                <w:sz w:val="21"/>
                <w:szCs w:val="21"/>
                <w:highlight w:val="none"/>
              </w:rPr>
              <w:t>（3）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5808FBA">
      <w:pPr>
        <w:rPr>
          <w:highlight w:val="none"/>
        </w:rPr>
      </w:pPr>
    </w:p>
    <w:p w14:paraId="727C958B">
      <w:pPr>
        <w:pStyle w:val="5"/>
        <w:spacing w:before="120" w:after="120"/>
        <w:rPr>
          <w:rFonts w:cs="宋体"/>
          <w:highlight w:val="none"/>
        </w:rPr>
        <w:sectPr>
          <w:footerReference r:id="rId5" w:type="default"/>
          <w:pgSz w:w="11905" w:h="16838"/>
          <w:pgMar w:top="1417" w:right="1417" w:bottom="1417" w:left="1417" w:header="992" w:footer="992" w:gutter="0"/>
          <w:cols w:space="720" w:num="1"/>
        </w:sectPr>
      </w:pPr>
      <w:bookmarkStart w:id="38" w:name="bookmark20"/>
      <w:bookmarkEnd w:id="38"/>
    </w:p>
    <w:p w14:paraId="5B70EA4F">
      <w:pPr>
        <w:pStyle w:val="5"/>
        <w:spacing w:before="120" w:after="120"/>
        <w:jc w:val="center"/>
        <w:rPr>
          <w:sz w:val="32"/>
          <w:highlight w:val="none"/>
        </w:rPr>
      </w:pPr>
      <w:bookmarkStart w:id="39" w:name="_Toc17556931"/>
      <w:bookmarkStart w:id="40" w:name="_Toc17454871"/>
      <w:bookmarkStart w:id="41" w:name="_Toc17452664"/>
      <w:bookmarkStart w:id="42" w:name="_Toc32198"/>
      <w:bookmarkStart w:id="43" w:name="_Toc17451101"/>
      <w:bookmarkStart w:id="44" w:name="_Toc262229161"/>
      <w:bookmarkStart w:id="45" w:name="_Toc17556876"/>
      <w:bookmarkStart w:id="46" w:name="_Toc17451623"/>
      <w:bookmarkStart w:id="47" w:name="_Toc17454922"/>
      <w:bookmarkStart w:id="48" w:name="_Toc17451578"/>
      <w:r>
        <w:rPr>
          <w:sz w:val="32"/>
          <w:highlight w:val="none"/>
        </w:rPr>
        <w:t>投标须知修改表</w:t>
      </w:r>
      <w:bookmarkEnd w:id="39"/>
      <w:bookmarkEnd w:id="40"/>
      <w:bookmarkEnd w:id="41"/>
      <w:bookmarkEnd w:id="42"/>
      <w:bookmarkEnd w:id="43"/>
      <w:bookmarkEnd w:id="44"/>
      <w:bookmarkEnd w:id="45"/>
      <w:bookmarkEnd w:id="46"/>
      <w:bookmarkEnd w:id="47"/>
      <w:bookmarkEnd w:id="48"/>
    </w:p>
    <w:p w14:paraId="7F240E28">
      <w:pPr>
        <w:pStyle w:val="22"/>
        <w:spacing w:line="360" w:lineRule="auto"/>
        <w:rPr>
          <w:rFonts w:hint="default" w:ascii="宋体" w:hAnsi="宋体" w:eastAsia="宋体"/>
          <w:b/>
          <w:sz w:val="24"/>
          <w:highlight w:val="none"/>
        </w:rPr>
      </w:pPr>
      <w:r>
        <w:rPr>
          <w:rFonts w:hint="default" w:ascii="宋体" w:hAnsi="宋体" w:eastAsia="宋体"/>
          <w:b/>
          <w:sz w:val="24"/>
          <w:highlight w:val="none"/>
        </w:rPr>
        <w:t>本投标须知使用</w:t>
      </w:r>
      <w:r>
        <w:rPr>
          <w:rFonts w:ascii="宋体" w:hAnsi="宋体" w:eastAsia="宋体"/>
          <w:b/>
          <w:sz w:val="24"/>
          <w:highlight w:val="none"/>
        </w:rPr>
        <w:t>SWZB2024-06</w:t>
      </w:r>
      <w:r>
        <w:rPr>
          <w:rFonts w:hint="default" w:ascii="宋体" w:hAnsi="宋体" w:eastAsia="宋体"/>
          <w:b/>
          <w:sz w:val="24"/>
          <w:highlight w:val="none"/>
        </w:rPr>
        <w:t>招标文件范本的投标须知通用条款，与该通用条款不同之处，均在本表中列明，并以现文为准，原文不再有效。</w:t>
      </w:r>
    </w:p>
    <w:p w14:paraId="49AC3F65">
      <w:pPr>
        <w:spacing w:line="480" w:lineRule="auto"/>
        <w:ind w:firstLine="540" w:firstLineChars="224"/>
        <w:rPr>
          <w:rFonts w:ascii="宋体" w:hAnsi="宋体"/>
          <w:highlight w:val="none"/>
        </w:rPr>
      </w:pPr>
      <w:r>
        <w:rPr>
          <w:rFonts w:hint="eastAsia" w:ascii="宋体" w:hAnsi="宋体"/>
          <w:b/>
          <w:bCs/>
          <w:highlight w:val="none"/>
        </w:rPr>
        <w:t>条款号：1.4             修改类型：删除</w:t>
      </w:r>
    </w:p>
    <w:p w14:paraId="3D3087D5">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原文：1.4.2 投标人须知前附表规定接受联合体投标的，联合体除应符合本章第 1.4.1 项和投标人须知前附表的要求外，还应遵守以下规定：</w:t>
      </w:r>
    </w:p>
    <w:p w14:paraId="7044CC79">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（1）联合体各方应按招标文件提供的格式签订联合体协议书，明确联合体主办方和各方权利义务，并承诺就中标项目向招标人承担连带责任；</w:t>
      </w:r>
    </w:p>
    <w:p w14:paraId="2578F273">
      <w:pPr>
        <w:pBdr>
          <w:bottom w:val="single" w:color="auto" w:sz="6" w:space="1"/>
        </w:pBdr>
        <w:spacing w:line="480" w:lineRule="auto"/>
        <w:ind w:firstLine="537" w:firstLineChars="224"/>
        <w:rPr>
          <w:rFonts w:hint="eastAsia" w:ascii="宋体" w:hAnsi="宋体"/>
          <w:highlight w:val="none"/>
        </w:rPr>
      </w:pPr>
      <w:r>
        <w:rPr>
          <w:rFonts w:hint="eastAsia" w:ascii="宋体" w:hAnsi="宋体"/>
          <w:highlight w:val="none"/>
        </w:rPr>
        <w:t>（2）由同一专业的单位组成的联合体，按照资质等级较低的单位确定资质等级；</w:t>
      </w:r>
    </w:p>
    <w:p w14:paraId="589E0856">
      <w:pPr>
        <w:pBdr>
          <w:bottom w:val="single" w:color="auto" w:sz="6" w:space="1"/>
        </w:pBdr>
        <w:spacing w:line="480" w:lineRule="auto"/>
        <w:ind w:firstLine="537" w:firstLineChars="224"/>
        <w:rPr>
          <w:rFonts w:hint="eastAsia" w:ascii="宋体" w:hAnsi="宋体"/>
          <w:highlight w:val="none"/>
        </w:rPr>
      </w:pPr>
      <w:r>
        <w:rPr>
          <w:rFonts w:hint="eastAsia" w:ascii="宋体" w:hAnsi="宋体"/>
          <w:highlight w:val="none"/>
        </w:rPr>
        <w:t>（3）联合体各方不得再以自己名义单独或参加其他联合体在本招标项目中投标，否则各相关投标均无效。</w:t>
      </w:r>
    </w:p>
    <w:p w14:paraId="5D58842F">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cs="宋体"/>
          <w:b/>
          <w:bCs/>
          <w:color w:val="auto"/>
          <w:sz w:val="24"/>
          <w:szCs w:val="24"/>
          <w:highlight w:val="none"/>
          <w:lang w:val="en-US" w:eastAsia="zh-CN"/>
        </w:rPr>
        <w:t>1.4.3</w:t>
      </w:r>
      <w:r>
        <w:rPr>
          <w:rFonts w:hint="eastAsia" w:ascii="宋体" w:hAnsi="宋体" w:eastAsia="宋体" w:cs="宋体"/>
          <w:b/>
          <w:bCs/>
          <w:color w:val="auto"/>
          <w:sz w:val="24"/>
          <w:szCs w:val="24"/>
          <w:highlight w:val="none"/>
        </w:rPr>
        <w:t xml:space="preserve">             修改类型：修改</w:t>
      </w:r>
    </w:p>
    <w:p w14:paraId="66AD1F63">
      <w:pPr>
        <w:spacing w:line="48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1.4.3 投标人不得存在下列情形之一：</w:t>
      </w:r>
    </w:p>
    <w:p w14:paraId="3134744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07AC316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635CAFA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4DA1B1D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05BBC37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64FCA02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44D4A52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48490D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63F0F10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（9）与本招标项目的检测机构、建设、施工单位以及建筑材料、建筑构配件和设备供应商有隶属关系或者其他利害关系有隶属关系或者其他利害关系；</w:t>
      </w:r>
    </w:p>
    <w:p w14:paraId="27D4913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7F0B8F6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2794C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29DC32C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（13）进入清算程序，或被宣布破产，或其他丧失履约能力的情形；</w:t>
      </w:r>
    </w:p>
    <w:p w14:paraId="19E636A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D98123">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（15）法律法规规定的其他情形。</w:t>
      </w:r>
    </w:p>
    <w:p w14:paraId="4E11CF84">
      <w:pPr>
        <w:spacing w:line="48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1.4.3 投标人不得存在下列情形之一</w:t>
      </w:r>
      <w:r>
        <w:rPr>
          <w:rFonts w:hint="eastAsia" w:ascii="宋体" w:hAnsi="宋体" w:eastAsia="宋体" w:cs="宋体"/>
          <w:color w:val="auto"/>
          <w:sz w:val="24"/>
          <w:szCs w:val="24"/>
          <w:highlight w:val="none"/>
          <w:u w:val="none"/>
          <w:lang w:eastAsia="zh-CN"/>
        </w:rPr>
        <w:t>：</w:t>
      </w:r>
    </w:p>
    <w:p w14:paraId="3F9A71E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7B86F0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69E284C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1D0787B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4202EC3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189E99E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6F947F5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616BCBE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0A374FF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（9）与本招标项目的检测机构、建设、施工单位以及建筑材料、建筑构配件和设备供应商有隶属关系或者其他利害关系有隶属关系或者其他利害关系；</w:t>
      </w:r>
    </w:p>
    <w:p w14:paraId="777E9BC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402AE28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73CE68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54B7BB6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（13）进入清算程序，或被宣布破产，或其他丧失履约能力的情形；</w:t>
      </w:r>
    </w:p>
    <w:p w14:paraId="760F12FB">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 w:val="24"/>
          <w:szCs w:val="24"/>
          <w:highlight w:val="none"/>
          <w:u w:val="none"/>
          <w:lang w:eastAsia="zh-CN"/>
        </w:rPr>
        <w:t>；</w:t>
      </w:r>
    </w:p>
    <w:p w14:paraId="0EA74DF0">
      <w:pPr>
        <w:pBdr>
          <w:bottom w:val="single" w:color="auto" w:sz="6" w:space="1"/>
        </w:pBd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（15）被最高人民法院在“信用中国”网站（www.creditchina.gov.cn）或“信用广州”网站或各级信用信息共享平台中列入失信被执行人名单（黑名单）；</w:t>
      </w:r>
    </w:p>
    <w:p w14:paraId="1140C393">
      <w:pPr>
        <w:pBdr>
          <w:bottom w:val="single" w:color="auto" w:sz="6" w:space="1"/>
        </w:pBd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（16）在近三年内投标人或其法定代表人、拟委任的总监理工程师有行贿犯罪行为的；</w:t>
      </w:r>
    </w:p>
    <w:p w14:paraId="785760B9">
      <w:pPr>
        <w:pBdr>
          <w:bottom w:val="single" w:color="auto" w:sz="6" w:space="1"/>
        </w:pBdr>
        <w:spacing w:line="48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）法律法规规定的其他情形</w:t>
      </w:r>
      <w:r>
        <w:rPr>
          <w:rFonts w:hint="eastAsia" w:ascii="宋体" w:hAnsi="宋体" w:eastAsia="宋体" w:cs="宋体"/>
          <w:color w:val="auto"/>
          <w:sz w:val="24"/>
          <w:szCs w:val="24"/>
          <w:highlight w:val="none"/>
          <w:u w:val="single"/>
          <w:lang w:eastAsia="zh-CN"/>
        </w:rPr>
        <w:t>。</w:t>
      </w:r>
    </w:p>
    <w:p w14:paraId="79FC53A0">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条款号：3.1.1              修改类型：修改</w:t>
      </w:r>
    </w:p>
    <w:p w14:paraId="7FFB5D1D">
      <w:pPr>
        <w:spacing w:line="48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3.1.1 投标文件应包括下列内容：</w:t>
      </w:r>
    </w:p>
    <w:p w14:paraId="4A783040">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（1）投标函及投标函附录；</w:t>
      </w:r>
    </w:p>
    <w:p w14:paraId="3D45BA01">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（2）法定代表人身份证明或授权委托书；</w:t>
      </w:r>
    </w:p>
    <w:p w14:paraId="48C88DCE">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（3）联合体协议书；</w:t>
      </w:r>
    </w:p>
    <w:p w14:paraId="1E256DC3">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（4）投标保证金；</w:t>
      </w:r>
    </w:p>
    <w:p w14:paraId="74F85211">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（5）监理报酬清单；</w:t>
      </w:r>
    </w:p>
    <w:p w14:paraId="4236A138">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（6）资格审查资料；</w:t>
      </w:r>
    </w:p>
    <w:p w14:paraId="72BC1275">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（7）监理大纲；</w:t>
      </w:r>
    </w:p>
    <w:p w14:paraId="4EBCC489">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（8）投标人须知前附表规定的其他资料。投标人在评标过程中作出的符合法律法规和招标文件规定的澄清确认，构成投标文件的组成部分。</w:t>
      </w:r>
    </w:p>
    <w:p w14:paraId="72C6A2FC">
      <w:pPr>
        <w:spacing w:line="48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b w:val="0"/>
          <w:bCs w:val="0"/>
          <w:color w:val="auto"/>
          <w:sz w:val="24"/>
          <w:szCs w:val="24"/>
          <w:highlight w:val="none"/>
        </w:rPr>
        <w:t>3.1.1 投标文件应包括下列内容：</w:t>
      </w:r>
    </w:p>
    <w:p w14:paraId="1B4C7A9E">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（1）投标函及投标函附录；</w:t>
      </w:r>
    </w:p>
    <w:p w14:paraId="32D9C37D">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（2）法定代表人身份证明或授权委托书；</w:t>
      </w:r>
    </w:p>
    <w:p w14:paraId="0275A380">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）监理报酬清单；</w:t>
      </w:r>
    </w:p>
    <w:p w14:paraId="4A04EF58">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）资格审查资料；</w:t>
      </w:r>
    </w:p>
    <w:p w14:paraId="3A6C9BC4">
      <w:pPr>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）监理大纲；</w:t>
      </w:r>
    </w:p>
    <w:p w14:paraId="26917070">
      <w:pPr>
        <w:pBdr>
          <w:bottom w:val="single" w:color="auto" w:sz="6" w:space="1"/>
        </w:pBdr>
        <w:spacing w:line="480"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其他资料</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投标人在评标过程中作出的符合法律法规和招标文件规定的澄清确认，构成投标文件的组成部分</w:t>
      </w:r>
      <w:r>
        <w:rPr>
          <w:rFonts w:hint="eastAsia" w:ascii="宋体" w:hAnsi="宋体" w:eastAsia="宋体" w:cs="宋体"/>
          <w:b w:val="0"/>
          <w:bCs w:val="0"/>
          <w:color w:val="auto"/>
          <w:sz w:val="24"/>
          <w:szCs w:val="24"/>
          <w:highlight w:val="none"/>
          <w:lang w:eastAsia="zh-CN"/>
        </w:rPr>
        <w:t>。</w:t>
      </w:r>
    </w:p>
    <w:p w14:paraId="29F2888F">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cs="宋体"/>
          <w:b/>
          <w:bCs/>
          <w:color w:val="auto"/>
          <w:sz w:val="24"/>
          <w:szCs w:val="24"/>
          <w:highlight w:val="none"/>
          <w:lang w:val="en-US" w:eastAsia="zh-CN"/>
        </w:rPr>
        <w:t>3.2.1</w:t>
      </w:r>
      <w:r>
        <w:rPr>
          <w:rFonts w:hint="eastAsia" w:ascii="宋体" w:hAnsi="宋体" w:eastAsia="宋体" w:cs="宋体"/>
          <w:b/>
          <w:bCs/>
          <w:color w:val="auto"/>
          <w:sz w:val="24"/>
          <w:szCs w:val="24"/>
          <w:highlight w:val="none"/>
        </w:rPr>
        <w:t xml:space="preserve">             修改类型：修改</w:t>
      </w:r>
    </w:p>
    <w:p w14:paraId="2499EE30">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1FA0C1DB">
      <w:pPr>
        <w:pBdr>
          <w:bottom w:val="single" w:color="auto" w:sz="6" w:space="1"/>
        </w:pBdr>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现文：</w:t>
      </w:r>
      <w:r>
        <w:rPr>
          <w:rFonts w:hint="eastAsia" w:ascii="宋体" w:hAnsi="宋体" w:eastAsia="宋体" w:cs="宋体"/>
          <w:b w:val="0"/>
          <w:bCs w:val="0"/>
          <w:color w:val="auto"/>
          <w:sz w:val="24"/>
          <w:szCs w:val="24"/>
          <w:highlight w:val="none"/>
        </w:rPr>
        <w:t>3.2.1 投标报价应包括国家规定的增值税税金，除投标人须知前附表另有规定外，增值税税金按一般计税方法计算。投标人应按第六章“投标文件格式”的要求在投标函</w:t>
      </w:r>
      <w:r>
        <w:rPr>
          <w:rFonts w:hint="eastAsia" w:ascii="宋体" w:hAnsi="宋体" w:eastAsia="宋体" w:cs="宋体"/>
          <w:b w:val="0"/>
          <w:bCs w:val="0"/>
          <w:color w:val="auto"/>
          <w:sz w:val="24"/>
          <w:szCs w:val="24"/>
          <w:highlight w:val="none"/>
          <w:u w:val="single"/>
        </w:rPr>
        <w:t>及投标函附录</w:t>
      </w:r>
      <w:r>
        <w:rPr>
          <w:rFonts w:hint="eastAsia" w:ascii="宋体" w:hAnsi="宋体" w:eastAsia="宋体" w:cs="宋体"/>
          <w:b w:val="0"/>
          <w:bCs w:val="0"/>
          <w:color w:val="auto"/>
          <w:sz w:val="24"/>
          <w:szCs w:val="24"/>
          <w:highlight w:val="none"/>
        </w:rPr>
        <w:t>中进行报价并填写监理报酬清单。</w:t>
      </w:r>
    </w:p>
    <w:p w14:paraId="466248EE">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cs="宋体"/>
          <w:b/>
          <w:bCs/>
          <w:color w:val="auto"/>
          <w:sz w:val="24"/>
          <w:szCs w:val="24"/>
          <w:highlight w:val="none"/>
          <w:lang w:val="en-US" w:eastAsia="zh-CN"/>
        </w:rPr>
        <w:t>3.2.3</w:t>
      </w:r>
      <w:r>
        <w:rPr>
          <w:rFonts w:hint="eastAsia" w:ascii="宋体" w:hAnsi="宋体" w:eastAsia="宋体" w:cs="宋体"/>
          <w:b/>
          <w:bCs/>
          <w:color w:val="auto"/>
          <w:sz w:val="24"/>
          <w:szCs w:val="24"/>
          <w:highlight w:val="none"/>
        </w:rPr>
        <w:t xml:space="preserve">             修改类型：修改</w:t>
      </w:r>
    </w:p>
    <w:p w14:paraId="3C2F9A20">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626309D5">
      <w:pPr>
        <w:pBdr>
          <w:bottom w:val="single" w:color="auto" w:sz="6" w:space="1"/>
        </w:pBdr>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现文：</w:t>
      </w:r>
      <w:r>
        <w:rPr>
          <w:rFonts w:hint="eastAsia" w:ascii="宋体" w:hAnsi="宋体" w:eastAsia="宋体" w:cs="宋体"/>
          <w:b w:val="0"/>
          <w:bCs w:val="0"/>
          <w:color w:val="auto"/>
          <w:sz w:val="24"/>
          <w:szCs w:val="24"/>
          <w:highlight w:val="none"/>
        </w:rPr>
        <w:t>3.2.3 本项目的报价方式见投标人须知前附表。投标人在投标截止时间前修改投标函</w:t>
      </w:r>
      <w:r>
        <w:rPr>
          <w:rFonts w:hint="eastAsia" w:ascii="宋体" w:hAnsi="宋体" w:eastAsia="宋体" w:cs="宋体"/>
          <w:b w:val="0"/>
          <w:bCs w:val="0"/>
          <w:color w:val="auto"/>
          <w:sz w:val="24"/>
          <w:szCs w:val="24"/>
          <w:highlight w:val="none"/>
          <w:u w:val="single"/>
        </w:rPr>
        <w:t>及投标函附录</w:t>
      </w:r>
      <w:r>
        <w:rPr>
          <w:rFonts w:hint="eastAsia" w:ascii="宋体" w:hAnsi="宋体" w:eastAsia="宋体" w:cs="宋体"/>
          <w:b w:val="0"/>
          <w:bCs w:val="0"/>
          <w:color w:val="auto"/>
          <w:sz w:val="24"/>
          <w:szCs w:val="24"/>
          <w:highlight w:val="none"/>
        </w:rPr>
        <w:t>中的投标报价总额，应同时修改投标文件“监理报酬清单”中的相应报价。此修改须符合本章第4.3款的有关要求。</w:t>
      </w:r>
    </w:p>
    <w:p w14:paraId="36DAC9EE">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cs="宋体"/>
          <w:b/>
          <w:bCs/>
          <w:color w:val="auto"/>
          <w:sz w:val="24"/>
          <w:szCs w:val="24"/>
          <w:highlight w:val="none"/>
          <w:lang w:val="en-US" w:eastAsia="zh-CN"/>
        </w:rPr>
        <w:t>3.3.3</w:t>
      </w:r>
      <w:r>
        <w:rPr>
          <w:rFonts w:hint="eastAsia" w:ascii="宋体" w:hAnsi="宋体" w:eastAsia="宋体" w:cs="宋体"/>
          <w:b/>
          <w:bCs/>
          <w:color w:val="auto"/>
          <w:sz w:val="24"/>
          <w:szCs w:val="24"/>
          <w:highlight w:val="none"/>
        </w:rPr>
        <w:t xml:space="preserve">             修改类型：修改</w:t>
      </w:r>
    </w:p>
    <w:p w14:paraId="6143B1A6">
      <w:pPr>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b w:val="0"/>
          <w:bCs w:val="0"/>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C707798">
      <w:pPr>
        <w:pBdr>
          <w:bottom w:val="single" w:color="auto" w:sz="6" w:space="1"/>
        </w:pBdr>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现文：</w:t>
      </w:r>
      <w:r>
        <w:rPr>
          <w:rFonts w:hint="eastAsia" w:ascii="宋体" w:hAnsi="宋体" w:eastAsia="宋体" w:cs="宋体"/>
          <w:b w:val="0"/>
          <w:bCs w:val="0"/>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eastAsia="宋体" w:cs="宋体"/>
          <w:b w:val="0"/>
          <w:bCs w:val="0"/>
          <w:strike/>
          <w:color w:val="auto"/>
          <w:sz w:val="24"/>
          <w:szCs w:val="24"/>
          <w:highlight w:val="none"/>
        </w:rPr>
        <w:t>应相应延长其投标保证金的有效期，但</w:t>
      </w:r>
      <w:r>
        <w:rPr>
          <w:rFonts w:hint="eastAsia" w:ascii="宋体" w:hAnsi="宋体" w:eastAsia="宋体" w:cs="宋体"/>
          <w:b w:val="0"/>
          <w:bCs w:val="0"/>
          <w:color w:val="auto"/>
          <w:sz w:val="24"/>
          <w:szCs w:val="24"/>
          <w:highlight w:val="none"/>
        </w:rPr>
        <w:t>不得要求或被允许修改其投标文件；投标人拒绝延长的，其投标失效</w:t>
      </w:r>
      <w:r>
        <w:rPr>
          <w:rFonts w:hint="eastAsia" w:ascii="宋体" w:hAnsi="宋体" w:eastAsia="宋体" w:cs="宋体"/>
          <w:b w:val="0"/>
          <w:bCs w:val="0"/>
          <w:strike/>
          <w:color w:val="auto"/>
          <w:sz w:val="24"/>
          <w:szCs w:val="24"/>
          <w:highlight w:val="none"/>
        </w:rPr>
        <w:t>，但投标人有权收回其投标保证金及以现金或者支票形式递交的投标保证金的银行同期存款利息。</w:t>
      </w:r>
    </w:p>
    <w:p w14:paraId="7CD84979">
      <w:pPr>
        <w:spacing w:line="480" w:lineRule="auto"/>
        <w:ind w:firstLine="540" w:firstLineChars="224"/>
        <w:rPr>
          <w:rFonts w:ascii="宋体" w:hAnsi="宋体"/>
          <w:b/>
          <w:bCs/>
          <w:highlight w:val="none"/>
        </w:rPr>
      </w:pPr>
      <w:r>
        <w:rPr>
          <w:rFonts w:ascii="宋体" w:hAnsi="宋体"/>
          <w:b/>
          <w:bCs/>
          <w:highlight w:val="none"/>
        </w:rPr>
        <w:t>条款号：3.4             修改类型：</w:t>
      </w:r>
      <w:r>
        <w:rPr>
          <w:rFonts w:hint="eastAsia" w:ascii="宋体" w:hAnsi="宋体"/>
          <w:b/>
          <w:bCs/>
          <w:highlight w:val="none"/>
        </w:rPr>
        <w:t>删除</w:t>
      </w:r>
    </w:p>
    <w:p w14:paraId="31A2B1E7">
      <w:pPr>
        <w:pBdr>
          <w:bottom w:val="single" w:color="auto" w:sz="6" w:space="1"/>
        </w:pBdr>
        <w:spacing w:line="480" w:lineRule="auto"/>
        <w:ind w:firstLine="540" w:firstLineChars="224"/>
        <w:rPr>
          <w:rFonts w:ascii="宋体" w:hAnsi="宋体"/>
          <w:highlight w:val="none"/>
        </w:rPr>
      </w:pPr>
      <w:r>
        <w:rPr>
          <w:rFonts w:hint="eastAsia" w:ascii="宋体" w:hAnsi="宋体"/>
          <w:b/>
          <w:bCs/>
          <w:highlight w:val="none"/>
        </w:rPr>
        <w:t>原文：</w:t>
      </w:r>
      <w:r>
        <w:rPr>
          <w:rFonts w:hint="eastAsia" w:ascii="宋体" w:hAnsi="宋体"/>
          <w:highlight w:val="none"/>
        </w:rPr>
        <w:t>3.4  投标保证金</w:t>
      </w:r>
    </w:p>
    <w:p w14:paraId="0BBC1206">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 xml:space="preserve">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   </w:t>
      </w:r>
    </w:p>
    <w:p w14:paraId="37EA0BB2">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3.4.2 开标时投标人没有按要求提交投标保证金的，其投标文件将被否决。</w:t>
      </w:r>
    </w:p>
    <w:p w14:paraId="10CA05B9">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3.4.3 中标候选人以外的投标人的投标保证金将尽快退还，最迟不超过中标通知书发出之日起五日内；中标人和其他中标候选人的投标保证金，在书面合同订立之日起五日内予以退还。</w:t>
      </w:r>
    </w:p>
    <w:p w14:paraId="52E8DFE3">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3.4.4 有下列情形之一的，投标保证金将不予退还：</w:t>
      </w:r>
    </w:p>
    <w:p w14:paraId="4B0B1337">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(1) 投标人在规定的投标有效期内撤销其投标文件；</w:t>
      </w:r>
    </w:p>
    <w:p w14:paraId="026ABC4C">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(2) 中标人在收到中标通知书后，无正当理由不与招标人订立合同，在签订合同时向招标 人提出附加条件，或者不按照招标文件要求提交履约保证金。</w:t>
      </w:r>
    </w:p>
    <w:p w14:paraId="6751D334">
      <w:pPr>
        <w:spacing w:line="480" w:lineRule="auto"/>
        <w:ind w:firstLine="537" w:firstLineChars="224"/>
        <w:rPr>
          <w:rFonts w:ascii="宋体" w:hAnsi="宋体"/>
          <w:highlight w:val="none"/>
        </w:rPr>
      </w:pPr>
      <w:r>
        <w:rPr>
          <w:rFonts w:ascii="宋体" w:hAnsi="宋体"/>
          <w:highlight w:val="none"/>
        </w:rPr>
        <w:t>条款号：3.7.4             修改类型：删除</w:t>
      </w:r>
    </w:p>
    <w:p w14:paraId="4ABD9640">
      <w:pPr>
        <w:pBdr>
          <w:bottom w:val="single" w:color="auto" w:sz="6" w:space="1"/>
        </w:pBdr>
        <w:spacing w:line="480" w:lineRule="auto"/>
        <w:ind w:firstLine="537" w:firstLineChars="224"/>
        <w:rPr>
          <w:rFonts w:ascii="宋体" w:hAnsi="宋体"/>
          <w:highlight w:val="none"/>
        </w:rPr>
      </w:pPr>
      <w:r>
        <w:rPr>
          <w:rFonts w:ascii="宋体" w:hAnsi="宋体"/>
          <w:highlight w:val="none"/>
        </w:rPr>
        <w:t>原文：</w:t>
      </w:r>
      <w:r>
        <w:rPr>
          <w:rFonts w:hint="eastAsia" w:ascii="宋体" w:hAnsi="宋体"/>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4CB02D4E">
      <w:pPr>
        <w:spacing w:line="480" w:lineRule="auto"/>
        <w:ind w:firstLine="537" w:firstLineChars="224"/>
        <w:rPr>
          <w:rFonts w:ascii="宋体" w:hAnsi="宋体"/>
          <w:highlight w:val="none"/>
        </w:rPr>
      </w:pPr>
      <w:r>
        <w:rPr>
          <w:rFonts w:ascii="宋体" w:hAnsi="宋体"/>
          <w:highlight w:val="none"/>
        </w:rPr>
        <w:t>条款号：</w:t>
      </w:r>
      <w:r>
        <w:rPr>
          <w:rFonts w:hint="eastAsia" w:ascii="宋体" w:hAnsi="宋体"/>
          <w:highlight w:val="none"/>
        </w:rPr>
        <w:t>7.5.2</w:t>
      </w:r>
      <w:r>
        <w:rPr>
          <w:rFonts w:ascii="宋体" w:hAnsi="宋体"/>
          <w:highlight w:val="none"/>
        </w:rPr>
        <w:t xml:space="preserve">             修改类型：</w:t>
      </w:r>
      <w:r>
        <w:rPr>
          <w:rFonts w:hint="eastAsia" w:ascii="宋体" w:hAnsi="宋体"/>
          <w:highlight w:val="none"/>
        </w:rPr>
        <w:t>修改</w:t>
      </w:r>
    </w:p>
    <w:p w14:paraId="238440E2">
      <w:pPr>
        <w:spacing w:line="480" w:lineRule="auto"/>
        <w:ind w:firstLine="537" w:firstLineChars="224"/>
        <w:rPr>
          <w:rFonts w:ascii="宋体" w:hAnsi="宋体"/>
          <w:highlight w:val="none"/>
        </w:rPr>
      </w:pPr>
      <w:r>
        <w:rPr>
          <w:rFonts w:hint="eastAsia" w:ascii="宋体" w:hAnsi="宋体"/>
          <w:highlight w:val="none"/>
        </w:rPr>
        <w:t>原文：7.5.2 中标通知书发出前，中标人应未被纳入失信联合惩戒名单，否则招标人将取消其中标资格。失信联合惩戒名单以“信用广州”网站公布的“黑名单”为准。</w:t>
      </w:r>
    </w:p>
    <w:p w14:paraId="5CB3399D">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现文：7.5.2 中标通知书发出前，中标人应未被纳入失信联合惩戒名单，否则招标人将取消其中标资格，招标人可以按照评标委员会提出的中标候选人名单排序依次确定其他中标候选人为中标人。失信联合惩戒名单以“信用广州”网站公布的“黑名单”为准。</w:t>
      </w:r>
    </w:p>
    <w:p w14:paraId="64C506F0">
      <w:pPr>
        <w:spacing w:line="480" w:lineRule="auto"/>
        <w:ind w:firstLine="537" w:firstLineChars="224"/>
        <w:rPr>
          <w:rFonts w:ascii="宋体" w:hAnsi="宋体"/>
          <w:highlight w:val="none"/>
        </w:rPr>
      </w:pPr>
      <w:r>
        <w:rPr>
          <w:rFonts w:ascii="宋体" w:hAnsi="宋体"/>
          <w:highlight w:val="none"/>
        </w:rPr>
        <w:t>条款号：</w:t>
      </w:r>
      <w:r>
        <w:rPr>
          <w:rFonts w:hint="eastAsia" w:ascii="宋体" w:hAnsi="宋体"/>
          <w:highlight w:val="none"/>
        </w:rPr>
        <w:t>7.6</w:t>
      </w:r>
      <w:r>
        <w:rPr>
          <w:rFonts w:ascii="宋体" w:hAnsi="宋体"/>
          <w:highlight w:val="none"/>
        </w:rPr>
        <w:t xml:space="preserve">             修改类型：</w:t>
      </w:r>
      <w:r>
        <w:rPr>
          <w:rFonts w:hint="eastAsia" w:ascii="宋体" w:hAnsi="宋体"/>
          <w:highlight w:val="none"/>
        </w:rPr>
        <w:t>修改</w:t>
      </w:r>
    </w:p>
    <w:p w14:paraId="689573AA">
      <w:pPr>
        <w:spacing w:line="480" w:lineRule="auto"/>
        <w:ind w:firstLine="537" w:firstLineChars="224"/>
        <w:rPr>
          <w:rFonts w:ascii="宋体" w:hAnsi="宋体"/>
          <w:highlight w:val="none"/>
        </w:rPr>
      </w:pPr>
      <w:r>
        <w:rPr>
          <w:rFonts w:hint="eastAsia" w:ascii="宋体" w:hAnsi="宋体"/>
          <w:highlight w:val="none"/>
        </w:rPr>
        <w:t xml:space="preserve">原文：7.6.1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主办方的名义提交。 </w:t>
      </w:r>
    </w:p>
    <w:p w14:paraId="1C464EAD">
      <w:pPr>
        <w:spacing w:line="480" w:lineRule="auto"/>
        <w:ind w:firstLine="537" w:firstLineChars="224"/>
        <w:rPr>
          <w:rFonts w:ascii="宋体" w:hAnsi="宋体"/>
          <w:highlight w:val="none"/>
        </w:rPr>
      </w:pPr>
      <w:r>
        <w:rPr>
          <w:rFonts w:hint="eastAsia" w:ascii="宋体" w:hAnsi="宋体"/>
          <w:highlight w:val="none"/>
        </w:rPr>
        <w:t>7.6.2 中标人不能按本章第 7.6.1 项要求提交履约保证金的，视为放弃中标，其投标保证金不予退还，给招标人造成的损失超过投标保证金数额的， 中标人还应当对超过部分予以赔偿。</w:t>
      </w:r>
    </w:p>
    <w:p w14:paraId="24517259">
      <w:pPr>
        <w:spacing w:line="480" w:lineRule="auto"/>
        <w:ind w:firstLine="537" w:firstLineChars="224"/>
        <w:rPr>
          <w:rFonts w:ascii="宋体" w:hAnsi="宋体"/>
          <w:highlight w:val="none"/>
        </w:rPr>
      </w:pPr>
      <w:r>
        <w:rPr>
          <w:rFonts w:hint="eastAsia" w:ascii="宋体" w:hAnsi="宋体"/>
          <w:highlight w:val="none"/>
        </w:rPr>
        <w:t>现文：7.6.1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highlight w:val="none"/>
        </w:rPr>
        <w:t>联合体中标的，其履约保证金以联合体各方或者联合体中主办方的名义提交。</w:t>
      </w:r>
    </w:p>
    <w:p w14:paraId="5C54624B">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7.6.2 中标人不能按本章第 7.6.1 项要求提交履约保证金的，视为放弃中标，</w:t>
      </w:r>
      <w:r>
        <w:rPr>
          <w:rFonts w:hint="eastAsia" w:ascii="宋体" w:hAnsi="宋体"/>
          <w:strike/>
          <w:highlight w:val="none"/>
        </w:rPr>
        <w:t>其投标保证金不予退还，给招标人造成的损失超过投标保证金数额的，</w:t>
      </w:r>
      <w:r>
        <w:rPr>
          <w:rFonts w:hint="eastAsia" w:ascii="宋体" w:hAnsi="宋体"/>
          <w:highlight w:val="none"/>
        </w:rPr>
        <w:t>中标人还应当对超过部分予以赔偿。</w:t>
      </w:r>
    </w:p>
    <w:p w14:paraId="0C0DA394">
      <w:pPr>
        <w:spacing w:line="480" w:lineRule="auto"/>
        <w:ind w:firstLine="537" w:firstLineChars="224"/>
        <w:rPr>
          <w:rFonts w:ascii="宋体" w:hAnsi="宋体"/>
          <w:highlight w:val="none"/>
        </w:rPr>
      </w:pPr>
      <w:r>
        <w:rPr>
          <w:rFonts w:ascii="宋体" w:hAnsi="宋体"/>
          <w:highlight w:val="none"/>
        </w:rPr>
        <w:t>条款号：</w:t>
      </w:r>
      <w:r>
        <w:rPr>
          <w:rFonts w:hint="eastAsia" w:ascii="宋体" w:hAnsi="宋体"/>
          <w:highlight w:val="none"/>
        </w:rPr>
        <w:t>7.7</w:t>
      </w:r>
      <w:r>
        <w:rPr>
          <w:rFonts w:ascii="宋体" w:hAnsi="宋体"/>
          <w:highlight w:val="none"/>
        </w:rPr>
        <w:t xml:space="preserve">             修改类型：</w:t>
      </w:r>
      <w:r>
        <w:rPr>
          <w:rFonts w:hint="eastAsia" w:ascii="宋体" w:hAnsi="宋体"/>
          <w:highlight w:val="none"/>
        </w:rPr>
        <w:t>修改</w:t>
      </w:r>
    </w:p>
    <w:p w14:paraId="0A5D215C">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原文：7.7.1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35D3122">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7.7.2 发出中标通知书后，招标人无正当理由拒签合同，或者在签订合同时向中标人提出附加条件的，招标人向中标人退还投标保证金；给中标人造成损失的，还应当赔偿损失。</w:t>
      </w:r>
    </w:p>
    <w:p w14:paraId="0E07C2AD">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7.7.3 联合体中标的，联合体各方应当共同与招标人签订合同，就中标项目向招标人承担连带责任。</w:t>
      </w:r>
    </w:p>
    <w:p w14:paraId="4F558E2A">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现文：7.7.1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w:t>
      </w:r>
      <w:r>
        <w:rPr>
          <w:rFonts w:hint="eastAsia" w:ascii="宋体" w:hAnsi="宋体"/>
          <w:strike/>
          <w:highlight w:val="none"/>
        </w:rPr>
        <w:t>其投标保证金不予退还；给招标人造成的损失超过投标保证金数额的，</w:t>
      </w:r>
      <w:r>
        <w:rPr>
          <w:rFonts w:hint="eastAsia" w:ascii="宋体" w:hAnsi="宋体"/>
          <w:highlight w:val="none"/>
        </w:rPr>
        <w:t xml:space="preserve">中标人还应当对超过部分予以赔偿。 </w:t>
      </w:r>
    </w:p>
    <w:p w14:paraId="7DC75018">
      <w:pPr>
        <w:pBdr>
          <w:bottom w:val="single" w:color="auto" w:sz="6" w:space="1"/>
        </w:pBdr>
        <w:spacing w:line="480" w:lineRule="auto"/>
        <w:ind w:firstLine="537" w:firstLineChars="224"/>
        <w:rPr>
          <w:rFonts w:ascii="宋体" w:hAnsi="宋体"/>
          <w:highlight w:val="none"/>
        </w:rPr>
      </w:pPr>
      <w:r>
        <w:rPr>
          <w:rFonts w:hint="eastAsia" w:ascii="宋体" w:hAnsi="宋体"/>
          <w:highlight w:val="none"/>
        </w:rPr>
        <w:t>7.7.2 发出中标通知书后，招标人无正当理由拒签合同，或者在签订合同时向中标人提出附加条件的</w:t>
      </w:r>
      <w:r>
        <w:rPr>
          <w:rFonts w:hint="eastAsia" w:ascii="宋体" w:hAnsi="宋体"/>
          <w:strike/>
          <w:highlight w:val="none"/>
        </w:rPr>
        <w:t>，招标人向中标人退还投标保证金</w:t>
      </w:r>
      <w:r>
        <w:rPr>
          <w:rFonts w:hint="eastAsia" w:ascii="宋体" w:hAnsi="宋体"/>
          <w:highlight w:val="none"/>
        </w:rPr>
        <w:t>；给中标人造成损失的，还应当赔偿损失。</w:t>
      </w:r>
    </w:p>
    <w:p w14:paraId="08178E3F">
      <w:pPr>
        <w:pBdr>
          <w:bottom w:val="single" w:color="auto" w:sz="6" w:space="1"/>
        </w:pBdr>
        <w:spacing w:line="480" w:lineRule="auto"/>
        <w:ind w:firstLine="537" w:firstLineChars="224"/>
        <w:rPr>
          <w:rFonts w:ascii="宋体" w:hAnsi="宋体"/>
          <w:highlight w:val="none"/>
        </w:rPr>
      </w:pPr>
      <w:r>
        <w:rPr>
          <w:rFonts w:ascii="宋体" w:hAnsi="宋体"/>
          <w:strike/>
          <w:highlight w:val="none"/>
        </w:rPr>
        <w:t xml:space="preserve">7.7.3 </w:t>
      </w:r>
      <w:r>
        <w:rPr>
          <w:rFonts w:hint="eastAsia" w:ascii="宋体" w:hAnsi="宋体"/>
          <w:strike/>
          <w:highlight w:val="none"/>
        </w:rPr>
        <w:t>联合体中标的，联合体各方应当共同与招标人签订合同，就中标项目向招标人承担连带责任。</w:t>
      </w:r>
    </w:p>
    <w:p w14:paraId="310376F9">
      <w:pPr>
        <w:spacing w:line="360" w:lineRule="auto"/>
        <w:rPr>
          <w:rFonts w:ascii="宋体" w:hAnsi="宋体"/>
          <w:highlight w:val="none"/>
        </w:rPr>
      </w:pPr>
      <w:r>
        <w:rPr>
          <w:rFonts w:ascii="宋体" w:hAnsi="宋体"/>
          <w:highlight w:val="none"/>
        </w:rPr>
        <w:t>注：以上修改，仅限于本范本中有可供选择条款的情形。</w:t>
      </w:r>
    </w:p>
    <w:p w14:paraId="70861D3A">
      <w:pPr>
        <w:spacing w:line="360" w:lineRule="auto"/>
        <w:rPr>
          <w:rFonts w:ascii="宋体" w:hAnsi="宋体"/>
          <w:highlight w:val="none"/>
        </w:rPr>
      </w:pPr>
      <w:r>
        <w:rPr>
          <w:rFonts w:ascii="宋体" w:hAnsi="宋体"/>
          <w:highlight w:val="none"/>
        </w:rPr>
        <w:t>（以下无正文）</w:t>
      </w:r>
    </w:p>
    <w:p w14:paraId="727C846F">
      <w:pPr>
        <w:pStyle w:val="5"/>
        <w:spacing w:before="120" w:after="120"/>
        <w:rPr>
          <w:rFonts w:cs="宋体"/>
          <w:highlight w:val="none"/>
        </w:rPr>
        <w:sectPr>
          <w:pgSz w:w="11905" w:h="16838"/>
          <w:pgMar w:top="1417" w:right="1417" w:bottom="1417" w:left="1417" w:header="992" w:footer="992" w:gutter="0"/>
          <w:cols w:space="720" w:num="1"/>
        </w:sectPr>
      </w:pPr>
    </w:p>
    <w:p w14:paraId="0629A32D">
      <w:pPr>
        <w:pStyle w:val="5"/>
        <w:spacing w:before="120" w:after="120"/>
        <w:rPr>
          <w:rFonts w:cs="宋体"/>
          <w:b w:val="0"/>
          <w:highlight w:val="none"/>
        </w:rPr>
      </w:pPr>
      <w:bookmarkStart w:id="49" w:name="_Toc16248"/>
      <w:r>
        <w:rPr>
          <w:rFonts w:cs="宋体"/>
          <w:highlight w:val="none"/>
        </w:rPr>
        <w:t>1.总则</w:t>
      </w:r>
      <w:bookmarkEnd w:id="49"/>
    </w:p>
    <w:p w14:paraId="765C7F2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0" w:name="bookmark21"/>
      <w:bookmarkEnd w:id="50"/>
      <w:bookmarkStart w:id="51" w:name="_Toc21335"/>
      <w:r>
        <w:rPr>
          <w:sz w:val="24"/>
          <w:highlight w:val="none"/>
        </w:rPr>
        <w:t>1.1 招标项目概况</w:t>
      </w:r>
      <w:bookmarkEnd w:id="51"/>
    </w:p>
    <w:p w14:paraId="63FF118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1.1.1 根据《中华人民共和国招标投标法》、《中华人民共和国招标投标法实施条例》等有关法律、法规和规章的规定，本招标项目已具备招标条件，现对监理进行招标。</w:t>
      </w:r>
    </w:p>
    <w:p w14:paraId="6B136C6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1.1.2 招标人：见投标人须知前附表。</w:t>
      </w:r>
    </w:p>
    <w:p w14:paraId="072617E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1.1.3 招标代理机构：见投标人须知前附表。</w:t>
      </w:r>
    </w:p>
    <w:p w14:paraId="0E5518C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1.1.4 招标项目名称：见投标人须知前附表。</w:t>
      </w:r>
    </w:p>
    <w:p w14:paraId="70A535B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1.1.5 项目建设地点：见投标人须知前附表。</w:t>
      </w:r>
    </w:p>
    <w:p w14:paraId="5E4AF84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1.1.6 项目建设规模：见投标人须知前附表。</w:t>
      </w:r>
    </w:p>
    <w:p w14:paraId="6DA2013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1.1.7 工程项目施工预计开工日期和建设周期：见投标人须知前附表。</w:t>
      </w:r>
    </w:p>
    <w:p w14:paraId="4654A80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1.1.8 建筑安装工程费/工程概算：见投标人须知前附表。</w:t>
      </w:r>
    </w:p>
    <w:p w14:paraId="362AC4F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2" w:name="bookmark22"/>
      <w:bookmarkEnd w:id="52"/>
      <w:bookmarkStart w:id="53" w:name="_Toc17099"/>
      <w:r>
        <w:rPr>
          <w:sz w:val="24"/>
          <w:highlight w:val="none"/>
        </w:rPr>
        <w:t>1.2 招标项目的资金来源和落实情况</w:t>
      </w:r>
      <w:bookmarkEnd w:id="53"/>
    </w:p>
    <w:p w14:paraId="0301AFA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1.2.1 资金来源及比例：见投标人须知前附表。</w:t>
      </w:r>
    </w:p>
    <w:p w14:paraId="31B212B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1.2.2 资金落实情况：见投标人须知前附表。</w:t>
      </w:r>
    </w:p>
    <w:p w14:paraId="410E425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4" w:name="bookmark23"/>
      <w:bookmarkEnd w:id="54"/>
      <w:bookmarkStart w:id="55" w:name="_Toc4457"/>
      <w:r>
        <w:rPr>
          <w:sz w:val="24"/>
          <w:highlight w:val="none"/>
        </w:rPr>
        <w:t>1.3 招标范围、监理服务期限和质量标准</w:t>
      </w:r>
      <w:bookmarkEnd w:id="55"/>
    </w:p>
    <w:p w14:paraId="00D76A6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1.3.1 招标范围：见投标人须知前附表。</w:t>
      </w:r>
    </w:p>
    <w:p w14:paraId="10B7B37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1.3.2 监理服务期限：见投标人须知前附表。</w:t>
      </w:r>
    </w:p>
    <w:p w14:paraId="5C3C027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1.3.3 质量标准：见投标人须知前附表。</w:t>
      </w:r>
    </w:p>
    <w:p w14:paraId="38AA2AB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6" w:name="bookmark24"/>
      <w:bookmarkEnd w:id="56"/>
      <w:bookmarkStart w:id="57" w:name="_Toc13328"/>
      <w:r>
        <w:rPr>
          <w:sz w:val="24"/>
          <w:highlight w:val="none"/>
        </w:rPr>
        <w:t>1.4 投标人资格要求</w:t>
      </w:r>
      <w:bookmarkEnd w:id="57"/>
    </w:p>
    <w:p w14:paraId="7124E54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1.4.1 投标人应具备承担本招标项目资质条件、能力和信誉：</w:t>
      </w:r>
    </w:p>
    <w:p w14:paraId="27E9A50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（1）资质要求：见投标人须知前附表；</w:t>
      </w:r>
    </w:p>
    <w:p w14:paraId="0B47C65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（2）财务要求：见投标人须知前附表；</w:t>
      </w:r>
    </w:p>
    <w:p w14:paraId="3D57EFB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（3）业绩要求：见投标人须知前附表；</w:t>
      </w:r>
    </w:p>
    <w:p w14:paraId="391AA53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（4）信誉要求：见投标人须知前附表；</w:t>
      </w:r>
    </w:p>
    <w:p w14:paraId="311EF8A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（5）总监理工程师的资格要求：应当具备工程注册监理工程师执业资格，具体要求见投标人须知前附表；</w:t>
      </w:r>
    </w:p>
    <w:p w14:paraId="0890C4E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（6）其他主要人员要求：见投标人须知前附表。</w:t>
      </w:r>
    </w:p>
    <w:p w14:paraId="443F7DE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（7）试验检测仪器设备要求：见投标人须知前附表。</w:t>
      </w:r>
    </w:p>
    <w:p w14:paraId="37E6B44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（8）其他要求：见投标人须知前附表。需要提交的相关证明材料见本章第 3.5 款的规定。</w:t>
      </w:r>
    </w:p>
    <w:p w14:paraId="75739F8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1.4.2 投标人须知前附表规定接受联合体投标的，联合体除应符合本章第 1.4.1 项和投标人须知前附表的要求外，还应遵守以下规定：</w:t>
      </w:r>
    </w:p>
    <w:p w14:paraId="34F4095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（1）联合体各方应按招标文件提供的格式签订联合体协议书，明确联合体</w:t>
      </w:r>
      <w:r>
        <w:rPr>
          <w:strike/>
          <w:spacing w:val="-2"/>
          <w:sz w:val="24"/>
          <w:highlight w:val="none"/>
        </w:rPr>
        <w:t>主办方</w:t>
      </w:r>
      <w:r>
        <w:rPr>
          <w:strike/>
          <w:sz w:val="24"/>
          <w:highlight w:val="none"/>
        </w:rPr>
        <w:t>和各方权利义务，并承诺就中标项目向招标人承担连带责任；</w:t>
      </w:r>
    </w:p>
    <w:p w14:paraId="5560D6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（2）由同一专业的单位组成的联合体，按照资质等级较低的单位确定资质等级；</w:t>
      </w:r>
    </w:p>
    <w:p w14:paraId="40ACFA9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（3）联合体各方不得再以自己名义单独或参加其他联合体在本招标项目中投标，否则各相关投标均无效。</w:t>
      </w:r>
    </w:p>
    <w:p w14:paraId="009670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1.4.3 投标人不得存在下列情形之一：</w:t>
      </w:r>
    </w:p>
    <w:p w14:paraId="366AAA1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（1）为招标人不具有独立法人资格的附属机构（单位）；</w:t>
      </w:r>
    </w:p>
    <w:p w14:paraId="27D5927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（2）与招标人存在利害关系且可能影响招标公正性；</w:t>
      </w:r>
    </w:p>
    <w:p w14:paraId="2971D3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（3）与本招标项目的其他投标人为同一个单位负责人；</w:t>
      </w:r>
    </w:p>
    <w:p w14:paraId="01002D2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（4）与本招标项目的其他投标人存在控股、管理关系；</w:t>
      </w:r>
    </w:p>
    <w:p w14:paraId="6A3AE7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（5）为本招标项目的代建人；</w:t>
      </w:r>
    </w:p>
    <w:p w14:paraId="30584E1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（6）为本招标项目的招标代理机构；</w:t>
      </w:r>
    </w:p>
    <w:p w14:paraId="51F7B24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（7）与本招标项目的代建人或招标代理机构同为一个法定代表人；</w:t>
      </w:r>
    </w:p>
    <w:p w14:paraId="77CBDC3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（8）与本招标项目的代建人或招标代理机构存在控股或参股关系；</w:t>
      </w:r>
    </w:p>
    <w:p w14:paraId="4F7966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（9）与本招标项目的检测机构、建设、施工单位以及建筑材料、建筑构配件和设备供应商有隶属关系或者其他利害关系有隶属关系或者其他利害关系；</w:t>
      </w:r>
    </w:p>
    <w:p w14:paraId="5EFA938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（10）被依法暂停或者取消投标资格；</w:t>
      </w:r>
    </w:p>
    <w:p w14:paraId="147DBB1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（11）被依法暂停或取消投标资格的；</w:t>
      </w:r>
      <w:r>
        <w:rPr>
          <w:rFonts w:hint="eastAsia"/>
          <w:sz w:val="24"/>
          <w:highlight w:val="none"/>
        </w:rPr>
        <w:t>(</w:t>
      </w:r>
      <w:r>
        <w:rPr>
          <w:sz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sz w:val="24"/>
          <w:highlight w:val="none"/>
        </w:rPr>
        <w:t>)</w:t>
      </w:r>
      <w:r>
        <w:rPr>
          <w:sz w:val="24"/>
          <w:highlight w:val="none"/>
        </w:rPr>
        <w:t>；</w:t>
      </w:r>
    </w:p>
    <w:p w14:paraId="7674E05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（12）被责令停产停业、暂扣或者吊销许可证、暂扣或者吊销执照的（本项事实应当以根据《中华人民共和国行政处罚法》依法作出并已经生效的行政处罚决定为认定依据。）；</w:t>
      </w:r>
    </w:p>
    <w:p w14:paraId="1872AF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（13）进入清算程序，或被宣布破产，或其他丧失履约能力的情形；</w:t>
      </w:r>
    </w:p>
    <w:p w14:paraId="786698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D0B53F5">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sz w:val="24"/>
          <w:szCs w:val="24"/>
          <w:highlight w:val="none"/>
          <w:u w:val="single"/>
        </w:rPr>
      </w:pPr>
      <w:r>
        <w:rPr>
          <w:rFonts w:hint="eastAsia" w:ascii="宋体" w:eastAsia="宋体"/>
          <w:sz w:val="24"/>
          <w:szCs w:val="24"/>
          <w:highlight w:val="none"/>
          <w:u w:val="single"/>
        </w:rPr>
        <w:t>（15）被最高人民法院在“信用中国”网站（www.creditchina.gov.cn）或“信用广州”网站或各级信用信息共享平台中列入失信被执行人名单（黑名单）；</w:t>
      </w:r>
    </w:p>
    <w:p w14:paraId="6639940C">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sz w:val="24"/>
          <w:szCs w:val="24"/>
          <w:highlight w:val="none"/>
          <w:u w:val="single"/>
        </w:rPr>
      </w:pPr>
      <w:r>
        <w:rPr>
          <w:rFonts w:hint="eastAsia" w:ascii="宋体" w:eastAsia="宋体"/>
          <w:sz w:val="24"/>
          <w:szCs w:val="24"/>
          <w:highlight w:val="none"/>
          <w:u w:val="single"/>
        </w:rPr>
        <w:t>（16）在近三年内投标人或其法定代表人、拟委任的总监理工程师有行贿犯罪行为的；</w:t>
      </w:r>
    </w:p>
    <w:p w14:paraId="4B527630">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sz w:val="24"/>
          <w:szCs w:val="24"/>
          <w:highlight w:val="none"/>
          <w:u w:val="single"/>
          <w:lang w:eastAsia="zh-CN"/>
        </w:rPr>
      </w:pPr>
      <w:r>
        <w:rPr>
          <w:rFonts w:hint="eastAsia" w:ascii="宋体" w:eastAsia="宋体"/>
          <w:sz w:val="24"/>
          <w:szCs w:val="24"/>
          <w:highlight w:val="none"/>
          <w:u w:val="single"/>
        </w:rPr>
        <w:t>（1</w:t>
      </w:r>
      <w:r>
        <w:rPr>
          <w:rFonts w:hint="eastAsia" w:ascii="宋体" w:eastAsia="宋体"/>
          <w:sz w:val="24"/>
          <w:szCs w:val="24"/>
          <w:highlight w:val="none"/>
          <w:u w:val="single"/>
          <w:lang w:val="en-US" w:eastAsia="zh-CN"/>
        </w:rPr>
        <w:t>7</w:t>
      </w:r>
      <w:r>
        <w:rPr>
          <w:rFonts w:hint="eastAsia" w:ascii="宋体" w:eastAsia="宋体"/>
          <w:sz w:val="24"/>
          <w:szCs w:val="24"/>
          <w:highlight w:val="none"/>
          <w:u w:val="single"/>
        </w:rPr>
        <w:t>）法律法规规定的其他情形</w:t>
      </w:r>
      <w:r>
        <w:rPr>
          <w:rFonts w:hint="eastAsia" w:ascii="宋体" w:eastAsia="宋体"/>
          <w:sz w:val="24"/>
          <w:szCs w:val="24"/>
          <w:highlight w:val="none"/>
          <w:u w:val="single"/>
          <w:lang w:eastAsia="zh-CN"/>
        </w:rPr>
        <w:t>。</w:t>
      </w:r>
    </w:p>
    <w:p w14:paraId="31058C91">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default"/>
          <w:sz w:val="24"/>
          <w:highlight w:val="none"/>
        </w:rPr>
      </w:pPr>
      <w:r>
        <w:rPr>
          <w:rFonts w:ascii="宋体" w:eastAsia="宋体"/>
          <w:sz w:val="24"/>
          <w:szCs w:val="24"/>
          <w:highlight w:val="none"/>
        </w:rPr>
        <w:t>1.4.4投标人未被列入“在一定期限内依法取消参加依法必须进行招标的项目的投标资格”，具体名单以递交投标文件截止时间“信用广州”公布的“黑名单”为准。</w:t>
      </w:r>
    </w:p>
    <w:p w14:paraId="2FC0D07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8" w:name="bookmark25"/>
      <w:bookmarkEnd w:id="58"/>
      <w:bookmarkStart w:id="59" w:name="_Toc12360"/>
      <w:r>
        <w:rPr>
          <w:sz w:val="24"/>
          <w:highlight w:val="none"/>
        </w:rPr>
        <w:t>1.5 费用承担</w:t>
      </w:r>
      <w:bookmarkEnd w:id="59"/>
    </w:p>
    <w:p w14:paraId="7CD4FB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投标人准备和参加投标活动发生的费用自理。</w:t>
      </w:r>
    </w:p>
    <w:p w14:paraId="3711EB5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0" w:name="bookmark26"/>
      <w:bookmarkEnd w:id="60"/>
      <w:bookmarkStart w:id="61" w:name="_Toc8195"/>
      <w:r>
        <w:rPr>
          <w:sz w:val="24"/>
          <w:highlight w:val="none"/>
        </w:rPr>
        <w:t>1.6 保密</w:t>
      </w:r>
      <w:bookmarkEnd w:id="61"/>
    </w:p>
    <w:p w14:paraId="080C395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参与招标投标活动的各方应对招标文件和投标文件中的商业和技术等秘密保密，否则应承 担相应的法律责任。</w:t>
      </w:r>
    </w:p>
    <w:p w14:paraId="22BA0E3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2" w:name="bookmark27"/>
      <w:bookmarkEnd w:id="62"/>
      <w:bookmarkStart w:id="63" w:name="_Toc12511"/>
      <w:r>
        <w:rPr>
          <w:sz w:val="24"/>
          <w:highlight w:val="none"/>
        </w:rPr>
        <w:t>1.7 语言文字</w:t>
      </w:r>
      <w:bookmarkEnd w:id="63"/>
    </w:p>
    <w:p w14:paraId="34BCD7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招标投标文件使用的语言文字为中文。专用术语使用外文的，应附有中文注释。</w:t>
      </w:r>
    </w:p>
    <w:p w14:paraId="6A3EB13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4" w:name="bookmark28"/>
      <w:bookmarkEnd w:id="64"/>
      <w:bookmarkStart w:id="65" w:name="_Toc30360"/>
      <w:r>
        <w:rPr>
          <w:sz w:val="24"/>
          <w:highlight w:val="none"/>
        </w:rPr>
        <w:t>1.8 计量单位</w:t>
      </w:r>
      <w:bookmarkEnd w:id="65"/>
    </w:p>
    <w:p w14:paraId="0C61252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所有计量均采用中华人民共和国法定计量单位。</w:t>
      </w:r>
    </w:p>
    <w:p w14:paraId="35D3B71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6" w:name="bookmark29"/>
      <w:bookmarkEnd w:id="66"/>
      <w:bookmarkStart w:id="67" w:name="_Toc13105"/>
      <w:r>
        <w:rPr>
          <w:sz w:val="24"/>
          <w:highlight w:val="none"/>
        </w:rPr>
        <w:t>1.9 踏勘现场</w:t>
      </w:r>
      <w:bookmarkEnd w:id="67"/>
    </w:p>
    <w:p w14:paraId="7C6FC7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4622685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1.9.2 投标人踏勘现场发生的费用自理。</w:t>
      </w:r>
    </w:p>
    <w:p w14:paraId="714A3A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1.9.3 除招标人的原因外，投标人自行负责在踏勘现场中所发生的人员伤亡和财产损失。</w:t>
      </w:r>
    </w:p>
    <w:p w14:paraId="697365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1.9.4 招标人在踏勘现场中介绍的工程场地和相关的周边环境情况，供投标人在编制投标文件时参考，招标人不对投标人据此作出的判断和决策负责。</w:t>
      </w:r>
    </w:p>
    <w:p w14:paraId="22A2CDF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8" w:name="bookmark30"/>
      <w:bookmarkEnd w:id="68"/>
      <w:bookmarkStart w:id="69" w:name="_Toc12293"/>
      <w:r>
        <w:rPr>
          <w:sz w:val="24"/>
          <w:highlight w:val="none"/>
        </w:rPr>
        <w:t>1.10 投标预备会</w:t>
      </w:r>
      <w:bookmarkEnd w:id="69"/>
    </w:p>
    <w:p w14:paraId="24D952F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1.10.1 投标人须知前附表规定召开投标预备会的，招标人按投标人须知前附表规定的时间和地点召开投标预备会，澄清投标人提出的问题。</w:t>
      </w:r>
    </w:p>
    <w:p w14:paraId="12569C5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1.10.2 投标人应按投标人须知前附表规定的时间和形式将提出的问题送达招标人，以便招标人在会议期间澄清。</w:t>
      </w:r>
    </w:p>
    <w:p w14:paraId="410B8F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1.10.3 投标预备会后，招标人将对投标人所提问题的澄清，以投标人须知前附表规定的形式通知所有潜在投标人。该澄清内容为招标文件的组成部分。</w:t>
      </w:r>
    </w:p>
    <w:p w14:paraId="29A4A78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70" w:name="bookmark31"/>
      <w:bookmarkEnd w:id="70"/>
      <w:bookmarkStart w:id="71" w:name="_Toc19938"/>
      <w:r>
        <w:rPr>
          <w:sz w:val="24"/>
          <w:highlight w:val="none"/>
        </w:rPr>
        <w:t>1.11 分包</w:t>
      </w:r>
      <w:bookmarkEnd w:id="71"/>
    </w:p>
    <w:p w14:paraId="3C64EF2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本项目严禁分包。</w:t>
      </w:r>
    </w:p>
    <w:p w14:paraId="1C8D8ED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72" w:name="bookmark32"/>
      <w:bookmarkEnd w:id="72"/>
      <w:bookmarkStart w:id="73" w:name="_Toc29362"/>
      <w:r>
        <w:rPr>
          <w:sz w:val="24"/>
          <w:highlight w:val="none"/>
        </w:rPr>
        <w:t>1.12 响应和偏差</w:t>
      </w:r>
      <w:bookmarkEnd w:id="73"/>
    </w:p>
    <w:p w14:paraId="0A9D40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1.12.1 投标文件应当对招标文件的实质性要求和条件作出满足性或更有利于招标人的响应，否则，投标人的投标将被否决。实质性要求和条件见投标人须知前附表。</w:t>
      </w:r>
    </w:p>
    <w:p w14:paraId="6B556B5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1.12.2 投标人应根据招标文件的要求提供投标监理大纲等内容以对招标文件作出响应。</w:t>
      </w:r>
    </w:p>
    <w:p w14:paraId="675E08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1.12.3 投标人须知前附表允许投标文件偏离招标文件某些要求的，偏差应当符合招标文件规定的偏差范围和幅度。</w:t>
      </w:r>
    </w:p>
    <w:p w14:paraId="6B8C1F7F">
      <w:pPr>
        <w:pStyle w:val="5"/>
        <w:spacing w:before="120" w:after="120"/>
        <w:rPr>
          <w:rFonts w:cs="宋体"/>
          <w:highlight w:val="none"/>
        </w:rPr>
      </w:pPr>
      <w:bookmarkStart w:id="74" w:name="bookmark33"/>
      <w:bookmarkEnd w:id="74"/>
      <w:bookmarkStart w:id="75" w:name="_Toc5819"/>
      <w:r>
        <w:rPr>
          <w:rFonts w:cs="宋体"/>
          <w:highlight w:val="none"/>
        </w:rPr>
        <w:t>2.招标文件</w:t>
      </w:r>
      <w:bookmarkEnd w:id="75"/>
    </w:p>
    <w:p w14:paraId="2C1AFB9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sz w:val="24"/>
          <w:highlight w:val="none"/>
        </w:rPr>
      </w:pPr>
      <w:bookmarkStart w:id="76" w:name="bookmark34"/>
      <w:bookmarkEnd w:id="76"/>
      <w:bookmarkStart w:id="77" w:name="_Toc2597"/>
      <w:r>
        <w:rPr>
          <w:sz w:val="24"/>
          <w:highlight w:val="none"/>
        </w:rPr>
        <w:t>2.1 招标文件的组成</w:t>
      </w:r>
      <w:bookmarkEnd w:id="77"/>
    </w:p>
    <w:p w14:paraId="65565CF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本招标文件包括：</w:t>
      </w:r>
    </w:p>
    <w:p w14:paraId="1A18BF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（1）招标公告；</w:t>
      </w:r>
    </w:p>
    <w:p w14:paraId="740FC04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（2）投标人须知；</w:t>
      </w:r>
    </w:p>
    <w:p w14:paraId="532513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（3）评标办法；</w:t>
      </w:r>
    </w:p>
    <w:p w14:paraId="490878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（4）合同条款及格式；</w:t>
      </w:r>
    </w:p>
    <w:p w14:paraId="584DF18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（5）委托人要求；</w:t>
      </w:r>
    </w:p>
    <w:p w14:paraId="116BCFA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（6）投标文件格式；</w:t>
      </w:r>
    </w:p>
    <w:p w14:paraId="0ACA414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（7）投标人须知前附表规定的其他资料。</w:t>
      </w:r>
    </w:p>
    <w:p w14:paraId="46E2C80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根据本章第1.10款、第2.2款和第2.3款对招标文件所作的澄清、修改，构成招标文件的组成部分。</w:t>
      </w:r>
    </w:p>
    <w:p w14:paraId="45A066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78" w:name="bookmark38"/>
      <w:bookmarkEnd w:id="78"/>
      <w:bookmarkStart w:id="79" w:name="bookmark35"/>
      <w:bookmarkEnd w:id="79"/>
      <w:bookmarkStart w:id="80" w:name="_Toc3209"/>
      <w:r>
        <w:rPr>
          <w:sz w:val="24"/>
          <w:highlight w:val="none"/>
        </w:rPr>
        <w:t>2.2  招标文件的答疑</w:t>
      </w:r>
      <w:bookmarkEnd w:id="80"/>
    </w:p>
    <w:p w14:paraId="2290E6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投标人应仔细阅读和检查招标文件的全部内容。如有疑问，应按投标人须知前附表规定的时间和形式将提出的问题送达招标人，要求招标人对招标文件予以澄清。</w:t>
      </w:r>
    </w:p>
    <w:p w14:paraId="5A16E96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w:t>
      </w:r>
      <w:r>
        <w:rPr>
          <w:rFonts w:hint="eastAsia"/>
          <w:sz w:val="24"/>
          <w:highlight w:val="none"/>
        </w:rPr>
        <w:t xml:space="preserve">  </w:t>
      </w:r>
      <w:r>
        <w:rPr>
          <w:sz w:val="24"/>
          <w:highlight w:val="none"/>
        </w:rPr>
        <w:t>招标答疑采用网上答疑方式进行。投标人若对招标文件有疑问的，通过</w:t>
      </w:r>
      <w:r>
        <w:rPr>
          <w:rFonts w:hint="eastAsia"/>
          <w:sz w:val="24"/>
          <w:highlight w:val="none"/>
        </w:rPr>
        <w:t>广州交易集团有限公司（广州公共资源交易中心）</w:t>
      </w:r>
      <w:r>
        <w:rPr>
          <w:sz w:val="24"/>
          <w:highlight w:val="none"/>
        </w:rPr>
        <w:t>网站提交，应按照</w:t>
      </w:r>
      <w:r>
        <w:rPr>
          <w:rFonts w:hint="eastAsia"/>
          <w:sz w:val="24"/>
          <w:highlight w:val="none"/>
        </w:rPr>
        <w:t>广州交易集团有限公司（广州公共资源交易中心）</w:t>
      </w:r>
      <w:r>
        <w:rPr>
          <w:sz w:val="24"/>
          <w:highlight w:val="none"/>
        </w:rPr>
        <w:t>网站关于全流程电子化项目的相关指南进行操作。提问一律不得署名。</w:t>
      </w:r>
    </w:p>
    <w:p w14:paraId="0CECE05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招标答疑会会议纪要将在提交投标文件截止时间 15 日前在</w:t>
      </w:r>
      <w:r>
        <w:rPr>
          <w:rFonts w:hint="eastAsia"/>
          <w:sz w:val="24"/>
          <w:highlight w:val="none"/>
        </w:rPr>
        <w:t>广州交易集团有限公司（广州公共资源交易中心）</w:t>
      </w:r>
      <w:r>
        <w:rPr>
          <w:sz w:val="24"/>
          <w:highlight w:val="none"/>
        </w:rPr>
        <w:t>网站“项目答疑纪要”专区公开发布。答疑纪要一经在</w:t>
      </w:r>
      <w:r>
        <w:rPr>
          <w:rFonts w:hint="eastAsia"/>
          <w:sz w:val="24"/>
          <w:highlight w:val="none"/>
        </w:rPr>
        <w:t>广州交易集团有限公司（广州公共资源交易中心）</w:t>
      </w:r>
      <w:r>
        <w:rPr>
          <w:sz w:val="24"/>
          <w:highlight w:val="none"/>
        </w:rPr>
        <w:t>网站发布，视作已发放给所有投标人。</w:t>
      </w:r>
    </w:p>
    <w:p w14:paraId="5222A3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招标答疑会会议纪要是招标文件的组成部分，对投标人起约束作用。</w:t>
      </w:r>
    </w:p>
    <w:p w14:paraId="07D3927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2.2.5  若招标答疑会会议纪要与招标文件有矛盾时，以</w:t>
      </w:r>
      <w:r>
        <w:rPr>
          <w:rFonts w:hint="eastAsia"/>
          <w:sz w:val="24"/>
          <w:highlight w:val="none"/>
        </w:rPr>
        <w:t>广州交易集团有限公司（广州公共资源交易中心）</w:t>
      </w:r>
      <w:r>
        <w:rPr>
          <w:sz w:val="24"/>
          <w:highlight w:val="none"/>
        </w:rPr>
        <w:t>网站最后发布的答疑纪要为准。</w:t>
      </w:r>
    </w:p>
    <w:p w14:paraId="4C654E2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p>
    <w:p w14:paraId="5FCCB3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81" w:name="_Toc15850"/>
      <w:r>
        <w:rPr>
          <w:sz w:val="24"/>
          <w:highlight w:val="none"/>
        </w:rPr>
        <w:t>2.3  招标文件的澄清与修改</w:t>
      </w:r>
      <w:bookmarkEnd w:id="81"/>
    </w:p>
    <w:p w14:paraId="5900CF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2.3.1  招标文件发出后，在提交投标文件截止时间15日前，招标人可对招标文件进行必要的澄清或修改。</w:t>
      </w:r>
    </w:p>
    <w:p w14:paraId="6EF3E19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2.3.2  招标文件的澄清或修改将在</w:t>
      </w:r>
      <w:r>
        <w:rPr>
          <w:rFonts w:hint="eastAsia"/>
          <w:sz w:val="24"/>
          <w:highlight w:val="none"/>
        </w:rPr>
        <w:t>广州交易集团有限公司（广州公共资源交易中心）</w:t>
      </w:r>
      <w:r>
        <w:rPr>
          <w:sz w:val="24"/>
          <w:highlight w:val="none"/>
        </w:rPr>
        <w:t>网站“项目答疑纪要”专区公开发布。招标文件的澄清或修改一经在</w:t>
      </w:r>
      <w:r>
        <w:rPr>
          <w:rFonts w:hint="eastAsia"/>
          <w:sz w:val="24"/>
          <w:highlight w:val="none"/>
        </w:rPr>
        <w:t>广州交易集团有限公司（广州公共资源交易中心）</w:t>
      </w:r>
      <w:r>
        <w:rPr>
          <w:sz w:val="24"/>
          <w:highlight w:val="none"/>
        </w:rPr>
        <w:t>网站发布，视作已发放给所有投标人，以</w:t>
      </w:r>
      <w:r>
        <w:rPr>
          <w:rFonts w:hint="eastAsia"/>
          <w:sz w:val="24"/>
          <w:highlight w:val="none"/>
        </w:rPr>
        <w:t>广州交易集团有限公司（广州公共资源交易中心）</w:t>
      </w:r>
      <w:r>
        <w:rPr>
          <w:sz w:val="24"/>
          <w:highlight w:val="none"/>
        </w:rPr>
        <w:t>网站发布时间作为送达时间。</w:t>
      </w:r>
    </w:p>
    <w:p w14:paraId="2DC1097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2.3.3  招标文件的澄清或修改是招标文件的组成部分，对投标人起约束作用。</w:t>
      </w:r>
    </w:p>
    <w:p w14:paraId="58F26F2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2.3.4  招标文件的澄清或修改均以</w:t>
      </w:r>
      <w:r>
        <w:rPr>
          <w:rFonts w:hint="eastAsia"/>
          <w:sz w:val="24"/>
          <w:highlight w:val="none"/>
        </w:rPr>
        <w:t>广州交易集团有限公司（广州公共资源交易中心）</w:t>
      </w:r>
      <w:r>
        <w:rPr>
          <w:sz w:val="24"/>
          <w:highlight w:val="none"/>
        </w:rPr>
        <w:t>网站发布的内容为准。当招标文件的澄清、修改、补充等在同一内容的表述不一致时，以</w:t>
      </w:r>
      <w:r>
        <w:rPr>
          <w:rFonts w:hint="eastAsia"/>
          <w:sz w:val="24"/>
          <w:highlight w:val="none"/>
        </w:rPr>
        <w:t>广州交易集团有限公司（广州公共资源交易中心）</w:t>
      </w:r>
      <w:r>
        <w:rPr>
          <w:sz w:val="24"/>
          <w:highlight w:val="none"/>
        </w:rPr>
        <w:t>网站最后发布的内容为准。</w:t>
      </w:r>
    </w:p>
    <w:p w14:paraId="1005ED5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spacing w:val="-11"/>
          <w:sz w:val="24"/>
          <w:highlight w:val="none"/>
        </w:rPr>
        <w:t>，即表示投标时间不延长。</w:t>
      </w:r>
    </w:p>
    <w:p w14:paraId="6B682FFF">
      <w:pPr>
        <w:pStyle w:val="5"/>
        <w:spacing w:before="120" w:after="120"/>
        <w:rPr>
          <w:rFonts w:cs="宋体"/>
          <w:highlight w:val="none"/>
        </w:rPr>
      </w:pPr>
      <w:bookmarkStart w:id="82" w:name="_Toc21710"/>
      <w:r>
        <w:rPr>
          <w:rFonts w:cs="宋体"/>
          <w:highlight w:val="none"/>
        </w:rPr>
        <w:t>3.投标文件</w:t>
      </w:r>
      <w:bookmarkEnd w:id="82"/>
    </w:p>
    <w:p w14:paraId="059F1DA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3" w:name="bookmark39"/>
      <w:bookmarkEnd w:id="83"/>
      <w:bookmarkStart w:id="84" w:name="_Toc20731"/>
      <w:r>
        <w:rPr>
          <w:rFonts w:cs="宋体"/>
          <w:sz w:val="24"/>
          <w:highlight w:val="none"/>
        </w:rPr>
        <w:t>3.1 投标文件的组成</w:t>
      </w:r>
      <w:bookmarkEnd w:id="84"/>
    </w:p>
    <w:p w14:paraId="2D2F02E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投标文件应包括下列内容：</w:t>
      </w:r>
    </w:p>
    <w:p w14:paraId="73F1564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（1）投标函及投标函附录；</w:t>
      </w:r>
    </w:p>
    <w:p w14:paraId="265D2E6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（2）法定代表人身份证明或授权委托书；</w:t>
      </w:r>
    </w:p>
    <w:p w14:paraId="3FCD3D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3</w:t>
      </w:r>
      <w:r>
        <w:rPr>
          <w:sz w:val="24"/>
          <w:highlight w:val="none"/>
        </w:rPr>
        <w:t>）监理报酬清单；</w:t>
      </w:r>
    </w:p>
    <w:p w14:paraId="1FD0DD1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4</w:t>
      </w:r>
      <w:r>
        <w:rPr>
          <w:sz w:val="24"/>
          <w:highlight w:val="none"/>
        </w:rPr>
        <w:t>）资格审查资料；</w:t>
      </w:r>
    </w:p>
    <w:p w14:paraId="15E141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5</w:t>
      </w:r>
      <w:r>
        <w:rPr>
          <w:sz w:val="24"/>
          <w:highlight w:val="none"/>
        </w:rPr>
        <w:t>）监理大纲；</w:t>
      </w:r>
    </w:p>
    <w:p w14:paraId="4132DE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6</w:t>
      </w:r>
      <w:r>
        <w:rPr>
          <w:sz w:val="24"/>
          <w:highlight w:val="none"/>
        </w:rPr>
        <w:t>）</w:t>
      </w:r>
      <w:r>
        <w:rPr>
          <w:rFonts w:hint="eastAsia"/>
          <w:sz w:val="24"/>
          <w:highlight w:val="none"/>
          <w:u w:val="single"/>
        </w:rPr>
        <w:t>其他资料</w:t>
      </w:r>
      <w:r>
        <w:rPr>
          <w:rFonts w:hint="eastAsia"/>
          <w:sz w:val="24"/>
          <w:highlight w:val="none"/>
        </w:rPr>
        <w:t>。投标人在评标过程中作出的符合法律法规和招标文件规定的澄清确认，构成投标文件的组成部分</w:t>
      </w:r>
      <w:r>
        <w:rPr>
          <w:rFonts w:hint="eastAsia"/>
          <w:sz w:val="24"/>
          <w:highlight w:val="none"/>
          <w:lang w:eastAsia="zh-CN"/>
        </w:rPr>
        <w:t>。</w:t>
      </w:r>
    </w:p>
    <w:p w14:paraId="30F880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投标人须知前附表规定不接受联合体投标的，或投标人没有组成联合体的，投标文件不包括本章第 3.1.1（3）目所指的联合体协议书。</w:t>
      </w:r>
    </w:p>
    <w:p w14:paraId="4034FB4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投标人须知前附表未要求提交投标保证金的，投标文件不包括本章第 3.1.1（4）目所指的投标保证金。</w:t>
      </w:r>
    </w:p>
    <w:p w14:paraId="4FCDE2A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5" w:name="bookmark40"/>
      <w:bookmarkEnd w:id="85"/>
      <w:bookmarkStart w:id="86" w:name="_Toc5145"/>
      <w:r>
        <w:rPr>
          <w:rFonts w:cs="宋体"/>
          <w:sz w:val="24"/>
          <w:highlight w:val="none"/>
        </w:rPr>
        <w:t>3.2 投标报价</w:t>
      </w:r>
      <w:bookmarkEnd w:id="86"/>
    </w:p>
    <w:p w14:paraId="0006AD8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3.2.1 投标报价应包括国家规定的增值税税金，除投标人须知前附表另有规定外，增值税税金按一般计税方法计算。投标人应按第六章“投标文件格式”的要求在投标函</w:t>
      </w:r>
      <w:r>
        <w:rPr>
          <w:rFonts w:hint="eastAsia" w:ascii="宋体" w:hAnsi="宋体" w:eastAsia="宋体" w:cs="宋体"/>
          <w:b w:val="0"/>
          <w:bCs w:val="0"/>
          <w:color w:val="auto"/>
          <w:sz w:val="24"/>
          <w:szCs w:val="24"/>
          <w:highlight w:val="none"/>
          <w:u w:val="single"/>
        </w:rPr>
        <w:t>及投标函附录</w:t>
      </w:r>
      <w:r>
        <w:rPr>
          <w:sz w:val="24"/>
          <w:highlight w:val="none"/>
        </w:rPr>
        <w:t>中进行报价并填写监理报酬清单。</w:t>
      </w:r>
    </w:p>
    <w:p w14:paraId="200BDC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3.2.2 投标人应充分了解该项目的总体情况以及影响投标报价的其他要素。</w:t>
      </w:r>
    </w:p>
    <w:p w14:paraId="690C326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3.2.3 本项目的报价方式见投标人须知前附表。投标人在投标截止时间前修改投标函</w:t>
      </w:r>
      <w:r>
        <w:rPr>
          <w:rFonts w:hint="eastAsia" w:ascii="宋体" w:hAnsi="宋体" w:eastAsia="宋体" w:cs="宋体"/>
          <w:b w:val="0"/>
          <w:bCs w:val="0"/>
          <w:color w:val="auto"/>
          <w:sz w:val="24"/>
          <w:szCs w:val="24"/>
          <w:highlight w:val="none"/>
          <w:u w:val="single"/>
        </w:rPr>
        <w:t>及投标函附录</w:t>
      </w:r>
      <w:r>
        <w:rPr>
          <w:sz w:val="24"/>
          <w:highlight w:val="none"/>
        </w:rPr>
        <w:t>中的投标报价总额，应同时修改投标文件“监理报酬清单”中的相应报价。此修改须符合本章第4.3款的有关要求。</w:t>
      </w:r>
    </w:p>
    <w:p w14:paraId="2F1C58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招标人设有最高投标限价的，投标人的投标报价不得超过最高投标限价，最高投标限价在投标人须知前附表中载明。</w:t>
      </w:r>
    </w:p>
    <w:p w14:paraId="6DF397D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3.2.5 投标报价的其他要求见投标人须知前附表。</w:t>
      </w:r>
    </w:p>
    <w:p w14:paraId="26EE0DD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87" w:name="bookmark41"/>
      <w:bookmarkEnd w:id="87"/>
      <w:bookmarkStart w:id="88" w:name="_Toc30013"/>
      <w:r>
        <w:rPr>
          <w:rFonts w:cs="宋体"/>
          <w:sz w:val="24"/>
          <w:highlight w:val="none"/>
        </w:rPr>
        <w:t>3.3 投标有效期</w:t>
      </w:r>
      <w:bookmarkEnd w:id="88"/>
    </w:p>
    <w:p w14:paraId="6F3F84E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3.3.1 除投标人须知前附表另有规定外，投标有效期为 90 天。</w:t>
      </w:r>
    </w:p>
    <w:p w14:paraId="160E83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3.3.2 在投标有效期内，投标人撤销投标文件的，应承担招标文件和法律规定的责任。</w:t>
      </w:r>
    </w:p>
    <w:p w14:paraId="477C7D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z w:val="24"/>
          <w:highlight w:val="none"/>
        </w:rPr>
        <w:t>3.3.3 出现特殊情况需要延长投标有效期的，招标人以书面形式通知所有投标人延长投标有效期。投标人应予以书面答复，同意延长的，</w:t>
      </w:r>
      <w:r>
        <w:rPr>
          <w:strike/>
          <w:sz w:val="24"/>
          <w:highlight w:val="none"/>
        </w:rPr>
        <w:t>应相应延长其投标保证金的有效期，但</w:t>
      </w:r>
      <w:r>
        <w:rPr>
          <w:sz w:val="24"/>
          <w:highlight w:val="none"/>
        </w:rPr>
        <w:t>不得要求或被允许修改其投标文件；投标人拒绝延长的，其投标失效，</w:t>
      </w:r>
      <w:r>
        <w:rPr>
          <w:strike/>
          <w:sz w:val="24"/>
          <w:highlight w:val="none"/>
        </w:rPr>
        <w:t>但投标人有权收回其投标保证金及以现金或者支票形式递交的投标保证金的银行同期存款利息。</w:t>
      </w:r>
    </w:p>
    <w:p w14:paraId="47BB76A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trike/>
          <w:sz w:val="27"/>
          <w:highlight w:val="none"/>
        </w:rPr>
      </w:pPr>
      <w:bookmarkStart w:id="89" w:name="bookmark42"/>
      <w:bookmarkEnd w:id="89"/>
      <w:bookmarkStart w:id="90" w:name="_Toc7684"/>
      <w:r>
        <w:rPr>
          <w:rFonts w:cs="宋体"/>
          <w:strike/>
          <w:sz w:val="24"/>
          <w:highlight w:val="none"/>
        </w:rPr>
        <w:t>3.4  投标保证金</w:t>
      </w:r>
      <w:bookmarkEnd w:id="90"/>
    </w:p>
    <w:p w14:paraId="42C259D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400D96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3.4.2 开标时投标人没有按要求提交投标保证金的，其投标文件将被否决。</w:t>
      </w:r>
    </w:p>
    <w:p w14:paraId="3E42417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3.4.3 中标候选人以外的投标人的投标保证金将尽快退还，最迟不超过中标通知书发出之日起五日内；中标人和其他中标候选人的投标保证金，在书面合同订立之日起五日内予以退还。</w:t>
      </w:r>
    </w:p>
    <w:p w14:paraId="22A75E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3.4.4 有下列情形之一的，投标保证金将不予退还：</w:t>
      </w:r>
    </w:p>
    <w:p w14:paraId="027154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(1) 投标人在规定的投标有效期内撤销其投标文件；</w:t>
      </w:r>
    </w:p>
    <w:p w14:paraId="34BAA27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(2) 中标人在收到中标通知书后，无正当理由不与招标人订立合同，在签订合同时向招标 人提出附加条件，或者不按照招标文件要求提交履约保证金。</w:t>
      </w:r>
    </w:p>
    <w:p w14:paraId="6785B40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91" w:name="bookmark43"/>
      <w:bookmarkEnd w:id="91"/>
      <w:bookmarkStart w:id="92" w:name="bookmark44"/>
      <w:bookmarkEnd w:id="92"/>
      <w:bookmarkStart w:id="93" w:name="_Toc7177"/>
      <w:r>
        <w:rPr>
          <w:rFonts w:cs="宋体"/>
          <w:sz w:val="24"/>
          <w:highlight w:val="none"/>
        </w:rPr>
        <w:t>3.5 资格审查资料</w:t>
      </w:r>
      <w:bookmarkEnd w:id="93"/>
    </w:p>
    <w:p w14:paraId="245F111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除投标人须知前附表另有规定外，投标人应按下列规定提供资格审查资料，以证明其满足本章第 1.4 款规定的资质、财务、业绩、信誉等要求。</w:t>
      </w:r>
    </w:p>
    <w:p w14:paraId="010934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3.5.1 “投标人基本情况表”应附投标人营业执照、投标人监理资质证书副本等材料的扫描件。</w:t>
      </w:r>
    </w:p>
    <w:p w14:paraId="100F7B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3.5.2 “近年完成的类似监理项目情况表”应附中标通知书和（或）合同协议书、委托人出具的证明文件；具体时间要求见投标人须知前附表，每张表格只填写一个项目，并标明序号。</w:t>
      </w:r>
    </w:p>
    <w:p w14:paraId="428F19B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Pr>
          <w:rFonts w:hint="eastAsia"/>
          <w:sz w:val="24"/>
          <w:highlight w:val="none"/>
        </w:rPr>
        <w:t>（注：</w:t>
      </w:r>
      <w:r>
        <w:rPr>
          <w:rFonts w:hint="eastAsia"/>
          <w:sz w:val="24"/>
          <w:highlight w:val="none"/>
          <w:lang w:val="en-US" w:eastAsia="zh-CN"/>
        </w:rPr>
        <w:t>除总监外，其他</w:t>
      </w:r>
      <w:r>
        <w:rPr>
          <w:rFonts w:hint="eastAsia"/>
          <w:sz w:val="24"/>
          <w:highlight w:val="none"/>
        </w:rPr>
        <w:t>人员社保要求：</w:t>
      </w:r>
      <w:bookmarkStart w:id="94" w:name="OLE_LINK3"/>
      <w:r>
        <w:rPr>
          <w:rFonts w:hint="eastAsia"/>
          <w:sz w:val="24"/>
          <w:highlight w:val="none"/>
        </w:rPr>
        <w:t>具有离投标截止时间最近的至少1个月（202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7</w:t>
      </w:r>
      <w:r>
        <w:rPr>
          <w:rFonts w:hint="eastAsia"/>
          <w:sz w:val="24"/>
          <w:highlight w:val="none"/>
        </w:rPr>
        <w:t>月）在本单位缴纳的社保证明文件</w:t>
      </w:r>
      <w:bookmarkEnd w:id="94"/>
      <w:r>
        <w:rPr>
          <w:rFonts w:hint="eastAsia"/>
          <w:sz w:val="24"/>
          <w:highlight w:val="none"/>
        </w:rPr>
        <w:t>（已退休人员提供退休证）。）</w:t>
      </w:r>
    </w:p>
    <w:p w14:paraId="3DB800A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3.5.4 投标人须知前附表规定接受联合体投标的，本章第3.5.1 项至第3.5.3项规定的表格和资料应包括联合体各方相关情况。</w:t>
      </w:r>
    </w:p>
    <w:p w14:paraId="04F49E6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5" w:name="bookmark45"/>
      <w:bookmarkEnd w:id="95"/>
      <w:bookmarkStart w:id="96" w:name="_Toc25118"/>
      <w:r>
        <w:rPr>
          <w:rFonts w:cs="宋体"/>
          <w:sz w:val="24"/>
          <w:highlight w:val="none"/>
        </w:rPr>
        <w:t>3.6 备选投标方案</w:t>
      </w:r>
      <w:bookmarkEnd w:id="96"/>
    </w:p>
    <w:p w14:paraId="139B20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3.6.1 除投标人须知前附表规定允许外，投标人不得递交备选投标方案，否则其投标将被否决。</w:t>
      </w:r>
    </w:p>
    <w:p w14:paraId="10CEA6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47E912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3.6.3 投标人提供两个或两个以上投标报价，或者在投标文件中提供一个报价，但同时提供两个或两个以上监理方案的，视为提供备选方案。</w:t>
      </w:r>
    </w:p>
    <w:p w14:paraId="1B787B5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97" w:name="bookmark46"/>
      <w:bookmarkEnd w:id="97"/>
      <w:bookmarkStart w:id="98" w:name="_Toc5084"/>
      <w:r>
        <w:rPr>
          <w:rFonts w:cs="宋体"/>
          <w:sz w:val="24"/>
          <w:highlight w:val="none"/>
        </w:rPr>
        <w:t>3.7 投标文件的编制</w:t>
      </w:r>
      <w:bookmarkEnd w:id="98"/>
    </w:p>
    <w:p w14:paraId="4CAB78F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185E4D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3.7.2  投标文件应当对招标文件有关监理服务期限、投标有效期、委托人要求、招标范围等实质性内容作出响应。</w:t>
      </w:r>
    </w:p>
    <w:p w14:paraId="76ECC70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kern w:val="2"/>
          <w:sz w:val="24"/>
          <w:highlight w:val="none"/>
        </w:rPr>
        <w:t>（</w:t>
      </w:r>
      <w:r>
        <w:rPr>
          <w:rFonts w:ascii="Calibri" w:hAnsi="Calibri"/>
          <w:kern w:val="2"/>
          <w:sz w:val="24"/>
          <w:highlight w:val="none"/>
        </w:rPr>
        <w:t>可靠的电子签名与手写签名或者盖章具有同等的法律效力</w:t>
      </w:r>
      <w:r>
        <w:rPr>
          <w:rFonts w:hint="eastAsia"/>
          <w:kern w:val="2"/>
          <w:sz w:val="24"/>
          <w:highlight w:val="none"/>
        </w:rPr>
        <w:t>）</w:t>
      </w:r>
      <w:r>
        <w:rPr>
          <w:sz w:val="24"/>
          <w:highlight w:val="none"/>
        </w:rPr>
        <w:t>。按照</w:t>
      </w:r>
      <w:r>
        <w:rPr>
          <w:rFonts w:hint="eastAsia"/>
          <w:sz w:val="24"/>
          <w:highlight w:val="none"/>
        </w:rPr>
        <w:t>广州交易集团有限公司（广州公共资源交易中心）</w:t>
      </w:r>
      <w:r>
        <w:rPr>
          <w:sz w:val="24"/>
          <w:highlight w:val="none"/>
        </w:rPr>
        <w:t>网站关于全流程电子化项目的相关指南进行操作。</w:t>
      </w:r>
    </w:p>
    <w:p w14:paraId="79382A3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highlight w:val="none"/>
        </w:rPr>
      </w:pPr>
      <w:r>
        <w:rPr>
          <w:strike/>
          <w:sz w:val="24"/>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7274D3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3.7.5 </w:t>
      </w:r>
      <w:r>
        <w:rPr>
          <w:rFonts w:hint="eastAsia"/>
          <w:sz w:val="24"/>
          <w:highlight w:val="none"/>
        </w:rPr>
        <w:t xml:space="preserve"> </w:t>
      </w:r>
      <w:r>
        <w:rPr>
          <w:sz w:val="24"/>
          <w:highlight w:val="none"/>
        </w:rPr>
        <w:t>投标文件应按照</w:t>
      </w:r>
      <w:r>
        <w:rPr>
          <w:rFonts w:hint="eastAsia"/>
          <w:sz w:val="24"/>
          <w:highlight w:val="none"/>
        </w:rPr>
        <w:t>广州交易集团有限公司（广州公共资源交易中心）</w:t>
      </w:r>
      <w:r>
        <w:rPr>
          <w:sz w:val="24"/>
          <w:highlight w:val="none"/>
        </w:rPr>
        <w:t>网站关于全流程电子化项目的相关指南进行编制。如因不按上述编排要求编制而所引起系统无法检索、读取相关信息时，其后果将由投标人自行承担。</w:t>
      </w:r>
    </w:p>
    <w:p w14:paraId="72DAD2B1">
      <w:pPr>
        <w:pStyle w:val="5"/>
        <w:spacing w:before="120" w:after="120"/>
        <w:rPr>
          <w:rFonts w:cs="宋体"/>
          <w:highlight w:val="none"/>
        </w:rPr>
      </w:pPr>
      <w:bookmarkStart w:id="99" w:name="bookmark47"/>
      <w:bookmarkEnd w:id="99"/>
      <w:bookmarkStart w:id="100" w:name="_Toc25949"/>
      <w:r>
        <w:rPr>
          <w:rFonts w:cs="宋体"/>
          <w:highlight w:val="none"/>
        </w:rPr>
        <w:t>4.投标</w:t>
      </w:r>
      <w:bookmarkEnd w:id="100"/>
    </w:p>
    <w:p w14:paraId="50AA757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1" w:name="bookmark48"/>
      <w:bookmarkEnd w:id="101"/>
      <w:bookmarkStart w:id="102" w:name="_Toc9375"/>
      <w:r>
        <w:rPr>
          <w:rFonts w:cs="宋体"/>
          <w:sz w:val="24"/>
          <w:highlight w:val="none"/>
        </w:rPr>
        <w:t>4.1  投标文件的加密</w:t>
      </w:r>
      <w:bookmarkEnd w:id="102"/>
    </w:p>
    <w:p w14:paraId="026DD9A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03" w:name="bookmark49"/>
      <w:bookmarkEnd w:id="103"/>
      <w:r>
        <w:rPr>
          <w:sz w:val="24"/>
          <w:highlight w:val="none"/>
        </w:rPr>
        <w:t xml:space="preserve">4.1.1 </w:t>
      </w:r>
      <w:r>
        <w:rPr>
          <w:rFonts w:hint="eastAsia"/>
          <w:sz w:val="24"/>
          <w:highlight w:val="none"/>
        </w:rPr>
        <w:t xml:space="preserve"> </w:t>
      </w:r>
      <w:r>
        <w:rPr>
          <w:sz w:val="24"/>
          <w:highlight w:val="none"/>
        </w:rPr>
        <w:t>递交的电子投标文件（不含备用光盘）必须进行加密。按照</w:t>
      </w:r>
      <w:r>
        <w:rPr>
          <w:rFonts w:hint="eastAsia"/>
          <w:sz w:val="24"/>
          <w:highlight w:val="none"/>
        </w:rPr>
        <w:t>广州交易集团有限公司（广州公共资源交易中心）</w:t>
      </w:r>
      <w:r>
        <w:rPr>
          <w:sz w:val="24"/>
          <w:highlight w:val="none"/>
        </w:rPr>
        <w:t>网站关于全流程电子化项目的相关指南进行操作。</w:t>
      </w:r>
    </w:p>
    <w:p w14:paraId="7D3688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4.1.2  未按要求加密的投标文件，</w:t>
      </w:r>
      <w:r>
        <w:rPr>
          <w:rFonts w:hint="eastAsia"/>
          <w:sz w:val="24"/>
          <w:highlight w:val="none"/>
        </w:rPr>
        <w:t>广州交易集团有限公司（广州公共资源交易中心）</w:t>
      </w:r>
      <w:r>
        <w:rPr>
          <w:sz w:val="24"/>
          <w:highlight w:val="none"/>
        </w:rPr>
        <w:t>网站交易平台将予以拒收。</w:t>
      </w:r>
    </w:p>
    <w:p w14:paraId="39A8DE8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4" w:name="_Toc21435"/>
      <w:r>
        <w:rPr>
          <w:rFonts w:cs="宋体"/>
          <w:sz w:val="24"/>
          <w:highlight w:val="none"/>
        </w:rPr>
        <w:t>4.2  投标文件的递交</w:t>
      </w:r>
      <w:bookmarkEnd w:id="104"/>
    </w:p>
    <w:p w14:paraId="3B1C2B4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05" w:name="bookmark50"/>
      <w:bookmarkEnd w:id="105"/>
      <w:r>
        <w:rPr>
          <w:sz w:val="24"/>
          <w:highlight w:val="none"/>
        </w:rPr>
        <w:t>4.2.1  投标人应在投标人须知前附表规定的投标截止时间前，通过</w:t>
      </w:r>
      <w:r>
        <w:rPr>
          <w:rFonts w:hint="eastAsia"/>
          <w:sz w:val="24"/>
          <w:highlight w:val="none"/>
        </w:rPr>
        <w:t>广州交易集团有限公司（广州公共资源交易中心）</w:t>
      </w:r>
      <w:r>
        <w:rPr>
          <w:sz w:val="24"/>
          <w:highlight w:val="none"/>
        </w:rPr>
        <w:t>网站交易平台递交电子投标文件。</w:t>
      </w:r>
    </w:p>
    <w:p w14:paraId="2EC884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4.2.2  投标人完成电子投标文件上传后，</w:t>
      </w:r>
      <w:r>
        <w:rPr>
          <w:rFonts w:hint="eastAsia"/>
          <w:sz w:val="24"/>
          <w:highlight w:val="none"/>
        </w:rPr>
        <w:t>广州交易集团有限公司（广州公共资源交易中心）</w:t>
      </w:r>
      <w:r>
        <w:rPr>
          <w:sz w:val="24"/>
          <w:highlight w:val="none"/>
        </w:rPr>
        <w:t>网站交易平台即时向投标人发出递交回执通知。递交时间以递交回执通知载明的传输完成时间为准。</w:t>
      </w:r>
    </w:p>
    <w:p w14:paraId="2C538FA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4.2.3  逾期送达的电子投标文件，</w:t>
      </w:r>
      <w:r>
        <w:rPr>
          <w:rFonts w:hint="eastAsia"/>
          <w:sz w:val="24"/>
          <w:highlight w:val="none"/>
        </w:rPr>
        <w:t>广州交易集团有限公司（广州公共资源交易中心）</w:t>
      </w:r>
      <w:r>
        <w:rPr>
          <w:sz w:val="24"/>
          <w:highlight w:val="none"/>
        </w:rPr>
        <w:t>网站交易平台将予以拒收。</w:t>
      </w:r>
    </w:p>
    <w:p w14:paraId="419CD0B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4.2.4  投标截止前，招标人拒绝接收符合条件的投标文件，投标人可向招标监督机构投诉。</w:t>
      </w:r>
      <w:bookmarkStart w:id="106" w:name="_bookmark83"/>
      <w:bookmarkEnd w:id="106"/>
    </w:p>
    <w:p w14:paraId="19F7563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7" w:name="_Toc10029"/>
      <w:r>
        <w:rPr>
          <w:rFonts w:cs="宋体"/>
          <w:sz w:val="24"/>
          <w:highlight w:val="none"/>
        </w:rPr>
        <w:t>4.3  投标文件的修改与撤回</w:t>
      </w:r>
      <w:bookmarkEnd w:id="107"/>
    </w:p>
    <w:p w14:paraId="2E98BE9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4.3.1  在规定的投标截止时间前， 投标人可以修改或撤回已递交的投标文件， 但应以书面形式通知招标人。</w:t>
      </w:r>
    </w:p>
    <w:p w14:paraId="54AD0CD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4.3.2  投标人修改或撤回已递交投标文件,需在交易平台发出修改或撤回通知，并按要求加盖电子印章。电子招标投标交易平台收到通知后，即时向投标人发出确认回执通知。</w:t>
      </w:r>
    </w:p>
    <w:p w14:paraId="6FDA29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4.3.3  修改后再次递交的，按第4.2项的规定执行。</w:t>
      </w:r>
    </w:p>
    <w:p w14:paraId="3C58D0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4.3.4  在投标截止时间之后，投标人不得补充、修改和更换投标文件。</w:t>
      </w:r>
    </w:p>
    <w:p w14:paraId="35C62246">
      <w:pPr>
        <w:pStyle w:val="5"/>
        <w:spacing w:before="120" w:after="120"/>
        <w:rPr>
          <w:rFonts w:cs="宋体"/>
          <w:highlight w:val="none"/>
        </w:rPr>
      </w:pPr>
      <w:bookmarkStart w:id="108" w:name="bookmark51"/>
      <w:bookmarkEnd w:id="108"/>
      <w:bookmarkStart w:id="109" w:name="_Toc21556"/>
      <w:r>
        <w:rPr>
          <w:rFonts w:cs="宋体"/>
          <w:highlight w:val="none"/>
        </w:rPr>
        <w:t>5.开标</w:t>
      </w:r>
      <w:bookmarkEnd w:id="109"/>
    </w:p>
    <w:p w14:paraId="137F1CF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0" w:name="bookmark52"/>
      <w:bookmarkEnd w:id="110"/>
      <w:bookmarkStart w:id="111" w:name="bookmark53"/>
      <w:bookmarkEnd w:id="111"/>
      <w:bookmarkStart w:id="112" w:name="_Toc14844"/>
      <w:r>
        <w:rPr>
          <w:rFonts w:cs="宋体"/>
          <w:sz w:val="24"/>
          <w:highlight w:val="none"/>
        </w:rPr>
        <w:t>5.1 开标时间和地点</w:t>
      </w:r>
      <w:bookmarkEnd w:id="112"/>
    </w:p>
    <w:p w14:paraId="3A042A7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13" w:name="bookmark54"/>
      <w:bookmarkEnd w:id="113"/>
      <w:r>
        <w:rPr>
          <w:sz w:val="24"/>
          <w:highlight w:val="none"/>
        </w:rPr>
        <w:t>5.1.1  招标人按投标须知前附表规定的时间和地点公开开标。截标后，开标开始时间因故推迟的，相关评标信息仍以原定的开标开始时间的信息为准。</w:t>
      </w:r>
    </w:p>
    <w:p w14:paraId="3A674F0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715052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4" w:name="_Toc22847"/>
      <w:r>
        <w:rPr>
          <w:rFonts w:cs="宋体"/>
          <w:sz w:val="24"/>
          <w:highlight w:val="none"/>
        </w:rPr>
        <w:t>5.2 开标程序</w:t>
      </w:r>
      <w:bookmarkEnd w:id="114"/>
    </w:p>
    <w:p w14:paraId="131F93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15" w:name="bookmark55"/>
      <w:bookmarkEnd w:id="115"/>
      <w:r>
        <w:rPr>
          <w:sz w:val="24"/>
          <w:highlight w:val="none"/>
        </w:rPr>
        <w:t>5.2.1  在投标截止时间后</w:t>
      </w:r>
      <w:r>
        <w:rPr>
          <w:sz w:val="24"/>
          <w:highlight w:val="none"/>
          <w:u w:val="single"/>
        </w:rPr>
        <w:t>半小时</w:t>
      </w:r>
      <w:r>
        <w:rPr>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66F2F5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5.2.2  按开标记录表规定的内容进行唱标。</w:t>
      </w:r>
    </w:p>
    <w:p w14:paraId="233B26D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5.2.3  投标人代表、招标人代表、监标人、记录人等有关人员在开标记录上签字确认；若有关人员不签字的，不影响开标程序。</w:t>
      </w:r>
    </w:p>
    <w:p w14:paraId="449F020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5.2.4  开标结束。</w:t>
      </w:r>
    </w:p>
    <w:p w14:paraId="747CBB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5C6AC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5.2.6  开标时，两个（含两个）以上的投标人加密打包投标文件电脑机器特征码一致的，不参与下一程序，并由评标委员会否决其投标。</w:t>
      </w:r>
    </w:p>
    <w:p w14:paraId="26A1111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16" w:name="_Toc1043"/>
      <w:r>
        <w:rPr>
          <w:rFonts w:cs="宋体"/>
          <w:sz w:val="24"/>
          <w:highlight w:val="none"/>
        </w:rPr>
        <w:t>5.3  开标异议</w:t>
      </w:r>
      <w:bookmarkEnd w:id="116"/>
    </w:p>
    <w:p w14:paraId="3DCB61B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5.3.1  参加现场开标的投标人对开标结果有异议的，应当在开标现场提出，招标人应当当场作出答复，并制作记录。</w:t>
      </w:r>
    </w:p>
    <w:p w14:paraId="7E46EEE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9D3A7E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5.3.3  投标人未参加开标或在规定的时间内未提出异议的，视为对开标无异议。</w:t>
      </w:r>
    </w:p>
    <w:p w14:paraId="6CFAD06E">
      <w:pPr>
        <w:pStyle w:val="5"/>
        <w:spacing w:before="120" w:after="120"/>
        <w:rPr>
          <w:rFonts w:ascii="Microsoft JhengHei" w:hAnsi="Microsoft JhengHei" w:eastAsia="Microsoft JhengHei"/>
          <w:b w:val="0"/>
          <w:sz w:val="30"/>
          <w:highlight w:val="none"/>
        </w:rPr>
      </w:pPr>
      <w:bookmarkStart w:id="117" w:name="bookmark56"/>
      <w:bookmarkEnd w:id="117"/>
      <w:bookmarkStart w:id="118" w:name="_Toc14961"/>
      <w:r>
        <w:rPr>
          <w:rFonts w:cs="宋体"/>
          <w:highlight w:val="none"/>
        </w:rPr>
        <w:t>6.评标</w:t>
      </w:r>
      <w:bookmarkEnd w:id="118"/>
    </w:p>
    <w:p w14:paraId="4C0E945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9" w:name="bookmark57"/>
      <w:bookmarkEnd w:id="119"/>
      <w:bookmarkStart w:id="120" w:name="_Toc16566"/>
      <w:r>
        <w:rPr>
          <w:rFonts w:cs="宋体"/>
          <w:sz w:val="24"/>
          <w:highlight w:val="none"/>
        </w:rPr>
        <w:t>6.1  评标委员会</w:t>
      </w:r>
      <w:bookmarkEnd w:id="120"/>
    </w:p>
    <w:p w14:paraId="3DE9302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6.1.1 </w:t>
      </w:r>
      <w:r>
        <w:rPr>
          <w:rFonts w:cs="宋体"/>
          <w:sz w:val="24"/>
          <w:highlight w:val="none"/>
        </w:rPr>
        <w:t>评标由招标人依法组建的评标委员会负责。评标委员会由有关技术、经济等方面的专家和招标人代表组成，专家从广东省综合评标评审专家库中抽取。评标委员会成员人数以及技术、经济等方面专家的确定方式见投标人须知前附表</w:t>
      </w:r>
      <w:r>
        <w:rPr>
          <w:sz w:val="24"/>
          <w:highlight w:val="none"/>
        </w:rPr>
        <w:t>。</w:t>
      </w:r>
    </w:p>
    <w:p w14:paraId="38643C7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6.1.2 评标委员会成员有下列情形之一的，应当回避：</w:t>
      </w:r>
    </w:p>
    <w:p w14:paraId="332CE5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（1）投标人或投标人主要负责人的近亲属；</w:t>
      </w:r>
    </w:p>
    <w:p w14:paraId="32CA39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（2）项目主管部门或者行政监督部门的人员；</w:t>
      </w:r>
    </w:p>
    <w:p w14:paraId="6876D358">
      <w:pPr>
        <w:spacing w:line="360" w:lineRule="auto"/>
        <w:ind w:firstLine="480" w:firstLineChars="200"/>
        <w:rPr>
          <w:highlight w:val="none"/>
        </w:rPr>
      </w:pPr>
      <w:r>
        <w:rPr>
          <w:rFonts w:hint="eastAsia"/>
          <w:highlight w:val="none"/>
        </w:rPr>
        <w:t>（3）招标人或投标人的工作人员、退休或离职未满3年的人员；</w:t>
      </w:r>
    </w:p>
    <w:p w14:paraId="717D18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4</w:t>
      </w:r>
      <w:r>
        <w:rPr>
          <w:sz w:val="24"/>
          <w:highlight w:val="none"/>
        </w:rPr>
        <w:t>）与投标人有经济利益关系，可能影响对投标公正评审的；</w:t>
      </w:r>
    </w:p>
    <w:p w14:paraId="0C53331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5</w:t>
      </w:r>
      <w:r>
        <w:rPr>
          <w:sz w:val="24"/>
          <w:highlight w:val="none"/>
        </w:rPr>
        <w:t>）曾因在招标、评标以及其他与招标投标有关活动中从事违法行为而受过行政处罚或刑事处罚的；</w:t>
      </w:r>
    </w:p>
    <w:p w14:paraId="1ADBAF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6</w:t>
      </w:r>
      <w:r>
        <w:rPr>
          <w:sz w:val="24"/>
          <w:highlight w:val="none"/>
        </w:rPr>
        <w:t>）与投标人有其他利害关系。</w:t>
      </w:r>
    </w:p>
    <w:p w14:paraId="66330F0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75BA0E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1" w:name="bookmark58"/>
      <w:bookmarkEnd w:id="121"/>
      <w:bookmarkStart w:id="122" w:name="_Toc2040"/>
      <w:r>
        <w:rPr>
          <w:rFonts w:cs="宋体"/>
          <w:sz w:val="24"/>
          <w:highlight w:val="none"/>
        </w:rPr>
        <w:t>6.2  评标原则</w:t>
      </w:r>
      <w:bookmarkEnd w:id="122"/>
    </w:p>
    <w:p w14:paraId="5622E0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评标活动遵循公平、公正、科学和择优的原则。</w:t>
      </w:r>
    </w:p>
    <w:p w14:paraId="4E6115D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3" w:name="bookmark59"/>
      <w:bookmarkEnd w:id="123"/>
      <w:bookmarkStart w:id="124" w:name="_Toc24943"/>
      <w:r>
        <w:rPr>
          <w:rFonts w:cs="宋体"/>
          <w:sz w:val="24"/>
          <w:highlight w:val="none"/>
        </w:rPr>
        <w:t>6.3 评标</w:t>
      </w:r>
      <w:bookmarkEnd w:id="124"/>
    </w:p>
    <w:p w14:paraId="68147DF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6.3.1 评标委员会按照第三章“评标办法”规定的方法、评审因素、标准和程序对投标文件进 行评审。第三章“评标办法”没有规定的方法、评审因素和标准，不作为评标依据。</w:t>
      </w:r>
    </w:p>
    <w:p w14:paraId="076BCFA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6.3.2 评标完成后，评标委员会应当向招标人提交书面评标报告和中标候选人名单。评标委员会推荐中标候选人的人数见投标人须知前附表。</w:t>
      </w:r>
    </w:p>
    <w:p w14:paraId="3826D6F0">
      <w:pPr>
        <w:pStyle w:val="5"/>
        <w:spacing w:before="120" w:after="120"/>
        <w:rPr>
          <w:rFonts w:cs="宋体"/>
          <w:highlight w:val="none"/>
        </w:rPr>
      </w:pPr>
      <w:bookmarkStart w:id="125" w:name="bookmark60"/>
      <w:bookmarkEnd w:id="125"/>
      <w:bookmarkStart w:id="126" w:name="_Toc20225"/>
      <w:r>
        <w:rPr>
          <w:rFonts w:cs="宋体"/>
          <w:highlight w:val="none"/>
        </w:rPr>
        <w:t>7.合同授予</w:t>
      </w:r>
      <w:bookmarkEnd w:id="126"/>
    </w:p>
    <w:p w14:paraId="3ED4598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7" w:name="bookmark61"/>
      <w:bookmarkEnd w:id="127"/>
      <w:bookmarkStart w:id="128" w:name="_Toc16732"/>
      <w:r>
        <w:rPr>
          <w:rFonts w:cs="宋体"/>
          <w:sz w:val="24"/>
          <w:highlight w:val="none"/>
        </w:rPr>
        <w:t>7.1 中标候选人公示</w:t>
      </w:r>
      <w:bookmarkEnd w:id="128"/>
    </w:p>
    <w:p w14:paraId="64D32A8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招标人在收到评标报告之日起3日内，按照投标人须知前附表规定的公示媒介和期限公示中标候选人，公示期不得少于3天</w:t>
      </w:r>
      <w:r>
        <w:rPr>
          <w:rFonts w:hint="eastAsia"/>
          <w:sz w:val="24"/>
          <w:highlight w:val="none"/>
        </w:rPr>
        <w:t>，最后一天应为工作日</w:t>
      </w:r>
      <w:r>
        <w:rPr>
          <w:sz w:val="24"/>
          <w:highlight w:val="none"/>
        </w:rPr>
        <w:t>。</w:t>
      </w:r>
    </w:p>
    <w:p w14:paraId="3985A73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9" w:name="bookmark62"/>
      <w:bookmarkEnd w:id="129"/>
      <w:bookmarkStart w:id="130" w:name="_Toc32332"/>
      <w:r>
        <w:rPr>
          <w:rFonts w:cs="宋体"/>
          <w:sz w:val="24"/>
          <w:highlight w:val="none"/>
        </w:rPr>
        <w:t>7.2 评标结果异议</w:t>
      </w:r>
      <w:bookmarkEnd w:id="130"/>
    </w:p>
    <w:p w14:paraId="702CDB7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投标人或者其他利害关系人对评标结果有异议的，应当在中标候选人公示期间提出。招标人将在收到异议之日起3日内作出答复；作出答复前，将暂停招标投标活动。</w:t>
      </w:r>
    </w:p>
    <w:p w14:paraId="6D8A4EC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31" w:name="bookmark63"/>
      <w:bookmarkEnd w:id="131"/>
      <w:bookmarkStart w:id="132" w:name="_Toc31719"/>
      <w:r>
        <w:rPr>
          <w:rFonts w:cs="宋体"/>
          <w:sz w:val="24"/>
          <w:highlight w:val="none"/>
        </w:rPr>
        <w:t>7.3 中标候选人履约能力审查</w:t>
      </w:r>
      <w:bookmarkEnd w:id="132"/>
    </w:p>
    <w:p w14:paraId="1205B2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01C56B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3" w:name="bookmark64"/>
      <w:bookmarkEnd w:id="133"/>
      <w:bookmarkStart w:id="134" w:name="_Toc21635"/>
      <w:r>
        <w:rPr>
          <w:rFonts w:cs="宋体"/>
          <w:sz w:val="24"/>
          <w:highlight w:val="none"/>
        </w:rPr>
        <w:t>7.4 定标</w:t>
      </w:r>
      <w:bookmarkEnd w:id="134"/>
    </w:p>
    <w:p w14:paraId="108FECD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按照投标人须知前附表的规定，招标人或招标人授权的评标委员会依法确定中标人。</w:t>
      </w:r>
    </w:p>
    <w:p w14:paraId="1E56C52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5" w:name="bookmark65"/>
      <w:bookmarkEnd w:id="135"/>
      <w:bookmarkStart w:id="136" w:name="_Toc19033"/>
      <w:r>
        <w:rPr>
          <w:rFonts w:cs="宋体"/>
          <w:sz w:val="24"/>
          <w:highlight w:val="none"/>
        </w:rPr>
        <w:t>7.5 中标通知</w:t>
      </w:r>
      <w:bookmarkEnd w:id="136"/>
    </w:p>
    <w:p w14:paraId="438D520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37" w:name="bookmark66"/>
      <w:bookmarkEnd w:id="137"/>
      <w:r>
        <w:rPr>
          <w:sz w:val="24"/>
          <w:highlight w:val="none"/>
        </w:rPr>
        <w:t>7.5.1  在法规规定的时间内，招标人以书面形式向中标人发出中标通知书。在</w:t>
      </w:r>
      <w:r>
        <w:rPr>
          <w:rFonts w:hint="eastAsia"/>
          <w:sz w:val="24"/>
          <w:highlight w:val="none"/>
        </w:rPr>
        <w:t>广州交易集团有限公司（广州公共资源交易中心）</w:t>
      </w:r>
      <w:r>
        <w:rPr>
          <w:sz w:val="24"/>
          <w:highlight w:val="none"/>
        </w:rPr>
        <w:t>网和广东省招标投标监管网发布中标信息，视同将中标结果通知未中标的投标人。</w:t>
      </w:r>
    </w:p>
    <w:p w14:paraId="26EFB7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7.5.2  中标通知书发出前，中标人应未被纳入失信联合惩戒名单，否则招标人将取消其中标资格，</w:t>
      </w:r>
      <w:r>
        <w:rPr>
          <w:rFonts w:hint="eastAsia"/>
          <w:sz w:val="24"/>
          <w:highlight w:val="none"/>
          <w:u w:val="single"/>
        </w:rPr>
        <w:t>招标人可以按照评标委员会提出的中标候选人名单排序依次确定其他中标候选人为中标人。</w:t>
      </w:r>
      <w:r>
        <w:rPr>
          <w:sz w:val="24"/>
          <w:highlight w:val="none"/>
        </w:rPr>
        <w:t>失信联合惩戒名单以“信用广州”网站公布的“</w:t>
      </w:r>
      <w:r>
        <w:rPr>
          <w:rFonts w:hint="eastAsia"/>
          <w:sz w:val="24"/>
          <w:highlight w:val="none"/>
        </w:rPr>
        <w:t>黑名单</w:t>
      </w:r>
      <w:r>
        <w:rPr>
          <w:sz w:val="24"/>
          <w:highlight w:val="none"/>
        </w:rPr>
        <w:t xml:space="preserve">”为准。 </w:t>
      </w:r>
    </w:p>
    <w:p w14:paraId="6091379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8" w:name="_Toc19973"/>
      <w:r>
        <w:rPr>
          <w:rFonts w:cs="宋体"/>
          <w:sz w:val="24"/>
          <w:highlight w:val="none"/>
        </w:rPr>
        <w:t>7.6  履约保证金</w:t>
      </w:r>
      <w:bookmarkEnd w:id="138"/>
    </w:p>
    <w:p w14:paraId="0E5F50C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strike/>
          <w:sz w:val="24"/>
          <w:highlight w:val="none"/>
        </w:rPr>
        <w:t>联合体中标的，其履约保证金以联合体各方或者联合体中</w:t>
      </w:r>
      <w:r>
        <w:rPr>
          <w:strike/>
          <w:spacing w:val="-2"/>
          <w:sz w:val="24"/>
          <w:highlight w:val="none"/>
        </w:rPr>
        <w:t>主办方</w:t>
      </w:r>
      <w:r>
        <w:rPr>
          <w:strike/>
          <w:sz w:val="24"/>
          <w:highlight w:val="none"/>
        </w:rPr>
        <w:t>的名义提交。</w:t>
      </w:r>
    </w:p>
    <w:p w14:paraId="7DF947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7.6.2 中标人不能按本章第 7.6.1 项要求提交履约保证金的，视为放弃中标，</w:t>
      </w:r>
      <w:r>
        <w:rPr>
          <w:strike/>
          <w:sz w:val="24"/>
          <w:highlight w:val="none"/>
        </w:rPr>
        <w:t>其投标保证金不予退还，给招标人造成的损失超过投标保证金数额的，</w:t>
      </w:r>
      <w:r>
        <w:rPr>
          <w:sz w:val="24"/>
          <w:highlight w:val="none"/>
        </w:rPr>
        <w:t>中标人还应当对超过部分予以赔偿。</w:t>
      </w:r>
    </w:p>
    <w:p w14:paraId="7E19DAE6">
      <w:pPr>
        <w:pStyle w:val="12"/>
        <w:kinsoku w:val="0"/>
        <w:overflowPunct w:val="0"/>
        <w:spacing w:before="13"/>
        <w:ind w:left="0"/>
        <w:rPr>
          <w:sz w:val="13"/>
          <w:highlight w:val="none"/>
        </w:rPr>
      </w:pPr>
    </w:p>
    <w:p w14:paraId="4B70619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9" w:name="bookmark67"/>
      <w:bookmarkEnd w:id="139"/>
      <w:bookmarkStart w:id="140" w:name="_Toc9958"/>
      <w:r>
        <w:rPr>
          <w:rFonts w:cs="宋体"/>
          <w:sz w:val="24"/>
          <w:highlight w:val="none"/>
        </w:rPr>
        <w:t>7.7  签订合同</w:t>
      </w:r>
      <w:bookmarkEnd w:id="140"/>
    </w:p>
    <w:p w14:paraId="184B5CC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7.7.1 招标人和中标人应当在中标通知书发出之日起30日内，根据招标文件和中标人的投标文件订立书面合同</w:t>
      </w:r>
      <w:r>
        <w:rPr>
          <w:rFonts w:hint="eastAsia"/>
          <w:sz w:val="24"/>
          <w:highlight w:val="none"/>
        </w:rPr>
        <w:t>，并通过电子交易系统与中标人在线签订合同</w:t>
      </w:r>
      <w:r>
        <w:rPr>
          <w:sz w:val="24"/>
          <w:highlight w:val="none"/>
        </w:rPr>
        <w:t>。中标人无正当理由拒签合同，在签订合同时向招标人提出附加条件，或者不按照招标文件要求提交履约保证金的，招标人有权取消其中标资格</w:t>
      </w:r>
      <w:r>
        <w:rPr>
          <w:strike/>
          <w:sz w:val="24"/>
          <w:highlight w:val="none"/>
        </w:rPr>
        <w:t>，其投标保证金不予退还</w:t>
      </w:r>
      <w:r>
        <w:rPr>
          <w:sz w:val="24"/>
          <w:highlight w:val="none"/>
        </w:rPr>
        <w:t>；</w:t>
      </w:r>
      <w:r>
        <w:rPr>
          <w:strike/>
          <w:sz w:val="24"/>
          <w:highlight w:val="none"/>
        </w:rPr>
        <w:t>给招标人造成的损失超过投标保证金数额的，</w:t>
      </w:r>
      <w:r>
        <w:rPr>
          <w:sz w:val="24"/>
          <w:highlight w:val="none"/>
        </w:rPr>
        <w:t>中标人还应当对超过部分予以赔偿。</w:t>
      </w:r>
    </w:p>
    <w:p w14:paraId="7858C2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7.7.2 发出中标通知书后，招标人无正当理由拒签合同，或者在签订合同时向中标人提出附加条件的</w:t>
      </w:r>
      <w:r>
        <w:rPr>
          <w:strike/>
          <w:sz w:val="24"/>
          <w:highlight w:val="none"/>
        </w:rPr>
        <w:t>，招标人向中标人退还投标保证金；</w:t>
      </w:r>
      <w:r>
        <w:rPr>
          <w:sz w:val="24"/>
          <w:highlight w:val="none"/>
        </w:rPr>
        <w:t>给中标人造成损失的，还应当赔偿损失。</w:t>
      </w:r>
    </w:p>
    <w:p w14:paraId="66799CD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trike/>
          <w:sz w:val="24"/>
          <w:highlight w:val="none"/>
        </w:rPr>
        <w:t>7.7.3 联合体中标的，联合体各方应当共同与招标人签订合同，就中标项目向招标人承担连带责任。</w:t>
      </w:r>
    </w:p>
    <w:p w14:paraId="7913A873">
      <w:pPr>
        <w:pStyle w:val="5"/>
        <w:spacing w:before="120" w:after="120"/>
        <w:rPr>
          <w:rFonts w:ascii="Microsoft JhengHei" w:hAnsi="Microsoft JhengHei" w:eastAsia="Microsoft JhengHei"/>
          <w:b w:val="0"/>
          <w:sz w:val="30"/>
          <w:highlight w:val="none"/>
        </w:rPr>
      </w:pPr>
      <w:bookmarkStart w:id="141" w:name="bookmark68"/>
      <w:bookmarkEnd w:id="141"/>
      <w:bookmarkStart w:id="142" w:name="_Toc30276"/>
      <w:r>
        <w:rPr>
          <w:rFonts w:cs="宋体"/>
          <w:highlight w:val="none"/>
        </w:rPr>
        <w:t>8.纪律和监督</w:t>
      </w:r>
      <w:bookmarkEnd w:id="142"/>
    </w:p>
    <w:p w14:paraId="211E80F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3" w:name="bookmark69"/>
      <w:bookmarkEnd w:id="143"/>
      <w:bookmarkStart w:id="144" w:name="_Toc10523"/>
      <w:r>
        <w:rPr>
          <w:rFonts w:cs="宋体"/>
          <w:sz w:val="24"/>
          <w:highlight w:val="none"/>
        </w:rPr>
        <w:t>8.1 对招标人的纪律要求</w:t>
      </w:r>
      <w:bookmarkEnd w:id="144"/>
    </w:p>
    <w:p w14:paraId="1ECC0B8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招标人不得泄露招标投标活动中应当保密的情况和资料，不得与投标人串通损害国家利益、社会公共利益或者他人合法权益。</w:t>
      </w:r>
    </w:p>
    <w:p w14:paraId="08847BB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45" w:name="bookmark70"/>
      <w:bookmarkEnd w:id="145"/>
      <w:bookmarkStart w:id="146" w:name="_Toc24813"/>
      <w:r>
        <w:rPr>
          <w:rFonts w:cs="宋体"/>
          <w:sz w:val="24"/>
          <w:highlight w:val="none"/>
        </w:rPr>
        <w:t>8.2 对投标人的纪律要求</w:t>
      </w:r>
      <w:bookmarkEnd w:id="146"/>
    </w:p>
    <w:p w14:paraId="04C07E8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7480EF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7" w:name="bookmark71"/>
      <w:bookmarkEnd w:id="147"/>
      <w:bookmarkStart w:id="148" w:name="_Toc28387"/>
      <w:r>
        <w:rPr>
          <w:rFonts w:cs="宋体"/>
          <w:sz w:val="24"/>
          <w:highlight w:val="none"/>
        </w:rPr>
        <w:t>8.3 对评标委员会成员的纪律要求</w:t>
      </w:r>
      <w:bookmarkEnd w:id="148"/>
    </w:p>
    <w:p w14:paraId="7F088F6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73B48B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9" w:name="bookmark72"/>
      <w:bookmarkEnd w:id="149"/>
      <w:bookmarkStart w:id="150" w:name="_Toc29038"/>
      <w:r>
        <w:rPr>
          <w:rFonts w:cs="宋体"/>
          <w:sz w:val="24"/>
          <w:highlight w:val="none"/>
        </w:rPr>
        <w:t>8.4 对与评标活动有关的工作人员的纪律要求</w:t>
      </w:r>
      <w:bookmarkEnd w:id="150"/>
    </w:p>
    <w:p w14:paraId="3D0BCE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F88E6E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51" w:name="bookmark73"/>
      <w:bookmarkEnd w:id="151"/>
      <w:bookmarkStart w:id="152" w:name="_Toc15989"/>
      <w:r>
        <w:rPr>
          <w:rFonts w:cs="宋体"/>
          <w:sz w:val="24"/>
          <w:highlight w:val="none"/>
        </w:rPr>
        <w:t>8.5 投诉</w:t>
      </w:r>
      <w:bookmarkEnd w:id="152"/>
    </w:p>
    <w:p w14:paraId="06740C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DA76C8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394E985F">
      <w:pPr>
        <w:pStyle w:val="5"/>
        <w:spacing w:before="120" w:after="120"/>
        <w:rPr>
          <w:rFonts w:ascii="Microsoft JhengHei" w:hAnsi="Microsoft JhengHei" w:eastAsia="Microsoft JhengHei"/>
          <w:b w:val="0"/>
          <w:sz w:val="19"/>
          <w:highlight w:val="none"/>
        </w:rPr>
      </w:pPr>
      <w:bookmarkStart w:id="153" w:name="bookmark74"/>
      <w:bookmarkEnd w:id="153"/>
      <w:bookmarkStart w:id="154" w:name="_Toc2971"/>
      <w:r>
        <w:rPr>
          <w:rFonts w:cs="宋体"/>
          <w:highlight w:val="none"/>
        </w:rPr>
        <w:t>9.采用电子招标投标</w:t>
      </w:r>
      <w:bookmarkEnd w:id="154"/>
    </w:p>
    <w:p w14:paraId="5D7A47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ascii="Times New Roman" w:hAnsi="Times New Roman"/>
          <w:spacing w:val="-8"/>
          <w:sz w:val="24"/>
          <w:highlight w:val="none"/>
        </w:rPr>
      </w:pPr>
      <w:r>
        <w:rPr>
          <w:rFonts w:hint="eastAsia" w:ascii="Times New Roman" w:hAnsi="Times New Roman"/>
          <w:spacing w:val="-8"/>
          <w:sz w:val="24"/>
          <w:highlight w:val="none"/>
        </w:rPr>
        <w:t>本招标项目采用电子招标投标方式，按照广州交易集团有限公司（广州公共资源交易中心）网站关于全流程电子化项目的相关指南进行操作</w:t>
      </w:r>
      <w:r>
        <w:rPr>
          <w:rFonts w:ascii="Times New Roman" w:hAnsi="Times New Roman"/>
          <w:spacing w:val="-8"/>
          <w:sz w:val="24"/>
          <w:highlight w:val="none"/>
        </w:rPr>
        <w:t>。</w:t>
      </w:r>
    </w:p>
    <w:p w14:paraId="79723AB0">
      <w:pPr>
        <w:pStyle w:val="5"/>
        <w:spacing w:before="120" w:after="120"/>
        <w:rPr>
          <w:rFonts w:ascii="Microsoft JhengHei" w:hAnsi="Microsoft JhengHei" w:eastAsia="Microsoft JhengHei"/>
          <w:b w:val="0"/>
          <w:sz w:val="19"/>
          <w:highlight w:val="none"/>
        </w:rPr>
      </w:pPr>
      <w:bookmarkStart w:id="155" w:name="bookmark75"/>
      <w:bookmarkEnd w:id="155"/>
      <w:bookmarkStart w:id="156" w:name="_Toc12519"/>
      <w:r>
        <w:rPr>
          <w:rFonts w:cs="宋体"/>
          <w:highlight w:val="none"/>
        </w:rPr>
        <w:t>10.需要补充的其他内容</w:t>
      </w:r>
      <w:bookmarkEnd w:id="156"/>
    </w:p>
    <w:p w14:paraId="446EBA2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sz w:val="24"/>
          <w:highlight w:val="none"/>
        </w:rPr>
      </w:pPr>
      <w:r>
        <w:rPr>
          <w:rFonts w:cs="宋体"/>
          <w:sz w:val="24"/>
          <w:highlight w:val="none"/>
        </w:rPr>
        <w:t>需要补充的其他内容：见投标人须知前附表。</w:t>
      </w:r>
    </w:p>
    <w:p w14:paraId="74CD3B5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sectPr>
          <w:pgSz w:w="11905" w:h="16838"/>
          <w:pgMar w:top="1417" w:right="1417" w:bottom="1417" w:left="1417" w:header="992" w:footer="992" w:gutter="0"/>
          <w:cols w:space="720" w:num="1"/>
        </w:sectPr>
      </w:pPr>
    </w:p>
    <w:p w14:paraId="1DD04CC4">
      <w:pPr>
        <w:pStyle w:val="6"/>
        <w:rPr>
          <w:highlight w:val="none"/>
        </w:rPr>
      </w:pPr>
      <w:bookmarkStart w:id="157" w:name="bookmark77"/>
      <w:bookmarkEnd w:id="157"/>
      <w:bookmarkStart w:id="158" w:name="bookmark76"/>
      <w:bookmarkEnd w:id="158"/>
      <w:bookmarkStart w:id="159" w:name="_Toc24188"/>
      <w:bookmarkStart w:id="160" w:name="_Toc5057"/>
      <w:r>
        <w:rPr>
          <w:highlight w:val="none"/>
        </w:rPr>
        <w:t>附件一：问题澄清通知</w:t>
      </w:r>
      <w:bookmarkEnd w:id="159"/>
      <w:bookmarkEnd w:id="160"/>
    </w:p>
    <w:p w14:paraId="43466AE1">
      <w:pPr>
        <w:pStyle w:val="12"/>
        <w:kinsoku w:val="0"/>
        <w:overflowPunct w:val="0"/>
        <w:ind w:left="0"/>
        <w:rPr>
          <w:sz w:val="20"/>
          <w:highlight w:val="none"/>
        </w:rPr>
      </w:pPr>
    </w:p>
    <w:p w14:paraId="2DF286AA">
      <w:pPr>
        <w:pStyle w:val="12"/>
        <w:kinsoku w:val="0"/>
        <w:overflowPunct w:val="0"/>
        <w:ind w:left="0"/>
        <w:rPr>
          <w:sz w:val="20"/>
          <w:highlight w:val="none"/>
        </w:rPr>
      </w:pPr>
    </w:p>
    <w:p w14:paraId="5217144B">
      <w:pPr>
        <w:pStyle w:val="12"/>
        <w:kinsoku w:val="0"/>
        <w:overflowPunct w:val="0"/>
        <w:ind w:left="0"/>
        <w:rPr>
          <w:sz w:val="20"/>
          <w:highlight w:val="none"/>
        </w:rPr>
      </w:pPr>
    </w:p>
    <w:p w14:paraId="291677A2">
      <w:pPr>
        <w:pStyle w:val="12"/>
        <w:kinsoku w:val="0"/>
        <w:overflowPunct w:val="0"/>
        <w:spacing w:before="4"/>
        <w:ind w:left="0"/>
        <w:rPr>
          <w:sz w:val="17"/>
          <w:highlight w:val="none"/>
        </w:rPr>
      </w:pPr>
    </w:p>
    <w:p w14:paraId="447109E5">
      <w:pPr>
        <w:pStyle w:val="12"/>
        <w:kinsoku w:val="0"/>
        <w:overflowPunct w:val="0"/>
        <w:spacing w:before="14"/>
        <w:ind w:left="0" w:right="13"/>
        <w:jc w:val="center"/>
        <w:rPr>
          <w:sz w:val="28"/>
          <w:highlight w:val="none"/>
        </w:rPr>
      </w:pPr>
      <w:r>
        <w:rPr>
          <w:sz w:val="28"/>
          <w:highlight w:val="none"/>
        </w:rPr>
        <w:t>问题澄清通知</w:t>
      </w:r>
    </w:p>
    <w:p w14:paraId="621417E6">
      <w:pPr>
        <w:pStyle w:val="12"/>
        <w:tabs>
          <w:tab w:val="left" w:pos="2937"/>
        </w:tabs>
        <w:kinsoku w:val="0"/>
        <w:overflowPunct w:val="0"/>
        <w:spacing w:before="157"/>
        <w:ind w:left="0" w:right="20"/>
        <w:jc w:val="center"/>
        <w:rPr>
          <w:highlight w:val="none"/>
        </w:rPr>
      </w:pPr>
      <w:r>
        <w:rPr>
          <w:spacing w:val="-1"/>
          <w:highlight w:val="none"/>
        </w:rPr>
        <w:t>（编号：</w:t>
      </w:r>
      <w:r>
        <w:rPr>
          <w:rFonts w:hint="eastAsia" w:ascii="Times New Roman" w:hAnsi="Times New Roman" w:eastAsia="Times New Roman"/>
          <w:spacing w:val="-1"/>
          <w:highlight w:val="none"/>
          <w:u w:val="single"/>
        </w:rPr>
        <w:tab/>
      </w:r>
      <w:r>
        <w:rPr>
          <w:highlight w:val="none"/>
        </w:rPr>
        <w:t>）</w:t>
      </w:r>
    </w:p>
    <w:p w14:paraId="3769599F">
      <w:pPr>
        <w:pStyle w:val="12"/>
        <w:kinsoku w:val="0"/>
        <w:overflowPunct w:val="0"/>
        <w:ind w:left="0"/>
        <w:rPr>
          <w:sz w:val="20"/>
          <w:highlight w:val="none"/>
        </w:rPr>
      </w:pPr>
    </w:p>
    <w:p w14:paraId="6FAB7F03">
      <w:pPr>
        <w:pStyle w:val="12"/>
        <w:kinsoku w:val="0"/>
        <w:overflowPunct w:val="0"/>
        <w:spacing w:before="5"/>
        <w:ind w:left="0"/>
        <w:rPr>
          <w:sz w:val="23"/>
          <w:highlight w:val="none"/>
        </w:rPr>
      </w:pPr>
    </w:p>
    <w:p w14:paraId="7ED6C304">
      <w:pPr>
        <w:pStyle w:val="12"/>
        <w:tabs>
          <w:tab w:val="left" w:pos="2305"/>
        </w:tabs>
        <w:kinsoku w:val="0"/>
        <w:overflowPunct w:val="0"/>
        <w:spacing w:before="36"/>
        <w:ind w:left="100" w:right="113"/>
        <w:rPr>
          <w:spacing w:val="-1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15"/>
          <w:highlight w:val="none"/>
        </w:rPr>
        <w:t>（投标人名称）：</w:t>
      </w:r>
    </w:p>
    <w:p w14:paraId="3A071906">
      <w:pPr>
        <w:pStyle w:val="12"/>
        <w:kinsoku w:val="0"/>
        <w:overflowPunct w:val="0"/>
        <w:ind w:left="0"/>
        <w:rPr>
          <w:sz w:val="20"/>
          <w:highlight w:val="none"/>
        </w:rPr>
      </w:pPr>
    </w:p>
    <w:p w14:paraId="018F794E">
      <w:pPr>
        <w:pStyle w:val="12"/>
        <w:kinsoku w:val="0"/>
        <w:overflowPunct w:val="0"/>
        <w:spacing w:before="8"/>
        <w:ind w:left="0"/>
        <w:rPr>
          <w:sz w:val="23"/>
          <w:highlight w:val="none"/>
        </w:rPr>
      </w:pPr>
    </w:p>
    <w:p w14:paraId="2231D14B">
      <w:pPr>
        <w:pStyle w:val="12"/>
        <w:kinsoku w:val="0"/>
        <w:overflowPunct w:val="0"/>
        <w:spacing w:before="36" w:line="384" w:lineRule="auto"/>
        <w:ind w:left="100" w:right="113" w:firstLine="422"/>
        <w:rPr>
          <w:highlight w:val="none"/>
        </w:rPr>
      </w:pPr>
      <w:r>
        <w:rPr>
          <w:spacing w:val="-1"/>
          <w:highlight w:val="none"/>
        </w:rPr>
        <w:t>评标委员会对你方的投标文件进行了仔细的审查，现需你方对下列问题以书面形式予以澄</w:t>
      </w:r>
      <w:r>
        <w:rPr>
          <w:highlight w:val="none"/>
        </w:rPr>
        <w:t xml:space="preserve"> 清、说明或补正：</w:t>
      </w:r>
    </w:p>
    <w:p w14:paraId="6D6574BB">
      <w:pPr>
        <w:pStyle w:val="12"/>
        <w:kinsoku w:val="0"/>
        <w:overflowPunct w:val="0"/>
        <w:ind w:left="0"/>
        <w:rPr>
          <w:sz w:val="20"/>
          <w:highlight w:val="none"/>
        </w:rPr>
      </w:pPr>
    </w:p>
    <w:p w14:paraId="6EDF6486">
      <w:pPr>
        <w:pStyle w:val="12"/>
        <w:kinsoku w:val="0"/>
        <w:overflowPunct w:val="0"/>
        <w:spacing w:before="6"/>
        <w:ind w:left="0"/>
        <w:rPr>
          <w:sz w:val="20"/>
          <w:highlight w:val="none"/>
        </w:rPr>
      </w:pPr>
    </w:p>
    <w:p w14:paraId="64579010">
      <w:pPr>
        <w:pStyle w:val="12"/>
        <w:kinsoku w:val="0"/>
        <w:overflowPunct w:val="0"/>
        <w:ind w:left="522" w:right="113"/>
        <w:rPr>
          <w:rFonts w:ascii="Times New Roman" w:hAnsi="Times New Roman" w:eastAsia="Times New Roman"/>
          <w:highlight w:val="none"/>
        </w:rPr>
      </w:pPr>
      <w:r>
        <w:rPr>
          <w:rFonts w:hint="eastAsia" w:ascii="Times New Roman" w:hAnsi="Times New Roman" w:eastAsia="Times New Roman"/>
          <w:highlight w:val="none"/>
        </w:rPr>
        <w:t>1.</w:t>
      </w:r>
    </w:p>
    <w:p w14:paraId="3B7B8ED5">
      <w:pPr>
        <w:pStyle w:val="12"/>
        <w:kinsoku w:val="0"/>
        <w:overflowPunct w:val="0"/>
        <w:spacing w:before="2"/>
        <w:ind w:left="0"/>
        <w:rPr>
          <w:rFonts w:ascii="Times New Roman" w:hAnsi="Times New Roman" w:eastAsia="Times New Roman"/>
          <w:sz w:val="17"/>
          <w:highlight w:val="none"/>
        </w:rPr>
      </w:pPr>
    </w:p>
    <w:p w14:paraId="2C0E0A2D">
      <w:pPr>
        <w:pStyle w:val="12"/>
        <w:kinsoku w:val="0"/>
        <w:overflowPunct w:val="0"/>
        <w:ind w:left="522" w:right="113"/>
        <w:rPr>
          <w:rFonts w:ascii="Times New Roman" w:hAnsi="Times New Roman" w:eastAsia="Times New Roman"/>
          <w:highlight w:val="none"/>
        </w:rPr>
      </w:pPr>
      <w:r>
        <w:rPr>
          <w:rFonts w:hint="eastAsia" w:ascii="Times New Roman" w:hAnsi="Times New Roman" w:eastAsia="Times New Roman"/>
          <w:highlight w:val="none"/>
        </w:rPr>
        <w:t>2.</w:t>
      </w:r>
    </w:p>
    <w:p w14:paraId="1806B075">
      <w:pPr>
        <w:pStyle w:val="12"/>
        <w:kinsoku w:val="0"/>
        <w:overflowPunct w:val="0"/>
        <w:spacing w:before="5"/>
        <w:ind w:left="0"/>
        <w:rPr>
          <w:rFonts w:ascii="Times New Roman" w:hAnsi="Times New Roman" w:eastAsia="Times New Roman"/>
          <w:sz w:val="17"/>
          <w:highlight w:val="none"/>
        </w:rPr>
      </w:pPr>
    </w:p>
    <w:p w14:paraId="6B1218CF">
      <w:pPr>
        <w:pStyle w:val="12"/>
        <w:kinsoku w:val="0"/>
        <w:overflowPunct w:val="0"/>
        <w:ind w:left="628" w:right="113"/>
        <w:rPr>
          <w:rFonts w:ascii="Times New Roman" w:hAnsi="Times New Roman" w:eastAsia="Times New Roman"/>
          <w:highlight w:val="none"/>
        </w:rPr>
      </w:pPr>
      <w:r>
        <w:rPr>
          <w:rFonts w:hint="eastAsia" w:ascii="Times New Roman" w:hAnsi="Times New Roman" w:eastAsia="Times New Roman"/>
          <w:highlight w:val="none"/>
        </w:rPr>
        <w:t>......</w:t>
      </w:r>
    </w:p>
    <w:p w14:paraId="18DFA485">
      <w:pPr>
        <w:pStyle w:val="12"/>
        <w:kinsoku w:val="0"/>
        <w:overflowPunct w:val="0"/>
        <w:ind w:left="0"/>
        <w:rPr>
          <w:rFonts w:ascii="Times New Roman" w:hAnsi="Times New Roman" w:eastAsia="Times New Roman"/>
          <w:sz w:val="20"/>
          <w:highlight w:val="none"/>
        </w:rPr>
      </w:pPr>
    </w:p>
    <w:p w14:paraId="0FACDEAE">
      <w:pPr>
        <w:pStyle w:val="12"/>
        <w:kinsoku w:val="0"/>
        <w:overflowPunct w:val="0"/>
        <w:ind w:left="0"/>
        <w:rPr>
          <w:rFonts w:ascii="Times New Roman" w:hAnsi="Times New Roman" w:eastAsia="Times New Roman"/>
          <w:sz w:val="20"/>
          <w:highlight w:val="none"/>
        </w:rPr>
      </w:pPr>
    </w:p>
    <w:p w14:paraId="1448798D">
      <w:pPr>
        <w:pStyle w:val="12"/>
        <w:tabs>
          <w:tab w:val="left" w:pos="4603"/>
          <w:tab w:val="left" w:pos="5549"/>
          <w:tab w:val="left" w:pos="6494"/>
          <w:tab w:val="left" w:pos="7438"/>
        </w:tabs>
        <w:kinsoku w:val="0"/>
        <w:overflowPunct w:val="0"/>
        <w:spacing w:before="127"/>
        <w:ind w:left="505" w:right="113"/>
        <w:rPr>
          <w:spacing w:val="-2"/>
          <w:highlight w:val="none"/>
        </w:rPr>
      </w:pPr>
      <w:r>
        <w:rPr>
          <w:spacing w:val="-2"/>
          <w:highlight w:val="none"/>
        </w:rPr>
        <w:t>请将上述问题的澄清、说明或补正于</w:t>
      </w:r>
      <w:r>
        <w:rPr>
          <w:rFonts w:hint="eastAsia" w:ascii="Times New Roman" w:hAnsi="Times New Roman" w:eastAsia="Times New Roman"/>
          <w:spacing w:val="-2"/>
          <w:highlight w:val="none"/>
          <w:u w:val="single"/>
        </w:rPr>
        <w:tab/>
      </w:r>
      <w:r>
        <w:rPr>
          <w:highlight w:val="none"/>
        </w:rPr>
        <w:t>年</w:t>
      </w:r>
      <w:r>
        <w:rPr>
          <w:rFonts w:hint="eastAsia" w:ascii="Times New Roman" w:hAnsi="Times New Roman" w:eastAsia="Times New Roman"/>
          <w:highlight w:val="none"/>
          <w:u w:val="single"/>
        </w:rPr>
        <w:tab/>
      </w:r>
      <w:r>
        <w:rPr>
          <w:highlight w:val="none"/>
        </w:rPr>
        <w:t>月</w:t>
      </w:r>
      <w:r>
        <w:rPr>
          <w:rFonts w:hint="eastAsia" w:ascii="Times New Roman" w:hAnsi="Times New Roman" w:eastAsia="Times New Roman"/>
          <w:highlight w:val="none"/>
          <w:u w:val="single"/>
        </w:rPr>
        <w:tab/>
      </w:r>
      <w:r>
        <w:rPr>
          <w:spacing w:val="-3"/>
          <w:highlight w:val="none"/>
        </w:rPr>
        <w:t>日</w:t>
      </w:r>
      <w:r>
        <w:rPr>
          <w:rFonts w:hint="eastAsia" w:ascii="Times New Roman" w:hAnsi="Times New Roman" w:eastAsia="Times New Roman"/>
          <w:spacing w:val="-3"/>
          <w:highlight w:val="none"/>
          <w:u w:val="single"/>
        </w:rPr>
        <w:tab/>
      </w:r>
      <w:r>
        <w:rPr>
          <w:spacing w:val="-2"/>
          <w:highlight w:val="none"/>
        </w:rPr>
        <w:t>时前递交至</w:t>
      </w:r>
    </w:p>
    <w:p w14:paraId="5ED0B39F">
      <w:pPr>
        <w:pStyle w:val="12"/>
        <w:kinsoku w:val="0"/>
        <w:overflowPunct w:val="0"/>
        <w:spacing w:before="13"/>
        <w:ind w:left="0"/>
        <w:rPr>
          <w:sz w:val="9"/>
          <w:highlight w:val="none"/>
        </w:rPr>
      </w:pPr>
    </w:p>
    <w:p w14:paraId="5BF4E71F">
      <w:pPr>
        <w:pStyle w:val="12"/>
        <w:tabs>
          <w:tab w:val="left" w:pos="3040"/>
          <w:tab w:val="left" w:pos="7296"/>
        </w:tabs>
        <w:kinsoku w:val="0"/>
        <w:overflowPunct w:val="0"/>
        <w:spacing w:before="36"/>
        <w:ind w:left="100"/>
        <w:rPr>
          <w:spacing w:val="-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5"/>
          <w:highlight w:val="none"/>
        </w:rPr>
        <w:t>（详细地址）或传真至</w:t>
      </w:r>
      <w:r>
        <w:rPr>
          <w:rFonts w:hint="eastAsia" w:ascii="Times New Roman" w:hAnsi="Times New Roman" w:eastAsia="Times New Roman"/>
          <w:spacing w:val="-5"/>
          <w:highlight w:val="none"/>
          <w:u w:val="single"/>
        </w:rPr>
        <w:tab/>
      </w:r>
      <w:r>
        <w:rPr>
          <w:spacing w:val="-5"/>
          <w:highlight w:val="none"/>
        </w:rPr>
        <w:t>（传真号码）或</w:t>
      </w:r>
    </w:p>
    <w:p w14:paraId="10872B9E">
      <w:pPr>
        <w:pStyle w:val="12"/>
        <w:kinsoku w:val="0"/>
        <w:overflowPunct w:val="0"/>
        <w:spacing w:before="10"/>
        <w:ind w:left="0"/>
        <w:rPr>
          <w:sz w:val="9"/>
          <w:highlight w:val="none"/>
        </w:rPr>
      </w:pPr>
    </w:p>
    <w:p w14:paraId="37426427">
      <w:pPr>
        <w:pStyle w:val="12"/>
        <w:tabs>
          <w:tab w:val="left" w:pos="7138"/>
          <w:tab w:val="left" w:pos="8084"/>
        </w:tabs>
        <w:kinsoku w:val="0"/>
        <w:overflowPunct w:val="0"/>
        <w:spacing w:before="36"/>
        <w:ind w:left="100" w:right="113"/>
        <w:rPr>
          <w:highlight w:val="none"/>
        </w:rPr>
      </w:pPr>
      <w:r>
        <w:rPr>
          <w:spacing w:val="-2"/>
          <w:highlight w:val="none"/>
        </w:rPr>
        <w:t>通过下载招标文件的电子招标交易平台上传。采用传真方式的，应在</w:t>
      </w:r>
      <w:r>
        <w:rPr>
          <w:rFonts w:hint="eastAsia" w:ascii="Times New Roman" w:hAnsi="Times New Roman" w:eastAsia="Times New Roman"/>
          <w:spacing w:val="-2"/>
          <w:highlight w:val="none"/>
          <w:u w:val="single"/>
        </w:rPr>
        <w:tab/>
      </w:r>
      <w:r>
        <w:rPr>
          <w:highlight w:val="none"/>
        </w:rPr>
        <w:t>年</w:t>
      </w:r>
      <w:r>
        <w:rPr>
          <w:rFonts w:hint="eastAsia" w:ascii="Times New Roman" w:hAnsi="Times New Roman" w:eastAsia="Times New Roman"/>
          <w:highlight w:val="none"/>
          <w:u w:val="single"/>
        </w:rPr>
        <w:tab/>
      </w:r>
      <w:r>
        <w:rPr>
          <w:highlight w:val="none"/>
        </w:rPr>
        <w:t>月</w:t>
      </w:r>
    </w:p>
    <w:p w14:paraId="0AF3D90F">
      <w:pPr>
        <w:pStyle w:val="12"/>
        <w:kinsoku w:val="0"/>
        <w:overflowPunct w:val="0"/>
        <w:spacing w:before="10"/>
        <w:ind w:left="0"/>
        <w:rPr>
          <w:sz w:val="9"/>
          <w:highlight w:val="none"/>
        </w:rPr>
      </w:pPr>
    </w:p>
    <w:p w14:paraId="460F148C">
      <w:pPr>
        <w:pStyle w:val="12"/>
        <w:tabs>
          <w:tab w:val="left" w:pos="837"/>
          <w:tab w:val="left" w:pos="1782"/>
          <w:tab w:val="left" w:pos="5669"/>
        </w:tabs>
        <w:kinsoku w:val="0"/>
        <w:overflowPunct w:val="0"/>
        <w:spacing w:before="36"/>
        <w:ind w:left="100" w:right="113"/>
        <w:rPr>
          <w:spacing w:val="-17"/>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highlight w:val="none"/>
        </w:rPr>
        <w:t>日</w:t>
      </w:r>
      <w:r>
        <w:rPr>
          <w:rFonts w:hint="eastAsia" w:ascii="Times New Roman" w:hAnsi="Times New Roman" w:eastAsia="Times New Roman"/>
          <w:highlight w:val="none"/>
          <w:u w:val="single"/>
        </w:rPr>
        <w:tab/>
      </w:r>
      <w:r>
        <w:rPr>
          <w:spacing w:val="-2"/>
          <w:highlight w:val="none"/>
        </w:rPr>
        <w:t>时前将原件递交至</w:t>
      </w:r>
      <w:r>
        <w:rPr>
          <w:rFonts w:hint="eastAsia" w:ascii="Times New Roman" w:hAnsi="Times New Roman" w:eastAsia="Times New Roman"/>
          <w:spacing w:val="-2"/>
          <w:highlight w:val="none"/>
          <w:u w:val="single"/>
        </w:rPr>
        <w:tab/>
      </w:r>
      <w:r>
        <w:rPr>
          <w:spacing w:val="-17"/>
          <w:highlight w:val="none"/>
        </w:rPr>
        <w:t>（详细地址）。</w:t>
      </w:r>
    </w:p>
    <w:p w14:paraId="3DC4CC1F">
      <w:pPr>
        <w:pStyle w:val="12"/>
        <w:kinsoku w:val="0"/>
        <w:overflowPunct w:val="0"/>
        <w:ind w:left="0"/>
        <w:rPr>
          <w:sz w:val="20"/>
          <w:highlight w:val="none"/>
        </w:rPr>
      </w:pPr>
    </w:p>
    <w:p w14:paraId="559AB6AE">
      <w:pPr>
        <w:pStyle w:val="12"/>
        <w:kinsoku w:val="0"/>
        <w:overflowPunct w:val="0"/>
        <w:ind w:left="0"/>
        <w:rPr>
          <w:sz w:val="20"/>
          <w:highlight w:val="none"/>
        </w:rPr>
      </w:pPr>
    </w:p>
    <w:p w14:paraId="563B4675">
      <w:pPr>
        <w:pStyle w:val="12"/>
        <w:kinsoku w:val="0"/>
        <w:overflowPunct w:val="0"/>
        <w:ind w:left="0"/>
        <w:rPr>
          <w:sz w:val="20"/>
          <w:highlight w:val="none"/>
        </w:rPr>
      </w:pPr>
    </w:p>
    <w:p w14:paraId="6D3C9322">
      <w:pPr>
        <w:pStyle w:val="12"/>
        <w:kinsoku w:val="0"/>
        <w:overflowPunct w:val="0"/>
        <w:spacing w:before="2"/>
        <w:ind w:left="0"/>
        <w:rPr>
          <w:sz w:val="17"/>
          <w:highlight w:val="none"/>
        </w:rPr>
      </w:pPr>
    </w:p>
    <w:p w14:paraId="306B7DA6">
      <w:pPr>
        <w:pStyle w:val="12"/>
        <w:tabs>
          <w:tab w:val="left" w:pos="7032"/>
        </w:tabs>
        <w:kinsoku w:val="0"/>
        <w:overflowPunct w:val="0"/>
        <w:spacing w:before="36"/>
        <w:ind w:left="2200" w:right="113"/>
        <w:rPr>
          <w:spacing w:val="-1"/>
          <w:highlight w:val="none"/>
        </w:rPr>
      </w:pPr>
      <w:r>
        <w:rPr>
          <w:spacing w:val="-2"/>
          <w:highlight w:val="none"/>
        </w:rPr>
        <w:t>评标委员会</w:t>
      </w:r>
      <w:r>
        <w:rPr>
          <w:rFonts w:hint="eastAsia"/>
          <w:spacing w:val="-2"/>
          <w:highlight w:val="none"/>
        </w:rPr>
        <w:t>签字</w:t>
      </w:r>
      <w:r>
        <w:rPr>
          <w:spacing w:val="-2"/>
          <w:highlight w:val="none"/>
        </w:rPr>
        <w:t>：</w:t>
      </w:r>
      <w:r>
        <w:rPr>
          <w:rFonts w:hint="eastAsia" w:ascii="Times New Roman" w:hAnsi="Times New Roman" w:eastAsia="Times New Roman"/>
          <w:spacing w:val="-2"/>
          <w:highlight w:val="none"/>
          <w:u w:val="single"/>
        </w:rPr>
        <w:tab/>
      </w:r>
    </w:p>
    <w:p w14:paraId="43F8BE52">
      <w:pPr>
        <w:pStyle w:val="12"/>
        <w:kinsoku w:val="0"/>
        <w:overflowPunct w:val="0"/>
        <w:ind w:left="0"/>
        <w:rPr>
          <w:sz w:val="20"/>
          <w:highlight w:val="none"/>
        </w:rPr>
      </w:pPr>
    </w:p>
    <w:p w14:paraId="51BBC64C">
      <w:pPr>
        <w:pStyle w:val="12"/>
        <w:kinsoku w:val="0"/>
        <w:overflowPunct w:val="0"/>
        <w:spacing w:before="7"/>
        <w:ind w:left="0"/>
        <w:rPr>
          <w:sz w:val="23"/>
          <w:highlight w:val="none"/>
        </w:rPr>
      </w:pPr>
    </w:p>
    <w:p w14:paraId="1F9C8E7D">
      <w:pPr>
        <w:pStyle w:val="12"/>
        <w:tabs>
          <w:tab w:val="left" w:pos="5803"/>
          <w:tab w:val="left" w:pos="6746"/>
          <w:tab w:val="left" w:pos="7692"/>
        </w:tabs>
        <w:kinsoku w:val="0"/>
        <w:overflowPunct w:val="0"/>
        <w:spacing w:before="36"/>
        <w:ind w:left="4961" w:right="113"/>
        <w:rPr>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3"/>
          <w:highlight w:val="none"/>
        </w:rPr>
        <w:t>年</w:t>
      </w:r>
      <w:r>
        <w:rPr>
          <w:rFonts w:hint="eastAsia" w:ascii="Times New Roman" w:hAnsi="Times New Roman" w:eastAsia="Times New Roman"/>
          <w:spacing w:val="-3"/>
          <w:highlight w:val="none"/>
          <w:u w:val="single"/>
        </w:rPr>
        <w:tab/>
      </w:r>
      <w:r>
        <w:rPr>
          <w:highlight w:val="none"/>
        </w:rPr>
        <w:t>月</w:t>
      </w:r>
      <w:r>
        <w:rPr>
          <w:rFonts w:hint="eastAsia" w:ascii="Times New Roman" w:hAnsi="Times New Roman" w:eastAsia="Times New Roman"/>
          <w:highlight w:val="none"/>
          <w:u w:val="single"/>
        </w:rPr>
        <w:tab/>
      </w:r>
      <w:r>
        <w:rPr>
          <w:highlight w:val="none"/>
        </w:rPr>
        <w:t>日</w:t>
      </w:r>
    </w:p>
    <w:p w14:paraId="53EF7F39">
      <w:pPr>
        <w:pStyle w:val="12"/>
        <w:tabs>
          <w:tab w:val="left" w:pos="5803"/>
          <w:tab w:val="left" w:pos="6746"/>
          <w:tab w:val="left" w:pos="7692"/>
        </w:tabs>
        <w:kinsoku w:val="0"/>
        <w:overflowPunct w:val="0"/>
        <w:spacing w:before="36"/>
        <w:ind w:left="4961" w:right="113"/>
        <w:rPr>
          <w:highlight w:val="none"/>
        </w:rPr>
        <w:sectPr>
          <w:pgSz w:w="11905" w:h="16838"/>
          <w:pgMar w:top="1417" w:right="1417" w:bottom="1417" w:left="1417" w:header="992" w:footer="992" w:gutter="0"/>
          <w:cols w:space="720" w:num="1"/>
        </w:sectPr>
      </w:pPr>
    </w:p>
    <w:p w14:paraId="4BFEF22A">
      <w:pPr>
        <w:pStyle w:val="6"/>
        <w:rPr>
          <w:highlight w:val="none"/>
        </w:rPr>
      </w:pPr>
      <w:bookmarkStart w:id="161" w:name="bookmark78"/>
      <w:bookmarkEnd w:id="161"/>
      <w:r>
        <w:rPr>
          <w:highlight w:val="none"/>
        </w:rPr>
        <w:t>附件二：问题的澄清</w:t>
      </w:r>
    </w:p>
    <w:p w14:paraId="6E07E363">
      <w:pPr>
        <w:pStyle w:val="12"/>
        <w:kinsoku w:val="0"/>
        <w:overflowPunct w:val="0"/>
        <w:ind w:left="0"/>
        <w:rPr>
          <w:sz w:val="20"/>
          <w:highlight w:val="none"/>
        </w:rPr>
      </w:pPr>
    </w:p>
    <w:p w14:paraId="5ED24057">
      <w:pPr>
        <w:pStyle w:val="12"/>
        <w:kinsoku w:val="0"/>
        <w:overflowPunct w:val="0"/>
        <w:ind w:left="0"/>
        <w:rPr>
          <w:sz w:val="20"/>
          <w:highlight w:val="none"/>
        </w:rPr>
      </w:pPr>
    </w:p>
    <w:p w14:paraId="47797130">
      <w:pPr>
        <w:pStyle w:val="12"/>
        <w:kinsoku w:val="0"/>
        <w:overflowPunct w:val="0"/>
        <w:ind w:left="0"/>
        <w:rPr>
          <w:sz w:val="20"/>
          <w:highlight w:val="none"/>
        </w:rPr>
      </w:pPr>
    </w:p>
    <w:p w14:paraId="06262EC2">
      <w:pPr>
        <w:pStyle w:val="12"/>
        <w:kinsoku w:val="0"/>
        <w:overflowPunct w:val="0"/>
        <w:spacing w:before="168"/>
        <w:ind w:left="0" w:right="16"/>
        <w:jc w:val="center"/>
        <w:rPr>
          <w:sz w:val="28"/>
          <w:highlight w:val="none"/>
        </w:rPr>
      </w:pPr>
      <w:r>
        <w:rPr>
          <w:sz w:val="28"/>
          <w:highlight w:val="none"/>
        </w:rPr>
        <w:t>问题的澄清</w:t>
      </w:r>
    </w:p>
    <w:p w14:paraId="3741B573">
      <w:pPr>
        <w:pStyle w:val="12"/>
        <w:tabs>
          <w:tab w:val="left" w:pos="5947"/>
        </w:tabs>
        <w:kinsoku w:val="0"/>
        <w:overflowPunct w:val="0"/>
        <w:spacing w:before="113"/>
        <w:ind w:left="3566" w:right="113"/>
        <w:rPr>
          <w:highlight w:val="none"/>
        </w:rPr>
      </w:pPr>
      <w:r>
        <w:rPr>
          <w:spacing w:val="-1"/>
          <w:highlight w:val="none"/>
        </w:rPr>
        <w:t>（编号：</w:t>
      </w:r>
      <w:r>
        <w:rPr>
          <w:rFonts w:hint="eastAsia" w:ascii="Times New Roman" w:hAnsi="Times New Roman" w:eastAsia="Times New Roman"/>
          <w:spacing w:val="-1"/>
          <w:highlight w:val="none"/>
          <w:u w:val="single"/>
        </w:rPr>
        <w:tab/>
      </w:r>
      <w:r>
        <w:rPr>
          <w:highlight w:val="none"/>
        </w:rPr>
        <w:t>）</w:t>
      </w:r>
    </w:p>
    <w:p w14:paraId="6247EFC4">
      <w:pPr>
        <w:pStyle w:val="12"/>
        <w:kinsoku w:val="0"/>
        <w:overflowPunct w:val="0"/>
        <w:ind w:left="0"/>
        <w:rPr>
          <w:sz w:val="20"/>
          <w:highlight w:val="none"/>
        </w:rPr>
      </w:pPr>
    </w:p>
    <w:p w14:paraId="1BC6AA2E">
      <w:pPr>
        <w:pStyle w:val="12"/>
        <w:kinsoku w:val="0"/>
        <w:overflowPunct w:val="0"/>
        <w:spacing w:before="1"/>
        <w:ind w:left="0"/>
        <w:rPr>
          <w:sz w:val="20"/>
          <w:highlight w:val="none"/>
        </w:rPr>
      </w:pPr>
    </w:p>
    <w:p w14:paraId="63F864AC">
      <w:pPr>
        <w:pStyle w:val="12"/>
        <w:kinsoku w:val="0"/>
        <w:overflowPunct w:val="0"/>
        <w:spacing w:before="36"/>
        <w:ind w:left="100" w:right="113"/>
        <w:rPr>
          <w:highlight w:val="none"/>
        </w:rPr>
      </w:pPr>
      <w:r>
        <w:rPr>
          <w:highlight w:val="none"/>
        </w:rPr>
        <w:t>评标委员会：</w:t>
      </w:r>
    </w:p>
    <w:p w14:paraId="03F31509">
      <w:pPr>
        <w:pStyle w:val="12"/>
        <w:kinsoku w:val="0"/>
        <w:overflowPunct w:val="0"/>
        <w:ind w:left="0"/>
        <w:rPr>
          <w:sz w:val="20"/>
          <w:highlight w:val="none"/>
        </w:rPr>
      </w:pPr>
    </w:p>
    <w:p w14:paraId="61543B18">
      <w:pPr>
        <w:pStyle w:val="12"/>
        <w:kinsoku w:val="0"/>
        <w:overflowPunct w:val="0"/>
        <w:spacing w:before="2"/>
        <w:ind w:left="0"/>
        <w:rPr>
          <w:sz w:val="26"/>
          <w:highlight w:val="none"/>
        </w:rPr>
      </w:pPr>
    </w:p>
    <w:p w14:paraId="425FBAF3">
      <w:pPr>
        <w:pStyle w:val="12"/>
        <w:tabs>
          <w:tab w:val="left" w:pos="3460"/>
        </w:tabs>
        <w:kinsoku w:val="0"/>
        <w:overflowPunct w:val="0"/>
        <w:ind w:left="522" w:right="113"/>
        <w:rPr>
          <w:spacing w:val="-2"/>
          <w:highlight w:val="none"/>
        </w:rPr>
      </w:pPr>
      <w:r>
        <w:rPr>
          <w:spacing w:val="-2"/>
          <w:highlight w:val="none"/>
        </w:rPr>
        <w:t>问题澄清通知（编号：</w:t>
      </w:r>
      <w:r>
        <w:rPr>
          <w:rFonts w:hint="eastAsia" w:ascii="Times New Roman" w:hAnsi="Times New Roman" w:eastAsia="Times New Roman"/>
          <w:spacing w:val="-2"/>
          <w:highlight w:val="none"/>
          <w:u w:val="single"/>
        </w:rPr>
        <w:tab/>
      </w:r>
      <w:r>
        <w:rPr>
          <w:spacing w:val="-2"/>
          <w:highlight w:val="none"/>
        </w:rPr>
        <w:t>）已收悉，现澄清、说明或补正如下：</w:t>
      </w:r>
    </w:p>
    <w:p w14:paraId="4963079A">
      <w:pPr>
        <w:pStyle w:val="12"/>
        <w:kinsoku w:val="0"/>
        <w:overflowPunct w:val="0"/>
        <w:spacing w:before="11"/>
        <w:ind w:left="0"/>
        <w:rPr>
          <w:sz w:val="10"/>
          <w:highlight w:val="none"/>
        </w:rPr>
      </w:pPr>
    </w:p>
    <w:p w14:paraId="3B8A11F9">
      <w:pPr>
        <w:pStyle w:val="12"/>
        <w:kinsoku w:val="0"/>
        <w:overflowPunct w:val="0"/>
        <w:spacing w:before="74"/>
        <w:ind w:left="0" w:right="7025"/>
        <w:jc w:val="center"/>
        <w:rPr>
          <w:rFonts w:ascii="Times New Roman" w:hAnsi="Times New Roman" w:eastAsia="Times New Roman"/>
          <w:highlight w:val="none"/>
        </w:rPr>
      </w:pPr>
      <w:r>
        <w:rPr>
          <w:rFonts w:hint="eastAsia" w:ascii="Times New Roman" w:hAnsi="Times New Roman" w:eastAsia="Times New Roman"/>
          <w:highlight w:val="none"/>
        </w:rPr>
        <w:t>1.</w:t>
      </w:r>
    </w:p>
    <w:p w14:paraId="66303E85">
      <w:pPr>
        <w:pStyle w:val="12"/>
        <w:kinsoku w:val="0"/>
        <w:overflowPunct w:val="0"/>
        <w:spacing w:before="2"/>
        <w:ind w:left="0"/>
        <w:rPr>
          <w:rFonts w:ascii="Times New Roman" w:hAnsi="Times New Roman" w:eastAsia="Times New Roman"/>
          <w:sz w:val="17"/>
          <w:highlight w:val="none"/>
        </w:rPr>
      </w:pPr>
    </w:p>
    <w:p w14:paraId="28EBABDF">
      <w:pPr>
        <w:pStyle w:val="12"/>
        <w:kinsoku w:val="0"/>
        <w:overflowPunct w:val="0"/>
        <w:ind w:left="0" w:right="7025"/>
        <w:jc w:val="center"/>
        <w:rPr>
          <w:rFonts w:ascii="Times New Roman" w:hAnsi="Times New Roman" w:eastAsia="Times New Roman"/>
          <w:highlight w:val="none"/>
        </w:rPr>
      </w:pPr>
      <w:r>
        <w:rPr>
          <w:rFonts w:hint="eastAsia" w:ascii="Times New Roman" w:hAnsi="Times New Roman" w:eastAsia="Times New Roman"/>
          <w:highlight w:val="none"/>
        </w:rPr>
        <w:t>2.</w:t>
      </w:r>
    </w:p>
    <w:p w14:paraId="22F390DA">
      <w:pPr>
        <w:pStyle w:val="12"/>
        <w:kinsoku w:val="0"/>
        <w:overflowPunct w:val="0"/>
        <w:spacing w:before="2"/>
        <w:ind w:left="0"/>
        <w:rPr>
          <w:rFonts w:ascii="Times New Roman" w:hAnsi="Times New Roman" w:eastAsia="Times New Roman"/>
          <w:sz w:val="17"/>
          <w:highlight w:val="none"/>
        </w:rPr>
      </w:pPr>
    </w:p>
    <w:p w14:paraId="04C5914A">
      <w:pPr>
        <w:pStyle w:val="12"/>
        <w:kinsoku w:val="0"/>
        <w:overflowPunct w:val="0"/>
        <w:ind w:left="0" w:right="7130"/>
        <w:jc w:val="center"/>
        <w:rPr>
          <w:rFonts w:ascii="Times New Roman" w:hAnsi="Times New Roman" w:eastAsia="Times New Roman"/>
          <w:highlight w:val="none"/>
        </w:rPr>
      </w:pPr>
      <w:r>
        <w:rPr>
          <w:rFonts w:hint="eastAsia" w:ascii="Times New Roman" w:hAnsi="Times New Roman" w:eastAsia="Times New Roman"/>
          <w:highlight w:val="none"/>
        </w:rPr>
        <w:t>.....</w:t>
      </w:r>
    </w:p>
    <w:p w14:paraId="6DFA8D62">
      <w:pPr>
        <w:pStyle w:val="12"/>
        <w:kinsoku w:val="0"/>
        <w:overflowPunct w:val="0"/>
        <w:ind w:left="0"/>
        <w:rPr>
          <w:rFonts w:ascii="Times New Roman" w:hAnsi="Times New Roman" w:eastAsia="Times New Roman"/>
          <w:sz w:val="20"/>
          <w:highlight w:val="none"/>
        </w:rPr>
      </w:pPr>
    </w:p>
    <w:p w14:paraId="7D0168CB">
      <w:pPr>
        <w:pStyle w:val="12"/>
        <w:kinsoku w:val="0"/>
        <w:overflowPunct w:val="0"/>
        <w:ind w:left="0"/>
        <w:rPr>
          <w:rFonts w:ascii="Times New Roman" w:hAnsi="Times New Roman" w:eastAsia="Times New Roman"/>
          <w:sz w:val="20"/>
          <w:highlight w:val="none"/>
        </w:rPr>
      </w:pPr>
    </w:p>
    <w:p w14:paraId="7AEFEFC8">
      <w:pPr>
        <w:pStyle w:val="12"/>
        <w:kinsoku w:val="0"/>
        <w:overflowPunct w:val="0"/>
        <w:ind w:left="0"/>
        <w:rPr>
          <w:rFonts w:ascii="Times New Roman" w:hAnsi="Times New Roman" w:eastAsia="Times New Roman"/>
          <w:sz w:val="20"/>
          <w:highlight w:val="none"/>
        </w:rPr>
      </w:pPr>
    </w:p>
    <w:p w14:paraId="3F38F6A4">
      <w:pPr>
        <w:pStyle w:val="12"/>
        <w:kinsoku w:val="0"/>
        <w:overflowPunct w:val="0"/>
        <w:ind w:left="0"/>
        <w:rPr>
          <w:rFonts w:ascii="Times New Roman" w:hAnsi="Times New Roman" w:eastAsia="Times New Roman"/>
          <w:sz w:val="20"/>
          <w:highlight w:val="none"/>
        </w:rPr>
      </w:pPr>
    </w:p>
    <w:p w14:paraId="40A34EFA">
      <w:pPr>
        <w:pStyle w:val="12"/>
        <w:kinsoku w:val="0"/>
        <w:overflowPunct w:val="0"/>
        <w:ind w:left="0"/>
        <w:rPr>
          <w:rFonts w:ascii="Times New Roman" w:hAnsi="Times New Roman" w:eastAsia="Times New Roman"/>
          <w:sz w:val="20"/>
          <w:highlight w:val="none"/>
        </w:rPr>
      </w:pPr>
    </w:p>
    <w:p w14:paraId="0C53408A">
      <w:pPr>
        <w:pStyle w:val="12"/>
        <w:kinsoku w:val="0"/>
        <w:overflowPunct w:val="0"/>
        <w:spacing w:before="11"/>
        <w:ind w:left="0"/>
        <w:rPr>
          <w:rFonts w:ascii="Times New Roman" w:hAnsi="Times New Roman" w:eastAsia="Times New Roman"/>
          <w:sz w:val="27"/>
          <w:highlight w:val="none"/>
        </w:rPr>
      </w:pPr>
    </w:p>
    <w:p w14:paraId="2FCDD642">
      <w:pPr>
        <w:pStyle w:val="12"/>
        <w:kinsoku w:val="0"/>
        <w:overflowPunct w:val="0"/>
        <w:spacing w:line="384" w:lineRule="auto"/>
        <w:ind w:left="100" w:right="113" w:firstLine="419"/>
        <w:rPr>
          <w:highlight w:val="none"/>
        </w:rPr>
      </w:pPr>
      <w:r>
        <w:rPr>
          <w:spacing w:val="-1"/>
          <w:highlight w:val="none"/>
        </w:rPr>
        <w:t>上述问题澄清、说明或补正，不改变我方投标文件的实质性内容，构成我方投标文件的组</w:t>
      </w:r>
      <w:r>
        <w:rPr>
          <w:highlight w:val="none"/>
        </w:rPr>
        <w:t xml:space="preserve"> 成部分。</w:t>
      </w:r>
    </w:p>
    <w:p w14:paraId="03D3B6DE">
      <w:pPr>
        <w:pStyle w:val="12"/>
        <w:kinsoku w:val="0"/>
        <w:overflowPunct w:val="0"/>
        <w:ind w:left="0"/>
        <w:rPr>
          <w:sz w:val="20"/>
          <w:highlight w:val="none"/>
        </w:rPr>
      </w:pPr>
    </w:p>
    <w:p w14:paraId="12D374B7">
      <w:pPr>
        <w:pStyle w:val="12"/>
        <w:kinsoku w:val="0"/>
        <w:overflowPunct w:val="0"/>
        <w:ind w:left="0"/>
        <w:rPr>
          <w:sz w:val="20"/>
          <w:highlight w:val="none"/>
        </w:rPr>
      </w:pPr>
    </w:p>
    <w:p w14:paraId="61CDE731">
      <w:pPr>
        <w:pStyle w:val="12"/>
        <w:kinsoku w:val="0"/>
        <w:overflowPunct w:val="0"/>
        <w:spacing w:before="6"/>
        <w:ind w:left="0"/>
        <w:rPr>
          <w:sz w:val="19"/>
          <w:highlight w:val="none"/>
        </w:rPr>
      </w:pPr>
    </w:p>
    <w:p w14:paraId="68DEDD34">
      <w:pPr>
        <w:pStyle w:val="12"/>
        <w:tabs>
          <w:tab w:val="left" w:pos="7382"/>
        </w:tabs>
        <w:kinsoku w:val="0"/>
        <w:overflowPunct w:val="0"/>
        <w:ind w:left="3043" w:right="113"/>
        <w:rPr>
          <w:spacing w:val="-1"/>
          <w:highlight w:val="none"/>
        </w:rPr>
      </w:pPr>
      <w:r>
        <w:rPr>
          <w:spacing w:val="-1"/>
          <w:highlight w:val="none"/>
        </w:rPr>
        <w:t>投标人：</w:t>
      </w:r>
      <w:r>
        <w:rPr>
          <w:rFonts w:hint="eastAsia" w:ascii="Times New Roman" w:hAnsi="Times New Roman" w:eastAsia="Times New Roman"/>
          <w:spacing w:val="-1"/>
          <w:highlight w:val="none"/>
          <w:u w:val="single"/>
        </w:rPr>
        <w:tab/>
      </w:r>
      <w:r>
        <w:rPr>
          <w:spacing w:val="-1"/>
          <w:highlight w:val="none"/>
        </w:rPr>
        <w:t>（盖单位章）</w:t>
      </w:r>
    </w:p>
    <w:p w14:paraId="5A8CAE2A">
      <w:pPr>
        <w:pStyle w:val="12"/>
        <w:kinsoku w:val="0"/>
        <w:overflowPunct w:val="0"/>
        <w:spacing w:before="11"/>
        <w:ind w:left="0"/>
        <w:rPr>
          <w:sz w:val="17"/>
          <w:highlight w:val="none"/>
        </w:rPr>
      </w:pPr>
    </w:p>
    <w:p w14:paraId="5F591F04">
      <w:pPr>
        <w:pStyle w:val="12"/>
        <w:tabs>
          <w:tab w:val="left" w:pos="6612"/>
        </w:tabs>
        <w:kinsoku w:val="0"/>
        <w:overflowPunct w:val="0"/>
        <w:spacing w:before="36"/>
        <w:ind w:left="3041" w:right="113"/>
        <w:rPr>
          <w:spacing w:val="-2"/>
          <w:highlight w:val="none"/>
        </w:rPr>
      </w:pPr>
      <w:r>
        <w:rPr>
          <w:spacing w:val="-2"/>
          <w:highlight w:val="none"/>
        </w:rPr>
        <w:t>法定代表人或其委托代理人：</w:t>
      </w:r>
      <w:r>
        <w:rPr>
          <w:rFonts w:hint="eastAsia" w:ascii="Times New Roman" w:hAnsi="Times New Roman" w:eastAsia="Times New Roman"/>
          <w:spacing w:val="-2"/>
          <w:highlight w:val="none"/>
          <w:u w:val="single"/>
        </w:rPr>
        <w:tab/>
      </w:r>
      <w:r>
        <w:rPr>
          <w:spacing w:val="-2"/>
          <w:highlight w:val="none"/>
        </w:rPr>
        <w:t>（签字）</w:t>
      </w:r>
    </w:p>
    <w:p w14:paraId="6BDBADBF">
      <w:pPr>
        <w:pStyle w:val="12"/>
        <w:kinsoku w:val="0"/>
        <w:overflowPunct w:val="0"/>
        <w:ind w:left="0"/>
        <w:rPr>
          <w:sz w:val="20"/>
          <w:highlight w:val="none"/>
        </w:rPr>
      </w:pPr>
    </w:p>
    <w:p w14:paraId="210000C9">
      <w:pPr>
        <w:pStyle w:val="12"/>
        <w:kinsoku w:val="0"/>
        <w:overflowPunct w:val="0"/>
        <w:ind w:left="0"/>
        <w:rPr>
          <w:sz w:val="20"/>
          <w:highlight w:val="none"/>
        </w:rPr>
      </w:pPr>
    </w:p>
    <w:p w14:paraId="46181629">
      <w:pPr>
        <w:pStyle w:val="12"/>
        <w:kinsoku w:val="0"/>
        <w:overflowPunct w:val="0"/>
        <w:spacing w:before="4"/>
        <w:ind w:left="0"/>
        <w:rPr>
          <w:sz w:val="22"/>
          <w:highlight w:val="none"/>
        </w:rPr>
      </w:pPr>
    </w:p>
    <w:p w14:paraId="7334772B">
      <w:pPr>
        <w:pStyle w:val="12"/>
        <w:tabs>
          <w:tab w:val="left" w:pos="6434"/>
          <w:tab w:val="left" w:pos="7483"/>
          <w:tab w:val="left" w:pos="8533"/>
        </w:tabs>
        <w:kinsoku w:val="0"/>
        <w:overflowPunct w:val="0"/>
        <w:spacing w:before="36"/>
        <w:ind w:left="5595"/>
        <w:rPr>
          <w:highlight w:val="none"/>
        </w:rPr>
        <w:sectPr>
          <w:pgSz w:w="11905" w:h="16838"/>
          <w:pgMar w:top="1417" w:right="1417" w:bottom="1417" w:left="1417" w:header="992" w:footer="992" w:gutter="0"/>
          <w:cols w:space="720" w:num="1"/>
        </w:sect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3"/>
          <w:highlight w:val="none"/>
        </w:rPr>
        <w:t>年</w:t>
      </w:r>
      <w:r>
        <w:rPr>
          <w:rFonts w:hint="eastAsia" w:ascii="Times New Roman" w:hAnsi="Times New Roman" w:eastAsia="Times New Roman"/>
          <w:spacing w:val="-3"/>
          <w:highlight w:val="none"/>
          <w:u w:val="single"/>
        </w:rPr>
        <w:tab/>
      </w:r>
      <w:r>
        <w:rPr>
          <w:highlight w:val="none"/>
        </w:rPr>
        <w:t>月</w:t>
      </w:r>
      <w:r>
        <w:rPr>
          <w:rFonts w:hint="eastAsia" w:ascii="Times New Roman" w:hAnsi="Times New Roman" w:eastAsia="Times New Roman"/>
          <w:highlight w:val="none"/>
          <w:u w:val="single"/>
        </w:rPr>
        <w:tab/>
      </w:r>
      <w:r>
        <w:rPr>
          <w:highlight w:val="none"/>
        </w:rPr>
        <w:t>日</w:t>
      </w:r>
    </w:p>
    <w:p w14:paraId="47F5C236">
      <w:pPr>
        <w:pStyle w:val="4"/>
        <w:rPr>
          <w:b w:val="0"/>
          <w:sz w:val="57"/>
          <w:highlight w:val="none"/>
        </w:rPr>
      </w:pPr>
      <w:bookmarkStart w:id="162" w:name="bookmark79"/>
      <w:bookmarkEnd w:id="162"/>
      <w:bookmarkStart w:id="163" w:name="bookmark82"/>
      <w:bookmarkEnd w:id="163"/>
      <w:bookmarkStart w:id="164" w:name="_Toc29250"/>
      <w:r>
        <w:rPr>
          <w:rFonts w:cs="宋体"/>
          <w:sz w:val="44"/>
          <w:highlight w:val="none"/>
        </w:rPr>
        <w:t>第三章 评标办法（综合评估法）</w:t>
      </w:r>
      <w:bookmarkEnd w:id="164"/>
    </w:p>
    <w:p w14:paraId="74390CFD">
      <w:pPr>
        <w:pStyle w:val="5"/>
        <w:kinsoku w:val="0"/>
        <w:overflowPunct w:val="0"/>
        <w:spacing w:before="120" w:after="120"/>
        <w:ind w:left="120"/>
        <w:jc w:val="center"/>
        <w:rPr>
          <w:sz w:val="32"/>
          <w:highlight w:val="none"/>
        </w:rPr>
      </w:pPr>
      <w:bookmarkStart w:id="165" w:name="bookmark83"/>
      <w:bookmarkEnd w:id="165"/>
      <w:bookmarkStart w:id="166" w:name="_Toc17036"/>
      <w:r>
        <w:rPr>
          <w:sz w:val="32"/>
          <w:highlight w:val="none"/>
        </w:rPr>
        <w:t>评标办法前附表</w:t>
      </w:r>
      <w:bookmarkEnd w:id="166"/>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435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AA7C78">
            <w:pPr>
              <w:pStyle w:val="34"/>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AEEF255">
            <w:pPr>
              <w:pStyle w:val="34"/>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D5D6CB8">
            <w:pPr>
              <w:pStyle w:val="34"/>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评审标准</w:t>
            </w:r>
          </w:p>
        </w:tc>
      </w:tr>
      <w:tr w14:paraId="3BF0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14:paraId="11060997">
            <w:pPr>
              <w:pStyle w:val="34"/>
              <w:kinsoku w:val="0"/>
              <w:overflowPunct w:val="0"/>
              <w:jc w:val="both"/>
              <w:rPr>
                <w:rFonts w:ascii="宋体" w:hAnsi="宋体" w:cs="宋体"/>
                <w:sz w:val="21"/>
                <w:szCs w:val="21"/>
                <w:highlight w:val="none"/>
              </w:rPr>
            </w:pPr>
            <w:r>
              <w:rPr>
                <w:rFonts w:ascii="宋体" w:hAnsi="宋体" w:cs="宋体"/>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06FE84">
            <w:pPr>
              <w:pStyle w:val="34"/>
              <w:kinsoku w:val="0"/>
              <w:overflowPunct w:val="0"/>
              <w:spacing w:before="141"/>
              <w:jc w:val="both"/>
              <w:rPr>
                <w:rFonts w:ascii="宋体" w:hAnsi="宋体" w:cs="宋体"/>
                <w:sz w:val="21"/>
                <w:szCs w:val="21"/>
                <w:highlight w:val="none"/>
              </w:rPr>
            </w:pPr>
            <w:r>
              <w:rPr>
                <w:rFonts w:ascii="宋体" w:hAnsi="宋体" w:cs="宋体"/>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61CCC49">
            <w:pPr>
              <w:pStyle w:val="34"/>
              <w:kinsoku w:val="0"/>
              <w:overflowPunct w:val="0"/>
              <w:spacing w:before="141"/>
              <w:jc w:val="center"/>
              <w:rPr>
                <w:rFonts w:ascii="宋体" w:hAnsi="宋体" w:cs="宋体"/>
                <w:sz w:val="21"/>
                <w:szCs w:val="21"/>
                <w:highlight w:val="none"/>
              </w:rPr>
            </w:pPr>
            <w:r>
              <w:rPr>
                <w:rFonts w:ascii="宋体" w:hAnsi="宋体" w:cs="宋体"/>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top"/>
          </w:tcPr>
          <w:p w14:paraId="2F71960D">
            <w:pPr>
              <w:kinsoku w:val="0"/>
              <w:overflowPunct w:val="0"/>
              <w:spacing w:before="141"/>
              <w:jc w:val="both"/>
              <w:rPr>
                <w:rFonts w:ascii="宋体" w:hAnsi="宋体" w:cs="宋体"/>
                <w:sz w:val="21"/>
                <w:szCs w:val="21"/>
                <w:highlight w:val="none"/>
              </w:rPr>
            </w:pPr>
            <w:r>
              <w:rPr>
                <w:rFonts w:ascii="宋体"/>
                <w:sz w:val="21"/>
                <w:highlight w:val="none"/>
                <w:u w:val="none"/>
              </w:rPr>
              <w:t>中标候选人顺序确定方法如下：</w:t>
            </w:r>
            <w:r>
              <w:rPr>
                <w:rFonts w:hint="eastAsia" w:ascii="宋体"/>
                <w:sz w:val="21"/>
                <w:highlight w:val="none"/>
                <w:u w:val="none"/>
              </w:rPr>
              <w:t>本次评标采用综合评估法。评标委员会对满足招标文件实质性要求的投标文件，按照本章第</w:t>
            </w:r>
            <w:r>
              <w:rPr>
                <w:rFonts w:ascii="宋体"/>
                <w:sz w:val="21"/>
                <w:highlight w:val="none"/>
                <w:u w:val="none"/>
              </w:rPr>
              <w:t>2.2</w:t>
            </w:r>
            <w:r>
              <w:rPr>
                <w:rFonts w:hint="eastAsia" w:ascii="宋体"/>
                <w:sz w:val="21"/>
                <w:highlight w:val="none"/>
                <w:u w:val="none"/>
              </w:rPr>
              <w:t>款规定的评分标准进行打分，并按总得分由高到低顺序推荐中标候选人，但投标报价低于其成本的除外。总得分相等时，以投标报价低的优先；投标报价也相等的，以监理大纲得分高的优先；如果监理大纲得分也相等的情况下，由评标委员会采用记名投票方式（不得弃权），以得票多的优先确定中标候选人的排序。</w:t>
            </w:r>
          </w:p>
        </w:tc>
      </w:tr>
      <w:tr w14:paraId="780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8AB471F">
            <w:pPr>
              <w:pStyle w:val="34"/>
              <w:kinsoku w:val="0"/>
              <w:overflowPunct w:val="0"/>
              <w:jc w:val="both"/>
              <w:rPr>
                <w:rFonts w:ascii="宋体" w:hAnsi="宋体" w:cs="宋体"/>
                <w:sz w:val="21"/>
                <w:szCs w:val="21"/>
                <w:highlight w:val="none"/>
              </w:rPr>
            </w:pPr>
            <w:r>
              <w:rPr>
                <w:rFonts w:ascii="宋体" w:hAnsi="宋体" w:cs="宋体"/>
                <w:sz w:val="21"/>
                <w:szCs w:val="21"/>
                <w:highlight w:val="none"/>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DE83DF3">
            <w:pPr>
              <w:pStyle w:val="34"/>
              <w:kinsoku w:val="0"/>
              <w:overflowPunct w:val="0"/>
              <w:spacing w:line="384" w:lineRule="auto"/>
              <w:ind w:right="132"/>
              <w:jc w:val="both"/>
              <w:rPr>
                <w:rFonts w:ascii="宋体" w:hAnsi="宋体" w:cs="宋体"/>
                <w:sz w:val="21"/>
                <w:szCs w:val="21"/>
                <w:highlight w:val="none"/>
              </w:rPr>
            </w:pPr>
            <w:r>
              <w:rPr>
                <w:rFonts w:ascii="宋体" w:hAnsi="宋体" w:cs="宋体"/>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34E911D">
            <w:pPr>
              <w:pStyle w:val="34"/>
              <w:kinsoku w:val="0"/>
              <w:overflowPunct w:val="0"/>
              <w:jc w:val="center"/>
              <w:rPr>
                <w:rFonts w:ascii="宋体" w:hAnsi="宋体" w:cs="宋体"/>
                <w:sz w:val="21"/>
                <w:szCs w:val="21"/>
                <w:highlight w:val="none"/>
              </w:rPr>
            </w:pPr>
            <w:r>
              <w:rPr>
                <w:rFonts w:ascii="宋体" w:hAnsi="宋体" w:cs="宋体"/>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tcPr>
          <w:p w14:paraId="66D049BE">
            <w:pPr>
              <w:pStyle w:val="34"/>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3.5.1项规定，具备有效的营业执照</w:t>
            </w:r>
          </w:p>
        </w:tc>
      </w:tr>
      <w:tr w14:paraId="7244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B600B8">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578B819">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453FFD3">
            <w:pPr>
              <w:pStyle w:val="34"/>
              <w:kinsoku w:val="0"/>
              <w:overflowPunct w:val="0"/>
              <w:jc w:val="center"/>
              <w:rPr>
                <w:rFonts w:ascii="宋体" w:hAnsi="宋体" w:cs="宋体"/>
                <w:sz w:val="21"/>
                <w:szCs w:val="21"/>
                <w:highlight w:val="none"/>
              </w:rPr>
            </w:pPr>
            <w:r>
              <w:rPr>
                <w:rFonts w:ascii="宋体" w:hAnsi="宋体" w:cs="宋体"/>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8DE7481">
            <w:pPr>
              <w:pStyle w:val="34"/>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1.4.1项规定</w:t>
            </w:r>
          </w:p>
        </w:tc>
      </w:tr>
      <w:tr w14:paraId="395B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CBB636">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C906D4B">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AD2BA39">
            <w:pPr>
              <w:pStyle w:val="34"/>
              <w:kinsoku w:val="0"/>
              <w:overflowPunct w:val="0"/>
              <w:jc w:val="center"/>
              <w:rPr>
                <w:rFonts w:ascii="宋体" w:hAnsi="宋体" w:cs="宋体"/>
                <w:sz w:val="21"/>
                <w:szCs w:val="21"/>
                <w:highlight w:val="none"/>
              </w:rPr>
            </w:pPr>
            <w:r>
              <w:rPr>
                <w:rFonts w:ascii="宋体" w:hAnsi="宋体" w:cs="宋体"/>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84ACF7E">
            <w:pPr>
              <w:pStyle w:val="34"/>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1.4.1项规定</w:t>
            </w:r>
          </w:p>
        </w:tc>
      </w:tr>
      <w:tr w14:paraId="77F8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EF995A">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7CACF4D">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8E2169E">
            <w:pPr>
              <w:jc w:val="center"/>
              <w:rPr>
                <w:rFonts w:ascii="宋体" w:hAnsi="Calibri"/>
                <w:snapToGrid w:val="0"/>
                <w:kern w:val="2"/>
                <w:sz w:val="21"/>
                <w:szCs w:val="21"/>
                <w:highlight w:val="none"/>
              </w:rPr>
            </w:pPr>
            <w:r>
              <w:rPr>
                <w:rFonts w:ascii="宋体" w:hAnsi="宋体" w:cs="宋体"/>
                <w:spacing w:val="-2"/>
                <w:sz w:val="21"/>
                <w:szCs w:val="21"/>
                <w:highlight w:val="none"/>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371BC4F">
            <w:pPr>
              <w:ind w:left="137" w:leftChars="57"/>
              <w:rPr>
                <w:rFonts w:ascii="宋体" w:hAnsi="Calibri"/>
                <w:snapToGrid w:val="0"/>
                <w:kern w:val="2"/>
                <w:sz w:val="21"/>
                <w:szCs w:val="21"/>
                <w:highlight w:val="none"/>
              </w:rPr>
            </w:pPr>
            <w:r>
              <w:rPr>
                <w:rFonts w:ascii="宋体" w:hAnsi="宋体" w:cs="宋体"/>
                <w:spacing w:val="-4"/>
                <w:sz w:val="21"/>
                <w:szCs w:val="21"/>
                <w:highlight w:val="none"/>
              </w:rPr>
              <w:t>失信联合惩戒名单以“信用广州”网站公布的“</w:t>
            </w:r>
            <w:r>
              <w:rPr>
                <w:rFonts w:hint="eastAsia" w:ascii="宋体" w:hAnsi="宋体" w:cs="宋体"/>
                <w:spacing w:val="-4"/>
                <w:sz w:val="21"/>
                <w:szCs w:val="21"/>
                <w:highlight w:val="none"/>
              </w:rPr>
              <w:t>黑名单</w:t>
            </w:r>
            <w:r>
              <w:rPr>
                <w:rFonts w:ascii="宋体" w:hAnsi="宋体" w:cs="宋体"/>
                <w:spacing w:val="-4"/>
                <w:sz w:val="21"/>
                <w:szCs w:val="21"/>
                <w:highlight w:val="none"/>
              </w:rPr>
              <w:t>”为准。（提供查询结果网页截图，并加盖公章。）</w:t>
            </w:r>
          </w:p>
        </w:tc>
      </w:tr>
      <w:tr w14:paraId="66B0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088861">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57E0442">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8814AE0">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875AC2D">
            <w:pPr>
              <w:pStyle w:val="34"/>
              <w:kinsoku w:val="0"/>
              <w:overflowPunct w:val="0"/>
              <w:jc w:val="both"/>
              <w:rPr>
                <w:rFonts w:ascii="宋体" w:hAnsi="宋体" w:cs="宋体"/>
                <w:sz w:val="21"/>
                <w:szCs w:val="21"/>
                <w:highlight w:val="none"/>
              </w:rPr>
            </w:pPr>
            <w:r>
              <w:rPr>
                <w:rFonts w:ascii="宋体" w:hAnsi="宋体" w:cs="宋体"/>
                <w:sz w:val="21"/>
                <w:szCs w:val="21"/>
                <w:highlight w:val="none"/>
              </w:rPr>
              <w:t>投标人已按第六章“投标文件格式”规定的内容签署盖章《投标人声明》，且总监理工程师</w:t>
            </w:r>
            <w:r>
              <w:rPr>
                <w:rFonts w:hint="eastAsia" w:ascii="宋体" w:hAnsi="宋体" w:cs="宋体"/>
                <w:sz w:val="21"/>
                <w:szCs w:val="21"/>
                <w:highlight w:val="none"/>
              </w:rPr>
              <w:t>、技术负责人</w:t>
            </w:r>
            <w:r>
              <w:rPr>
                <w:rFonts w:ascii="宋体" w:hAnsi="宋体" w:cs="宋体"/>
                <w:sz w:val="21"/>
                <w:szCs w:val="21"/>
                <w:highlight w:val="none"/>
              </w:rPr>
              <w:t>签字确认</w:t>
            </w:r>
          </w:p>
        </w:tc>
      </w:tr>
      <w:tr w14:paraId="3E00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C2171B">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6B76E65">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14AA77C">
            <w:pPr>
              <w:pStyle w:val="34"/>
              <w:kinsoku w:val="0"/>
              <w:overflowPunct w:val="0"/>
              <w:jc w:val="center"/>
              <w:rPr>
                <w:rFonts w:ascii="宋体" w:hAnsi="宋体" w:cs="宋体"/>
                <w:sz w:val="21"/>
                <w:szCs w:val="21"/>
                <w:highlight w:val="none"/>
              </w:rPr>
            </w:pPr>
            <w:r>
              <w:rPr>
                <w:rFonts w:ascii="宋体" w:hAnsi="宋体" w:cs="宋体"/>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8E151E7">
            <w:pPr>
              <w:pStyle w:val="34"/>
              <w:kinsoku w:val="0"/>
              <w:overflowPunct w:val="0"/>
              <w:jc w:val="both"/>
              <w:rPr>
                <w:rFonts w:ascii="宋体" w:hAnsi="宋体" w:cs="宋体"/>
                <w:sz w:val="21"/>
                <w:szCs w:val="21"/>
                <w:highlight w:val="none"/>
              </w:rPr>
            </w:pPr>
            <w:r>
              <w:rPr>
                <w:rFonts w:ascii="宋体" w:hAnsi="宋体" w:cs="宋体"/>
                <w:sz w:val="21"/>
                <w:szCs w:val="21"/>
                <w:highlight w:val="none"/>
              </w:rPr>
              <w:t>不存在第二章“投标人须知”第 1.4.3项规定的任何一种情形</w:t>
            </w:r>
          </w:p>
        </w:tc>
      </w:tr>
      <w:tr w14:paraId="1BD5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81C917">
            <w:pPr>
              <w:pStyle w:val="34"/>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1FE30CC">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0F36FC9">
            <w:pPr>
              <w:pStyle w:val="34"/>
              <w:kinsoku w:val="0"/>
              <w:overflowPunct w:val="0"/>
              <w:jc w:val="center"/>
              <w:rPr>
                <w:rFonts w:ascii="宋体" w:hAnsi="宋体" w:cs="宋体"/>
                <w:sz w:val="21"/>
                <w:szCs w:val="21"/>
                <w:highlight w:val="none"/>
              </w:rPr>
            </w:pPr>
            <w:r>
              <w:rPr>
                <w:rFonts w:hint="eastAsia" w:ascii="宋体" w:hAnsi="宋体" w:cs="宋体"/>
                <w:sz w:val="21"/>
                <w:szCs w:val="21"/>
                <w:highlight w:val="none"/>
              </w:rPr>
              <w:t>其他要求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5D2BC6A">
            <w:pPr>
              <w:pStyle w:val="34"/>
              <w:kinsoku w:val="0"/>
              <w:overflowPunct w:val="0"/>
              <w:jc w:val="both"/>
              <w:rPr>
                <w:rFonts w:ascii="宋体" w:hAnsi="宋体" w:cs="宋体"/>
                <w:sz w:val="21"/>
                <w:szCs w:val="21"/>
                <w:highlight w:val="none"/>
              </w:rPr>
            </w:pPr>
            <w:r>
              <w:rPr>
                <w:rFonts w:hint="eastAsia" w:ascii="宋体" w:hAnsi="宋体" w:cs="宋体"/>
                <w:sz w:val="21"/>
                <w:szCs w:val="21"/>
                <w:highlight w:val="none"/>
              </w:rPr>
              <w:t>1）投标人参加投标的意思表达清楚，投标人代表被授权有效。</w:t>
            </w:r>
          </w:p>
          <w:p w14:paraId="5A7652F3">
            <w:pPr>
              <w:pStyle w:val="34"/>
              <w:kinsoku w:val="0"/>
              <w:overflowPunct w:val="0"/>
              <w:jc w:val="both"/>
              <w:rPr>
                <w:rFonts w:ascii="宋体" w:hAnsi="宋体" w:cs="宋体"/>
                <w:sz w:val="21"/>
                <w:szCs w:val="21"/>
                <w:highlight w:val="none"/>
              </w:rPr>
            </w:pPr>
            <w:r>
              <w:rPr>
                <w:rFonts w:hint="eastAsia" w:ascii="宋体" w:hAnsi="宋体" w:cs="宋体"/>
                <w:sz w:val="21"/>
                <w:szCs w:val="21"/>
                <w:highlight w:val="none"/>
              </w:rPr>
              <w:t>2) 投标登记前，投标人须已在广州公共资源交易中心办理企业信息登记及拟担任本工程总监理工程师须是本单位在企业库中的在册人员。</w:t>
            </w:r>
          </w:p>
        </w:tc>
      </w:tr>
      <w:tr w14:paraId="184B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2EB403E">
            <w:pPr>
              <w:pStyle w:val="34"/>
              <w:kinsoku w:val="0"/>
              <w:overflowPunct w:val="0"/>
              <w:jc w:val="both"/>
              <w:rPr>
                <w:rFonts w:ascii="宋体" w:hAnsi="宋体" w:cs="宋体"/>
                <w:sz w:val="21"/>
                <w:szCs w:val="21"/>
                <w:highlight w:val="none"/>
              </w:rPr>
            </w:pPr>
            <w:r>
              <w:rPr>
                <w:rFonts w:ascii="宋体" w:hAnsi="宋体" w:cs="宋体"/>
                <w:sz w:val="21"/>
                <w:szCs w:val="21"/>
                <w:highlight w:val="none"/>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1C3DF24">
            <w:pPr>
              <w:pStyle w:val="34"/>
              <w:kinsoku w:val="0"/>
              <w:overflowPunct w:val="0"/>
              <w:spacing w:line="384" w:lineRule="auto"/>
              <w:ind w:right="132"/>
              <w:jc w:val="both"/>
              <w:rPr>
                <w:rFonts w:ascii="宋体" w:hAnsi="宋体" w:cs="宋体"/>
                <w:sz w:val="21"/>
                <w:szCs w:val="21"/>
                <w:highlight w:val="none"/>
              </w:rPr>
            </w:pPr>
            <w:r>
              <w:rPr>
                <w:rFonts w:ascii="宋体" w:hAnsi="宋体" w:cs="宋体"/>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4F03C70">
            <w:pPr>
              <w:pStyle w:val="34"/>
              <w:kinsoku w:val="0"/>
              <w:overflowPunct w:val="0"/>
              <w:spacing w:before="110"/>
              <w:jc w:val="center"/>
              <w:rPr>
                <w:rFonts w:ascii="宋体" w:hAnsi="宋体" w:cs="宋体"/>
                <w:sz w:val="21"/>
                <w:szCs w:val="21"/>
                <w:highlight w:val="none"/>
              </w:rPr>
            </w:pPr>
            <w:r>
              <w:rPr>
                <w:rFonts w:ascii="宋体" w:hAnsi="宋体" w:cs="宋体"/>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8C0A435">
            <w:pPr>
              <w:pStyle w:val="34"/>
              <w:kinsoku w:val="0"/>
              <w:overflowPunct w:val="0"/>
              <w:spacing w:before="110"/>
              <w:jc w:val="both"/>
              <w:rPr>
                <w:rFonts w:ascii="宋体" w:hAnsi="宋体" w:cs="宋体"/>
                <w:sz w:val="21"/>
                <w:szCs w:val="21"/>
                <w:highlight w:val="none"/>
              </w:rPr>
            </w:pPr>
            <w:r>
              <w:rPr>
                <w:rFonts w:ascii="宋体" w:hAnsi="宋体" w:cs="宋体"/>
                <w:sz w:val="21"/>
                <w:szCs w:val="21"/>
                <w:highlight w:val="none"/>
              </w:rPr>
              <w:t>与营业执照、资质证书一致</w:t>
            </w:r>
          </w:p>
        </w:tc>
      </w:tr>
      <w:tr w14:paraId="0CAC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vAlign w:val="center"/>
          </w:tcPr>
          <w:p w14:paraId="4AA64419">
            <w:pPr>
              <w:pStyle w:val="34"/>
              <w:kinsoku w:val="0"/>
              <w:overflowPunct w:val="0"/>
              <w:jc w:val="both"/>
              <w:rPr>
                <w:rFonts w:ascii="宋体" w:hAnsi="宋体" w:cs="宋体"/>
                <w:sz w:val="21"/>
                <w:szCs w:val="21"/>
                <w:highlight w:val="none"/>
              </w:rPr>
            </w:pPr>
          </w:p>
        </w:tc>
        <w:tc>
          <w:tcPr>
            <w:tcW w:w="1300" w:type="dxa"/>
            <w:gridSpan w:val="2"/>
            <w:vMerge w:val="continue"/>
            <w:tcBorders>
              <w:left w:val="single" w:color="auto" w:sz="4" w:space="0"/>
              <w:right w:val="single" w:color="auto" w:sz="4" w:space="0"/>
              <w:tl2br w:val="nil"/>
              <w:tr2bl w:val="nil"/>
            </w:tcBorders>
            <w:vAlign w:val="center"/>
          </w:tcPr>
          <w:p w14:paraId="0780F1A2">
            <w:pPr>
              <w:pStyle w:val="34"/>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390FCCD">
            <w:pPr>
              <w:pStyle w:val="34"/>
              <w:kinsoku w:val="0"/>
              <w:overflowPunct w:val="0"/>
              <w:spacing w:before="110"/>
              <w:jc w:val="center"/>
              <w:rPr>
                <w:rFonts w:ascii="宋体" w:hAnsi="宋体" w:cs="宋体"/>
                <w:sz w:val="21"/>
                <w:szCs w:val="21"/>
                <w:highlight w:val="none"/>
              </w:rPr>
            </w:pPr>
            <w:r>
              <w:rPr>
                <w:rFonts w:ascii="宋体" w:hAnsi="宋体" w:cs="宋体"/>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C5197D">
            <w:pPr>
              <w:pStyle w:val="34"/>
              <w:kinsoku w:val="0"/>
              <w:overflowPunct w:val="0"/>
              <w:spacing w:before="110"/>
              <w:jc w:val="both"/>
              <w:rPr>
                <w:rFonts w:ascii="宋体" w:hAnsi="宋体" w:cs="宋体"/>
                <w:sz w:val="21"/>
                <w:szCs w:val="21"/>
                <w:highlight w:val="none"/>
              </w:rPr>
            </w:pPr>
            <w:r>
              <w:rPr>
                <w:rFonts w:ascii="宋体" w:hAnsi="宋体" w:cs="宋体"/>
                <w:sz w:val="21"/>
                <w:szCs w:val="21"/>
                <w:highlight w:val="none"/>
              </w:rPr>
              <w:t>投标人声明、廉洁承诺书、法定代表人证明书；委托投标的还应提供法人授权委托证明书</w:t>
            </w:r>
          </w:p>
        </w:tc>
      </w:tr>
      <w:tr w14:paraId="552D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5EB0C3">
            <w:pPr>
              <w:pStyle w:val="5"/>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3918566">
            <w:pPr>
              <w:pStyle w:val="5"/>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EE6E866">
            <w:pPr>
              <w:pStyle w:val="34"/>
              <w:kinsoku w:val="0"/>
              <w:overflowPunct w:val="0"/>
              <w:ind w:right="180"/>
              <w:jc w:val="center"/>
              <w:rPr>
                <w:rFonts w:ascii="宋体" w:hAnsi="宋体" w:cs="宋体"/>
                <w:sz w:val="21"/>
                <w:szCs w:val="21"/>
                <w:highlight w:val="none"/>
              </w:rPr>
            </w:pPr>
            <w:r>
              <w:rPr>
                <w:rFonts w:ascii="宋体" w:hAnsi="宋体" w:cs="宋体"/>
                <w:spacing w:val="-2"/>
                <w:sz w:val="21"/>
                <w:szCs w:val="21"/>
                <w:highlight w:val="none"/>
              </w:rPr>
              <w:t>投标函及投标函附录签</w:t>
            </w:r>
            <w:r>
              <w:rPr>
                <w:rFonts w:ascii="宋体" w:hAnsi="宋体" w:cs="宋体"/>
                <w:spacing w:val="-84"/>
                <w:sz w:val="21"/>
                <w:szCs w:val="21"/>
                <w:highlight w:val="none"/>
              </w:rPr>
              <w:t xml:space="preserve"> </w:t>
            </w:r>
            <w:r>
              <w:rPr>
                <w:rFonts w:ascii="宋体" w:hAnsi="宋体" w:cs="宋体"/>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AA47ECB">
            <w:pPr>
              <w:pStyle w:val="34"/>
              <w:kinsoku w:val="0"/>
              <w:overflowPunct w:val="0"/>
              <w:spacing w:before="107"/>
              <w:ind w:right="96"/>
              <w:jc w:val="both"/>
              <w:rPr>
                <w:rFonts w:ascii="宋体" w:hAnsi="宋体" w:cs="宋体"/>
                <w:sz w:val="21"/>
                <w:szCs w:val="21"/>
                <w:highlight w:val="none"/>
              </w:rPr>
            </w:pPr>
            <w:r>
              <w:rPr>
                <w:rFonts w:ascii="宋体" w:hAnsi="宋体" w:cs="宋体"/>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14:paraId="41E8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F23C6E">
            <w:pPr>
              <w:pStyle w:val="5"/>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8ECD6A">
            <w:pPr>
              <w:pStyle w:val="5"/>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E1753CE">
            <w:pPr>
              <w:pStyle w:val="34"/>
              <w:kinsoku w:val="0"/>
              <w:overflowPunct w:val="0"/>
              <w:spacing w:before="107"/>
              <w:jc w:val="center"/>
              <w:rPr>
                <w:rFonts w:ascii="宋体" w:hAnsi="宋体" w:cs="宋体"/>
                <w:sz w:val="21"/>
                <w:szCs w:val="21"/>
                <w:highlight w:val="none"/>
              </w:rPr>
            </w:pPr>
            <w:r>
              <w:rPr>
                <w:rFonts w:ascii="宋体" w:hAnsi="宋体" w:cs="宋体"/>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D47F182">
            <w:pPr>
              <w:pStyle w:val="34"/>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符合第六章“投标文件格式”的规定</w:t>
            </w:r>
          </w:p>
        </w:tc>
      </w:tr>
      <w:tr w14:paraId="1D9A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E51411">
            <w:pPr>
              <w:pStyle w:val="5"/>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01C1BA5">
            <w:pPr>
              <w:pStyle w:val="5"/>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A0598B0">
            <w:pPr>
              <w:jc w:val="center"/>
              <w:rPr>
                <w:rFonts w:ascii="宋体" w:hAnsi="宋体" w:cs="宋体"/>
                <w:sz w:val="21"/>
                <w:szCs w:val="21"/>
                <w:highlight w:val="none"/>
              </w:rPr>
            </w:pPr>
            <w:r>
              <w:rPr>
                <w:rFonts w:ascii="宋体"/>
                <w:sz w:val="21"/>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73ECBE5">
            <w:pPr>
              <w:ind w:left="91" w:leftChars="38"/>
              <w:jc w:val="both"/>
              <w:rPr>
                <w:rFonts w:ascii="宋体" w:hAnsi="宋体" w:cs="宋体"/>
                <w:sz w:val="21"/>
                <w:szCs w:val="21"/>
                <w:highlight w:val="none"/>
              </w:rPr>
            </w:pPr>
            <w:r>
              <w:rPr>
                <w:rFonts w:ascii="宋体"/>
                <w:sz w:val="21"/>
                <w:highlight w:val="none"/>
              </w:rPr>
              <w:t>投标人与本项目其他投标人加密打包投标文件电脑机器特征码不一致的(以</w:t>
            </w:r>
            <w:r>
              <w:rPr>
                <w:rFonts w:hint="eastAsia" w:ascii="宋体"/>
                <w:sz w:val="21"/>
                <w:highlight w:val="none"/>
              </w:rPr>
              <w:t>广州交易集团有限公司（广州公共资源交易中心）</w:t>
            </w:r>
            <w:r>
              <w:rPr>
                <w:rFonts w:ascii="宋体"/>
                <w:sz w:val="21"/>
                <w:highlight w:val="none"/>
              </w:rPr>
              <w:t>交易平台</w:t>
            </w:r>
            <w:r>
              <w:rPr>
                <w:rFonts w:hint="eastAsia" w:ascii="宋体"/>
                <w:sz w:val="21"/>
                <w:highlight w:val="none"/>
              </w:rPr>
              <w:t>开标</w:t>
            </w:r>
            <w:r>
              <w:rPr>
                <w:rFonts w:ascii="宋体"/>
                <w:sz w:val="21"/>
                <w:highlight w:val="none"/>
              </w:rPr>
              <w:t>系统的检索信息为准)</w:t>
            </w:r>
          </w:p>
        </w:tc>
      </w:tr>
      <w:tr w14:paraId="6A7E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5B6B511">
            <w:pPr>
              <w:pStyle w:val="34"/>
              <w:kinsoku w:val="0"/>
              <w:overflowPunct w:val="0"/>
              <w:jc w:val="both"/>
              <w:rPr>
                <w:rFonts w:ascii="宋体" w:hAnsi="宋体" w:cs="宋体"/>
                <w:sz w:val="21"/>
                <w:szCs w:val="21"/>
                <w:highlight w:val="none"/>
              </w:rPr>
            </w:pPr>
            <w:r>
              <w:rPr>
                <w:rFonts w:ascii="宋体" w:hAnsi="宋体" w:cs="宋体"/>
                <w:sz w:val="21"/>
                <w:szCs w:val="21"/>
                <w:highlight w:val="none"/>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2D6F3F3">
            <w:pPr>
              <w:pStyle w:val="34"/>
              <w:kinsoku w:val="0"/>
              <w:overflowPunct w:val="0"/>
              <w:jc w:val="both"/>
              <w:rPr>
                <w:rFonts w:ascii="宋体" w:hAnsi="宋体" w:cs="宋体"/>
                <w:sz w:val="21"/>
                <w:szCs w:val="21"/>
                <w:highlight w:val="none"/>
              </w:rPr>
            </w:pPr>
            <w:r>
              <w:rPr>
                <w:rFonts w:ascii="宋体" w:hAnsi="宋体" w:cs="宋体"/>
                <w:sz w:val="21"/>
                <w:szCs w:val="21"/>
                <w:highlight w:val="none"/>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6436B1E">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57B6A09">
            <w:pPr>
              <w:pStyle w:val="34"/>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符合第二章“投标人须知”第3.2款规定</w:t>
            </w:r>
          </w:p>
        </w:tc>
      </w:tr>
      <w:tr w14:paraId="14B1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2B3DF036">
            <w:pPr>
              <w:pStyle w:val="5"/>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26D52013">
            <w:pPr>
              <w:pStyle w:val="5"/>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E15F95C">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28FACFB">
            <w:pPr>
              <w:pStyle w:val="34"/>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符合第二章“投标人须知”第1.3.1项规定</w:t>
            </w:r>
          </w:p>
        </w:tc>
      </w:tr>
      <w:tr w14:paraId="1002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90BBCE9">
            <w:pPr>
              <w:pStyle w:val="5"/>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C15014D">
            <w:pPr>
              <w:pStyle w:val="5"/>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0409FBA">
            <w:pPr>
              <w:pStyle w:val="34"/>
              <w:kinsoku w:val="0"/>
              <w:overflowPunct w:val="0"/>
              <w:jc w:val="center"/>
              <w:rPr>
                <w:rFonts w:ascii="宋体" w:hAnsi="宋体" w:cs="宋体"/>
                <w:sz w:val="21"/>
                <w:szCs w:val="21"/>
                <w:highlight w:val="none"/>
              </w:rPr>
            </w:pPr>
            <w:r>
              <w:rPr>
                <w:rFonts w:ascii="宋体" w:hAnsi="宋体" w:cs="宋体"/>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0BA3B28">
            <w:pPr>
              <w:pStyle w:val="34"/>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符合第二章“投标人须知”第1.3.2项规定</w:t>
            </w:r>
          </w:p>
        </w:tc>
      </w:tr>
      <w:tr w14:paraId="2475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E4B7E8A">
            <w:pPr>
              <w:pStyle w:val="5"/>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47C5A4E1">
            <w:pPr>
              <w:pStyle w:val="5"/>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E0562D1">
            <w:pPr>
              <w:pStyle w:val="34"/>
              <w:kinsoku w:val="0"/>
              <w:overflowPunct w:val="0"/>
              <w:jc w:val="center"/>
              <w:rPr>
                <w:rFonts w:ascii="宋体" w:hAnsi="宋体" w:cs="宋体"/>
                <w:sz w:val="21"/>
                <w:szCs w:val="21"/>
                <w:highlight w:val="none"/>
              </w:rPr>
            </w:pPr>
            <w:r>
              <w:rPr>
                <w:rFonts w:ascii="宋体" w:hAnsi="宋体" w:cs="宋体"/>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0471359">
            <w:pPr>
              <w:pStyle w:val="34"/>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符合第二章“投标人须知”第1.3.3项规定</w:t>
            </w:r>
          </w:p>
        </w:tc>
      </w:tr>
      <w:tr w14:paraId="410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41325EC">
            <w:pPr>
              <w:pStyle w:val="5"/>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697EE72D">
            <w:pPr>
              <w:pStyle w:val="5"/>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6F0C04F">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CC3A4F5">
            <w:pPr>
              <w:pStyle w:val="34"/>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符合第二章“投标人须知”第3.3.1项规定</w:t>
            </w:r>
          </w:p>
        </w:tc>
      </w:tr>
      <w:tr w14:paraId="2AB8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00029D7">
            <w:pPr>
              <w:pStyle w:val="5"/>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08AF2C66">
            <w:pPr>
              <w:pStyle w:val="5"/>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25BAE8A">
            <w:pPr>
              <w:pStyle w:val="34"/>
              <w:kinsoku w:val="0"/>
              <w:overflowPunct w:val="0"/>
              <w:jc w:val="center"/>
              <w:rPr>
                <w:rFonts w:ascii="宋体" w:hAnsi="宋体" w:cs="宋体"/>
                <w:sz w:val="21"/>
                <w:szCs w:val="21"/>
                <w:highlight w:val="none"/>
              </w:rPr>
            </w:pPr>
            <w:r>
              <w:rPr>
                <w:rFonts w:hint="eastAsia" w:ascii="宋体" w:hAnsi="宋体" w:cs="宋体"/>
                <w:sz w:val="21"/>
                <w:szCs w:val="21"/>
                <w:highlight w:val="none"/>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FE95A4B">
            <w:pPr>
              <w:pStyle w:val="34"/>
              <w:kinsoku w:val="0"/>
              <w:overflowPunct w:val="0"/>
              <w:jc w:val="both"/>
              <w:rPr>
                <w:rFonts w:ascii="宋体" w:hAnsi="宋体" w:cs="宋体"/>
                <w:sz w:val="21"/>
                <w:szCs w:val="21"/>
                <w:highlight w:val="none"/>
              </w:rPr>
            </w:pPr>
            <w:r>
              <w:rPr>
                <w:rFonts w:hint="eastAsia" w:ascii="宋体" w:hAnsi="宋体" w:cs="宋体"/>
                <w:sz w:val="21"/>
                <w:szCs w:val="21"/>
                <w:highlight w:val="none"/>
              </w:rPr>
              <w:t>不存在串通投标情形（串通投标情形以《中华人民共和国招标投标法实施条例》的规定为准）；</w:t>
            </w:r>
          </w:p>
        </w:tc>
      </w:tr>
      <w:tr w14:paraId="6EF3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75EFDF">
            <w:pPr>
              <w:pStyle w:val="34"/>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0E95C9D">
            <w:pPr>
              <w:pStyle w:val="34"/>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2470DA1">
            <w:pPr>
              <w:pStyle w:val="34"/>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编列内容</w:t>
            </w:r>
          </w:p>
        </w:tc>
      </w:tr>
      <w:tr w14:paraId="7483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E69DC0D">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D68548B">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B329AB6">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资信业绩部分：50分 </w:t>
            </w:r>
          </w:p>
          <w:p w14:paraId="69AEE78F">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监理大纲部分：30分 </w:t>
            </w:r>
          </w:p>
          <w:p w14:paraId="44954AD4">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投标报价：10分</w:t>
            </w:r>
          </w:p>
          <w:p w14:paraId="67BEECAD">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诚信评价分：10分</w:t>
            </w:r>
          </w:p>
          <w:p w14:paraId="740A3B8C">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投标人综合诚信评价排名得分（权重10%）按广州市水务工程建设管理数字化监管平台 （http://112.94.68.142:8012/#/website）</w:t>
            </w:r>
          </w:p>
          <w:p w14:paraId="395A75AD">
            <w:pPr>
              <w:pStyle w:val="34"/>
              <w:kinsoku w:val="0"/>
              <w:overflowPunct w:val="0"/>
              <w:jc w:val="both"/>
              <w:rPr>
                <w:rFonts w:ascii="宋体" w:hAnsi="宋体" w:cs="宋体"/>
                <w:sz w:val="21"/>
                <w:szCs w:val="21"/>
                <w:highlight w:val="none"/>
              </w:rPr>
            </w:pPr>
            <w:r>
              <w:rPr>
                <w:rFonts w:hint="eastAsia" w:ascii="宋体" w:hAnsi="宋体" w:eastAsia="宋体" w:cs="宋体"/>
                <w:sz w:val="21"/>
                <w:szCs w:val="21"/>
                <w:highlight w:val="none"/>
              </w:rPr>
              <w:t>中的“诚信排名&gt;&gt;监理—水利”中“诚信综合评价”得分为准；未入库企业或在广州市水务工程建设管理数字化监管平台中尚无诚信排名的投标人，其诚信评价分按80分计算。诚信评价总分应当采用诚信评价信息系统在招标公告发布第1天所在季度的上一季度公布的分数。</w:t>
            </w:r>
          </w:p>
        </w:tc>
      </w:tr>
      <w:tr w14:paraId="23F1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FF109F">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68AE616">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5586340">
            <w:pPr>
              <w:pStyle w:val="34"/>
              <w:kinsoku w:val="0"/>
              <w:overflowPunct w:val="0"/>
              <w:rPr>
                <w:rFonts w:ascii="宋体" w:hAnsi="宋体" w:cs="宋体"/>
                <w:sz w:val="21"/>
                <w:szCs w:val="21"/>
                <w:highlight w:val="none"/>
              </w:rPr>
            </w:pPr>
            <w:r>
              <w:rPr>
                <w:rFonts w:hint="eastAsia" w:ascii="宋体" w:hAnsi="宋体" w:eastAsia="宋体" w:cs="宋体"/>
                <w:spacing w:val="-1"/>
                <w:sz w:val="21"/>
                <w:szCs w:val="21"/>
                <w:highlight w:val="none"/>
              </w:rPr>
              <w:t>当通过形式评审、资格评审、响应性评审的有效投标人且经算术校核的报价位于[最高投标限价×80%，最高投标限价]区间的投标人的报价大于5个，去一个最高价和一个最低价后，剩余报价的算术平均值为评标基准价。若位于[最高投标限价×80%，招标控制价]区间的投标人的报价少于或等于5个，直接取区间中的投标价的算术平均值为评标基准价。</w:t>
            </w:r>
          </w:p>
        </w:tc>
      </w:tr>
      <w:tr w14:paraId="6D29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D7C895C">
            <w:pPr>
              <w:pStyle w:val="34"/>
              <w:kinsoku w:val="0"/>
              <w:overflowPunct w:val="0"/>
              <w:jc w:val="center"/>
              <w:rPr>
                <w:rFonts w:ascii="宋体" w:hAnsi="宋体" w:cs="宋体"/>
                <w:sz w:val="21"/>
                <w:szCs w:val="21"/>
                <w:highlight w:val="none"/>
              </w:rPr>
            </w:pPr>
            <w:r>
              <w:rPr>
                <w:rFonts w:ascii="宋体" w:hAnsi="宋体" w:cs="宋体"/>
                <w:sz w:val="21"/>
                <w:szCs w:val="21"/>
                <w:highlight w:val="none"/>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7D6B02F">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831EC93">
            <w:pPr>
              <w:pStyle w:val="34"/>
              <w:kinsoku w:val="0"/>
              <w:overflowPunct w:val="0"/>
              <w:rPr>
                <w:rFonts w:ascii="宋体" w:hAnsi="宋体" w:cs="宋体"/>
                <w:sz w:val="21"/>
                <w:szCs w:val="21"/>
                <w:highlight w:val="none"/>
              </w:rPr>
            </w:pPr>
            <w:r>
              <w:rPr>
                <w:rFonts w:hint="eastAsia" w:ascii="宋体" w:hAnsi="宋体" w:eastAsia="宋体" w:cs="宋体"/>
                <w:sz w:val="21"/>
                <w:szCs w:val="21"/>
                <w:highlight w:val="none"/>
              </w:rPr>
              <w:t>偏差率=100%×|（投标人报价-评标基准价）|/评标基准价（偏差率出现小数点时，保留小数点后2位，第三位小数四舍五入。报价偏差率不足1%的，按直线内插法计算投标报价得分）</w:t>
            </w:r>
          </w:p>
        </w:tc>
      </w:tr>
      <w:tr w14:paraId="682E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0AACF8D">
            <w:pPr>
              <w:pStyle w:val="34"/>
              <w:kinsoku w:val="0"/>
              <w:overflowPunct w:val="0"/>
              <w:jc w:val="center"/>
              <w:rPr>
                <w:rFonts w:ascii="宋体" w:hAnsi="宋体" w:cs="宋体"/>
                <w:sz w:val="21"/>
                <w:szCs w:val="21"/>
                <w:highlight w:val="none"/>
              </w:rPr>
            </w:pPr>
          </w:p>
          <w:p w14:paraId="132759EE">
            <w:pPr>
              <w:pStyle w:val="34"/>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5048C179">
            <w:pPr>
              <w:pStyle w:val="34"/>
              <w:kinsoku w:val="0"/>
              <w:overflowPunct w:val="0"/>
              <w:jc w:val="center"/>
              <w:rPr>
                <w:rFonts w:ascii="宋体" w:hAnsi="宋体" w:cs="宋体"/>
                <w:sz w:val="21"/>
                <w:szCs w:val="21"/>
                <w:highlight w:val="none"/>
              </w:rPr>
            </w:pPr>
            <w:r>
              <w:rPr>
                <w:rFonts w:ascii="宋体" w:hAnsi="宋体" w:cs="宋体"/>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3EB86A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66A29A9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资信业绩评分标准</w:t>
            </w:r>
            <w:r>
              <w:rPr>
                <w:rFonts w:ascii="宋体" w:hAnsi="宋体" w:cs="宋体"/>
                <w:color w:val="000000" w:themeColor="text1"/>
                <w:spacing w:val="-2"/>
                <w:sz w:val="21"/>
                <w:szCs w:val="21"/>
                <w:highlight w:val="none"/>
                <w14:textFill>
                  <w14:solidFill>
                    <w14:schemeClr w14:val="tx1"/>
                  </w14:solidFill>
                </w14:textFill>
              </w:rPr>
              <w:t>（</w:t>
            </w:r>
            <w:r>
              <w:rPr>
                <w:rFonts w:hint="eastAsia" w:ascii="宋体" w:hAnsi="宋体" w:cs="宋体"/>
                <w:color w:val="000000" w:themeColor="text1"/>
                <w:spacing w:val="-2"/>
                <w:sz w:val="21"/>
                <w:szCs w:val="21"/>
                <w:highlight w:val="none"/>
                <w14:textFill>
                  <w14:solidFill>
                    <w14:schemeClr w14:val="tx1"/>
                  </w14:solidFill>
                </w14:textFill>
              </w:rPr>
              <w:t>50分</w:t>
            </w:r>
            <w:r>
              <w:rPr>
                <w:rFonts w:ascii="宋体" w:hAnsi="宋体" w:cs="宋体"/>
                <w:color w:val="000000" w:themeColor="text1"/>
                <w:spacing w:val="-2"/>
                <w:sz w:val="21"/>
                <w:szCs w:val="21"/>
                <w:highlight w:val="none"/>
                <w14:textFill>
                  <w14:solidFill>
                    <w14:schemeClr w14:val="tx1"/>
                  </w14:solidFill>
                </w14:textFill>
              </w:rPr>
              <w:t>）</w:t>
            </w:r>
          </w:p>
        </w:tc>
        <w:tc>
          <w:tcPr>
            <w:tcW w:w="2013" w:type="dxa"/>
            <w:tcBorders>
              <w:top w:val="single" w:color="auto" w:sz="4" w:space="0"/>
              <w:left w:val="single" w:color="auto" w:sz="4" w:space="0"/>
              <w:right w:val="single" w:color="auto" w:sz="4" w:space="0"/>
              <w:tl2br w:val="nil"/>
              <w:tr2bl w:val="nil"/>
            </w:tcBorders>
            <w:vAlign w:val="center"/>
          </w:tcPr>
          <w:p w14:paraId="6C19BDCC">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类似项目业绩</w:t>
            </w:r>
          </w:p>
          <w:p w14:paraId="4739372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011" w:type="dxa"/>
            <w:tcBorders>
              <w:top w:val="single" w:color="auto" w:sz="4" w:space="0"/>
              <w:left w:val="single" w:color="auto" w:sz="4" w:space="0"/>
              <w:right w:val="single" w:color="auto" w:sz="4" w:space="0"/>
              <w:tl2br w:val="nil"/>
              <w:tr2bl w:val="nil"/>
            </w:tcBorders>
            <w:vAlign w:val="center"/>
          </w:tcPr>
          <w:p w14:paraId="46C2386D">
            <w:pPr>
              <w:pStyle w:val="34"/>
              <w:kinsoku w:val="0"/>
              <w:overflowPunct w:val="0"/>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14:textFill>
                  <w14:solidFill>
                    <w14:schemeClr w14:val="tx1"/>
                  </w14:solidFill>
                </w14:textFill>
              </w:rPr>
              <w:t>年1月1日至今，投标人</w:t>
            </w:r>
            <w:r>
              <w:rPr>
                <w:rFonts w:hint="eastAsia" w:ascii="宋体" w:hAnsi="宋体" w:cs="宋体"/>
                <w:color w:val="000000" w:themeColor="text1"/>
                <w:sz w:val="21"/>
                <w:szCs w:val="21"/>
                <w:highlight w:val="none"/>
                <w:lang w:val="en-US" w:eastAsia="zh-CN"/>
                <w14:textFill>
                  <w14:solidFill>
                    <w14:schemeClr w14:val="tx1"/>
                  </w14:solidFill>
                </w14:textFill>
              </w:rPr>
              <w:t>独立完成</w:t>
            </w:r>
            <w:r>
              <w:rPr>
                <w:rFonts w:hint="eastAsia" w:ascii="宋体" w:hAnsi="宋体" w:cs="宋体"/>
                <w:color w:val="000000" w:themeColor="text1"/>
                <w:sz w:val="21"/>
                <w:szCs w:val="21"/>
                <w:highlight w:val="none"/>
                <w14:textFill>
                  <w14:solidFill>
                    <w14:schemeClr w14:val="tx1"/>
                  </w14:solidFill>
                </w14:textFill>
              </w:rPr>
              <w:t>过工程</w:t>
            </w:r>
            <w:r>
              <w:rPr>
                <w:rFonts w:hint="eastAsia" w:ascii="宋体" w:hAnsi="宋体" w:cs="宋体"/>
                <w:color w:val="000000" w:themeColor="text1"/>
                <w:sz w:val="21"/>
                <w:szCs w:val="21"/>
                <w:highlight w:val="none"/>
                <w:lang w:val="en-US" w:eastAsia="zh-CN"/>
                <w14:textFill>
                  <w14:solidFill>
                    <w14:schemeClr w14:val="tx1"/>
                  </w14:solidFill>
                </w14:textFill>
              </w:rPr>
              <w:t>总投资15</w:t>
            </w:r>
            <w:r>
              <w:rPr>
                <w:rFonts w:hint="eastAsia" w:ascii="宋体" w:hAnsi="宋体" w:cs="宋体"/>
                <w:color w:val="000000" w:themeColor="text1"/>
                <w:sz w:val="21"/>
                <w:szCs w:val="21"/>
                <w:highlight w:val="none"/>
                <w14:textFill>
                  <w14:solidFill>
                    <w14:schemeClr w14:val="tx1"/>
                  </w14:solidFill>
                </w14:textFill>
              </w:rPr>
              <w:t>000万元或以上</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cs="宋体"/>
                <w:color w:val="000000" w:themeColor="text1"/>
                <w:sz w:val="21"/>
                <w:szCs w:val="21"/>
                <w:highlight w:val="none"/>
                <w14:textFill>
                  <w14:solidFill>
                    <w14:schemeClr w14:val="tx1"/>
                  </w14:solidFill>
                </w14:textFill>
              </w:rPr>
              <w:t>类似</w:t>
            </w:r>
            <w:r>
              <w:rPr>
                <w:rFonts w:hint="eastAsia" w:ascii="宋体" w:hAnsi="宋体" w:cs="宋体"/>
                <w:color w:val="000000" w:themeColor="text1"/>
                <w:sz w:val="21"/>
                <w:szCs w:val="21"/>
                <w:highlight w:val="none"/>
                <w:lang w:val="en-US" w:eastAsia="zh-CN"/>
                <w14:textFill>
                  <w14:solidFill>
                    <w14:schemeClr w14:val="tx1"/>
                  </w14:solidFill>
                </w14:textFill>
              </w:rPr>
              <w:t>水利</w:t>
            </w:r>
            <w:r>
              <w:rPr>
                <w:rFonts w:hint="eastAsia" w:ascii="宋体" w:hAnsi="宋体" w:cs="宋体"/>
                <w:color w:val="000000" w:themeColor="text1"/>
                <w:sz w:val="21"/>
                <w:szCs w:val="21"/>
                <w:highlight w:val="none"/>
                <w14:textFill>
                  <w14:solidFill>
                    <w14:schemeClr w14:val="tx1"/>
                  </w14:solidFill>
                </w14:textFill>
              </w:rPr>
              <w:t>工程监理项目，每项得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p w14:paraId="0490120A">
            <w:pPr>
              <w:pStyle w:val="34"/>
              <w:kinsoku w:val="0"/>
              <w:overflowPunct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w:t>
            </w:r>
            <w:r>
              <w:rPr>
                <w:rFonts w:hint="eastAsia" w:ascii="宋体" w:hAnsi="宋体" w:cs="宋体"/>
                <w:color w:val="000000" w:themeColor="text1"/>
                <w:sz w:val="21"/>
                <w:szCs w:val="21"/>
                <w:highlight w:val="none"/>
                <w:lang w:val="en-US" w:eastAsia="zh-CN"/>
                <w14:textFill>
                  <w14:solidFill>
                    <w14:schemeClr w14:val="tx1"/>
                  </w14:solidFill>
                </w14:textFill>
              </w:rPr>
              <w:t>类似水利工程是指招标公告第3.3点所述资质方能承接的与本招标项目工程等别相当的水利工程。业绩</w:t>
            </w:r>
            <w:r>
              <w:rPr>
                <w:rFonts w:hint="eastAsia" w:ascii="宋体" w:hAnsi="宋体" w:cs="宋体"/>
                <w:color w:val="000000" w:themeColor="text1"/>
                <w:sz w:val="21"/>
                <w:szCs w:val="21"/>
                <w:highlight w:val="none"/>
                <w14:textFill>
                  <w14:solidFill>
                    <w14:schemeClr w14:val="tx1"/>
                  </w14:solidFill>
                </w14:textFill>
              </w:rPr>
              <w:t>须同时提供</w:t>
            </w: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cs="宋体"/>
                <w:color w:val="000000" w:themeColor="text1"/>
                <w:sz w:val="21"/>
                <w:szCs w:val="21"/>
                <w:highlight w:val="none"/>
                <w14:textFill>
                  <w14:solidFill>
                    <w14:schemeClr w14:val="tx1"/>
                  </w14:solidFill>
                </w14:textFill>
              </w:rPr>
              <w:t>提供中标通知书（或免招标的相关证明）</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cs="宋体"/>
                <w:color w:val="000000" w:themeColor="text1"/>
                <w:sz w:val="21"/>
                <w:szCs w:val="21"/>
                <w:highlight w:val="none"/>
                <w14:textFill>
                  <w14:solidFill>
                    <w14:schemeClr w14:val="tx1"/>
                  </w14:solidFill>
                </w14:textFill>
              </w:rPr>
              <w:t>监理合同关键页</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验收鉴定书（竣工验收鉴定书或合同工程完工验收鉴定书）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r>
              <w:rPr>
                <w:rFonts w:hint="eastAsia" w:ascii="宋体" w:hAnsi="宋体" w:cs="宋体"/>
                <w:color w:val="000000" w:themeColor="text1"/>
                <w:sz w:val="21"/>
                <w:szCs w:val="21"/>
                <w:highlight w:val="none"/>
                <w14:textFill>
                  <w14:solidFill>
                    <w14:schemeClr w14:val="tx1"/>
                  </w14:solidFill>
                </w14:textFill>
              </w:rPr>
              <w:t>时间</w:t>
            </w:r>
            <w:r>
              <w:rPr>
                <w:rFonts w:hint="eastAsia" w:ascii="宋体" w:hAnsi="宋体" w:cs="宋体"/>
                <w:color w:val="000000" w:themeColor="text1"/>
                <w:sz w:val="21"/>
                <w:szCs w:val="21"/>
                <w:highlight w:val="none"/>
                <w:lang w:val="en-US" w:eastAsia="zh-CN"/>
                <w14:textFill>
                  <w14:solidFill>
                    <w14:schemeClr w14:val="tx1"/>
                  </w14:solidFill>
                </w14:textFill>
              </w:rPr>
              <w:t>以验收鉴定书（</w:t>
            </w:r>
            <w:r>
              <w:rPr>
                <w:rFonts w:hint="eastAsia" w:ascii="宋体" w:hAnsi="宋体" w:eastAsia="宋体" w:cs="宋体"/>
                <w:color w:val="000000" w:themeColor="text1"/>
                <w:sz w:val="21"/>
                <w:szCs w:val="21"/>
                <w:highlight w:val="none"/>
                <w14:textFill>
                  <w14:solidFill>
                    <w14:schemeClr w14:val="tx1"/>
                  </w14:solidFill>
                </w14:textFill>
              </w:rPr>
              <w:t>竣工验收鉴定书或合同工程完工验收鉴定书</w:t>
            </w:r>
            <w:r>
              <w:rPr>
                <w:rFonts w:hint="eastAsia" w:ascii="宋体" w:hAnsi="宋体" w:cs="宋体"/>
                <w:color w:val="000000" w:themeColor="text1"/>
                <w:sz w:val="21"/>
                <w:szCs w:val="21"/>
                <w:highlight w:val="none"/>
                <w:lang w:val="en-US" w:eastAsia="zh-CN"/>
                <w14:textFill>
                  <w14:solidFill>
                    <w14:schemeClr w14:val="tx1"/>
                  </w14:solidFill>
                </w14:textFill>
              </w:rPr>
              <w:t>）为准；</w:t>
            </w:r>
            <w:r>
              <w:rPr>
                <w:rFonts w:hint="eastAsia" w:ascii="宋体" w:hAnsi="宋体" w:cs="宋体"/>
                <w:color w:val="000000" w:themeColor="text1"/>
                <w:sz w:val="21"/>
                <w:szCs w:val="21"/>
                <w:highlight w:val="none"/>
                <w14:textFill>
                  <w14:solidFill>
                    <w14:schemeClr w14:val="tx1"/>
                  </w14:solidFill>
                </w14:textFill>
              </w:rPr>
              <w:t>工程规模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投资额</w:t>
            </w:r>
            <w:r>
              <w:rPr>
                <w:rFonts w:hint="eastAsia" w:ascii="宋体" w:hAnsi="宋体" w:cs="宋体"/>
                <w:color w:val="000000" w:themeColor="text1"/>
                <w:sz w:val="21"/>
                <w:szCs w:val="21"/>
                <w:highlight w:val="none"/>
                <w14:textFill>
                  <w14:solidFill>
                    <w14:schemeClr w14:val="tx1"/>
                  </w14:solidFill>
                </w14:textFill>
              </w:rPr>
              <w:t>以上述材料载明为准，若上述材料未体现工程规模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投资额的</w:t>
            </w:r>
            <w:r>
              <w:rPr>
                <w:rFonts w:hint="eastAsia" w:ascii="宋体" w:hAnsi="宋体" w:cs="宋体"/>
                <w:color w:val="000000" w:themeColor="text1"/>
                <w:sz w:val="21"/>
                <w:szCs w:val="21"/>
                <w:highlight w:val="none"/>
                <w14:textFill>
                  <w14:solidFill>
                    <w14:schemeClr w14:val="tx1"/>
                  </w14:solidFill>
                </w14:textFill>
              </w:rPr>
              <w:t>，还应提供立项批复等可证明业绩规模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投资额的</w:t>
            </w:r>
            <w:r>
              <w:rPr>
                <w:rFonts w:hint="eastAsia" w:ascii="宋体" w:hAnsi="宋体" w:cs="宋体"/>
                <w:color w:val="000000" w:themeColor="text1"/>
                <w:sz w:val="21"/>
                <w:szCs w:val="21"/>
                <w:highlight w:val="none"/>
                <w:lang w:val="en-US" w:eastAsia="zh-CN"/>
                <w14:textFill>
                  <w14:solidFill>
                    <w14:schemeClr w14:val="tx1"/>
                  </w14:solidFill>
                </w14:textFill>
              </w:rPr>
              <w:t>相关部门证明文件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否则不得分。</w:t>
            </w:r>
          </w:p>
        </w:tc>
      </w:tr>
      <w:tr w14:paraId="1177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424127C">
            <w:pPr>
              <w:pStyle w:val="34"/>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DE3FF8">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04B2D174">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监理获奖业绩</w:t>
            </w:r>
          </w:p>
          <w:p w14:paraId="5D6A3FFB">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011" w:type="dxa"/>
            <w:tcBorders>
              <w:top w:val="single" w:color="auto" w:sz="4" w:space="0"/>
              <w:left w:val="single" w:color="auto" w:sz="4" w:space="0"/>
              <w:right w:val="single" w:color="auto" w:sz="4" w:space="0"/>
              <w:tl2br w:val="nil"/>
              <w:tr2bl w:val="nil"/>
            </w:tcBorders>
            <w:vAlign w:val="center"/>
          </w:tcPr>
          <w:p w14:paraId="1167F3F8">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年1月1日至</w:t>
            </w:r>
            <w:r>
              <w:rPr>
                <w:rFonts w:hint="eastAsia" w:ascii="宋体" w:hAnsi="宋体" w:cs="宋体"/>
                <w:color w:val="000000" w:themeColor="text1"/>
                <w:sz w:val="21"/>
                <w:szCs w:val="21"/>
                <w:highlight w:val="none"/>
                <w:lang w:val="en-US" w:eastAsia="zh-CN"/>
                <w14:textFill>
                  <w14:solidFill>
                    <w14:schemeClr w14:val="tx1"/>
                  </w14:solidFill>
                </w14:textFill>
              </w:rPr>
              <w:t>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，投标人完成的水利工程监理项目获奖情况：</w:t>
            </w:r>
          </w:p>
          <w:p w14:paraId="0ACD16BD">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（1）获得国家级工程质量奖项的，每项得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DB902C1">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（2）获得省级工程质量奖项的，每项得2分；</w:t>
            </w:r>
          </w:p>
          <w:p w14:paraId="7980433B">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（3）获得市级（含副省级）工程质量奖项的，每项得1分。</w:t>
            </w:r>
          </w:p>
          <w:p w14:paraId="240C793E">
            <w:pPr>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注：本项最高得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分。奖项业绩须提供获奖证书扫描件，时间以获奖证书颁发时间为准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同一项目获多个奖项按最高获奖等级计算一次，不累计、不重复计分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国家级工程质量类奖项指中国建设工程鲁班奖、国家优质工程金奖、国家优质工程奖、中国土木工程詹天佑奖、中国水利工程优质（大禹）奖等</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省市级工程质量奖项指各类省市级优质奖或优良样板工程奖</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不含（质量控制）QC或科技类或技术类奖等非项目整体工程类奖项。如颁奖单位为协会的</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须提供该协会在“中国社会组织政务服务平台”登记的网页查询截图</w:t>
            </w:r>
            <w:r>
              <w:rPr>
                <w:rFonts w:hint="eastAsia" w:ascii="宋体" w:hAnsi="宋体" w:cs="宋体"/>
                <w:color w:val="000000" w:themeColor="text1"/>
                <w:sz w:val="21"/>
                <w:szCs w:val="21"/>
                <w:highlight w:val="none"/>
                <w:lang w:val="en-US" w:eastAsia="zh-CN"/>
                <w14:textFill>
                  <w14:solidFill>
                    <w14:schemeClr w14:val="tx1"/>
                  </w14:solidFill>
                </w14:textFill>
              </w:rPr>
              <w:t>，否则不分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D12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279F15D">
            <w:pPr>
              <w:pStyle w:val="34"/>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6E8A8E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5F4E23F8">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总监理工程师资历</w:t>
            </w:r>
          </w:p>
          <w:p w14:paraId="2D6BBA86">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011" w:type="dxa"/>
            <w:tcBorders>
              <w:top w:val="single" w:color="auto" w:sz="4" w:space="0"/>
              <w:left w:val="single" w:color="auto" w:sz="4" w:space="0"/>
              <w:right w:val="single" w:color="auto" w:sz="4" w:space="0"/>
              <w:tl2br w:val="nil"/>
              <w:tr2bl w:val="nil"/>
            </w:tcBorders>
            <w:vAlign w:val="center"/>
          </w:tcPr>
          <w:p w14:paraId="6F3F34C5">
            <w:pPr>
              <w:pStyle w:val="34"/>
              <w:kinsoku w:val="0"/>
              <w:overflowPunct w:val="0"/>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1"/>
                <w:szCs w:val="21"/>
                <w:highlight w:val="none"/>
                <w:lang w:val="en-US" w:eastAsia="zh-CN"/>
                <w14:textFill>
                  <w14:solidFill>
                    <w14:schemeClr w14:val="tx1"/>
                  </w14:solidFill>
                </w14:textFill>
              </w:rPr>
              <w:t>取得高级工程师（或以上）职称15年以上（从批准之日起计，下同）的，得3分；取得高级工程师（或以上）职称10年-15年（含本数）的，得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分；取得高级工程师（或以上）职称10年以下（不含本数）的，得1分。</w:t>
            </w:r>
          </w:p>
          <w:p w14:paraId="51BB6E15">
            <w:pPr>
              <w:pStyle w:val="34"/>
              <w:kinsoku w:val="0"/>
              <w:overflowPunct w:val="0"/>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2、总监理工程师</w:t>
            </w:r>
            <w:r>
              <w:rPr>
                <w:rFonts w:hint="eastAsia" w:ascii="宋体" w:hAnsi="宋体" w:eastAsia="宋体" w:cs="宋体"/>
                <w:color w:val="000000" w:themeColor="text1"/>
                <w:sz w:val="21"/>
                <w:szCs w:val="21"/>
                <w:highlight w:val="none"/>
                <w:lang w:eastAsia="zh-CN"/>
                <w14:textFill>
                  <w14:solidFill>
                    <w14:schemeClr w14:val="tx1"/>
                  </w14:solidFill>
                </w14:textFill>
              </w:rPr>
              <w:t>具备水利工程建设环境保护监理注册专业的得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14:paraId="2430B07F">
            <w:pPr>
              <w:pStyle w:val="34"/>
              <w:kinsoku w:val="0"/>
              <w:overflowPunct w:val="0"/>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注：本项最多得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分，提供</w:t>
            </w:r>
            <w:r>
              <w:rPr>
                <w:rFonts w:hint="eastAsia" w:ascii="宋体" w:hAnsi="宋体" w:eastAsia="宋体" w:cs="宋体"/>
                <w:color w:val="000000" w:themeColor="text1"/>
                <w:sz w:val="21"/>
                <w:szCs w:val="21"/>
                <w:highlight w:val="none"/>
                <w14:textFill>
                  <w14:solidFill>
                    <w14:schemeClr w14:val="tx1"/>
                  </w14:solidFill>
                </w14:textFill>
              </w:rPr>
              <w:t>相关证书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扫描</w:t>
            </w:r>
            <w:r>
              <w:rPr>
                <w:rFonts w:hint="eastAsia" w:ascii="宋体" w:hAnsi="宋体" w:eastAsia="宋体" w:cs="宋体"/>
                <w:color w:val="000000" w:themeColor="text1"/>
                <w:sz w:val="21"/>
                <w:szCs w:val="21"/>
                <w:highlight w:val="none"/>
                <w14:textFill>
                  <w14:solidFill>
                    <w14:schemeClr w14:val="tx1"/>
                  </w14:solidFill>
                </w14:textFill>
              </w:rPr>
              <w:t>件和具有离投标截止时间最近的至少1个月（202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月）在本单位缴纳的社保证明文件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D8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14:paraId="4F4D6B54">
            <w:pPr>
              <w:pStyle w:val="34"/>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672D85B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696DEA5">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监理人员的配备</w:t>
            </w:r>
          </w:p>
          <w:p w14:paraId="11227AC5">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E997630">
            <w:pPr>
              <w:pStyle w:val="34"/>
              <w:kinsoku w:val="0"/>
              <w:overflowPunct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满足本项目专业监理人员（除总监外）要求：</w:t>
            </w:r>
          </w:p>
          <w:p w14:paraId="1EE056BC">
            <w:pPr>
              <w:pStyle w:val="34"/>
              <w:numPr>
                <w:ilvl w:val="0"/>
                <w:numId w:val="0"/>
              </w:numPr>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水工工程师1人（</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分）：具有中华人民共和国监理工程师注册证书（专业：水利工程施工监理）的得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分；具有水利类专业高级工程师（或以上）职称证书得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38B7EB71">
            <w:pPr>
              <w:pStyle w:val="34"/>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水保工程师1人（</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分）：具有中华人民共和国监理工程师注册证书（专业：水土保持工程施工监理）的得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分；具有水利类专业高级工程师（或以上）职称证书的得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7FACE6B2">
            <w:pPr>
              <w:pStyle w:val="34"/>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3、造价</w:t>
            </w:r>
            <w:r>
              <w:rPr>
                <w:rFonts w:hint="eastAsia" w:ascii="宋体" w:hAnsi="宋体" w:eastAsia="宋体" w:cs="宋体"/>
                <w:color w:val="000000" w:themeColor="text1"/>
                <w:sz w:val="21"/>
                <w:szCs w:val="21"/>
                <w:highlight w:val="none"/>
                <w14:textFill>
                  <w14:solidFill>
                    <w14:schemeClr w14:val="tx1"/>
                  </w14:solidFill>
                </w14:textFill>
              </w:rPr>
              <w:t>工程师1人（</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分）：具有一级注册造价工程师证书（专业：水利工程）的得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分；具有</w:t>
            </w:r>
            <w:r>
              <w:rPr>
                <w:rFonts w:hint="eastAsia" w:ascii="宋体" w:hAnsi="宋体" w:cs="宋体"/>
                <w:color w:val="000000" w:themeColor="text1"/>
                <w:sz w:val="21"/>
                <w:szCs w:val="21"/>
                <w:highlight w:val="none"/>
                <w:lang w:val="en-US" w:eastAsia="zh-CN"/>
                <w14:textFill>
                  <w14:solidFill>
                    <w14:schemeClr w14:val="tx1"/>
                  </w14:solidFill>
                </w14:textFill>
              </w:rPr>
              <w:t>水利</w:t>
            </w:r>
            <w:r>
              <w:rPr>
                <w:rFonts w:hint="eastAsia" w:ascii="宋体" w:hAnsi="宋体" w:eastAsia="宋体" w:cs="宋体"/>
                <w:color w:val="000000" w:themeColor="text1"/>
                <w:sz w:val="21"/>
                <w:szCs w:val="21"/>
                <w:highlight w:val="none"/>
                <w14:textFill>
                  <w14:solidFill>
                    <w14:schemeClr w14:val="tx1"/>
                  </w14:solidFill>
                </w14:textFill>
              </w:rPr>
              <w:t>类专业高级工程师（或以上）职称证书的得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5638317B">
            <w:pPr>
              <w:pStyle w:val="34"/>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4、机电金结</w:t>
            </w:r>
            <w:r>
              <w:rPr>
                <w:rFonts w:hint="eastAsia" w:ascii="宋体" w:hAnsi="宋体" w:eastAsia="宋体" w:cs="宋体"/>
                <w:color w:val="000000" w:themeColor="text1"/>
                <w:sz w:val="21"/>
                <w:szCs w:val="21"/>
                <w:highlight w:val="none"/>
                <w14:textFill>
                  <w14:solidFill>
                    <w14:schemeClr w14:val="tx1"/>
                  </w14:solidFill>
                </w14:textFill>
              </w:rPr>
              <w:t>工程师1人（</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分）：具中华人民共和国监理工程师注册证书（专业：机电及金属结构设备制造监理）的得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分；具有</w:t>
            </w:r>
            <w:r>
              <w:rPr>
                <w:rFonts w:hint="eastAsia" w:ascii="宋体" w:hAnsi="宋体" w:cs="宋体"/>
                <w:color w:val="000000" w:themeColor="text1"/>
                <w:sz w:val="21"/>
                <w:szCs w:val="21"/>
                <w:highlight w:val="none"/>
                <w:lang w:val="en-US" w:eastAsia="zh-CN"/>
                <w14:textFill>
                  <w14:solidFill>
                    <w14:schemeClr w14:val="tx1"/>
                  </w14:solidFill>
                </w14:textFill>
              </w:rPr>
              <w:t>设备或机械</w:t>
            </w:r>
            <w:r>
              <w:rPr>
                <w:rFonts w:hint="eastAsia" w:ascii="宋体" w:hAnsi="宋体" w:eastAsia="宋体" w:cs="宋体"/>
                <w:color w:val="000000" w:themeColor="text1"/>
                <w:sz w:val="21"/>
                <w:szCs w:val="21"/>
                <w:highlight w:val="none"/>
                <w14:textFill>
                  <w14:solidFill>
                    <w14:schemeClr w14:val="tx1"/>
                  </w14:solidFill>
                </w14:textFill>
              </w:rPr>
              <w:t>类专业高级工程师（或以上）职称证书的得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2A47BC52">
            <w:pPr>
              <w:pStyle w:val="34"/>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5、测量</w:t>
            </w:r>
            <w:r>
              <w:rPr>
                <w:rFonts w:hint="eastAsia" w:ascii="宋体" w:hAnsi="宋体" w:eastAsia="宋体" w:cs="宋体"/>
                <w:color w:val="000000" w:themeColor="text1"/>
                <w:sz w:val="21"/>
                <w:szCs w:val="21"/>
                <w:highlight w:val="none"/>
                <w14:textFill>
                  <w14:solidFill>
                    <w14:schemeClr w14:val="tx1"/>
                  </w14:solidFill>
                </w14:textFill>
              </w:rPr>
              <w:t>工程师1人</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：具有中华人民共和国监理工程师注册证书（专业：水利工程施工监理）得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分；具有</w:t>
            </w:r>
            <w:r>
              <w:rPr>
                <w:rFonts w:hint="eastAsia" w:ascii="宋体" w:hAnsi="宋体" w:cs="宋体"/>
                <w:color w:val="000000" w:themeColor="text1"/>
                <w:sz w:val="21"/>
                <w:szCs w:val="21"/>
                <w:highlight w:val="none"/>
                <w:lang w:val="en-US" w:eastAsia="zh-CN"/>
                <w14:textFill>
                  <w14:solidFill>
                    <w14:schemeClr w14:val="tx1"/>
                  </w14:solidFill>
                </w14:textFill>
              </w:rPr>
              <w:t>测量</w:t>
            </w:r>
            <w:r>
              <w:rPr>
                <w:rFonts w:hint="eastAsia" w:ascii="宋体" w:hAnsi="宋体" w:eastAsia="宋体" w:cs="宋体"/>
                <w:color w:val="000000" w:themeColor="text1"/>
                <w:sz w:val="21"/>
                <w:szCs w:val="21"/>
                <w:highlight w:val="none"/>
                <w14:textFill>
                  <w14:solidFill>
                    <w14:schemeClr w14:val="tx1"/>
                  </w14:solidFill>
                </w14:textFill>
              </w:rPr>
              <w:t>专业工程师（或以上）职称证书的得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3308A702">
            <w:pPr>
              <w:pStyle w:val="34"/>
              <w:kinsoku w:val="0"/>
              <w:overflowPunct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安全工程师1人（</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分）：具有注册安全工程师证书的得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cs="宋体"/>
                <w:color w:val="000000" w:themeColor="text1"/>
                <w:sz w:val="21"/>
                <w:szCs w:val="21"/>
                <w:highlight w:val="none"/>
                <w:lang w:val="en-US" w:eastAsia="zh-CN"/>
                <w14:textFill>
                  <w14:solidFill>
                    <w14:schemeClr w14:val="tx1"/>
                  </w14:solidFill>
                </w14:textFill>
              </w:rPr>
              <w:t>工程类</w:t>
            </w:r>
            <w:r>
              <w:rPr>
                <w:rFonts w:hint="eastAsia" w:ascii="宋体" w:hAnsi="宋体" w:eastAsia="宋体" w:cs="宋体"/>
                <w:color w:val="000000" w:themeColor="text1"/>
                <w:sz w:val="21"/>
                <w:szCs w:val="21"/>
                <w:highlight w:val="none"/>
                <w14:textFill>
                  <w14:solidFill>
                    <w14:schemeClr w14:val="tx1"/>
                  </w14:solidFill>
                </w14:textFill>
              </w:rPr>
              <w:t>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分；具有中华人民共和国监理工程师注册证书（专业：水利工程施工监理）的得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7C84AE94">
            <w:pPr>
              <w:pStyle w:val="34"/>
              <w:kinsoku w:val="0"/>
              <w:overflowPunct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7、咨询</w:t>
            </w:r>
            <w:r>
              <w:rPr>
                <w:rFonts w:hint="eastAsia" w:ascii="宋体" w:hAnsi="宋体" w:eastAsia="宋体" w:cs="宋体"/>
                <w:color w:val="000000" w:themeColor="text1"/>
                <w:sz w:val="21"/>
                <w:szCs w:val="21"/>
                <w:highlight w:val="none"/>
                <w14:textFill>
                  <w14:solidFill>
                    <w14:schemeClr w14:val="tx1"/>
                  </w14:solidFill>
                </w14:textFill>
              </w:rPr>
              <w:t>工程师1人（</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分）：具有咨询工程师(投资)登记证书（专业：水利</w:t>
            </w:r>
            <w:r>
              <w:rPr>
                <w:rFonts w:hint="eastAsia" w:ascii="宋体" w:hAnsi="宋体" w:cs="宋体"/>
                <w:color w:val="000000" w:themeColor="text1"/>
                <w:sz w:val="21"/>
                <w:szCs w:val="21"/>
                <w:highlight w:val="none"/>
                <w:lang w:val="en-US" w:eastAsia="zh-CN"/>
                <w14:textFill>
                  <w14:solidFill>
                    <w14:schemeClr w14:val="tx1"/>
                  </w14:solidFill>
                </w14:textFill>
              </w:rPr>
              <w:t>水电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得2分；具有</w:t>
            </w:r>
            <w:r>
              <w:rPr>
                <w:rFonts w:hint="eastAsia" w:ascii="宋体" w:hAnsi="宋体" w:eastAsia="宋体" w:cs="宋体"/>
                <w:color w:val="000000" w:themeColor="text1"/>
                <w:sz w:val="21"/>
                <w:szCs w:val="21"/>
                <w:highlight w:val="none"/>
                <w14:textFill>
                  <w14:solidFill>
                    <w14:schemeClr w14:val="tx1"/>
                  </w14:solidFill>
                </w14:textFill>
              </w:rPr>
              <w:t>一级造价工程师注册证书的得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分；具有</w:t>
            </w:r>
            <w:r>
              <w:rPr>
                <w:rFonts w:hint="eastAsia" w:ascii="宋体" w:hAnsi="宋体" w:cs="宋体"/>
                <w:color w:val="000000" w:themeColor="text1"/>
                <w:sz w:val="21"/>
                <w:szCs w:val="21"/>
                <w:highlight w:val="none"/>
                <w:lang w:val="en-US" w:eastAsia="zh-CN"/>
                <w14:textFill>
                  <w14:solidFill>
                    <w14:schemeClr w14:val="tx1"/>
                  </w14:solidFill>
                </w14:textFill>
              </w:rPr>
              <w:t>造价或经济</w:t>
            </w:r>
            <w:r>
              <w:rPr>
                <w:rFonts w:hint="eastAsia" w:ascii="宋体" w:hAnsi="宋体" w:eastAsia="宋体" w:cs="宋体"/>
                <w:color w:val="000000" w:themeColor="text1"/>
                <w:sz w:val="21"/>
                <w:szCs w:val="21"/>
                <w:highlight w:val="none"/>
                <w14:textFill>
                  <w14:solidFill>
                    <w14:schemeClr w14:val="tx1"/>
                  </w14:solidFill>
                </w14:textFill>
              </w:rPr>
              <w:t>类专业高级工程师（或以上）职称证书的得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0719FB38">
            <w:pPr>
              <w:pStyle w:val="34"/>
              <w:kinsoku w:val="0"/>
              <w:overflowPunct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注：以上人员全部满足得</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分。以上岗位不得兼任，一人一岗。</w:t>
            </w:r>
            <w:r>
              <w:rPr>
                <w:rFonts w:hint="eastAsia" w:ascii="宋体" w:hAnsi="宋体" w:cs="宋体"/>
                <w:color w:val="000000" w:themeColor="text1"/>
                <w:sz w:val="21"/>
                <w:szCs w:val="21"/>
                <w:highlight w:val="none"/>
                <w14:textFill>
                  <w14:solidFill>
                    <w14:schemeClr w14:val="tx1"/>
                  </w14:solidFill>
                </w14:textFill>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eastAsia="宋体" w:cs="宋体"/>
                <w:color w:val="000000" w:themeColor="text1"/>
                <w:sz w:val="21"/>
                <w:szCs w:val="21"/>
                <w:highlight w:val="none"/>
                <w14:textFill>
                  <w14:solidFill>
                    <w14:schemeClr w14:val="tx1"/>
                  </w14:solidFill>
                </w14:textFill>
              </w:rPr>
              <w:t>附人员相关证书</w:t>
            </w:r>
            <w:r>
              <w:rPr>
                <w:rFonts w:hint="eastAsia" w:ascii="宋体" w:hAnsi="宋体" w:cs="宋体"/>
                <w:color w:val="000000" w:themeColor="text1"/>
                <w:sz w:val="21"/>
                <w:szCs w:val="21"/>
                <w:highlight w:val="none"/>
                <w:lang w:val="en-US" w:eastAsia="zh-CN"/>
                <w14:textFill>
                  <w14:solidFill>
                    <w14:schemeClr w14:val="tx1"/>
                  </w14:solidFill>
                </w14:textFill>
              </w:rPr>
              <w:t>扫描</w:t>
            </w:r>
            <w:r>
              <w:rPr>
                <w:rFonts w:hint="eastAsia" w:ascii="宋体" w:hAnsi="宋体" w:eastAsia="宋体" w:cs="宋体"/>
                <w:color w:val="000000" w:themeColor="text1"/>
                <w:sz w:val="21"/>
                <w:szCs w:val="21"/>
                <w:highlight w:val="none"/>
                <w14:textFill>
                  <w14:solidFill>
                    <w14:schemeClr w14:val="tx1"/>
                  </w14:solidFill>
                </w14:textFill>
              </w:rPr>
              <w:t>件和具有离投标截止时间最近的至少1个月（202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月）在本单位缴纳的社保证明文件（已退休人员提供退休证），</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cs="宋体"/>
                <w:color w:val="000000" w:themeColor="text1"/>
                <w:sz w:val="21"/>
                <w:szCs w:val="21"/>
                <w:highlight w:val="none"/>
                <w14:textFill>
                  <w14:solidFill>
                    <w14:schemeClr w14:val="tx1"/>
                  </w14:solidFill>
                </w14:textFill>
              </w:rPr>
              <w:t>不得分。</w:t>
            </w:r>
          </w:p>
        </w:tc>
      </w:tr>
      <w:tr w14:paraId="6FC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F4480E0">
            <w:pPr>
              <w:pStyle w:val="34"/>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25A2C98F">
            <w:pPr>
              <w:pStyle w:val="34"/>
              <w:kinsoku w:val="0"/>
              <w:overflowPunct w:val="0"/>
              <w:jc w:val="center"/>
              <w:rPr>
                <w:rFonts w:ascii="宋体" w:hAnsi="宋体" w:cs="宋体"/>
                <w:b/>
                <w:sz w:val="21"/>
                <w:szCs w:val="21"/>
                <w:highlight w:val="none"/>
              </w:rPr>
            </w:pPr>
            <w:r>
              <w:rPr>
                <w:rFonts w:ascii="宋体" w:hAnsi="宋体" w:cs="宋体"/>
                <w:sz w:val="21"/>
                <w:szCs w:val="21"/>
                <w:highlight w:val="none"/>
              </w:rPr>
              <w:t>（</w:t>
            </w:r>
            <w:r>
              <w:rPr>
                <w:rFonts w:hint="eastAsia" w:ascii="宋体" w:hAnsi="宋体" w:cs="宋体"/>
                <w:sz w:val="21"/>
                <w:szCs w:val="21"/>
                <w:highlight w:val="none"/>
              </w:rPr>
              <w:t>2</w:t>
            </w:r>
            <w:r>
              <w:rPr>
                <w:rFonts w:ascii="宋体" w:hAnsi="宋体" w:cs="宋体"/>
                <w:sz w:val="21"/>
                <w:szCs w:val="21"/>
                <w:highlight w:val="none"/>
              </w:rPr>
              <w:t>）</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502FC6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监理大纲评分标准</w:t>
            </w:r>
            <w:r>
              <w:rPr>
                <w:rFonts w:hint="eastAsia" w:ascii="宋体" w:hAnsi="宋体" w:cs="宋体"/>
                <w:color w:val="000000" w:themeColor="text1"/>
                <w:sz w:val="21"/>
                <w:szCs w:val="21"/>
                <w:highlight w:val="none"/>
                <w14:textFill>
                  <w14:solidFill>
                    <w14:schemeClr w14:val="tx1"/>
                  </w14:solidFill>
                </w14:textFill>
              </w:rPr>
              <w:t>（30分）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9B98E88">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监理范围、监理内容（1分）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A96F8CA">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对监理工作范围内容明确，描述清晰。优得1分；良得0.</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分；一般得0.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分；差得0分。</w:t>
            </w:r>
          </w:p>
        </w:tc>
      </w:tr>
      <w:tr w14:paraId="0370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02917FA">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B56DABD">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5C1A7A0">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监理依据、监理工作目标(1分)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5AF1DB5">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要求依据充分，目标明确。优得1分；良得0.</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分；一般得0.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分；差得0分。</w:t>
            </w:r>
          </w:p>
        </w:tc>
      </w:tr>
      <w:tr w14:paraId="10F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55271D6">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BF602D2">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F064CE9">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监理机构（框图）设置和岗位职责(1分)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0278C16">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机构设置合理，岗位职责分工明确合理。优得1分；良得0.</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分；一般得0.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分；差得0分。</w:t>
            </w:r>
          </w:p>
        </w:tc>
      </w:tr>
      <w:tr w14:paraId="0D3A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2F4CB43">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831A91">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0512DF2">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监理工作程序、方法和制度（2分）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EDEA2A0">
            <w:pPr>
              <w:pStyle w:val="34"/>
              <w:tabs>
                <w:tab w:val="center" w:pos="737"/>
              </w:tabs>
              <w:kinsoku w:val="0"/>
              <w:overflowPunct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有清晰的工作流程图、工作准则、方法合理、制度健全。优得2分；良得1.5分；一般得1分；差得0分。</w:t>
            </w:r>
          </w:p>
        </w:tc>
      </w:tr>
      <w:tr w14:paraId="669A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3BF3B90">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D50EC7">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vMerge w:val="restart"/>
            <w:tcBorders>
              <w:top w:val="single" w:color="auto" w:sz="4" w:space="0"/>
              <w:left w:val="single" w:color="auto" w:sz="4" w:space="0"/>
              <w:right w:val="single" w:color="auto" w:sz="4" w:space="0"/>
              <w:tl2br w:val="nil"/>
              <w:tr2bl w:val="nil"/>
            </w:tcBorders>
            <w:vAlign w:val="center"/>
          </w:tcPr>
          <w:p w14:paraId="75A63683">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质量、进度、投资、安全、环保监理措施（16分）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5547447">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质量监理措施（4分）：要求目标明确、方法合理可行、措施具体、针对性强。优得4分；良得3分；一般得2分；差得0分。</w:t>
            </w:r>
          </w:p>
        </w:tc>
      </w:tr>
      <w:tr w14:paraId="0F09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CEF064">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E039685">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vMerge w:val="continue"/>
            <w:tcBorders>
              <w:left w:val="single" w:color="auto" w:sz="4" w:space="0"/>
              <w:right w:val="single" w:color="auto" w:sz="4" w:space="0"/>
              <w:tl2br w:val="nil"/>
              <w:tr2bl w:val="nil"/>
            </w:tcBorders>
            <w:vAlign w:val="center"/>
          </w:tcPr>
          <w:p w14:paraId="767C98B0">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D03B6E1">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进度监理措施（3分）：要求目标明确、方法合理可行、措施具体、针对性强。优得3分；良得2分；一般得1分；差得0分。</w:t>
            </w:r>
          </w:p>
        </w:tc>
      </w:tr>
      <w:tr w14:paraId="6C4F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DFD5EF8">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7F74A8">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vMerge w:val="continue"/>
            <w:tcBorders>
              <w:left w:val="single" w:color="auto" w:sz="4" w:space="0"/>
              <w:right w:val="single" w:color="auto" w:sz="4" w:space="0"/>
              <w:tl2br w:val="nil"/>
              <w:tr2bl w:val="nil"/>
            </w:tcBorders>
            <w:vAlign w:val="center"/>
          </w:tcPr>
          <w:p w14:paraId="7F770A62">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76DF136">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投资监理措施（3分）：要求目标明确、方法合理可行、措施具体、针对性强。优得3分；良得2分；一般得1分；差得0分。</w:t>
            </w:r>
          </w:p>
        </w:tc>
      </w:tr>
      <w:tr w14:paraId="04E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6181B0C">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203F262">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vMerge w:val="continue"/>
            <w:tcBorders>
              <w:left w:val="single" w:color="auto" w:sz="4" w:space="0"/>
              <w:right w:val="single" w:color="auto" w:sz="4" w:space="0"/>
              <w:tl2br w:val="nil"/>
              <w:tr2bl w:val="nil"/>
            </w:tcBorders>
            <w:vAlign w:val="center"/>
          </w:tcPr>
          <w:p w14:paraId="475CAD36">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FDD759A">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安全监理措施（3分）：要求目标明确、方法合理可行、措施具体、针对性强。优得3分；良得2分；一般得1分；差得0分。</w:t>
            </w:r>
          </w:p>
        </w:tc>
      </w:tr>
      <w:tr w14:paraId="6132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BFCFC03">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CAC782">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vMerge w:val="continue"/>
            <w:tcBorders>
              <w:left w:val="single" w:color="auto" w:sz="4" w:space="0"/>
              <w:bottom w:val="single" w:color="auto" w:sz="4" w:space="0"/>
              <w:right w:val="single" w:color="auto" w:sz="4" w:space="0"/>
              <w:tl2br w:val="nil"/>
              <w:tr2bl w:val="nil"/>
            </w:tcBorders>
            <w:vAlign w:val="center"/>
          </w:tcPr>
          <w:p w14:paraId="56D86E67">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60DC3C1">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环保监理措施（3分）：要求针对性强、措施具体、可操作。优得3分；良得2分；一般得1分；差得0分。</w:t>
            </w:r>
          </w:p>
        </w:tc>
      </w:tr>
      <w:tr w14:paraId="671A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3B20C89">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E8F0A4B">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0D313B5">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合同、信息管理方案（2分）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C428607">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合同管理、信息管理方法、针对性强、措施具体。优得2分；良得1.5分；一般得1分；差得0分。</w:t>
            </w:r>
          </w:p>
        </w:tc>
      </w:tr>
      <w:tr w14:paraId="30E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949A5CB">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99B68A">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72E277B">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监理组织协调内容及措施（2分）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156FDCE">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协调方法清晰合理，有具体措施。优得2分；良得1.5分；一般得1分；差得0分。</w:t>
            </w:r>
          </w:p>
        </w:tc>
      </w:tr>
      <w:tr w14:paraId="6523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B7FFBCE">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795403">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60E1382">
            <w:pPr>
              <w:tabs>
                <w:tab w:val="center" w:pos="737"/>
              </w:tabs>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监理工作重点、难点分析（2分）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4419314">
            <w:pPr>
              <w:tabs>
                <w:tab w:val="center" w:pos="737"/>
              </w:tabs>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要求针对性强、措施具体、可操作。优得2分；良得1.5分；一般得1分；差得0分。</w:t>
            </w:r>
          </w:p>
        </w:tc>
      </w:tr>
      <w:tr w14:paraId="2B4D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D985743">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16AFB4">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029807A">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会议制度</w:t>
            </w:r>
          </w:p>
          <w:p w14:paraId="0A69150D">
            <w:pPr>
              <w:pStyle w:val="34"/>
              <w:tabs>
                <w:tab w:val="center" w:pos="737"/>
              </w:tabs>
              <w:kinsoku w:val="0"/>
              <w:overflowPunct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199EE89">
            <w:pPr>
              <w:pStyle w:val="34"/>
              <w:tabs>
                <w:tab w:val="center" w:pos="737"/>
              </w:tabs>
              <w:kinsoku w:val="0"/>
              <w:overflowPunct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建立完善的工地会议制度。优得1分；良得0.</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分；一般得0.</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分；差得0分。</w:t>
            </w:r>
          </w:p>
        </w:tc>
      </w:tr>
      <w:tr w14:paraId="0BCC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A7D78C8">
            <w:pPr>
              <w:pStyle w:val="34"/>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49E648">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BFB4C5E">
            <w:pPr>
              <w:tabs>
                <w:tab w:val="center" w:pos="737"/>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合理化建议</w:t>
            </w:r>
          </w:p>
          <w:p w14:paraId="584624A5">
            <w:pPr>
              <w:pStyle w:val="34"/>
              <w:tabs>
                <w:tab w:val="center" w:pos="737"/>
              </w:tabs>
              <w:kinsoku w:val="0"/>
              <w:overflowPunct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DFC61B4">
            <w:pPr>
              <w:pStyle w:val="34"/>
              <w:tabs>
                <w:tab w:val="center" w:pos="737"/>
              </w:tabs>
              <w:kinsoku w:val="0"/>
              <w:overflowPunct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具有科学、合理、可行及具体措施的建议。优得2分；良得1.5分；一般得1分；差得0分。</w:t>
            </w:r>
          </w:p>
        </w:tc>
      </w:tr>
      <w:tr w14:paraId="318E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07DF97">
            <w:pPr>
              <w:pStyle w:val="34"/>
              <w:kinsoku w:val="0"/>
              <w:overflowPunct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17366D3D">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64D662E7">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B914D6F">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投标报价评审（10分）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05F2BC9">
            <w:pPr>
              <w:pStyle w:val="34"/>
              <w:kinsoku w:val="0"/>
              <w:overflowPunct w:val="0"/>
              <w:jc w:val="both"/>
            </w:pPr>
            <w:r>
              <w:rPr>
                <w:rFonts w:hint="eastAsia" w:ascii="宋体" w:hAnsi="宋体" w:eastAsia="宋体" w:cs="宋体"/>
                <w:sz w:val="21"/>
                <w:szCs w:val="21"/>
                <w:highlight w:val="none"/>
              </w:rPr>
              <w:t>以评标基准价作为计算各有效投标价得分的基础，当有效投标报价等于评标基准价时得10分；投标有效报价与评标基准价之差，每上偏1%扣0.3分，下偏1%扣0.2分。（得分扣至0分止）</w:t>
            </w:r>
          </w:p>
          <w:p w14:paraId="487971FA">
            <w:pPr>
              <w:pStyle w:val="34"/>
              <w:kinsoku w:val="0"/>
              <w:overflowPunct w:val="0"/>
              <w:jc w:val="both"/>
            </w:pPr>
            <w:r>
              <w:rPr>
                <w:rFonts w:hint="eastAsia" w:ascii="宋体" w:hAnsi="宋体" w:cs="宋体"/>
                <w:sz w:val="21"/>
                <w:szCs w:val="21"/>
              </w:rPr>
              <w:t>注：根据第二章“投标人须知前附表”第10.3项规定实施投标报价评审优惠政策，对符合《政府采购促进中小企业发展管理办法》的小微企业投标人，给予相应的价格评审优惠。</w:t>
            </w:r>
          </w:p>
        </w:tc>
      </w:tr>
      <w:tr w14:paraId="51B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364AFF">
            <w:pPr>
              <w:pStyle w:val="34"/>
              <w:kinsoku w:val="0"/>
              <w:overflowPunct w:val="0"/>
              <w:ind w:firstLine="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1D4AD64A">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0F106D45">
            <w:pPr>
              <w:spacing w:line="260" w:lineRule="exact"/>
              <w:ind w:left="360" w:hanging="36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p w14:paraId="10B996B4">
            <w:pPr>
              <w:spacing w:line="260" w:lineRule="exact"/>
              <w:jc w:val="center"/>
              <w:rPr>
                <w:rFonts w:ascii="宋体" w:hAnsi="宋体" w:cs="宋体"/>
                <w:sz w:val="21"/>
                <w:szCs w:val="21"/>
                <w:highlight w:val="none"/>
              </w:rPr>
            </w:pPr>
            <w:r>
              <w:rPr>
                <w:rFonts w:hint="eastAsia" w:ascii="宋体" w:hAnsi="宋体" w:eastAsia="宋体" w:cs="宋体"/>
                <w:sz w:val="21"/>
                <w:szCs w:val="21"/>
                <w:highlight w:val="none"/>
              </w:rPr>
              <w:t>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0D0D490">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诚信综合评价得分（10分）</w:t>
            </w:r>
          </w:p>
        </w:tc>
        <w:tc>
          <w:tcPr>
            <w:tcW w:w="5011" w:type="dxa"/>
            <w:tcBorders>
              <w:top w:val="single" w:color="auto" w:sz="4" w:space="0"/>
              <w:left w:val="single" w:color="auto" w:sz="4" w:space="0"/>
              <w:bottom w:val="single" w:color="auto" w:sz="4" w:space="0"/>
              <w:right w:val="single" w:color="auto" w:sz="4" w:space="0"/>
              <w:tl2br w:val="nil"/>
              <w:tr2bl w:val="nil"/>
            </w:tcBorders>
            <w:vAlign w:val="top"/>
          </w:tcPr>
          <w:p w14:paraId="5FC522C1">
            <w:pPr>
              <w:pStyle w:val="34"/>
              <w:kinsoku w:val="0"/>
              <w:overflow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诚信评价得分占投标人评标得分权重的10%。</w:t>
            </w:r>
          </w:p>
          <w:p w14:paraId="1F822326">
            <w:pPr>
              <w:pStyle w:val="34"/>
              <w:kinsoku w:val="0"/>
              <w:overflowPunct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取广州市水务工程建设管理数字化监管平台 （http://112.94.68.142:8012/#/website）公布的本项目招标公告发布第1天所在季度的上一季度“监理-水利”诚信综合评价分；未入库企业或在广州市水务工程建设管理数字化监管平台中尚无诚信排名（“监理-水利”诚信综合评价分）的投标人（简称“未入库企业”），诚信评价总分取基准分，即“未入库企业”的诚信评价总分=100（市场行为评价分）×20%+75（质量安全管理评价得分）×50%+75（履约评价得分）×30%=80分。</w:t>
            </w:r>
          </w:p>
          <w:p w14:paraId="04823C22">
            <w:pPr>
              <w:pStyle w:val="34"/>
              <w:kinsoku w:val="0"/>
              <w:overflowPunct w:val="0"/>
              <w:jc w:val="both"/>
              <w:rPr>
                <w:rFonts w:ascii="宋体" w:hAnsi="宋体" w:cs="宋体"/>
                <w:sz w:val="21"/>
                <w:szCs w:val="21"/>
                <w:highlight w:val="none"/>
              </w:rPr>
            </w:pPr>
            <w:r>
              <w:rPr>
                <w:rFonts w:hint="eastAsia" w:ascii="宋体" w:hAnsi="宋体" w:eastAsia="宋体" w:cs="宋体"/>
                <w:sz w:val="21"/>
                <w:szCs w:val="21"/>
                <w:highlight w:val="none"/>
              </w:rPr>
              <w:t>投标人诚信评价得分=诚信综合评价排名得分*诚信评价得分权重（10%）；诚信综合评价排名得分满分10分。</w:t>
            </w:r>
          </w:p>
        </w:tc>
      </w:tr>
      <w:tr w14:paraId="670A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66AE81">
            <w:pPr>
              <w:pStyle w:val="34"/>
              <w:kinsoku w:val="0"/>
              <w:overflowPunct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4D1EA354">
            <w:pPr>
              <w:pStyle w:val="34"/>
              <w:kinsoku w:val="0"/>
              <w:overflowPunct w:val="0"/>
              <w:jc w:val="center"/>
              <w:rPr>
                <w:rFonts w:ascii="宋体" w:hAnsi="宋体" w:cs="宋体"/>
                <w:sz w:val="21"/>
                <w:szCs w:val="21"/>
                <w:highlight w:val="none"/>
              </w:rPr>
            </w:pPr>
            <w:r>
              <w:rPr>
                <w:rFonts w:hint="eastAsia" w:ascii="宋体" w:hAnsi="宋体" w:eastAsia="宋体" w:cs="宋体"/>
                <w:sz w:val="21"/>
                <w:szCs w:val="21"/>
                <w:highlight w:val="none"/>
              </w:rPr>
              <w:t>说明</w:t>
            </w:r>
          </w:p>
        </w:tc>
        <w:tc>
          <w:tcPr>
            <w:tcW w:w="81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8361821">
            <w:pPr>
              <w:pStyle w:val="34"/>
              <w:kinsoku w:val="0"/>
              <w:overflowPunct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（1）投标人的综合得分为将各评委的评分去掉一个最高分和去掉一个最低分后取算术平均分（分数出现小数点时，保留小数点后二位，第三位小数四舍五入）。</w:t>
            </w:r>
          </w:p>
          <w:p w14:paraId="705CC083">
            <w:pPr>
              <w:pStyle w:val="34"/>
              <w:kinsoku w:val="0"/>
              <w:overflowPunct w:val="0"/>
              <w:jc w:val="both"/>
              <w:rPr>
                <w:rFonts w:ascii="宋体" w:hAnsi="宋体" w:cs="宋体"/>
                <w:sz w:val="21"/>
                <w:szCs w:val="21"/>
                <w:highlight w:val="none"/>
              </w:rPr>
            </w:pPr>
            <w:r>
              <w:rPr>
                <w:rFonts w:hint="eastAsia" w:ascii="宋体" w:hAnsi="宋体" w:eastAsia="宋体" w:cs="宋体"/>
                <w:sz w:val="21"/>
                <w:szCs w:val="21"/>
                <w:highlight w:val="none"/>
              </w:rPr>
              <w:t>（2）投标单位必须确保投标文件中证明资料的真实性，否则将上报上级主管部门记入不良行为档案和在广州公共资源交易中心通报。</w:t>
            </w:r>
          </w:p>
        </w:tc>
      </w:tr>
    </w:tbl>
    <w:p w14:paraId="4C1D362F">
      <w:pPr>
        <w:pStyle w:val="5"/>
        <w:kinsoku w:val="0"/>
        <w:overflowPunct w:val="0"/>
        <w:spacing w:before="120" w:after="120"/>
        <w:ind w:left="120"/>
        <w:rPr>
          <w:sz w:val="32"/>
          <w:highlight w:val="none"/>
        </w:rPr>
        <w:sectPr>
          <w:headerReference r:id="rId6" w:type="default"/>
          <w:footerReference r:id="rId7" w:type="default"/>
          <w:pgSz w:w="11905" w:h="16838"/>
          <w:pgMar w:top="1417" w:right="1417" w:bottom="1417" w:left="1417" w:header="992" w:footer="992" w:gutter="0"/>
          <w:cols w:space="720" w:num="1"/>
        </w:sectPr>
      </w:pPr>
    </w:p>
    <w:p w14:paraId="5B1344E7">
      <w:pPr>
        <w:pStyle w:val="31"/>
        <w:ind w:firstLine="0" w:firstLineChars="0"/>
        <w:rPr>
          <w:rFonts w:hint="default"/>
          <w:highlight w:val="none"/>
        </w:rPr>
      </w:pPr>
      <w:bookmarkStart w:id="167" w:name="bookmark84"/>
      <w:bookmarkEnd w:id="167"/>
    </w:p>
    <w:p w14:paraId="71429495">
      <w:pPr>
        <w:spacing w:line="360" w:lineRule="auto"/>
        <w:ind w:firstLine="560" w:firstLineChars="200"/>
        <w:jc w:val="center"/>
        <w:rPr>
          <w:rFonts w:ascii="黑体" w:hAnsi="黑体" w:eastAsia="黑体"/>
          <w:sz w:val="28"/>
          <w:szCs w:val="27"/>
          <w:highlight w:val="none"/>
        </w:rPr>
      </w:pPr>
      <w:r>
        <w:rPr>
          <w:rFonts w:hint="eastAsia" w:ascii="黑体" w:hAnsi="黑体" w:eastAsia="黑体"/>
          <w:sz w:val="28"/>
          <w:szCs w:val="27"/>
          <w:highlight w:val="none"/>
        </w:rPr>
        <w:t>评标办法修改表</w:t>
      </w:r>
    </w:p>
    <w:p w14:paraId="64C9BE7E">
      <w:pPr>
        <w:pStyle w:val="22"/>
        <w:spacing w:line="360" w:lineRule="auto"/>
        <w:rPr>
          <w:rFonts w:hint="default" w:ascii="宋体" w:hAnsi="宋体" w:eastAsia="宋体"/>
          <w:sz w:val="24"/>
          <w:highlight w:val="none"/>
        </w:rPr>
      </w:pPr>
      <w:r>
        <w:rPr>
          <w:rFonts w:ascii="宋体" w:hAnsi="宋体" w:eastAsia="宋体"/>
          <w:sz w:val="24"/>
          <w:highlight w:val="none"/>
        </w:rPr>
        <w:t>声明：本评标办法使用</w:t>
      </w:r>
      <w:r>
        <w:rPr>
          <w:rFonts w:ascii="仿宋_GB2312" w:hAnsi="宋体" w:eastAsia="仿宋_GB2312"/>
          <w:sz w:val="24"/>
          <w:highlight w:val="none"/>
        </w:rPr>
        <w:t>SWZB2024-06</w:t>
      </w:r>
      <w:r>
        <w:rPr>
          <w:rFonts w:ascii="宋体" w:hAnsi="宋体" w:eastAsia="宋体"/>
          <w:sz w:val="24"/>
          <w:highlight w:val="none"/>
        </w:rPr>
        <w:t>招标文件范本的评标办法条款，与该条款不同之处，均在本表中列明，并以现文为准，原文不再有效。</w:t>
      </w:r>
    </w:p>
    <w:p w14:paraId="73D6BB39">
      <w:pPr>
        <w:pBdr>
          <w:bottom w:val="single" w:color="auto" w:sz="6" w:space="1"/>
        </w:pBdr>
        <w:spacing w:line="480" w:lineRule="auto"/>
        <w:ind w:firstLine="537" w:firstLineChars="224"/>
        <w:rPr>
          <w:rFonts w:ascii="宋体" w:hAnsi="宋体"/>
          <w:szCs w:val="21"/>
          <w:highlight w:val="none"/>
        </w:rPr>
      </w:pPr>
      <w:bookmarkStart w:id="168" w:name="_Toc262229169"/>
      <w:bookmarkEnd w:id="168"/>
      <w:bookmarkStart w:id="169" w:name="_Toc359263257"/>
      <w:bookmarkEnd w:id="169"/>
      <w:bookmarkStart w:id="170" w:name="_Toc155150493"/>
      <w:bookmarkEnd w:id="170"/>
    </w:p>
    <w:p w14:paraId="6FDE2317">
      <w:pPr>
        <w:spacing w:line="480" w:lineRule="auto"/>
        <w:ind w:firstLine="480" w:firstLineChars="200"/>
        <w:rPr>
          <w:rFonts w:ascii="宋体" w:hAnsi="宋体"/>
          <w:szCs w:val="21"/>
          <w:highlight w:val="none"/>
        </w:rPr>
      </w:pPr>
      <w:r>
        <w:rPr>
          <w:rFonts w:hint="eastAsia" w:ascii="宋体" w:hAnsi="宋体"/>
          <w:szCs w:val="21"/>
          <w:highlight w:val="none"/>
        </w:rPr>
        <w:t>条款号：3.2.1-（2）             修改类型：修改</w:t>
      </w:r>
    </w:p>
    <w:p w14:paraId="287EC868">
      <w:pPr>
        <w:spacing w:line="480" w:lineRule="auto"/>
        <w:ind w:firstLine="537" w:firstLineChars="224"/>
        <w:rPr>
          <w:rFonts w:ascii="宋体" w:hAnsi="宋体"/>
          <w:szCs w:val="21"/>
          <w:highlight w:val="none"/>
        </w:rPr>
      </w:pPr>
      <w:r>
        <w:rPr>
          <w:rFonts w:hint="eastAsia" w:ascii="宋体" w:hAnsi="宋体"/>
          <w:szCs w:val="21"/>
          <w:highlight w:val="none"/>
        </w:rPr>
        <w:t>原文：（2）按本章第2.2.4（2）目规定的评审因素和分值对监理大纲部分计算出得分B，①监理大纲部分评审得分B为从各评标专家打分中去掉一个最高分和去掉一个最低分后的剩余评标专家打分的算术平均值或②监理大纲部分评审得分B为各评标专家打分的算术平均值（二选一，招标人自行选择）；</w:t>
      </w:r>
    </w:p>
    <w:p w14:paraId="472D00B9">
      <w:pPr>
        <w:spacing w:line="480" w:lineRule="auto"/>
        <w:ind w:firstLine="537" w:firstLineChars="224"/>
        <w:rPr>
          <w:rFonts w:ascii="宋体" w:hAnsi="宋体"/>
          <w:szCs w:val="21"/>
          <w:highlight w:val="none"/>
        </w:rPr>
      </w:pPr>
      <w:r>
        <w:rPr>
          <w:rFonts w:hint="eastAsia" w:ascii="宋体" w:hAnsi="宋体"/>
          <w:szCs w:val="21"/>
          <w:highlight w:val="none"/>
        </w:rPr>
        <w:t>现文：（2）按本章第2.2.4（2）目规定的评审因素和分值对监理大纲部分计算出得分B，</w:t>
      </w:r>
      <w:r>
        <w:rPr>
          <w:rFonts w:hint="eastAsia" w:ascii="宋体" w:hAnsi="宋体"/>
          <w:szCs w:val="21"/>
          <w:highlight w:val="none"/>
          <w:u w:val="single"/>
        </w:rPr>
        <w:t>监理大纲部分评审得分</w:t>
      </w:r>
      <w:r>
        <w:rPr>
          <w:rFonts w:ascii="宋体" w:hAnsi="宋体"/>
          <w:szCs w:val="21"/>
          <w:highlight w:val="none"/>
          <w:u w:val="single"/>
        </w:rPr>
        <w:t>B为从各评标专家打分中去掉一个最高分和去掉一个最低分后的剩余评标专家打分的算术平均值，评分分数出现小数点时，保留小数点后二位，第三位小数四舍五入；</w:t>
      </w:r>
    </w:p>
    <w:p w14:paraId="1D8FA79F">
      <w:pPr>
        <w:pBdr>
          <w:bottom w:val="single" w:color="auto" w:sz="6" w:space="1"/>
        </w:pBdr>
        <w:spacing w:line="480" w:lineRule="auto"/>
        <w:ind w:firstLine="537" w:firstLineChars="224"/>
        <w:rPr>
          <w:rFonts w:ascii="宋体" w:hAnsi="宋体"/>
          <w:szCs w:val="21"/>
          <w:highlight w:val="none"/>
        </w:rPr>
      </w:pPr>
    </w:p>
    <w:p w14:paraId="1DE1FDC2">
      <w:pPr>
        <w:spacing w:line="360" w:lineRule="auto"/>
        <w:ind w:firstLine="480" w:firstLineChars="200"/>
        <w:rPr>
          <w:rFonts w:ascii="宋体" w:hAnsi="宋体"/>
          <w:szCs w:val="21"/>
          <w:highlight w:val="none"/>
        </w:rPr>
      </w:pPr>
      <w:r>
        <w:rPr>
          <w:rFonts w:hint="eastAsia" w:ascii="宋体" w:hAnsi="宋体"/>
          <w:szCs w:val="21"/>
          <w:highlight w:val="none"/>
        </w:rPr>
        <w:t>注：以上修改，仅限于本范本中有可供选择条</w:t>
      </w:r>
    </w:p>
    <w:p w14:paraId="54FDDB2F">
      <w:pPr>
        <w:pStyle w:val="31"/>
        <w:ind w:firstLine="0" w:firstLineChars="0"/>
        <w:rPr>
          <w:rFonts w:hint="default" w:eastAsiaTheme="minorEastAsia"/>
          <w:highlight w:val="none"/>
        </w:rPr>
        <w:sectPr>
          <w:pgSz w:w="11906" w:h="16838"/>
          <w:pgMar w:top="1417" w:right="1417" w:bottom="1417" w:left="1417" w:header="0" w:footer="940" w:gutter="0"/>
          <w:cols w:space="720" w:num="1"/>
        </w:sectPr>
      </w:pPr>
    </w:p>
    <w:p w14:paraId="266D2D7F">
      <w:pPr>
        <w:pStyle w:val="5"/>
        <w:spacing w:before="120" w:after="120"/>
        <w:rPr>
          <w:rFonts w:ascii="Microsoft JhengHei" w:hAnsi="Microsoft JhengHei" w:eastAsia="Microsoft JhengHei"/>
          <w:b w:val="0"/>
          <w:sz w:val="30"/>
          <w:highlight w:val="none"/>
        </w:rPr>
      </w:pPr>
      <w:bookmarkStart w:id="171" w:name="_Toc19273"/>
      <w:r>
        <w:rPr>
          <w:rFonts w:cs="宋体"/>
          <w:highlight w:val="none"/>
        </w:rPr>
        <w:t>1.评标方法</w:t>
      </w:r>
      <w:bookmarkEnd w:id="171"/>
    </w:p>
    <w:p w14:paraId="457539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53FFE264">
      <w:pPr>
        <w:pStyle w:val="5"/>
        <w:spacing w:before="120" w:after="120"/>
        <w:rPr>
          <w:rFonts w:ascii="Microsoft JhengHei" w:hAnsi="Microsoft JhengHei" w:eastAsia="Microsoft JhengHei"/>
          <w:b w:val="0"/>
          <w:sz w:val="30"/>
          <w:highlight w:val="none"/>
        </w:rPr>
      </w:pPr>
      <w:bookmarkStart w:id="172" w:name="bookmark85"/>
      <w:bookmarkEnd w:id="172"/>
      <w:bookmarkStart w:id="173" w:name="_Toc12017"/>
      <w:r>
        <w:rPr>
          <w:rFonts w:cs="宋体"/>
          <w:highlight w:val="none"/>
        </w:rPr>
        <w:t>2.评审标准</w:t>
      </w:r>
      <w:bookmarkEnd w:id="173"/>
    </w:p>
    <w:p w14:paraId="3AE8C71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74" w:name="bookmark86"/>
      <w:bookmarkEnd w:id="174"/>
      <w:bookmarkStart w:id="175" w:name="_Toc2636"/>
      <w:r>
        <w:rPr>
          <w:rFonts w:cs="宋体"/>
          <w:sz w:val="24"/>
          <w:highlight w:val="none"/>
        </w:rPr>
        <w:t>2.1 初步评审标准</w:t>
      </w:r>
      <w:bookmarkEnd w:id="175"/>
    </w:p>
    <w:p w14:paraId="54CA3B9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2.1.1 资格评审标准：见评标办法前附表。</w:t>
      </w:r>
    </w:p>
    <w:p w14:paraId="6B5BD75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2.1.2 形式评审标准：见评标办法前附表。</w:t>
      </w:r>
    </w:p>
    <w:p w14:paraId="693080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2.1.3 响应性评审标准：见评标办法前附表。</w:t>
      </w:r>
    </w:p>
    <w:p w14:paraId="4786C6A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76" w:name="bookmark87"/>
      <w:bookmarkEnd w:id="176"/>
      <w:bookmarkStart w:id="177" w:name="_Toc9590"/>
      <w:r>
        <w:rPr>
          <w:rFonts w:cs="宋体"/>
          <w:sz w:val="24"/>
          <w:highlight w:val="none"/>
        </w:rPr>
        <w:t>2.2 分值构成与评分标准</w:t>
      </w:r>
      <w:bookmarkEnd w:id="177"/>
    </w:p>
    <w:p w14:paraId="43D088A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分值构成</w:t>
      </w:r>
    </w:p>
    <w:p w14:paraId="060C026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（1）资信业绩部分：见评标办法前附表；</w:t>
      </w:r>
    </w:p>
    <w:p w14:paraId="3263B0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（2）监理大纲部分：见评标办法前附表；</w:t>
      </w:r>
    </w:p>
    <w:p w14:paraId="74C0A9E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（3）投标报价：见评标办法前附表；</w:t>
      </w:r>
    </w:p>
    <w:p w14:paraId="6120ACB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（4）诚信得分：见评标办法前附表。</w:t>
      </w:r>
    </w:p>
    <w:p w14:paraId="0877AE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 评标基准价计算评标基准价计算方法：见评标办法前附表。</w:t>
      </w:r>
    </w:p>
    <w:p w14:paraId="763ADC7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投标报价的偏差率计算</w:t>
      </w:r>
    </w:p>
    <w:p w14:paraId="0FDDC44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投标报价的偏差率计算公式：见评标办法前附表。</w:t>
      </w:r>
    </w:p>
    <w:p w14:paraId="1A4B4E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评分标准</w:t>
      </w:r>
    </w:p>
    <w:p w14:paraId="46E4BAF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（1）资信业绩评分标准：见评标办法前附表；</w:t>
      </w:r>
    </w:p>
    <w:p w14:paraId="23CB7E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（2）监理大纲评分标准：见评标办法前附表；</w:t>
      </w:r>
    </w:p>
    <w:p w14:paraId="2D4778C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（3）投标报价评分标准：见评标办法前附表；</w:t>
      </w:r>
    </w:p>
    <w:p w14:paraId="178A390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（4）诚信得分评分标准：见评标办法前附表。</w:t>
      </w:r>
    </w:p>
    <w:p w14:paraId="3B2804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szCs w:val="21"/>
          <w:highlight w:val="none"/>
        </w:rPr>
      </w:pPr>
      <w:r>
        <w:rPr>
          <w:szCs w:val="21"/>
          <w:highlight w:val="none"/>
        </w:rPr>
        <w:t>注：投标人的诚信评价总分取自本项目招标公告发布第1天所在季度的上一季度的诚信综合评价分。</w:t>
      </w:r>
    </w:p>
    <w:p w14:paraId="425D4108">
      <w:pPr>
        <w:pStyle w:val="5"/>
        <w:spacing w:before="120" w:after="120"/>
        <w:rPr>
          <w:rFonts w:cs="宋体"/>
          <w:highlight w:val="none"/>
        </w:rPr>
      </w:pPr>
      <w:bookmarkStart w:id="178" w:name="bookmark88"/>
      <w:bookmarkEnd w:id="178"/>
      <w:bookmarkStart w:id="179" w:name="_Toc19388"/>
      <w:r>
        <w:rPr>
          <w:rFonts w:cs="宋体"/>
          <w:highlight w:val="none"/>
        </w:rPr>
        <w:t>3.评标程序</w:t>
      </w:r>
      <w:bookmarkEnd w:id="179"/>
    </w:p>
    <w:p w14:paraId="08DC013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80" w:name="bookmark89"/>
      <w:bookmarkEnd w:id="180"/>
      <w:bookmarkStart w:id="181" w:name="_Toc13130"/>
      <w:r>
        <w:rPr>
          <w:rFonts w:cs="宋体"/>
          <w:sz w:val="24"/>
          <w:highlight w:val="none"/>
        </w:rPr>
        <w:t>3.1  初步评审</w:t>
      </w:r>
      <w:bookmarkEnd w:id="181"/>
    </w:p>
    <w:p w14:paraId="105ED5F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D33E65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投标人有以下情形之一的，评标委员会应当否决其投标：</w:t>
      </w:r>
    </w:p>
    <w:p w14:paraId="4B6A6F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（1）投标文件没有对招标文件的实质性要求和条件作出响应，或者对招标文件的偏差超出招标文件规定的偏差范围或最高项数；</w:t>
      </w:r>
    </w:p>
    <w:p w14:paraId="5F880EA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（2）有串通投标、弄虚作假、行贿等违法行为。</w:t>
      </w:r>
    </w:p>
    <w:p w14:paraId="60F217A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（3）两个（含两个）以上</w:t>
      </w:r>
      <w:r>
        <w:rPr>
          <w:rFonts w:hint="eastAsia" w:eastAsia="Times New Roman"/>
          <w:sz w:val="24"/>
          <w:highlight w:val="none"/>
        </w:rPr>
        <w:t>投标人加密打包投标文件</w:t>
      </w:r>
      <w:r>
        <w:rPr>
          <w:sz w:val="24"/>
          <w:highlight w:val="none"/>
        </w:rPr>
        <w:t>工程量清单编制</w:t>
      </w:r>
      <w:r>
        <w:rPr>
          <w:rFonts w:hint="eastAsia" w:eastAsia="Times New Roman"/>
          <w:sz w:val="24"/>
          <w:highlight w:val="none"/>
        </w:rPr>
        <w:t>机器</w:t>
      </w:r>
      <w:r>
        <w:rPr>
          <w:sz w:val="24"/>
          <w:highlight w:val="none"/>
        </w:rPr>
        <w:t>硬件信息</w:t>
      </w:r>
      <w:r>
        <w:rPr>
          <w:rFonts w:hint="eastAsia" w:eastAsia="Times New Roman"/>
          <w:sz w:val="24"/>
          <w:highlight w:val="none"/>
        </w:rPr>
        <w:t>一致的</w:t>
      </w:r>
      <w:r>
        <w:rPr>
          <w:sz w:val="24"/>
          <w:highlight w:val="none"/>
        </w:rPr>
        <w:t>。</w:t>
      </w:r>
    </w:p>
    <w:p w14:paraId="1888B7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E745C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（1）投标文件中的大写金额与小写金额不一致的，以大写金额为准；</w:t>
      </w:r>
    </w:p>
    <w:p w14:paraId="154C145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（2）总价金额与单价金额不一致的，以单价金额为准，但单价金额小数点有明显错误的除外。</w:t>
      </w:r>
    </w:p>
    <w:p w14:paraId="5B1DDA0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182" w:name="bookmark90"/>
      <w:bookmarkEnd w:id="182"/>
      <w:bookmarkStart w:id="183" w:name="_Toc26732"/>
      <w:r>
        <w:rPr>
          <w:sz w:val="24"/>
          <w:highlight w:val="none"/>
        </w:rPr>
        <w:t>3.2  详细评审</w:t>
      </w:r>
      <w:bookmarkEnd w:id="183"/>
    </w:p>
    <w:p w14:paraId="132946B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3.2.1 评标委员会按本章第 2.2 款规定的量化因素和分值进行打分，并计算出综合评估得分。</w:t>
      </w:r>
    </w:p>
    <w:p w14:paraId="7F67E33B">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（1）按本章第2.2.4（1）目规定的评审因素和分值对资信业绩部分计算出得分A，</w:t>
      </w:r>
      <w:r>
        <w:rPr>
          <w:sz w:val="24"/>
          <w:highlight w:val="none"/>
          <w:u w:val="single"/>
        </w:rPr>
        <w:t>资信业绩部分评审得分A为各评标专家打分的算术平均值</w:t>
      </w:r>
      <w:r>
        <w:rPr>
          <w:sz w:val="24"/>
          <w:highlight w:val="none"/>
        </w:rPr>
        <w:t>；</w:t>
      </w:r>
    </w:p>
    <w:p w14:paraId="3A882787">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（2）按本章第2.2.4（2）目规定的评审因素和分值对监理大纲部分计算出得分B，</w:t>
      </w:r>
      <w:r>
        <w:rPr>
          <w:sz w:val="24"/>
          <w:highlight w:val="none"/>
          <w:u w:val="single"/>
        </w:rPr>
        <w:fldChar w:fldCharType="begin"/>
      </w:r>
      <w:r>
        <w:rPr>
          <w:sz w:val="24"/>
          <w:highlight w:val="none"/>
          <w:u w:val="single"/>
        </w:rPr>
        <w:instrText xml:space="preserve"> = 1 \* GB3 \* MERGEFORMAT </w:instrText>
      </w:r>
      <w:r>
        <w:rPr>
          <w:sz w:val="24"/>
          <w:highlight w:val="none"/>
          <w:u w:val="single"/>
        </w:rPr>
        <w:fldChar w:fldCharType="separate"/>
      </w:r>
      <w:r>
        <w:rPr>
          <w:highlight w:val="none"/>
          <w:u w:val="single"/>
        </w:rPr>
        <w:t>①</w:t>
      </w:r>
      <w:r>
        <w:rPr>
          <w:highlight w:val="none"/>
          <w:u w:val="single"/>
        </w:rPr>
        <w:fldChar w:fldCharType="end"/>
      </w:r>
      <w:r>
        <w:rPr>
          <w:sz w:val="24"/>
          <w:highlight w:val="none"/>
          <w:u w:val="single"/>
        </w:rPr>
        <w:t>监理大纲部分评审得分</w:t>
      </w:r>
      <w:r>
        <w:rPr>
          <w:sz w:val="24"/>
          <w:highlight w:val="none"/>
        </w:rPr>
        <w:t>B</w:t>
      </w:r>
      <w:r>
        <w:rPr>
          <w:sz w:val="24"/>
          <w:highlight w:val="none"/>
          <w:u w:val="single"/>
        </w:rPr>
        <w:t>为从各评标专家打分中去掉一个最高分和去掉一个最低分后的剩余评标专家打分的算术平均值</w:t>
      </w:r>
      <w:r>
        <w:rPr>
          <w:rFonts w:hint="eastAsia"/>
          <w:sz w:val="24"/>
          <w:highlight w:val="none"/>
          <w:u w:val="single"/>
        </w:rPr>
        <w:t>评分分数出现小数点时，保留小数点后二位，第三位小数四舍五入</w:t>
      </w:r>
      <w:r>
        <w:rPr>
          <w:sz w:val="24"/>
          <w:highlight w:val="none"/>
        </w:rPr>
        <w:t>；</w:t>
      </w:r>
    </w:p>
    <w:p w14:paraId="766C579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（3）按本章第2.2.4（3）目规定的评审因素和分值对投标报价计算出得分C；</w:t>
      </w:r>
    </w:p>
    <w:p w14:paraId="7FB3D4C7">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（4）按本章第2.2.4（4）目规定的评审因素和分值对诚信评价计算出得分D。</w:t>
      </w:r>
    </w:p>
    <w:p w14:paraId="0DF1F0BC">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3.2.2 评分分值计算保留小数点后两位，小数点后第三位“四舍五入”。</w:t>
      </w:r>
    </w:p>
    <w:p w14:paraId="755AD41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3.2.3 投标人得分=A+B+C+D。</w:t>
      </w:r>
    </w:p>
    <w:p w14:paraId="796423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D07917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84" w:name="bookmark91"/>
      <w:bookmarkEnd w:id="184"/>
      <w:bookmarkStart w:id="185" w:name="_Toc21720"/>
      <w:r>
        <w:rPr>
          <w:rFonts w:cs="宋体"/>
          <w:sz w:val="24"/>
          <w:highlight w:val="none"/>
        </w:rPr>
        <w:t>3.3  投标文件的澄清</w:t>
      </w:r>
      <w:bookmarkEnd w:id="185"/>
    </w:p>
    <w:p w14:paraId="27C99D1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3.3.1 在评标过程中，</w:t>
      </w:r>
      <w:r>
        <w:rPr>
          <w:rFonts w:hint="eastAsia"/>
          <w:sz w:val="24"/>
          <w:highlight w:val="none"/>
        </w:rPr>
        <w:t>经评标委员会中两人以上（含两人）以书面形式提出动议，评标委员会</w:t>
      </w:r>
      <w:r>
        <w:rPr>
          <w:rFonts w:cs="宋体"/>
          <w:sz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78FF4E4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3.3.2 澄清、说明或补正不得超出投标文件的范围且不得改变投标文件的实质性内容，并构成投标文件的组成部分。</w:t>
      </w:r>
    </w:p>
    <w:p w14:paraId="4375C50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3.3.3 评标委员会对投标人提交的澄清、说明或补正有疑问的，可以要求投标人进一步澄清、 说明或补正，直至满足评标委员会的要求。</w:t>
      </w:r>
    </w:p>
    <w:p w14:paraId="70D45DB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86" w:name="bookmark92"/>
      <w:bookmarkEnd w:id="186"/>
      <w:bookmarkStart w:id="187" w:name="_Toc16013"/>
      <w:r>
        <w:rPr>
          <w:rFonts w:cs="宋体"/>
          <w:sz w:val="24"/>
          <w:highlight w:val="none"/>
        </w:rPr>
        <w:t>3.4  评标结果</w:t>
      </w:r>
      <w:bookmarkEnd w:id="187"/>
    </w:p>
    <w:p w14:paraId="782E718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3.4.1 除第二章“投标人须知”前附表授权直接确定中标人外，评标委员会按照得分由高到低 的顺序推荐中标候选人，并标明排序。</w:t>
      </w:r>
    </w:p>
    <w:p w14:paraId="52A5AA1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3.4.2 评标委员会完成评标后，应当向招标人提交书面评标报告和中标候选人名单。</w:t>
      </w:r>
    </w:p>
    <w:p w14:paraId="7F09D32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sectPr>
          <w:headerReference r:id="rId8" w:type="default"/>
          <w:pgSz w:w="11905" w:h="16838"/>
          <w:pgMar w:top="1417" w:right="1417" w:bottom="1417" w:left="1417" w:header="992" w:footer="992" w:gutter="0"/>
          <w:cols w:space="720" w:num="1"/>
        </w:sectPr>
      </w:pPr>
    </w:p>
    <w:p w14:paraId="2B6618FE">
      <w:pPr>
        <w:pStyle w:val="4"/>
        <w:rPr>
          <w:rFonts w:cs="宋体"/>
          <w:sz w:val="44"/>
          <w:highlight w:val="none"/>
        </w:rPr>
      </w:pPr>
      <w:bookmarkStart w:id="188" w:name="bookmark93"/>
      <w:bookmarkEnd w:id="188"/>
      <w:bookmarkStart w:id="189" w:name="_Toc15665"/>
      <w:r>
        <w:rPr>
          <w:rFonts w:cs="宋体"/>
          <w:sz w:val="44"/>
          <w:highlight w:val="none"/>
        </w:rPr>
        <w:t>第四章 合同条款及格式</w:t>
      </w:r>
      <w:bookmarkEnd w:id="189"/>
    </w:p>
    <w:p w14:paraId="6E7A6187">
      <w:pPr>
        <w:pStyle w:val="12"/>
        <w:kinsoku w:val="0"/>
        <w:overflowPunct w:val="0"/>
        <w:ind w:left="0"/>
        <w:rPr>
          <w:rFonts w:ascii="Microsoft JhengHei" w:hAnsi="Microsoft JhengHei" w:eastAsia="Microsoft JhengHei"/>
          <w:b/>
          <w:sz w:val="20"/>
          <w:highlight w:val="none"/>
        </w:rPr>
      </w:pPr>
    </w:p>
    <w:p w14:paraId="63EA529F">
      <w:pPr>
        <w:snapToGrid w:val="0"/>
        <w:spacing w:line="300" w:lineRule="auto"/>
        <w:jc w:val="center"/>
        <w:rPr>
          <w:rFonts w:ascii="Calibri" w:hAnsi="宋体"/>
          <w:b/>
          <w:bCs/>
          <w:sz w:val="28"/>
          <w:szCs w:val="28"/>
          <w:highlight w:val="none"/>
        </w:rPr>
      </w:pPr>
    </w:p>
    <w:p w14:paraId="12247514">
      <w:pPr>
        <w:pStyle w:val="12"/>
        <w:spacing w:before="130" w:line="220" w:lineRule="auto"/>
        <w:ind w:left="2340"/>
        <w:jc w:val="both"/>
        <w:outlineLvl w:val="0"/>
        <w:rPr>
          <w:sz w:val="44"/>
          <w:szCs w:val="44"/>
        </w:rPr>
      </w:pPr>
      <w:bookmarkStart w:id="190" w:name="bookmark161"/>
      <w:bookmarkEnd w:id="190"/>
      <w:bookmarkStart w:id="191" w:name="_Toc29682"/>
      <w:r>
        <w:rPr>
          <w:b/>
          <w:bCs/>
          <w:spacing w:val="-5"/>
          <w:sz w:val="44"/>
          <w:szCs w:val="44"/>
        </w:rPr>
        <w:t>水利工程建设监理合同书</w:t>
      </w:r>
    </w:p>
    <w:p w14:paraId="1A4EA185">
      <w:pPr>
        <w:spacing w:line="350" w:lineRule="auto"/>
        <w:rPr>
          <w:sz w:val="28"/>
          <w:szCs w:val="28"/>
        </w:rPr>
      </w:pPr>
    </w:p>
    <w:p w14:paraId="346E23C4">
      <w:pPr>
        <w:pStyle w:val="12"/>
        <w:spacing w:before="78" w:line="219" w:lineRule="auto"/>
        <w:ind w:left="4" w:firstLine="624" w:firstLineChars="300"/>
        <w:rPr>
          <w:sz w:val="21"/>
          <w:szCs w:val="21"/>
        </w:rPr>
      </w:pPr>
      <w:r>
        <w:rPr>
          <w:rFonts w:hint="eastAsia"/>
          <w:spacing w:val="-1"/>
          <w:sz w:val="21"/>
          <w:szCs w:val="21"/>
          <w:lang w:eastAsia="zh-CN"/>
        </w:rPr>
        <w:t>委托</w:t>
      </w:r>
      <w:r>
        <w:rPr>
          <w:spacing w:val="-1"/>
          <w:sz w:val="21"/>
          <w:szCs w:val="21"/>
        </w:rPr>
        <w:t>人：</w:t>
      </w:r>
      <w:r>
        <w:rPr>
          <w:spacing w:val="-1"/>
          <w:sz w:val="21"/>
          <w:szCs w:val="21"/>
          <w:u w:val="single"/>
        </w:rPr>
        <w:t xml:space="preserve">  </w:t>
      </w:r>
      <w:r>
        <w:rPr>
          <w:rFonts w:hint="eastAsia"/>
          <w:spacing w:val="-1"/>
          <w:sz w:val="21"/>
          <w:szCs w:val="21"/>
          <w:u w:val="single"/>
          <w:lang w:val="en-US" w:eastAsia="zh-CN"/>
        </w:rPr>
        <w:t xml:space="preserve">                    </w:t>
      </w:r>
      <w:r>
        <w:rPr>
          <w:spacing w:val="3"/>
          <w:sz w:val="21"/>
          <w:szCs w:val="21"/>
          <w:u w:val="single"/>
        </w:rPr>
        <w:t xml:space="preserve">   </w:t>
      </w:r>
    </w:p>
    <w:p w14:paraId="2D6476DE">
      <w:pPr>
        <w:spacing w:line="381" w:lineRule="auto"/>
        <w:rPr>
          <w:sz w:val="21"/>
          <w:szCs w:val="21"/>
        </w:rPr>
      </w:pPr>
    </w:p>
    <w:p w14:paraId="75887006">
      <w:pPr>
        <w:pStyle w:val="12"/>
        <w:tabs>
          <w:tab w:val="left" w:pos="5390"/>
        </w:tabs>
        <w:spacing w:before="78" w:line="566" w:lineRule="auto"/>
        <w:ind w:right="3671"/>
        <w:jc w:val="both"/>
        <w:rPr>
          <w:sz w:val="21"/>
          <w:szCs w:val="21"/>
        </w:rPr>
      </w:pPr>
      <w:r>
        <w:rPr>
          <w:spacing w:val="-1"/>
          <w:sz w:val="21"/>
          <w:szCs w:val="21"/>
        </w:rPr>
        <w:t>监理人</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ab/>
      </w:r>
      <w:r>
        <w:rPr>
          <w:sz w:val="21"/>
          <w:szCs w:val="21"/>
        </w:rPr>
        <w:t xml:space="preserve"> </w:t>
      </w:r>
      <w:r>
        <w:rPr>
          <w:spacing w:val="-1"/>
          <w:sz w:val="21"/>
          <w:szCs w:val="21"/>
        </w:rPr>
        <w:t>签订地点：</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ab/>
      </w:r>
      <w:r>
        <w:rPr>
          <w:sz w:val="21"/>
          <w:szCs w:val="21"/>
        </w:rPr>
        <w:t xml:space="preserve"> </w:t>
      </w:r>
      <w:r>
        <w:rPr>
          <w:spacing w:val="-2"/>
          <w:sz w:val="21"/>
          <w:szCs w:val="21"/>
        </w:rPr>
        <w:t>签订时间：</w:t>
      </w:r>
      <w:r>
        <w:rPr>
          <w:spacing w:val="-2"/>
          <w:sz w:val="21"/>
          <w:szCs w:val="21"/>
          <w:u w:val="single"/>
        </w:rPr>
        <w:t xml:space="preserve">        </w:t>
      </w:r>
      <w:r>
        <w:rPr>
          <w:spacing w:val="-106"/>
          <w:sz w:val="21"/>
          <w:szCs w:val="21"/>
        </w:rPr>
        <w:t xml:space="preserve"> </w:t>
      </w:r>
      <w:r>
        <w:rPr>
          <w:spacing w:val="-2"/>
          <w:sz w:val="21"/>
          <w:szCs w:val="21"/>
        </w:rPr>
        <w:t>年</w:t>
      </w:r>
      <w:r>
        <w:rPr>
          <w:spacing w:val="-2"/>
          <w:sz w:val="21"/>
          <w:szCs w:val="21"/>
          <w:u w:val="single"/>
        </w:rPr>
        <w:t xml:space="preserve">    </w:t>
      </w:r>
      <w:r>
        <w:rPr>
          <w:spacing w:val="-105"/>
          <w:sz w:val="21"/>
          <w:szCs w:val="21"/>
        </w:rPr>
        <w:t xml:space="preserve"> </w:t>
      </w:r>
      <w:r>
        <w:rPr>
          <w:spacing w:val="-2"/>
          <w:sz w:val="21"/>
          <w:szCs w:val="21"/>
        </w:rPr>
        <w:t>月</w:t>
      </w:r>
      <w:r>
        <w:rPr>
          <w:sz w:val="21"/>
          <w:szCs w:val="21"/>
          <w:u w:val="single"/>
        </w:rPr>
        <w:t xml:space="preserve">    </w:t>
      </w:r>
      <w:r>
        <w:rPr>
          <w:spacing w:val="-69"/>
          <w:sz w:val="21"/>
          <w:szCs w:val="21"/>
        </w:rPr>
        <w:t xml:space="preserve"> </w:t>
      </w:r>
      <w:r>
        <w:rPr>
          <w:spacing w:val="-2"/>
          <w:sz w:val="21"/>
          <w:szCs w:val="21"/>
        </w:rPr>
        <w:t>日</w:t>
      </w:r>
    </w:p>
    <w:p w14:paraId="396B4F67">
      <w:pPr>
        <w:pStyle w:val="12"/>
        <w:spacing w:before="166" w:line="360" w:lineRule="auto"/>
        <w:ind w:firstLine="420" w:firstLineChars="200"/>
        <w:jc w:val="both"/>
        <w:rPr>
          <w:sz w:val="21"/>
          <w:szCs w:val="21"/>
        </w:rPr>
      </w:pPr>
      <w:r>
        <w:rPr>
          <w:sz w:val="21"/>
          <w:szCs w:val="21"/>
        </w:rPr>
        <w:t>依据《中华人民共和国民法典》</w:t>
      </w:r>
      <w:r>
        <w:rPr>
          <w:sz w:val="21"/>
          <w:szCs w:val="21"/>
          <w:u w:val="single"/>
        </w:rPr>
        <w:t xml:space="preserve"> </w:t>
      </w:r>
      <w:r>
        <w:rPr>
          <w:rFonts w:hint="eastAsia"/>
          <w:sz w:val="21"/>
          <w:szCs w:val="21"/>
          <w:u w:val="single"/>
          <w:lang w:val="en-US" w:eastAsia="zh-CN"/>
        </w:rPr>
        <w:t xml:space="preserve">        </w:t>
      </w:r>
      <w:r>
        <w:rPr>
          <w:rFonts w:ascii="Calibri" w:hAnsi="Calibri" w:eastAsia="Calibri" w:cs="Calibri"/>
          <w:spacing w:val="-1"/>
          <w:sz w:val="21"/>
          <w:szCs w:val="21"/>
          <w:u w:val="single"/>
        </w:rPr>
        <w:t>(</w:t>
      </w:r>
      <w:r>
        <w:rPr>
          <w:spacing w:val="-1"/>
          <w:sz w:val="21"/>
          <w:szCs w:val="21"/>
          <w:u w:val="single"/>
        </w:rPr>
        <w:t>以下</w:t>
      </w:r>
      <w:r>
        <w:rPr>
          <w:sz w:val="21"/>
          <w:szCs w:val="21"/>
        </w:rPr>
        <w:t xml:space="preserve"> </w:t>
      </w:r>
      <w:r>
        <w:rPr>
          <w:spacing w:val="4"/>
          <w:sz w:val="21"/>
          <w:szCs w:val="21"/>
          <w:u w:val="single"/>
        </w:rPr>
        <w:t>简称</w:t>
      </w:r>
      <w:r>
        <w:rPr>
          <w:rFonts w:hint="eastAsia"/>
          <w:spacing w:val="4"/>
          <w:sz w:val="21"/>
          <w:szCs w:val="21"/>
          <w:u w:val="single"/>
          <w:lang w:eastAsia="zh-CN"/>
        </w:rPr>
        <w:t>委托</w:t>
      </w:r>
      <w:r>
        <w:rPr>
          <w:spacing w:val="4"/>
          <w:sz w:val="21"/>
          <w:szCs w:val="21"/>
          <w:u w:val="single"/>
        </w:rPr>
        <w:t>人</w:t>
      </w:r>
      <w:r>
        <w:rPr>
          <w:rFonts w:ascii="Calibri" w:hAnsi="Calibri" w:eastAsia="Calibri" w:cs="Calibri"/>
          <w:spacing w:val="4"/>
          <w:sz w:val="21"/>
          <w:szCs w:val="21"/>
          <w:u w:val="single"/>
        </w:rPr>
        <w:t>)</w:t>
      </w:r>
      <w:r>
        <w:rPr>
          <w:rFonts w:ascii="Calibri" w:hAnsi="Calibri" w:eastAsia="Calibri" w:cs="Calibri"/>
          <w:spacing w:val="19"/>
          <w:w w:val="101"/>
          <w:sz w:val="21"/>
          <w:szCs w:val="21"/>
        </w:rPr>
        <w:t xml:space="preserve"> </w:t>
      </w:r>
      <w:r>
        <w:rPr>
          <w:spacing w:val="4"/>
          <w:sz w:val="21"/>
          <w:szCs w:val="21"/>
        </w:rPr>
        <w:t>与</w:t>
      </w:r>
      <w:r>
        <w:rPr>
          <w:spacing w:val="-44"/>
          <w:sz w:val="21"/>
          <w:szCs w:val="21"/>
        </w:rPr>
        <w:t xml:space="preserve"> </w:t>
      </w:r>
      <w:r>
        <w:rPr>
          <w:rFonts w:hint="eastAsia"/>
          <w:spacing w:val="4"/>
          <w:sz w:val="21"/>
          <w:szCs w:val="21"/>
          <w:u w:val="single"/>
          <w:lang w:val="en-US" w:eastAsia="zh-CN"/>
        </w:rPr>
        <w:t xml:space="preserve">       </w:t>
      </w:r>
      <w:r>
        <w:rPr>
          <w:rFonts w:ascii="Calibri" w:hAnsi="Calibri" w:eastAsia="Calibri" w:cs="Calibri"/>
          <w:spacing w:val="4"/>
          <w:sz w:val="21"/>
          <w:szCs w:val="21"/>
          <w:u w:val="single"/>
        </w:rPr>
        <w:t>(</w:t>
      </w:r>
      <w:r>
        <w:rPr>
          <w:spacing w:val="4"/>
          <w:sz w:val="21"/>
          <w:szCs w:val="21"/>
          <w:u w:val="single"/>
        </w:rPr>
        <w:t>以下</w:t>
      </w:r>
      <w:r>
        <w:rPr>
          <w:spacing w:val="3"/>
          <w:sz w:val="21"/>
          <w:szCs w:val="21"/>
          <w:u w:val="single"/>
        </w:rPr>
        <w:t>简称监理人</w:t>
      </w:r>
      <w:r>
        <w:rPr>
          <w:rFonts w:ascii="Calibri" w:hAnsi="Calibri" w:eastAsia="Calibri" w:cs="Calibri"/>
          <w:spacing w:val="3"/>
          <w:sz w:val="21"/>
          <w:szCs w:val="21"/>
          <w:u w:val="single"/>
        </w:rPr>
        <w:t>)</w:t>
      </w:r>
      <w:r>
        <w:rPr>
          <w:rFonts w:ascii="Calibri" w:hAnsi="Calibri" w:eastAsia="Calibri" w:cs="Calibri"/>
          <w:spacing w:val="-21"/>
          <w:sz w:val="21"/>
          <w:szCs w:val="21"/>
        </w:rPr>
        <w:t xml:space="preserve"> </w:t>
      </w:r>
      <w:r>
        <w:rPr>
          <w:spacing w:val="3"/>
          <w:sz w:val="21"/>
          <w:szCs w:val="21"/>
        </w:rPr>
        <w:t>，就本项工程建设有关</w:t>
      </w:r>
      <w:r>
        <w:rPr>
          <w:spacing w:val="-1"/>
          <w:sz w:val="21"/>
          <w:szCs w:val="21"/>
        </w:rPr>
        <w:t>事项，经双方协商一致，订立本合同。</w:t>
      </w:r>
    </w:p>
    <w:p w14:paraId="20B5D34D">
      <w:pPr>
        <w:pStyle w:val="12"/>
        <w:spacing w:before="0" w:line="360" w:lineRule="auto"/>
        <w:ind w:left="0" w:firstLine="416" w:firstLineChars="200"/>
        <w:outlineLvl w:val="1"/>
        <w:rPr>
          <w:sz w:val="21"/>
          <w:szCs w:val="21"/>
        </w:rPr>
      </w:pPr>
      <w:r>
        <w:rPr>
          <w:spacing w:val="-1"/>
          <w:sz w:val="21"/>
          <w:szCs w:val="21"/>
        </w:rPr>
        <w:t>一、</w:t>
      </w:r>
      <w:r>
        <w:rPr>
          <w:rFonts w:hint="eastAsia"/>
          <w:spacing w:val="-1"/>
          <w:sz w:val="21"/>
          <w:szCs w:val="21"/>
          <w:lang w:eastAsia="zh-CN"/>
        </w:rPr>
        <w:t>委托</w:t>
      </w:r>
      <w:r>
        <w:rPr>
          <w:spacing w:val="-1"/>
          <w:sz w:val="21"/>
          <w:szCs w:val="21"/>
        </w:rPr>
        <w:t>人委托监理人按本建设监理合同要求进行项目的建设监理。</w:t>
      </w:r>
    </w:p>
    <w:p w14:paraId="24DE8FB9">
      <w:pPr>
        <w:pStyle w:val="12"/>
        <w:spacing w:before="0" w:line="360" w:lineRule="auto"/>
        <w:ind w:left="0" w:firstLine="408" w:firstLineChars="200"/>
        <w:outlineLvl w:val="2"/>
        <w:rPr>
          <w:sz w:val="21"/>
          <w:szCs w:val="21"/>
        </w:rPr>
      </w:pPr>
      <w:r>
        <w:rPr>
          <w:spacing w:val="-3"/>
          <w:sz w:val="21"/>
          <w:szCs w:val="21"/>
        </w:rPr>
        <w:t>（一）工程概况：</w:t>
      </w:r>
    </w:p>
    <w:p w14:paraId="3186DA8D">
      <w:pPr>
        <w:pStyle w:val="12"/>
        <w:spacing w:line="360" w:lineRule="auto"/>
        <w:ind w:firstLine="416" w:firstLineChars="200"/>
        <w:rPr>
          <w:spacing w:val="4"/>
          <w:sz w:val="21"/>
          <w:szCs w:val="21"/>
        </w:rPr>
      </w:pPr>
      <w:r>
        <w:rPr>
          <w:rFonts w:ascii="Calibri" w:hAnsi="Calibri" w:eastAsia="Calibri" w:cs="Calibri"/>
          <w:spacing w:val="-1"/>
          <w:sz w:val="21"/>
          <w:szCs w:val="21"/>
        </w:rPr>
        <w:t>1.</w:t>
      </w:r>
      <w:r>
        <w:rPr>
          <w:spacing w:val="-1"/>
          <w:sz w:val="21"/>
          <w:szCs w:val="21"/>
        </w:rPr>
        <w:t>工程名称：</w:t>
      </w:r>
      <w:r>
        <w:rPr>
          <w:spacing w:val="-1"/>
          <w:sz w:val="21"/>
          <w:szCs w:val="21"/>
          <w:u w:val="single"/>
        </w:rPr>
        <w:t xml:space="preserve"> </w:t>
      </w:r>
      <w:r>
        <w:rPr>
          <w:rFonts w:hint="eastAsia"/>
          <w:spacing w:val="-1"/>
          <w:sz w:val="21"/>
          <w:szCs w:val="21"/>
          <w:u w:val="single"/>
          <w:lang w:val="en-US" w:eastAsia="zh-CN"/>
        </w:rPr>
        <w:t xml:space="preserve">                      </w:t>
      </w:r>
      <w:r>
        <w:rPr>
          <w:spacing w:val="-1"/>
          <w:sz w:val="21"/>
          <w:szCs w:val="21"/>
          <w:u w:val="single"/>
        </w:rPr>
        <w:t xml:space="preserve"> </w:t>
      </w:r>
      <w:r>
        <w:rPr>
          <w:spacing w:val="4"/>
          <w:sz w:val="21"/>
          <w:szCs w:val="21"/>
        </w:rPr>
        <w:t xml:space="preserve"> </w:t>
      </w:r>
    </w:p>
    <w:p w14:paraId="32BDE856">
      <w:pPr>
        <w:pStyle w:val="12"/>
        <w:spacing w:before="0" w:line="360" w:lineRule="auto"/>
        <w:ind w:right="0" w:firstLine="416" w:firstLineChars="200"/>
        <w:rPr>
          <w:sz w:val="21"/>
          <w:szCs w:val="21"/>
        </w:rPr>
      </w:pPr>
      <w:r>
        <w:rPr>
          <w:rFonts w:ascii="Calibri" w:hAnsi="Calibri" w:eastAsia="Calibri" w:cs="Calibri"/>
          <w:spacing w:val="-1"/>
          <w:sz w:val="21"/>
          <w:szCs w:val="21"/>
        </w:rPr>
        <w:t>2.</w:t>
      </w:r>
      <w:r>
        <w:rPr>
          <w:spacing w:val="-1"/>
          <w:sz w:val="21"/>
          <w:szCs w:val="21"/>
        </w:rPr>
        <w:t>工程地点</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 xml:space="preserve">   </w:t>
      </w:r>
    </w:p>
    <w:p w14:paraId="0C5109F7">
      <w:pPr>
        <w:pStyle w:val="20"/>
        <w:spacing w:before="0" w:beforeAutospacing="0" w:after="0" w:afterAutospacing="0" w:line="360" w:lineRule="auto"/>
        <w:ind w:firstLine="420" w:firstLineChars="200"/>
        <w:rPr>
          <w:rFonts w:hint="default" w:eastAsia="宋体"/>
          <w:sz w:val="21"/>
          <w:szCs w:val="21"/>
          <w:lang w:val="en-US" w:eastAsia="zh-CN"/>
        </w:rPr>
      </w:pPr>
      <w:r>
        <w:rPr>
          <w:rFonts w:hint="eastAsia" w:ascii="宋体" w:hAnsi="宋体" w:eastAsia="宋体" w:cs="宋体"/>
          <w:sz w:val="21"/>
          <w:szCs w:val="21"/>
        </w:rPr>
        <w:t>3.工程规模及特性：</w:t>
      </w:r>
      <w:r>
        <w:rPr>
          <w:rFonts w:hint="eastAsia" w:ascii="宋体" w:hAnsi="宋体" w:eastAsia="宋体" w:cs="宋体"/>
          <w:sz w:val="21"/>
          <w:szCs w:val="21"/>
          <w:u w:val="single"/>
          <w:lang w:val="en-US" w:eastAsia="zh-CN"/>
        </w:rPr>
        <w:t xml:space="preserve">                       </w:t>
      </w:r>
    </w:p>
    <w:p w14:paraId="5FFF5A4B">
      <w:pPr>
        <w:pStyle w:val="12"/>
        <w:spacing w:line="360" w:lineRule="auto"/>
        <w:ind w:firstLine="416" w:firstLineChars="200"/>
        <w:rPr>
          <w:rFonts w:hint="default" w:eastAsia="宋体"/>
          <w:color w:val="000000" w:themeColor="text1"/>
          <w:sz w:val="21"/>
          <w:szCs w:val="21"/>
          <w:u w:val="single"/>
          <w:lang w:val="en-US" w:eastAsia="zh-CN"/>
          <w14:textFill>
            <w14:solidFill>
              <w14:schemeClr w14:val="tx1"/>
            </w14:solidFill>
          </w14:textFill>
        </w:rPr>
      </w:pPr>
      <w:r>
        <w:rPr>
          <w:rFonts w:ascii="Calibri" w:hAnsi="Calibri" w:eastAsia="Calibri" w:cs="Calibri"/>
          <w:color w:val="000000" w:themeColor="text1"/>
          <w:spacing w:val="-1"/>
          <w:sz w:val="21"/>
          <w:szCs w:val="21"/>
          <w14:textFill>
            <w14:solidFill>
              <w14:schemeClr w14:val="tx1"/>
            </w14:solidFill>
          </w14:textFill>
        </w:rPr>
        <w:t>4.</w:t>
      </w:r>
      <w:r>
        <w:rPr>
          <w:color w:val="000000" w:themeColor="text1"/>
          <w:spacing w:val="-1"/>
          <w:sz w:val="21"/>
          <w:szCs w:val="21"/>
          <w14:textFill>
            <w14:solidFill>
              <w14:schemeClr w14:val="tx1"/>
            </w14:solidFill>
          </w14:textFill>
        </w:rPr>
        <w:t>工程总投资：</w:t>
      </w:r>
      <w:r>
        <w:rPr>
          <w:color w:val="000000" w:themeColor="text1"/>
          <w:spacing w:val="-46"/>
          <w:sz w:val="21"/>
          <w:szCs w:val="21"/>
          <w14:textFill>
            <w14:solidFill>
              <w14:schemeClr w14:val="tx1"/>
            </w14:solidFill>
          </w14:textFill>
        </w:rPr>
        <w:t xml:space="preserve"> </w:t>
      </w:r>
      <w:r>
        <w:rPr>
          <w:rFonts w:hint="eastAsia"/>
          <w:color w:val="000000" w:themeColor="text1"/>
          <w:spacing w:val="-1"/>
          <w:sz w:val="21"/>
          <w:szCs w:val="21"/>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u w:val="single"/>
          <w14:textFill>
            <w14:solidFill>
              <w14:schemeClr w14:val="tx1"/>
            </w14:solidFill>
          </w14:textFill>
        </w:rPr>
        <w:t xml:space="preserve">  </w:t>
      </w:r>
      <w:r>
        <w:rPr>
          <w:rFonts w:hint="eastAsia" w:ascii="Times New Roman" w:hAnsi="Times New Roman" w:cs="Times New Roman"/>
          <w:color w:val="000000" w:themeColor="text1"/>
          <w:spacing w:val="-1"/>
          <w:sz w:val="21"/>
          <w:szCs w:val="21"/>
          <w:u w:val="single"/>
          <w:lang w:val="en-US" w:eastAsia="zh-CN"/>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lang w:val="en-US" w:eastAsia="zh-CN"/>
          <w14:textFill>
            <w14:solidFill>
              <w14:schemeClr w14:val="tx1"/>
            </w14:solidFill>
          </w14:textFill>
        </w:rPr>
        <w:t xml:space="preserve">        </w:t>
      </w:r>
    </w:p>
    <w:p w14:paraId="44D1FDDD">
      <w:pPr>
        <w:pStyle w:val="12"/>
        <w:spacing w:line="360" w:lineRule="auto"/>
        <w:ind w:firstLine="416" w:firstLineChars="200"/>
        <w:rPr>
          <w:color w:val="000000" w:themeColor="text1"/>
          <w:sz w:val="21"/>
          <w:szCs w:val="21"/>
          <w14:textFill>
            <w14:solidFill>
              <w14:schemeClr w14:val="tx1"/>
            </w14:solidFill>
          </w14:textFill>
        </w:rPr>
      </w:pPr>
      <w:r>
        <w:rPr>
          <w:rFonts w:ascii="Calibri" w:hAnsi="Calibri" w:eastAsia="Calibri" w:cs="Calibri"/>
          <w:color w:val="000000" w:themeColor="text1"/>
          <w:spacing w:val="-1"/>
          <w:sz w:val="21"/>
          <w:szCs w:val="21"/>
          <w14:textFill>
            <w14:solidFill>
              <w14:schemeClr w14:val="tx1"/>
            </w14:solidFill>
          </w14:textFill>
        </w:rPr>
        <w:t>5.</w:t>
      </w:r>
      <w:r>
        <w:rPr>
          <w:color w:val="000000" w:themeColor="text1"/>
          <w:spacing w:val="-1"/>
          <w:sz w:val="21"/>
          <w:szCs w:val="21"/>
          <w14:textFill>
            <w14:solidFill>
              <w14:schemeClr w14:val="tx1"/>
            </w14:solidFill>
          </w14:textFill>
        </w:rPr>
        <w:t>工程总工期：</w:t>
      </w:r>
      <w:r>
        <w:rPr>
          <w:color w:val="000000" w:themeColor="text1"/>
          <w:spacing w:val="-1"/>
          <w:sz w:val="21"/>
          <w:szCs w:val="21"/>
          <w:u w:val="single"/>
          <w14:textFill>
            <w14:solidFill>
              <w14:schemeClr w14:val="tx1"/>
            </w14:solidFill>
          </w14:textFill>
        </w:rPr>
        <w:t xml:space="preserve">      日历天</w:t>
      </w:r>
      <w:r>
        <w:rPr>
          <w:color w:val="000000" w:themeColor="text1"/>
          <w:spacing w:val="1"/>
          <w:sz w:val="21"/>
          <w:szCs w:val="21"/>
          <w:u w:val="single"/>
          <w14:textFill>
            <w14:solidFill>
              <w14:schemeClr w14:val="tx1"/>
            </w14:solidFill>
          </w14:textFill>
        </w:rPr>
        <w:t xml:space="preserve">      </w:t>
      </w:r>
    </w:p>
    <w:p w14:paraId="423B8E8B">
      <w:pPr>
        <w:pStyle w:val="12"/>
        <w:spacing w:before="139" w:line="220" w:lineRule="auto"/>
        <w:ind w:left="491"/>
      </w:pPr>
      <w:r>
        <w:rPr>
          <w:spacing w:val="-1"/>
        </w:rPr>
        <w:t>（二）监理范围：按照专用合同条款中约定的范围承担监理业务。</w:t>
      </w:r>
    </w:p>
    <w:p w14:paraId="119D6E7E">
      <w:pPr>
        <w:pStyle w:val="12"/>
        <w:spacing w:before="182" w:line="220" w:lineRule="auto"/>
        <w:ind w:left="491"/>
      </w:pPr>
      <w:r>
        <w:rPr>
          <w:spacing w:val="-1"/>
        </w:rPr>
        <w:t>（三）监理内容：按照专用合同条款中约定的内容承担监理业务。</w:t>
      </w:r>
    </w:p>
    <w:p w14:paraId="1C69D078">
      <w:pPr>
        <w:pStyle w:val="12"/>
        <w:spacing w:before="179" w:line="220" w:lineRule="auto"/>
        <w:ind w:left="491"/>
      </w:pPr>
      <w:r>
        <w:rPr>
          <w:spacing w:val="-1"/>
        </w:rPr>
        <w:t>（四）工程建设监理的期限自合同签订之日起至竣工验收之日止。</w:t>
      </w:r>
    </w:p>
    <w:p w14:paraId="3F4DBD0F">
      <w:pPr>
        <w:pStyle w:val="12"/>
        <w:spacing w:before="182" w:line="289" w:lineRule="auto"/>
        <w:ind w:right="9" w:firstLine="490"/>
      </w:pPr>
      <w:r>
        <w:rPr>
          <w:spacing w:val="4"/>
        </w:rPr>
        <w:t>（五）建设监理报酬为人民币</w:t>
      </w:r>
      <w:r>
        <w:rPr>
          <w:spacing w:val="-110"/>
        </w:rPr>
        <w:t xml:space="preserve"> </w:t>
      </w:r>
      <w:r>
        <w:rPr>
          <w:spacing w:val="4"/>
          <w:u w:val="single" w:color="auto"/>
        </w:rPr>
        <w:t xml:space="preserve"> </w:t>
      </w:r>
      <w:r>
        <w:rPr>
          <w:rFonts w:hint="eastAsia"/>
          <w:spacing w:val="4"/>
          <w:u w:val="single" w:color="auto"/>
          <w:lang w:val="en-US" w:eastAsia="zh-CN"/>
        </w:rPr>
        <w:t xml:space="preserve">     </w:t>
      </w:r>
      <w:r>
        <w:rPr>
          <w:spacing w:val="4"/>
        </w:rPr>
        <w:t>元，由发包人按本专用合同条款约定的</w:t>
      </w:r>
      <w:r>
        <w:t xml:space="preserve"> </w:t>
      </w:r>
      <w:r>
        <w:rPr>
          <w:spacing w:val="-1"/>
        </w:rPr>
        <w:t>方式、时间向监理人结算支付。</w:t>
      </w:r>
    </w:p>
    <w:p w14:paraId="196F2B8C">
      <w:pPr>
        <w:pStyle w:val="12"/>
        <w:spacing w:before="182" w:line="324" w:lineRule="auto"/>
        <w:ind w:right="9" w:firstLine="491"/>
      </w:pPr>
      <w:r>
        <w:rPr>
          <w:spacing w:val="5"/>
        </w:rPr>
        <w:t>（六）因工程建设计划调整、较大的工程设计变更、不良地质条件</w:t>
      </w:r>
      <w:r>
        <w:rPr>
          <w:spacing w:val="4"/>
        </w:rPr>
        <w:t>等非监理人原</w:t>
      </w:r>
      <w:r>
        <w:t xml:space="preserve"> </w:t>
      </w:r>
      <w:r>
        <w:rPr>
          <w:spacing w:val="5"/>
        </w:rPr>
        <w:t>因致使本合同约定的服务范围、内容和服务形式发生较大变化时，委托人有</w:t>
      </w:r>
      <w:r>
        <w:rPr>
          <w:spacing w:val="4"/>
        </w:rPr>
        <w:t>权对监理</w:t>
      </w:r>
      <w:r>
        <w:t xml:space="preserve"> </w:t>
      </w:r>
      <w:r>
        <w:rPr>
          <w:spacing w:val="5"/>
        </w:rPr>
        <w:t>服务范围、内容和服务形式、监理服务期限进行调整，监理人不得拒绝，监</w:t>
      </w:r>
      <w:r>
        <w:rPr>
          <w:spacing w:val="4"/>
        </w:rPr>
        <w:t>理服务酬</w:t>
      </w:r>
      <w:r>
        <w:t xml:space="preserve"> </w:t>
      </w:r>
      <w:r>
        <w:rPr>
          <w:spacing w:val="-1"/>
        </w:rPr>
        <w:t>金按照实际完成的监理工作的正常服务费用计取。</w:t>
      </w:r>
    </w:p>
    <w:p w14:paraId="3E72F368">
      <w:pPr>
        <w:pStyle w:val="12"/>
        <w:spacing w:before="182" w:line="219" w:lineRule="auto"/>
        <w:ind w:left="491"/>
      </w:pPr>
      <w:r>
        <w:rPr>
          <w:spacing w:val="-1"/>
        </w:rPr>
        <w:t>（七）监理人投入本合同工作的监理组织机构概况</w:t>
      </w:r>
    </w:p>
    <w:p w14:paraId="02C229A2">
      <w:pPr>
        <w:pStyle w:val="12"/>
        <w:spacing w:before="181" w:line="219" w:lineRule="auto"/>
        <w:ind w:left="481"/>
      </w:pPr>
      <w:r>
        <w:rPr>
          <w:spacing w:val="-1"/>
        </w:rPr>
        <w:t>现场机构名称：</w:t>
      </w:r>
      <w:r>
        <w:rPr>
          <w:spacing w:val="-1"/>
          <w:u w:val="single" w:color="auto"/>
        </w:rPr>
        <w:t xml:space="preserve">  </w:t>
      </w:r>
      <w:r>
        <w:rPr>
          <w:rFonts w:hint="eastAsia"/>
          <w:spacing w:val="-1"/>
          <w:u w:val="single" w:color="auto"/>
          <w:lang w:val="en-US" w:eastAsia="zh-CN"/>
        </w:rPr>
        <w:t xml:space="preserve">                           </w:t>
      </w:r>
      <w:r>
        <w:rPr>
          <w:spacing w:val="18"/>
          <w:u w:val="single" w:color="auto"/>
        </w:rPr>
        <w:t xml:space="preserve"> </w:t>
      </w:r>
    </w:p>
    <w:p w14:paraId="632E885E">
      <w:pPr>
        <w:pStyle w:val="12"/>
        <w:spacing w:before="183" w:line="219" w:lineRule="auto"/>
        <w:ind w:left="482"/>
      </w:pPr>
      <w:r>
        <w:rPr>
          <w:spacing w:val="-1"/>
        </w:rPr>
        <w:t>总监理工程师：</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
        </w:rPr>
        <w:t>（附资历表）</w:t>
      </w:r>
    </w:p>
    <w:p w14:paraId="0C3AEF16">
      <w:pPr>
        <w:pStyle w:val="12"/>
        <w:spacing w:before="183" w:line="219" w:lineRule="auto"/>
        <w:ind w:left="481"/>
      </w:pPr>
      <w:r>
        <w:t>现场专业监理工程师：</w:t>
      </w:r>
      <w:r>
        <w:rPr>
          <w:u w:val="single" w:color="auto"/>
        </w:rPr>
        <w:t xml:space="preserve">    </w:t>
      </w:r>
      <w:r>
        <w:rPr>
          <w:rFonts w:hint="eastAsia"/>
          <w:u w:val="single" w:color="auto"/>
          <w:lang w:val="en-US" w:eastAsia="zh-CN"/>
        </w:rPr>
        <w:t xml:space="preserve">  </w:t>
      </w:r>
      <w:r>
        <w:rPr>
          <w:u w:val="single" w:color="auto"/>
        </w:rPr>
        <w:t xml:space="preserve">    </w:t>
      </w:r>
      <w:r>
        <w:rPr>
          <w:spacing w:val="-1"/>
          <w:u w:val="single" w:color="auto"/>
        </w:rPr>
        <w:t xml:space="preserve">       </w:t>
      </w:r>
      <w:r>
        <w:rPr>
          <w:spacing w:val="-1"/>
        </w:rPr>
        <w:t>（附资历表）</w:t>
      </w:r>
    </w:p>
    <w:p w14:paraId="54D94299">
      <w:pPr>
        <w:pStyle w:val="12"/>
        <w:spacing w:before="181" w:line="219" w:lineRule="auto"/>
        <w:ind w:left="481"/>
      </w:pPr>
      <w:r>
        <w:t>现场监理员：</w:t>
      </w:r>
      <w:r>
        <w:rPr>
          <w:u w:val="single" w:color="auto"/>
        </w:rPr>
        <w:t xml:space="preserve">         </w:t>
      </w:r>
      <w:r>
        <w:rPr>
          <w:rFonts w:hint="eastAsia"/>
          <w:u w:val="single" w:color="auto"/>
          <w:lang w:val="en-US" w:eastAsia="zh-CN"/>
        </w:rPr>
        <w:t xml:space="preserve">  </w:t>
      </w:r>
      <w:r>
        <w:rPr>
          <w:u w:val="single" w:color="auto"/>
        </w:rPr>
        <w:t xml:space="preserve">       </w:t>
      </w:r>
      <w:r>
        <w:rPr>
          <w:spacing w:val="-1"/>
          <w:u w:val="single" w:color="auto"/>
        </w:rPr>
        <w:t xml:space="preserve">    </w:t>
      </w:r>
      <w:r>
        <w:rPr>
          <w:spacing w:val="-1"/>
        </w:rPr>
        <w:t>（附监理员情况表）</w:t>
      </w:r>
    </w:p>
    <w:p w14:paraId="219EFFD4">
      <w:pPr>
        <w:pStyle w:val="12"/>
        <w:spacing w:before="183" w:line="358" w:lineRule="auto"/>
        <w:ind w:right="9" w:firstLine="480"/>
      </w:pPr>
      <w:r>
        <w:rPr>
          <w:spacing w:val="5"/>
        </w:rPr>
        <w:t xml:space="preserve">监理人必须按照投标文件的承诺组建现场监理机构，进驻现场开展监理工作，并 </w:t>
      </w:r>
      <w:r>
        <w:rPr>
          <w:spacing w:val="-1"/>
        </w:rPr>
        <w:t>配备相应的办公和生活设施；否则，将承担相应的违约责任。</w:t>
      </w:r>
    </w:p>
    <w:p w14:paraId="245CA548">
      <w:pPr>
        <w:pStyle w:val="12"/>
        <w:spacing w:before="3" w:line="359" w:lineRule="auto"/>
        <w:ind w:firstLine="480"/>
        <w:jc w:val="both"/>
      </w:pPr>
      <w:r>
        <w:rPr>
          <w:spacing w:val="-1"/>
        </w:rPr>
        <w:t>监理人向发包人承诺：监理人在工程监理工作中</w:t>
      </w:r>
      <w:r>
        <w:rPr>
          <w:spacing w:val="-2"/>
        </w:rPr>
        <w:t>如违反了相关法律、法规、规章、</w:t>
      </w:r>
      <w:r>
        <w:t xml:space="preserve"> </w:t>
      </w:r>
      <w:r>
        <w:rPr>
          <w:spacing w:val="5"/>
        </w:rPr>
        <w:t>规程等监理制度的，或者本项目被区级以上行政管理部门书面通报三次或</w:t>
      </w:r>
      <w:r>
        <w:rPr>
          <w:spacing w:val="4"/>
        </w:rPr>
        <w:t>以上的，或</w:t>
      </w:r>
      <w:r>
        <w:t xml:space="preserve"> </w:t>
      </w:r>
      <w:r>
        <w:rPr>
          <w:spacing w:val="5"/>
        </w:rPr>
        <w:t>者所承接的增城区不同水务项目一年内被区级以上行政管理部门书面通报</w:t>
      </w:r>
      <w:r>
        <w:rPr>
          <w:spacing w:val="4"/>
        </w:rPr>
        <w:t>三次或以上</w:t>
      </w:r>
      <w:r>
        <w:t xml:space="preserve"> </w:t>
      </w:r>
      <w:r>
        <w:rPr>
          <w:spacing w:val="5"/>
        </w:rPr>
        <w:t>的监理人无条件接受发包人上报行业行政管理部门停止监理人叁年内在广</w:t>
      </w:r>
      <w:r>
        <w:rPr>
          <w:spacing w:val="4"/>
        </w:rPr>
        <w:t>州市增城区</w:t>
      </w:r>
      <w:r>
        <w:t xml:space="preserve"> </w:t>
      </w:r>
      <w:r>
        <w:rPr>
          <w:spacing w:val="-2"/>
        </w:rPr>
        <w:t>各级财政投资的所有建设项目承接新的监理业务（含投标活动</w:t>
      </w:r>
      <w:r>
        <w:rPr>
          <w:spacing w:val="10"/>
        </w:rPr>
        <w:t>），</w:t>
      </w:r>
      <w:r>
        <w:rPr>
          <w:spacing w:val="-2"/>
        </w:rPr>
        <w:t>并向社会予以公开。</w:t>
      </w:r>
      <w:r>
        <w:rPr>
          <w:spacing w:val="1"/>
        </w:rPr>
        <w:t xml:space="preserve"> </w:t>
      </w:r>
      <w:r>
        <w:t>如属恶意煽动并造成社会不良影响的，发包人将提请</w:t>
      </w:r>
      <w:r>
        <w:rPr>
          <w:spacing w:val="-1"/>
        </w:rPr>
        <w:t>司法部门追究其法律责任。</w:t>
      </w:r>
    </w:p>
    <w:p w14:paraId="669A72BA">
      <w:pPr>
        <w:pStyle w:val="12"/>
        <w:spacing w:line="220" w:lineRule="auto"/>
        <w:ind w:left="483"/>
      </w:pPr>
      <w:r>
        <w:rPr>
          <w:spacing w:val="-1"/>
        </w:rPr>
        <w:t>二、建设监理合同的组成文件及解释顺序</w:t>
      </w:r>
    </w:p>
    <w:p w14:paraId="5A49F6BF">
      <w:pPr>
        <w:pStyle w:val="12"/>
        <w:spacing w:before="183" w:line="219" w:lineRule="auto"/>
        <w:ind w:left="491"/>
      </w:pPr>
      <w:r>
        <w:rPr>
          <w:spacing w:val="-3"/>
        </w:rPr>
        <w:t>（一）监理合同书</w:t>
      </w:r>
    </w:p>
    <w:p w14:paraId="0211A76E">
      <w:pPr>
        <w:pStyle w:val="12"/>
        <w:spacing w:before="181" w:line="219" w:lineRule="auto"/>
        <w:ind w:left="491"/>
      </w:pPr>
      <w:r>
        <w:rPr>
          <w:spacing w:val="-3"/>
        </w:rPr>
        <w:t>（二）监理中标通知书</w:t>
      </w:r>
    </w:p>
    <w:p w14:paraId="3F428936">
      <w:pPr>
        <w:pStyle w:val="12"/>
        <w:spacing w:before="180" w:line="220" w:lineRule="auto"/>
        <w:ind w:left="491"/>
      </w:pPr>
      <w:r>
        <w:rPr>
          <w:spacing w:val="-1"/>
        </w:rPr>
        <w:t>（三）监理实施过程中双方共同签署的补充文件</w:t>
      </w:r>
    </w:p>
    <w:p w14:paraId="3475E27F">
      <w:pPr>
        <w:pStyle w:val="12"/>
        <w:spacing w:before="182" w:line="220" w:lineRule="auto"/>
        <w:ind w:left="491"/>
      </w:pPr>
      <w:r>
        <w:rPr>
          <w:spacing w:val="-3"/>
        </w:rPr>
        <w:t>（四）专用合同条款</w:t>
      </w:r>
    </w:p>
    <w:p w14:paraId="299A3C5B">
      <w:pPr>
        <w:pStyle w:val="12"/>
        <w:spacing w:before="180" w:line="220" w:lineRule="auto"/>
        <w:ind w:left="491"/>
      </w:pPr>
      <w:r>
        <w:rPr>
          <w:spacing w:val="-3"/>
        </w:rPr>
        <w:t>（五）通用合同条款</w:t>
      </w:r>
    </w:p>
    <w:p w14:paraId="467E4275">
      <w:pPr>
        <w:pStyle w:val="12"/>
        <w:spacing w:before="182" w:line="219" w:lineRule="auto"/>
        <w:ind w:left="491"/>
        <w:rPr>
          <w:spacing w:val="-3"/>
        </w:rPr>
      </w:pPr>
      <w:r>
        <w:rPr>
          <w:spacing w:val="-3"/>
        </w:rPr>
        <w:t>（六）合同附件</w:t>
      </w:r>
    </w:p>
    <w:p w14:paraId="5F4DD0BB">
      <w:pPr>
        <w:pStyle w:val="12"/>
        <w:spacing w:before="179" w:line="290" w:lineRule="auto"/>
      </w:pPr>
      <w:r>
        <w:rPr>
          <w:spacing w:val="-3"/>
        </w:rPr>
        <w:t>（七）监理招标书</w:t>
      </w:r>
    </w:p>
    <w:p w14:paraId="45691AAB">
      <w:pPr>
        <w:pStyle w:val="12"/>
        <w:spacing w:before="180" w:line="220" w:lineRule="auto"/>
        <w:ind w:left="490"/>
      </w:pPr>
      <w:r>
        <w:rPr>
          <w:spacing w:val="-3"/>
        </w:rPr>
        <w:t>（八）监理投标文件</w:t>
      </w:r>
    </w:p>
    <w:p w14:paraId="67EDE06F">
      <w:pPr>
        <w:pStyle w:val="12"/>
        <w:spacing w:before="182" w:line="219" w:lineRule="auto"/>
        <w:ind w:left="490"/>
      </w:pPr>
      <w:r>
        <w:rPr>
          <w:spacing w:val="-2"/>
        </w:rPr>
        <w:t>（九）工程监理廉政责任书</w:t>
      </w:r>
    </w:p>
    <w:p w14:paraId="3F2981BC">
      <w:pPr>
        <w:pStyle w:val="12"/>
        <w:spacing w:before="181" w:line="349" w:lineRule="auto"/>
        <w:ind w:firstLine="480"/>
      </w:pPr>
      <w:r>
        <w:rPr>
          <w:spacing w:val="5"/>
        </w:rPr>
        <w:t>上列合同文件为一整体，代替了本合同书签署前双方签署的所有的协议、会谈记</w:t>
      </w:r>
      <w:r>
        <w:rPr>
          <w:spacing w:val="4"/>
        </w:rPr>
        <w:t xml:space="preserve"> </w:t>
      </w:r>
      <w:r>
        <w:rPr>
          <w:spacing w:val="-1"/>
        </w:rPr>
        <w:t>录以及有关相互承诺的一切文件。</w:t>
      </w:r>
    </w:p>
    <w:p w14:paraId="26B34257">
      <w:pPr>
        <w:pStyle w:val="12"/>
        <w:spacing w:before="2" w:line="299" w:lineRule="auto"/>
        <w:ind w:right="2" w:firstLine="533"/>
      </w:pPr>
      <w:r>
        <w:rPr>
          <w:spacing w:val="4"/>
        </w:rPr>
        <w:t>三、</w:t>
      </w:r>
      <w:r>
        <w:rPr>
          <w:spacing w:val="-45"/>
        </w:rPr>
        <w:t xml:space="preserve"> </w:t>
      </w:r>
      <w:r>
        <w:rPr>
          <w:spacing w:val="4"/>
        </w:rPr>
        <w:t>本合同书经双方法定代表人或其委托代理人签字</w:t>
      </w:r>
      <w:r>
        <w:rPr>
          <w:rFonts w:ascii="Calibri" w:hAnsi="Calibri" w:eastAsia="Calibri" w:cs="Calibri"/>
          <w:spacing w:val="4"/>
        </w:rPr>
        <w:t>(</w:t>
      </w:r>
      <w:r>
        <w:rPr>
          <w:spacing w:val="4"/>
        </w:rPr>
        <w:t>盖章</w:t>
      </w:r>
      <w:r>
        <w:rPr>
          <w:rFonts w:ascii="Calibri" w:hAnsi="Calibri" w:eastAsia="Calibri" w:cs="Calibri"/>
          <w:spacing w:val="4"/>
        </w:rPr>
        <w:t>)</w:t>
      </w:r>
      <w:r>
        <w:rPr>
          <w:spacing w:val="4"/>
        </w:rPr>
        <w:t>并加盖本单位公章后</w:t>
      </w:r>
      <w:r>
        <w:t xml:space="preserve"> </w:t>
      </w:r>
      <w:r>
        <w:rPr>
          <w:spacing w:val="-4"/>
        </w:rPr>
        <w:t>生效。</w:t>
      </w:r>
    </w:p>
    <w:p w14:paraId="497478F0">
      <w:pPr>
        <w:pStyle w:val="12"/>
        <w:spacing w:before="179" w:line="290" w:lineRule="auto"/>
        <w:ind w:firstLine="556"/>
        <w:rPr>
          <w:spacing w:val="-3"/>
        </w:rPr>
      </w:pPr>
      <w:r>
        <w:rPr>
          <w:spacing w:val="3"/>
        </w:rPr>
        <w:t>四、本合同书正本一式两份，具有同等法律效力，双方各执一份；副本六份</w:t>
      </w:r>
      <w:r>
        <w:rPr>
          <w:spacing w:val="2"/>
        </w:rPr>
        <w:t>，双</w:t>
      </w:r>
      <w:r>
        <w:t xml:space="preserve"> </w:t>
      </w:r>
      <w:r>
        <w:rPr>
          <w:spacing w:val="-2"/>
        </w:rPr>
        <w:t>方各执三份。</w:t>
      </w:r>
    </w:p>
    <w:p w14:paraId="3AF5B682">
      <w:pPr>
        <w:pStyle w:val="12"/>
        <w:spacing w:before="183" w:line="219" w:lineRule="auto"/>
        <w:ind w:firstLine="416" w:firstLineChars="200"/>
      </w:pPr>
      <w:r>
        <w:rPr>
          <w:spacing w:val="-1"/>
        </w:rPr>
        <w:t>发  包  人：</w:t>
      </w:r>
      <w:r>
        <w:rPr>
          <w:spacing w:val="-64"/>
        </w:rPr>
        <w:t xml:space="preserve"> </w:t>
      </w:r>
      <w:r>
        <w:rPr>
          <w:spacing w:val="-1"/>
        </w:rPr>
        <w:t xml:space="preserve">(盖章)                </w:t>
      </w:r>
      <w:r>
        <w:rPr>
          <w:rFonts w:hint="eastAsia"/>
          <w:spacing w:val="-1"/>
          <w:lang w:val="en-US" w:eastAsia="zh-CN"/>
        </w:rPr>
        <w:t xml:space="preserve">  </w:t>
      </w:r>
      <w:r>
        <w:rPr>
          <w:spacing w:val="-1"/>
        </w:rPr>
        <w:t xml:space="preserve">   </w:t>
      </w:r>
      <w:r>
        <w:rPr>
          <w:spacing w:val="-2"/>
        </w:rPr>
        <w:t>监  理</w:t>
      </w:r>
      <w:r>
        <w:rPr>
          <w:spacing w:val="11"/>
        </w:rPr>
        <w:t xml:space="preserve">  </w:t>
      </w:r>
      <w:r>
        <w:rPr>
          <w:spacing w:val="-2"/>
        </w:rPr>
        <w:t>人：</w:t>
      </w:r>
      <w:r>
        <w:rPr>
          <w:rFonts w:hint="eastAsia"/>
          <w:spacing w:val="-2"/>
          <w:lang w:val="en-US" w:eastAsia="zh-CN"/>
        </w:rPr>
        <w:t xml:space="preserve"> </w:t>
      </w:r>
      <w:r>
        <w:rPr>
          <w:spacing w:val="-3"/>
        </w:rPr>
        <w:t>(盖章)</w:t>
      </w:r>
    </w:p>
    <w:p w14:paraId="665FBFD5">
      <w:pPr>
        <w:pStyle w:val="12"/>
        <w:spacing w:before="181" w:line="220" w:lineRule="auto"/>
        <w:ind w:left="700"/>
      </w:pPr>
      <w:r>
        <w:rPr>
          <w:spacing w:val="-2"/>
        </w:rPr>
        <w:t>法定代表人或其：</w:t>
      </w:r>
      <w:r>
        <w:rPr>
          <w:spacing w:val="-64"/>
        </w:rPr>
        <w:t xml:space="preserve"> </w:t>
      </w:r>
      <w:r>
        <w:rPr>
          <w:spacing w:val="-2"/>
        </w:rPr>
        <w:t>(签名)               法定代表人或其</w:t>
      </w:r>
    </w:p>
    <w:p w14:paraId="09C984F8">
      <w:pPr>
        <w:pStyle w:val="12"/>
        <w:spacing w:before="182" w:line="220" w:lineRule="auto"/>
        <w:ind w:left="698"/>
      </w:pPr>
      <w:r>
        <w:rPr>
          <w:spacing w:val="-6"/>
        </w:rPr>
        <w:t>委托代理人：</w:t>
      </w:r>
      <w:r>
        <w:rPr>
          <w:spacing w:val="-69"/>
        </w:rPr>
        <w:t xml:space="preserve"> </w:t>
      </w:r>
      <w:r>
        <w:rPr>
          <w:spacing w:val="-6"/>
        </w:rPr>
        <w:t>(签名)</w:t>
      </w:r>
      <w:r>
        <w:t xml:space="preserve">                   </w:t>
      </w:r>
      <w:r>
        <w:rPr>
          <w:spacing w:val="-6"/>
        </w:rPr>
        <w:t>委托代理人：</w:t>
      </w:r>
      <w:r>
        <w:rPr>
          <w:spacing w:val="-61"/>
        </w:rPr>
        <w:t xml:space="preserve"> </w:t>
      </w:r>
      <w:r>
        <w:rPr>
          <w:spacing w:val="-6"/>
        </w:rPr>
        <w:t>(签名)</w:t>
      </w:r>
    </w:p>
    <w:p w14:paraId="26BCD791">
      <w:pPr>
        <w:pStyle w:val="12"/>
        <w:spacing w:before="182" w:line="220" w:lineRule="auto"/>
        <w:ind w:left="717"/>
        <w:rPr>
          <w:rFonts w:hint="eastAsia" w:eastAsia="宋体"/>
          <w:lang w:eastAsia="zh-CN"/>
        </w:rPr>
      </w:pPr>
      <w:r>
        <w:rPr>
          <w:spacing w:val="-4"/>
        </w:rPr>
        <w:t>邮</w:t>
      </w:r>
      <w:r>
        <w:rPr>
          <w:spacing w:val="1"/>
        </w:rPr>
        <w:t xml:space="preserve">      </w:t>
      </w:r>
      <w:r>
        <w:rPr>
          <w:spacing w:val="-4"/>
        </w:rPr>
        <w:t xml:space="preserve">编：                </w:t>
      </w:r>
      <w:r>
        <w:rPr>
          <w:spacing w:val="-5"/>
        </w:rPr>
        <w:t xml:space="preserve">          邮</w:t>
      </w:r>
      <w:r>
        <w:rPr>
          <w:spacing w:val="2"/>
        </w:rPr>
        <w:t xml:space="preserve">      </w:t>
      </w:r>
      <w:r>
        <w:rPr>
          <w:spacing w:val="-5"/>
        </w:rPr>
        <w:t>编：</w:t>
      </w:r>
      <w:r>
        <w:rPr>
          <w:rFonts w:hint="eastAsia"/>
          <w:spacing w:val="-5"/>
          <w:lang w:val="en-US" w:eastAsia="zh-CN"/>
        </w:rPr>
        <w:t xml:space="preserve"> </w:t>
      </w:r>
    </w:p>
    <w:p w14:paraId="0A194699">
      <w:pPr>
        <w:pStyle w:val="12"/>
        <w:spacing w:before="180" w:line="222" w:lineRule="auto"/>
        <w:ind w:left="727"/>
        <w:rPr>
          <w:rFonts w:hint="eastAsia" w:eastAsia="宋体"/>
          <w:lang w:eastAsia="zh-CN"/>
        </w:rPr>
      </w:pPr>
      <w:r>
        <w:rPr>
          <w:spacing w:val="-3"/>
        </w:rPr>
        <w:t>电</w:t>
      </w:r>
      <w:r>
        <w:rPr>
          <w:spacing w:val="1"/>
        </w:rPr>
        <w:t xml:space="preserve">      </w:t>
      </w:r>
      <w:r>
        <w:rPr>
          <w:spacing w:val="-3"/>
        </w:rPr>
        <w:t xml:space="preserve">话：                          电  </w:t>
      </w:r>
      <w:r>
        <w:rPr>
          <w:spacing w:val="-4"/>
        </w:rPr>
        <w:t xml:space="preserve">    话：</w:t>
      </w:r>
      <w:r>
        <w:rPr>
          <w:rFonts w:hint="eastAsia"/>
          <w:spacing w:val="-4"/>
          <w:lang w:val="en-US" w:eastAsia="zh-CN"/>
        </w:rPr>
        <w:t xml:space="preserve"> </w:t>
      </w:r>
    </w:p>
    <w:p w14:paraId="62605F1E">
      <w:pPr>
        <w:pStyle w:val="12"/>
        <w:spacing w:before="182" w:line="219" w:lineRule="auto"/>
        <w:ind w:left="491"/>
        <w:rPr>
          <w:spacing w:val="-1"/>
        </w:rPr>
      </w:pPr>
      <w:r>
        <w:rPr>
          <w:spacing w:val="-1"/>
        </w:rPr>
        <w:t>传      真：</w:t>
      </w:r>
      <w:r>
        <w:t xml:space="preserve">                         </w:t>
      </w:r>
      <w:r>
        <w:rPr>
          <w:rFonts w:hint="eastAsia"/>
          <w:lang w:val="en-US" w:eastAsia="zh-CN"/>
        </w:rPr>
        <w:t xml:space="preserve">  </w:t>
      </w:r>
      <w:r>
        <w:rPr>
          <w:spacing w:val="-1"/>
        </w:rPr>
        <w:t>传</w:t>
      </w:r>
      <w:r>
        <w:rPr>
          <w:spacing w:val="3"/>
        </w:rPr>
        <w:t xml:space="preserve">      </w:t>
      </w:r>
      <w:r>
        <w:rPr>
          <w:spacing w:val="-1"/>
        </w:rPr>
        <w:t>真：</w:t>
      </w:r>
    </w:p>
    <w:p w14:paraId="27AF5DE8">
      <w:pPr>
        <w:pStyle w:val="12"/>
        <w:spacing w:before="181" w:line="359" w:lineRule="auto"/>
        <w:ind w:firstLine="4028" w:firstLineChars="1900"/>
        <w:rPr>
          <w:rFonts w:hint="eastAsia" w:eastAsia="宋体"/>
          <w:lang w:val="en-US" w:eastAsia="zh-CN"/>
        </w:rPr>
      </w:pPr>
      <w:r>
        <w:rPr>
          <w:spacing w:val="1"/>
        </w:rPr>
        <w:t>开 户 银行：</w:t>
      </w:r>
      <w:r>
        <w:rPr>
          <w:rFonts w:hint="eastAsia"/>
          <w:spacing w:val="1"/>
          <w:lang w:val="en-US" w:eastAsia="zh-CN"/>
        </w:rPr>
        <w:t xml:space="preserve"> </w:t>
      </w:r>
    </w:p>
    <w:p w14:paraId="494C6023">
      <w:pPr>
        <w:pStyle w:val="12"/>
        <w:spacing w:line="221" w:lineRule="auto"/>
        <w:ind w:firstLine="4080" w:firstLineChars="2000"/>
        <w:rPr>
          <w:rFonts w:hint="eastAsia" w:eastAsia="宋体"/>
          <w:lang w:eastAsia="zh-CN"/>
        </w:rPr>
      </w:pPr>
      <w:r>
        <w:rPr>
          <w:spacing w:val="-3"/>
        </w:rPr>
        <w:t>账</w:t>
      </w:r>
      <w:r>
        <w:rPr>
          <w:spacing w:val="4"/>
        </w:rPr>
        <w:t xml:space="preserve">      </w:t>
      </w:r>
      <w:r>
        <w:rPr>
          <w:spacing w:val="-3"/>
        </w:rPr>
        <w:t>号：</w:t>
      </w:r>
      <w:r>
        <w:rPr>
          <w:rFonts w:hint="eastAsia"/>
          <w:spacing w:val="-3"/>
          <w:lang w:val="en-US" w:eastAsia="zh-CN"/>
        </w:rPr>
        <w:t xml:space="preserve"> </w:t>
      </w:r>
    </w:p>
    <w:p w14:paraId="17DF02C2">
      <w:pPr>
        <w:pStyle w:val="12"/>
        <w:spacing w:before="182" w:line="219" w:lineRule="auto"/>
        <w:ind w:left="491"/>
        <w:rPr>
          <w:spacing w:val="-1"/>
        </w:rPr>
        <w:sectPr>
          <w:footerReference r:id="rId9" w:type="default"/>
          <w:pgSz w:w="11905" w:h="16839"/>
          <w:pgMar w:top="1367" w:right="1407" w:bottom="1019" w:left="1425" w:header="0" w:footer="742" w:gutter="0"/>
          <w:cols w:space="720" w:num="1"/>
        </w:sectPr>
      </w:pPr>
    </w:p>
    <w:p w14:paraId="72BB66EF">
      <w:pPr>
        <w:pStyle w:val="12"/>
        <w:spacing w:before="179" w:line="219" w:lineRule="auto"/>
        <w:ind w:left="697"/>
        <w:rPr>
          <w:rFonts w:hint="eastAsia" w:eastAsia="宋体"/>
          <w:lang w:eastAsia="zh-CN"/>
        </w:rPr>
      </w:pPr>
      <w:r>
        <w:rPr>
          <w:rFonts w:hint="eastAsia"/>
          <w:spacing w:val="-1"/>
          <w:lang w:val="en-US" w:eastAsia="zh-CN"/>
        </w:rPr>
        <w:t xml:space="preserve"> </w:t>
      </w:r>
    </w:p>
    <w:p w14:paraId="45B93D0E">
      <w:pPr>
        <w:pStyle w:val="12"/>
        <w:spacing w:before="64" w:line="225" w:lineRule="auto"/>
        <w:ind w:left="3054"/>
        <w:outlineLvl w:val="0"/>
        <w:rPr>
          <w:sz w:val="31"/>
          <w:szCs w:val="31"/>
        </w:rPr>
      </w:pPr>
      <w:r>
        <w:rPr>
          <w:b/>
          <w:bCs/>
          <w:spacing w:val="5"/>
          <w:sz w:val="31"/>
          <w:szCs w:val="31"/>
        </w:rPr>
        <w:t>第一部分</w:t>
      </w:r>
      <w:r>
        <w:rPr>
          <w:spacing w:val="100"/>
          <w:sz w:val="31"/>
          <w:szCs w:val="31"/>
        </w:rPr>
        <w:t xml:space="preserve"> </w:t>
      </w:r>
      <w:r>
        <w:rPr>
          <w:b/>
          <w:bCs/>
          <w:spacing w:val="5"/>
          <w:sz w:val="31"/>
          <w:szCs w:val="31"/>
        </w:rPr>
        <w:t>通用合同条款</w:t>
      </w:r>
    </w:p>
    <w:p w14:paraId="43CC5317">
      <w:pPr>
        <w:pStyle w:val="12"/>
        <w:spacing w:before="251" w:line="221" w:lineRule="auto"/>
        <w:ind w:left="3489"/>
        <w:outlineLvl w:val="0"/>
        <w:rPr>
          <w:sz w:val="28"/>
          <w:szCs w:val="28"/>
        </w:rPr>
      </w:pPr>
      <w:r>
        <w:rPr>
          <w:spacing w:val="-2"/>
          <w:sz w:val="28"/>
          <w:szCs w:val="28"/>
        </w:rPr>
        <w:t>词语含义及适用语言</w:t>
      </w:r>
    </w:p>
    <w:p w14:paraId="7331773E">
      <w:pPr>
        <w:pStyle w:val="12"/>
        <w:spacing w:before="233" w:line="219" w:lineRule="auto"/>
        <w:ind w:left="363"/>
        <w:outlineLvl w:val="1"/>
      </w:pPr>
      <w:r>
        <w:rPr>
          <w:b/>
          <w:bCs/>
          <w:spacing w:val="-1"/>
        </w:rPr>
        <w:t>第一条</w:t>
      </w:r>
      <w:r>
        <w:rPr>
          <w:spacing w:val="-44"/>
        </w:rPr>
        <w:t xml:space="preserve"> </w:t>
      </w:r>
      <w:r>
        <w:rPr>
          <w:spacing w:val="-1"/>
        </w:rPr>
        <w:t>下列名词和用语，除上下文另有约定外，具有本条所赋予的含义：</w:t>
      </w:r>
    </w:p>
    <w:p w14:paraId="38680BCC">
      <w:pPr>
        <w:pStyle w:val="12"/>
        <w:spacing w:before="102" w:line="260" w:lineRule="auto"/>
        <w:ind w:left="1" w:right="176" w:firstLine="482"/>
      </w:pPr>
      <w:r>
        <w:rPr>
          <w:spacing w:val="6"/>
        </w:rPr>
        <w:t>一、</w:t>
      </w:r>
      <w:r>
        <w:rPr>
          <w:rFonts w:ascii="Times New Roman" w:hAnsi="Times New Roman" w:eastAsia="Times New Roman" w:cs="Times New Roman"/>
          <w:spacing w:val="6"/>
        </w:rPr>
        <w:t>“</w:t>
      </w:r>
      <w:r>
        <w:rPr>
          <w:spacing w:val="6"/>
        </w:rPr>
        <w:t>委托人</w:t>
      </w:r>
      <w:r>
        <w:rPr>
          <w:rFonts w:ascii="Times New Roman" w:hAnsi="Times New Roman" w:eastAsia="Times New Roman" w:cs="Times New Roman"/>
          <w:spacing w:val="6"/>
        </w:rPr>
        <w:t>”</w:t>
      </w:r>
      <w:r>
        <w:rPr>
          <w:spacing w:val="6"/>
        </w:rPr>
        <w:t>指承担工程建设项目直接建设管理责任</w:t>
      </w:r>
      <w:r>
        <w:rPr>
          <w:spacing w:val="5"/>
        </w:rPr>
        <w:t>，委托监理业务的法人或其</w:t>
      </w:r>
      <w:r>
        <w:t xml:space="preserve"> </w:t>
      </w:r>
      <w:r>
        <w:rPr>
          <w:spacing w:val="-2"/>
        </w:rPr>
        <w:t>合法继承人。</w:t>
      </w:r>
    </w:p>
    <w:p w14:paraId="176589EE">
      <w:pPr>
        <w:pStyle w:val="12"/>
        <w:spacing w:before="103" w:line="219" w:lineRule="auto"/>
        <w:ind w:left="484"/>
      </w:pPr>
      <w:r>
        <w:rPr>
          <w:spacing w:val="-1"/>
        </w:rPr>
        <w:t>二、</w:t>
      </w:r>
      <w:r>
        <w:rPr>
          <w:rFonts w:ascii="Times New Roman" w:hAnsi="Times New Roman" w:eastAsia="Times New Roman" w:cs="Times New Roman"/>
          <w:spacing w:val="-1"/>
        </w:rPr>
        <w:t>“</w:t>
      </w:r>
      <w:r>
        <w:rPr>
          <w:spacing w:val="-1"/>
        </w:rPr>
        <w:t>监理人</w:t>
      </w:r>
      <w:r>
        <w:rPr>
          <w:rFonts w:ascii="Times New Roman" w:hAnsi="Times New Roman" w:eastAsia="Times New Roman" w:cs="Times New Roman"/>
          <w:spacing w:val="-1"/>
        </w:rPr>
        <w:t>”</w:t>
      </w:r>
      <w:r>
        <w:rPr>
          <w:spacing w:val="-1"/>
        </w:rPr>
        <w:t>指受委托人委托，提供监理服务的法人或其合法继承人。</w:t>
      </w:r>
    </w:p>
    <w:p w14:paraId="7D08AFE4">
      <w:pPr>
        <w:pStyle w:val="12"/>
        <w:spacing w:before="69" w:line="273" w:lineRule="auto"/>
        <w:ind w:left="5" w:right="176" w:firstLine="475"/>
      </w:pPr>
      <w:r>
        <w:rPr>
          <w:spacing w:val="1"/>
        </w:rPr>
        <w:t>三、</w:t>
      </w:r>
      <w:r>
        <w:rPr>
          <w:rFonts w:ascii="Times New Roman" w:hAnsi="Times New Roman" w:eastAsia="Times New Roman" w:cs="Times New Roman"/>
          <w:spacing w:val="1"/>
        </w:rPr>
        <w:t>“</w:t>
      </w:r>
      <w:r>
        <w:rPr>
          <w:spacing w:val="1"/>
        </w:rPr>
        <w:t>承包人</w:t>
      </w:r>
      <w:r>
        <w:rPr>
          <w:rFonts w:ascii="Times New Roman" w:hAnsi="Times New Roman" w:eastAsia="Times New Roman" w:cs="Times New Roman"/>
          <w:spacing w:val="1"/>
        </w:rPr>
        <w:t>”</w:t>
      </w:r>
      <w:r>
        <w:rPr>
          <w:spacing w:val="1"/>
        </w:rPr>
        <w:t>指与委托人</w:t>
      </w:r>
      <w:r>
        <w:rPr>
          <w:rFonts w:ascii="Times New Roman" w:hAnsi="Times New Roman" w:eastAsia="Times New Roman" w:cs="Times New Roman"/>
          <w:spacing w:val="1"/>
        </w:rPr>
        <w:t>(</w:t>
      </w:r>
      <w:r>
        <w:rPr>
          <w:spacing w:val="1"/>
        </w:rPr>
        <w:t>发包人</w:t>
      </w:r>
      <w:r>
        <w:rPr>
          <w:rFonts w:ascii="Times New Roman" w:hAnsi="Times New Roman" w:eastAsia="Times New Roman" w:cs="Times New Roman"/>
          <w:spacing w:val="1"/>
        </w:rPr>
        <w:t>)</w:t>
      </w:r>
      <w:r>
        <w:rPr>
          <w:spacing w:val="1"/>
        </w:rPr>
        <w:t>签订了施工合同，承担工程施工的法人或其合法</w:t>
      </w:r>
      <w:r>
        <w:rPr>
          <w:spacing w:val="10"/>
        </w:rPr>
        <w:t xml:space="preserve"> </w:t>
      </w:r>
      <w:r>
        <w:rPr>
          <w:spacing w:val="-4"/>
        </w:rPr>
        <w:t>继承人。</w:t>
      </w:r>
    </w:p>
    <w:p w14:paraId="3D418582">
      <w:pPr>
        <w:pStyle w:val="12"/>
        <w:spacing w:before="104" w:line="260" w:lineRule="auto"/>
        <w:ind w:left="4" w:right="176" w:firstLine="498"/>
      </w:pPr>
      <w:r>
        <w:rPr>
          <w:spacing w:val="5"/>
        </w:rPr>
        <w:t>四、</w:t>
      </w:r>
      <w:r>
        <w:rPr>
          <w:rFonts w:ascii="Times New Roman" w:hAnsi="Times New Roman" w:eastAsia="Times New Roman" w:cs="Times New Roman"/>
          <w:spacing w:val="5"/>
        </w:rPr>
        <w:t>“</w:t>
      </w:r>
      <w:r>
        <w:rPr>
          <w:spacing w:val="5"/>
        </w:rPr>
        <w:t>监理机构</w:t>
      </w:r>
      <w:r>
        <w:rPr>
          <w:rFonts w:ascii="Times New Roman" w:hAnsi="Times New Roman" w:eastAsia="Times New Roman" w:cs="Times New Roman"/>
          <w:spacing w:val="5"/>
        </w:rPr>
        <w:t>”</w:t>
      </w:r>
      <w:r>
        <w:rPr>
          <w:spacing w:val="5"/>
        </w:rPr>
        <w:t xml:space="preserve">指监理人派驻工程现场直接开展监理业务的组织，由总监理工程 </w:t>
      </w:r>
      <w:r>
        <w:rPr>
          <w:spacing w:val="-1"/>
        </w:rPr>
        <w:t>师、监理工程师和监理员以及其他人员组成。</w:t>
      </w:r>
    </w:p>
    <w:p w14:paraId="619B5FF8">
      <w:pPr>
        <w:pStyle w:val="12"/>
        <w:spacing w:before="102" w:line="221" w:lineRule="auto"/>
        <w:ind w:left="484"/>
      </w:pPr>
      <w:r>
        <w:rPr>
          <w:spacing w:val="-1"/>
        </w:rPr>
        <w:t>五、</w:t>
      </w:r>
      <w:r>
        <w:rPr>
          <w:rFonts w:ascii="Times New Roman" w:hAnsi="Times New Roman" w:eastAsia="Times New Roman" w:cs="Times New Roman"/>
          <w:spacing w:val="-1"/>
        </w:rPr>
        <w:t>“</w:t>
      </w:r>
      <w:r>
        <w:rPr>
          <w:spacing w:val="-1"/>
        </w:rPr>
        <w:t>监理项目</w:t>
      </w:r>
      <w:r>
        <w:rPr>
          <w:rFonts w:ascii="Times New Roman" w:hAnsi="Times New Roman" w:eastAsia="Times New Roman" w:cs="Times New Roman"/>
          <w:spacing w:val="-1"/>
        </w:rPr>
        <w:t>”</w:t>
      </w:r>
      <w:r>
        <w:rPr>
          <w:spacing w:val="-1"/>
        </w:rPr>
        <w:t>是指委托人委托监理人实施建设监理的工程建设项目。</w:t>
      </w:r>
    </w:p>
    <w:p w14:paraId="0251D280">
      <w:pPr>
        <w:pStyle w:val="12"/>
        <w:spacing w:before="101" w:line="260" w:lineRule="auto"/>
        <w:ind w:right="176" w:firstLine="481"/>
      </w:pPr>
      <w:r>
        <w:rPr>
          <w:spacing w:val="6"/>
        </w:rPr>
        <w:t>六、</w:t>
      </w:r>
      <w:r>
        <w:rPr>
          <w:rFonts w:ascii="Times New Roman" w:hAnsi="Times New Roman" w:eastAsia="Times New Roman" w:cs="Times New Roman"/>
          <w:spacing w:val="6"/>
        </w:rPr>
        <w:t>“</w:t>
      </w:r>
      <w:r>
        <w:rPr>
          <w:spacing w:val="6"/>
        </w:rPr>
        <w:t>服务</w:t>
      </w:r>
      <w:r>
        <w:rPr>
          <w:rFonts w:ascii="Times New Roman" w:hAnsi="Times New Roman" w:eastAsia="Times New Roman" w:cs="Times New Roman"/>
          <w:spacing w:val="6"/>
        </w:rPr>
        <w:t>”</w:t>
      </w:r>
      <w:r>
        <w:rPr>
          <w:spacing w:val="6"/>
        </w:rPr>
        <w:t>是指监理人根据监理合同约定所承担的各项工</w:t>
      </w:r>
      <w:r>
        <w:rPr>
          <w:spacing w:val="5"/>
        </w:rPr>
        <w:t>作，包括正常服务和附</w:t>
      </w:r>
      <w:r>
        <w:t xml:space="preserve"> </w:t>
      </w:r>
      <w:r>
        <w:rPr>
          <w:spacing w:val="-3"/>
        </w:rPr>
        <w:t>加服务。</w:t>
      </w:r>
    </w:p>
    <w:p w14:paraId="26415930">
      <w:pPr>
        <w:pStyle w:val="12"/>
        <w:spacing w:before="103" w:line="219" w:lineRule="auto"/>
        <w:ind w:left="480"/>
      </w:pPr>
      <w:r>
        <w:t>七、</w:t>
      </w:r>
      <w:r>
        <w:rPr>
          <w:rFonts w:ascii="Times New Roman" w:hAnsi="Times New Roman" w:eastAsia="Times New Roman" w:cs="Times New Roman"/>
        </w:rPr>
        <w:t>“</w:t>
      </w:r>
      <w:r>
        <w:t>正常服务</w:t>
      </w:r>
      <w:r>
        <w:rPr>
          <w:rFonts w:ascii="Times New Roman" w:hAnsi="Times New Roman" w:eastAsia="Times New Roman" w:cs="Times New Roman"/>
        </w:rPr>
        <w:t>”</w:t>
      </w:r>
      <w:r>
        <w:t>指监理人按照合同约定的监理范围、内容和</w:t>
      </w:r>
      <w:r>
        <w:rPr>
          <w:spacing w:val="-1"/>
        </w:rPr>
        <w:t>期限所提供的服务。</w:t>
      </w:r>
    </w:p>
    <w:p w14:paraId="6A76531E">
      <w:pPr>
        <w:pStyle w:val="12"/>
        <w:spacing w:before="104" w:line="219" w:lineRule="auto"/>
        <w:ind w:left="484"/>
      </w:pPr>
      <w:r>
        <w:rPr>
          <w:spacing w:val="-1"/>
        </w:rPr>
        <w:t>八、</w:t>
      </w:r>
      <w:r>
        <w:rPr>
          <w:rFonts w:ascii="Times New Roman" w:hAnsi="Times New Roman" w:eastAsia="Times New Roman" w:cs="Times New Roman"/>
          <w:spacing w:val="-1"/>
        </w:rPr>
        <w:t>“</w:t>
      </w:r>
      <w:r>
        <w:rPr>
          <w:spacing w:val="-1"/>
        </w:rPr>
        <w:t>附加服务</w:t>
      </w:r>
      <w:r>
        <w:rPr>
          <w:rFonts w:ascii="Times New Roman" w:hAnsi="Times New Roman" w:eastAsia="Times New Roman" w:cs="Times New Roman"/>
          <w:spacing w:val="-1"/>
        </w:rPr>
        <w:t>”</w:t>
      </w:r>
      <w:r>
        <w:rPr>
          <w:spacing w:val="-1"/>
        </w:rPr>
        <w:t>指监理人为委托人提供正常服务以外的服务。</w:t>
      </w:r>
    </w:p>
    <w:p w14:paraId="151E0CD3">
      <w:pPr>
        <w:pStyle w:val="12"/>
        <w:spacing w:before="104" w:line="259" w:lineRule="auto"/>
        <w:ind w:right="178" w:firstLine="486"/>
      </w:pPr>
      <w:r>
        <w:t>九、</w:t>
      </w:r>
      <w:r>
        <w:rPr>
          <w:rFonts w:ascii="Times New Roman" w:hAnsi="Times New Roman" w:eastAsia="Times New Roman" w:cs="Times New Roman"/>
        </w:rPr>
        <w:t>“</w:t>
      </w:r>
      <w:r>
        <w:t>服务酬金</w:t>
      </w:r>
      <w:r>
        <w:rPr>
          <w:rFonts w:ascii="Times New Roman" w:hAnsi="Times New Roman" w:eastAsia="Times New Roman" w:cs="Times New Roman"/>
        </w:rPr>
        <w:t>”</w:t>
      </w:r>
      <w:r>
        <w:t>指本合同中监理人完成</w:t>
      </w:r>
      <w:r>
        <w:rPr>
          <w:rFonts w:ascii="Times New Roman" w:hAnsi="Times New Roman" w:eastAsia="Times New Roman" w:cs="Times New Roman"/>
        </w:rPr>
        <w:t>“</w:t>
      </w:r>
      <w:r>
        <w:t>正常服务</w:t>
      </w:r>
      <w:r>
        <w:rPr>
          <w:rFonts w:ascii="Times New Roman" w:hAnsi="Times New Roman" w:eastAsia="Times New Roman" w:cs="Times New Roman"/>
        </w:rPr>
        <w:t>”</w:t>
      </w:r>
      <w:r>
        <w:rPr>
          <w:rFonts w:ascii="Times New Roman" w:hAnsi="Times New Roman" w:eastAsia="Times New Roman" w:cs="Times New Roman"/>
          <w:spacing w:val="-32"/>
        </w:rPr>
        <w:t xml:space="preserve"> </w:t>
      </w:r>
      <w:r>
        <w:t>、</w:t>
      </w:r>
      <w:r>
        <w:rPr>
          <w:rFonts w:ascii="Times New Roman" w:hAnsi="Times New Roman" w:eastAsia="Times New Roman" w:cs="Times New Roman"/>
          <w:spacing w:val="-1"/>
        </w:rPr>
        <w:t>“</w:t>
      </w:r>
      <w:r>
        <w:rPr>
          <w:spacing w:val="-1"/>
        </w:rPr>
        <w:t>附加服务</w:t>
      </w:r>
      <w:r>
        <w:rPr>
          <w:rFonts w:ascii="Times New Roman" w:hAnsi="Times New Roman" w:eastAsia="Times New Roman" w:cs="Times New Roman"/>
          <w:spacing w:val="-1"/>
        </w:rPr>
        <w:t>”</w:t>
      </w:r>
      <w:r>
        <w:rPr>
          <w:spacing w:val="-1"/>
        </w:rPr>
        <w:t>应得到的正常服务</w:t>
      </w:r>
      <w:r>
        <w:t xml:space="preserve"> </w:t>
      </w:r>
      <w:r>
        <w:rPr>
          <w:spacing w:val="-1"/>
        </w:rPr>
        <w:t>酬金和附加服务酬金。</w:t>
      </w:r>
    </w:p>
    <w:p w14:paraId="393B5CA4">
      <w:pPr>
        <w:pStyle w:val="12"/>
        <w:spacing w:before="104" w:line="221" w:lineRule="auto"/>
        <w:ind w:left="481"/>
      </w:pPr>
      <w:r>
        <w:rPr>
          <w:spacing w:val="-1"/>
        </w:rPr>
        <w:t>十、</w:t>
      </w:r>
      <w:r>
        <w:rPr>
          <w:rFonts w:ascii="Times New Roman" w:hAnsi="Times New Roman" w:eastAsia="Times New Roman" w:cs="Times New Roman"/>
          <w:spacing w:val="-1"/>
        </w:rPr>
        <w:t>“</w:t>
      </w:r>
      <w:r>
        <w:rPr>
          <w:spacing w:val="-1"/>
        </w:rPr>
        <w:t>天</w:t>
      </w:r>
      <w:r>
        <w:rPr>
          <w:rFonts w:ascii="Times New Roman" w:hAnsi="Times New Roman" w:eastAsia="Times New Roman" w:cs="Times New Roman"/>
          <w:spacing w:val="-1"/>
        </w:rPr>
        <w:t>”</w:t>
      </w:r>
      <w:r>
        <w:rPr>
          <w:spacing w:val="-1"/>
        </w:rPr>
        <w:t>指日历天。</w:t>
      </w:r>
    </w:p>
    <w:p w14:paraId="6EB66217">
      <w:pPr>
        <w:pStyle w:val="12"/>
        <w:spacing w:before="103" w:line="221" w:lineRule="auto"/>
        <w:ind w:left="481"/>
      </w:pPr>
      <w:r>
        <w:rPr>
          <w:spacing w:val="-1"/>
        </w:rPr>
        <w:t>十一、</w:t>
      </w:r>
      <w:r>
        <w:rPr>
          <w:rFonts w:ascii="Times New Roman" w:hAnsi="Times New Roman" w:eastAsia="Times New Roman" w:cs="Times New Roman"/>
          <w:spacing w:val="-1"/>
        </w:rPr>
        <w:t>“</w:t>
      </w:r>
      <w:r>
        <w:rPr>
          <w:spacing w:val="-1"/>
        </w:rPr>
        <w:t>现场</w:t>
      </w:r>
      <w:r>
        <w:rPr>
          <w:rFonts w:ascii="Times New Roman" w:hAnsi="Times New Roman" w:eastAsia="Times New Roman" w:cs="Times New Roman"/>
          <w:spacing w:val="-1"/>
        </w:rPr>
        <w:t>”</w:t>
      </w:r>
      <w:r>
        <w:rPr>
          <w:spacing w:val="-1"/>
        </w:rPr>
        <w:t>指监理项目实施的场所。</w:t>
      </w:r>
    </w:p>
    <w:p w14:paraId="259CD61D">
      <w:pPr>
        <w:pStyle w:val="12"/>
        <w:spacing w:before="103" w:line="219" w:lineRule="auto"/>
        <w:ind w:left="363"/>
        <w:outlineLvl w:val="1"/>
      </w:pPr>
      <w:r>
        <w:rPr>
          <w:b/>
          <w:bCs/>
          <w:spacing w:val="-2"/>
        </w:rPr>
        <w:t>第二条</w:t>
      </w:r>
      <w:r>
        <w:rPr>
          <w:spacing w:val="-38"/>
        </w:rPr>
        <w:t xml:space="preserve"> </w:t>
      </w:r>
      <w:r>
        <w:rPr>
          <w:spacing w:val="-2"/>
        </w:rPr>
        <w:t>本合同适用的语言文字为汉语文字。</w:t>
      </w:r>
    </w:p>
    <w:p w14:paraId="33950B4A">
      <w:pPr>
        <w:pStyle w:val="12"/>
        <w:spacing w:before="229" w:line="220" w:lineRule="auto"/>
        <w:ind w:left="4189"/>
        <w:outlineLvl w:val="0"/>
        <w:rPr>
          <w:sz w:val="28"/>
          <w:szCs w:val="28"/>
        </w:rPr>
      </w:pPr>
      <w:r>
        <w:rPr>
          <w:spacing w:val="-3"/>
          <w:sz w:val="28"/>
          <w:szCs w:val="28"/>
        </w:rPr>
        <w:t>监理依据</w:t>
      </w:r>
    </w:p>
    <w:p w14:paraId="34F42C5B">
      <w:pPr>
        <w:pStyle w:val="12"/>
        <w:spacing w:before="236" w:line="300" w:lineRule="auto"/>
        <w:ind w:right="167" w:firstLine="363"/>
        <w:jc w:val="both"/>
      </w:pPr>
      <w:r>
        <w:rPr>
          <w:b/>
          <w:bCs/>
          <w:spacing w:val="-1"/>
        </w:rPr>
        <w:t>第三条</w:t>
      </w:r>
      <w:r>
        <w:rPr>
          <w:spacing w:val="-33"/>
        </w:rPr>
        <w:t xml:space="preserve"> </w:t>
      </w:r>
      <w:r>
        <w:rPr>
          <w:spacing w:val="-1"/>
        </w:rPr>
        <w:t>监理的依据是有关工程建设的法律、法规、规章和规范性文件；工程建设强</w:t>
      </w:r>
      <w:r>
        <w:t xml:space="preserve"> </w:t>
      </w:r>
      <w:r>
        <w:rPr>
          <w:spacing w:val="-1"/>
        </w:rPr>
        <w:t>制性条文、有关技术标准；经批准的工程建设项目设计文件</w:t>
      </w:r>
      <w:r>
        <w:rPr>
          <w:spacing w:val="-2"/>
        </w:rPr>
        <w:t>及其相关文件；监理合同、</w:t>
      </w:r>
      <w:r>
        <w:t xml:space="preserve"> </w:t>
      </w:r>
      <w:r>
        <w:rPr>
          <w:spacing w:val="-1"/>
        </w:rPr>
        <w:t>施工合同等合同文件。具体内容在专用合同条款中约定。</w:t>
      </w:r>
    </w:p>
    <w:p w14:paraId="4E695C43">
      <w:pPr>
        <w:pStyle w:val="12"/>
        <w:spacing w:before="120" w:line="223" w:lineRule="auto"/>
        <w:ind w:left="3837"/>
        <w:outlineLvl w:val="0"/>
        <w:rPr>
          <w:sz w:val="28"/>
          <w:szCs w:val="28"/>
        </w:rPr>
      </w:pPr>
      <w:r>
        <w:rPr>
          <w:spacing w:val="-2"/>
          <w:sz w:val="28"/>
          <w:szCs w:val="28"/>
        </w:rPr>
        <w:t>通知和联系</w:t>
      </w:r>
    </w:p>
    <w:p w14:paraId="125423E7">
      <w:pPr>
        <w:pStyle w:val="12"/>
        <w:spacing w:before="229" w:line="261" w:lineRule="auto"/>
        <w:ind w:left="5" w:right="176" w:firstLine="357"/>
      </w:pPr>
      <w:r>
        <w:rPr>
          <w:b/>
          <w:bCs/>
        </w:rPr>
        <w:t>第四条</w:t>
      </w:r>
      <w:r>
        <w:rPr>
          <w:spacing w:val="-52"/>
        </w:rPr>
        <w:t xml:space="preserve"> </w:t>
      </w:r>
      <w:r>
        <w:t>委托人应指定一名联系人，负责与监</w:t>
      </w:r>
      <w:r>
        <w:rPr>
          <w:spacing w:val="-1"/>
        </w:rPr>
        <w:t>理机构联系。更换联系人时，应提前通</w:t>
      </w:r>
      <w:r>
        <w:t xml:space="preserve"> </w:t>
      </w:r>
      <w:r>
        <w:rPr>
          <w:spacing w:val="-3"/>
        </w:rPr>
        <w:t>知监理人。</w:t>
      </w:r>
    </w:p>
    <w:p w14:paraId="72AB8E2C">
      <w:pPr>
        <w:pStyle w:val="12"/>
        <w:spacing w:before="99" w:line="274" w:lineRule="auto"/>
        <w:ind w:left="1" w:right="176" w:firstLine="361"/>
      </w:pPr>
      <w:r>
        <w:rPr>
          <w:b/>
          <w:bCs/>
        </w:rPr>
        <w:t>第五条</w:t>
      </w:r>
      <w:r>
        <w:rPr>
          <w:spacing w:val="-52"/>
        </w:rPr>
        <w:t xml:space="preserve"> </w:t>
      </w:r>
      <w:r>
        <w:t>在监理合同实施过程中，双方的联系</w:t>
      </w:r>
      <w:r>
        <w:rPr>
          <w:spacing w:val="-1"/>
        </w:rPr>
        <w:t>均应以书面函件为准。在不做出紧急处</w:t>
      </w:r>
      <w:r>
        <w:t xml:space="preserve"> </w:t>
      </w:r>
      <w:r>
        <w:rPr>
          <w:spacing w:val="1"/>
        </w:rPr>
        <w:t>理即可能导致安全、质量事故的情况下，可先以口头形式通知，并在</w:t>
      </w:r>
      <w:r>
        <w:rPr>
          <w:spacing w:val="-39"/>
        </w:rPr>
        <w:t xml:space="preserve"> </w:t>
      </w:r>
      <w:r>
        <w:rPr>
          <w:rFonts w:ascii="Times New Roman" w:hAnsi="Times New Roman" w:eastAsia="Times New Roman" w:cs="Times New Roman"/>
          <w:spacing w:val="1"/>
        </w:rPr>
        <w:t xml:space="preserve">48 </w:t>
      </w:r>
      <w:r>
        <w:rPr>
          <w:spacing w:val="1"/>
        </w:rPr>
        <w:t>小时内补做书</w:t>
      </w:r>
      <w:r>
        <w:t xml:space="preserve"> </w:t>
      </w:r>
      <w:r>
        <w:rPr>
          <w:spacing w:val="-3"/>
        </w:rPr>
        <w:t>面通知。</w:t>
      </w:r>
    </w:p>
    <w:p w14:paraId="67DED8A3">
      <w:pPr>
        <w:pStyle w:val="12"/>
        <w:spacing w:before="100" w:line="260" w:lineRule="auto"/>
        <w:ind w:left="1" w:firstLine="361"/>
      </w:pPr>
      <w:r>
        <w:rPr>
          <w:b/>
          <w:bCs/>
          <w:spacing w:val="-2"/>
        </w:rPr>
        <w:t>第六条</w:t>
      </w:r>
      <w:r>
        <w:rPr>
          <w:spacing w:val="-52"/>
        </w:rPr>
        <w:t xml:space="preserve"> </w:t>
      </w:r>
      <w:r>
        <w:rPr>
          <w:spacing w:val="-2"/>
        </w:rPr>
        <w:t>委托人对委托监理范围内工程项目实施的意见和决策，应通过</w:t>
      </w:r>
      <w:r>
        <w:rPr>
          <w:spacing w:val="-3"/>
        </w:rPr>
        <w:t>监理机构下达，</w:t>
      </w:r>
      <w:r>
        <w:t xml:space="preserve"> </w:t>
      </w:r>
      <w:r>
        <w:rPr>
          <w:spacing w:val="-1"/>
        </w:rPr>
        <w:t>法律、法规另有规定的除外。</w:t>
      </w:r>
    </w:p>
    <w:p w14:paraId="436F4103">
      <w:pPr>
        <w:pStyle w:val="12"/>
        <w:spacing w:before="228" w:line="221" w:lineRule="auto"/>
        <w:ind w:left="3906"/>
        <w:rPr>
          <w:sz w:val="28"/>
          <w:szCs w:val="28"/>
        </w:rPr>
      </w:pPr>
      <w:r>
        <w:rPr>
          <w:spacing w:val="-2"/>
          <w:sz w:val="28"/>
          <w:szCs w:val="28"/>
        </w:rPr>
        <w:t>委托人的权利</w:t>
      </w:r>
    </w:p>
    <w:p w14:paraId="4F445765">
      <w:pPr>
        <w:spacing w:line="221" w:lineRule="auto"/>
        <w:rPr>
          <w:sz w:val="28"/>
          <w:szCs w:val="28"/>
        </w:rPr>
        <w:sectPr>
          <w:footerReference r:id="rId10" w:type="default"/>
          <w:pgSz w:w="11905" w:h="16839"/>
          <w:pgMar w:top="1402" w:right="1240" w:bottom="1019" w:left="1424" w:header="0" w:footer="742" w:gutter="0"/>
          <w:cols w:space="720" w:num="1"/>
        </w:sectPr>
      </w:pPr>
    </w:p>
    <w:p w14:paraId="136813A2">
      <w:pPr>
        <w:pStyle w:val="12"/>
        <w:spacing w:before="48" w:line="220" w:lineRule="auto"/>
        <w:ind w:left="362"/>
        <w:outlineLvl w:val="1"/>
      </w:pPr>
      <w:r>
        <w:rPr>
          <w:b/>
          <w:bCs/>
          <w:spacing w:val="-2"/>
        </w:rPr>
        <w:t>第七条</w:t>
      </w:r>
      <w:r>
        <w:rPr>
          <w:spacing w:val="-50"/>
        </w:rPr>
        <w:t xml:space="preserve"> </w:t>
      </w:r>
      <w:r>
        <w:rPr>
          <w:spacing w:val="-2"/>
        </w:rPr>
        <w:t>委托人享有如下权利：</w:t>
      </w:r>
    </w:p>
    <w:p w14:paraId="2B5C74B5">
      <w:pPr>
        <w:pStyle w:val="12"/>
        <w:spacing w:before="103" w:line="260" w:lineRule="auto"/>
        <w:ind w:left="1" w:right="194" w:firstLine="481"/>
      </w:pPr>
      <w:r>
        <w:rPr>
          <w:spacing w:val="5"/>
        </w:rPr>
        <w:t>一、对监理工作进行监督、检查，并提出撤换不能胜任监理工作人员的建议或要</w:t>
      </w:r>
      <w:r>
        <w:rPr>
          <w:spacing w:val="2"/>
        </w:rPr>
        <w:t xml:space="preserve"> </w:t>
      </w:r>
      <w:r>
        <w:rPr>
          <w:spacing w:val="-6"/>
        </w:rPr>
        <w:t>求；</w:t>
      </w:r>
    </w:p>
    <w:p w14:paraId="34012B78">
      <w:pPr>
        <w:pStyle w:val="12"/>
        <w:spacing w:before="100" w:line="220" w:lineRule="auto"/>
        <w:ind w:left="483"/>
      </w:pPr>
      <w:r>
        <w:rPr>
          <w:b/>
          <w:bCs/>
          <w:spacing w:val="-1"/>
        </w:rPr>
        <w:t>二、</w:t>
      </w:r>
      <w:r>
        <w:rPr>
          <w:spacing w:val="-1"/>
        </w:rPr>
        <w:t>对工程建设中质量、安全、投资、进度方面的重大问题的决策权；</w:t>
      </w:r>
    </w:p>
    <w:p w14:paraId="7F4B3690">
      <w:pPr>
        <w:pStyle w:val="12"/>
        <w:spacing w:before="102" w:line="220" w:lineRule="auto"/>
        <w:ind w:left="480"/>
      </w:pPr>
      <w:r>
        <w:rPr>
          <w:b/>
          <w:bCs/>
          <w:spacing w:val="-1"/>
        </w:rPr>
        <w:t>三、</w:t>
      </w:r>
      <w:r>
        <w:rPr>
          <w:spacing w:val="-1"/>
        </w:rPr>
        <w:t>核定监理人签发的工程计量、付款凭证；</w:t>
      </w:r>
    </w:p>
    <w:p w14:paraId="72D7E2B5">
      <w:pPr>
        <w:pStyle w:val="12"/>
        <w:spacing w:before="102" w:line="259" w:lineRule="auto"/>
        <w:ind w:left="5" w:right="194" w:firstLine="496"/>
      </w:pPr>
      <w:r>
        <w:rPr>
          <w:spacing w:val="4"/>
        </w:rPr>
        <w:t>四、要求监理人提交监理月报、监理专题报告、监理工作报告和监理工作总结报</w:t>
      </w:r>
      <w:r>
        <w:rPr>
          <w:spacing w:val="18"/>
        </w:rPr>
        <w:t xml:space="preserve"> </w:t>
      </w:r>
      <w:r>
        <w:rPr>
          <w:spacing w:val="-8"/>
        </w:rPr>
        <w:t>告；</w:t>
      </w:r>
    </w:p>
    <w:p w14:paraId="2DAFFAE3">
      <w:pPr>
        <w:pStyle w:val="12"/>
        <w:spacing w:before="105" w:line="219" w:lineRule="auto"/>
        <w:ind w:left="483"/>
      </w:pPr>
      <w:r>
        <w:rPr>
          <w:spacing w:val="-1"/>
        </w:rPr>
        <w:t>五、当监理人发生本合同专用条款约定的违约情形时，有权解除本合同。</w:t>
      </w:r>
    </w:p>
    <w:p w14:paraId="0B488FF4">
      <w:pPr>
        <w:pStyle w:val="12"/>
        <w:spacing w:before="112" w:line="221" w:lineRule="auto"/>
        <w:ind w:left="3907"/>
        <w:outlineLvl w:val="0"/>
        <w:rPr>
          <w:sz w:val="28"/>
          <w:szCs w:val="28"/>
        </w:rPr>
      </w:pPr>
      <w:r>
        <w:rPr>
          <w:spacing w:val="-2"/>
          <w:sz w:val="28"/>
          <w:szCs w:val="28"/>
        </w:rPr>
        <w:t>监理人的权利</w:t>
      </w:r>
    </w:p>
    <w:p w14:paraId="7669A62F">
      <w:pPr>
        <w:pStyle w:val="12"/>
        <w:spacing w:before="113" w:line="220" w:lineRule="auto"/>
        <w:ind w:left="362"/>
        <w:outlineLvl w:val="1"/>
      </w:pPr>
      <w:r>
        <w:rPr>
          <w:b/>
          <w:bCs/>
          <w:spacing w:val="-2"/>
        </w:rPr>
        <w:t>第八条</w:t>
      </w:r>
      <w:r>
        <w:rPr>
          <w:spacing w:val="-44"/>
        </w:rPr>
        <w:t xml:space="preserve"> </w:t>
      </w:r>
      <w:r>
        <w:rPr>
          <w:spacing w:val="-2"/>
        </w:rPr>
        <w:t>委托人赋予监理人如下权利：</w:t>
      </w:r>
    </w:p>
    <w:p w14:paraId="2A3C6F4A">
      <w:pPr>
        <w:pStyle w:val="12"/>
        <w:spacing w:before="103" w:line="219" w:lineRule="auto"/>
        <w:ind w:left="483"/>
      </w:pPr>
      <w:r>
        <w:rPr>
          <w:spacing w:val="-1"/>
        </w:rPr>
        <w:t>一、审查承包人拟选择的分包项目和分包人，报委托人批准；</w:t>
      </w:r>
    </w:p>
    <w:p w14:paraId="4E53947A">
      <w:pPr>
        <w:pStyle w:val="12"/>
        <w:spacing w:before="104" w:line="220" w:lineRule="auto"/>
        <w:ind w:left="483"/>
      </w:pPr>
      <w:r>
        <w:t>二、审查承包人提交的施工组织设计、安全技术</w:t>
      </w:r>
      <w:r>
        <w:rPr>
          <w:spacing w:val="-1"/>
        </w:rPr>
        <w:t>措施及专项施工方案等各类文件；</w:t>
      </w:r>
    </w:p>
    <w:p w14:paraId="1E020937">
      <w:pPr>
        <w:pStyle w:val="12"/>
        <w:spacing w:before="103" w:line="220" w:lineRule="auto"/>
        <w:ind w:left="480"/>
      </w:pPr>
      <w:r>
        <w:rPr>
          <w:spacing w:val="-1"/>
        </w:rPr>
        <w:t>三、核查并签发施工图纸；</w:t>
      </w:r>
    </w:p>
    <w:p w14:paraId="2A26362A">
      <w:pPr>
        <w:pStyle w:val="12"/>
        <w:spacing w:before="102" w:line="260" w:lineRule="auto"/>
        <w:ind w:right="196" w:firstLine="502"/>
      </w:pPr>
      <w:r>
        <w:rPr>
          <w:spacing w:val="4"/>
        </w:rPr>
        <w:t>四、签发合同项目开工令、暂停施工指示，但应事先征得委托人同意；签发进场</w:t>
      </w:r>
      <w:r>
        <w:rPr>
          <w:spacing w:val="16"/>
        </w:rPr>
        <w:t xml:space="preserve"> </w:t>
      </w:r>
      <w:r>
        <w:rPr>
          <w:spacing w:val="-2"/>
        </w:rPr>
        <w:t>通知、复工通知；</w:t>
      </w:r>
    </w:p>
    <w:p w14:paraId="3C60CCD9">
      <w:pPr>
        <w:pStyle w:val="12"/>
        <w:spacing w:before="102" w:line="220" w:lineRule="auto"/>
        <w:ind w:left="483"/>
      </w:pPr>
      <w:r>
        <w:rPr>
          <w:spacing w:val="-1"/>
        </w:rPr>
        <w:t>五、审核和签发工程计量、付款凭证；</w:t>
      </w:r>
    </w:p>
    <w:p w14:paraId="50039717">
      <w:pPr>
        <w:pStyle w:val="12"/>
        <w:spacing w:before="102" w:line="260" w:lineRule="auto"/>
        <w:ind w:left="19" w:right="194" w:firstLine="462"/>
      </w:pPr>
      <w:r>
        <w:rPr>
          <w:spacing w:val="5"/>
        </w:rPr>
        <w:t>六、核查承包人现场工作人员数量及相应岗位资格，有权要求承包人撤换不称职</w:t>
      </w:r>
      <w:r>
        <w:rPr>
          <w:spacing w:val="4"/>
        </w:rPr>
        <w:t xml:space="preserve"> </w:t>
      </w:r>
      <w:r>
        <w:rPr>
          <w:spacing w:val="-4"/>
        </w:rPr>
        <w:t>的现场工作人员；</w:t>
      </w:r>
    </w:p>
    <w:p w14:paraId="23B64AE3">
      <w:pPr>
        <w:pStyle w:val="12"/>
        <w:spacing w:before="102" w:line="261" w:lineRule="auto"/>
        <w:ind w:left="2" w:right="194" w:firstLine="476"/>
      </w:pPr>
      <w:r>
        <w:rPr>
          <w:spacing w:val="5"/>
        </w:rPr>
        <w:t>七、发现承包人使用的施工设备影响工程质量或进度时，有权要求承包人增加或</w:t>
      </w:r>
      <w:r>
        <w:rPr>
          <w:spacing w:val="7"/>
        </w:rPr>
        <w:t xml:space="preserve"> </w:t>
      </w:r>
      <w:r>
        <w:rPr>
          <w:spacing w:val="-2"/>
        </w:rPr>
        <w:t>更换施工设备；</w:t>
      </w:r>
    </w:p>
    <w:p w14:paraId="1E1F8D26">
      <w:pPr>
        <w:pStyle w:val="12"/>
        <w:spacing w:before="102" w:line="219" w:lineRule="auto"/>
        <w:ind w:left="483"/>
      </w:pPr>
      <w:r>
        <w:rPr>
          <w:spacing w:val="-1"/>
        </w:rPr>
        <w:t>八、当委托人发生本合同专用条款约定的违约情形时，有权解除本合同；</w:t>
      </w:r>
    </w:p>
    <w:p w14:paraId="08B4F9C7">
      <w:pPr>
        <w:pStyle w:val="12"/>
        <w:spacing w:before="104" w:line="220" w:lineRule="auto"/>
        <w:ind w:left="485"/>
      </w:pPr>
      <w:r>
        <w:rPr>
          <w:spacing w:val="-1"/>
        </w:rPr>
        <w:t>九、专用合同条款约定的其他权利。</w:t>
      </w:r>
    </w:p>
    <w:p w14:paraId="22E3B4C1">
      <w:pPr>
        <w:pStyle w:val="12"/>
        <w:spacing w:before="228" w:line="221" w:lineRule="auto"/>
        <w:ind w:left="3905"/>
        <w:outlineLvl w:val="0"/>
        <w:rPr>
          <w:sz w:val="28"/>
          <w:szCs w:val="28"/>
        </w:rPr>
      </w:pPr>
      <w:r>
        <w:rPr>
          <w:spacing w:val="-2"/>
          <w:sz w:val="28"/>
          <w:szCs w:val="28"/>
        </w:rPr>
        <w:t>委托人的义务</w:t>
      </w:r>
    </w:p>
    <w:p w14:paraId="1844B717">
      <w:pPr>
        <w:pStyle w:val="12"/>
        <w:spacing w:before="233" w:line="220" w:lineRule="auto"/>
        <w:ind w:left="362"/>
      </w:pPr>
      <w:r>
        <w:rPr>
          <w:b/>
          <w:bCs/>
          <w:spacing w:val="-2"/>
        </w:rPr>
        <w:t>第九条</w:t>
      </w:r>
      <w:r>
        <w:rPr>
          <w:spacing w:val="-42"/>
        </w:rPr>
        <w:t xml:space="preserve"> </w:t>
      </w:r>
      <w:r>
        <w:rPr>
          <w:spacing w:val="-2"/>
        </w:rPr>
        <w:t>工程建设外部环境的协调工作。</w:t>
      </w:r>
    </w:p>
    <w:p w14:paraId="5B9D068B">
      <w:pPr>
        <w:pStyle w:val="12"/>
        <w:spacing w:before="103" w:line="259" w:lineRule="auto"/>
        <w:ind w:left="1" w:right="193" w:firstLine="360"/>
      </w:pPr>
      <w:r>
        <w:rPr>
          <w:b/>
          <w:bCs/>
          <w:spacing w:val="-1"/>
        </w:rPr>
        <w:t>第十条</w:t>
      </w:r>
      <w:r>
        <w:rPr>
          <w:spacing w:val="-33"/>
        </w:rPr>
        <w:t xml:space="preserve"> </w:t>
      </w:r>
      <w:r>
        <w:rPr>
          <w:spacing w:val="-1"/>
        </w:rPr>
        <w:t>按专用合同条款约定的时间、数量、方式，免费向监理机构提供开展监理服</w:t>
      </w:r>
      <w:r>
        <w:t xml:space="preserve"> </w:t>
      </w:r>
      <w:r>
        <w:rPr>
          <w:spacing w:val="-1"/>
        </w:rPr>
        <w:t>务的有关本工程建设的资料。</w:t>
      </w:r>
    </w:p>
    <w:p w14:paraId="29921E62">
      <w:pPr>
        <w:pStyle w:val="12"/>
        <w:spacing w:before="104" w:line="280" w:lineRule="auto"/>
        <w:ind w:right="194" w:firstLine="362"/>
      </w:pPr>
      <w:r>
        <w:rPr>
          <w:b/>
          <w:bCs/>
          <w:spacing w:val="-1"/>
        </w:rPr>
        <w:t>第十一条</w:t>
      </w:r>
      <w:r>
        <w:rPr>
          <w:spacing w:val="-38"/>
        </w:rPr>
        <w:t xml:space="preserve"> </w:t>
      </w:r>
      <w:r>
        <w:rPr>
          <w:spacing w:val="-1"/>
        </w:rPr>
        <w:t>在专用合同条款约定的时间内，就监理机构书面提交并要求作出决定的问</w:t>
      </w:r>
      <w:r>
        <w:t xml:space="preserve"> </w:t>
      </w:r>
      <w:r>
        <w:rPr>
          <w:spacing w:val="5"/>
        </w:rPr>
        <w:t>题作出书面决定，并及时送达监理机构。超过约定时间，监理机构未收到委</w:t>
      </w:r>
      <w:r>
        <w:rPr>
          <w:spacing w:val="4"/>
        </w:rPr>
        <w:t>托人的书</w:t>
      </w:r>
      <w:r>
        <w:t xml:space="preserve"> </w:t>
      </w:r>
      <w:r>
        <w:rPr>
          <w:spacing w:val="-2"/>
        </w:rPr>
        <w:t>面决定，且委托人未说明理由，监理机构可认为委托人对其提出的事宜已无不同意见，</w:t>
      </w:r>
      <w:r>
        <w:rPr>
          <w:spacing w:val="17"/>
        </w:rPr>
        <w:t xml:space="preserve"> </w:t>
      </w:r>
      <w:r>
        <w:rPr>
          <w:spacing w:val="-2"/>
        </w:rPr>
        <w:t>无须再作确认。</w:t>
      </w:r>
    </w:p>
    <w:p w14:paraId="5FFEAAC6">
      <w:pPr>
        <w:pStyle w:val="12"/>
        <w:spacing w:before="100" w:line="260" w:lineRule="auto"/>
        <w:ind w:right="196" w:firstLine="361"/>
      </w:pPr>
      <w:r>
        <w:rPr>
          <w:b/>
          <w:bCs/>
          <w:spacing w:val="-1"/>
        </w:rPr>
        <w:t>第十二条</w:t>
      </w:r>
      <w:r>
        <w:rPr>
          <w:spacing w:val="-38"/>
        </w:rPr>
        <w:t xml:space="preserve"> </w:t>
      </w:r>
      <w:r>
        <w:rPr>
          <w:spacing w:val="-1"/>
        </w:rPr>
        <w:t>与承包人签订的施工合同中明确其赋予监理人的权限，并在工程开工前将</w:t>
      </w:r>
      <w:r>
        <w:t xml:space="preserve"> </w:t>
      </w:r>
      <w:r>
        <w:rPr>
          <w:spacing w:val="-1"/>
        </w:rPr>
        <w:t>监理单位、总监理工程师通知承包人。</w:t>
      </w:r>
    </w:p>
    <w:p w14:paraId="35505BCC">
      <w:pPr>
        <w:pStyle w:val="12"/>
        <w:spacing w:before="104" w:line="259" w:lineRule="auto"/>
        <w:ind w:left="3" w:firstLine="358"/>
      </w:pPr>
      <w:r>
        <w:rPr>
          <w:b/>
          <w:bCs/>
          <w:spacing w:val="-2"/>
        </w:rPr>
        <w:t>第十三条</w:t>
      </w:r>
      <w:r>
        <w:rPr>
          <w:spacing w:val="-43"/>
        </w:rPr>
        <w:t xml:space="preserve"> </w:t>
      </w:r>
      <w:r>
        <w:rPr>
          <w:spacing w:val="-2"/>
        </w:rPr>
        <w:t>提供监理人员在现场的工作和生活条件，具体内容在专用合同条款中明确。</w:t>
      </w:r>
      <w:r>
        <w:t xml:space="preserve"> </w:t>
      </w:r>
      <w:r>
        <w:rPr>
          <w:spacing w:val="-1"/>
        </w:rPr>
        <w:t>如果不能提供上述条件的，应按实际发生费用给予监理人补偿。</w:t>
      </w:r>
    </w:p>
    <w:p w14:paraId="3D13B9F3">
      <w:pPr>
        <w:pStyle w:val="12"/>
        <w:spacing w:before="104" w:line="219" w:lineRule="auto"/>
        <w:ind w:left="362"/>
      </w:pPr>
      <w:r>
        <w:rPr>
          <w:b/>
          <w:bCs/>
          <w:spacing w:val="-2"/>
        </w:rPr>
        <w:t>第十四条</w:t>
      </w:r>
      <w:r>
        <w:rPr>
          <w:spacing w:val="-31"/>
        </w:rPr>
        <w:t xml:space="preserve"> </w:t>
      </w:r>
      <w:r>
        <w:rPr>
          <w:spacing w:val="-2"/>
        </w:rPr>
        <w:t>按本合同约定及时、足额支付监理服务酬金。</w:t>
      </w:r>
    </w:p>
    <w:p w14:paraId="734E414C">
      <w:pPr>
        <w:spacing w:line="219" w:lineRule="auto"/>
        <w:sectPr>
          <w:footerReference r:id="rId11" w:type="default"/>
          <w:pgSz w:w="11905" w:h="16839"/>
          <w:pgMar w:top="1405" w:right="1223" w:bottom="1019" w:left="1425" w:header="0" w:footer="743" w:gutter="0"/>
          <w:cols w:space="720" w:num="1"/>
        </w:sectPr>
      </w:pPr>
    </w:p>
    <w:p w14:paraId="3A927914">
      <w:pPr>
        <w:pStyle w:val="12"/>
        <w:spacing w:before="48" w:line="219" w:lineRule="auto"/>
        <w:ind w:left="363"/>
      </w:pPr>
      <w:r>
        <w:rPr>
          <w:b/>
          <w:bCs/>
          <w:spacing w:val="-1"/>
        </w:rPr>
        <w:t>第十五条</w:t>
      </w:r>
      <w:r>
        <w:rPr>
          <w:spacing w:val="-43"/>
        </w:rPr>
        <w:t xml:space="preserve"> </w:t>
      </w:r>
      <w:r>
        <w:rPr>
          <w:spacing w:val="-1"/>
        </w:rPr>
        <w:t>为监理机构指定具有检验、试验资质的机构并承担检验、试验相关费用。</w:t>
      </w:r>
    </w:p>
    <w:p w14:paraId="6CC55824">
      <w:pPr>
        <w:pStyle w:val="12"/>
        <w:spacing w:before="102" w:line="273" w:lineRule="auto"/>
        <w:ind w:left="1" w:right="178" w:firstLine="361"/>
      </w:pPr>
      <w:r>
        <w:rPr>
          <w:b/>
          <w:bCs/>
          <w:spacing w:val="-1"/>
        </w:rPr>
        <w:t>第十六条</w:t>
      </w:r>
      <w:r>
        <w:rPr>
          <w:spacing w:val="-38"/>
        </w:rPr>
        <w:t xml:space="preserve"> </w:t>
      </w:r>
      <w:r>
        <w:rPr>
          <w:spacing w:val="-1"/>
        </w:rPr>
        <w:t>维护监理机构工作的独立性，不干涉监理机构正常开展监理业务，不擅自</w:t>
      </w:r>
      <w:r>
        <w:t xml:space="preserve"> </w:t>
      </w:r>
      <w:r>
        <w:rPr>
          <w:spacing w:val="-2"/>
        </w:rPr>
        <w:t>作出有悖于监理机构在合同授权范围内所作出的指示的决定；未经监理机构签字确认，</w:t>
      </w:r>
      <w:r>
        <w:rPr>
          <w:spacing w:val="14"/>
        </w:rPr>
        <w:t xml:space="preserve"> </w:t>
      </w:r>
      <w:r>
        <w:rPr>
          <w:spacing w:val="-2"/>
        </w:rPr>
        <w:t>不得支付工程款。</w:t>
      </w:r>
    </w:p>
    <w:p w14:paraId="26F31A93">
      <w:pPr>
        <w:pStyle w:val="12"/>
        <w:spacing w:before="102" w:line="259" w:lineRule="auto"/>
        <w:ind w:left="5" w:firstLine="357"/>
      </w:pPr>
      <w:r>
        <w:rPr>
          <w:b/>
          <w:bCs/>
          <w:spacing w:val="-2"/>
        </w:rPr>
        <w:t>第十七条</w:t>
      </w:r>
      <w:r>
        <w:rPr>
          <w:spacing w:val="-48"/>
        </w:rPr>
        <w:t xml:space="preserve"> </w:t>
      </w:r>
      <w:r>
        <w:rPr>
          <w:spacing w:val="-2"/>
        </w:rPr>
        <w:t>为监理人员投保人身意外伤害险和第三者责任</w:t>
      </w:r>
      <w:r>
        <w:rPr>
          <w:spacing w:val="-3"/>
        </w:rPr>
        <w:t>险。如要求监理人自己投保，</w:t>
      </w:r>
      <w:r>
        <w:t xml:space="preserve"> </w:t>
      </w:r>
      <w:r>
        <w:rPr>
          <w:spacing w:val="-1"/>
        </w:rPr>
        <w:t>则应同意监理人将投保的费用计入报价中。</w:t>
      </w:r>
    </w:p>
    <w:p w14:paraId="65A71720">
      <w:pPr>
        <w:pStyle w:val="12"/>
        <w:spacing w:before="105" w:line="219" w:lineRule="auto"/>
        <w:ind w:left="363"/>
      </w:pPr>
      <w:r>
        <w:rPr>
          <w:b/>
          <w:bCs/>
          <w:spacing w:val="-1"/>
        </w:rPr>
        <w:t>第十八条</w:t>
      </w:r>
      <w:r>
        <w:rPr>
          <w:spacing w:val="-45"/>
        </w:rPr>
        <w:t xml:space="preserve"> </w:t>
      </w:r>
      <w:r>
        <w:rPr>
          <w:spacing w:val="-1"/>
        </w:rPr>
        <w:t>将投保工程险的保险合同提供给监理人作为工程合同管理的一部分。</w:t>
      </w:r>
    </w:p>
    <w:p w14:paraId="0679BCF7">
      <w:pPr>
        <w:pStyle w:val="12"/>
        <w:spacing w:before="103" w:line="260" w:lineRule="auto"/>
        <w:ind w:right="178" w:firstLine="363"/>
      </w:pPr>
      <w:r>
        <w:rPr>
          <w:b/>
          <w:bCs/>
          <w:spacing w:val="-1"/>
        </w:rPr>
        <w:t>第十九条</w:t>
      </w:r>
      <w:r>
        <w:rPr>
          <w:spacing w:val="-38"/>
        </w:rPr>
        <w:t xml:space="preserve"> </w:t>
      </w:r>
      <w:r>
        <w:rPr>
          <w:spacing w:val="-1"/>
        </w:rPr>
        <w:t>未经监理人同意，不得将监理人用于本工程监理服务的任何文件直接或间</w:t>
      </w:r>
      <w:r>
        <w:t xml:space="preserve"> </w:t>
      </w:r>
      <w:r>
        <w:rPr>
          <w:spacing w:val="-1"/>
        </w:rPr>
        <w:t>接用于其他工程建设之中。</w:t>
      </w:r>
    </w:p>
    <w:p w14:paraId="3BD68180">
      <w:pPr>
        <w:pStyle w:val="12"/>
        <w:spacing w:before="229" w:line="221" w:lineRule="auto"/>
        <w:ind w:left="3908"/>
        <w:outlineLvl w:val="0"/>
        <w:rPr>
          <w:sz w:val="28"/>
          <w:szCs w:val="28"/>
        </w:rPr>
      </w:pPr>
      <w:r>
        <w:rPr>
          <w:spacing w:val="-2"/>
          <w:sz w:val="28"/>
          <w:szCs w:val="28"/>
        </w:rPr>
        <w:t>监理人的义务</w:t>
      </w:r>
    </w:p>
    <w:p w14:paraId="37E99323">
      <w:pPr>
        <w:pStyle w:val="12"/>
        <w:spacing w:before="234" w:line="259" w:lineRule="auto"/>
        <w:ind w:left="30" w:right="178" w:firstLine="333"/>
      </w:pPr>
      <w:r>
        <w:rPr>
          <w:b/>
          <w:bCs/>
        </w:rPr>
        <w:t>第二十条</w:t>
      </w:r>
      <w:r>
        <w:rPr>
          <w:spacing w:val="-47"/>
        </w:rPr>
        <w:t xml:space="preserve"> </w:t>
      </w:r>
      <w:r>
        <w:t>本着</w:t>
      </w:r>
      <w:r>
        <w:rPr>
          <w:rFonts w:ascii="Times New Roman" w:hAnsi="Times New Roman" w:eastAsia="Times New Roman" w:cs="Times New Roman"/>
        </w:rPr>
        <w:t>“</w:t>
      </w:r>
      <w:r>
        <w:t>守法、诚信、公正、科学</w:t>
      </w:r>
      <w:r>
        <w:rPr>
          <w:rFonts w:ascii="Times New Roman" w:hAnsi="Times New Roman" w:eastAsia="Times New Roman" w:cs="Times New Roman"/>
        </w:rPr>
        <w:t>”</w:t>
      </w:r>
      <w:r>
        <w:t xml:space="preserve">的原则，按专用合同条款约定的监理服务 </w:t>
      </w:r>
      <w:r>
        <w:rPr>
          <w:spacing w:val="-3"/>
        </w:rPr>
        <w:t>内容为委托人提供优质服务。</w:t>
      </w:r>
    </w:p>
    <w:p w14:paraId="7EA7EC2F">
      <w:pPr>
        <w:pStyle w:val="12"/>
        <w:spacing w:before="105" w:line="279" w:lineRule="auto"/>
        <w:ind w:left="1" w:right="176" w:firstLine="361"/>
      </w:pPr>
      <w:r>
        <w:rPr>
          <w:b/>
          <w:bCs/>
          <w:spacing w:val="-1"/>
        </w:rPr>
        <w:t>第二十一条</w:t>
      </w:r>
      <w:r>
        <w:rPr>
          <w:spacing w:val="-38"/>
        </w:rPr>
        <w:t xml:space="preserve"> </w:t>
      </w:r>
      <w:r>
        <w:rPr>
          <w:spacing w:val="-1"/>
        </w:rPr>
        <w:t>在专用合同条款约定的时间内组建监理机构，并进驻现场。及时将监理</w:t>
      </w:r>
      <w:r>
        <w:t xml:space="preserve"> </w:t>
      </w:r>
      <w:r>
        <w:rPr>
          <w:spacing w:val="5"/>
        </w:rPr>
        <w:t>规划、监理机构及其主要人员名单提交委托人，将监理机构及其人员名单</w:t>
      </w:r>
      <w:r>
        <w:rPr>
          <w:spacing w:val="4"/>
        </w:rPr>
        <w:t>、监理工程</w:t>
      </w:r>
      <w:r>
        <w:t xml:space="preserve"> </w:t>
      </w:r>
      <w:r>
        <w:rPr>
          <w:spacing w:val="5"/>
        </w:rPr>
        <w:t>师和监理员的授权范围通知承包人；实施期间有变化的，应当及时通知承</w:t>
      </w:r>
      <w:r>
        <w:rPr>
          <w:spacing w:val="4"/>
        </w:rPr>
        <w:t>包人。更换</w:t>
      </w:r>
      <w:r>
        <w:t xml:space="preserve"> </w:t>
      </w:r>
      <w:r>
        <w:rPr>
          <w:spacing w:val="-1"/>
        </w:rPr>
        <w:t>总监理工程师和其他主要监理人员应征得委托人同意。</w:t>
      </w:r>
    </w:p>
    <w:p w14:paraId="181E39D1">
      <w:pPr>
        <w:pStyle w:val="12"/>
        <w:spacing w:before="102" w:line="219" w:lineRule="auto"/>
        <w:ind w:left="363"/>
      </w:pPr>
      <w:r>
        <w:rPr>
          <w:b/>
          <w:bCs/>
          <w:spacing w:val="-1"/>
        </w:rPr>
        <w:t>第二十二条</w:t>
      </w:r>
      <w:r>
        <w:rPr>
          <w:spacing w:val="-48"/>
        </w:rPr>
        <w:t xml:space="preserve"> </w:t>
      </w:r>
      <w:r>
        <w:rPr>
          <w:spacing w:val="-1"/>
        </w:rPr>
        <w:t>发现设计文件不符合有关规定或合同约定时，应向委托人报告。</w:t>
      </w:r>
    </w:p>
    <w:p w14:paraId="22FAE76F">
      <w:pPr>
        <w:pStyle w:val="12"/>
        <w:spacing w:before="105" w:line="273" w:lineRule="auto"/>
        <w:ind w:left="1" w:right="176" w:firstLine="361"/>
      </w:pPr>
      <w:r>
        <w:rPr>
          <w:b/>
          <w:bCs/>
          <w:spacing w:val="-1"/>
        </w:rPr>
        <w:t>第二十三条</w:t>
      </w:r>
      <w:r>
        <w:rPr>
          <w:spacing w:val="-38"/>
        </w:rPr>
        <w:t xml:space="preserve"> </w:t>
      </w:r>
      <w:r>
        <w:rPr>
          <w:spacing w:val="-1"/>
        </w:rPr>
        <w:t>核验建筑材料、建筑构配件和设备质量，检查、检验并确认工程的施工</w:t>
      </w:r>
      <w:r>
        <w:t xml:space="preserve"> </w:t>
      </w:r>
      <w:r>
        <w:rPr>
          <w:spacing w:val="5"/>
        </w:rPr>
        <w:t>质量；检查施工安全生产情况。发现存在质量、安全事故隐患，或发生质</w:t>
      </w:r>
      <w:r>
        <w:rPr>
          <w:spacing w:val="4"/>
        </w:rPr>
        <w:t>量、安全事</w:t>
      </w:r>
      <w:r>
        <w:t xml:space="preserve"> </w:t>
      </w:r>
      <w:r>
        <w:rPr>
          <w:spacing w:val="-1"/>
        </w:rPr>
        <w:t>故，应按有关规定及时采取相应的监理措施。</w:t>
      </w:r>
    </w:p>
    <w:p w14:paraId="3535EB73">
      <w:pPr>
        <w:pStyle w:val="12"/>
        <w:spacing w:before="104" w:line="220" w:lineRule="auto"/>
        <w:ind w:left="363"/>
      </w:pPr>
      <w:r>
        <w:rPr>
          <w:b/>
          <w:bCs/>
          <w:spacing w:val="-2"/>
        </w:rPr>
        <w:t>第二十四条</w:t>
      </w:r>
      <w:r>
        <w:rPr>
          <w:spacing w:val="-47"/>
        </w:rPr>
        <w:t xml:space="preserve"> </w:t>
      </w:r>
      <w:r>
        <w:rPr>
          <w:spacing w:val="-2"/>
        </w:rPr>
        <w:t>监督、检查工程施工进度。</w:t>
      </w:r>
    </w:p>
    <w:p w14:paraId="7AF312AF">
      <w:pPr>
        <w:pStyle w:val="12"/>
        <w:spacing w:before="103" w:line="259" w:lineRule="auto"/>
        <w:ind w:left="1" w:right="215" w:firstLine="361"/>
      </w:pPr>
      <w:r>
        <w:rPr>
          <w:b/>
          <w:bCs/>
          <w:spacing w:val="-2"/>
        </w:rPr>
        <w:t>第二十五条</w:t>
      </w:r>
      <w:r>
        <w:rPr>
          <w:spacing w:val="-41"/>
        </w:rPr>
        <w:t xml:space="preserve"> </w:t>
      </w:r>
      <w:r>
        <w:rPr>
          <w:spacing w:val="-2"/>
        </w:rPr>
        <w:t>按照委托人签订的工程保险合同，做好施工现场工程保险合同的管理。</w:t>
      </w:r>
      <w:r>
        <w:t xml:space="preserve"> </w:t>
      </w:r>
      <w:r>
        <w:rPr>
          <w:spacing w:val="-1"/>
        </w:rPr>
        <w:t>协助委托人向保险公司及时提供一切必要的材料和证据。</w:t>
      </w:r>
    </w:p>
    <w:p w14:paraId="3D8FB185">
      <w:pPr>
        <w:pStyle w:val="12"/>
        <w:spacing w:before="104" w:line="220" w:lineRule="auto"/>
        <w:ind w:left="363"/>
      </w:pPr>
      <w:r>
        <w:rPr>
          <w:b/>
          <w:bCs/>
          <w:spacing w:val="-2"/>
        </w:rPr>
        <w:t>第二十六条</w:t>
      </w:r>
      <w:r>
        <w:rPr>
          <w:spacing w:val="-43"/>
        </w:rPr>
        <w:t xml:space="preserve"> </w:t>
      </w:r>
      <w:r>
        <w:rPr>
          <w:spacing w:val="-2"/>
        </w:rPr>
        <w:t>协调施工合同各方之间的关系。</w:t>
      </w:r>
    </w:p>
    <w:p w14:paraId="1AE8ACA8">
      <w:pPr>
        <w:pStyle w:val="12"/>
        <w:spacing w:before="102" w:line="260" w:lineRule="auto"/>
        <w:ind w:left="1" w:right="176" w:firstLine="361"/>
      </w:pPr>
      <w:r>
        <w:rPr>
          <w:b/>
          <w:bCs/>
          <w:spacing w:val="-1"/>
        </w:rPr>
        <w:t>第二十七条</w:t>
      </w:r>
      <w:r>
        <w:rPr>
          <w:spacing w:val="-38"/>
        </w:rPr>
        <w:t xml:space="preserve"> </w:t>
      </w:r>
      <w:r>
        <w:rPr>
          <w:spacing w:val="-1"/>
        </w:rPr>
        <w:t>按照施工作业程序，采取旁站、巡视、跟踪检测和平行检测等方法实施</w:t>
      </w:r>
      <w:r>
        <w:t xml:space="preserve"> </w:t>
      </w:r>
      <w:r>
        <w:rPr>
          <w:spacing w:val="-1"/>
        </w:rPr>
        <w:t>监理。需要旁站的重要部位和关键工序在专用合同条款中约定。</w:t>
      </w:r>
    </w:p>
    <w:p w14:paraId="6EAD561C">
      <w:pPr>
        <w:pStyle w:val="12"/>
        <w:spacing w:before="104" w:line="260" w:lineRule="auto"/>
        <w:ind w:right="178" w:firstLine="363"/>
      </w:pPr>
      <w:r>
        <w:rPr>
          <w:b/>
          <w:bCs/>
          <w:spacing w:val="-1"/>
        </w:rPr>
        <w:t>第二十八条</w:t>
      </w:r>
      <w:r>
        <w:rPr>
          <w:spacing w:val="-40"/>
        </w:rPr>
        <w:t xml:space="preserve"> </w:t>
      </w:r>
      <w:r>
        <w:rPr>
          <w:spacing w:val="-1"/>
        </w:rPr>
        <w:t>及时做好工程施工过程各种监理信息的收集、整理和归档，并保证现场</w:t>
      </w:r>
      <w:r>
        <w:t xml:space="preserve"> </w:t>
      </w:r>
      <w:r>
        <w:rPr>
          <w:spacing w:val="-1"/>
        </w:rPr>
        <w:t>记录、试验、检验、检查等资料的完整和真实。</w:t>
      </w:r>
    </w:p>
    <w:p w14:paraId="1A3C8C8E">
      <w:pPr>
        <w:pStyle w:val="12"/>
        <w:spacing w:before="102" w:line="259" w:lineRule="auto"/>
        <w:ind w:left="1" w:right="176" w:firstLine="361"/>
      </w:pPr>
      <w:r>
        <w:rPr>
          <w:b/>
          <w:bCs/>
          <w:spacing w:val="-1"/>
        </w:rPr>
        <w:t>第二十九条</w:t>
      </w:r>
      <w:r>
        <w:rPr>
          <w:spacing w:val="-38"/>
        </w:rPr>
        <w:t xml:space="preserve"> </w:t>
      </w:r>
      <w:r>
        <w:rPr>
          <w:spacing w:val="-1"/>
        </w:rPr>
        <w:t>编制《监理日志》，并向委托人提交监理月报、监理专题报告、监理工</w:t>
      </w:r>
      <w:r>
        <w:t xml:space="preserve"> </w:t>
      </w:r>
      <w:r>
        <w:rPr>
          <w:spacing w:val="-1"/>
        </w:rPr>
        <w:t>作报告和监理工作总结报告。</w:t>
      </w:r>
    </w:p>
    <w:p w14:paraId="72D2A9DF">
      <w:pPr>
        <w:pStyle w:val="12"/>
        <w:spacing w:before="103" w:line="260" w:lineRule="auto"/>
        <w:ind w:left="3" w:right="178" w:firstLine="359"/>
      </w:pPr>
      <w:r>
        <w:rPr>
          <w:b/>
          <w:bCs/>
          <w:spacing w:val="-1"/>
        </w:rPr>
        <w:t>第三十条</w:t>
      </w:r>
      <w:r>
        <w:rPr>
          <w:spacing w:val="-38"/>
        </w:rPr>
        <w:t xml:space="preserve"> </w:t>
      </w:r>
      <w:r>
        <w:rPr>
          <w:spacing w:val="-1"/>
        </w:rPr>
        <w:t>按有关规定参加工程验收，做好相关配合工作。委托人委托监理人主持的</w:t>
      </w:r>
      <w:r>
        <w:t xml:space="preserve"> </w:t>
      </w:r>
      <w:r>
        <w:rPr>
          <w:spacing w:val="-1"/>
        </w:rPr>
        <w:t>分部工程验收由专用合同条款约定。</w:t>
      </w:r>
    </w:p>
    <w:p w14:paraId="378EB1E8">
      <w:pPr>
        <w:pStyle w:val="12"/>
        <w:spacing w:before="101" w:line="273" w:lineRule="auto"/>
        <w:ind w:right="176" w:firstLine="363"/>
      </w:pPr>
      <w:r>
        <w:rPr>
          <w:b/>
          <w:bCs/>
          <w:spacing w:val="-1"/>
        </w:rPr>
        <w:t>第三十一条</w:t>
      </w:r>
      <w:r>
        <w:rPr>
          <w:spacing w:val="-38"/>
        </w:rPr>
        <w:t xml:space="preserve"> </w:t>
      </w:r>
      <w:r>
        <w:rPr>
          <w:spacing w:val="-1"/>
        </w:rPr>
        <w:t>妥善做好委托人所提供的工程建设文件资料的保存、回收及保密工作。</w:t>
      </w:r>
      <w:r>
        <w:t xml:space="preserve"> </w:t>
      </w:r>
      <w:r>
        <w:rPr>
          <w:spacing w:val="-2"/>
        </w:rPr>
        <w:t>在本合同期限内或专用合同条款约定的合同终止后的一定期限内，未征得委托人同意，</w:t>
      </w:r>
      <w:r>
        <w:rPr>
          <w:spacing w:val="18"/>
        </w:rPr>
        <w:t xml:space="preserve"> </w:t>
      </w:r>
      <w:r>
        <w:rPr>
          <w:spacing w:val="5"/>
        </w:rPr>
        <w:t>不得公开涉及委托人的专利、专有技术或其他需保密的资料，不得泄露与本合</w:t>
      </w:r>
      <w:r>
        <w:rPr>
          <w:spacing w:val="4"/>
        </w:rPr>
        <w:t>同业务</w:t>
      </w:r>
    </w:p>
    <w:p w14:paraId="528E51A8">
      <w:pPr>
        <w:spacing w:line="273" w:lineRule="auto"/>
        <w:sectPr>
          <w:footerReference r:id="rId12" w:type="default"/>
          <w:pgSz w:w="11905" w:h="16839"/>
          <w:pgMar w:top="1405" w:right="1240" w:bottom="1019" w:left="1424" w:header="0" w:footer="743" w:gutter="0"/>
          <w:cols w:space="720" w:num="1"/>
        </w:sectPr>
      </w:pPr>
    </w:p>
    <w:p w14:paraId="7E21E839">
      <w:pPr>
        <w:pStyle w:val="12"/>
        <w:spacing w:before="48" w:line="220" w:lineRule="auto"/>
        <w:ind w:left="1"/>
      </w:pPr>
      <w:r>
        <w:rPr>
          <w:spacing w:val="-1"/>
        </w:rPr>
        <w:t>有关的技术、商务等秘密。</w:t>
      </w:r>
    </w:p>
    <w:p w14:paraId="3F6DFE32">
      <w:pPr>
        <w:pStyle w:val="12"/>
        <w:spacing w:before="227" w:line="221" w:lineRule="auto"/>
        <w:ind w:left="3908"/>
        <w:outlineLvl w:val="0"/>
        <w:rPr>
          <w:sz w:val="28"/>
          <w:szCs w:val="28"/>
        </w:rPr>
      </w:pPr>
      <w:r>
        <w:rPr>
          <w:spacing w:val="-2"/>
          <w:sz w:val="28"/>
          <w:szCs w:val="28"/>
        </w:rPr>
        <w:t>监理服务酬金</w:t>
      </w:r>
    </w:p>
    <w:p w14:paraId="5838DE4F">
      <w:pPr>
        <w:pStyle w:val="12"/>
        <w:spacing w:before="233" w:line="220" w:lineRule="auto"/>
        <w:ind w:left="363"/>
        <w:outlineLvl w:val="1"/>
      </w:pPr>
      <w:r>
        <w:rPr>
          <w:b/>
          <w:bCs/>
          <w:spacing w:val="-1"/>
        </w:rPr>
        <w:t>第三十二条</w:t>
      </w:r>
      <w:r>
        <w:rPr>
          <w:spacing w:val="-47"/>
        </w:rPr>
        <w:t xml:space="preserve"> </w:t>
      </w:r>
      <w:r>
        <w:rPr>
          <w:spacing w:val="-1"/>
        </w:rPr>
        <w:t>监理正常服务酬金的支付时间和支付方式在专用合同条款中约定。</w:t>
      </w:r>
    </w:p>
    <w:p w14:paraId="77BA4486">
      <w:pPr>
        <w:pStyle w:val="12"/>
        <w:spacing w:before="102" w:line="220" w:lineRule="auto"/>
        <w:jc w:val="right"/>
        <w:outlineLvl w:val="1"/>
      </w:pPr>
      <w:r>
        <w:rPr>
          <w:b/>
          <w:bCs/>
          <w:spacing w:val="-1"/>
        </w:rPr>
        <w:t>第三十三条</w:t>
      </w:r>
      <w:r>
        <w:rPr>
          <w:spacing w:val="-37"/>
        </w:rPr>
        <w:t xml:space="preserve"> </w:t>
      </w:r>
      <w:r>
        <w:rPr>
          <w:spacing w:val="-1"/>
        </w:rPr>
        <w:t>除不可抗力外，有下列情形之一且由此引起监理工作量增加或服务期限</w:t>
      </w:r>
    </w:p>
    <w:p w14:paraId="3CE7D2D6">
      <w:pPr>
        <w:pStyle w:val="12"/>
        <w:spacing w:before="103" w:line="219" w:lineRule="auto"/>
        <w:ind w:left="1"/>
      </w:pPr>
      <w:r>
        <w:t>延长，均应视为监理机构的附加服务，监理人</w:t>
      </w:r>
      <w:r>
        <w:rPr>
          <w:spacing w:val="-1"/>
        </w:rPr>
        <w:t>应得到监理附加服务酬金：</w:t>
      </w:r>
    </w:p>
    <w:p w14:paraId="54F90451">
      <w:pPr>
        <w:pStyle w:val="12"/>
        <w:spacing w:before="102" w:line="260" w:lineRule="auto"/>
        <w:ind w:left="6" w:right="2" w:firstLine="478"/>
      </w:pPr>
      <w:r>
        <w:rPr>
          <w:spacing w:val="5"/>
        </w:rPr>
        <w:t>一、由于委托人、第三方责任、设计变更及不良地质条件等非监理人原因致使正</w:t>
      </w:r>
      <w:r>
        <w:t xml:space="preserve"> </w:t>
      </w:r>
      <w:r>
        <w:rPr>
          <w:spacing w:val="-2"/>
        </w:rPr>
        <w:t>常的监理服务受到阻碍或延误；</w:t>
      </w:r>
    </w:p>
    <w:p w14:paraId="76C7D001">
      <w:pPr>
        <w:pStyle w:val="12"/>
        <w:spacing w:before="104" w:line="260" w:lineRule="auto"/>
        <w:ind w:left="5" w:firstLine="479"/>
      </w:pPr>
      <w:r>
        <w:rPr>
          <w:spacing w:val="5"/>
        </w:rPr>
        <w:t>二、在本合同履行过程中，委托人要求监理机构完成监理合同约定范围和内容以</w:t>
      </w:r>
      <w:r>
        <w:rPr>
          <w:spacing w:val="2"/>
        </w:rPr>
        <w:t xml:space="preserve"> </w:t>
      </w:r>
      <w:r>
        <w:rPr>
          <w:spacing w:val="-3"/>
        </w:rPr>
        <w:t>外的服务；</w:t>
      </w:r>
    </w:p>
    <w:p w14:paraId="3D1A625F">
      <w:pPr>
        <w:pStyle w:val="12"/>
        <w:spacing w:before="103" w:line="260" w:lineRule="auto"/>
        <w:ind w:left="20" w:firstLine="460"/>
      </w:pPr>
      <w:r>
        <w:rPr>
          <w:spacing w:val="5"/>
        </w:rPr>
        <w:t>三、由于非监理人原因暂停或终止监理业务时，其善后工作或恢复执行监理业务</w:t>
      </w:r>
      <w:r>
        <w:rPr>
          <w:spacing w:val="6"/>
        </w:rPr>
        <w:t xml:space="preserve"> </w:t>
      </w:r>
      <w:r>
        <w:rPr>
          <w:spacing w:val="-8"/>
        </w:rPr>
        <w:t>的工作。</w:t>
      </w:r>
    </w:p>
    <w:p w14:paraId="0CE9810E">
      <w:pPr>
        <w:pStyle w:val="12"/>
        <w:spacing w:before="101" w:line="260" w:lineRule="auto"/>
        <w:ind w:left="1" w:firstLine="501"/>
      </w:pPr>
      <w:r>
        <w:rPr>
          <w:spacing w:val="5"/>
        </w:rPr>
        <w:t>四、监理人完成附加服务应得到的酬金，按</w:t>
      </w:r>
      <w:r>
        <w:rPr>
          <w:spacing w:val="4"/>
        </w:rPr>
        <w:t>专用合同条款约定的方法或监理补充</w:t>
      </w:r>
      <w:r>
        <w:t xml:space="preserve"> </w:t>
      </w:r>
      <w:r>
        <w:rPr>
          <w:spacing w:val="-2"/>
        </w:rPr>
        <w:t>协议计取和支付。</w:t>
      </w:r>
    </w:p>
    <w:p w14:paraId="191CAB5F">
      <w:pPr>
        <w:pStyle w:val="12"/>
        <w:spacing w:before="101" w:line="260" w:lineRule="auto"/>
        <w:ind w:left="2" w:firstLine="360"/>
      </w:pPr>
      <w:r>
        <w:rPr>
          <w:b/>
          <w:bCs/>
          <w:spacing w:val="-1"/>
        </w:rPr>
        <w:t>第三十四条</w:t>
      </w:r>
      <w:r>
        <w:rPr>
          <w:spacing w:val="-27"/>
        </w:rPr>
        <w:t xml:space="preserve"> </w:t>
      </w:r>
      <w:r>
        <w:rPr>
          <w:spacing w:val="-1"/>
        </w:rPr>
        <w:t>国家有关法律、法规、规章和监理酬金标准发</w:t>
      </w:r>
      <w:r>
        <w:rPr>
          <w:spacing w:val="-2"/>
        </w:rPr>
        <w:t>生变化时，应按有关规定</w:t>
      </w:r>
      <w:r>
        <w:t xml:space="preserve"> </w:t>
      </w:r>
      <w:r>
        <w:rPr>
          <w:spacing w:val="-2"/>
        </w:rPr>
        <w:t>调整监理服务酬金。</w:t>
      </w:r>
    </w:p>
    <w:p w14:paraId="5759DB0C">
      <w:pPr>
        <w:pStyle w:val="12"/>
        <w:spacing w:before="102" w:line="273" w:lineRule="auto"/>
        <w:ind w:left="1" w:firstLine="361"/>
      </w:pPr>
      <w:r>
        <w:rPr>
          <w:b/>
          <w:bCs/>
          <w:spacing w:val="-1"/>
        </w:rPr>
        <w:t>第三十五条</w:t>
      </w:r>
      <w:r>
        <w:rPr>
          <w:spacing w:val="-38"/>
        </w:rPr>
        <w:t xml:space="preserve"> </w:t>
      </w:r>
      <w:r>
        <w:rPr>
          <w:spacing w:val="-1"/>
        </w:rPr>
        <w:t>委托人对监理人申请支付的监理酬金项目及金额有异议时，应当在收到</w:t>
      </w:r>
      <w:r>
        <w:t xml:space="preserve"> </w:t>
      </w:r>
      <w:r>
        <w:rPr>
          <w:spacing w:val="2"/>
        </w:rPr>
        <w:t>监理人支付申请书后</w:t>
      </w:r>
      <w:r>
        <w:rPr>
          <w:rFonts w:ascii="Times New Roman" w:hAnsi="Times New Roman" w:eastAsia="Times New Roman" w:cs="Times New Roman"/>
          <w:spacing w:val="2"/>
        </w:rPr>
        <w:t xml:space="preserve">7 </w:t>
      </w:r>
      <w:r>
        <w:rPr>
          <w:spacing w:val="2"/>
        </w:rPr>
        <w:t>天内向监理人发出异</w:t>
      </w:r>
      <w:r>
        <w:rPr>
          <w:spacing w:val="1"/>
        </w:rPr>
        <w:t>议通知，由双方协商解决。</w:t>
      </w:r>
      <w:r>
        <w:rPr>
          <w:rFonts w:ascii="Times New Roman" w:hAnsi="Times New Roman" w:eastAsia="Times New Roman" w:cs="Times New Roman"/>
          <w:spacing w:val="1"/>
        </w:rPr>
        <w:t xml:space="preserve">7 </w:t>
      </w:r>
      <w:r>
        <w:rPr>
          <w:spacing w:val="1"/>
        </w:rPr>
        <w:t>天内未发出异</w:t>
      </w:r>
      <w:r>
        <w:t xml:space="preserve"> 议通知，则按通用合同条款第三十二条、第三十三条</w:t>
      </w:r>
      <w:r>
        <w:rPr>
          <w:spacing w:val="-1"/>
        </w:rPr>
        <w:t>、第三十四条的约定支付。</w:t>
      </w:r>
    </w:p>
    <w:p w14:paraId="1AA73F25">
      <w:pPr>
        <w:pStyle w:val="12"/>
        <w:spacing w:before="102" w:line="222" w:lineRule="auto"/>
        <w:ind w:left="1"/>
      </w:pPr>
      <w:r>
        <w:rPr>
          <w:spacing w:val="-2"/>
        </w:rPr>
        <w:t>合同变更与终止</w:t>
      </w:r>
    </w:p>
    <w:p w14:paraId="238212BF">
      <w:pPr>
        <w:pStyle w:val="12"/>
        <w:spacing w:before="102" w:line="273" w:lineRule="auto"/>
        <w:ind w:firstLine="363"/>
      </w:pPr>
      <w:r>
        <w:rPr>
          <w:b/>
          <w:bCs/>
          <w:spacing w:val="-1"/>
        </w:rPr>
        <w:t>第三十六条</w:t>
      </w:r>
      <w:r>
        <w:rPr>
          <w:spacing w:val="-32"/>
        </w:rPr>
        <w:t xml:space="preserve"> </w:t>
      </w:r>
      <w:r>
        <w:rPr>
          <w:spacing w:val="-1"/>
        </w:rPr>
        <w:t>因工程建设计划调整、较大的工程设计变更、不良地质条</w:t>
      </w:r>
      <w:r>
        <w:rPr>
          <w:spacing w:val="-2"/>
        </w:rPr>
        <w:t>件等非监理人</w:t>
      </w:r>
      <w:r>
        <w:t xml:space="preserve"> </w:t>
      </w:r>
      <w:r>
        <w:rPr>
          <w:spacing w:val="5"/>
        </w:rPr>
        <w:t>原因致使本合同约定的服务范围、内容和服务形式发生较大变化时，双方对监</w:t>
      </w:r>
      <w:r>
        <w:rPr>
          <w:spacing w:val="4"/>
        </w:rPr>
        <w:t>理服务</w:t>
      </w:r>
      <w:r>
        <w:t xml:space="preserve"> 酬金计取、监理服务期限等有关合同条款应当充分协商</w:t>
      </w:r>
      <w:r>
        <w:rPr>
          <w:spacing w:val="-1"/>
        </w:rPr>
        <w:t>，签订监理补充协议。</w:t>
      </w:r>
    </w:p>
    <w:p w14:paraId="0C9FDA5C">
      <w:pPr>
        <w:pStyle w:val="12"/>
        <w:spacing w:before="105" w:line="279" w:lineRule="auto"/>
        <w:ind w:left="1" w:firstLine="361"/>
      </w:pPr>
      <w:r>
        <w:rPr>
          <w:b/>
          <w:bCs/>
          <w:spacing w:val="-1"/>
        </w:rPr>
        <w:t>第三十七条</w:t>
      </w:r>
      <w:r>
        <w:rPr>
          <w:spacing w:val="-33"/>
        </w:rPr>
        <w:t xml:space="preserve"> </w:t>
      </w:r>
      <w:r>
        <w:rPr>
          <w:spacing w:val="-1"/>
        </w:rPr>
        <w:t>当发生法律或本合同约定的解除合同的情形时，有权解除合</w:t>
      </w:r>
      <w:r>
        <w:rPr>
          <w:spacing w:val="-2"/>
        </w:rPr>
        <w:t>同的一方要</w:t>
      </w:r>
      <w:r>
        <w:t xml:space="preserve"> </w:t>
      </w:r>
      <w:r>
        <w:rPr>
          <w:spacing w:val="1"/>
        </w:rPr>
        <w:t>求解除合同的，应书面通知对方；若通知送达后</w:t>
      </w:r>
      <w:r>
        <w:rPr>
          <w:spacing w:val="-41"/>
        </w:rPr>
        <w:t xml:space="preserve"> </w:t>
      </w:r>
      <w:r>
        <w:rPr>
          <w:rFonts w:ascii="Times New Roman" w:hAnsi="Times New Roman" w:eastAsia="Times New Roman" w:cs="Times New Roman"/>
          <w:spacing w:val="1"/>
        </w:rPr>
        <w:t xml:space="preserve">28 </w:t>
      </w:r>
      <w:r>
        <w:rPr>
          <w:spacing w:val="1"/>
        </w:rPr>
        <w:t>天内未收到对方的答复，可发出终</w:t>
      </w:r>
      <w:r>
        <w:t xml:space="preserve"> </w:t>
      </w:r>
      <w:r>
        <w:rPr>
          <w:spacing w:val="5"/>
        </w:rPr>
        <w:t>止监理合同的通知，本合同即行终止。因解除合同遭受损失的，除依法可</w:t>
      </w:r>
      <w:r>
        <w:rPr>
          <w:spacing w:val="4"/>
        </w:rPr>
        <w:t>以免除责任</w:t>
      </w:r>
      <w:r>
        <w:t xml:space="preserve"> </w:t>
      </w:r>
      <w:r>
        <w:rPr>
          <w:spacing w:val="-1"/>
        </w:rPr>
        <w:t>的外，应由责任方赔偿损失。</w:t>
      </w:r>
    </w:p>
    <w:p w14:paraId="634C9F82">
      <w:pPr>
        <w:pStyle w:val="12"/>
        <w:spacing w:before="104" w:line="260" w:lineRule="auto"/>
        <w:ind w:left="4" w:firstLine="358"/>
      </w:pPr>
      <w:r>
        <w:rPr>
          <w:b/>
          <w:bCs/>
          <w:spacing w:val="-1"/>
        </w:rPr>
        <w:t>第三十八条</w:t>
      </w:r>
      <w:r>
        <w:rPr>
          <w:spacing w:val="-38"/>
        </w:rPr>
        <w:t xml:space="preserve"> </w:t>
      </w:r>
      <w:r>
        <w:rPr>
          <w:spacing w:val="-1"/>
        </w:rPr>
        <w:t>在监理服务期内，由于国家政策致使工程建设计划重大调整，或不可抗</w:t>
      </w:r>
      <w:r>
        <w:t xml:space="preserve"> </w:t>
      </w:r>
      <w:r>
        <w:rPr>
          <w:spacing w:val="-1"/>
        </w:rPr>
        <w:t>力致使合同不能履行时，双方协商解决因合同终止所产生的遗留问题。</w:t>
      </w:r>
    </w:p>
    <w:p w14:paraId="192E8C44">
      <w:pPr>
        <w:pStyle w:val="12"/>
        <w:spacing w:before="103" w:line="219" w:lineRule="auto"/>
        <w:ind w:left="363"/>
      </w:pPr>
      <w:r>
        <w:rPr>
          <w:b/>
          <w:bCs/>
          <w:spacing w:val="-1"/>
        </w:rPr>
        <w:t>第三十九条</w:t>
      </w:r>
      <w:r>
        <w:rPr>
          <w:spacing w:val="-52"/>
        </w:rPr>
        <w:t xml:space="preserve"> </w:t>
      </w:r>
      <w:r>
        <w:rPr>
          <w:spacing w:val="-1"/>
        </w:rPr>
        <w:t>本合同在监理期限届满并结清监理服务酬金后即终止。</w:t>
      </w:r>
    </w:p>
    <w:p w14:paraId="5C494E1E">
      <w:pPr>
        <w:pStyle w:val="12"/>
        <w:spacing w:before="229" w:line="221" w:lineRule="auto"/>
        <w:ind w:left="4188"/>
        <w:outlineLvl w:val="0"/>
        <w:rPr>
          <w:sz w:val="28"/>
          <w:szCs w:val="28"/>
        </w:rPr>
      </w:pPr>
      <w:r>
        <w:rPr>
          <w:spacing w:val="-3"/>
          <w:sz w:val="28"/>
          <w:szCs w:val="28"/>
        </w:rPr>
        <w:t>违约责任</w:t>
      </w:r>
    </w:p>
    <w:p w14:paraId="3A7B108E">
      <w:pPr>
        <w:pStyle w:val="12"/>
        <w:spacing w:before="232" w:line="273" w:lineRule="auto"/>
        <w:ind w:left="2" w:firstLine="360"/>
      </w:pPr>
      <w:r>
        <w:rPr>
          <w:b/>
          <w:bCs/>
          <w:spacing w:val="-1"/>
        </w:rPr>
        <w:t>第四十条</w:t>
      </w:r>
      <w:r>
        <w:rPr>
          <w:spacing w:val="-38"/>
        </w:rPr>
        <w:t xml:space="preserve"> </w:t>
      </w:r>
      <w:r>
        <w:rPr>
          <w:spacing w:val="-1"/>
        </w:rPr>
        <w:t>委托人未履行合同条款第十条、第十一条、第十三条、第十四条、第十五</w:t>
      </w:r>
      <w:r>
        <w:t xml:space="preserve"> </w:t>
      </w:r>
      <w:r>
        <w:rPr>
          <w:spacing w:val="5"/>
        </w:rPr>
        <w:t>条、第十六条、第十七条、第十九条约定的义务和责任，除按专用合同</w:t>
      </w:r>
      <w:r>
        <w:rPr>
          <w:spacing w:val="4"/>
        </w:rPr>
        <w:t>条款约定向监</w:t>
      </w:r>
      <w:r>
        <w:t xml:space="preserve"> </w:t>
      </w:r>
      <w:r>
        <w:rPr>
          <w:spacing w:val="-1"/>
        </w:rPr>
        <w:t>理人支付违约金外，还应继续履行合同约定的义务和责任。</w:t>
      </w:r>
    </w:p>
    <w:p w14:paraId="47857980">
      <w:pPr>
        <w:pStyle w:val="12"/>
        <w:spacing w:before="103" w:line="220" w:lineRule="auto"/>
        <w:jc w:val="right"/>
      </w:pPr>
      <w:r>
        <w:rPr>
          <w:b/>
          <w:bCs/>
          <w:spacing w:val="-1"/>
        </w:rPr>
        <w:t>第四十一条</w:t>
      </w:r>
      <w:r>
        <w:rPr>
          <w:spacing w:val="-38"/>
        </w:rPr>
        <w:t xml:space="preserve"> </w:t>
      </w:r>
      <w:r>
        <w:rPr>
          <w:spacing w:val="-1"/>
        </w:rPr>
        <w:t>委托人未按合同条款第三十二条、第三十三条、第三十四条约定支付监</w:t>
      </w:r>
    </w:p>
    <w:p w14:paraId="63013B62">
      <w:pPr>
        <w:spacing w:line="220" w:lineRule="auto"/>
        <w:sectPr>
          <w:footerReference r:id="rId13" w:type="default"/>
          <w:pgSz w:w="11905" w:h="16839"/>
          <w:pgMar w:top="1405" w:right="1417" w:bottom="1019" w:left="1424" w:header="0" w:footer="742" w:gutter="0"/>
          <w:cols w:space="720" w:num="1"/>
        </w:sectPr>
      </w:pPr>
    </w:p>
    <w:p w14:paraId="3423CF5E">
      <w:pPr>
        <w:pStyle w:val="12"/>
        <w:spacing w:before="48" w:line="299" w:lineRule="auto"/>
        <w:ind w:firstLine="1"/>
      </w:pPr>
      <w:r>
        <w:rPr>
          <w:spacing w:val="5"/>
        </w:rPr>
        <w:t>理服务酬金，除按专用合同条款约定向监理人支付逾期付款违约金外</w:t>
      </w:r>
      <w:r>
        <w:rPr>
          <w:spacing w:val="4"/>
        </w:rPr>
        <w:t>，还应继续履行</w:t>
      </w:r>
      <w:r>
        <w:t xml:space="preserve"> </w:t>
      </w:r>
      <w:r>
        <w:rPr>
          <w:spacing w:val="-2"/>
        </w:rPr>
        <w:t>合同约定的支付义务。</w:t>
      </w:r>
    </w:p>
    <w:p w14:paraId="0A43E41C">
      <w:pPr>
        <w:pStyle w:val="12"/>
        <w:spacing w:line="300" w:lineRule="auto"/>
        <w:ind w:firstLine="361"/>
        <w:jc w:val="both"/>
      </w:pPr>
      <w:r>
        <w:rPr>
          <w:b/>
          <w:bCs/>
          <w:spacing w:val="-1"/>
        </w:rPr>
        <w:t>第四十二条</w:t>
      </w:r>
      <w:r>
        <w:rPr>
          <w:spacing w:val="-38"/>
        </w:rPr>
        <w:t xml:space="preserve"> </w:t>
      </w:r>
      <w:r>
        <w:rPr>
          <w:spacing w:val="-1"/>
        </w:rPr>
        <w:t>监理人未履行合同条款第二十一条、第二十三条、第二十四条、第二十</w:t>
      </w:r>
      <w:r>
        <w:t xml:space="preserve"> </w:t>
      </w:r>
      <w:r>
        <w:rPr>
          <w:spacing w:val="5"/>
        </w:rPr>
        <w:t>五条、第二十七条、第二十八条、第二十九条、第三十条、第三十一条约</w:t>
      </w:r>
      <w:r>
        <w:rPr>
          <w:spacing w:val="4"/>
        </w:rPr>
        <w:t>定的义务和</w:t>
      </w:r>
      <w:r>
        <w:t xml:space="preserve"> </w:t>
      </w:r>
      <w:r>
        <w:rPr>
          <w:spacing w:val="5"/>
        </w:rPr>
        <w:t>责任，除按专用合同条款约定向委托人支付违约金外，还应继续履行合同</w:t>
      </w:r>
      <w:r>
        <w:rPr>
          <w:spacing w:val="4"/>
        </w:rPr>
        <w:t>约定的义务</w:t>
      </w:r>
      <w:r>
        <w:t xml:space="preserve"> </w:t>
      </w:r>
      <w:r>
        <w:rPr>
          <w:spacing w:val="-3"/>
        </w:rPr>
        <w:t>和责任。</w:t>
      </w:r>
    </w:p>
    <w:p w14:paraId="3EF48997">
      <w:pPr>
        <w:pStyle w:val="12"/>
        <w:spacing w:before="119" w:line="221" w:lineRule="auto"/>
        <w:ind w:left="4052"/>
        <w:outlineLvl w:val="0"/>
        <w:rPr>
          <w:sz w:val="28"/>
          <w:szCs w:val="28"/>
        </w:rPr>
      </w:pPr>
      <w:r>
        <w:rPr>
          <w:spacing w:val="-3"/>
          <w:sz w:val="28"/>
          <w:szCs w:val="28"/>
        </w:rPr>
        <w:t>争议的解决</w:t>
      </w:r>
    </w:p>
    <w:p w14:paraId="0782E74D">
      <w:pPr>
        <w:pStyle w:val="12"/>
        <w:spacing w:before="233" w:line="273" w:lineRule="auto"/>
        <w:ind w:firstLine="361"/>
      </w:pPr>
      <w:r>
        <w:rPr>
          <w:b/>
          <w:bCs/>
          <w:spacing w:val="-1"/>
        </w:rPr>
        <w:t>第四十三条</w:t>
      </w:r>
      <w:r>
        <w:rPr>
          <w:spacing w:val="-38"/>
        </w:rPr>
        <w:t xml:space="preserve"> </w:t>
      </w:r>
      <w:r>
        <w:rPr>
          <w:spacing w:val="-1"/>
        </w:rPr>
        <w:t>本合同发生争议，由当事人双方协商解决；也可由工程项目主管部门或</w:t>
      </w:r>
      <w:r>
        <w:t xml:space="preserve"> </w:t>
      </w:r>
      <w:r>
        <w:rPr>
          <w:spacing w:val="5"/>
        </w:rPr>
        <w:t>合同争议调解机构调解；协商或调解未果时，经当事人双</w:t>
      </w:r>
      <w:r>
        <w:rPr>
          <w:spacing w:val="4"/>
        </w:rPr>
        <w:t>方同意可由仲裁机构仲裁；</w:t>
      </w:r>
      <w:r>
        <w:t xml:space="preserve"> 或向人民法院起诉。争议调解机构、仲裁机</w:t>
      </w:r>
      <w:r>
        <w:rPr>
          <w:spacing w:val="-1"/>
        </w:rPr>
        <w:t>构在专用合同条款中约定。</w:t>
      </w:r>
    </w:p>
    <w:p w14:paraId="5A024BBB">
      <w:pPr>
        <w:pStyle w:val="12"/>
        <w:spacing w:before="102" w:line="260" w:lineRule="auto"/>
        <w:ind w:left="18" w:firstLine="342"/>
      </w:pPr>
      <w:r>
        <w:rPr>
          <w:b/>
          <w:bCs/>
          <w:spacing w:val="-1"/>
        </w:rPr>
        <w:t>第四十四条</w:t>
      </w:r>
      <w:r>
        <w:rPr>
          <w:spacing w:val="-38"/>
        </w:rPr>
        <w:t xml:space="preserve"> </w:t>
      </w:r>
      <w:r>
        <w:rPr>
          <w:spacing w:val="-1"/>
        </w:rPr>
        <w:t>在争议协商、调解、仲裁或起诉过程中，双方仍应继续履行本合同约定</w:t>
      </w:r>
      <w:r>
        <w:t xml:space="preserve"> </w:t>
      </w:r>
      <w:r>
        <w:rPr>
          <w:spacing w:val="-5"/>
        </w:rPr>
        <w:t>的责任和义务。</w:t>
      </w:r>
    </w:p>
    <w:p w14:paraId="272788BB">
      <w:pPr>
        <w:pStyle w:val="12"/>
        <w:spacing w:before="229" w:line="221" w:lineRule="auto"/>
        <w:ind w:left="4362"/>
        <w:outlineLvl w:val="0"/>
        <w:rPr>
          <w:sz w:val="28"/>
          <w:szCs w:val="28"/>
        </w:rPr>
      </w:pPr>
      <w:r>
        <w:rPr>
          <w:spacing w:val="-6"/>
          <w:sz w:val="28"/>
          <w:szCs w:val="28"/>
        </w:rPr>
        <w:t>其</w:t>
      </w:r>
      <w:r>
        <w:rPr>
          <w:spacing w:val="79"/>
          <w:sz w:val="28"/>
          <w:szCs w:val="28"/>
        </w:rPr>
        <w:t xml:space="preserve"> </w:t>
      </w:r>
      <w:r>
        <w:rPr>
          <w:spacing w:val="-6"/>
          <w:sz w:val="28"/>
          <w:szCs w:val="28"/>
        </w:rPr>
        <w:t>他</w:t>
      </w:r>
    </w:p>
    <w:p w14:paraId="4817E3E2">
      <w:pPr>
        <w:pStyle w:val="12"/>
        <w:spacing w:before="233" w:line="301" w:lineRule="auto"/>
        <w:ind w:firstLine="360"/>
      </w:pPr>
      <w:r>
        <w:rPr>
          <w:b/>
          <w:bCs/>
          <w:spacing w:val="-1"/>
        </w:rPr>
        <w:t>第四十五条</w:t>
      </w:r>
      <w:r>
        <w:rPr>
          <w:spacing w:val="-38"/>
        </w:rPr>
        <w:t xml:space="preserve"> </w:t>
      </w:r>
      <w:r>
        <w:rPr>
          <w:spacing w:val="-1"/>
        </w:rPr>
        <w:t>委托人可以对监理人提出并落实的合理化建议给予奖励。奖励办法在专</w:t>
      </w:r>
      <w:r>
        <w:t xml:space="preserve"> </w:t>
      </w:r>
      <w:r>
        <w:rPr>
          <w:spacing w:val="-2"/>
        </w:rPr>
        <w:t>用合同条款中约定。</w:t>
      </w:r>
    </w:p>
    <w:p w14:paraId="4BB4AA62">
      <w:pPr>
        <w:spacing w:line="301" w:lineRule="auto"/>
        <w:sectPr>
          <w:footerReference r:id="rId14" w:type="default"/>
          <w:pgSz w:w="11905" w:h="16839"/>
          <w:pgMar w:top="1405" w:right="1417" w:bottom="1019" w:left="1426" w:header="0" w:footer="743" w:gutter="0"/>
          <w:cols w:space="720" w:num="1"/>
        </w:sectPr>
      </w:pPr>
    </w:p>
    <w:p w14:paraId="0075CEC4">
      <w:pPr>
        <w:pStyle w:val="12"/>
        <w:spacing w:before="64" w:line="225" w:lineRule="auto"/>
        <w:ind w:left="3073"/>
        <w:outlineLvl w:val="0"/>
        <w:rPr>
          <w:sz w:val="31"/>
          <w:szCs w:val="31"/>
        </w:rPr>
      </w:pPr>
      <w:r>
        <w:rPr>
          <w:b/>
          <w:bCs/>
          <w:spacing w:val="4"/>
          <w:sz w:val="31"/>
          <w:szCs w:val="31"/>
        </w:rPr>
        <w:t>第二部分</w:t>
      </w:r>
      <w:r>
        <w:rPr>
          <w:spacing w:val="-51"/>
          <w:sz w:val="31"/>
          <w:szCs w:val="31"/>
        </w:rPr>
        <w:t xml:space="preserve"> </w:t>
      </w:r>
      <w:r>
        <w:rPr>
          <w:b/>
          <w:bCs/>
          <w:spacing w:val="4"/>
          <w:sz w:val="31"/>
          <w:szCs w:val="31"/>
        </w:rPr>
        <w:t>专用合同条款</w:t>
      </w:r>
    </w:p>
    <w:p w14:paraId="30FB8EDD">
      <w:pPr>
        <w:pStyle w:val="12"/>
        <w:spacing w:before="251" w:line="220" w:lineRule="auto"/>
        <w:ind w:left="4189"/>
        <w:outlineLvl w:val="0"/>
        <w:rPr>
          <w:sz w:val="28"/>
          <w:szCs w:val="28"/>
        </w:rPr>
      </w:pPr>
      <w:r>
        <w:rPr>
          <w:spacing w:val="-3"/>
          <w:sz w:val="28"/>
          <w:szCs w:val="28"/>
        </w:rPr>
        <w:t>监理依据</w:t>
      </w:r>
    </w:p>
    <w:p w14:paraId="39AEC572">
      <w:pPr>
        <w:spacing w:line="246" w:lineRule="auto"/>
        <w:rPr>
          <w:rFonts w:ascii="Arial"/>
          <w:sz w:val="21"/>
        </w:rPr>
      </w:pPr>
    </w:p>
    <w:p w14:paraId="799DE4EA">
      <w:pPr>
        <w:pStyle w:val="12"/>
        <w:spacing w:before="78" w:line="219" w:lineRule="auto"/>
        <w:ind w:left="363"/>
        <w:outlineLvl w:val="1"/>
      </w:pPr>
      <w:r>
        <w:rPr>
          <w:b/>
          <w:bCs/>
          <w:spacing w:val="-2"/>
        </w:rPr>
        <w:t>第三条</w:t>
      </w:r>
      <w:r>
        <w:rPr>
          <w:spacing w:val="-50"/>
        </w:rPr>
        <w:t xml:space="preserve"> </w:t>
      </w:r>
      <w:r>
        <w:rPr>
          <w:spacing w:val="-2"/>
        </w:rPr>
        <w:t>本合同的监理依据为：</w:t>
      </w:r>
    </w:p>
    <w:p w14:paraId="5E7E6ECD">
      <w:pPr>
        <w:pStyle w:val="12"/>
        <w:spacing w:before="145" w:line="333" w:lineRule="exact"/>
        <w:ind w:left="939"/>
      </w:pPr>
      <w:r>
        <w:rPr>
          <w:rFonts w:ascii="Times New Roman" w:hAnsi="Times New Roman" w:eastAsia="Times New Roman" w:cs="Times New Roman"/>
          <w:spacing w:val="-2"/>
          <w:position w:val="3"/>
        </w:rPr>
        <w:t>(1)</w:t>
      </w:r>
      <w:r>
        <w:rPr>
          <w:rFonts w:ascii="Times New Roman" w:hAnsi="Times New Roman" w:eastAsia="Times New Roman" w:cs="Times New Roman"/>
          <w:spacing w:val="22"/>
          <w:w w:val="101"/>
          <w:position w:val="3"/>
        </w:rPr>
        <w:t xml:space="preserve">   </w:t>
      </w:r>
      <w:r>
        <w:rPr>
          <w:spacing w:val="-2"/>
          <w:position w:val="3"/>
        </w:rPr>
        <w:t>水利部《水利工程建设监理规定》；</w:t>
      </w:r>
    </w:p>
    <w:p w14:paraId="5CAA8A24">
      <w:pPr>
        <w:pStyle w:val="12"/>
        <w:spacing w:before="132" w:line="333" w:lineRule="exact"/>
        <w:ind w:left="939"/>
      </w:pPr>
      <w:r>
        <w:rPr>
          <w:rFonts w:ascii="Times New Roman" w:hAnsi="Times New Roman" w:eastAsia="Times New Roman" w:cs="Times New Roman"/>
          <w:spacing w:val="-1"/>
          <w:position w:val="3"/>
        </w:rPr>
        <w:t>(2)</w:t>
      </w:r>
      <w:r>
        <w:rPr>
          <w:rFonts w:ascii="Times New Roman" w:hAnsi="Times New Roman" w:eastAsia="Times New Roman" w:cs="Times New Roman"/>
          <w:spacing w:val="18"/>
          <w:position w:val="3"/>
        </w:rPr>
        <w:t xml:space="preserve">   </w:t>
      </w:r>
      <w:r>
        <w:rPr>
          <w:spacing w:val="-1"/>
          <w:position w:val="3"/>
        </w:rPr>
        <w:t>水利部《水利工程建设监理单位管理办法》；</w:t>
      </w:r>
    </w:p>
    <w:p w14:paraId="30144EB7">
      <w:pPr>
        <w:pStyle w:val="12"/>
        <w:spacing w:before="135" w:line="333" w:lineRule="exact"/>
        <w:ind w:left="939"/>
      </w:pPr>
      <w:r>
        <w:rPr>
          <w:rFonts w:ascii="Times New Roman" w:hAnsi="Times New Roman" w:eastAsia="Times New Roman" w:cs="Times New Roman"/>
          <w:spacing w:val="-1"/>
          <w:position w:val="3"/>
        </w:rPr>
        <w:t>(3)</w:t>
      </w:r>
      <w:r>
        <w:rPr>
          <w:rFonts w:ascii="Times New Roman" w:hAnsi="Times New Roman" w:eastAsia="Times New Roman" w:cs="Times New Roman"/>
          <w:spacing w:val="18"/>
          <w:position w:val="3"/>
        </w:rPr>
        <w:t xml:space="preserve">   </w:t>
      </w:r>
      <w:r>
        <w:rPr>
          <w:spacing w:val="-1"/>
          <w:position w:val="3"/>
        </w:rPr>
        <w:t>水利部《水利工程建设监理人员管理办法》；</w:t>
      </w:r>
    </w:p>
    <w:p w14:paraId="751BBB74">
      <w:pPr>
        <w:pStyle w:val="12"/>
        <w:spacing w:before="133" w:line="333" w:lineRule="exact"/>
        <w:ind w:left="939"/>
      </w:pPr>
      <w:r>
        <w:rPr>
          <w:rFonts w:ascii="Times New Roman" w:hAnsi="Times New Roman" w:eastAsia="Times New Roman" w:cs="Times New Roman"/>
          <w:spacing w:val="-1"/>
          <w:position w:val="3"/>
        </w:rPr>
        <w:t>(4)</w:t>
      </w:r>
      <w:r>
        <w:rPr>
          <w:rFonts w:ascii="Times New Roman" w:hAnsi="Times New Roman" w:eastAsia="Times New Roman" w:cs="Times New Roman"/>
          <w:spacing w:val="15"/>
          <w:w w:val="101"/>
          <w:position w:val="3"/>
        </w:rPr>
        <w:t xml:space="preserve">   </w:t>
      </w:r>
      <w:r>
        <w:rPr>
          <w:spacing w:val="-1"/>
          <w:position w:val="3"/>
        </w:rPr>
        <w:t>《广东省建设工程监理条例》；</w:t>
      </w:r>
    </w:p>
    <w:p w14:paraId="252F503A">
      <w:pPr>
        <w:pStyle w:val="12"/>
        <w:spacing w:before="135" w:line="333" w:lineRule="exact"/>
        <w:ind w:left="939"/>
      </w:pPr>
      <w:r>
        <w:rPr>
          <w:rFonts w:ascii="Times New Roman" w:hAnsi="Times New Roman" w:eastAsia="Times New Roman" w:cs="Times New Roman"/>
          <w:spacing w:val="-2"/>
          <w:position w:val="3"/>
        </w:rPr>
        <w:t>(5)</w:t>
      </w:r>
      <w:r>
        <w:rPr>
          <w:rFonts w:ascii="Times New Roman" w:hAnsi="Times New Roman" w:eastAsia="Times New Roman" w:cs="Times New Roman"/>
          <w:spacing w:val="20"/>
          <w:w w:val="101"/>
          <w:position w:val="3"/>
        </w:rPr>
        <w:t xml:space="preserve">   </w:t>
      </w:r>
      <w:r>
        <w:rPr>
          <w:spacing w:val="-2"/>
          <w:position w:val="3"/>
        </w:rPr>
        <w:t>广东省水利厅《监理导则》；</w:t>
      </w:r>
    </w:p>
    <w:p w14:paraId="5CE40D46">
      <w:pPr>
        <w:pStyle w:val="12"/>
        <w:spacing w:before="132" w:line="334" w:lineRule="exact"/>
        <w:ind w:left="939"/>
      </w:pPr>
      <w:r>
        <w:rPr>
          <w:rFonts w:ascii="Times New Roman" w:hAnsi="Times New Roman" w:eastAsia="Times New Roman" w:cs="Times New Roman"/>
          <w:spacing w:val="-1"/>
          <w:position w:val="3"/>
        </w:rPr>
        <w:t>(6)</w:t>
      </w:r>
      <w:r>
        <w:rPr>
          <w:rFonts w:ascii="Times New Roman" w:hAnsi="Times New Roman" w:eastAsia="Times New Roman" w:cs="Times New Roman"/>
          <w:spacing w:val="18"/>
          <w:w w:val="101"/>
          <w:position w:val="3"/>
        </w:rPr>
        <w:t xml:space="preserve">   </w:t>
      </w:r>
      <w:r>
        <w:rPr>
          <w:spacing w:val="-1"/>
          <w:position w:val="3"/>
        </w:rPr>
        <w:t>其他适用于本合同的法律、法规和规章、有关文件。</w:t>
      </w:r>
    </w:p>
    <w:p w14:paraId="25148B27">
      <w:pPr>
        <w:pStyle w:val="12"/>
        <w:spacing w:before="134" w:line="334" w:lineRule="exact"/>
        <w:ind w:left="939"/>
      </w:pPr>
      <w:r>
        <w:rPr>
          <w:rFonts w:ascii="Times New Roman" w:hAnsi="Times New Roman" w:eastAsia="Times New Roman" w:cs="Times New Roman"/>
          <w:spacing w:val="-2"/>
          <w:position w:val="3"/>
        </w:rPr>
        <w:t>(7)</w:t>
      </w:r>
      <w:r>
        <w:rPr>
          <w:rFonts w:ascii="Times New Roman" w:hAnsi="Times New Roman" w:eastAsia="Times New Roman" w:cs="Times New Roman"/>
          <w:spacing w:val="19"/>
          <w:w w:val="101"/>
          <w:position w:val="3"/>
        </w:rPr>
        <w:t xml:space="preserve">   </w:t>
      </w:r>
      <w:r>
        <w:rPr>
          <w:spacing w:val="-2"/>
          <w:position w:val="3"/>
        </w:rPr>
        <w:t>监理各项工作实施细则；</w:t>
      </w:r>
    </w:p>
    <w:p w14:paraId="3D494FA2">
      <w:pPr>
        <w:pStyle w:val="12"/>
        <w:spacing w:before="134" w:line="334" w:lineRule="exact"/>
        <w:ind w:left="939"/>
      </w:pPr>
      <w:r>
        <w:rPr>
          <w:rFonts w:ascii="Times New Roman" w:hAnsi="Times New Roman" w:eastAsia="Times New Roman" w:cs="Times New Roman"/>
          <w:spacing w:val="-2"/>
          <w:position w:val="3"/>
        </w:rPr>
        <w:t>(8)</w:t>
      </w:r>
      <w:r>
        <w:rPr>
          <w:rFonts w:ascii="Times New Roman" w:hAnsi="Times New Roman" w:eastAsia="Times New Roman" w:cs="Times New Roman"/>
          <w:spacing w:val="20"/>
          <w:position w:val="3"/>
        </w:rPr>
        <w:t xml:space="preserve">   </w:t>
      </w:r>
      <w:r>
        <w:rPr>
          <w:spacing w:val="-2"/>
          <w:position w:val="3"/>
        </w:rPr>
        <w:t>经发包人批准的监理规划；</w:t>
      </w:r>
    </w:p>
    <w:p w14:paraId="487F7D71">
      <w:pPr>
        <w:pStyle w:val="12"/>
        <w:spacing w:before="132" w:line="333" w:lineRule="exact"/>
        <w:ind w:left="939"/>
      </w:pPr>
      <w:r>
        <w:rPr>
          <w:rFonts w:ascii="Times New Roman" w:hAnsi="Times New Roman" w:eastAsia="Times New Roman" w:cs="Times New Roman"/>
          <w:spacing w:val="-1"/>
          <w:position w:val="3"/>
        </w:rPr>
        <w:t>(9)</w:t>
      </w:r>
      <w:r>
        <w:rPr>
          <w:rFonts w:ascii="Times New Roman" w:hAnsi="Times New Roman" w:eastAsia="Times New Roman" w:cs="Times New Roman"/>
          <w:spacing w:val="19"/>
          <w:position w:val="3"/>
        </w:rPr>
        <w:t xml:space="preserve">   </w:t>
      </w:r>
      <w:r>
        <w:rPr>
          <w:spacing w:val="-1"/>
          <w:position w:val="3"/>
        </w:rPr>
        <w:t>本工程可行性研究报告、初步设计报告及其批复文件；</w:t>
      </w:r>
    </w:p>
    <w:p w14:paraId="12AC4160">
      <w:pPr>
        <w:pStyle w:val="12"/>
        <w:spacing w:before="135" w:line="333" w:lineRule="exact"/>
        <w:ind w:left="939"/>
      </w:pPr>
      <w:r>
        <w:rPr>
          <w:rFonts w:ascii="Times New Roman" w:hAnsi="Times New Roman" w:eastAsia="Times New Roman" w:cs="Times New Roman"/>
          <w:spacing w:val="-2"/>
          <w:position w:val="3"/>
        </w:rPr>
        <w:t>(10)</w:t>
      </w:r>
      <w:r>
        <w:rPr>
          <w:rFonts w:ascii="Times New Roman" w:hAnsi="Times New Roman" w:eastAsia="Times New Roman" w:cs="Times New Roman"/>
          <w:spacing w:val="54"/>
          <w:w w:val="101"/>
          <w:position w:val="3"/>
        </w:rPr>
        <w:t xml:space="preserve"> </w:t>
      </w:r>
      <w:r>
        <w:rPr>
          <w:spacing w:val="-2"/>
          <w:position w:val="3"/>
        </w:rPr>
        <w:t>工程设计文件（包括图纸和设计说明</w:t>
      </w:r>
      <w:r>
        <w:rPr>
          <w:spacing w:val="8"/>
          <w:position w:val="3"/>
        </w:rPr>
        <w:t>）；</w:t>
      </w:r>
    </w:p>
    <w:p w14:paraId="15AC92A9">
      <w:pPr>
        <w:pStyle w:val="12"/>
        <w:spacing w:before="133" w:line="333" w:lineRule="exact"/>
        <w:ind w:left="939"/>
      </w:pPr>
      <w:r>
        <w:rPr>
          <w:rFonts w:ascii="Times New Roman" w:hAnsi="Times New Roman" w:eastAsia="Times New Roman" w:cs="Times New Roman"/>
          <w:spacing w:val="-2"/>
          <w:position w:val="3"/>
        </w:rPr>
        <w:t xml:space="preserve">(11)  </w:t>
      </w:r>
      <w:r>
        <w:rPr>
          <w:spacing w:val="-2"/>
          <w:position w:val="3"/>
        </w:rPr>
        <w:t>工程地质钻探资料；</w:t>
      </w:r>
    </w:p>
    <w:p w14:paraId="6DFEB700">
      <w:pPr>
        <w:pStyle w:val="12"/>
        <w:spacing w:before="132" w:line="333" w:lineRule="exact"/>
        <w:ind w:left="939"/>
      </w:pPr>
      <w:r>
        <w:rPr>
          <w:rFonts w:ascii="Times New Roman" w:hAnsi="Times New Roman" w:eastAsia="Times New Roman" w:cs="Times New Roman"/>
          <w:spacing w:val="-2"/>
          <w:position w:val="3"/>
        </w:rPr>
        <w:t>(12)</w:t>
      </w:r>
      <w:r>
        <w:rPr>
          <w:rFonts w:ascii="Times New Roman" w:hAnsi="Times New Roman" w:eastAsia="Times New Roman" w:cs="Times New Roman"/>
          <w:spacing w:val="54"/>
          <w:w w:val="101"/>
          <w:position w:val="3"/>
        </w:rPr>
        <w:t xml:space="preserve"> </w:t>
      </w:r>
      <w:r>
        <w:rPr>
          <w:spacing w:val="-2"/>
          <w:position w:val="3"/>
        </w:rPr>
        <w:t>本工程监理合同；</w:t>
      </w:r>
    </w:p>
    <w:p w14:paraId="64288174">
      <w:pPr>
        <w:pStyle w:val="12"/>
        <w:spacing w:before="135" w:line="333" w:lineRule="exact"/>
        <w:ind w:left="939"/>
      </w:pPr>
      <w:r>
        <w:rPr>
          <w:rFonts w:ascii="Times New Roman" w:hAnsi="Times New Roman" w:eastAsia="Times New Roman" w:cs="Times New Roman"/>
          <w:spacing w:val="-2"/>
          <w:position w:val="3"/>
        </w:rPr>
        <w:t>(13)</w:t>
      </w:r>
      <w:r>
        <w:rPr>
          <w:rFonts w:ascii="Times New Roman" w:hAnsi="Times New Roman" w:eastAsia="Times New Roman" w:cs="Times New Roman"/>
          <w:spacing w:val="56"/>
          <w:w w:val="101"/>
          <w:position w:val="3"/>
        </w:rPr>
        <w:t xml:space="preserve"> </w:t>
      </w:r>
      <w:r>
        <w:rPr>
          <w:spacing w:val="-2"/>
          <w:position w:val="3"/>
        </w:rPr>
        <w:t>工程施工承包合同。</w:t>
      </w:r>
    </w:p>
    <w:p w14:paraId="2009EC0F">
      <w:pPr>
        <w:pStyle w:val="12"/>
        <w:spacing w:before="296" w:line="221" w:lineRule="auto"/>
        <w:ind w:left="3908"/>
        <w:outlineLvl w:val="0"/>
        <w:rPr>
          <w:sz w:val="28"/>
          <w:szCs w:val="28"/>
        </w:rPr>
      </w:pPr>
      <w:r>
        <w:rPr>
          <w:spacing w:val="-2"/>
          <w:sz w:val="28"/>
          <w:szCs w:val="28"/>
        </w:rPr>
        <w:t>监理人的权利</w:t>
      </w:r>
    </w:p>
    <w:p w14:paraId="2A47A606">
      <w:pPr>
        <w:spacing w:line="245" w:lineRule="auto"/>
        <w:rPr>
          <w:rFonts w:ascii="Arial"/>
          <w:sz w:val="21"/>
        </w:rPr>
      </w:pPr>
    </w:p>
    <w:p w14:paraId="018FF2F2">
      <w:pPr>
        <w:pStyle w:val="12"/>
        <w:spacing w:before="78" w:line="220" w:lineRule="auto"/>
        <w:ind w:left="363"/>
        <w:outlineLvl w:val="1"/>
      </w:pPr>
      <w:r>
        <w:rPr>
          <w:b/>
          <w:bCs/>
          <w:spacing w:val="-2"/>
        </w:rPr>
        <w:t>第八条</w:t>
      </w:r>
      <w:r>
        <w:rPr>
          <w:spacing w:val="-46"/>
        </w:rPr>
        <w:t xml:space="preserve"> </w:t>
      </w:r>
      <w:r>
        <w:rPr>
          <w:spacing w:val="-2"/>
        </w:rPr>
        <w:t>委托人赋予监理人如下权利</w:t>
      </w:r>
    </w:p>
    <w:p w14:paraId="45DB47DA">
      <w:pPr>
        <w:pStyle w:val="12"/>
        <w:spacing w:before="179" w:line="290" w:lineRule="auto"/>
        <w:ind w:firstLine="374"/>
      </w:pPr>
      <w:r>
        <w:rPr>
          <w:spacing w:val="-2"/>
        </w:rPr>
        <w:t>（一）当委托人发生下列违约情形时，监理人有权解除合同：在工程正常</w:t>
      </w:r>
      <w:r>
        <w:rPr>
          <w:spacing w:val="-3"/>
        </w:rPr>
        <w:t>施工期间，</w:t>
      </w:r>
      <w:r>
        <w:t xml:space="preserve"> </w:t>
      </w:r>
      <w:r>
        <w:rPr>
          <w:spacing w:val="-1"/>
        </w:rPr>
        <w:t>委托人连续两个季度未向监理人支付进度款。</w:t>
      </w:r>
    </w:p>
    <w:p w14:paraId="067CF8A0">
      <w:pPr>
        <w:pStyle w:val="12"/>
        <w:spacing w:before="180" w:line="220" w:lineRule="auto"/>
        <w:ind w:left="365"/>
      </w:pPr>
      <w:r>
        <w:rPr>
          <w:b/>
          <w:bCs/>
          <w:spacing w:val="-2"/>
        </w:rPr>
        <w:t>（二）</w:t>
      </w:r>
      <w:r>
        <w:rPr>
          <w:spacing w:val="-2"/>
        </w:rPr>
        <w:t>委托人赋予监理人的其他权利：</w:t>
      </w:r>
    </w:p>
    <w:p w14:paraId="7FC646C9">
      <w:pPr>
        <w:pStyle w:val="12"/>
        <w:spacing w:before="146" w:line="360" w:lineRule="exact"/>
        <w:ind w:left="499"/>
      </w:pPr>
      <w:r>
        <w:rPr>
          <w:rFonts w:ascii="Times New Roman" w:hAnsi="Times New Roman" w:eastAsia="Times New Roman" w:cs="Times New Roman"/>
          <w:spacing w:val="-3"/>
          <w:position w:val="2"/>
        </w:rPr>
        <w:t>1</w:t>
      </w:r>
      <w:r>
        <w:rPr>
          <w:rFonts w:ascii="Times New Roman" w:hAnsi="Times New Roman" w:eastAsia="Times New Roman" w:cs="Times New Roman"/>
          <w:spacing w:val="-18"/>
          <w:position w:val="2"/>
        </w:rPr>
        <w:t xml:space="preserve"> </w:t>
      </w:r>
      <w:r>
        <w:rPr>
          <w:spacing w:val="-3"/>
          <w:position w:val="2"/>
        </w:rPr>
        <w:t>、选择工程施工、设备和材料供应等单位的建议权。</w:t>
      </w:r>
    </w:p>
    <w:p w14:paraId="795123F7">
      <w:pPr>
        <w:pStyle w:val="12"/>
        <w:spacing w:before="106" w:line="361" w:lineRule="exact"/>
        <w:ind w:left="476"/>
      </w:pPr>
      <w:r>
        <w:rPr>
          <w:rFonts w:ascii="Times New Roman" w:hAnsi="Times New Roman" w:eastAsia="Times New Roman" w:cs="Times New Roman"/>
          <w:spacing w:val="-2"/>
          <w:position w:val="2"/>
        </w:rPr>
        <w:t>2</w:t>
      </w:r>
      <w:r>
        <w:rPr>
          <w:rFonts w:ascii="Times New Roman" w:hAnsi="Times New Roman" w:eastAsia="Times New Roman" w:cs="Times New Roman"/>
          <w:spacing w:val="-34"/>
          <w:position w:val="2"/>
        </w:rPr>
        <w:t xml:space="preserve"> </w:t>
      </w:r>
      <w:r>
        <w:rPr>
          <w:spacing w:val="-2"/>
          <w:position w:val="2"/>
        </w:rPr>
        <w:t>、协助发包人签订工程建设合同。</w:t>
      </w:r>
    </w:p>
    <w:p w14:paraId="24C21DC9">
      <w:pPr>
        <w:pStyle w:val="12"/>
        <w:spacing w:before="105" w:line="360" w:lineRule="exact"/>
        <w:ind w:left="481"/>
      </w:pPr>
      <w:r>
        <w:rPr>
          <w:rFonts w:ascii="Times New Roman" w:hAnsi="Times New Roman" w:eastAsia="Times New Roman" w:cs="Times New Roman"/>
          <w:spacing w:val="-4"/>
          <w:position w:val="2"/>
        </w:rPr>
        <w:t>3</w:t>
      </w:r>
      <w:r>
        <w:rPr>
          <w:rFonts w:ascii="Times New Roman" w:hAnsi="Times New Roman" w:eastAsia="Times New Roman" w:cs="Times New Roman"/>
          <w:spacing w:val="-31"/>
          <w:position w:val="2"/>
        </w:rPr>
        <w:t xml:space="preserve"> </w:t>
      </w:r>
      <w:r>
        <w:rPr>
          <w:spacing w:val="-4"/>
          <w:position w:val="2"/>
        </w:rPr>
        <w:t>、设计变更审核权。</w:t>
      </w:r>
    </w:p>
    <w:p w14:paraId="3ECCB7C7">
      <w:pPr>
        <w:pStyle w:val="12"/>
        <w:spacing w:before="107" w:line="304" w:lineRule="auto"/>
        <w:ind w:right="114" w:firstLine="475"/>
      </w:pPr>
      <w:r>
        <w:rPr>
          <w:rFonts w:ascii="Times New Roman" w:hAnsi="Times New Roman" w:eastAsia="Times New Roman" w:cs="Times New Roman"/>
          <w:spacing w:val="1"/>
        </w:rPr>
        <w:t>4</w:t>
      </w:r>
      <w:r>
        <w:rPr>
          <w:rFonts w:ascii="Times New Roman" w:hAnsi="Times New Roman" w:eastAsia="Times New Roman" w:cs="Times New Roman"/>
          <w:spacing w:val="-30"/>
        </w:rPr>
        <w:t xml:space="preserve"> </w:t>
      </w:r>
      <w:r>
        <w:rPr>
          <w:spacing w:val="1"/>
        </w:rPr>
        <w:t>、对全部工程的所有部位及其任何一项工艺、材料、构件和工程设备的检查、检</w:t>
      </w:r>
      <w:r>
        <w:t xml:space="preserve"> 验权。但上述的一切检查、检验不免除承包人按有关</w:t>
      </w:r>
      <w:r>
        <w:rPr>
          <w:spacing w:val="-1"/>
        </w:rPr>
        <w:t>合同规定应负的责任。</w:t>
      </w:r>
    </w:p>
    <w:p w14:paraId="58A4BDFB">
      <w:pPr>
        <w:pStyle w:val="12"/>
        <w:spacing w:before="182" w:line="289" w:lineRule="auto"/>
        <w:ind w:right="114" w:firstLine="482"/>
      </w:pPr>
      <w:r>
        <w:rPr>
          <w:rFonts w:ascii="Times New Roman" w:hAnsi="Times New Roman" w:eastAsia="Times New Roman" w:cs="Times New Roman"/>
          <w:spacing w:val="1"/>
        </w:rPr>
        <w:t>5</w:t>
      </w:r>
      <w:r>
        <w:rPr>
          <w:rFonts w:ascii="Times New Roman" w:hAnsi="Times New Roman" w:eastAsia="Times New Roman" w:cs="Times New Roman"/>
          <w:spacing w:val="-31"/>
        </w:rPr>
        <w:t xml:space="preserve"> </w:t>
      </w:r>
      <w:r>
        <w:rPr>
          <w:spacing w:val="1"/>
        </w:rPr>
        <w:t>、对全部工程的施工质量和工程上使用的材料、设备的检验权和确</w:t>
      </w:r>
      <w:r>
        <w:t xml:space="preserve">认权；安全生 </w:t>
      </w:r>
      <w:r>
        <w:rPr>
          <w:spacing w:val="-1"/>
        </w:rPr>
        <w:t>产和文明施工的监督权。</w:t>
      </w:r>
    </w:p>
    <w:p w14:paraId="31B463DF">
      <w:pPr>
        <w:spacing w:line="289" w:lineRule="auto"/>
        <w:sectPr>
          <w:footerReference r:id="rId15" w:type="default"/>
          <w:pgSz w:w="11905" w:h="16839"/>
          <w:pgMar w:top="1402" w:right="1303" w:bottom="1019" w:left="1424" w:header="0" w:footer="743" w:gutter="0"/>
          <w:cols w:space="720" w:num="1"/>
        </w:sectPr>
      </w:pPr>
    </w:p>
    <w:p w14:paraId="3B43B95C">
      <w:pPr>
        <w:pStyle w:val="12"/>
        <w:spacing w:before="62" w:line="361" w:lineRule="exact"/>
        <w:ind w:left="602"/>
      </w:pPr>
      <w:r>
        <w:rPr>
          <w:rFonts w:ascii="Times New Roman" w:hAnsi="Times New Roman" w:eastAsia="Times New Roman" w:cs="Times New Roman"/>
          <w:spacing w:val="-1"/>
          <w:position w:val="2"/>
        </w:rPr>
        <w:t>6</w:t>
      </w:r>
      <w:r>
        <w:rPr>
          <w:rFonts w:ascii="Times New Roman" w:hAnsi="Times New Roman" w:eastAsia="Times New Roman" w:cs="Times New Roman"/>
          <w:spacing w:val="-34"/>
          <w:position w:val="2"/>
        </w:rPr>
        <w:t xml:space="preserve"> </w:t>
      </w:r>
      <w:r>
        <w:rPr>
          <w:spacing w:val="-1"/>
          <w:position w:val="2"/>
        </w:rPr>
        <w:t>、工程施工进度的检查、监督权以及工程建设合</w:t>
      </w:r>
      <w:r>
        <w:rPr>
          <w:spacing w:val="-2"/>
          <w:position w:val="2"/>
        </w:rPr>
        <w:t>同工期的签认权。</w:t>
      </w:r>
    </w:p>
    <w:p w14:paraId="1BCCD5FF">
      <w:pPr>
        <w:pStyle w:val="12"/>
        <w:spacing w:before="143" w:line="290" w:lineRule="auto"/>
        <w:ind w:left="122" w:right="788" w:firstLine="478"/>
      </w:pPr>
      <w:r>
        <w:rPr>
          <w:rFonts w:ascii="Times New Roman" w:hAnsi="Times New Roman" w:eastAsia="Times New Roman" w:cs="Times New Roman"/>
          <w:spacing w:val="1"/>
        </w:rPr>
        <w:t>7</w:t>
      </w:r>
      <w:r>
        <w:rPr>
          <w:rFonts w:ascii="Times New Roman" w:hAnsi="Times New Roman" w:eastAsia="Times New Roman" w:cs="Times New Roman"/>
          <w:spacing w:val="-32"/>
        </w:rPr>
        <w:t xml:space="preserve"> </w:t>
      </w:r>
      <w:r>
        <w:rPr>
          <w:spacing w:val="1"/>
        </w:rPr>
        <w:t>、工程款支付的审核和签认权，工程结算的复核确认和否认权。未经监理</w:t>
      </w:r>
      <w:r>
        <w:t xml:space="preserve">机构签 </w:t>
      </w:r>
      <w:r>
        <w:rPr>
          <w:spacing w:val="-1"/>
        </w:rPr>
        <w:t>字确认，发包人不支付任何工程款项。</w:t>
      </w:r>
    </w:p>
    <w:p w14:paraId="55F428FA">
      <w:pPr>
        <w:pStyle w:val="12"/>
        <w:spacing w:before="144" w:line="360" w:lineRule="exact"/>
        <w:ind w:left="606"/>
      </w:pPr>
      <w:r>
        <w:rPr>
          <w:rFonts w:ascii="Times New Roman" w:hAnsi="Times New Roman" w:eastAsia="Times New Roman" w:cs="Times New Roman"/>
          <w:spacing w:val="-2"/>
          <w:position w:val="2"/>
        </w:rPr>
        <w:t>8</w:t>
      </w:r>
      <w:r>
        <w:rPr>
          <w:rFonts w:ascii="Times New Roman" w:hAnsi="Times New Roman" w:eastAsia="Times New Roman" w:cs="Times New Roman"/>
          <w:spacing w:val="-34"/>
          <w:position w:val="2"/>
        </w:rPr>
        <w:t xml:space="preserve"> </w:t>
      </w:r>
      <w:r>
        <w:rPr>
          <w:spacing w:val="-2"/>
          <w:position w:val="2"/>
        </w:rPr>
        <w:t>、组织协调工程建设有关各方关系的主持权。</w:t>
      </w:r>
    </w:p>
    <w:p w14:paraId="4FEE1FE8">
      <w:pPr>
        <w:pStyle w:val="12"/>
        <w:spacing w:before="105" w:line="303" w:lineRule="auto"/>
        <w:ind w:left="123" w:right="788" w:firstLine="478"/>
      </w:pPr>
      <w:r>
        <w:rPr>
          <w:rFonts w:ascii="Times New Roman" w:hAnsi="Times New Roman" w:eastAsia="Times New Roman" w:cs="Times New Roman"/>
          <w:spacing w:val="1"/>
        </w:rPr>
        <w:t>9</w:t>
      </w:r>
      <w:r>
        <w:rPr>
          <w:rFonts w:ascii="Times New Roman" w:hAnsi="Times New Roman" w:eastAsia="Times New Roman" w:cs="Times New Roman"/>
          <w:spacing w:val="-31"/>
        </w:rPr>
        <w:t xml:space="preserve"> </w:t>
      </w:r>
      <w:r>
        <w:rPr>
          <w:spacing w:val="1"/>
        </w:rPr>
        <w:t>、按照安全和优化的原则，对工程实施中的重大技术问题自主向设计单</w:t>
      </w:r>
      <w:r>
        <w:t xml:space="preserve">位提出建 </w:t>
      </w:r>
      <w:r>
        <w:rPr>
          <w:spacing w:val="-1"/>
        </w:rPr>
        <w:t>议意见，并向发包人提出书面报告。</w:t>
      </w:r>
    </w:p>
    <w:p w14:paraId="20FC9C87">
      <w:pPr>
        <w:pStyle w:val="12"/>
        <w:spacing w:before="146" w:line="303" w:lineRule="auto"/>
        <w:ind w:left="140" w:right="790" w:firstLine="479"/>
      </w:pPr>
      <w:r>
        <w:rPr>
          <w:rFonts w:ascii="Times New Roman" w:hAnsi="Times New Roman" w:eastAsia="Times New Roman" w:cs="Times New Roman"/>
          <w:spacing w:val="4"/>
        </w:rPr>
        <w:t>10</w:t>
      </w:r>
      <w:r>
        <w:rPr>
          <w:rFonts w:ascii="Times New Roman" w:hAnsi="Times New Roman" w:eastAsia="Times New Roman" w:cs="Times New Roman"/>
          <w:spacing w:val="-29"/>
        </w:rPr>
        <w:t xml:space="preserve"> </w:t>
      </w:r>
      <w:r>
        <w:rPr>
          <w:spacing w:val="4"/>
        </w:rPr>
        <w:t>、工程建设实施设计文件的审核确认权。只</w:t>
      </w:r>
      <w:r>
        <w:rPr>
          <w:spacing w:val="3"/>
        </w:rPr>
        <w:t>有经监理机构审核确认并加盖公章</w:t>
      </w:r>
      <w:r>
        <w:t xml:space="preserve"> </w:t>
      </w:r>
      <w:r>
        <w:rPr>
          <w:spacing w:val="-2"/>
        </w:rPr>
        <w:t>的施工图纸和设计文件，才能成为有效的施工依据。</w:t>
      </w:r>
    </w:p>
    <w:p w14:paraId="5458419D">
      <w:pPr>
        <w:pStyle w:val="12"/>
        <w:spacing w:before="308" w:line="221" w:lineRule="auto"/>
        <w:ind w:left="4026"/>
        <w:outlineLvl w:val="0"/>
        <w:rPr>
          <w:sz w:val="28"/>
          <w:szCs w:val="28"/>
        </w:rPr>
      </w:pPr>
      <w:r>
        <w:rPr>
          <w:spacing w:val="-2"/>
          <w:sz w:val="28"/>
          <w:szCs w:val="28"/>
        </w:rPr>
        <w:t>委托人的义务</w:t>
      </w:r>
    </w:p>
    <w:p w14:paraId="6EAA3AA3">
      <w:pPr>
        <w:spacing w:line="245" w:lineRule="auto"/>
        <w:rPr>
          <w:rFonts w:ascii="Arial"/>
          <w:sz w:val="21"/>
        </w:rPr>
      </w:pPr>
    </w:p>
    <w:p w14:paraId="334239FA">
      <w:pPr>
        <w:pStyle w:val="12"/>
        <w:spacing w:before="78" w:line="219" w:lineRule="auto"/>
        <w:ind w:left="483"/>
      </w:pPr>
      <w:r>
        <w:rPr>
          <w:b/>
          <w:bCs/>
          <w:spacing w:val="-2"/>
        </w:rPr>
        <w:t>第十条</w:t>
      </w:r>
      <w:r>
        <w:rPr>
          <w:spacing w:val="-36"/>
        </w:rPr>
        <w:t xml:space="preserve"> </w:t>
      </w:r>
      <w:r>
        <w:rPr>
          <w:spacing w:val="-2"/>
        </w:rPr>
        <w:t>委托人向监理机构免费提供的资料为：</w:t>
      </w:r>
    </w:p>
    <w:p w14:paraId="02F6D0F3">
      <w:pPr>
        <w:spacing w:line="146" w:lineRule="exact"/>
      </w:pPr>
    </w:p>
    <w:tbl>
      <w:tblPr>
        <w:tblStyle w:val="46"/>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846"/>
        <w:gridCol w:w="813"/>
        <w:gridCol w:w="1625"/>
        <w:gridCol w:w="1625"/>
        <w:gridCol w:w="2240"/>
      </w:tblGrid>
      <w:tr w14:paraId="7E23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17" w:type="dxa"/>
            <w:vAlign w:val="top"/>
          </w:tcPr>
          <w:p w14:paraId="17A37861">
            <w:pPr>
              <w:pStyle w:val="51"/>
              <w:spacing w:before="36" w:line="230" w:lineRule="auto"/>
              <w:ind w:left="202"/>
            </w:pPr>
            <w:r>
              <w:rPr>
                <w:b/>
                <w:bCs/>
                <w:spacing w:val="4"/>
              </w:rPr>
              <w:t>序号</w:t>
            </w:r>
          </w:p>
        </w:tc>
        <w:tc>
          <w:tcPr>
            <w:tcW w:w="2846" w:type="dxa"/>
            <w:vAlign w:val="top"/>
          </w:tcPr>
          <w:p w14:paraId="14776291">
            <w:pPr>
              <w:pStyle w:val="51"/>
              <w:spacing w:before="36" w:line="229" w:lineRule="auto"/>
              <w:ind w:left="1015"/>
            </w:pPr>
            <w:r>
              <w:rPr>
                <w:b/>
                <w:bCs/>
                <w:spacing w:val="4"/>
              </w:rPr>
              <w:t>资料名称</w:t>
            </w:r>
          </w:p>
        </w:tc>
        <w:tc>
          <w:tcPr>
            <w:tcW w:w="813" w:type="dxa"/>
            <w:vAlign w:val="top"/>
          </w:tcPr>
          <w:p w14:paraId="7FBAA668">
            <w:pPr>
              <w:pStyle w:val="51"/>
              <w:spacing w:before="36" w:line="228" w:lineRule="auto"/>
              <w:ind w:left="200"/>
            </w:pPr>
            <w:r>
              <w:rPr>
                <w:b/>
                <w:bCs/>
                <w:spacing w:val="3"/>
              </w:rPr>
              <w:t>份数</w:t>
            </w:r>
          </w:p>
        </w:tc>
        <w:tc>
          <w:tcPr>
            <w:tcW w:w="1625" w:type="dxa"/>
            <w:vAlign w:val="top"/>
          </w:tcPr>
          <w:p w14:paraId="352AB840">
            <w:pPr>
              <w:pStyle w:val="51"/>
              <w:spacing w:before="36" w:line="228" w:lineRule="auto"/>
              <w:ind w:left="396"/>
            </w:pPr>
            <w:r>
              <w:rPr>
                <w:b/>
                <w:bCs/>
                <w:spacing w:val="6"/>
              </w:rPr>
              <w:t>提供时间</w:t>
            </w:r>
          </w:p>
        </w:tc>
        <w:tc>
          <w:tcPr>
            <w:tcW w:w="1625" w:type="dxa"/>
            <w:vAlign w:val="top"/>
          </w:tcPr>
          <w:p w14:paraId="718FAFE0">
            <w:pPr>
              <w:pStyle w:val="51"/>
              <w:spacing w:before="36" w:line="228" w:lineRule="auto"/>
              <w:ind w:left="405"/>
            </w:pPr>
            <w:r>
              <w:rPr>
                <w:b/>
                <w:bCs/>
                <w:spacing w:val="4"/>
              </w:rPr>
              <w:t>收回时间</w:t>
            </w:r>
          </w:p>
        </w:tc>
        <w:tc>
          <w:tcPr>
            <w:tcW w:w="2240" w:type="dxa"/>
            <w:vAlign w:val="top"/>
          </w:tcPr>
          <w:p w14:paraId="11FF3C7D">
            <w:pPr>
              <w:pStyle w:val="51"/>
              <w:spacing w:before="36" w:line="228" w:lineRule="auto"/>
              <w:ind w:left="388"/>
            </w:pPr>
            <w:r>
              <w:rPr>
                <w:b/>
                <w:bCs/>
                <w:spacing w:val="7"/>
              </w:rPr>
              <w:t>保存和保密要求</w:t>
            </w:r>
          </w:p>
        </w:tc>
      </w:tr>
      <w:tr w14:paraId="1857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7" w:type="dxa"/>
            <w:vAlign w:val="top"/>
          </w:tcPr>
          <w:p w14:paraId="4B20B174">
            <w:pPr>
              <w:spacing w:before="212" w:line="274" w:lineRule="exact"/>
              <w:ind w:left="37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846" w:type="dxa"/>
            <w:vAlign w:val="top"/>
          </w:tcPr>
          <w:p w14:paraId="678846F1">
            <w:pPr>
              <w:pStyle w:val="51"/>
              <w:spacing w:before="32" w:line="228" w:lineRule="auto"/>
              <w:ind w:left="168"/>
            </w:pPr>
            <w:r>
              <w:rPr>
                <w:spacing w:val="8"/>
              </w:rPr>
              <w:t>主管部门批准的项目建设文</w:t>
            </w:r>
          </w:p>
          <w:p w14:paraId="634F3EF4">
            <w:pPr>
              <w:pStyle w:val="51"/>
              <w:spacing w:before="160" w:line="228" w:lineRule="auto"/>
              <w:ind w:left="1005"/>
            </w:pPr>
            <w:r>
              <w:rPr>
                <w:spacing w:val="7"/>
              </w:rPr>
              <w:t>件及附件</w:t>
            </w:r>
          </w:p>
        </w:tc>
        <w:tc>
          <w:tcPr>
            <w:tcW w:w="813" w:type="dxa"/>
            <w:vAlign w:val="top"/>
          </w:tcPr>
          <w:p w14:paraId="0B5354ED">
            <w:pPr>
              <w:spacing w:before="212"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57488867">
            <w:pPr>
              <w:pStyle w:val="51"/>
              <w:spacing w:before="236" w:line="229" w:lineRule="auto"/>
              <w:ind w:left="295"/>
            </w:pPr>
            <w:r>
              <w:rPr>
                <w:spacing w:val="7"/>
              </w:rPr>
              <w:t>合同生效后</w:t>
            </w:r>
          </w:p>
        </w:tc>
        <w:tc>
          <w:tcPr>
            <w:tcW w:w="1625" w:type="dxa"/>
            <w:vAlign w:val="top"/>
          </w:tcPr>
          <w:p w14:paraId="0B1F0300">
            <w:pPr>
              <w:pStyle w:val="51"/>
              <w:spacing w:before="235" w:line="231" w:lineRule="auto"/>
              <w:ind w:left="295"/>
            </w:pPr>
            <w:r>
              <w:rPr>
                <w:spacing w:val="7"/>
              </w:rPr>
              <w:t>合同终止时</w:t>
            </w:r>
          </w:p>
        </w:tc>
        <w:tc>
          <w:tcPr>
            <w:tcW w:w="2240" w:type="dxa"/>
            <w:vAlign w:val="top"/>
          </w:tcPr>
          <w:p w14:paraId="55133D18">
            <w:pPr>
              <w:pStyle w:val="51"/>
              <w:spacing w:before="236" w:line="229" w:lineRule="auto"/>
              <w:ind w:left="916"/>
            </w:pPr>
            <w:r>
              <w:rPr>
                <w:spacing w:val="4"/>
              </w:rPr>
              <w:t>保密</w:t>
            </w:r>
          </w:p>
        </w:tc>
      </w:tr>
      <w:tr w14:paraId="4143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7" w:type="dxa"/>
            <w:vAlign w:val="top"/>
          </w:tcPr>
          <w:p w14:paraId="668AAC3F">
            <w:pPr>
              <w:spacing w:before="214" w:line="274" w:lineRule="exact"/>
              <w:ind w:left="35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846" w:type="dxa"/>
            <w:vAlign w:val="top"/>
          </w:tcPr>
          <w:p w14:paraId="0599A6FC">
            <w:pPr>
              <w:pStyle w:val="51"/>
              <w:spacing w:before="238" w:line="228" w:lineRule="auto"/>
              <w:ind w:left="695"/>
            </w:pPr>
            <w:r>
              <w:rPr>
                <w:spacing w:val="8"/>
              </w:rPr>
              <w:t>设计文件及图纸</w:t>
            </w:r>
          </w:p>
        </w:tc>
        <w:tc>
          <w:tcPr>
            <w:tcW w:w="813" w:type="dxa"/>
            <w:vAlign w:val="top"/>
          </w:tcPr>
          <w:p w14:paraId="59B462C5">
            <w:pPr>
              <w:spacing w:before="214"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228413F5">
            <w:pPr>
              <w:pStyle w:val="51"/>
              <w:spacing w:before="238" w:line="229" w:lineRule="auto"/>
              <w:ind w:left="295"/>
            </w:pPr>
            <w:r>
              <w:rPr>
                <w:spacing w:val="7"/>
              </w:rPr>
              <w:t>合同生效后</w:t>
            </w:r>
          </w:p>
        </w:tc>
        <w:tc>
          <w:tcPr>
            <w:tcW w:w="1625" w:type="dxa"/>
            <w:vAlign w:val="top"/>
          </w:tcPr>
          <w:p w14:paraId="04027577">
            <w:pPr>
              <w:pStyle w:val="51"/>
              <w:spacing w:before="237" w:line="231" w:lineRule="auto"/>
              <w:ind w:left="295"/>
            </w:pPr>
            <w:r>
              <w:rPr>
                <w:spacing w:val="7"/>
              </w:rPr>
              <w:t>合同终止时</w:t>
            </w:r>
          </w:p>
        </w:tc>
        <w:tc>
          <w:tcPr>
            <w:tcW w:w="2240" w:type="dxa"/>
            <w:vAlign w:val="top"/>
          </w:tcPr>
          <w:p w14:paraId="0B60BA92">
            <w:pPr>
              <w:pStyle w:val="51"/>
              <w:spacing w:before="34" w:line="228" w:lineRule="auto"/>
              <w:ind w:left="499"/>
            </w:pPr>
            <w:r>
              <w:rPr>
                <w:spacing w:val="7"/>
              </w:rPr>
              <w:t>不得流入非相</w:t>
            </w:r>
          </w:p>
          <w:p w14:paraId="02791855">
            <w:pPr>
              <w:pStyle w:val="51"/>
              <w:spacing w:before="160" w:line="228" w:lineRule="auto"/>
              <w:ind w:left="499"/>
            </w:pPr>
            <w:r>
              <w:rPr>
                <w:spacing w:val="7"/>
              </w:rPr>
              <w:t>关单位及个人</w:t>
            </w:r>
          </w:p>
        </w:tc>
      </w:tr>
      <w:tr w14:paraId="42D6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17" w:type="dxa"/>
            <w:vAlign w:val="top"/>
          </w:tcPr>
          <w:p w14:paraId="2F3DFB71">
            <w:pPr>
              <w:spacing w:before="245" w:line="274" w:lineRule="exact"/>
              <w:ind w:left="36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846" w:type="dxa"/>
            <w:vAlign w:val="top"/>
          </w:tcPr>
          <w:p w14:paraId="4D56AC43">
            <w:pPr>
              <w:pStyle w:val="51"/>
              <w:spacing w:before="266" w:line="228" w:lineRule="auto"/>
              <w:ind w:left="798"/>
            </w:pPr>
            <w:r>
              <w:rPr>
                <w:spacing w:val="8"/>
              </w:rPr>
              <w:t>有关技术资料</w:t>
            </w:r>
          </w:p>
        </w:tc>
        <w:tc>
          <w:tcPr>
            <w:tcW w:w="813" w:type="dxa"/>
            <w:vAlign w:val="top"/>
          </w:tcPr>
          <w:p w14:paraId="45562FD2">
            <w:pPr>
              <w:spacing w:before="245"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1FE90201">
            <w:pPr>
              <w:pStyle w:val="51"/>
              <w:spacing w:before="266" w:line="229" w:lineRule="auto"/>
              <w:ind w:left="295"/>
            </w:pPr>
            <w:r>
              <w:rPr>
                <w:spacing w:val="7"/>
              </w:rPr>
              <w:t>合同生效后</w:t>
            </w:r>
          </w:p>
        </w:tc>
        <w:tc>
          <w:tcPr>
            <w:tcW w:w="1625" w:type="dxa"/>
            <w:vAlign w:val="top"/>
          </w:tcPr>
          <w:p w14:paraId="33B29AE9">
            <w:pPr>
              <w:pStyle w:val="51"/>
              <w:spacing w:before="266" w:line="231" w:lineRule="auto"/>
              <w:ind w:left="295"/>
            </w:pPr>
            <w:r>
              <w:rPr>
                <w:spacing w:val="7"/>
              </w:rPr>
              <w:t>合同终止时</w:t>
            </w:r>
          </w:p>
        </w:tc>
        <w:tc>
          <w:tcPr>
            <w:tcW w:w="2240" w:type="dxa"/>
            <w:vAlign w:val="top"/>
          </w:tcPr>
          <w:p w14:paraId="3ABF13D6">
            <w:pPr>
              <w:pStyle w:val="51"/>
              <w:spacing w:before="62" w:line="228" w:lineRule="auto"/>
              <w:ind w:left="499"/>
            </w:pPr>
            <w:r>
              <w:rPr>
                <w:spacing w:val="7"/>
              </w:rPr>
              <w:t>不得流入非相</w:t>
            </w:r>
          </w:p>
          <w:p w14:paraId="767E2CAE">
            <w:pPr>
              <w:pStyle w:val="51"/>
              <w:spacing w:before="160" w:line="228" w:lineRule="auto"/>
              <w:ind w:left="499"/>
            </w:pPr>
            <w:r>
              <w:rPr>
                <w:spacing w:val="7"/>
              </w:rPr>
              <w:t>关单位及个人</w:t>
            </w:r>
          </w:p>
        </w:tc>
      </w:tr>
      <w:tr w14:paraId="3EE6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7" w:type="dxa"/>
            <w:vAlign w:val="top"/>
          </w:tcPr>
          <w:p w14:paraId="4A2BA60F">
            <w:pPr>
              <w:spacing w:before="86" w:line="274" w:lineRule="exact"/>
              <w:ind w:left="357"/>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846" w:type="dxa"/>
            <w:vAlign w:val="top"/>
          </w:tcPr>
          <w:p w14:paraId="7FCC459C">
            <w:pPr>
              <w:pStyle w:val="51"/>
              <w:spacing w:before="110" w:line="228" w:lineRule="auto"/>
              <w:ind w:left="276"/>
            </w:pPr>
            <w:r>
              <w:rPr>
                <w:spacing w:val="8"/>
              </w:rPr>
              <w:t>与有关承包人签订的合同</w:t>
            </w:r>
          </w:p>
        </w:tc>
        <w:tc>
          <w:tcPr>
            <w:tcW w:w="813" w:type="dxa"/>
            <w:vAlign w:val="top"/>
          </w:tcPr>
          <w:p w14:paraId="5B7E6FD1">
            <w:pPr>
              <w:spacing w:before="86"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5C7C3805">
            <w:pPr>
              <w:pStyle w:val="51"/>
              <w:spacing w:before="109" w:line="229" w:lineRule="auto"/>
              <w:ind w:left="295"/>
            </w:pPr>
            <w:r>
              <w:rPr>
                <w:spacing w:val="7"/>
              </w:rPr>
              <w:t>合同生效后</w:t>
            </w:r>
          </w:p>
        </w:tc>
        <w:tc>
          <w:tcPr>
            <w:tcW w:w="1625" w:type="dxa"/>
            <w:vAlign w:val="top"/>
          </w:tcPr>
          <w:p w14:paraId="5201B012">
            <w:pPr>
              <w:pStyle w:val="51"/>
              <w:spacing w:before="109" w:line="231" w:lineRule="auto"/>
              <w:ind w:left="295"/>
            </w:pPr>
            <w:r>
              <w:rPr>
                <w:spacing w:val="7"/>
              </w:rPr>
              <w:t>合同终止时</w:t>
            </w:r>
          </w:p>
        </w:tc>
        <w:tc>
          <w:tcPr>
            <w:tcW w:w="2240" w:type="dxa"/>
            <w:vAlign w:val="top"/>
          </w:tcPr>
          <w:p w14:paraId="4E03A0E3">
            <w:pPr>
              <w:pStyle w:val="51"/>
              <w:spacing w:before="109" w:line="229" w:lineRule="auto"/>
              <w:ind w:left="916"/>
            </w:pPr>
            <w:r>
              <w:rPr>
                <w:spacing w:val="4"/>
              </w:rPr>
              <w:t>保密</w:t>
            </w:r>
          </w:p>
        </w:tc>
      </w:tr>
      <w:tr w14:paraId="52C6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17" w:type="dxa"/>
            <w:vAlign w:val="top"/>
          </w:tcPr>
          <w:p w14:paraId="4FFD6BF8">
            <w:pPr>
              <w:spacing w:before="288" w:line="192"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46" w:type="dxa"/>
            <w:vAlign w:val="top"/>
          </w:tcPr>
          <w:p w14:paraId="5EA2A28B">
            <w:pPr>
              <w:pStyle w:val="51"/>
              <w:spacing w:before="239" w:line="229" w:lineRule="auto"/>
              <w:ind w:left="798"/>
            </w:pPr>
            <w:r>
              <w:rPr>
                <w:spacing w:val="8"/>
              </w:rPr>
              <w:t>其他有关资料</w:t>
            </w:r>
          </w:p>
        </w:tc>
        <w:tc>
          <w:tcPr>
            <w:tcW w:w="813" w:type="dxa"/>
            <w:vAlign w:val="top"/>
          </w:tcPr>
          <w:p w14:paraId="75AA06A6">
            <w:pPr>
              <w:spacing w:before="218"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7A495040">
            <w:pPr>
              <w:pStyle w:val="51"/>
              <w:spacing w:before="239" w:line="229" w:lineRule="auto"/>
              <w:ind w:left="295"/>
            </w:pPr>
            <w:r>
              <w:rPr>
                <w:spacing w:val="7"/>
              </w:rPr>
              <w:t>合同生效后</w:t>
            </w:r>
          </w:p>
        </w:tc>
        <w:tc>
          <w:tcPr>
            <w:tcW w:w="1625" w:type="dxa"/>
            <w:vAlign w:val="top"/>
          </w:tcPr>
          <w:p w14:paraId="2C1A478D">
            <w:pPr>
              <w:pStyle w:val="51"/>
              <w:spacing w:before="239" w:line="231" w:lineRule="auto"/>
              <w:ind w:left="295"/>
            </w:pPr>
            <w:r>
              <w:rPr>
                <w:spacing w:val="7"/>
              </w:rPr>
              <w:t>合同终止时</w:t>
            </w:r>
          </w:p>
        </w:tc>
        <w:tc>
          <w:tcPr>
            <w:tcW w:w="2240" w:type="dxa"/>
            <w:vAlign w:val="top"/>
          </w:tcPr>
          <w:p w14:paraId="3B235793">
            <w:pPr>
              <w:pStyle w:val="51"/>
              <w:spacing w:before="35" w:line="360" w:lineRule="auto"/>
              <w:ind w:left="809" w:right="172" w:hanging="624"/>
            </w:pPr>
            <w:r>
              <w:rPr>
                <w:spacing w:val="8"/>
              </w:rPr>
              <w:t>不得流入非相关单位</w:t>
            </w:r>
            <w:r>
              <w:rPr>
                <w:spacing w:val="4"/>
              </w:rPr>
              <w:t xml:space="preserve"> </w:t>
            </w:r>
            <w:r>
              <w:rPr>
                <w:spacing w:val="7"/>
              </w:rPr>
              <w:t>及个人</w:t>
            </w:r>
          </w:p>
        </w:tc>
      </w:tr>
    </w:tbl>
    <w:p w14:paraId="3824B19C">
      <w:pPr>
        <w:pStyle w:val="12"/>
        <w:spacing w:before="35" w:line="345" w:lineRule="auto"/>
        <w:ind w:left="132" w:right="790" w:firstLine="351"/>
      </w:pPr>
      <w:r>
        <w:rPr>
          <w:b/>
          <w:bCs/>
          <w:spacing w:val="-1"/>
        </w:rPr>
        <w:t>第十一条</w:t>
      </w:r>
      <w:r>
        <w:rPr>
          <w:spacing w:val="-38"/>
        </w:rPr>
        <w:t xml:space="preserve"> </w:t>
      </w:r>
      <w:r>
        <w:rPr>
          <w:spacing w:val="-1"/>
        </w:rPr>
        <w:t>委托人对监理机构书面提交并要求作出决定的事宜作出书面决定并送达的</w:t>
      </w:r>
      <w:r>
        <w:t xml:space="preserve"> </w:t>
      </w:r>
      <w:r>
        <w:rPr>
          <w:spacing w:val="-7"/>
        </w:rPr>
        <w:t>时限：</w:t>
      </w:r>
    </w:p>
    <w:p w14:paraId="392C6C89">
      <w:pPr>
        <w:pStyle w:val="12"/>
        <w:spacing w:before="1" w:line="277" w:lineRule="auto"/>
        <w:ind w:left="125"/>
      </w:pPr>
      <w:r>
        <w:rPr>
          <w:spacing w:val="1"/>
        </w:rPr>
        <w:t>一般文件</w:t>
      </w:r>
      <w:r>
        <w:rPr>
          <w:rFonts w:ascii="Times New Roman" w:hAnsi="Times New Roman" w:eastAsia="Times New Roman" w:cs="Times New Roman"/>
          <w:spacing w:val="1"/>
          <w:u w:val="single" w:color="auto"/>
        </w:rPr>
        <w:t xml:space="preserve"> 7 </w:t>
      </w:r>
      <w:r>
        <w:rPr>
          <w:spacing w:val="1"/>
        </w:rPr>
        <w:t>天；紧急事项</w:t>
      </w:r>
      <w:r>
        <w:rPr>
          <w:rFonts w:ascii="Times New Roman" w:hAnsi="Times New Roman" w:eastAsia="Times New Roman" w:cs="Times New Roman"/>
          <w:spacing w:val="1"/>
          <w:u w:val="single" w:color="auto"/>
        </w:rPr>
        <w:t xml:space="preserve">2 </w:t>
      </w:r>
      <w:r>
        <w:rPr>
          <w:spacing w:val="1"/>
        </w:rPr>
        <w:t>天；变更文</w:t>
      </w:r>
      <w:r>
        <w:t>件</w:t>
      </w:r>
      <w:r>
        <w:rPr>
          <w:rFonts w:ascii="Times New Roman" w:hAnsi="Times New Roman" w:eastAsia="Times New Roman" w:cs="Times New Roman"/>
          <w:spacing w:val="11"/>
          <w:u w:val="single" w:color="auto"/>
        </w:rPr>
        <w:t xml:space="preserve"> </w:t>
      </w:r>
      <w:r>
        <w:rPr>
          <w:rFonts w:ascii="Times New Roman" w:hAnsi="Times New Roman" w:eastAsia="Times New Roman" w:cs="Times New Roman"/>
          <w:u w:val="single" w:color="auto"/>
        </w:rPr>
        <w:t>5</w:t>
      </w:r>
      <w:r>
        <w:rPr>
          <w:rFonts w:ascii="Times New Roman" w:hAnsi="Times New Roman" w:eastAsia="Times New Roman" w:cs="Times New Roman"/>
          <w:spacing w:val="14"/>
          <w:u w:val="single" w:color="auto"/>
        </w:rPr>
        <w:t xml:space="preserve"> </w:t>
      </w:r>
      <w:r>
        <w:t>天。</w:t>
      </w:r>
    </w:p>
    <w:p w14:paraId="5CFCB477">
      <w:pPr>
        <w:pStyle w:val="12"/>
        <w:spacing w:before="143" w:line="336" w:lineRule="auto"/>
        <w:ind w:left="122" w:right="787" w:firstLine="359"/>
      </w:pPr>
      <w:r>
        <w:rPr>
          <w:b/>
          <w:bCs/>
          <w:spacing w:val="-1"/>
        </w:rPr>
        <w:t>第十三条</w:t>
      </w:r>
      <w:r>
        <w:rPr>
          <w:spacing w:val="-33"/>
        </w:rPr>
        <w:t xml:space="preserve"> </w:t>
      </w:r>
      <w:r>
        <w:rPr>
          <w:spacing w:val="-1"/>
        </w:rPr>
        <w:t>发包人不向监理机构提供生活和办公用房，不提供通讯设施、交通工具、</w:t>
      </w:r>
      <w:r>
        <w:t xml:space="preserve"> </w:t>
      </w:r>
      <w:r>
        <w:rPr>
          <w:spacing w:val="5"/>
        </w:rPr>
        <w:t>办公设施和设备，也不向监理机构专门支付生活和办公用房、通讯设施、</w:t>
      </w:r>
      <w:r>
        <w:rPr>
          <w:spacing w:val="4"/>
        </w:rPr>
        <w:t>交通工具、</w:t>
      </w:r>
      <w:r>
        <w:t xml:space="preserve"> </w:t>
      </w:r>
      <w:r>
        <w:rPr>
          <w:spacing w:val="5"/>
        </w:rPr>
        <w:t>办公设施和设备的使用、维护与运行等费用，监理人应将有关费用包含在</w:t>
      </w:r>
      <w:r>
        <w:rPr>
          <w:spacing w:val="4"/>
        </w:rPr>
        <w:t>合同监理服</w:t>
      </w:r>
      <w:r>
        <w:t xml:space="preserve"> </w:t>
      </w:r>
      <w:r>
        <w:rPr>
          <w:spacing w:val="5"/>
        </w:rPr>
        <w:t>务费总金额中，并应在投标文件中列明拟投入的房屋、设施、设备、工具</w:t>
      </w:r>
      <w:r>
        <w:rPr>
          <w:spacing w:val="4"/>
        </w:rPr>
        <w:t>等的情况和</w:t>
      </w:r>
      <w:r>
        <w:t xml:space="preserve"> </w:t>
      </w:r>
      <w:r>
        <w:rPr>
          <w:spacing w:val="5"/>
        </w:rPr>
        <w:t>房屋、设施、设备、工具等的使用、维修与运行等费用。合同实施期间的</w:t>
      </w:r>
      <w:r>
        <w:rPr>
          <w:spacing w:val="4"/>
        </w:rPr>
        <w:t>供水、供电</w:t>
      </w:r>
      <w:r>
        <w:t xml:space="preserve"> </w:t>
      </w:r>
      <w:r>
        <w:rPr>
          <w:spacing w:val="-2"/>
        </w:rPr>
        <w:t>由监理人自行解决。</w:t>
      </w:r>
    </w:p>
    <w:p w14:paraId="12A12FFD">
      <w:pPr>
        <w:pStyle w:val="12"/>
        <w:spacing w:before="182" w:line="220" w:lineRule="auto"/>
        <w:ind w:left="483"/>
      </w:pPr>
      <w:r>
        <w:rPr>
          <w:b/>
          <w:bCs/>
          <w:spacing w:val="-1"/>
        </w:rPr>
        <w:t>第十七条</w:t>
      </w:r>
      <w:r>
        <w:rPr>
          <w:spacing w:val="-38"/>
        </w:rPr>
        <w:t xml:space="preserve"> </w:t>
      </w:r>
      <w:r>
        <w:rPr>
          <w:spacing w:val="-1"/>
        </w:rPr>
        <w:t>委托人不为监理人员投保人身意外伤害险和第三者责任险，由监理人自己</w:t>
      </w:r>
    </w:p>
    <w:p w14:paraId="1F2F5C32">
      <w:pPr>
        <w:spacing w:line="220" w:lineRule="auto"/>
        <w:sectPr>
          <w:footerReference r:id="rId16" w:type="default"/>
          <w:pgSz w:w="11905" w:h="16839"/>
          <w:pgMar w:top="1352" w:right="629" w:bottom="1019" w:left="1304" w:header="0" w:footer="743" w:gutter="0"/>
          <w:cols w:space="720" w:num="1"/>
        </w:sectPr>
      </w:pPr>
    </w:p>
    <w:p w14:paraId="76412B16">
      <w:pPr>
        <w:pStyle w:val="12"/>
        <w:spacing w:before="48" w:line="220" w:lineRule="auto"/>
        <w:ind w:left="1"/>
      </w:pPr>
      <w:r>
        <w:rPr>
          <w:spacing w:val="-1"/>
        </w:rPr>
        <w:t>投保，监理人应将投保的费用包含在合同监理服务费总金额中。</w:t>
      </w:r>
    </w:p>
    <w:p w14:paraId="17F933F3">
      <w:pPr>
        <w:pStyle w:val="12"/>
        <w:spacing w:before="304" w:line="221" w:lineRule="auto"/>
        <w:ind w:left="3906"/>
        <w:outlineLvl w:val="0"/>
        <w:rPr>
          <w:sz w:val="28"/>
          <w:szCs w:val="28"/>
        </w:rPr>
      </w:pPr>
      <w:r>
        <w:rPr>
          <w:spacing w:val="-2"/>
          <w:sz w:val="28"/>
          <w:szCs w:val="28"/>
        </w:rPr>
        <w:t>监理人的义务</w:t>
      </w:r>
    </w:p>
    <w:p w14:paraId="20D9C3DE">
      <w:pPr>
        <w:spacing w:line="245" w:lineRule="auto"/>
        <w:rPr>
          <w:rFonts w:ascii="Arial"/>
          <w:sz w:val="21"/>
        </w:rPr>
      </w:pPr>
    </w:p>
    <w:p w14:paraId="58B93F86">
      <w:pPr>
        <w:pStyle w:val="12"/>
        <w:spacing w:before="78" w:line="219" w:lineRule="auto"/>
        <w:ind w:right="21"/>
        <w:jc w:val="right"/>
      </w:pPr>
      <w:r>
        <w:rPr>
          <w:b/>
          <w:bCs/>
          <w:spacing w:val="-1"/>
        </w:rPr>
        <w:t>第二十一条</w:t>
      </w:r>
      <w:r>
        <w:rPr>
          <w:spacing w:val="-36"/>
        </w:rPr>
        <w:t xml:space="preserve"> </w:t>
      </w:r>
      <w:r>
        <w:rPr>
          <w:spacing w:val="-1"/>
        </w:rPr>
        <w:t>监理人应当在业主通知进场后</w:t>
      </w:r>
      <w:r>
        <w:rPr>
          <w:rFonts w:ascii="Times New Roman" w:hAnsi="Times New Roman" w:eastAsia="Times New Roman" w:cs="Times New Roman"/>
          <w:spacing w:val="-1"/>
          <w:u w:val="single" w:color="auto"/>
        </w:rPr>
        <w:t xml:space="preserve"> 5 </w:t>
      </w:r>
      <w:r>
        <w:rPr>
          <w:spacing w:val="-1"/>
        </w:rPr>
        <w:t>天内组建监理机构，并进驻现场。监理</w:t>
      </w:r>
    </w:p>
    <w:p w14:paraId="64CA8C28">
      <w:pPr>
        <w:pStyle w:val="12"/>
        <w:spacing w:before="183" w:line="219" w:lineRule="auto"/>
      </w:pPr>
      <w:r>
        <w:rPr>
          <w:spacing w:val="-4"/>
        </w:rPr>
        <w:t>人未经业主同意不得随意更换派驻本项目的监理人员，否则委托人将责令其</w:t>
      </w:r>
      <w:r>
        <w:rPr>
          <w:spacing w:val="-5"/>
        </w:rPr>
        <w:t>进行整改。</w:t>
      </w:r>
    </w:p>
    <w:p w14:paraId="19F37551">
      <w:pPr>
        <w:pStyle w:val="12"/>
        <w:spacing w:before="180" w:line="220" w:lineRule="auto"/>
        <w:ind w:left="361"/>
        <w:outlineLvl w:val="1"/>
      </w:pPr>
      <w:r>
        <w:rPr>
          <w:b/>
          <w:bCs/>
          <w:spacing w:val="-2"/>
        </w:rPr>
        <w:t>第二十七条</w:t>
      </w:r>
      <w:r>
        <w:rPr>
          <w:spacing w:val="-42"/>
        </w:rPr>
        <w:t xml:space="preserve"> </w:t>
      </w:r>
      <w:r>
        <w:rPr>
          <w:spacing w:val="-2"/>
        </w:rPr>
        <w:t>需要旁站的重要部位和关键工序</w:t>
      </w:r>
    </w:p>
    <w:p w14:paraId="1134E01A">
      <w:pPr>
        <w:pStyle w:val="12"/>
        <w:spacing w:before="144" w:line="360" w:lineRule="exact"/>
        <w:ind w:left="564"/>
      </w:pPr>
      <w:r>
        <w:rPr>
          <w:rFonts w:ascii="Times New Roman" w:hAnsi="Times New Roman" w:eastAsia="Times New Roman" w:cs="Times New Roman"/>
          <w:spacing w:val="-3"/>
          <w:position w:val="2"/>
        </w:rPr>
        <w:t>1</w:t>
      </w:r>
      <w:r>
        <w:rPr>
          <w:rFonts w:ascii="Times New Roman" w:hAnsi="Times New Roman" w:eastAsia="Times New Roman" w:cs="Times New Roman"/>
          <w:spacing w:val="-18"/>
          <w:position w:val="2"/>
        </w:rPr>
        <w:t xml:space="preserve"> </w:t>
      </w:r>
      <w:r>
        <w:rPr>
          <w:spacing w:val="-3"/>
          <w:position w:val="2"/>
        </w:rPr>
        <w:t>、需旁站监理的工程重要部位是：按现行有关规范。</w:t>
      </w:r>
    </w:p>
    <w:p w14:paraId="2D28E7ED">
      <w:pPr>
        <w:pStyle w:val="12"/>
        <w:spacing w:before="108" w:line="360" w:lineRule="exact"/>
        <w:ind w:left="541"/>
      </w:pPr>
      <w:r>
        <w:rPr>
          <w:rFonts w:ascii="Times New Roman" w:hAnsi="Times New Roman" w:eastAsia="Times New Roman" w:cs="Times New Roman"/>
          <w:spacing w:val="-2"/>
          <w:position w:val="2"/>
        </w:rPr>
        <w:t>2</w:t>
      </w:r>
      <w:r>
        <w:rPr>
          <w:rFonts w:ascii="Times New Roman" w:hAnsi="Times New Roman" w:eastAsia="Times New Roman" w:cs="Times New Roman"/>
          <w:spacing w:val="-23"/>
          <w:position w:val="2"/>
        </w:rPr>
        <w:t xml:space="preserve"> </w:t>
      </w:r>
      <w:r>
        <w:rPr>
          <w:spacing w:val="-2"/>
          <w:position w:val="2"/>
        </w:rPr>
        <w:t>、需旁站监理的关键工序是：按现行有关规范。</w:t>
      </w:r>
    </w:p>
    <w:p w14:paraId="7EBD27CF">
      <w:pPr>
        <w:pStyle w:val="12"/>
        <w:spacing w:before="143" w:line="220" w:lineRule="auto"/>
        <w:ind w:left="361"/>
      </w:pPr>
      <w:r>
        <w:rPr>
          <w:b/>
          <w:bCs/>
          <w:spacing w:val="-2"/>
        </w:rPr>
        <w:t>第三十条</w:t>
      </w:r>
      <w:r>
        <w:rPr>
          <w:spacing w:val="-43"/>
        </w:rPr>
        <w:t xml:space="preserve"> </w:t>
      </w:r>
      <w:r>
        <w:rPr>
          <w:spacing w:val="-2"/>
        </w:rPr>
        <w:t>委托人委托监理人主持的分部工程验收：</w:t>
      </w:r>
      <w:r>
        <w:rPr>
          <w:spacing w:val="-48"/>
          <w:u w:val="single" w:color="auto"/>
        </w:rPr>
        <w:t xml:space="preserve"> </w:t>
      </w:r>
      <w:r>
        <w:rPr>
          <w:spacing w:val="-2"/>
          <w:u w:val="single" w:color="auto"/>
        </w:rPr>
        <w:t>无</w:t>
      </w:r>
      <w:r>
        <w:rPr>
          <w:spacing w:val="-60"/>
          <w:u w:val="single" w:color="auto"/>
        </w:rPr>
        <w:t xml:space="preserve"> </w:t>
      </w:r>
      <w:r>
        <w:rPr>
          <w:spacing w:val="-2"/>
        </w:rPr>
        <w:t>。</w:t>
      </w:r>
    </w:p>
    <w:p w14:paraId="19605F85">
      <w:pPr>
        <w:pStyle w:val="12"/>
        <w:spacing w:before="143" w:line="304" w:lineRule="auto"/>
        <w:ind w:right="21" w:firstLine="361"/>
      </w:pPr>
      <w:r>
        <w:rPr>
          <w:b/>
          <w:bCs/>
          <w:spacing w:val="-1"/>
        </w:rPr>
        <w:t>第三十一条</w:t>
      </w:r>
      <w:r>
        <w:rPr>
          <w:spacing w:val="-52"/>
        </w:rPr>
        <w:t xml:space="preserve"> </w:t>
      </w:r>
      <w:r>
        <w:rPr>
          <w:spacing w:val="-1"/>
        </w:rPr>
        <w:t>在本合同终止后</w:t>
      </w:r>
      <w:r>
        <w:rPr>
          <w:rFonts w:ascii="Times New Roman" w:hAnsi="Times New Roman" w:eastAsia="Times New Roman" w:cs="Times New Roman"/>
          <w:spacing w:val="28"/>
          <w:w w:val="101"/>
          <w:u w:val="single" w:color="auto"/>
        </w:rPr>
        <w:t xml:space="preserve"> </w:t>
      </w:r>
      <w:r>
        <w:rPr>
          <w:rFonts w:ascii="Times New Roman" w:hAnsi="Times New Roman" w:eastAsia="Times New Roman" w:cs="Times New Roman"/>
          <w:spacing w:val="-1"/>
          <w:u w:val="single" w:color="auto"/>
        </w:rPr>
        <w:t xml:space="preserve">180 </w:t>
      </w:r>
      <w:r>
        <w:rPr>
          <w:spacing w:val="-1"/>
        </w:rPr>
        <w:t>天内，未征得委托人同</w:t>
      </w:r>
      <w:r>
        <w:rPr>
          <w:spacing w:val="-2"/>
        </w:rPr>
        <w:t>意，不得泄露与本合同业务</w:t>
      </w:r>
      <w:r>
        <w:t xml:space="preserve"> </w:t>
      </w:r>
      <w:r>
        <w:rPr>
          <w:spacing w:val="-1"/>
        </w:rPr>
        <w:t>有关的技术、商务等秘密。</w:t>
      </w:r>
    </w:p>
    <w:p w14:paraId="429BDEB4">
      <w:pPr>
        <w:spacing w:line="252" w:lineRule="auto"/>
        <w:rPr>
          <w:rFonts w:ascii="Arial"/>
          <w:sz w:val="21"/>
        </w:rPr>
      </w:pPr>
    </w:p>
    <w:p w14:paraId="429FD6C4">
      <w:pPr>
        <w:spacing w:line="253" w:lineRule="auto"/>
        <w:rPr>
          <w:rFonts w:ascii="Arial"/>
          <w:sz w:val="21"/>
        </w:rPr>
      </w:pPr>
    </w:p>
    <w:p w14:paraId="4786DF90">
      <w:pPr>
        <w:pStyle w:val="12"/>
        <w:spacing w:before="92" w:line="221" w:lineRule="auto"/>
        <w:ind w:left="3906"/>
        <w:outlineLvl w:val="0"/>
        <w:rPr>
          <w:sz w:val="28"/>
          <w:szCs w:val="28"/>
        </w:rPr>
      </w:pPr>
      <w:r>
        <w:rPr>
          <w:spacing w:val="-2"/>
          <w:sz w:val="28"/>
          <w:szCs w:val="28"/>
        </w:rPr>
        <w:t>监理服务酬金</w:t>
      </w:r>
    </w:p>
    <w:p w14:paraId="3817C570">
      <w:pPr>
        <w:pStyle w:val="12"/>
        <w:spacing w:before="205" w:line="220" w:lineRule="auto"/>
        <w:ind w:left="361"/>
        <w:outlineLvl w:val="1"/>
      </w:pPr>
      <w:r>
        <w:rPr>
          <w:b/>
          <w:bCs/>
          <w:spacing w:val="-2"/>
        </w:rPr>
        <w:t>第三十二条</w:t>
      </w:r>
      <w:r>
        <w:rPr>
          <w:spacing w:val="-47"/>
        </w:rPr>
        <w:t xml:space="preserve"> </w:t>
      </w:r>
      <w:r>
        <w:rPr>
          <w:spacing w:val="-2"/>
        </w:rPr>
        <w:t>监理服务酬金及支付方法：</w:t>
      </w:r>
    </w:p>
    <w:p w14:paraId="6FE49342">
      <w:pPr>
        <w:pStyle w:val="12"/>
        <w:spacing w:before="179" w:line="220" w:lineRule="auto"/>
        <w:ind w:left="482"/>
      </w:pPr>
      <w:r>
        <w:rPr>
          <w:spacing w:val="-1"/>
        </w:rPr>
        <w:t>一、支付时间为：监理报酬的支付按进展情况阶段分期支付。</w:t>
      </w:r>
    </w:p>
    <w:p w14:paraId="275649C6">
      <w:pPr>
        <w:pStyle w:val="12"/>
        <w:spacing w:before="182" w:line="220" w:lineRule="auto"/>
        <w:ind w:left="482"/>
      </w:pPr>
      <w:r>
        <w:rPr>
          <w:spacing w:val="-1"/>
        </w:rPr>
        <w:t>二、支付方式为：监理报酬的支付将分为前期支付、中期支付和最终支付。</w:t>
      </w:r>
    </w:p>
    <w:p w14:paraId="6C27BD18">
      <w:pPr>
        <w:pStyle w:val="12"/>
        <w:spacing w:before="145" w:line="333" w:lineRule="exact"/>
        <w:ind w:left="359"/>
      </w:pPr>
      <w:r>
        <w:rPr>
          <w:rFonts w:ascii="Times New Roman" w:hAnsi="Times New Roman" w:eastAsia="Times New Roman" w:cs="Times New Roman"/>
          <w:spacing w:val="-3"/>
          <w:position w:val="3"/>
        </w:rPr>
        <w:t>(1)</w:t>
      </w:r>
      <w:r>
        <w:rPr>
          <w:b/>
          <w:bCs/>
          <w:spacing w:val="-3"/>
          <w:position w:val="3"/>
        </w:rPr>
        <w:t>前期支付</w:t>
      </w:r>
    </w:p>
    <w:p w14:paraId="27DF3757">
      <w:pPr>
        <w:pStyle w:val="12"/>
        <w:spacing w:before="169" w:line="219" w:lineRule="auto"/>
        <w:ind w:left="480"/>
      </w:pPr>
      <w:r>
        <w:rPr>
          <w:spacing w:val="-2"/>
        </w:rPr>
        <w:t>本合同签订后</w:t>
      </w:r>
      <w:r>
        <w:rPr>
          <w:spacing w:val="-33"/>
        </w:rPr>
        <w:t xml:space="preserve"> </w:t>
      </w:r>
      <w:r>
        <w:rPr>
          <w:spacing w:val="-2"/>
        </w:rPr>
        <w:t>14</w:t>
      </w:r>
      <w:r>
        <w:rPr>
          <w:spacing w:val="-46"/>
        </w:rPr>
        <w:t xml:space="preserve"> </w:t>
      </w:r>
      <w:r>
        <w:rPr>
          <w:spacing w:val="-2"/>
        </w:rPr>
        <w:t>天内，第一次支付服务酬金为监理合同价</w:t>
      </w:r>
      <w:r>
        <w:rPr>
          <w:spacing w:val="-3"/>
        </w:rPr>
        <w:t>的</w:t>
      </w:r>
      <w:r>
        <w:rPr>
          <w:spacing w:val="-46"/>
        </w:rPr>
        <w:t xml:space="preserve"> </w:t>
      </w:r>
      <w:r>
        <w:rPr>
          <w:spacing w:val="-3"/>
        </w:rPr>
        <w:t>30%。</w:t>
      </w:r>
    </w:p>
    <w:p w14:paraId="544F6BA9">
      <w:pPr>
        <w:pStyle w:val="12"/>
        <w:spacing w:before="146" w:line="334" w:lineRule="exact"/>
        <w:ind w:left="393"/>
        <w:outlineLvl w:val="2"/>
      </w:pPr>
      <w:r>
        <w:rPr>
          <w:rFonts w:ascii="Times New Roman" w:hAnsi="Times New Roman" w:eastAsia="Times New Roman" w:cs="Times New Roman"/>
          <w:spacing w:val="-8"/>
          <w:position w:val="3"/>
        </w:rPr>
        <w:t>(2)</w:t>
      </w:r>
      <w:r>
        <w:rPr>
          <w:rFonts w:ascii="Times New Roman" w:hAnsi="Times New Roman" w:eastAsia="Times New Roman" w:cs="Times New Roman"/>
          <w:spacing w:val="36"/>
          <w:position w:val="3"/>
        </w:rPr>
        <w:t xml:space="preserve"> </w:t>
      </w:r>
      <w:r>
        <w:rPr>
          <w:b/>
          <w:bCs/>
          <w:spacing w:val="-8"/>
          <w:position w:val="3"/>
        </w:rPr>
        <w:t>中期支付</w:t>
      </w:r>
    </w:p>
    <w:p w14:paraId="223BEFA8">
      <w:pPr>
        <w:autoSpaceDE/>
        <w:autoSpaceDN/>
        <w:adjustRightInd/>
        <w:spacing w:line="360" w:lineRule="auto"/>
        <w:ind w:firstLine="393"/>
        <w:jc w:val="both"/>
        <w:rPr>
          <w:rFonts w:hAnsi="宋体"/>
          <w:kern w:val="2"/>
          <w:highlight w:val="none"/>
        </w:rPr>
      </w:pPr>
      <w:r>
        <w:rPr>
          <w:rFonts w:hint="eastAsia" w:ascii="宋体" w:hAnsi="宋体"/>
          <w:szCs w:val="22"/>
          <w:highlight w:val="none"/>
        </w:rPr>
        <w:t>工程监理费按照工程进度支付，进场开工完成工程量40%时，支付至合同价的35%；工程完成工程量50%时，支付至合同价的45%；工程完成工程量60%时，支付至合同价的55%；工程完成工程量70%时，支付至合同价的65%；工程完成工程量80%时，支付至合同价的75%；工程完工后，支付至合同监理费的</w:t>
      </w:r>
      <w:r>
        <w:rPr>
          <w:rFonts w:hint="eastAsia" w:ascii="宋体" w:hAnsi="宋体"/>
          <w:szCs w:val="22"/>
          <w:highlight w:val="none"/>
          <w:lang w:val="en-US" w:eastAsia="zh-CN"/>
        </w:rPr>
        <w:t>80</w:t>
      </w:r>
      <w:r>
        <w:rPr>
          <w:rFonts w:hint="eastAsia" w:ascii="宋体" w:hAnsi="宋体"/>
          <w:szCs w:val="22"/>
          <w:highlight w:val="none"/>
        </w:rPr>
        <w:t>%。</w:t>
      </w:r>
      <w:r>
        <w:rPr>
          <w:rFonts w:hAnsi="宋体"/>
          <w:kern w:val="2"/>
          <w:highlight w:val="none"/>
        </w:rPr>
        <w:t>监理单位应在工程进度达到支付标准后当月</w:t>
      </w:r>
      <w:r>
        <w:rPr>
          <w:rFonts w:hAnsi="Calibri"/>
          <w:kern w:val="2"/>
          <w:highlight w:val="none"/>
        </w:rPr>
        <w:t>20</w:t>
      </w:r>
      <w:r>
        <w:rPr>
          <w:rFonts w:hAnsi="宋体"/>
          <w:kern w:val="2"/>
          <w:highlight w:val="none"/>
        </w:rPr>
        <w:t>日前向委托人提交支付申请，委托人将</w:t>
      </w:r>
      <w:r>
        <w:rPr>
          <w:rFonts w:ascii="宋体" w:hAnsi="宋体"/>
          <w:szCs w:val="22"/>
          <w:highlight w:val="none"/>
        </w:rPr>
        <w:t>根据</w:t>
      </w:r>
      <w:r>
        <w:rPr>
          <w:rFonts w:hAnsi="宋体"/>
          <w:kern w:val="2"/>
          <w:highlight w:val="none"/>
        </w:rPr>
        <w:t>支付申请进行审批支</w:t>
      </w:r>
      <w:r>
        <w:rPr>
          <w:rFonts w:hint="eastAsia" w:hAnsi="宋体"/>
          <w:kern w:val="2"/>
          <w:highlight w:val="none"/>
        </w:rPr>
        <w:t>付。</w:t>
      </w:r>
    </w:p>
    <w:p w14:paraId="31B28A7C">
      <w:pPr>
        <w:autoSpaceDE/>
        <w:autoSpaceDN/>
        <w:adjustRightInd/>
        <w:spacing w:line="360" w:lineRule="auto"/>
        <w:ind w:firstLine="393"/>
        <w:jc w:val="both"/>
        <w:rPr>
          <w:rFonts w:hAnsi="宋体"/>
          <w:spacing w:val="11"/>
          <w:szCs w:val="20"/>
          <w:highlight w:val="none"/>
        </w:rPr>
      </w:pPr>
      <w:r>
        <w:rPr>
          <w:spacing w:val="11"/>
          <w:szCs w:val="20"/>
          <w:highlight w:val="none"/>
        </w:rPr>
        <w:t>(</w:t>
      </w:r>
      <w:r>
        <w:rPr>
          <w:rFonts w:hint="eastAsia"/>
          <w:spacing w:val="11"/>
          <w:szCs w:val="20"/>
          <w:highlight w:val="none"/>
        </w:rPr>
        <w:t>3</w:t>
      </w:r>
      <w:r>
        <w:rPr>
          <w:spacing w:val="11"/>
          <w:szCs w:val="20"/>
          <w:highlight w:val="none"/>
        </w:rPr>
        <w:t>)</w:t>
      </w:r>
      <w:r>
        <w:rPr>
          <w:rFonts w:hAnsi="宋体"/>
          <w:b/>
          <w:spacing w:val="11"/>
          <w:szCs w:val="20"/>
          <w:highlight w:val="none"/>
        </w:rPr>
        <w:t>最终支付</w:t>
      </w:r>
      <w:r>
        <w:rPr>
          <w:rFonts w:hint="eastAsia"/>
          <w:b/>
          <w:spacing w:val="11"/>
          <w:szCs w:val="20"/>
          <w:highlight w:val="none"/>
          <w:lang w:val="en-US" w:eastAsia="zh-CN"/>
        </w:rPr>
        <w:t>20</w:t>
      </w:r>
      <w:r>
        <w:rPr>
          <w:b/>
          <w:spacing w:val="11"/>
          <w:szCs w:val="20"/>
          <w:highlight w:val="none"/>
        </w:rPr>
        <w:t>%</w:t>
      </w:r>
      <w:r>
        <w:rPr>
          <w:rFonts w:hAnsi="宋体"/>
          <w:b/>
          <w:spacing w:val="11"/>
          <w:szCs w:val="20"/>
          <w:highlight w:val="none"/>
        </w:rPr>
        <w:t>的监理报酬，</w:t>
      </w:r>
      <w:r>
        <w:rPr>
          <w:rFonts w:hAnsi="宋体"/>
          <w:spacing w:val="11"/>
          <w:szCs w:val="20"/>
          <w:highlight w:val="none"/>
        </w:rPr>
        <w:t>在工程施工结算后</w:t>
      </w:r>
      <w:r>
        <w:rPr>
          <w:spacing w:val="11"/>
          <w:szCs w:val="20"/>
          <w:highlight w:val="none"/>
        </w:rPr>
        <w:t>14</w:t>
      </w:r>
      <w:r>
        <w:rPr>
          <w:rFonts w:hAnsi="宋体"/>
          <w:spacing w:val="11"/>
          <w:szCs w:val="20"/>
          <w:highlight w:val="none"/>
        </w:rPr>
        <w:t>天内予以支付，监理费最终结算价不得超过经评审的概算中的工程建设监理费。</w:t>
      </w:r>
    </w:p>
    <w:p w14:paraId="4BC34D7D">
      <w:pPr>
        <w:pStyle w:val="12"/>
        <w:spacing w:before="55" w:line="219" w:lineRule="auto"/>
        <w:ind w:left="392"/>
      </w:pPr>
      <w:r>
        <w:rPr>
          <w:spacing w:val="10"/>
        </w:rPr>
        <w:t>三、监理服务酬金为中标价，总价包干，不因工程投资变动</w:t>
      </w:r>
      <w:r>
        <w:rPr>
          <w:spacing w:val="9"/>
        </w:rPr>
        <w:t>而调整。</w:t>
      </w:r>
    </w:p>
    <w:p w14:paraId="717C161A">
      <w:pPr>
        <w:pStyle w:val="12"/>
        <w:spacing w:before="184" w:line="219" w:lineRule="auto"/>
        <w:ind w:left="361"/>
      </w:pPr>
      <w:r>
        <w:rPr>
          <w:b/>
          <w:bCs/>
          <w:spacing w:val="-2"/>
        </w:rPr>
        <w:t>第三十三条</w:t>
      </w:r>
      <w:r>
        <w:rPr>
          <w:spacing w:val="-37"/>
        </w:rPr>
        <w:t xml:space="preserve"> </w:t>
      </w:r>
      <w:r>
        <w:rPr>
          <w:spacing w:val="-2"/>
        </w:rPr>
        <w:t>监理附加服务酬金的计取与支付方法：</w:t>
      </w:r>
    </w:p>
    <w:p w14:paraId="39AAC88C">
      <w:pPr>
        <w:pStyle w:val="12"/>
        <w:spacing w:before="180" w:line="219" w:lineRule="auto"/>
        <w:ind w:left="0" w:leftChars="0" w:firstLine="0" w:firstLineChars="0"/>
        <w:jc w:val="both"/>
        <w:sectPr>
          <w:footerReference r:id="rId17" w:type="default"/>
          <w:pgSz w:w="11905" w:h="16839"/>
          <w:pgMar w:top="1405" w:right="1395" w:bottom="1019" w:left="1426" w:header="0" w:footer="742" w:gutter="0"/>
          <w:cols w:space="720" w:num="1"/>
        </w:sectPr>
      </w:pPr>
      <w:r>
        <w:rPr>
          <w:b/>
          <w:bCs/>
          <w:spacing w:val="4"/>
        </w:rPr>
        <w:t>一、计取方法为：</w:t>
      </w:r>
      <w:r>
        <w:rPr>
          <w:spacing w:val="4"/>
          <w:u w:val="single" w:color="auto"/>
        </w:rPr>
        <w:t>监理附加服务所需的费用，监理人在投标报价时应充分考虑</w:t>
      </w:r>
    </w:p>
    <w:p w14:paraId="2127C5A6">
      <w:pPr>
        <w:pStyle w:val="12"/>
        <w:spacing w:before="48" w:line="220" w:lineRule="auto"/>
        <w:ind w:left="0" w:leftChars="0" w:firstLine="0" w:firstLineChars="0"/>
      </w:pPr>
      <w:r>
        <w:rPr>
          <w:spacing w:val="-1"/>
          <w:u w:val="single" w:color="auto"/>
        </w:rPr>
        <w:t>委托人不另行计算和支付该项费用</w:t>
      </w:r>
      <w:r>
        <w:rPr>
          <w:b/>
          <w:bCs/>
          <w:spacing w:val="-1"/>
        </w:rPr>
        <w:t>。</w:t>
      </w:r>
    </w:p>
    <w:p w14:paraId="1D842B3F">
      <w:pPr>
        <w:pStyle w:val="12"/>
        <w:spacing w:before="179" w:line="220" w:lineRule="auto"/>
        <w:ind w:left="484"/>
      </w:pPr>
      <w:r>
        <w:rPr>
          <w:b/>
          <w:bCs/>
          <w:spacing w:val="-3"/>
        </w:rPr>
        <w:t>二、支付方式为：</w:t>
      </w:r>
      <w:r>
        <w:rPr>
          <w:spacing w:val="-3"/>
          <w:u w:val="single" w:color="auto"/>
        </w:rPr>
        <w:t>无</w:t>
      </w:r>
      <w:r>
        <w:rPr>
          <w:b/>
          <w:bCs/>
          <w:spacing w:val="-3"/>
        </w:rPr>
        <w:t>。</w:t>
      </w:r>
    </w:p>
    <w:p w14:paraId="0176FB70">
      <w:pPr>
        <w:pStyle w:val="12"/>
        <w:spacing w:before="182" w:line="220" w:lineRule="auto"/>
        <w:ind w:left="480"/>
      </w:pPr>
      <w:r>
        <w:rPr>
          <w:b/>
          <w:bCs/>
          <w:spacing w:val="-3"/>
        </w:rPr>
        <w:t>三、支付时间为：</w:t>
      </w:r>
      <w:r>
        <w:rPr>
          <w:spacing w:val="-3"/>
          <w:u w:val="single" w:color="auto"/>
        </w:rPr>
        <w:t>无</w:t>
      </w:r>
      <w:r>
        <w:rPr>
          <w:b/>
          <w:bCs/>
          <w:spacing w:val="-3"/>
        </w:rPr>
        <w:t>。</w:t>
      </w:r>
    </w:p>
    <w:p w14:paraId="0AE33088">
      <w:pPr>
        <w:pStyle w:val="12"/>
        <w:spacing w:before="301" w:line="360" w:lineRule="auto"/>
        <w:ind w:left="1" w:right="9" w:firstLine="419"/>
        <w:jc w:val="both"/>
      </w:pPr>
      <w:r>
        <w:rPr>
          <w:b/>
          <w:bCs/>
          <w:spacing w:val="4"/>
        </w:rPr>
        <w:t>第三十六条</w:t>
      </w:r>
      <w:r>
        <w:rPr>
          <w:spacing w:val="-22"/>
        </w:rPr>
        <w:t xml:space="preserve"> </w:t>
      </w:r>
      <w:r>
        <w:rPr>
          <w:spacing w:val="4"/>
        </w:rPr>
        <w:t>因工程建设计划调整、较大的工程设计变</w:t>
      </w:r>
      <w:r>
        <w:rPr>
          <w:spacing w:val="3"/>
        </w:rPr>
        <w:t>更、不良地质条件等非监理</w:t>
      </w:r>
      <w:r>
        <w:t xml:space="preserve"> </w:t>
      </w:r>
      <w:r>
        <w:rPr>
          <w:spacing w:val="5"/>
        </w:rPr>
        <w:t>人原因致使本合同约定的服务范围、内容和服务形式发生较大变化时，委</w:t>
      </w:r>
      <w:r>
        <w:rPr>
          <w:spacing w:val="4"/>
        </w:rPr>
        <w:t>托人有权对</w:t>
      </w:r>
      <w:r>
        <w:t xml:space="preserve"> </w:t>
      </w:r>
      <w:r>
        <w:rPr>
          <w:spacing w:val="5"/>
        </w:rPr>
        <w:t>监理服务范围、内容和服务形式、监理服务期限进行调整，监理人不行拒</w:t>
      </w:r>
      <w:r>
        <w:rPr>
          <w:spacing w:val="4"/>
        </w:rPr>
        <w:t>绝，监理服</w:t>
      </w:r>
      <w:r>
        <w:t xml:space="preserve"> </w:t>
      </w:r>
      <w:r>
        <w:rPr>
          <w:spacing w:val="-1"/>
        </w:rPr>
        <w:t>务酬金按照实际完成的监理工作的正常服务费用计取。</w:t>
      </w:r>
    </w:p>
    <w:p w14:paraId="2467C554">
      <w:pPr>
        <w:pStyle w:val="12"/>
        <w:spacing w:before="120" w:line="221" w:lineRule="auto"/>
        <w:ind w:left="4351"/>
        <w:outlineLvl w:val="0"/>
        <w:rPr>
          <w:sz w:val="28"/>
          <w:szCs w:val="28"/>
        </w:rPr>
      </w:pPr>
      <w:r>
        <w:rPr>
          <w:spacing w:val="-3"/>
          <w:sz w:val="28"/>
          <w:szCs w:val="28"/>
        </w:rPr>
        <w:t>违约责任</w:t>
      </w:r>
    </w:p>
    <w:p w14:paraId="54319FC7">
      <w:pPr>
        <w:spacing w:line="242" w:lineRule="auto"/>
        <w:rPr>
          <w:rFonts w:ascii="Arial"/>
          <w:sz w:val="21"/>
        </w:rPr>
      </w:pPr>
    </w:p>
    <w:p w14:paraId="78AA46BC">
      <w:pPr>
        <w:pStyle w:val="12"/>
        <w:spacing w:before="78" w:line="220" w:lineRule="auto"/>
        <w:ind w:left="363"/>
        <w:outlineLvl w:val="1"/>
      </w:pPr>
      <w:r>
        <w:rPr>
          <w:b/>
          <w:bCs/>
          <w:spacing w:val="-2"/>
        </w:rPr>
        <w:t>第四十条</w:t>
      </w:r>
      <w:r>
        <w:rPr>
          <w:spacing w:val="-37"/>
        </w:rPr>
        <w:t xml:space="preserve"> </w:t>
      </w:r>
      <w:r>
        <w:rPr>
          <w:spacing w:val="-2"/>
        </w:rPr>
        <w:t>委托人违约，应支付给监理人违约金。</w:t>
      </w:r>
    </w:p>
    <w:p w14:paraId="21F22CDB">
      <w:pPr>
        <w:pStyle w:val="12"/>
        <w:spacing w:before="182" w:line="221" w:lineRule="auto"/>
        <w:ind w:left="480"/>
      </w:pPr>
      <w:r>
        <w:rPr>
          <w:spacing w:val="-1"/>
        </w:rPr>
        <w:t>违约金：</w:t>
      </w:r>
      <w:r>
        <w:rPr>
          <w:spacing w:val="-1"/>
          <w:u w:val="single" w:color="auto"/>
        </w:rPr>
        <w:t>由双方协商确定</w:t>
      </w:r>
      <w:r>
        <w:rPr>
          <w:spacing w:val="-1"/>
        </w:rPr>
        <w:t>。</w:t>
      </w:r>
    </w:p>
    <w:p w14:paraId="1ED2EBC4">
      <w:pPr>
        <w:pStyle w:val="12"/>
        <w:spacing w:before="179" w:line="220" w:lineRule="auto"/>
        <w:ind w:right="9"/>
        <w:jc w:val="right"/>
        <w:outlineLvl w:val="1"/>
      </w:pPr>
      <w:r>
        <w:rPr>
          <w:b/>
          <w:bCs/>
          <w:spacing w:val="-1"/>
        </w:rPr>
        <w:t>第四十一条</w:t>
      </w:r>
      <w:r>
        <w:rPr>
          <w:spacing w:val="-38"/>
        </w:rPr>
        <w:t xml:space="preserve"> </w:t>
      </w:r>
      <w:r>
        <w:rPr>
          <w:spacing w:val="-1"/>
        </w:rPr>
        <w:t>若委托人不能按期支付监理服务酬金，委托人按中国人民银行同期贷款</w:t>
      </w:r>
    </w:p>
    <w:p w14:paraId="2591C50A">
      <w:pPr>
        <w:pStyle w:val="12"/>
        <w:spacing w:before="182" w:line="220" w:lineRule="auto"/>
        <w:ind w:left="1"/>
      </w:pPr>
      <w:r>
        <w:rPr>
          <w:spacing w:val="-1"/>
        </w:rPr>
        <w:t>利率向监理人支付逾期付款利息。</w:t>
      </w:r>
    </w:p>
    <w:p w14:paraId="0D191DB8">
      <w:pPr>
        <w:pStyle w:val="12"/>
        <w:spacing w:before="179" w:line="220" w:lineRule="auto"/>
        <w:ind w:left="363"/>
        <w:outlineLvl w:val="1"/>
      </w:pPr>
      <w:r>
        <w:rPr>
          <w:b/>
          <w:bCs/>
          <w:spacing w:val="-1"/>
        </w:rPr>
        <w:t>第四十二条</w:t>
      </w:r>
      <w:r>
        <w:rPr>
          <w:spacing w:val="-52"/>
        </w:rPr>
        <w:t xml:space="preserve"> </w:t>
      </w:r>
      <w:r>
        <w:rPr>
          <w:spacing w:val="-1"/>
        </w:rPr>
        <w:t>监理人有以下违约行为，应支付给委托人违约</w:t>
      </w:r>
      <w:r>
        <w:rPr>
          <w:spacing w:val="-2"/>
        </w:rPr>
        <w:t>金：</w:t>
      </w:r>
    </w:p>
    <w:p w14:paraId="73B4E52F">
      <w:pPr>
        <w:pStyle w:val="12"/>
        <w:spacing w:before="182" w:line="359" w:lineRule="auto"/>
        <w:ind w:right="11" w:firstLine="522"/>
      </w:pPr>
      <w:r>
        <w:rPr>
          <w:spacing w:val="4"/>
        </w:rPr>
        <w:t>(1) 监理人在履行监理服务合同中，由于过失行为给</w:t>
      </w:r>
      <w:r>
        <w:rPr>
          <w:spacing w:val="3"/>
        </w:rPr>
        <w:t>发包人带来经济损失的，应</w:t>
      </w:r>
      <w:r>
        <w:t xml:space="preserve"> </w:t>
      </w:r>
      <w:r>
        <w:rPr>
          <w:spacing w:val="-1"/>
        </w:rPr>
        <w:t>赔偿发包人的赔偿金计算公式为：</w:t>
      </w:r>
    </w:p>
    <w:p w14:paraId="356903AC">
      <w:pPr>
        <w:pStyle w:val="12"/>
        <w:spacing w:line="220" w:lineRule="auto"/>
        <w:ind w:left="480"/>
      </w:pPr>
      <w:r>
        <w:rPr>
          <w:spacing w:val="-1"/>
        </w:rPr>
        <w:t>赔偿金=直接经济损失×报酬(税金等各项应扣费用扣除后)比率</w:t>
      </w:r>
    </w:p>
    <w:p w14:paraId="67F5CE0C">
      <w:pPr>
        <w:pStyle w:val="12"/>
        <w:spacing w:before="180" w:line="290" w:lineRule="auto"/>
        <w:ind w:left="6" w:right="68" w:firstLine="516"/>
      </w:pPr>
      <w:r>
        <w:rPr>
          <w:spacing w:val="2"/>
        </w:rPr>
        <w:t>(2) 监理人未按规定进驻现场或者未按要求旁站监理的，除按承诺书接受处罚，</w:t>
      </w:r>
      <w:r>
        <w:rPr>
          <w:spacing w:val="6"/>
        </w:rPr>
        <w:t xml:space="preserve"> </w:t>
      </w:r>
      <w:r>
        <w:rPr>
          <w:spacing w:val="-4"/>
        </w:rPr>
        <w:t>并每次向发包人支付</w:t>
      </w:r>
      <w:r>
        <w:rPr>
          <w:spacing w:val="-24"/>
        </w:rPr>
        <w:t xml:space="preserve"> </w:t>
      </w:r>
      <w:r>
        <w:rPr>
          <w:spacing w:val="-4"/>
        </w:rPr>
        <w:t>1</w:t>
      </w:r>
      <w:r>
        <w:rPr>
          <w:spacing w:val="-49"/>
        </w:rPr>
        <w:t xml:space="preserve"> </w:t>
      </w:r>
      <w:r>
        <w:rPr>
          <w:spacing w:val="-4"/>
        </w:rPr>
        <w:t>仟元违约金。</w:t>
      </w:r>
    </w:p>
    <w:p w14:paraId="773C39F6">
      <w:pPr>
        <w:pStyle w:val="12"/>
        <w:spacing w:before="182" w:line="289" w:lineRule="auto"/>
        <w:ind w:left="2" w:right="11" w:firstLine="520"/>
      </w:pPr>
      <w:r>
        <w:rPr>
          <w:spacing w:val="4"/>
        </w:rPr>
        <w:t>(3) 监理人未按规定向发包人报告工作或者提供不实</w:t>
      </w:r>
      <w:r>
        <w:rPr>
          <w:spacing w:val="3"/>
        </w:rPr>
        <w:t>报告的，向发包人支付违约</w:t>
      </w:r>
      <w:r>
        <w:t xml:space="preserve"> </w:t>
      </w:r>
      <w:r>
        <w:rPr>
          <w:spacing w:val="-10"/>
        </w:rPr>
        <w:t>金</w:t>
      </w:r>
      <w:r>
        <w:rPr>
          <w:spacing w:val="-33"/>
        </w:rPr>
        <w:t xml:space="preserve"> </w:t>
      </w:r>
      <w:r>
        <w:rPr>
          <w:spacing w:val="-10"/>
        </w:rPr>
        <w:t>1</w:t>
      </w:r>
      <w:r>
        <w:rPr>
          <w:spacing w:val="-49"/>
        </w:rPr>
        <w:t xml:space="preserve"> </w:t>
      </w:r>
      <w:r>
        <w:rPr>
          <w:spacing w:val="-10"/>
        </w:rPr>
        <w:t>仟元。</w:t>
      </w:r>
    </w:p>
    <w:p w14:paraId="585DFD75">
      <w:pPr>
        <w:pStyle w:val="12"/>
        <w:spacing w:before="182" w:line="220" w:lineRule="auto"/>
        <w:jc w:val="right"/>
      </w:pPr>
      <w:r>
        <w:rPr>
          <w:spacing w:val="-3"/>
        </w:rPr>
        <w:t>(4) 监理人指派不具有相应资质的人员进行监</w:t>
      </w:r>
      <w:r>
        <w:rPr>
          <w:spacing w:val="-4"/>
        </w:rPr>
        <w:t>理的，向发包人支付违约金</w:t>
      </w:r>
      <w:r>
        <w:rPr>
          <w:spacing w:val="-33"/>
        </w:rPr>
        <w:t xml:space="preserve"> </w:t>
      </w:r>
      <w:r>
        <w:rPr>
          <w:spacing w:val="-4"/>
        </w:rPr>
        <w:t>1</w:t>
      </w:r>
      <w:r>
        <w:rPr>
          <w:spacing w:val="-49"/>
        </w:rPr>
        <w:t xml:space="preserve"> </w:t>
      </w:r>
      <w:r>
        <w:rPr>
          <w:spacing w:val="-4"/>
        </w:rPr>
        <w:t>仟元。</w:t>
      </w:r>
    </w:p>
    <w:p w14:paraId="15229368">
      <w:pPr>
        <w:pStyle w:val="12"/>
        <w:spacing w:before="180" w:line="290" w:lineRule="auto"/>
        <w:ind w:left="1" w:right="11" w:firstLine="521"/>
      </w:pPr>
      <w:r>
        <w:rPr>
          <w:spacing w:val="4"/>
        </w:rPr>
        <w:t>(5) 监理人及其工作人员接受承包人或者建筑材料、</w:t>
      </w:r>
      <w:r>
        <w:rPr>
          <w:spacing w:val="3"/>
        </w:rPr>
        <w:t>建筑构配件和设备供应人的</w:t>
      </w:r>
      <w:r>
        <w:t xml:space="preserve"> </w:t>
      </w:r>
      <w:r>
        <w:rPr>
          <w:spacing w:val="-2"/>
        </w:rPr>
        <w:t>利益或者请客送礼的，每次向发包人支付违约金</w:t>
      </w:r>
      <w:r>
        <w:rPr>
          <w:spacing w:val="-33"/>
        </w:rPr>
        <w:t xml:space="preserve"> </w:t>
      </w:r>
      <w:r>
        <w:rPr>
          <w:spacing w:val="-2"/>
        </w:rPr>
        <w:t>5</w:t>
      </w:r>
      <w:r>
        <w:rPr>
          <w:spacing w:val="-49"/>
        </w:rPr>
        <w:t xml:space="preserve"> </w:t>
      </w:r>
      <w:r>
        <w:rPr>
          <w:spacing w:val="-2"/>
        </w:rPr>
        <w:t>仟元。</w:t>
      </w:r>
    </w:p>
    <w:p w14:paraId="426E22CB">
      <w:pPr>
        <w:pStyle w:val="12"/>
        <w:spacing w:before="179" w:line="290" w:lineRule="auto"/>
        <w:ind w:left="1" w:right="11" w:firstLine="521"/>
      </w:pPr>
      <w:r>
        <w:rPr>
          <w:spacing w:val="2"/>
        </w:rPr>
        <w:t>(6) 监理人在工作中超越合同规定权限审批的，向发包人支付违约金</w:t>
      </w:r>
      <w:r>
        <w:rPr>
          <w:spacing w:val="-14"/>
        </w:rPr>
        <w:t xml:space="preserve"> </w:t>
      </w:r>
      <w:r>
        <w:rPr>
          <w:spacing w:val="2"/>
        </w:rPr>
        <w:t>1</w:t>
      </w:r>
      <w:r>
        <w:rPr>
          <w:spacing w:val="-44"/>
        </w:rPr>
        <w:t xml:space="preserve"> </w:t>
      </w:r>
      <w:r>
        <w:rPr>
          <w:spacing w:val="2"/>
        </w:rPr>
        <w:t>仟元，负</w:t>
      </w:r>
      <w:r>
        <w:t xml:space="preserve"> </w:t>
      </w:r>
      <w:r>
        <w:rPr>
          <w:spacing w:val="-1"/>
        </w:rPr>
        <w:t>有直接责任的监理人员应当被撤换。</w:t>
      </w:r>
    </w:p>
    <w:p w14:paraId="5EC7770E">
      <w:pPr>
        <w:pStyle w:val="12"/>
        <w:spacing w:before="179" w:line="313" w:lineRule="auto"/>
        <w:ind w:left="1" w:right="9" w:firstLine="521"/>
      </w:pPr>
      <w:r>
        <w:rPr>
          <w:spacing w:val="2"/>
        </w:rPr>
        <w:t>(7) 监理人在计量或变更设计工作中弄虚作假的，每次向发包人支付</w:t>
      </w:r>
      <w:r>
        <w:rPr>
          <w:spacing w:val="-17"/>
        </w:rPr>
        <w:t xml:space="preserve"> </w:t>
      </w:r>
      <w:r>
        <w:rPr>
          <w:spacing w:val="2"/>
        </w:rPr>
        <w:t>1</w:t>
      </w:r>
      <w:r>
        <w:rPr>
          <w:spacing w:val="-41"/>
        </w:rPr>
        <w:t xml:space="preserve"> </w:t>
      </w:r>
      <w:r>
        <w:rPr>
          <w:spacing w:val="2"/>
        </w:rPr>
        <w:t>万元违约</w:t>
      </w:r>
      <w:r>
        <w:t xml:space="preserve"> </w:t>
      </w:r>
      <w:r>
        <w:rPr>
          <w:spacing w:val="5"/>
        </w:rPr>
        <w:t>金；造成发包人损失的，应当赔偿全部损失或者与有关责任人连带赔偿全</w:t>
      </w:r>
      <w:r>
        <w:rPr>
          <w:spacing w:val="4"/>
        </w:rPr>
        <w:t>部损失；负</w:t>
      </w:r>
      <w:r>
        <w:t xml:space="preserve"> </w:t>
      </w:r>
      <w:r>
        <w:rPr>
          <w:spacing w:val="-1"/>
        </w:rPr>
        <w:t>有直接责任的监理人员应当被撤换。</w:t>
      </w:r>
    </w:p>
    <w:p w14:paraId="1D590640">
      <w:pPr>
        <w:pStyle w:val="12"/>
        <w:spacing w:before="182" w:line="219" w:lineRule="auto"/>
        <w:ind w:right="11"/>
        <w:jc w:val="right"/>
      </w:pPr>
      <w:r>
        <w:rPr>
          <w:spacing w:val="4"/>
        </w:rPr>
        <w:t>(8) 监理人明知不合格的建设工程、建筑材料、建筑</w:t>
      </w:r>
      <w:r>
        <w:rPr>
          <w:spacing w:val="3"/>
        </w:rPr>
        <w:t>构配件和设备按照合格签字</w:t>
      </w:r>
    </w:p>
    <w:p w14:paraId="5747AE32">
      <w:pPr>
        <w:spacing w:line="219" w:lineRule="auto"/>
        <w:sectPr>
          <w:footerReference r:id="rId18" w:type="default"/>
          <w:pgSz w:w="11905" w:h="16839"/>
          <w:pgMar w:top="1405" w:right="1407" w:bottom="1019" w:left="1424" w:header="0" w:footer="742" w:gutter="0"/>
          <w:cols w:space="720" w:num="1"/>
        </w:sectPr>
      </w:pPr>
    </w:p>
    <w:p w14:paraId="7D690063">
      <w:pPr>
        <w:pStyle w:val="12"/>
        <w:spacing w:before="48" w:line="359" w:lineRule="auto"/>
        <w:ind w:left="9" w:right="107" w:firstLine="11"/>
      </w:pPr>
      <w:r>
        <w:rPr>
          <w:spacing w:val="3"/>
        </w:rPr>
        <w:t>的，向发包人支付</w:t>
      </w:r>
      <w:r>
        <w:rPr>
          <w:spacing w:val="-26"/>
        </w:rPr>
        <w:t xml:space="preserve"> </w:t>
      </w:r>
      <w:r>
        <w:rPr>
          <w:spacing w:val="3"/>
        </w:rPr>
        <w:t>1</w:t>
      </w:r>
      <w:r>
        <w:rPr>
          <w:spacing w:val="-40"/>
        </w:rPr>
        <w:t xml:space="preserve"> </w:t>
      </w:r>
      <w:r>
        <w:rPr>
          <w:spacing w:val="3"/>
        </w:rPr>
        <w:t>万元违约金；造成发包人损失的，应当赔偿部分损失或</w:t>
      </w:r>
      <w:r>
        <w:rPr>
          <w:spacing w:val="2"/>
        </w:rPr>
        <w:t>者与有关</w:t>
      </w:r>
      <w:r>
        <w:t xml:space="preserve"> </w:t>
      </w:r>
      <w:r>
        <w:rPr>
          <w:spacing w:val="-2"/>
        </w:rPr>
        <w:t>责任人连带赔偿全部损失。</w:t>
      </w:r>
    </w:p>
    <w:p w14:paraId="715387EA">
      <w:pPr>
        <w:pStyle w:val="12"/>
        <w:spacing w:line="324" w:lineRule="auto"/>
        <w:ind w:right="107" w:firstLine="523"/>
      </w:pPr>
      <w:r>
        <w:rPr>
          <w:spacing w:val="4"/>
        </w:rPr>
        <w:t>(9) 监理人对承包人的野蛮施工、违规操作、上一工</w:t>
      </w:r>
      <w:r>
        <w:rPr>
          <w:spacing w:val="3"/>
        </w:rPr>
        <w:t>序（单元工程）质量未验收</w:t>
      </w:r>
      <w:r>
        <w:t xml:space="preserve"> </w:t>
      </w:r>
      <w:r>
        <w:rPr>
          <w:spacing w:val="5"/>
        </w:rPr>
        <w:t>合格就进行下一工序（单元工程）施工的行为未及时采取有效措施的，每次向</w:t>
      </w:r>
      <w:r>
        <w:rPr>
          <w:spacing w:val="4"/>
        </w:rPr>
        <w:t>发包人</w:t>
      </w:r>
      <w:r>
        <w:t xml:space="preserve"> </w:t>
      </w:r>
      <w:r>
        <w:rPr>
          <w:spacing w:val="4"/>
        </w:rPr>
        <w:t>支付违约金</w:t>
      </w:r>
      <w:r>
        <w:rPr>
          <w:spacing w:val="-41"/>
        </w:rPr>
        <w:t xml:space="preserve"> </w:t>
      </w:r>
      <w:r>
        <w:rPr>
          <w:spacing w:val="4"/>
        </w:rPr>
        <w:t>5</w:t>
      </w:r>
      <w:r>
        <w:rPr>
          <w:spacing w:val="-43"/>
        </w:rPr>
        <w:t xml:space="preserve"> </w:t>
      </w:r>
      <w:r>
        <w:rPr>
          <w:spacing w:val="4"/>
        </w:rPr>
        <w:t>仟元，造成发包人损失的，应当赔偿全部损失或者与有关责任</w:t>
      </w:r>
      <w:r>
        <w:rPr>
          <w:spacing w:val="3"/>
        </w:rPr>
        <w:t>人连带赔</w:t>
      </w:r>
      <w:r>
        <w:t xml:space="preserve"> </w:t>
      </w:r>
      <w:r>
        <w:rPr>
          <w:spacing w:val="-1"/>
        </w:rPr>
        <w:t>偿全部损失；负有直接责任的监理人员应当被撤换。</w:t>
      </w:r>
    </w:p>
    <w:p w14:paraId="70617D57">
      <w:pPr>
        <w:pStyle w:val="12"/>
        <w:spacing w:before="182" w:line="289" w:lineRule="auto"/>
        <w:ind w:left="6" w:right="107" w:firstLine="516"/>
      </w:pPr>
      <w:r>
        <w:rPr>
          <w:spacing w:val="-1"/>
        </w:rPr>
        <w:t>(10) 监理人与承包人串通，弄虚作假、降低工程质量的，向发包人支付</w:t>
      </w:r>
      <w:r>
        <w:rPr>
          <w:spacing w:val="-21"/>
        </w:rPr>
        <w:t xml:space="preserve"> </w:t>
      </w:r>
      <w:r>
        <w:rPr>
          <w:spacing w:val="-1"/>
        </w:rPr>
        <w:t>1</w:t>
      </w:r>
      <w:r>
        <w:rPr>
          <w:spacing w:val="-42"/>
        </w:rPr>
        <w:t xml:space="preserve"> </w:t>
      </w:r>
      <w:r>
        <w:rPr>
          <w:spacing w:val="-1"/>
        </w:rPr>
        <w:t>万元违</w:t>
      </w:r>
      <w:r>
        <w:t xml:space="preserve"> 约金；造成发包人损失的，应当赔偿全部损失</w:t>
      </w:r>
      <w:r>
        <w:rPr>
          <w:spacing w:val="-1"/>
        </w:rPr>
        <w:t>或者与有关责任人连带赔偿全部损失。</w:t>
      </w:r>
    </w:p>
    <w:p w14:paraId="1BF4E8EA">
      <w:pPr>
        <w:pStyle w:val="12"/>
        <w:spacing w:before="179" w:line="313" w:lineRule="auto"/>
        <w:ind w:right="107" w:firstLine="522"/>
      </w:pPr>
      <w:r>
        <w:rPr>
          <w:spacing w:val="1"/>
        </w:rPr>
        <w:t>(11) 监理人及其工作人员向承包人介</w:t>
      </w:r>
      <w:r>
        <w:t xml:space="preserve">绍分包队伍，推荐建筑材料、建筑构配件和 </w:t>
      </w:r>
      <w:r>
        <w:rPr>
          <w:spacing w:val="3"/>
        </w:rPr>
        <w:t>设备的，向发包人支付</w:t>
      </w:r>
      <w:r>
        <w:rPr>
          <w:spacing w:val="-12"/>
        </w:rPr>
        <w:t xml:space="preserve"> </w:t>
      </w:r>
      <w:r>
        <w:rPr>
          <w:spacing w:val="3"/>
        </w:rPr>
        <w:t>1</w:t>
      </w:r>
      <w:r>
        <w:rPr>
          <w:spacing w:val="-38"/>
        </w:rPr>
        <w:t xml:space="preserve"> </w:t>
      </w:r>
      <w:r>
        <w:rPr>
          <w:spacing w:val="3"/>
        </w:rPr>
        <w:t>万元违约金，监理人及其介绍的分包队伍将被清除出场。但</w:t>
      </w:r>
      <w:r>
        <w:t xml:space="preserve"> </w:t>
      </w:r>
      <w:r>
        <w:rPr>
          <w:spacing w:val="-1"/>
        </w:rPr>
        <w:t>介绍或者推荐经发包人书面同意的除外。</w:t>
      </w:r>
    </w:p>
    <w:p w14:paraId="22F8EB9A">
      <w:pPr>
        <w:pStyle w:val="12"/>
        <w:spacing w:before="180" w:line="290" w:lineRule="auto"/>
        <w:ind w:left="20" w:right="108" w:firstLine="502"/>
      </w:pPr>
      <w:r>
        <w:rPr>
          <w:spacing w:val="1"/>
        </w:rPr>
        <w:t>(12) 监理人转包或者分包监理业务的</w:t>
      </w:r>
      <w:r>
        <w:t xml:space="preserve">，发包人有权解除合同，给发包人造成损失 </w:t>
      </w:r>
      <w:r>
        <w:rPr>
          <w:spacing w:val="-1"/>
        </w:rPr>
        <w:t>的，还应当赔偿全部损失或者与有关责任人连带赔偿全部</w:t>
      </w:r>
      <w:r>
        <w:rPr>
          <w:spacing w:val="-2"/>
        </w:rPr>
        <w:t>损失。</w:t>
      </w:r>
    </w:p>
    <w:p w14:paraId="10750127">
      <w:pPr>
        <w:pStyle w:val="12"/>
        <w:spacing w:before="182" w:line="289" w:lineRule="auto"/>
        <w:ind w:left="1" w:firstLine="521"/>
      </w:pPr>
      <w:r>
        <w:rPr>
          <w:spacing w:val="-5"/>
        </w:rPr>
        <w:t>(13)</w:t>
      </w:r>
      <w:r>
        <w:rPr>
          <w:spacing w:val="38"/>
        </w:rPr>
        <w:t xml:space="preserve"> </w:t>
      </w:r>
      <w:r>
        <w:rPr>
          <w:spacing w:val="-5"/>
        </w:rPr>
        <w:t>因监理人的故意行为致使工期延误的，逾期每日向发包人支付</w:t>
      </w:r>
      <w:r>
        <w:rPr>
          <w:spacing w:val="-33"/>
        </w:rPr>
        <w:t xml:space="preserve"> </w:t>
      </w:r>
      <w:r>
        <w:rPr>
          <w:spacing w:val="-5"/>
        </w:rPr>
        <w:t>1</w:t>
      </w:r>
      <w:r>
        <w:rPr>
          <w:spacing w:val="-48"/>
        </w:rPr>
        <w:t xml:space="preserve"> </w:t>
      </w:r>
      <w:r>
        <w:rPr>
          <w:spacing w:val="-5"/>
        </w:rPr>
        <w:t>仟元违约金；</w:t>
      </w:r>
      <w:r>
        <w:t xml:space="preserve"> 给发包人造成损失的，还应当赔偿全部损失或者与有关</w:t>
      </w:r>
      <w:r>
        <w:rPr>
          <w:spacing w:val="-1"/>
        </w:rPr>
        <w:t>责任人连带赔偿全部损失。</w:t>
      </w:r>
    </w:p>
    <w:p w14:paraId="702EE536">
      <w:pPr>
        <w:pStyle w:val="12"/>
        <w:spacing w:before="183" w:line="312" w:lineRule="auto"/>
        <w:ind w:right="107" w:firstLine="522"/>
      </w:pPr>
      <w:r>
        <w:rPr>
          <w:spacing w:val="2"/>
        </w:rPr>
        <w:t>(14) 监理人有第(2)至第(4)项情形各累计超过</w:t>
      </w:r>
      <w:r>
        <w:rPr>
          <w:spacing w:val="-30"/>
        </w:rPr>
        <w:t xml:space="preserve"> </w:t>
      </w:r>
      <w:r>
        <w:rPr>
          <w:spacing w:val="2"/>
        </w:rPr>
        <w:t>3</w:t>
      </w:r>
      <w:r>
        <w:rPr>
          <w:spacing w:val="-39"/>
        </w:rPr>
        <w:t xml:space="preserve"> </w:t>
      </w:r>
      <w:r>
        <w:rPr>
          <w:spacing w:val="2"/>
        </w:rPr>
        <w:t>次，或者有(5)至(10)项情形累</w:t>
      </w:r>
      <w:r>
        <w:t xml:space="preserve"> </w:t>
      </w:r>
      <w:r>
        <w:rPr>
          <w:spacing w:val="4"/>
        </w:rPr>
        <w:t>计各超过</w:t>
      </w:r>
      <w:r>
        <w:rPr>
          <w:spacing w:val="-43"/>
        </w:rPr>
        <w:t xml:space="preserve"> </w:t>
      </w:r>
      <w:r>
        <w:rPr>
          <w:spacing w:val="4"/>
        </w:rPr>
        <w:t>2</w:t>
      </w:r>
      <w:r>
        <w:rPr>
          <w:spacing w:val="-37"/>
        </w:rPr>
        <w:t xml:space="preserve"> </w:t>
      </w:r>
      <w:r>
        <w:rPr>
          <w:spacing w:val="4"/>
        </w:rPr>
        <w:t>次，或有第(11)项情形的，发包人有权</w:t>
      </w:r>
      <w:r>
        <w:rPr>
          <w:spacing w:val="3"/>
        </w:rPr>
        <w:t>解除合同，由此造成的损失概由监</w:t>
      </w:r>
      <w:r>
        <w:t xml:space="preserve"> </w:t>
      </w:r>
      <w:r>
        <w:rPr>
          <w:spacing w:val="-2"/>
        </w:rPr>
        <w:t>理人承担。</w:t>
      </w:r>
    </w:p>
    <w:p w14:paraId="1E33B414">
      <w:pPr>
        <w:pStyle w:val="12"/>
        <w:spacing w:before="182" w:line="292" w:lineRule="auto"/>
        <w:ind w:left="5" w:right="108" w:firstLine="517"/>
      </w:pPr>
      <w:r>
        <w:rPr>
          <w:spacing w:val="1"/>
        </w:rPr>
        <w:t>(15) 监理人的违约行为给发包人造成</w:t>
      </w:r>
      <w:r>
        <w:t xml:space="preserve">重大损失或者情节严重的，将移送司法机关 </w:t>
      </w:r>
      <w:r>
        <w:rPr>
          <w:spacing w:val="-5"/>
        </w:rPr>
        <w:t>处理。</w:t>
      </w:r>
    </w:p>
    <w:p w14:paraId="3D7D01A2">
      <w:pPr>
        <w:pStyle w:val="12"/>
        <w:spacing w:before="175" w:line="289" w:lineRule="auto"/>
        <w:ind w:left="1" w:right="110" w:firstLine="521"/>
      </w:pPr>
      <w:r>
        <w:rPr>
          <w:spacing w:val="3"/>
        </w:rPr>
        <w:t>(16) 监理人的未按专用条款第</w:t>
      </w:r>
      <w:r>
        <w:rPr>
          <w:spacing w:val="-41"/>
        </w:rPr>
        <w:t xml:space="preserve"> </w:t>
      </w:r>
      <w:r>
        <w:rPr>
          <w:spacing w:val="3"/>
        </w:rPr>
        <w:t>21</w:t>
      </w:r>
      <w:r>
        <w:rPr>
          <w:spacing w:val="-44"/>
        </w:rPr>
        <w:t xml:space="preserve"> </w:t>
      </w:r>
      <w:r>
        <w:rPr>
          <w:spacing w:val="3"/>
        </w:rPr>
        <w:t>条规定派驻监理</w:t>
      </w:r>
      <w:r>
        <w:rPr>
          <w:spacing w:val="2"/>
        </w:rPr>
        <w:t>人员，应当向发包人支付合同</w:t>
      </w:r>
      <w:r>
        <w:t xml:space="preserve"> </w:t>
      </w:r>
      <w:r>
        <w:rPr>
          <w:spacing w:val="-3"/>
        </w:rPr>
        <w:t>价</w:t>
      </w:r>
      <w:r>
        <w:rPr>
          <w:spacing w:val="-47"/>
        </w:rPr>
        <w:t xml:space="preserve"> </w:t>
      </w:r>
      <w:r>
        <w:rPr>
          <w:spacing w:val="-3"/>
        </w:rPr>
        <w:t>20％的违约金</w:t>
      </w:r>
      <w:r>
        <w:rPr>
          <w:b/>
          <w:bCs/>
          <w:spacing w:val="-3"/>
        </w:rPr>
        <w:t>。</w:t>
      </w:r>
    </w:p>
    <w:p w14:paraId="43B21250">
      <w:pPr>
        <w:pStyle w:val="12"/>
        <w:spacing w:before="306" w:line="221" w:lineRule="auto"/>
        <w:ind w:left="4054"/>
        <w:outlineLvl w:val="0"/>
        <w:rPr>
          <w:sz w:val="28"/>
          <w:szCs w:val="28"/>
        </w:rPr>
      </w:pPr>
      <w:r>
        <w:rPr>
          <w:spacing w:val="-3"/>
          <w:sz w:val="28"/>
          <w:szCs w:val="28"/>
        </w:rPr>
        <w:t>争议的解决</w:t>
      </w:r>
    </w:p>
    <w:p w14:paraId="2857B081">
      <w:pPr>
        <w:spacing w:line="245" w:lineRule="auto"/>
        <w:rPr>
          <w:rFonts w:ascii="Arial"/>
          <w:sz w:val="21"/>
        </w:rPr>
      </w:pPr>
    </w:p>
    <w:p w14:paraId="65AD157A">
      <w:pPr>
        <w:pStyle w:val="12"/>
        <w:spacing w:before="78" w:line="220" w:lineRule="auto"/>
        <w:ind w:left="363"/>
        <w:outlineLvl w:val="1"/>
      </w:pPr>
      <w:r>
        <w:rPr>
          <w:b/>
          <w:bCs/>
          <w:spacing w:val="-3"/>
        </w:rPr>
        <w:t>第四十三条</w:t>
      </w:r>
      <w:r>
        <w:rPr>
          <w:spacing w:val="-45"/>
        </w:rPr>
        <w:t xml:space="preserve"> </w:t>
      </w:r>
      <w:r>
        <w:rPr>
          <w:spacing w:val="-3"/>
        </w:rPr>
        <w:t>争议解决方式：</w:t>
      </w:r>
    </w:p>
    <w:p w14:paraId="7F51AC73">
      <w:pPr>
        <w:pStyle w:val="12"/>
        <w:spacing w:before="181" w:line="361" w:lineRule="auto"/>
        <w:ind w:left="24" w:right="107" w:firstLine="461"/>
      </w:pPr>
      <w:r>
        <w:rPr>
          <w:spacing w:val="2"/>
        </w:rPr>
        <w:t>争议调解机构为广州市增城区水务局</w:t>
      </w:r>
      <w:r>
        <w:rPr>
          <w:spacing w:val="-14"/>
        </w:rPr>
        <w:t xml:space="preserve"> </w:t>
      </w:r>
      <w:r>
        <w:rPr>
          <w:spacing w:val="2"/>
        </w:rPr>
        <w:t>，如调解不成，双方均可向广州市增城区人</w:t>
      </w:r>
      <w:r>
        <w:t xml:space="preserve"> </w:t>
      </w:r>
      <w:r>
        <w:rPr>
          <w:spacing w:val="-5"/>
        </w:rPr>
        <w:t>民法院提起诉讼。</w:t>
      </w:r>
    </w:p>
    <w:p w14:paraId="214067DB">
      <w:pPr>
        <w:pStyle w:val="12"/>
        <w:spacing w:before="123" w:line="221" w:lineRule="auto"/>
        <w:ind w:left="4400"/>
        <w:outlineLvl w:val="0"/>
        <w:rPr>
          <w:sz w:val="28"/>
          <w:szCs w:val="28"/>
        </w:rPr>
      </w:pPr>
      <w:r>
        <w:rPr>
          <w:spacing w:val="-6"/>
          <w:sz w:val="28"/>
          <w:szCs w:val="28"/>
        </w:rPr>
        <w:t>其</w:t>
      </w:r>
      <w:r>
        <w:rPr>
          <w:spacing w:val="9"/>
          <w:sz w:val="28"/>
          <w:szCs w:val="28"/>
        </w:rPr>
        <w:t xml:space="preserve"> </w:t>
      </w:r>
      <w:r>
        <w:rPr>
          <w:spacing w:val="-6"/>
          <w:sz w:val="28"/>
          <w:szCs w:val="28"/>
        </w:rPr>
        <w:t>他</w:t>
      </w:r>
    </w:p>
    <w:p w14:paraId="75F75648">
      <w:pPr>
        <w:spacing w:line="244" w:lineRule="auto"/>
        <w:rPr>
          <w:rFonts w:ascii="Arial"/>
          <w:sz w:val="21"/>
        </w:rPr>
      </w:pPr>
    </w:p>
    <w:p w14:paraId="1C5348A9">
      <w:pPr>
        <w:pStyle w:val="12"/>
        <w:spacing w:before="78" w:line="219" w:lineRule="auto"/>
        <w:ind w:left="363"/>
      </w:pPr>
      <w:r>
        <w:rPr>
          <w:b/>
          <w:bCs/>
          <w:spacing w:val="-1"/>
        </w:rPr>
        <w:t>第四十五条</w:t>
      </w:r>
      <w:r>
        <w:rPr>
          <w:spacing w:val="-51"/>
        </w:rPr>
        <w:t xml:space="preserve"> </w:t>
      </w:r>
      <w:r>
        <w:rPr>
          <w:spacing w:val="-1"/>
        </w:rPr>
        <w:t>本项目委托人对监理人提出并落实的合理化建议无奖励。</w:t>
      </w:r>
    </w:p>
    <w:p w14:paraId="6436CD10">
      <w:pPr>
        <w:spacing w:line="219" w:lineRule="auto"/>
        <w:sectPr>
          <w:footerReference r:id="rId19" w:type="default"/>
          <w:pgSz w:w="11905" w:h="16839"/>
          <w:pgMar w:top="1405" w:right="1309" w:bottom="1019" w:left="1424" w:header="0" w:footer="743" w:gutter="0"/>
          <w:cols w:space="720" w:num="1"/>
        </w:sectPr>
      </w:pPr>
    </w:p>
    <w:p w14:paraId="57B004C6">
      <w:pPr>
        <w:pStyle w:val="12"/>
        <w:spacing w:before="63" w:line="225" w:lineRule="auto"/>
        <w:ind w:left="3758"/>
        <w:outlineLvl w:val="0"/>
        <w:rPr>
          <w:sz w:val="31"/>
          <w:szCs w:val="31"/>
        </w:rPr>
      </w:pPr>
      <w:r>
        <w:rPr>
          <w:b/>
          <w:bCs/>
          <w:spacing w:val="5"/>
          <w:sz w:val="31"/>
          <w:szCs w:val="31"/>
        </w:rPr>
        <w:t>合同附加条款</w:t>
      </w:r>
    </w:p>
    <w:p w14:paraId="74055766">
      <w:pPr>
        <w:pStyle w:val="12"/>
        <w:spacing w:before="127" w:line="219" w:lineRule="auto"/>
        <w:ind w:left="481"/>
      </w:pPr>
      <w:r>
        <w:rPr>
          <w:b/>
          <w:bCs/>
          <w:spacing w:val="-3"/>
        </w:rPr>
        <w:t>本合同监理服务内容：</w:t>
      </w:r>
    </w:p>
    <w:p w14:paraId="73A6338C">
      <w:pPr>
        <w:pStyle w:val="12"/>
        <w:spacing w:before="78" w:line="334" w:lineRule="exact"/>
        <w:ind w:left="487"/>
      </w:pPr>
      <w:r>
        <w:rPr>
          <w:rFonts w:ascii="Calibri" w:hAnsi="Calibri" w:eastAsia="Calibri" w:cs="Calibri"/>
          <w:spacing w:val="-3"/>
          <w:position w:val="2"/>
        </w:rPr>
        <w:t>(</w:t>
      </w:r>
      <w:r>
        <w:rPr>
          <w:spacing w:val="-3"/>
          <w:position w:val="2"/>
        </w:rPr>
        <w:t>一</w:t>
      </w:r>
      <w:r>
        <w:rPr>
          <w:rFonts w:ascii="Calibri" w:hAnsi="Calibri" w:eastAsia="Calibri" w:cs="Calibri"/>
          <w:spacing w:val="-3"/>
          <w:position w:val="2"/>
        </w:rPr>
        <w:t>)</w:t>
      </w:r>
      <w:r>
        <w:rPr>
          <w:spacing w:val="-3"/>
          <w:position w:val="2"/>
        </w:rPr>
        <w:t>设计方面</w:t>
      </w:r>
    </w:p>
    <w:p w14:paraId="5BB06A2C">
      <w:pPr>
        <w:pStyle w:val="12"/>
        <w:spacing w:before="156" w:line="219" w:lineRule="auto"/>
        <w:ind w:left="498"/>
      </w:pPr>
      <w:r>
        <w:rPr>
          <w:spacing w:val="-1"/>
        </w:rPr>
        <w:t>1. 核查并签发施工图，发现问题向委托人反映，重大问题向委托人做专题报告。</w:t>
      </w:r>
    </w:p>
    <w:p w14:paraId="5A4F68EB">
      <w:pPr>
        <w:pStyle w:val="12"/>
        <w:spacing w:before="184" w:line="219" w:lineRule="auto"/>
        <w:ind w:left="483"/>
      </w:pPr>
      <w:r>
        <w:rPr>
          <w:spacing w:val="-1"/>
        </w:rPr>
        <w:t>2. 主持或与委托人联合主持设计技术交底会议，编写会议纪要。</w:t>
      </w:r>
    </w:p>
    <w:p w14:paraId="0F14014A">
      <w:pPr>
        <w:pStyle w:val="12"/>
        <w:spacing w:before="181" w:line="219" w:lineRule="auto"/>
        <w:ind w:left="485"/>
      </w:pPr>
      <w:r>
        <w:rPr>
          <w:spacing w:val="-1"/>
        </w:rPr>
        <w:t>3. 协助委托人会同设计人对重大技术问题和优化设计进行专题讨论。</w:t>
      </w:r>
    </w:p>
    <w:p w14:paraId="015ADD10">
      <w:pPr>
        <w:pStyle w:val="12"/>
        <w:spacing w:before="183" w:line="219" w:lineRule="auto"/>
        <w:ind w:left="480"/>
      </w:pPr>
      <w:r>
        <w:t>4. 审核承包人对施工图的意见和建议，协助委托人</w:t>
      </w:r>
      <w:r>
        <w:rPr>
          <w:spacing w:val="-1"/>
        </w:rPr>
        <w:t>会同设计人进行研究。</w:t>
      </w:r>
    </w:p>
    <w:p w14:paraId="13B03268">
      <w:pPr>
        <w:pStyle w:val="12"/>
        <w:spacing w:before="183" w:line="220" w:lineRule="auto"/>
        <w:ind w:left="485"/>
      </w:pPr>
      <w:r>
        <w:rPr>
          <w:spacing w:val="-2"/>
        </w:rPr>
        <w:t>5. 其他相关业务。</w:t>
      </w:r>
    </w:p>
    <w:p w14:paraId="604F2037">
      <w:pPr>
        <w:pStyle w:val="12"/>
        <w:spacing w:before="180" w:line="219" w:lineRule="auto"/>
        <w:ind w:left="523"/>
      </w:pPr>
      <w:r>
        <w:rPr>
          <w:spacing w:val="-8"/>
        </w:rPr>
        <w:t>(二)采购方面</w:t>
      </w:r>
    </w:p>
    <w:p w14:paraId="663437A6">
      <w:pPr>
        <w:pStyle w:val="12"/>
        <w:spacing w:before="181" w:line="219" w:lineRule="auto"/>
        <w:ind w:left="498"/>
      </w:pPr>
      <w:r>
        <w:rPr>
          <w:spacing w:val="-2"/>
        </w:rPr>
        <w:t>1. 协助委托人进行采购招标。</w:t>
      </w:r>
    </w:p>
    <w:p w14:paraId="7B8A0478">
      <w:pPr>
        <w:pStyle w:val="12"/>
        <w:spacing w:before="183" w:line="219" w:lineRule="auto"/>
        <w:ind w:left="483"/>
      </w:pPr>
      <w:r>
        <w:rPr>
          <w:spacing w:val="-1"/>
        </w:rPr>
        <w:t>2. 协助委托人对进场的永久工程设备进行质量检验与到货验收。</w:t>
      </w:r>
    </w:p>
    <w:p w14:paraId="623C0DFC">
      <w:pPr>
        <w:pStyle w:val="12"/>
        <w:spacing w:before="183" w:line="220" w:lineRule="auto"/>
        <w:ind w:left="485"/>
      </w:pPr>
      <w:r>
        <w:rPr>
          <w:spacing w:val="-2"/>
        </w:rPr>
        <w:t>3. 其他相关业务。</w:t>
      </w:r>
    </w:p>
    <w:p w14:paraId="108D128C">
      <w:pPr>
        <w:pStyle w:val="12"/>
        <w:spacing w:before="179" w:line="222" w:lineRule="auto"/>
        <w:ind w:left="523"/>
      </w:pPr>
      <w:r>
        <w:rPr>
          <w:spacing w:val="-7"/>
        </w:rPr>
        <w:t>(三) 施工方面</w:t>
      </w:r>
    </w:p>
    <w:p w14:paraId="786AC39F">
      <w:pPr>
        <w:pStyle w:val="12"/>
        <w:spacing w:before="180" w:line="221" w:lineRule="auto"/>
        <w:ind w:left="498"/>
      </w:pPr>
      <w:r>
        <w:rPr>
          <w:spacing w:val="-1"/>
        </w:rPr>
        <w:t>1. 协助委托人进行工程施工招标和签订工程施工</w:t>
      </w:r>
      <w:r>
        <w:rPr>
          <w:spacing w:val="-2"/>
        </w:rPr>
        <w:t>合同。</w:t>
      </w:r>
    </w:p>
    <w:p w14:paraId="41A669A5">
      <w:pPr>
        <w:pStyle w:val="12"/>
        <w:spacing w:before="178" w:line="220" w:lineRule="auto"/>
        <w:ind w:left="483"/>
      </w:pPr>
      <w:r>
        <w:t>2. 全面管理工程施工合同，审查承包人选择</w:t>
      </w:r>
      <w:r>
        <w:rPr>
          <w:spacing w:val="-1"/>
        </w:rPr>
        <w:t>的分包单位，并报委托人批准。</w:t>
      </w:r>
    </w:p>
    <w:p w14:paraId="0D332CC9">
      <w:pPr>
        <w:pStyle w:val="12"/>
        <w:spacing w:before="183" w:line="289" w:lineRule="auto"/>
        <w:ind w:left="1" w:right="8" w:firstLine="483"/>
      </w:pPr>
      <w:r>
        <w:rPr>
          <w:spacing w:val="2"/>
        </w:rPr>
        <w:t>3. 督促委托人按工程施工合同的约定，</w:t>
      </w:r>
      <w:r>
        <w:rPr>
          <w:spacing w:val="1"/>
        </w:rPr>
        <w:t>落实必须提供的施工条件，检查承包人的</w:t>
      </w:r>
      <w:r>
        <w:t xml:space="preserve"> </w:t>
      </w:r>
      <w:r>
        <w:rPr>
          <w:spacing w:val="-2"/>
        </w:rPr>
        <w:t>开工准备工作。</w:t>
      </w:r>
    </w:p>
    <w:p w14:paraId="44567CA1">
      <w:pPr>
        <w:pStyle w:val="12"/>
        <w:spacing w:before="182" w:line="220" w:lineRule="auto"/>
        <w:ind w:left="480"/>
      </w:pPr>
      <w:r>
        <w:t>4. 审核按工程施工合同文件约定应由承</w:t>
      </w:r>
      <w:r>
        <w:rPr>
          <w:spacing w:val="-1"/>
        </w:rPr>
        <w:t>包人提交的设计文件。</w:t>
      </w:r>
    </w:p>
    <w:p w14:paraId="445048A7">
      <w:pPr>
        <w:pStyle w:val="12"/>
        <w:spacing w:before="179" w:line="290" w:lineRule="auto"/>
        <w:ind w:right="8" w:firstLine="485"/>
      </w:pPr>
      <w:r>
        <w:rPr>
          <w:spacing w:val="2"/>
        </w:rPr>
        <w:t>5. 审查承包人提交的施工组织设计、施</w:t>
      </w:r>
      <w:r>
        <w:rPr>
          <w:spacing w:val="1"/>
        </w:rPr>
        <w:t>工进度计划、施工措施计划；审核工艺试</w:t>
      </w:r>
      <w:r>
        <w:t xml:space="preserve"> </w:t>
      </w:r>
      <w:r>
        <w:rPr>
          <w:spacing w:val="-2"/>
        </w:rPr>
        <w:t>验成果等。</w:t>
      </w:r>
    </w:p>
    <w:p w14:paraId="6F6B01E7">
      <w:pPr>
        <w:pStyle w:val="12"/>
        <w:spacing w:before="181" w:line="313" w:lineRule="auto"/>
        <w:ind w:right="8" w:firstLine="481"/>
      </w:pPr>
      <w:r>
        <w:rPr>
          <w:spacing w:val="2"/>
        </w:rPr>
        <w:t>6. 进度控制。协助委托人编制控制性总进</w:t>
      </w:r>
      <w:r>
        <w:rPr>
          <w:spacing w:val="1"/>
        </w:rPr>
        <w:t>度计划，审批承包人编制的进度计划；</w:t>
      </w:r>
      <w:r>
        <w:t xml:space="preserve"> </w:t>
      </w:r>
      <w:r>
        <w:rPr>
          <w:spacing w:val="5"/>
        </w:rPr>
        <w:t>检查实施情况，督促承包人采取措施，实现合同工期目标。当实施进度发生</w:t>
      </w:r>
      <w:r>
        <w:rPr>
          <w:spacing w:val="4"/>
        </w:rPr>
        <w:t>较大偏差</w:t>
      </w:r>
      <w:r>
        <w:t xml:space="preserve"> 时，要求承包人调整进度计划；向委托人提出调整控制</w:t>
      </w:r>
      <w:r>
        <w:rPr>
          <w:spacing w:val="-1"/>
        </w:rPr>
        <w:t>性进度计划的建议意见。</w:t>
      </w:r>
    </w:p>
    <w:p w14:paraId="1660B638">
      <w:pPr>
        <w:pStyle w:val="12"/>
        <w:spacing w:before="181" w:line="331" w:lineRule="auto"/>
        <w:ind w:firstLine="485"/>
      </w:pPr>
      <w:r>
        <w:rPr>
          <w:spacing w:val="1"/>
        </w:rPr>
        <w:t>7. 施工质量控制。审查承包人的质量保证体系和措施，审查承包人的实验条件；</w:t>
      </w:r>
      <w:r>
        <w:rPr>
          <w:spacing w:val="16"/>
        </w:rPr>
        <w:t xml:space="preserve"> </w:t>
      </w:r>
      <w:r>
        <w:rPr>
          <w:spacing w:val="-1"/>
        </w:rPr>
        <w:t>依据工程施工合同文件、设计文件、技术标准，对施工全</w:t>
      </w:r>
      <w:r>
        <w:rPr>
          <w:spacing w:val="-2"/>
        </w:rPr>
        <w:t>过程进行检查，对重要部分、</w:t>
      </w:r>
      <w:r>
        <w:t xml:space="preserve"> </w:t>
      </w:r>
      <w:r>
        <w:rPr>
          <w:spacing w:val="5"/>
        </w:rPr>
        <w:t>关键工序进行旁站监理；按照有关规定，对承包人进场的工程设备、建筑材</w:t>
      </w:r>
      <w:r>
        <w:rPr>
          <w:spacing w:val="4"/>
        </w:rPr>
        <w:t>料、建筑</w:t>
      </w:r>
      <w:r>
        <w:t xml:space="preserve"> </w:t>
      </w:r>
      <w:r>
        <w:rPr>
          <w:spacing w:val="5"/>
        </w:rPr>
        <w:t>构配件、中间产品进行跟踪检测和平行检测；复核承包人自评的工程质量等</w:t>
      </w:r>
      <w:r>
        <w:rPr>
          <w:spacing w:val="4"/>
        </w:rPr>
        <w:t>级；审核</w:t>
      </w:r>
      <w:r>
        <w:t xml:space="preserve"> </w:t>
      </w:r>
      <w:r>
        <w:rPr>
          <w:spacing w:val="-1"/>
        </w:rPr>
        <w:t>承包人提出的工程质量缺陷处理方案，参与调查质量事故。</w:t>
      </w:r>
    </w:p>
    <w:p w14:paraId="7A4D89A2">
      <w:pPr>
        <w:pStyle w:val="12"/>
        <w:spacing w:before="183" w:line="289" w:lineRule="auto"/>
        <w:ind w:right="8" w:firstLine="480"/>
      </w:pPr>
      <w:r>
        <w:rPr>
          <w:spacing w:val="2"/>
        </w:rPr>
        <w:t>8. 资金控制：协助委托人编制付款计划；审查承</w:t>
      </w:r>
      <w:r>
        <w:rPr>
          <w:spacing w:val="1"/>
        </w:rPr>
        <w:t>包人提交的资金流计划；核定承</w:t>
      </w:r>
      <w:r>
        <w:t xml:space="preserve"> </w:t>
      </w:r>
      <w:r>
        <w:rPr>
          <w:spacing w:val="5"/>
        </w:rPr>
        <w:t>包人完成的工程量，审核承包人提交的支付申请，签发付款凭证；受理索赔</w:t>
      </w:r>
      <w:r>
        <w:rPr>
          <w:spacing w:val="4"/>
        </w:rPr>
        <w:t>申请，提</w:t>
      </w:r>
    </w:p>
    <w:p w14:paraId="4FC14633">
      <w:pPr>
        <w:spacing w:line="289" w:lineRule="auto"/>
        <w:sectPr>
          <w:footerReference r:id="rId20" w:type="default"/>
          <w:pgSz w:w="11905" w:h="16839"/>
          <w:pgMar w:top="1402" w:right="1408" w:bottom="1019" w:left="1424" w:header="0" w:footer="742" w:gutter="0"/>
          <w:cols w:space="720" w:num="1"/>
        </w:sectPr>
      </w:pPr>
    </w:p>
    <w:p w14:paraId="607B1E1E">
      <w:pPr>
        <w:pStyle w:val="12"/>
        <w:spacing w:before="48" w:line="220" w:lineRule="auto"/>
        <w:ind w:left="22"/>
      </w:pPr>
      <w:r>
        <w:rPr>
          <w:spacing w:val="-3"/>
        </w:rPr>
        <w:t>出处理建议意见；处理工程变更。</w:t>
      </w:r>
    </w:p>
    <w:p w14:paraId="6F11AED3">
      <w:pPr>
        <w:pStyle w:val="12"/>
        <w:spacing w:before="179" w:line="290" w:lineRule="auto"/>
        <w:ind w:firstLine="482"/>
      </w:pPr>
      <w:r>
        <w:rPr>
          <w:spacing w:val="2"/>
        </w:rPr>
        <w:t>9. 施工安全控制。审查承包人提出的安全技术措</w:t>
      </w:r>
      <w:r>
        <w:rPr>
          <w:spacing w:val="1"/>
        </w:rPr>
        <w:t>施、专项施工方案，并检查实施</w:t>
      </w:r>
      <w:r>
        <w:t xml:space="preserve"> </w:t>
      </w:r>
      <w:r>
        <w:rPr>
          <w:spacing w:val="-1"/>
        </w:rPr>
        <w:t>情况；检查防洪渡汛措施落实情况；参与安全事故调查。</w:t>
      </w:r>
    </w:p>
    <w:p w14:paraId="5B7886FA">
      <w:pPr>
        <w:pStyle w:val="12"/>
        <w:spacing w:before="179" w:line="221" w:lineRule="auto"/>
        <w:ind w:left="499"/>
      </w:pPr>
      <w:r>
        <w:rPr>
          <w:spacing w:val="-2"/>
        </w:rPr>
        <w:t>10. 协调施工合同各方之间的关系。</w:t>
      </w:r>
    </w:p>
    <w:p w14:paraId="74087E12">
      <w:pPr>
        <w:pStyle w:val="12"/>
        <w:spacing w:before="181" w:line="312" w:lineRule="auto"/>
        <w:ind w:left="1" w:right="2" w:firstLine="497"/>
      </w:pPr>
      <w:r>
        <w:rPr>
          <w:spacing w:val="4"/>
        </w:rPr>
        <w:t>11. 按有关规定参加工程验收，负责完成监理资料的汇总整理，协助委托人检查</w:t>
      </w:r>
      <w:r>
        <w:rPr>
          <w:spacing w:val="13"/>
        </w:rPr>
        <w:t xml:space="preserve"> </w:t>
      </w:r>
      <w:r>
        <w:rPr>
          <w:spacing w:val="-2"/>
        </w:rPr>
        <w:t>承包人的合同执行情况；做好验收的各项准备工作或者配合工作，提供工程监理资料，</w:t>
      </w:r>
      <w:r>
        <w:rPr>
          <w:spacing w:val="15"/>
        </w:rPr>
        <w:t xml:space="preserve"> </w:t>
      </w:r>
      <w:r>
        <w:rPr>
          <w:spacing w:val="-2"/>
        </w:rPr>
        <w:t>提交监理工作报告。</w:t>
      </w:r>
    </w:p>
    <w:p w14:paraId="21DA6EDA">
      <w:pPr>
        <w:pStyle w:val="12"/>
        <w:spacing w:before="181" w:line="290" w:lineRule="auto"/>
        <w:ind w:left="2" w:right="58" w:firstLine="496"/>
      </w:pPr>
      <w:r>
        <w:rPr>
          <w:spacing w:val="3"/>
        </w:rPr>
        <w:t>12. 档案管理。做好施工现场的监理记录与信息反馈；做好监理</w:t>
      </w:r>
      <w:r>
        <w:rPr>
          <w:spacing w:val="2"/>
        </w:rPr>
        <w:t>文档管理工作，</w:t>
      </w:r>
      <w:r>
        <w:t xml:space="preserve"> </w:t>
      </w:r>
      <w:r>
        <w:rPr>
          <w:spacing w:val="-1"/>
        </w:rPr>
        <w:t>合同期限届满时按照档案管理要求整理、归档并移交委托人。</w:t>
      </w:r>
    </w:p>
    <w:p w14:paraId="67A065BC">
      <w:pPr>
        <w:pStyle w:val="12"/>
        <w:spacing w:before="180" w:line="290" w:lineRule="auto"/>
        <w:ind w:left="3" w:right="2" w:firstLine="495"/>
      </w:pPr>
      <w:r>
        <w:rPr>
          <w:spacing w:val="4"/>
        </w:rPr>
        <w:t>13. 监督承包人执行保修期工作计划，检查和验收尾工项目，对已移交工程中出</w:t>
      </w:r>
      <w:r>
        <w:rPr>
          <w:spacing w:val="13"/>
        </w:rPr>
        <w:t xml:space="preserve"> </w:t>
      </w:r>
      <w:r>
        <w:rPr>
          <w:spacing w:val="-1"/>
        </w:rPr>
        <w:t>现的质量缺陷等调查原因并提出处理意见。</w:t>
      </w:r>
    </w:p>
    <w:p w14:paraId="2C1539C7">
      <w:pPr>
        <w:pStyle w:val="12"/>
        <w:spacing w:before="178" w:line="290" w:lineRule="auto"/>
        <w:ind w:right="2" w:firstLine="498"/>
      </w:pPr>
      <w:r>
        <w:rPr>
          <w:spacing w:val="4"/>
        </w:rPr>
        <w:t>14. 按照委托人签订的工程保险合同，做好施工现场工程保险合同的管理。协助</w:t>
      </w:r>
      <w:r>
        <w:rPr>
          <w:spacing w:val="13"/>
        </w:rPr>
        <w:t xml:space="preserve"> </w:t>
      </w:r>
      <w:r>
        <w:rPr>
          <w:spacing w:val="-1"/>
        </w:rPr>
        <w:t>委托人向保险公司及时提供一切必要的材料核证据。</w:t>
      </w:r>
    </w:p>
    <w:p w14:paraId="65BBDD32">
      <w:pPr>
        <w:pStyle w:val="12"/>
        <w:spacing w:before="183" w:line="221" w:lineRule="auto"/>
        <w:ind w:left="499"/>
      </w:pPr>
      <w:r>
        <w:rPr>
          <w:spacing w:val="-3"/>
        </w:rPr>
        <w:t>15. 其他相关工作。</w:t>
      </w:r>
    </w:p>
    <w:p w14:paraId="7C247E39">
      <w:pPr>
        <w:spacing w:line="221" w:lineRule="auto"/>
        <w:sectPr>
          <w:footerReference r:id="rId21" w:type="default"/>
          <w:pgSz w:w="11905" w:h="16839"/>
          <w:pgMar w:top="1405" w:right="1417" w:bottom="1019" w:left="1423" w:header="0" w:footer="743" w:gutter="0"/>
          <w:cols w:space="720" w:num="1"/>
        </w:sectPr>
      </w:pPr>
    </w:p>
    <w:p w14:paraId="03542C65">
      <w:pPr>
        <w:pStyle w:val="12"/>
        <w:spacing w:before="63" w:line="225" w:lineRule="auto"/>
        <w:ind w:left="3184"/>
        <w:outlineLvl w:val="0"/>
        <w:rPr>
          <w:sz w:val="31"/>
          <w:szCs w:val="31"/>
        </w:rPr>
      </w:pPr>
      <w:r>
        <w:rPr>
          <w:b/>
          <w:bCs/>
          <w:spacing w:val="4"/>
          <w:sz w:val="31"/>
          <w:szCs w:val="31"/>
        </w:rPr>
        <w:t>第三部分</w:t>
      </w:r>
      <w:r>
        <w:rPr>
          <w:spacing w:val="4"/>
          <w:sz w:val="31"/>
          <w:szCs w:val="31"/>
        </w:rPr>
        <w:t xml:space="preserve"> </w:t>
      </w:r>
      <w:r>
        <w:rPr>
          <w:b/>
          <w:bCs/>
          <w:spacing w:val="4"/>
          <w:sz w:val="31"/>
          <w:szCs w:val="31"/>
        </w:rPr>
        <w:t>合同附件</w:t>
      </w:r>
    </w:p>
    <w:p w14:paraId="2F018CE8">
      <w:pPr>
        <w:pStyle w:val="12"/>
        <w:spacing w:before="230" w:line="219" w:lineRule="auto"/>
        <w:ind w:left="19"/>
      </w:pPr>
      <w:r>
        <w:rPr>
          <w:spacing w:val="-4"/>
        </w:rPr>
        <w:t>附件：</w:t>
      </w:r>
      <w:r>
        <w:rPr>
          <w:b/>
          <w:bCs/>
          <w:spacing w:val="-4"/>
        </w:rPr>
        <w:t>工程建设项目廉政责任书</w:t>
      </w:r>
    </w:p>
    <w:p w14:paraId="081E0B97">
      <w:pPr>
        <w:pStyle w:val="12"/>
        <w:spacing w:before="182" w:line="220" w:lineRule="auto"/>
        <w:ind w:left="483"/>
      </w:pPr>
      <w:r>
        <w:rPr>
          <w:spacing w:val="-1"/>
        </w:rPr>
        <w:t>工程项目名称：</w:t>
      </w:r>
      <w:r>
        <w:rPr>
          <w:spacing w:val="-1"/>
          <w:u w:val="single" w:color="auto"/>
        </w:rPr>
        <w:t xml:space="preserve">  </w:t>
      </w:r>
      <w:r>
        <w:rPr>
          <w:rFonts w:hint="eastAsia"/>
          <w:spacing w:val="-1"/>
          <w:u w:val="single" w:color="auto"/>
          <w:lang w:val="en-US" w:eastAsia="zh-CN"/>
        </w:rPr>
        <w:t xml:space="preserve">                                </w:t>
      </w:r>
      <w:r>
        <w:rPr>
          <w:spacing w:val="4"/>
          <w:u w:val="single" w:color="auto"/>
        </w:rPr>
        <w:t xml:space="preserve">   </w:t>
      </w:r>
    </w:p>
    <w:p w14:paraId="3271A5D5">
      <w:pPr>
        <w:pStyle w:val="12"/>
        <w:spacing w:before="180" w:line="219" w:lineRule="auto"/>
        <w:ind w:left="483"/>
      </w:pPr>
      <w:r>
        <w:rPr>
          <w:spacing w:val="-1"/>
        </w:rPr>
        <w:t>工程项目地址：</w:t>
      </w:r>
      <w:r>
        <w:rPr>
          <w:spacing w:val="-1"/>
          <w:u w:val="single" w:color="auto"/>
        </w:rPr>
        <w:t xml:space="preserve">   </w:t>
      </w:r>
      <w:r>
        <w:rPr>
          <w:rFonts w:hint="eastAsia"/>
          <w:spacing w:val="-1"/>
          <w:u w:val="single" w:color="auto"/>
          <w:lang w:val="en-US" w:eastAsia="zh-CN"/>
        </w:rPr>
        <w:t xml:space="preserve">                   </w:t>
      </w:r>
      <w:r>
        <w:rPr>
          <w:u w:val="single" w:color="auto"/>
        </w:rPr>
        <w:t xml:space="preserve">               </w:t>
      </w:r>
    </w:p>
    <w:p w14:paraId="24A6D367">
      <w:pPr>
        <w:pStyle w:val="12"/>
        <w:spacing w:before="183" w:line="219" w:lineRule="auto"/>
        <w:ind w:left="483"/>
      </w:pPr>
      <w:r>
        <w:rPr>
          <w:spacing w:val="-1"/>
        </w:rPr>
        <w:t>建设单位（甲方</w:t>
      </w:r>
      <w:r>
        <w:rPr>
          <w:spacing w:val="1"/>
        </w:rPr>
        <w:t>）：</w:t>
      </w:r>
      <w:r>
        <w:rPr>
          <w:spacing w:val="5"/>
          <w:u w:val="single" w:color="auto"/>
        </w:rPr>
        <w:t xml:space="preserve">  </w:t>
      </w:r>
      <w:r>
        <w:rPr>
          <w:rFonts w:hint="eastAsia"/>
          <w:spacing w:val="-1"/>
          <w:u w:val="single" w:color="auto"/>
          <w:lang w:val="en-US" w:eastAsia="zh-CN"/>
        </w:rPr>
        <w:t xml:space="preserve">                             </w:t>
      </w:r>
      <w:r>
        <w:rPr>
          <w:u w:val="single" w:color="auto"/>
        </w:rPr>
        <w:t xml:space="preserve">  </w:t>
      </w:r>
    </w:p>
    <w:p w14:paraId="18B4618F">
      <w:pPr>
        <w:pStyle w:val="12"/>
        <w:spacing w:before="181" w:line="220" w:lineRule="auto"/>
        <w:ind w:left="481"/>
      </w:pPr>
      <w:r>
        <w:rPr>
          <w:spacing w:val="-2"/>
        </w:rPr>
        <w:t>监理单位（乙方</w:t>
      </w:r>
      <w:r>
        <w:rPr>
          <w:spacing w:val="8"/>
        </w:rPr>
        <w:t>）：</w:t>
      </w:r>
      <w:r>
        <w:rPr>
          <w:spacing w:val="5"/>
          <w:u w:val="single" w:color="auto"/>
        </w:rPr>
        <w:t xml:space="preserve"> </w:t>
      </w:r>
      <w:r>
        <w:rPr>
          <w:rFonts w:hint="eastAsia"/>
          <w:spacing w:val="5"/>
          <w:u w:val="single" w:color="auto"/>
          <w:lang w:val="en-US" w:eastAsia="zh-CN"/>
        </w:rPr>
        <w:t xml:space="preserve">                   </w:t>
      </w:r>
      <w:r>
        <w:rPr>
          <w:u w:val="single" w:color="auto"/>
        </w:rPr>
        <w:t xml:space="preserve">            </w:t>
      </w:r>
    </w:p>
    <w:p w14:paraId="01A022D6">
      <w:pPr>
        <w:pStyle w:val="12"/>
        <w:spacing w:before="181" w:line="359" w:lineRule="auto"/>
        <w:ind w:firstLine="483"/>
      </w:pPr>
      <w:r>
        <w:rPr>
          <w:spacing w:val="5"/>
        </w:rPr>
        <w:t>为加强工程建设中的廉政建设，规范工程建设项目承发包双方的各项活动，防止</w:t>
      </w:r>
      <w:r>
        <w:rPr>
          <w:spacing w:val="3"/>
        </w:rPr>
        <w:t xml:space="preserve"> </w:t>
      </w:r>
      <w:r>
        <w:rPr>
          <w:spacing w:val="5"/>
        </w:rPr>
        <w:t>发生各种谋取不正当利益的违法违纪行为，保护国家、集体和当事人的合法权</w:t>
      </w:r>
      <w:r>
        <w:rPr>
          <w:spacing w:val="4"/>
        </w:rPr>
        <w:t>益，根</w:t>
      </w:r>
      <w:r>
        <w:t xml:space="preserve"> 据国家有关工程建设的法律法规和廉政建设责任制规定，</w:t>
      </w:r>
      <w:r>
        <w:rPr>
          <w:spacing w:val="-1"/>
        </w:rPr>
        <w:t>特订立本廉政责任书。</w:t>
      </w:r>
    </w:p>
    <w:p w14:paraId="2CD10912">
      <w:pPr>
        <w:pStyle w:val="12"/>
        <w:spacing w:line="220" w:lineRule="auto"/>
        <w:ind w:left="480"/>
      </w:pPr>
      <w:r>
        <w:rPr>
          <w:spacing w:val="-5"/>
        </w:rPr>
        <w:t>第一条</w:t>
      </w:r>
      <w:r>
        <w:rPr>
          <w:spacing w:val="20"/>
        </w:rPr>
        <w:t xml:space="preserve">  </w:t>
      </w:r>
      <w:r>
        <w:rPr>
          <w:spacing w:val="-5"/>
        </w:rPr>
        <w:t>甲乙双方的责任</w:t>
      </w:r>
    </w:p>
    <w:p w14:paraId="313FA4E1">
      <w:pPr>
        <w:pStyle w:val="12"/>
        <w:spacing w:before="182" w:line="289" w:lineRule="auto"/>
        <w:ind w:firstLine="492"/>
      </w:pPr>
      <w:r>
        <w:rPr>
          <w:spacing w:val="5"/>
        </w:rPr>
        <w:t>（一）应严格遵守国家关于市场准入、项目招标投标、工程建设、</w:t>
      </w:r>
      <w:r>
        <w:rPr>
          <w:spacing w:val="4"/>
        </w:rPr>
        <w:t>施工安装和市</w:t>
      </w:r>
      <w:r>
        <w:t xml:space="preserve"> 场活动等有关法律、法规、相关政策、以及</w:t>
      </w:r>
      <w:r>
        <w:rPr>
          <w:spacing w:val="-1"/>
        </w:rPr>
        <w:t>廉政建设的各项规定。</w:t>
      </w:r>
    </w:p>
    <w:p w14:paraId="010A8CA4">
      <w:pPr>
        <w:pStyle w:val="12"/>
        <w:spacing w:before="182" w:line="220" w:lineRule="auto"/>
        <w:ind w:left="492"/>
      </w:pPr>
      <w:r>
        <w:rPr>
          <w:spacing w:val="-1"/>
        </w:rPr>
        <w:t>（二）严格执行建设工程项目承发包合同文件，自觉按合同办事。</w:t>
      </w:r>
    </w:p>
    <w:p w14:paraId="0F74EBFE">
      <w:pPr>
        <w:pStyle w:val="12"/>
        <w:spacing w:before="181" w:line="312" w:lineRule="auto"/>
        <w:ind w:firstLine="492"/>
      </w:pPr>
      <w:r>
        <w:rPr>
          <w:spacing w:val="5"/>
        </w:rPr>
        <w:t>（三）业务活动必须坚持公开、公平、公正、诚信、透明的原则（</w:t>
      </w:r>
      <w:r>
        <w:rPr>
          <w:spacing w:val="4"/>
        </w:rPr>
        <w:t>除法律法规另</w:t>
      </w:r>
      <w:r>
        <w:t xml:space="preserve"> </w:t>
      </w:r>
      <w:r>
        <w:rPr>
          <w:spacing w:val="4"/>
        </w:rPr>
        <w:t>有规定者外</w:t>
      </w:r>
      <w:r>
        <w:rPr>
          <w:spacing w:val="21"/>
        </w:rPr>
        <w:t>），</w:t>
      </w:r>
      <w:r>
        <w:rPr>
          <w:spacing w:val="4"/>
        </w:rPr>
        <w:t>不得为获取不正当的利益，损害国家、集体和对方利益，不得违反工</w:t>
      </w:r>
      <w:r>
        <w:t xml:space="preserve"> </w:t>
      </w:r>
      <w:r>
        <w:rPr>
          <w:spacing w:val="-1"/>
        </w:rPr>
        <w:t>程建设管理、施工安装的规章制度。</w:t>
      </w:r>
    </w:p>
    <w:p w14:paraId="49475827">
      <w:pPr>
        <w:pStyle w:val="12"/>
        <w:spacing w:before="183" w:line="289" w:lineRule="auto"/>
        <w:ind w:firstLine="491"/>
      </w:pPr>
      <w:r>
        <w:rPr>
          <w:spacing w:val="5"/>
        </w:rPr>
        <w:t>（四）发现对方在业务活动中有违规、违纪、违法行为的，应及时</w:t>
      </w:r>
      <w:r>
        <w:rPr>
          <w:spacing w:val="4"/>
        </w:rPr>
        <w:t>提醒对方，情</w:t>
      </w:r>
      <w:r>
        <w:t xml:space="preserve"> 节严重的，应向其上级主管部门或纪检监察</w:t>
      </w:r>
      <w:r>
        <w:rPr>
          <w:spacing w:val="-1"/>
        </w:rPr>
        <w:t>、司法等有关机关举报。</w:t>
      </w:r>
    </w:p>
    <w:p w14:paraId="6ACA0870">
      <w:pPr>
        <w:pStyle w:val="12"/>
        <w:spacing w:before="183" w:line="220" w:lineRule="auto"/>
        <w:ind w:left="480"/>
      </w:pPr>
      <w:r>
        <w:rPr>
          <w:spacing w:val="-7"/>
        </w:rPr>
        <w:t>第二条</w:t>
      </w:r>
      <w:r>
        <w:rPr>
          <w:spacing w:val="22"/>
        </w:rPr>
        <w:t xml:space="preserve">  </w:t>
      </w:r>
      <w:r>
        <w:rPr>
          <w:spacing w:val="-7"/>
        </w:rPr>
        <w:t>甲方的责任</w:t>
      </w:r>
    </w:p>
    <w:p w14:paraId="5D2D9ACD">
      <w:pPr>
        <w:pStyle w:val="12"/>
        <w:spacing w:before="182" w:line="359" w:lineRule="auto"/>
        <w:ind w:firstLine="510"/>
      </w:pPr>
      <w:r>
        <w:rPr>
          <w:spacing w:val="4"/>
        </w:rPr>
        <w:t>甲方的领导和从事该建设工程项目的工作人员，在工程建设的事前、事中、事后</w:t>
      </w:r>
      <w:r>
        <w:rPr>
          <w:spacing w:val="10"/>
        </w:rPr>
        <w:t xml:space="preserve"> </w:t>
      </w:r>
      <w:r>
        <w:rPr>
          <w:spacing w:val="-2"/>
        </w:rPr>
        <w:t>应遵守以下规定：</w:t>
      </w:r>
    </w:p>
    <w:p w14:paraId="03A3080C">
      <w:pPr>
        <w:pStyle w:val="12"/>
        <w:spacing w:line="289" w:lineRule="auto"/>
        <w:ind w:left="5" w:firstLine="486"/>
      </w:pPr>
      <w:r>
        <w:rPr>
          <w:spacing w:val="5"/>
        </w:rPr>
        <w:t>（一）不准向乙方和相关单位索要或接受回扣、礼金、有价证券、</w:t>
      </w:r>
      <w:r>
        <w:rPr>
          <w:spacing w:val="4"/>
        </w:rPr>
        <w:t>贵重物品和好</w:t>
      </w:r>
      <w:r>
        <w:t xml:space="preserve"> </w:t>
      </w:r>
      <w:r>
        <w:rPr>
          <w:spacing w:val="-2"/>
        </w:rPr>
        <w:t>处费、感谢费等。</w:t>
      </w:r>
    </w:p>
    <w:p w14:paraId="371AC7AF">
      <w:pPr>
        <w:pStyle w:val="12"/>
        <w:spacing w:before="182" w:line="220" w:lineRule="auto"/>
        <w:ind w:left="492"/>
      </w:pPr>
      <w:r>
        <w:rPr>
          <w:spacing w:val="-1"/>
        </w:rPr>
        <w:t>（二）不准在乙方和相关单位报销任何应由甲方或个人支付的费用。</w:t>
      </w:r>
    </w:p>
    <w:p w14:paraId="35AC8BF5">
      <w:pPr>
        <w:pStyle w:val="12"/>
        <w:spacing w:before="179" w:line="290" w:lineRule="auto"/>
        <w:ind w:left="1" w:firstLine="490"/>
      </w:pPr>
      <w:r>
        <w:rPr>
          <w:spacing w:val="5"/>
        </w:rPr>
        <w:t>（三）不准要求、暗示或接受乙方和相关单位为个人装修住房、婚</w:t>
      </w:r>
      <w:r>
        <w:rPr>
          <w:spacing w:val="4"/>
        </w:rPr>
        <w:t>丧嫁娶、配偶</w:t>
      </w:r>
      <w:r>
        <w:t xml:space="preserve"> </w:t>
      </w:r>
      <w:r>
        <w:rPr>
          <w:spacing w:val="-1"/>
        </w:rPr>
        <w:t>子女的工作安排以及出国（境）、旅游等提供方便。</w:t>
      </w:r>
    </w:p>
    <w:p w14:paraId="66F4874D">
      <w:pPr>
        <w:pStyle w:val="12"/>
        <w:spacing w:before="180" w:line="290" w:lineRule="auto"/>
        <w:ind w:left="2" w:firstLine="489"/>
      </w:pPr>
      <w:r>
        <w:rPr>
          <w:spacing w:val="5"/>
        </w:rPr>
        <w:t>（四）不准参加有可能影响公正执行公务的乙方和相关单位的宴请</w:t>
      </w:r>
      <w:r>
        <w:rPr>
          <w:spacing w:val="4"/>
        </w:rPr>
        <w:t>和健身、娱乐</w:t>
      </w:r>
      <w:r>
        <w:t xml:space="preserve"> </w:t>
      </w:r>
      <w:r>
        <w:rPr>
          <w:spacing w:val="-3"/>
        </w:rPr>
        <w:t>等活动。</w:t>
      </w:r>
    </w:p>
    <w:p w14:paraId="4FE76FD3">
      <w:pPr>
        <w:pStyle w:val="12"/>
        <w:spacing w:before="180" w:line="219" w:lineRule="auto"/>
        <w:jc w:val="right"/>
      </w:pPr>
      <w:r>
        <w:rPr>
          <w:spacing w:val="5"/>
        </w:rPr>
        <w:t>（五）不准向乙方介绍或为配偶、子女、亲属参与同甲方项目工程</w:t>
      </w:r>
      <w:r>
        <w:rPr>
          <w:spacing w:val="4"/>
        </w:rPr>
        <w:t>项目工程施工</w:t>
      </w:r>
    </w:p>
    <w:p w14:paraId="52187F86">
      <w:pPr>
        <w:spacing w:line="219" w:lineRule="auto"/>
        <w:sectPr>
          <w:footerReference r:id="rId22" w:type="default"/>
          <w:pgSz w:w="11905" w:h="16839"/>
          <w:pgMar w:top="1402" w:right="1417" w:bottom="1019" w:left="1424" w:header="0" w:footer="743" w:gutter="0"/>
          <w:cols w:space="720" w:num="1"/>
        </w:sectPr>
      </w:pPr>
    </w:p>
    <w:p w14:paraId="7EB390E6">
      <w:pPr>
        <w:pStyle w:val="12"/>
        <w:spacing w:before="48" w:line="359" w:lineRule="auto"/>
        <w:ind w:left="1" w:right="147"/>
      </w:pPr>
      <w:r>
        <w:rPr>
          <w:spacing w:val="5"/>
        </w:rPr>
        <w:t>合同有关的设备、材料、工程分包、劳务等经济活动。不得任何理由要求</w:t>
      </w:r>
      <w:r>
        <w:rPr>
          <w:spacing w:val="4"/>
        </w:rPr>
        <w:t>乙方和相关</w:t>
      </w:r>
      <w:r>
        <w:t xml:space="preserve"> 单位推荐分包单位和要求乙方购买项目工程施工合同</w:t>
      </w:r>
      <w:r>
        <w:rPr>
          <w:spacing w:val="-1"/>
        </w:rPr>
        <w:t>规定以外的材料、设备登记。</w:t>
      </w:r>
    </w:p>
    <w:p w14:paraId="29B7DD73">
      <w:pPr>
        <w:pStyle w:val="12"/>
        <w:spacing w:line="220" w:lineRule="auto"/>
        <w:ind w:left="480"/>
      </w:pPr>
      <w:r>
        <w:rPr>
          <w:spacing w:val="-5"/>
        </w:rPr>
        <w:t>第三条</w:t>
      </w:r>
      <w:r>
        <w:rPr>
          <w:spacing w:val="14"/>
        </w:rPr>
        <w:t xml:space="preserve">  </w:t>
      </w:r>
      <w:r>
        <w:rPr>
          <w:spacing w:val="-5"/>
        </w:rPr>
        <w:t>乙方的责任</w:t>
      </w:r>
    </w:p>
    <w:p w14:paraId="6D7389A8">
      <w:pPr>
        <w:pStyle w:val="12"/>
        <w:spacing w:before="180" w:line="359" w:lineRule="auto"/>
        <w:ind w:left="4" w:right="147" w:firstLine="476"/>
        <w:jc w:val="both"/>
      </w:pPr>
      <w:r>
        <w:rPr>
          <w:spacing w:val="5"/>
        </w:rPr>
        <w:t>应与甲方保持正常的业务交往，按照有关法律法规和程序开展业务工作，严格执</w:t>
      </w:r>
      <w:r>
        <w:rPr>
          <w:spacing w:val="6"/>
        </w:rPr>
        <w:t xml:space="preserve"> </w:t>
      </w:r>
      <w:r>
        <w:rPr>
          <w:spacing w:val="5"/>
        </w:rPr>
        <w:t>行工程建设的有关方针、政策，尤其是有关建筑施工安装的强制性</w:t>
      </w:r>
      <w:r>
        <w:rPr>
          <w:spacing w:val="4"/>
        </w:rPr>
        <w:t>标准和规范，并遵</w:t>
      </w:r>
      <w:r>
        <w:t xml:space="preserve"> </w:t>
      </w:r>
      <w:r>
        <w:rPr>
          <w:spacing w:val="-3"/>
        </w:rPr>
        <w:t>守以下规定：</w:t>
      </w:r>
    </w:p>
    <w:p w14:paraId="68FE402F">
      <w:pPr>
        <w:pStyle w:val="12"/>
        <w:spacing w:before="1" w:line="288" w:lineRule="auto"/>
        <w:ind w:left="1" w:right="187" w:firstLine="490"/>
      </w:pPr>
      <w:r>
        <w:rPr>
          <w:spacing w:val="4"/>
        </w:rPr>
        <w:t>（一）不准以任何理由向甲方、相关单位及其工作人员索</w:t>
      </w:r>
      <w:r>
        <w:rPr>
          <w:spacing w:val="3"/>
        </w:rPr>
        <w:t>要、接受或赠送礼金、</w:t>
      </w:r>
      <w:r>
        <w:t xml:space="preserve"> </w:t>
      </w:r>
      <w:r>
        <w:rPr>
          <w:spacing w:val="-1"/>
        </w:rPr>
        <w:t>有价证券、贵重物品及回扣、好处费、感谢费等。</w:t>
      </w:r>
    </w:p>
    <w:p w14:paraId="4C40EC85">
      <w:pPr>
        <w:pStyle w:val="12"/>
        <w:spacing w:before="183" w:line="220" w:lineRule="auto"/>
        <w:ind w:left="492"/>
      </w:pPr>
      <w:r>
        <w:rPr>
          <w:spacing w:val="-1"/>
        </w:rPr>
        <w:t>（二）不准以任何理由为甲方和相关单位报销应由对方或个人支付的费用。</w:t>
      </w:r>
    </w:p>
    <w:p w14:paraId="324368C5">
      <w:pPr>
        <w:pStyle w:val="12"/>
        <w:spacing w:before="179" w:line="290" w:lineRule="auto"/>
        <w:ind w:left="20" w:right="147" w:firstLine="471"/>
      </w:pPr>
      <w:r>
        <w:rPr>
          <w:spacing w:val="5"/>
        </w:rPr>
        <w:t>（三）不准接受或暗示为甲方、相关单位或个人装修住房、婚丧嫁</w:t>
      </w:r>
      <w:r>
        <w:rPr>
          <w:spacing w:val="4"/>
        </w:rPr>
        <w:t>娶、配偶子女</w:t>
      </w:r>
      <w:r>
        <w:t xml:space="preserve"> </w:t>
      </w:r>
      <w:r>
        <w:rPr>
          <w:spacing w:val="-2"/>
        </w:rPr>
        <w:t>的工作安排以及出国（境）、旅游等提供方便。</w:t>
      </w:r>
    </w:p>
    <w:p w14:paraId="2917E7AD">
      <w:pPr>
        <w:pStyle w:val="12"/>
        <w:spacing w:before="180" w:line="290" w:lineRule="auto"/>
        <w:ind w:left="9" w:right="147" w:firstLine="483"/>
      </w:pPr>
      <w:r>
        <w:rPr>
          <w:spacing w:val="5"/>
        </w:rPr>
        <w:t>（四）不准以任何理由为甲方、相关单位或个人组织有可能影响公</w:t>
      </w:r>
      <w:r>
        <w:rPr>
          <w:spacing w:val="4"/>
        </w:rPr>
        <w:t>正执行公务的</w:t>
      </w:r>
      <w:r>
        <w:t xml:space="preserve"> </w:t>
      </w:r>
      <w:r>
        <w:rPr>
          <w:spacing w:val="-2"/>
        </w:rPr>
        <w:t>宴请、健身、娱乐等活动。</w:t>
      </w:r>
    </w:p>
    <w:p w14:paraId="0C6CDD38">
      <w:pPr>
        <w:pStyle w:val="12"/>
        <w:spacing w:before="182" w:line="220" w:lineRule="auto"/>
        <w:ind w:left="480"/>
      </w:pPr>
      <w:r>
        <w:rPr>
          <w:spacing w:val="-2"/>
        </w:rPr>
        <w:t>第四条  违约责任</w:t>
      </w:r>
    </w:p>
    <w:p w14:paraId="7DDFC2C2">
      <w:pPr>
        <w:pStyle w:val="12"/>
        <w:spacing w:before="178" w:line="313" w:lineRule="auto"/>
        <w:ind w:right="147" w:firstLine="492"/>
      </w:pPr>
      <w:r>
        <w:rPr>
          <w:spacing w:val="3"/>
        </w:rPr>
        <w:t>（一）</w:t>
      </w:r>
      <w:r>
        <w:rPr>
          <w:spacing w:val="-56"/>
        </w:rPr>
        <w:t xml:space="preserve"> </w:t>
      </w:r>
      <w:r>
        <w:rPr>
          <w:spacing w:val="3"/>
        </w:rPr>
        <w:t>甲方工作人员有违反本责任书第一、二条责任行为的，按照管理权限。依</w:t>
      </w:r>
      <w:r>
        <w:t xml:space="preserve"> </w:t>
      </w:r>
      <w:r>
        <w:rPr>
          <w:spacing w:val="3"/>
        </w:rPr>
        <w:t>据有关法律法规和规定给予党纪、政纪处分或组织处理</w:t>
      </w:r>
      <w:r>
        <w:rPr>
          <w:spacing w:val="2"/>
        </w:rPr>
        <w:t>；涉嫌犯罪</w:t>
      </w:r>
      <w:r>
        <w:rPr>
          <w:spacing w:val="2"/>
          <w:sz w:val="20"/>
          <w:szCs w:val="20"/>
        </w:rPr>
        <w:t>的，移交司法机关追究</w:t>
      </w:r>
      <w:r>
        <w:rPr>
          <w:sz w:val="20"/>
          <w:szCs w:val="20"/>
        </w:rPr>
        <w:t xml:space="preserve"> </w:t>
      </w:r>
      <w:r>
        <w:rPr>
          <w:spacing w:val="9"/>
          <w:sz w:val="20"/>
          <w:szCs w:val="20"/>
        </w:rPr>
        <w:t>刑事责任；给乙方单位造成经济损失的，应予以赔偿</w:t>
      </w:r>
      <w:r>
        <w:rPr>
          <w:spacing w:val="9"/>
        </w:rPr>
        <w:t>。</w:t>
      </w:r>
    </w:p>
    <w:p w14:paraId="245A9FEE">
      <w:pPr>
        <w:pStyle w:val="12"/>
        <w:spacing w:before="181" w:line="313" w:lineRule="auto"/>
        <w:ind w:left="1" w:right="147" w:firstLine="490"/>
      </w:pPr>
      <w:r>
        <w:rPr>
          <w:spacing w:val="5"/>
        </w:rPr>
        <w:t>（二）乙方工作人员有违反责任书第一、三条责任行为的，按照管</w:t>
      </w:r>
      <w:r>
        <w:rPr>
          <w:spacing w:val="4"/>
        </w:rPr>
        <w:t>理权限，依据</w:t>
      </w:r>
      <w:r>
        <w:t xml:space="preserve"> </w:t>
      </w:r>
      <w:r>
        <w:rPr>
          <w:spacing w:val="5"/>
        </w:rPr>
        <w:t>有关法律法规和规定给予党纪、政纪处分或组织处理；涉嫌犯罪的，移交</w:t>
      </w:r>
      <w:r>
        <w:rPr>
          <w:spacing w:val="4"/>
        </w:rPr>
        <w:t>司法机关追</w:t>
      </w:r>
      <w:r>
        <w:t xml:space="preserve"> </w:t>
      </w:r>
      <w:r>
        <w:rPr>
          <w:spacing w:val="-1"/>
        </w:rPr>
        <w:t>究刑事责任；给甲方单位造成经济损失的，应予以赔偿。</w:t>
      </w:r>
    </w:p>
    <w:p w14:paraId="5C335E65">
      <w:pPr>
        <w:pStyle w:val="12"/>
        <w:spacing w:before="181" w:line="290" w:lineRule="auto"/>
        <w:ind w:left="2" w:right="138" w:firstLine="478"/>
      </w:pPr>
      <w:r>
        <w:rPr>
          <w:spacing w:val="-1"/>
        </w:rPr>
        <w:t>第五条  本责任书作为工程施工合同的附件，与工程</w:t>
      </w:r>
      <w:r>
        <w:rPr>
          <w:spacing w:val="-2"/>
        </w:rPr>
        <w:t>施工合同具有同等法律效力。</w:t>
      </w:r>
      <w:r>
        <w:t xml:space="preserve"> </w:t>
      </w:r>
      <w:r>
        <w:rPr>
          <w:spacing w:val="-2"/>
        </w:rPr>
        <w:t>经双方签署后立即生效。</w:t>
      </w:r>
    </w:p>
    <w:p w14:paraId="6D8056E3">
      <w:pPr>
        <w:pStyle w:val="12"/>
        <w:spacing w:before="179" w:line="219" w:lineRule="auto"/>
        <w:ind w:left="480"/>
      </w:pPr>
      <w:r>
        <w:t>第六条  本责任书的有效期为双方签署之日起至该工程</w:t>
      </w:r>
      <w:r>
        <w:rPr>
          <w:spacing w:val="-1"/>
        </w:rPr>
        <w:t>项目竣工验收合格时止。</w:t>
      </w:r>
    </w:p>
    <w:p w14:paraId="08BE4E7B">
      <w:pPr>
        <w:pStyle w:val="12"/>
        <w:spacing w:before="183" w:line="290" w:lineRule="auto"/>
        <w:ind w:left="4" w:right="147" w:firstLine="476"/>
      </w:pPr>
      <w:r>
        <w:rPr>
          <w:spacing w:val="5"/>
        </w:rPr>
        <w:t>第七条  本责任书一式四份，由甲乙双方各执一份，送交甲乙双方的监督单位各</w:t>
      </w:r>
      <w:r>
        <w:rPr>
          <w:spacing w:val="1"/>
        </w:rPr>
        <w:t xml:space="preserve"> </w:t>
      </w:r>
      <w:r>
        <w:rPr>
          <w:spacing w:val="-5"/>
        </w:rPr>
        <w:t>一份。</w:t>
      </w:r>
    </w:p>
    <w:p w14:paraId="3EEB9365">
      <w:pPr>
        <w:pStyle w:val="12"/>
        <w:spacing w:before="180" w:line="219" w:lineRule="auto"/>
        <w:jc w:val="both"/>
      </w:pPr>
      <w:r>
        <w:rPr>
          <w:spacing w:val="-1"/>
        </w:rPr>
        <w:t>甲方单位</w:t>
      </w:r>
      <w:r>
        <w:rPr>
          <w:spacing w:val="-9"/>
        </w:rPr>
        <w:t>：（</w:t>
      </w:r>
      <w:r>
        <w:rPr>
          <w:spacing w:val="-1"/>
        </w:rPr>
        <w:t>盖章）                 乙方单位：</w:t>
      </w:r>
      <w:r>
        <w:rPr>
          <w:rFonts w:hint="eastAsia"/>
          <w:spacing w:val="-1"/>
          <w:lang w:val="en-US" w:eastAsia="zh-CN"/>
        </w:rPr>
        <w:t xml:space="preserve"> </w:t>
      </w:r>
      <w:r>
        <w:rPr>
          <w:spacing w:val="-1"/>
        </w:rPr>
        <w:t>（盖章）</w:t>
      </w:r>
    </w:p>
    <w:p w14:paraId="00FEFBEC">
      <w:pPr>
        <w:spacing w:line="284" w:lineRule="auto"/>
        <w:rPr>
          <w:rFonts w:ascii="Arial"/>
          <w:sz w:val="21"/>
        </w:rPr>
      </w:pPr>
    </w:p>
    <w:p w14:paraId="5904DD0B">
      <w:pPr>
        <w:pStyle w:val="12"/>
        <w:spacing w:before="78" w:line="220" w:lineRule="auto"/>
        <w:ind w:left="1"/>
      </w:pPr>
      <w:r>
        <w:t xml:space="preserve">法定代表人：                  </w:t>
      </w:r>
      <w:r>
        <w:rPr>
          <w:spacing w:val="-1"/>
        </w:rPr>
        <w:t xml:space="preserve">  </w:t>
      </w:r>
      <w:r>
        <w:rPr>
          <w:rFonts w:hint="eastAsia"/>
          <w:spacing w:val="-1"/>
          <w:lang w:val="en-US" w:eastAsia="zh-CN"/>
        </w:rPr>
        <w:t xml:space="preserve">       </w:t>
      </w:r>
      <w:r>
        <w:rPr>
          <w:spacing w:val="-1"/>
        </w:rPr>
        <w:t xml:space="preserve">    法定代表人：</w:t>
      </w:r>
    </w:p>
    <w:p w14:paraId="74FFC4ED">
      <w:pPr>
        <w:pStyle w:val="12"/>
        <w:spacing w:before="48" w:line="222" w:lineRule="auto"/>
        <w:rPr>
          <w:rFonts w:hint="default" w:eastAsia="宋体"/>
          <w:lang w:val="en-US" w:eastAsia="zh-CN"/>
        </w:rPr>
      </w:pPr>
      <w:r>
        <w:rPr>
          <w:spacing w:val="-1"/>
        </w:rPr>
        <w:t>地址：</w:t>
      </w:r>
      <w:r>
        <w:rPr>
          <w:spacing w:val="3"/>
        </w:rPr>
        <w:t xml:space="preserve">                            </w:t>
      </w:r>
      <w:r>
        <w:rPr>
          <w:rFonts w:hint="eastAsia"/>
          <w:spacing w:val="3"/>
          <w:lang w:val="en-US" w:eastAsia="zh-CN"/>
        </w:rPr>
        <w:t xml:space="preserve">      </w:t>
      </w:r>
      <w:r>
        <w:rPr>
          <w:spacing w:val="3"/>
        </w:rPr>
        <w:t xml:space="preserve">  </w:t>
      </w:r>
      <w:r>
        <w:rPr>
          <w:spacing w:val="-1"/>
        </w:rPr>
        <w:t>地址：</w:t>
      </w:r>
      <w:r>
        <w:rPr>
          <w:rFonts w:hint="eastAsia"/>
          <w:spacing w:val="-1"/>
          <w:lang w:val="en-US" w:eastAsia="zh-CN"/>
        </w:rPr>
        <w:t xml:space="preserve"> </w:t>
      </w:r>
      <w:r>
        <w:rPr>
          <w:spacing w:val="-3"/>
        </w:rPr>
        <w:t>电话：                               电话：</w:t>
      </w:r>
      <w:r>
        <w:rPr>
          <w:spacing w:val="-4"/>
        </w:rPr>
        <w:t>020-32235866</w:t>
      </w:r>
      <w:r>
        <w:rPr>
          <w:rFonts w:hint="eastAsia"/>
          <w:spacing w:val="-4"/>
          <w:lang w:val="en-US" w:eastAsia="zh-CN"/>
        </w:rPr>
        <w:t xml:space="preserve">   </w:t>
      </w:r>
    </w:p>
    <w:p w14:paraId="01783740">
      <w:pPr>
        <w:pStyle w:val="12"/>
        <w:spacing w:before="176" w:line="220" w:lineRule="auto"/>
        <w:ind w:left="4028"/>
      </w:pPr>
      <w:r>
        <w:rPr>
          <w:spacing w:val="-9"/>
        </w:rPr>
        <w:t>年</w:t>
      </w:r>
      <w:r>
        <w:rPr>
          <w:spacing w:val="5"/>
        </w:rPr>
        <w:t xml:space="preserve">   </w:t>
      </w:r>
      <w:r>
        <w:rPr>
          <w:spacing w:val="-9"/>
        </w:rPr>
        <w:t>月</w:t>
      </w:r>
      <w:r>
        <w:rPr>
          <w:spacing w:val="17"/>
        </w:rPr>
        <w:t xml:space="preserve">   </w:t>
      </w:r>
      <w:r>
        <w:rPr>
          <w:spacing w:val="-9"/>
        </w:rPr>
        <w:t>日</w:t>
      </w:r>
    </w:p>
    <w:p w14:paraId="455E2C46">
      <w:pPr>
        <w:pStyle w:val="2"/>
        <w:spacing w:before="5280" w:beforeLines="2200"/>
        <w:ind w:left="6"/>
        <w:rPr>
          <w:rFonts w:hint="default"/>
          <w:sz w:val="52"/>
          <w:szCs w:val="52"/>
          <w:highlight w:val="none"/>
        </w:rPr>
      </w:pPr>
      <w:r>
        <w:rPr>
          <w:sz w:val="52"/>
          <w:szCs w:val="52"/>
          <w:highlight w:val="none"/>
        </w:rPr>
        <w:t>第二卷</w:t>
      </w:r>
      <w:bookmarkEnd w:id="191"/>
    </w:p>
    <w:p w14:paraId="35A8A515">
      <w:pPr>
        <w:pStyle w:val="2"/>
        <w:spacing w:before="5280" w:beforeLines="2200"/>
        <w:ind w:left="6"/>
        <w:rPr>
          <w:rFonts w:hint="default"/>
          <w:sz w:val="52"/>
          <w:szCs w:val="52"/>
          <w:highlight w:val="none"/>
        </w:rPr>
        <w:sectPr>
          <w:headerReference r:id="rId23" w:type="default"/>
          <w:footerReference r:id="rId24" w:type="default"/>
          <w:pgSz w:w="11905" w:h="16838"/>
          <w:pgMar w:top="1417" w:right="1417" w:bottom="1417" w:left="1417" w:header="992" w:footer="992" w:gutter="0"/>
          <w:cols w:space="720" w:num="1"/>
        </w:sectPr>
      </w:pPr>
    </w:p>
    <w:p w14:paraId="6070F53E">
      <w:pPr>
        <w:pStyle w:val="4"/>
        <w:spacing w:line="360" w:lineRule="auto"/>
        <w:rPr>
          <w:sz w:val="44"/>
          <w:highlight w:val="none"/>
        </w:rPr>
      </w:pPr>
      <w:bookmarkStart w:id="192" w:name="bookmark162"/>
      <w:bookmarkEnd w:id="192"/>
      <w:bookmarkStart w:id="193" w:name="_Toc17878"/>
      <w:r>
        <w:rPr>
          <w:sz w:val="44"/>
          <w:highlight w:val="none"/>
        </w:rPr>
        <w:t>第五章 委托人要求</w:t>
      </w:r>
      <w:bookmarkEnd w:id="193"/>
    </w:p>
    <w:p w14:paraId="0284E39A">
      <w:pPr>
        <w:spacing w:line="360" w:lineRule="auto"/>
        <w:jc w:val="center"/>
        <w:outlineLvl w:val="1"/>
        <w:rPr>
          <w:b/>
          <w:sz w:val="32"/>
          <w:highlight w:val="none"/>
        </w:rPr>
      </w:pPr>
      <w:bookmarkStart w:id="194" w:name="_Toc805"/>
      <w:r>
        <w:rPr>
          <w:rFonts w:ascii="宋体"/>
          <w:b/>
          <w:sz w:val="32"/>
          <w:highlight w:val="none"/>
        </w:rPr>
        <w:t>委托人要求</w:t>
      </w:r>
      <w:bookmarkEnd w:id="194"/>
    </w:p>
    <w:p w14:paraId="1B9C3C0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cs="宋体"/>
          <w:sz w:val="24"/>
          <w:highlight w:val="none"/>
        </w:rPr>
        <w:t>委托人要求应尽可能清晰准确，对于可以进行定量评估的工作，委托人要求不仅应明确规 定其功能、用途、质量、环境、安全，并且要规定偏差的范围和计算方法，以及检验、试验、 试运行的具体要求。对于监理人负责提供的有关服务，在委托人要求中应一并明确规定。</w:t>
      </w:r>
    </w:p>
    <w:p w14:paraId="701D963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rPr>
          <w:sz w:val="20"/>
          <w:highlight w:val="none"/>
        </w:rPr>
      </w:pPr>
      <w:r>
        <w:rPr>
          <w:rFonts w:cs="宋体"/>
          <w:sz w:val="24"/>
          <w:highlight w:val="none"/>
        </w:rPr>
        <w:t>委托人要求通常包括但不限于以下内容：</w:t>
      </w:r>
    </w:p>
    <w:p w14:paraId="36134B62">
      <w:pPr>
        <w:pStyle w:val="5"/>
        <w:spacing w:before="120" w:after="120"/>
        <w:rPr>
          <w:sz w:val="31"/>
          <w:highlight w:val="none"/>
        </w:rPr>
      </w:pPr>
      <w:bookmarkStart w:id="195" w:name="bookmark163"/>
      <w:bookmarkEnd w:id="195"/>
      <w:bookmarkStart w:id="196" w:name="_Toc12787"/>
      <w:r>
        <w:rPr>
          <w:highlight w:val="none"/>
        </w:rPr>
        <w:t>一、监理要求</w:t>
      </w:r>
      <w:bookmarkEnd w:id="196"/>
    </w:p>
    <w:p w14:paraId="464D0447">
      <w:pPr>
        <w:kinsoku w:val="0"/>
        <w:overflowPunct w:val="0"/>
        <w:spacing w:beforeAutospacing="1" w:afterAutospacing="1" w:line="360" w:lineRule="auto"/>
        <w:ind w:firstLine="240" w:firstLineChars="100"/>
        <w:jc w:val="both"/>
        <w:rPr>
          <w:rFonts w:ascii="宋体" w:hAnsi="宋体" w:cs="宋体"/>
          <w:highlight w:val="none"/>
        </w:rPr>
      </w:pPr>
      <w:r>
        <w:rPr>
          <w:rFonts w:hint="eastAsia" w:ascii="宋体" w:hAnsi="宋体" w:cs="宋体"/>
          <w:highlight w:val="none"/>
          <w:lang w:bidi="ar"/>
        </w:rPr>
        <w:t>招标人应当根据项目情况在本章中明确相应的监理要求，一般应包括以下内容：</w:t>
      </w:r>
    </w:p>
    <w:p w14:paraId="6C536B40">
      <w:pPr>
        <w:numPr>
          <w:ilvl w:val="0"/>
          <w:numId w:val="2"/>
        </w:numPr>
        <w:kinsoku w:val="0"/>
        <w:overflowPunct w:val="0"/>
        <w:autoSpaceDE/>
        <w:autoSpaceDN/>
        <w:adjustRightInd/>
        <w:spacing w:beforeAutospacing="1" w:afterAutospacing="1" w:line="360" w:lineRule="auto"/>
        <w:ind w:firstLine="482" w:firstLineChars="200"/>
        <w:jc w:val="both"/>
        <w:rPr>
          <w:rFonts w:ascii="宋体" w:hAnsi="宋体" w:cs="宋体"/>
          <w:b/>
          <w:highlight w:val="none"/>
        </w:rPr>
      </w:pPr>
      <w:r>
        <w:rPr>
          <w:rFonts w:hint="eastAsia" w:ascii="宋体" w:hAnsi="宋体" w:cs="宋体"/>
          <w:b/>
          <w:highlight w:val="none"/>
          <w:lang w:bidi="ar"/>
        </w:rPr>
        <w:t xml:space="preserve">项目概况 </w:t>
      </w:r>
    </w:p>
    <w:p w14:paraId="19301AD8">
      <w:pPr>
        <w:kinsoku w:val="0"/>
        <w:overflowPunct w:val="0"/>
        <w:spacing w:beforeAutospacing="1" w:afterAutospacing="1" w:line="360" w:lineRule="auto"/>
        <w:ind w:left="480" w:leftChars="200" w:firstLine="480" w:firstLineChars="200"/>
        <w:jc w:val="both"/>
        <w:rPr>
          <w:rFonts w:ascii="宋体" w:hAnsi="宋体" w:cs="宋体"/>
          <w:highlight w:val="none"/>
        </w:rPr>
      </w:pPr>
      <w:r>
        <w:rPr>
          <w:rFonts w:hint="eastAsia" w:ascii="宋体" w:hAnsi="宋体" w:cs="宋体"/>
          <w:highlight w:val="none"/>
          <w:lang w:bidi="ar"/>
        </w:rPr>
        <w:t>项目名称：</w:t>
      </w:r>
      <w:r>
        <w:rPr>
          <w:rFonts w:hint="eastAsia" w:ascii="宋体" w:hAnsi="宋体" w:cs="宋体"/>
          <w:color w:val="auto"/>
          <w:szCs w:val="21"/>
          <w:highlight w:val="none"/>
          <w:u w:val="single"/>
          <w:lang w:val="en-US" w:eastAsia="zh-CN"/>
        </w:rPr>
        <w:t>石滩大围达标加固工程施工监理</w:t>
      </w:r>
      <w:r>
        <w:rPr>
          <w:rFonts w:hint="eastAsia" w:ascii="宋体" w:hAnsi="宋体" w:cs="宋体"/>
          <w:highlight w:val="none"/>
          <w:u w:val="single"/>
          <w:lang w:bidi="ar"/>
        </w:rPr>
        <w:t>。</w:t>
      </w:r>
    </w:p>
    <w:p w14:paraId="73E40031">
      <w:pPr>
        <w:kinsoku w:val="0"/>
        <w:overflowPunct w:val="0"/>
        <w:spacing w:beforeAutospacing="1" w:afterAutospacing="1" w:line="360" w:lineRule="auto"/>
        <w:ind w:left="480" w:leftChars="200" w:firstLine="480" w:firstLineChars="200"/>
        <w:jc w:val="both"/>
        <w:rPr>
          <w:rFonts w:ascii="宋体" w:hAnsi="宋体" w:cs="宋体"/>
          <w:highlight w:val="none"/>
        </w:rPr>
      </w:pPr>
      <w:r>
        <w:rPr>
          <w:rFonts w:hint="eastAsia" w:ascii="宋体" w:hAnsi="宋体" w:cs="宋体"/>
          <w:highlight w:val="none"/>
          <w:lang w:bidi="ar"/>
        </w:rPr>
        <w:t>建设单位：</w:t>
      </w:r>
      <w:r>
        <w:rPr>
          <w:rFonts w:hint="eastAsia" w:ascii="宋体" w:hAnsi="宋体" w:cs="宋体"/>
          <w:highlight w:val="none"/>
          <w:u w:val="single"/>
          <w:lang w:eastAsia="zh-CN" w:bidi="ar"/>
        </w:rPr>
        <w:t>广州市增城区石滩镇农业农村技术服务中心</w:t>
      </w:r>
      <w:r>
        <w:rPr>
          <w:rFonts w:hint="eastAsia" w:ascii="宋体" w:hAnsi="宋体" w:cs="宋体"/>
          <w:highlight w:val="none"/>
          <w:u w:val="single"/>
          <w:lang w:bidi="ar"/>
        </w:rPr>
        <w:t>。</w:t>
      </w:r>
    </w:p>
    <w:p w14:paraId="09DFDFA1">
      <w:pPr>
        <w:kinsoku w:val="0"/>
        <w:overflowPunct w:val="0"/>
        <w:spacing w:beforeAutospacing="1" w:afterAutospacing="1" w:line="360" w:lineRule="auto"/>
        <w:ind w:left="480" w:leftChars="200" w:firstLine="480" w:firstLineChars="200"/>
        <w:jc w:val="both"/>
        <w:rPr>
          <w:rFonts w:hint="eastAsia" w:ascii="宋体" w:hAnsi="宋体" w:cs="宋体"/>
          <w:highlight w:val="none"/>
          <w:lang w:bidi="ar"/>
        </w:rPr>
      </w:pPr>
      <w:r>
        <w:rPr>
          <w:rFonts w:hint="eastAsia" w:ascii="宋体" w:hAnsi="宋体" w:cs="宋体"/>
          <w:highlight w:val="none"/>
          <w:lang w:bidi="ar"/>
        </w:rPr>
        <w:t>建设规模：</w:t>
      </w:r>
    </w:p>
    <w:p w14:paraId="57908726">
      <w:pPr>
        <w:numPr>
          <w:ilvl w:val="0"/>
          <w:numId w:val="0"/>
        </w:numPr>
        <w:spacing w:line="360" w:lineRule="auto"/>
        <w:ind w:leftChars="0"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项目位于石滩镇，对石滩大围按100年一遇防洪标准进行达标加固，加固长度12.477km，堤线基本沿现有堤线，其中：增江段堤防5.894km，东江北干流段堤防1.640km，西福河段堤防4.943km。根据排水需要，结合排水沟及穿堤涵分布情况，拟原址拆除重建穿堤涵闸7座，重建或新建穿堤旱闸2座。</w:t>
      </w:r>
      <w:r>
        <w:rPr>
          <w:rFonts w:hint="eastAsia" w:ascii="宋体" w:hAnsi="宋体" w:eastAsia="宋体" w:cs="Times New Roman"/>
          <w:color w:val="auto"/>
          <w:kern w:val="2"/>
          <w:sz w:val="24"/>
          <w:szCs w:val="24"/>
          <w:highlight w:val="none"/>
          <w:u w:val="single"/>
          <w:lang w:val="en-US" w:eastAsia="zh-CN" w:bidi="ar"/>
        </w:rPr>
        <w:t>（具体工作内容详见施工设计图纸和工程量清单）</w:t>
      </w:r>
      <w:r>
        <w:rPr>
          <w:rFonts w:hint="eastAsia" w:ascii="宋体" w:hAnsi="宋体"/>
          <w:color w:val="auto"/>
          <w:sz w:val="24"/>
          <w:szCs w:val="24"/>
          <w:highlight w:val="none"/>
          <w:u w:val="single"/>
        </w:rPr>
        <w:t>。</w:t>
      </w:r>
    </w:p>
    <w:p w14:paraId="2D27AB06">
      <w:pPr>
        <w:kinsoku w:val="0"/>
        <w:overflowPunct w:val="0"/>
        <w:spacing w:beforeAutospacing="1" w:afterAutospacing="1" w:line="360" w:lineRule="auto"/>
        <w:ind w:left="480" w:leftChars="200" w:firstLine="480" w:firstLineChars="200"/>
        <w:jc w:val="both"/>
        <w:rPr>
          <w:rFonts w:hint="eastAsia" w:ascii="宋体" w:hAnsi="宋体" w:cs="宋体"/>
          <w:highlight w:val="none"/>
          <w:u w:val="single"/>
        </w:rPr>
      </w:pPr>
      <w:r>
        <w:rPr>
          <w:rFonts w:hint="eastAsia" w:ascii="宋体" w:hAnsi="宋体" w:cs="宋体"/>
          <w:highlight w:val="none"/>
          <w:lang w:bidi="ar"/>
        </w:rPr>
        <w:t>周边环境：</w:t>
      </w:r>
      <w:r>
        <w:rPr>
          <w:rFonts w:hint="eastAsia" w:ascii="宋体" w:hAnsi="宋体" w:cs="宋体"/>
          <w:highlight w:val="none"/>
          <w:u w:val="single"/>
          <w:lang w:eastAsia="zh-CN" w:bidi="ar"/>
        </w:rPr>
        <w:t xml:space="preserve"> </w:t>
      </w:r>
    </w:p>
    <w:p w14:paraId="09E7AB4F">
      <w:pPr>
        <w:kinsoku w:val="0"/>
        <w:overflowPunct w:val="0"/>
        <w:spacing w:beforeAutospacing="1" w:afterAutospacing="1" w:line="360" w:lineRule="auto"/>
        <w:ind w:left="480" w:leftChars="200" w:firstLine="480" w:firstLineChars="200"/>
        <w:jc w:val="both"/>
        <w:rPr>
          <w:rFonts w:hint="eastAsia" w:ascii="宋体" w:hAnsi="宋体" w:cs="宋体"/>
          <w:highlight w:val="none"/>
          <w:u w:val="single"/>
          <w:lang w:eastAsia="zh-CN" w:bidi="ar"/>
        </w:rPr>
      </w:pPr>
      <w:r>
        <w:rPr>
          <w:rFonts w:hint="eastAsia" w:ascii="宋体" w:hAnsi="宋体" w:cs="宋体"/>
          <w:highlight w:val="none"/>
          <w:lang w:bidi="ar"/>
        </w:rPr>
        <w:t>树木情况：</w:t>
      </w:r>
      <w:r>
        <w:rPr>
          <w:rFonts w:hint="eastAsia" w:ascii="宋体" w:hAnsi="宋体" w:cs="宋体"/>
          <w:highlight w:val="none"/>
          <w:u w:val="single"/>
          <w:lang w:eastAsia="zh-CN" w:bidi="ar"/>
        </w:rPr>
        <w:t xml:space="preserve"> </w:t>
      </w:r>
    </w:p>
    <w:p w14:paraId="2682E5D3">
      <w:pPr>
        <w:kinsoku w:val="0"/>
        <w:overflowPunct w:val="0"/>
        <w:spacing w:beforeAutospacing="1" w:afterAutospacing="1" w:line="360" w:lineRule="auto"/>
        <w:ind w:left="480" w:leftChars="200" w:firstLine="480" w:firstLineChars="200"/>
        <w:jc w:val="both"/>
        <w:rPr>
          <w:rFonts w:ascii="宋体" w:hAnsi="宋体" w:cs="宋体"/>
          <w:highlight w:val="none"/>
          <w:u w:val="single"/>
        </w:rPr>
      </w:pPr>
      <w:r>
        <w:rPr>
          <w:rFonts w:hint="eastAsia" w:ascii="宋体" w:hAnsi="宋体" w:cs="宋体"/>
          <w:highlight w:val="none"/>
          <w:lang w:bidi="ar"/>
        </w:rPr>
        <w:t>文物情况：</w:t>
      </w:r>
      <w:r>
        <w:rPr>
          <w:rFonts w:hint="eastAsia" w:ascii="宋体" w:hAnsi="宋体" w:cs="宋体"/>
          <w:highlight w:val="none"/>
          <w:u w:val="single"/>
          <w:lang w:bidi="ar"/>
        </w:rPr>
        <w:t>本工程主要建筑物、次要建筑物、临时建筑物均在文物核心保护范围外，未发现文物。因此，本工程不会对建筑附近历史风貌产生影响。</w:t>
      </w:r>
    </w:p>
    <w:p w14:paraId="2FFEC4A0">
      <w:pPr>
        <w:kinsoku w:val="0"/>
        <w:overflowPunct w:val="0"/>
        <w:spacing w:beforeAutospacing="1" w:afterAutospacing="1" w:line="360" w:lineRule="auto"/>
        <w:ind w:left="480" w:leftChars="200" w:firstLine="480" w:firstLineChars="200"/>
        <w:jc w:val="both"/>
        <w:rPr>
          <w:rFonts w:hint="eastAsia" w:ascii="宋体" w:hAnsi="宋体" w:cs="宋体"/>
          <w:highlight w:val="none"/>
          <w:u w:val="single"/>
          <w:lang w:eastAsia="zh-CN" w:bidi="ar"/>
        </w:rPr>
      </w:pPr>
      <w:r>
        <w:rPr>
          <w:rFonts w:hint="eastAsia" w:ascii="宋体" w:hAnsi="宋体" w:cs="宋体"/>
          <w:highlight w:val="none"/>
          <w:lang w:bidi="ar"/>
        </w:rPr>
        <w:t>地址地貌：</w:t>
      </w:r>
      <w:r>
        <w:rPr>
          <w:rFonts w:hint="eastAsia" w:ascii="宋体" w:hAnsi="宋体" w:cs="宋体"/>
          <w:highlight w:val="none"/>
          <w:u w:val="single"/>
          <w:lang w:eastAsia="zh-CN" w:bidi="ar"/>
        </w:rPr>
        <w:t xml:space="preserve"> </w:t>
      </w:r>
    </w:p>
    <w:p w14:paraId="2B8EF56D">
      <w:pPr>
        <w:kinsoku w:val="0"/>
        <w:overflowPunct w:val="0"/>
        <w:spacing w:beforeAutospacing="1" w:afterAutospacing="1" w:line="360" w:lineRule="auto"/>
        <w:ind w:left="480" w:leftChars="200" w:firstLine="480" w:firstLineChars="200"/>
        <w:jc w:val="both"/>
        <w:rPr>
          <w:rFonts w:hint="eastAsia" w:ascii="宋体" w:hAnsi="宋体" w:cs="宋体"/>
          <w:highlight w:val="none"/>
          <w:u w:val="single"/>
        </w:rPr>
      </w:pPr>
      <w:r>
        <w:rPr>
          <w:rFonts w:hint="eastAsia" w:ascii="宋体" w:hAnsi="宋体" w:cs="宋体"/>
          <w:highlight w:val="none"/>
          <w:lang w:bidi="ar"/>
        </w:rPr>
        <w:t>气候及气象条件：</w:t>
      </w:r>
      <w:r>
        <w:rPr>
          <w:rFonts w:hint="eastAsia" w:ascii="宋体" w:hAnsi="宋体" w:cs="宋体"/>
          <w:highlight w:val="none"/>
          <w:u w:val="single"/>
          <w:lang w:eastAsia="zh-CN" w:bidi="ar"/>
        </w:rPr>
        <w:t xml:space="preserve"> </w:t>
      </w:r>
    </w:p>
    <w:p w14:paraId="7C0B94E5">
      <w:pPr>
        <w:kinsoku w:val="0"/>
        <w:overflowPunct w:val="0"/>
        <w:spacing w:beforeAutospacing="1" w:afterAutospacing="1" w:line="360" w:lineRule="auto"/>
        <w:ind w:left="480" w:leftChars="200" w:firstLine="480" w:firstLineChars="200"/>
        <w:jc w:val="both"/>
        <w:rPr>
          <w:rFonts w:hint="eastAsia" w:ascii="宋体" w:hAnsi="宋体" w:cs="宋体"/>
          <w:highlight w:val="none"/>
          <w:u w:val="single"/>
        </w:rPr>
      </w:pPr>
      <w:r>
        <w:rPr>
          <w:rFonts w:hint="eastAsia" w:ascii="宋体" w:hAnsi="宋体" w:cs="宋体"/>
          <w:highlight w:val="none"/>
          <w:lang w:bidi="ar"/>
        </w:rPr>
        <w:t>道路交通状况</w:t>
      </w:r>
      <w:r>
        <w:rPr>
          <w:rFonts w:hint="eastAsia" w:ascii="宋体" w:hAnsi="宋体" w:cs="宋体"/>
          <w:highlight w:val="none"/>
          <w:u w:val="single"/>
          <w:lang w:bidi="ar"/>
        </w:rPr>
        <w:t>：</w:t>
      </w:r>
      <w:r>
        <w:rPr>
          <w:rFonts w:hint="eastAsia" w:ascii="宋体" w:hAnsi="宋体" w:cs="宋体"/>
          <w:highlight w:val="none"/>
          <w:u w:val="single"/>
          <w:lang w:eastAsia="zh-CN" w:bidi="ar"/>
        </w:rPr>
        <w:t xml:space="preserve"> </w:t>
      </w:r>
    </w:p>
    <w:p w14:paraId="79187855">
      <w:pPr>
        <w:kinsoku w:val="0"/>
        <w:overflowPunct w:val="0"/>
        <w:spacing w:beforeAutospacing="1" w:afterAutospacing="1" w:line="360" w:lineRule="auto"/>
        <w:ind w:firstLine="482" w:firstLineChars="200"/>
        <w:jc w:val="both"/>
        <w:rPr>
          <w:rFonts w:ascii="宋体" w:hAnsi="宋体" w:cs="宋体"/>
          <w:highlight w:val="none"/>
          <w:u w:val="single"/>
        </w:rPr>
      </w:pPr>
      <w:r>
        <w:rPr>
          <w:rFonts w:hint="eastAsia" w:ascii="宋体" w:hAnsi="宋体" w:cs="宋体"/>
          <w:b/>
          <w:highlight w:val="none"/>
          <w:lang w:bidi="ar"/>
        </w:rPr>
        <w:t>2. 监理范围及内容：</w:t>
      </w:r>
      <w:r>
        <w:rPr>
          <w:rFonts w:hint="eastAsia" w:ascii="宋体" w:hAnsi="宋体" w:cs="宋体"/>
          <w:highlight w:val="none"/>
          <w:u w:val="single"/>
          <w:lang w:bidi="ar"/>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p>
    <w:p w14:paraId="0B305FC6">
      <w:pPr>
        <w:kinsoku w:val="0"/>
        <w:overflowPunct w:val="0"/>
        <w:spacing w:beforeAutospacing="1" w:afterAutospacing="1" w:line="360" w:lineRule="auto"/>
        <w:ind w:firstLine="482" w:firstLineChars="200"/>
        <w:jc w:val="both"/>
        <w:rPr>
          <w:rFonts w:ascii="宋体" w:hAnsi="宋体" w:cs="宋体"/>
          <w:highlight w:val="none"/>
        </w:rPr>
      </w:pPr>
      <w:r>
        <w:rPr>
          <w:rFonts w:hint="eastAsia" w:ascii="宋体" w:hAnsi="宋体" w:cs="宋体"/>
          <w:b/>
          <w:highlight w:val="none"/>
          <w:lang w:bidi="ar"/>
        </w:rPr>
        <w:t>3. 监理依据</w:t>
      </w:r>
      <w:r>
        <w:rPr>
          <w:rFonts w:hint="eastAsia" w:ascii="宋体" w:hAnsi="宋体" w:cs="宋体"/>
          <w:highlight w:val="none"/>
          <w:lang w:bidi="ar"/>
        </w:rPr>
        <w:t>：</w:t>
      </w:r>
      <w:r>
        <w:rPr>
          <w:rFonts w:hint="eastAsia" w:ascii="宋体" w:hAnsi="宋体" w:cs="宋体"/>
          <w:highlight w:val="none"/>
          <w:u w:val="single"/>
          <w:lang w:bidi="ar"/>
        </w:rPr>
        <w:t>（1）中华人民共和国的法律、法规、本合同约定的部门规章及工程所在地的地方法规和规章；（2）《建设工程监理规范》（GB/T 50319-2013）；（3）国家和地方现行的建设工程质量评定标准、设计及施工验收规范；（4）经批准的施工图纸及说明，以及经图纸会审确定的修改设计通知书；（5）本合同工程的设计、施工、安装等的招投标文件及合同；（6）委托人发出的有关本合同工程建设的指令；（7）委托人制定的有关本合同工程建设的管理制度。详见监理合同</w:t>
      </w:r>
    </w:p>
    <w:p w14:paraId="4992F49C">
      <w:pPr>
        <w:kinsoku w:val="0"/>
        <w:overflowPunct w:val="0"/>
        <w:spacing w:beforeAutospacing="1" w:afterAutospacing="1" w:line="360" w:lineRule="auto"/>
        <w:ind w:firstLine="482" w:firstLineChars="200"/>
        <w:jc w:val="both"/>
        <w:rPr>
          <w:rFonts w:ascii="宋体" w:hAnsi="宋体" w:cs="宋体"/>
          <w:b/>
          <w:highlight w:val="none"/>
        </w:rPr>
      </w:pPr>
      <w:r>
        <w:rPr>
          <w:rFonts w:hint="eastAsia" w:ascii="宋体" w:hAnsi="宋体" w:cs="宋体"/>
          <w:b/>
          <w:highlight w:val="none"/>
          <w:lang w:bidi="ar"/>
        </w:rPr>
        <w:t>4. 监理人员和试验检测仪器设备要求：</w:t>
      </w:r>
    </w:p>
    <w:p w14:paraId="3B56D7C6">
      <w:pPr>
        <w:kinsoku w:val="0"/>
        <w:overflowPunct w:val="0"/>
        <w:spacing w:beforeAutospacing="1" w:afterAutospacing="1" w:line="360" w:lineRule="auto"/>
        <w:ind w:firstLine="480" w:firstLineChars="200"/>
        <w:jc w:val="both"/>
        <w:rPr>
          <w:rFonts w:ascii="宋体" w:hAnsi="宋体" w:cs="宋体"/>
          <w:kern w:val="2"/>
          <w:sz w:val="21"/>
          <w:szCs w:val="21"/>
          <w:highlight w:val="none"/>
        </w:rPr>
      </w:pPr>
      <w:r>
        <w:rPr>
          <w:rFonts w:ascii="宋体" w:hAnsi="宋体" w:cs="宋体"/>
          <w:highlight w:val="none"/>
          <w:u w:val="single"/>
          <w:lang w:bidi="ar"/>
        </w:rPr>
        <w:t>监理人员要求：</w:t>
      </w:r>
      <w:r>
        <w:rPr>
          <w:rFonts w:hint="eastAsia" w:ascii="宋体" w:hAnsi="宋体" w:cs="宋体"/>
          <w:highlight w:val="none"/>
          <w:u w:val="single"/>
          <w:lang w:bidi="ar"/>
        </w:rPr>
        <w:t>监理部总监理工程师、专业监理工程师、监理员等均纳入现场被考勤范围，以上人员必须是监理企业投标文件及合同备案时所承诺配置的监理部管理人员，不得挂名虚设，不得随意更换，现场管理组核实管理架构内是否有无岗位证书、无资格证人员。</w:t>
      </w:r>
    </w:p>
    <w:p w14:paraId="3D8CC8B4">
      <w:pPr>
        <w:spacing w:line="360" w:lineRule="auto"/>
        <w:rPr>
          <w:rFonts w:ascii="宋体" w:hAnsi="宋体" w:cs="宋体"/>
          <w:b/>
          <w:highlight w:val="none"/>
          <w:lang w:bidi="ar"/>
        </w:rPr>
      </w:pPr>
      <w:r>
        <w:rPr>
          <w:rFonts w:hint="eastAsia" w:ascii="宋体" w:hAnsi="宋体" w:cs="宋体"/>
          <w:b/>
          <w:highlight w:val="none"/>
          <w:lang w:bidi="ar"/>
        </w:rPr>
        <w:t xml:space="preserve"> 4.2试验检测仪器设备</w:t>
      </w:r>
      <w:r>
        <w:rPr>
          <w:rFonts w:ascii="宋体" w:hAnsi="宋体" w:cs="宋体"/>
          <w:b/>
          <w:highlight w:val="none"/>
          <w:lang w:bidi="ar"/>
        </w:rPr>
        <w:t>基本要求</w:t>
      </w:r>
      <w:r>
        <w:rPr>
          <w:rFonts w:hint="eastAsia" w:ascii="宋体" w:hAnsi="宋体" w:cs="宋体"/>
          <w:b/>
          <w:highlight w:val="none"/>
          <w:lang w:bidi="ar"/>
        </w:rPr>
        <w:t>：</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8"/>
        <w:gridCol w:w="1858"/>
      </w:tblGrid>
      <w:tr w14:paraId="01D5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14:paraId="23280B34">
            <w:pPr>
              <w:spacing w:line="360" w:lineRule="auto"/>
              <w:jc w:val="center"/>
              <w:rPr>
                <w:rFonts w:ascii="宋体" w:hAnsi="宋体" w:cs="宋体"/>
                <w:bCs/>
                <w:highlight w:val="none"/>
                <w:lang w:bidi="ar"/>
              </w:rPr>
            </w:pPr>
            <w:r>
              <w:rPr>
                <w:rFonts w:ascii="宋体" w:hAnsi="宋体" w:cs="宋体"/>
                <w:bCs/>
                <w:highlight w:val="none"/>
                <w:lang w:bidi="ar"/>
              </w:rPr>
              <w:t>序号</w:t>
            </w:r>
          </w:p>
        </w:tc>
        <w:tc>
          <w:tcPr>
            <w:tcW w:w="1857" w:type="dxa"/>
            <w:vAlign w:val="center"/>
          </w:tcPr>
          <w:p w14:paraId="071890BD">
            <w:pPr>
              <w:spacing w:line="360" w:lineRule="auto"/>
              <w:jc w:val="center"/>
              <w:rPr>
                <w:rFonts w:ascii="宋体" w:hAnsi="宋体" w:cs="宋体"/>
                <w:bCs/>
                <w:highlight w:val="none"/>
                <w:lang w:bidi="ar"/>
              </w:rPr>
            </w:pPr>
            <w:r>
              <w:rPr>
                <w:rFonts w:ascii="宋体" w:hAnsi="宋体" w:cs="宋体"/>
                <w:bCs/>
                <w:highlight w:val="none"/>
                <w:lang w:bidi="ar"/>
              </w:rPr>
              <w:t>仪器设备名称</w:t>
            </w:r>
          </w:p>
        </w:tc>
        <w:tc>
          <w:tcPr>
            <w:tcW w:w="1857" w:type="dxa"/>
            <w:vAlign w:val="center"/>
          </w:tcPr>
          <w:p w14:paraId="129DD35C">
            <w:pPr>
              <w:spacing w:line="360" w:lineRule="auto"/>
              <w:jc w:val="center"/>
              <w:rPr>
                <w:rFonts w:ascii="宋体" w:hAnsi="宋体" w:cs="宋体"/>
                <w:bCs/>
                <w:highlight w:val="none"/>
                <w:lang w:bidi="ar"/>
              </w:rPr>
            </w:pPr>
            <w:r>
              <w:rPr>
                <w:rFonts w:ascii="宋体" w:hAnsi="宋体" w:cs="宋体"/>
                <w:bCs/>
                <w:highlight w:val="none"/>
                <w:lang w:bidi="ar"/>
              </w:rPr>
              <w:t>规格</w:t>
            </w:r>
          </w:p>
        </w:tc>
        <w:tc>
          <w:tcPr>
            <w:tcW w:w="1858" w:type="dxa"/>
            <w:vAlign w:val="center"/>
          </w:tcPr>
          <w:p w14:paraId="75851162">
            <w:pPr>
              <w:spacing w:line="360" w:lineRule="auto"/>
              <w:jc w:val="center"/>
              <w:rPr>
                <w:rFonts w:ascii="宋体" w:hAnsi="宋体" w:cs="宋体"/>
                <w:bCs/>
                <w:highlight w:val="none"/>
                <w:lang w:bidi="ar"/>
              </w:rPr>
            </w:pPr>
            <w:r>
              <w:rPr>
                <w:rFonts w:ascii="宋体" w:hAnsi="宋体" w:cs="宋体"/>
                <w:bCs/>
                <w:highlight w:val="none"/>
                <w:lang w:bidi="ar"/>
              </w:rPr>
              <w:t>数量</w:t>
            </w:r>
          </w:p>
        </w:tc>
        <w:tc>
          <w:tcPr>
            <w:tcW w:w="1858" w:type="dxa"/>
            <w:vAlign w:val="center"/>
          </w:tcPr>
          <w:p w14:paraId="6194541F">
            <w:pPr>
              <w:spacing w:line="360" w:lineRule="auto"/>
              <w:jc w:val="center"/>
              <w:rPr>
                <w:rFonts w:ascii="宋体" w:hAnsi="宋体" w:cs="宋体"/>
                <w:bCs/>
                <w:highlight w:val="none"/>
                <w:lang w:bidi="ar"/>
              </w:rPr>
            </w:pPr>
            <w:r>
              <w:rPr>
                <w:rFonts w:ascii="宋体" w:hAnsi="宋体" w:cs="宋体"/>
                <w:bCs/>
                <w:highlight w:val="none"/>
                <w:lang w:bidi="ar"/>
              </w:rPr>
              <w:t>备注</w:t>
            </w:r>
          </w:p>
        </w:tc>
      </w:tr>
      <w:tr w14:paraId="3B6D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14:paraId="56C5E629">
            <w:pPr>
              <w:spacing w:line="360" w:lineRule="auto"/>
              <w:jc w:val="center"/>
              <w:rPr>
                <w:rFonts w:ascii="宋体" w:hAnsi="宋体" w:cs="宋体"/>
                <w:bCs/>
                <w:highlight w:val="none"/>
                <w:lang w:bidi="ar"/>
              </w:rPr>
            </w:pPr>
            <w:r>
              <w:rPr>
                <w:rFonts w:ascii="宋体" w:hAnsi="宋体" w:cs="宋体"/>
                <w:bCs/>
                <w:highlight w:val="none"/>
                <w:lang w:bidi="ar"/>
              </w:rPr>
              <w:t>1</w:t>
            </w:r>
          </w:p>
        </w:tc>
        <w:tc>
          <w:tcPr>
            <w:tcW w:w="1857" w:type="dxa"/>
            <w:vAlign w:val="center"/>
          </w:tcPr>
          <w:p w14:paraId="2A3CCD87">
            <w:pPr>
              <w:spacing w:line="360" w:lineRule="auto"/>
              <w:jc w:val="center"/>
              <w:rPr>
                <w:rFonts w:ascii="宋体" w:hAnsi="宋体" w:cs="宋体"/>
                <w:bCs/>
                <w:highlight w:val="none"/>
                <w:lang w:bidi="ar"/>
              </w:rPr>
            </w:pPr>
            <w:r>
              <w:rPr>
                <w:rFonts w:ascii="宋体" w:hAnsi="宋体" w:cs="宋体"/>
                <w:bCs/>
                <w:highlight w:val="none"/>
                <w:lang w:bidi="ar"/>
              </w:rPr>
              <w:t>回弹仪</w:t>
            </w:r>
          </w:p>
        </w:tc>
        <w:tc>
          <w:tcPr>
            <w:tcW w:w="1857" w:type="dxa"/>
            <w:vAlign w:val="center"/>
          </w:tcPr>
          <w:p w14:paraId="5AB89A03">
            <w:pPr>
              <w:spacing w:line="360" w:lineRule="auto"/>
              <w:jc w:val="center"/>
              <w:rPr>
                <w:rFonts w:ascii="宋体" w:hAnsi="宋体" w:cs="宋体"/>
                <w:bCs/>
                <w:highlight w:val="none"/>
                <w:lang w:bidi="ar"/>
              </w:rPr>
            </w:pPr>
            <w:r>
              <w:rPr>
                <w:rFonts w:ascii="宋体" w:hAnsi="宋体" w:cs="宋体"/>
                <w:bCs/>
                <w:highlight w:val="none"/>
                <w:lang w:bidi="ar"/>
              </w:rPr>
              <w:t>/</w:t>
            </w:r>
          </w:p>
        </w:tc>
        <w:tc>
          <w:tcPr>
            <w:tcW w:w="1858" w:type="dxa"/>
            <w:vAlign w:val="center"/>
          </w:tcPr>
          <w:p w14:paraId="0437E45A">
            <w:pPr>
              <w:spacing w:line="360" w:lineRule="auto"/>
              <w:jc w:val="center"/>
              <w:rPr>
                <w:rFonts w:ascii="宋体" w:hAnsi="宋体" w:cs="宋体"/>
                <w:bCs/>
                <w:highlight w:val="none"/>
                <w:lang w:bidi="ar"/>
              </w:rPr>
            </w:pPr>
            <w:r>
              <w:rPr>
                <w:rFonts w:ascii="宋体" w:hAnsi="宋体" w:cs="宋体"/>
                <w:bCs/>
                <w:highlight w:val="none"/>
                <w:lang w:bidi="ar"/>
              </w:rPr>
              <w:t>1</w:t>
            </w:r>
          </w:p>
        </w:tc>
        <w:tc>
          <w:tcPr>
            <w:tcW w:w="1858" w:type="dxa"/>
            <w:vAlign w:val="center"/>
          </w:tcPr>
          <w:p w14:paraId="0088766A">
            <w:pPr>
              <w:spacing w:line="360" w:lineRule="auto"/>
              <w:jc w:val="center"/>
              <w:rPr>
                <w:rFonts w:ascii="宋体" w:hAnsi="宋体" w:cs="宋体"/>
                <w:bCs/>
                <w:highlight w:val="none"/>
                <w:lang w:bidi="ar"/>
              </w:rPr>
            </w:pPr>
          </w:p>
        </w:tc>
      </w:tr>
      <w:tr w14:paraId="5355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14:paraId="4A19BBAC">
            <w:pPr>
              <w:spacing w:line="360" w:lineRule="auto"/>
              <w:jc w:val="center"/>
              <w:rPr>
                <w:rFonts w:ascii="宋体" w:hAnsi="宋体" w:cs="宋体"/>
                <w:bCs/>
                <w:highlight w:val="none"/>
                <w:lang w:bidi="ar"/>
              </w:rPr>
            </w:pPr>
            <w:r>
              <w:rPr>
                <w:rFonts w:ascii="宋体" w:hAnsi="宋体" w:cs="宋体"/>
                <w:bCs/>
                <w:highlight w:val="none"/>
                <w:lang w:bidi="ar"/>
              </w:rPr>
              <w:t>2</w:t>
            </w:r>
          </w:p>
        </w:tc>
        <w:tc>
          <w:tcPr>
            <w:tcW w:w="1857" w:type="dxa"/>
            <w:vAlign w:val="center"/>
          </w:tcPr>
          <w:p w14:paraId="77533580">
            <w:pPr>
              <w:spacing w:line="360" w:lineRule="auto"/>
              <w:jc w:val="center"/>
              <w:rPr>
                <w:rFonts w:ascii="宋体" w:hAnsi="宋体" w:cs="宋体"/>
                <w:bCs/>
                <w:highlight w:val="none"/>
                <w:lang w:bidi="ar"/>
              </w:rPr>
            </w:pPr>
            <w:r>
              <w:rPr>
                <w:rFonts w:ascii="宋体" w:hAnsi="宋体" w:cs="宋体"/>
                <w:bCs/>
                <w:highlight w:val="none"/>
                <w:lang w:bidi="ar"/>
              </w:rPr>
              <w:t>砼坍落度筒</w:t>
            </w:r>
          </w:p>
        </w:tc>
        <w:tc>
          <w:tcPr>
            <w:tcW w:w="1857" w:type="dxa"/>
            <w:vAlign w:val="center"/>
          </w:tcPr>
          <w:p w14:paraId="719AACF3">
            <w:pPr>
              <w:spacing w:line="360" w:lineRule="auto"/>
              <w:jc w:val="center"/>
              <w:rPr>
                <w:rFonts w:ascii="宋体" w:hAnsi="宋体" w:cs="宋体"/>
                <w:bCs/>
                <w:highlight w:val="none"/>
                <w:lang w:bidi="ar"/>
              </w:rPr>
            </w:pPr>
            <w:r>
              <w:rPr>
                <w:rFonts w:ascii="宋体" w:hAnsi="宋体" w:cs="宋体"/>
                <w:bCs/>
                <w:highlight w:val="none"/>
                <w:lang w:bidi="ar"/>
              </w:rPr>
              <w:t>/</w:t>
            </w:r>
          </w:p>
        </w:tc>
        <w:tc>
          <w:tcPr>
            <w:tcW w:w="1858" w:type="dxa"/>
            <w:vAlign w:val="center"/>
          </w:tcPr>
          <w:p w14:paraId="2D56A74C">
            <w:pPr>
              <w:spacing w:line="360" w:lineRule="auto"/>
              <w:jc w:val="center"/>
              <w:rPr>
                <w:rFonts w:ascii="宋体" w:hAnsi="宋体" w:cs="宋体"/>
                <w:bCs/>
                <w:highlight w:val="none"/>
                <w:lang w:bidi="ar"/>
              </w:rPr>
            </w:pPr>
            <w:r>
              <w:rPr>
                <w:rFonts w:ascii="宋体" w:hAnsi="宋体" w:cs="宋体"/>
                <w:bCs/>
                <w:highlight w:val="none"/>
                <w:lang w:bidi="ar"/>
              </w:rPr>
              <w:t>1</w:t>
            </w:r>
          </w:p>
        </w:tc>
        <w:tc>
          <w:tcPr>
            <w:tcW w:w="1858" w:type="dxa"/>
            <w:vAlign w:val="center"/>
          </w:tcPr>
          <w:p w14:paraId="1CCBC7D6">
            <w:pPr>
              <w:spacing w:line="360" w:lineRule="auto"/>
              <w:jc w:val="center"/>
              <w:rPr>
                <w:rFonts w:ascii="宋体" w:hAnsi="宋体" w:cs="宋体"/>
                <w:bCs/>
                <w:highlight w:val="none"/>
                <w:lang w:bidi="ar"/>
              </w:rPr>
            </w:pPr>
          </w:p>
        </w:tc>
      </w:tr>
      <w:tr w14:paraId="4EF0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14:paraId="0C2FD0A5">
            <w:pPr>
              <w:spacing w:line="360" w:lineRule="auto"/>
              <w:jc w:val="center"/>
              <w:rPr>
                <w:rFonts w:ascii="宋体" w:hAnsi="宋体" w:cs="宋体"/>
                <w:bCs/>
                <w:highlight w:val="none"/>
                <w:lang w:bidi="ar"/>
              </w:rPr>
            </w:pPr>
            <w:r>
              <w:rPr>
                <w:rFonts w:ascii="宋体" w:hAnsi="宋体" w:cs="宋体"/>
                <w:bCs/>
                <w:highlight w:val="none"/>
                <w:lang w:bidi="ar"/>
              </w:rPr>
              <w:t>3</w:t>
            </w:r>
          </w:p>
        </w:tc>
        <w:tc>
          <w:tcPr>
            <w:tcW w:w="1857" w:type="dxa"/>
            <w:vAlign w:val="center"/>
          </w:tcPr>
          <w:p w14:paraId="4EE8B797">
            <w:pPr>
              <w:spacing w:line="360" w:lineRule="auto"/>
              <w:jc w:val="center"/>
              <w:rPr>
                <w:rFonts w:ascii="宋体" w:hAnsi="宋体" w:cs="宋体"/>
                <w:bCs/>
                <w:highlight w:val="none"/>
                <w:lang w:bidi="ar"/>
              </w:rPr>
            </w:pPr>
            <w:r>
              <w:rPr>
                <w:rFonts w:ascii="宋体" w:hAnsi="宋体" w:cs="宋体"/>
                <w:bCs/>
                <w:highlight w:val="none"/>
                <w:lang w:bidi="ar"/>
              </w:rPr>
              <w:t>检测尺</w:t>
            </w:r>
          </w:p>
        </w:tc>
        <w:tc>
          <w:tcPr>
            <w:tcW w:w="1857" w:type="dxa"/>
            <w:vAlign w:val="center"/>
          </w:tcPr>
          <w:p w14:paraId="27E372E9">
            <w:pPr>
              <w:spacing w:line="360" w:lineRule="auto"/>
              <w:jc w:val="center"/>
              <w:rPr>
                <w:rFonts w:ascii="宋体" w:hAnsi="宋体" w:cs="宋体"/>
                <w:bCs/>
                <w:highlight w:val="none"/>
                <w:lang w:bidi="ar"/>
              </w:rPr>
            </w:pPr>
            <w:r>
              <w:rPr>
                <w:rFonts w:ascii="宋体" w:hAnsi="宋体" w:cs="宋体"/>
                <w:bCs/>
                <w:highlight w:val="none"/>
                <w:lang w:bidi="ar"/>
              </w:rPr>
              <w:t>/</w:t>
            </w:r>
          </w:p>
        </w:tc>
        <w:tc>
          <w:tcPr>
            <w:tcW w:w="1858" w:type="dxa"/>
            <w:vAlign w:val="center"/>
          </w:tcPr>
          <w:p w14:paraId="66F94BF2">
            <w:pPr>
              <w:spacing w:line="360" w:lineRule="auto"/>
              <w:jc w:val="center"/>
              <w:rPr>
                <w:rFonts w:ascii="宋体" w:hAnsi="宋体" w:cs="宋体"/>
                <w:bCs/>
                <w:highlight w:val="none"/>
                <w:lang w:bidi="ar"/>
              </w:rPr>
            </w:pPr>
            <w:r>
              <w:rPr>
                <w:rFonts w:ascii="宋体" w:hAnsi="宋体" w:cs="宋体"/>
                <w:bCs/>
                <w:highlight w:val="none"/>
                <w:lang w:bidi="ar"/>
              </w:rPr>
              <w:t>1</w:t>
            </w:r>
          </w:p>
        </w:tc>
        <w:tc>
          <w:tcPr>
            <w:tcW w:w="1858" w:type="dxa"/>
            <w:vAlign w:val="center"/>
          </w:tcPr>
          <w:p w14:paraId="2F8050C9">
            <w:pPr>
              <w:spacing w:line="360" w:lineRule="auto"/>
              <w:jc w:val="center"/>
              <w:rPr>
                <w:rFonts w:ascii="宋体" w:hAnsi="宋体" w:cs="宋体"/>
                <w:bCs/>
                <w:highlight w:val="none"/>
                <w:lang w:bidi="ar"/>
              </w:rPr>
            </w:pPr>
          </w:p>
        </w:tc>
      </w:tr>
      <w:tr w14:paraId="74E4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Align w:val="center"/>
          </w:tcPr>
          <w:p w14:paraId="17720E61">
            <w:pPr>
              <w:spacing w:line="360" w:lineRule="auto"/>
              <w:jc w:val="center"/>
              <w:rPr>
                <w:rFonts w:ascii="宋体" w:hAnsi="宋体" w:cs="宋体"/>
                <w:bCs/>
                <w:highlight w:val="none"/>
                <w:lang w:bidi="ar"/>
              </w:rPr>
            </w:pPr>
            <w:r>
              <w:rPr>
                <w:rFonts w:ascii="宋体" w:hAnsi="宋体" w:cs="宋体"/>
                <w:bCs/>
                <w:highlight w:val="none"/>
                <w:lang w:bidi="ar"/>
              </w:rPr>
              <w:t>4</w:t>
            </w:r>
          </w:p>
        </w:tc>
        <w:tc>
          <w:tcPr>
            <w:tcW w:w="1857" w:type="dxa"/>
            <w:vAlign w:val="center"/>
          </w:tcPr>
          <w:p w14:paraId="44462D68">
            <w:pPr>
              <w:spacing w:line="360" w:lineRule="auto"/>
              <w:jc w:val="center"/>
              <w:rPr>
                <w:rFonts w:ascii="宋体" w:hAnsi="宋体" w:cs="宋体"/>
                <w:bCs/>
                <w:highlight w:val="none"/>
                <w:lang w:bidi="ar"/>
              </w:rPr>
            </w:pPr>
            <w:r>
              <w:rPr>
                <w:rFonts w:ascii="宋体" w:hAnsi="宋体" w:cs="宋体"/>
                <w:bCs/>
                <w:highlight w:val="none"/>
                <w:lang w:bidi="ar"/>
              </w:rPr>
              <w:t>卷尺</w:t>
            </w:r>
          </w:p>
        </w:tc>
        <w:tc>
          <w:tcPr>
            <w:tcW w:w="1857" w:type="dxa"/>
            <w:vAlign w:val="center"/>
          </w:tcPr>
          <w:p w14:paraId="17927864">
            <w:pPr>
              <w:spacing w:line="360" w:lineRule="auto"/>
              <w:jc w:val="center"/>
              <w:rPr>
                <w:rFonts w:ascii="宋体" w:hAnsi="宋体" w:cs="宋体"/>
                <w:bCs/>
                <w:highlight w:val="none"/>
                <w:lang w:bidi="ar"/>
              </w:rPr>
            </w:pPr>
            <w:r>
              <w:rPr>
                <w:rFonts w:ascii="宋体" w:hAnsi="宋体" w:cs="宋体"/>
                <w:bCs/>
                <w:highlight w:val="none"/>
                <w:lang w:bidi="ar"/>
              </w:rPr>
              <w:t>/</w:t>
            </w:r>
          </w:p>
        </w:tc>
        <w:tc>
          <w:tcPr>
            <w:tcW w:w="1858" w:type="dxa"/>
            <w:vAlign w:val="center"/>
          </w:tcPr>
          <w:p w14:paraId="2CB6D407">
            <w:pPr>
              <w:spacing w:line="360" w:lineRule="auto"/>
              <w:jc w:val="center"/>
              <w:rPr>
                <w:rFonts w:ascii="宋体" w:hAnsi="宋体" w:cs="宋体"/>
                <w:bCs/>
                <w:highlight w:val="none"/>
                <w:lang w:bidi="ar"/>
              </w:rPr>
            </w:pPr>
            <w:r>
              <w:rPr>
                <w:rFonts w:ascii="宋体" w:hAnsi="宋体" w:cs="宋体"/>
                <w:bCs/>
                <w:highlight w:val="none"/>
                <w:lang w:bidi="ar"/>
              </w:rPr>
              <w:t>1</w:t>
            </w:r>
          </w:p>
        </w:tc>
        <w:tc>
          <w:tcPr>
            <w:tcW w:w="1858" w:type="dxa"/>
            <w:vAlign w:val="center"/>
          </w:tcPr>
          <w:p w14:paraId="6EB54A6A">
            <w:pPr>
              <w:spacing w:line="360" w:lineRule="auto"/>
              <w:jc w:val="center"/>
              <w:rPr>
                <w:rFonts w:ascii="宋体" w:hAnsi="宋体" w:cs="宋体"/>
                <w:bCs/>
                <w:highlight w:val="none"/>
                <w:lang w:bidi="ar"/>
              </w:rPr>
            </w:pPr>
          </w:p>
        </w:tc>
      </w:tr>
    </w:tbl>
    <w:p w14:paraId="75D4AF68">
      <w:pPr>
        <w:numPr>
          <w:ilvl w:val="255"/>
          <w:numId w:val="0"/>
        </w:numPr>
        <w:kinsoku w:val="0"/>
        <w:overflowPunct w:val="0"/>
        <w:spacing w:beforeAutospacing="1" w:afterAutospacing="1" w:line="360" w:lineRule="auto"/>
        <w:ind w:firstLine="482" w:firstLineChars="200"/>
        <w:rPr>
          <w:rFonts w:ascii="宋体" w:hAnsi="宋体" w:cs="宋体"/>
          <w:b/>
          <w:highlight w:val="none"/>
        </w:rPr>
      </w:pPr>
      <w:r>
        <w:rPr>
          <w:rFonts w:ascii="宋体" w:hAnsi="宋体" w:cs="宋体"/>
          <w:b/>
          <w:highlight w:val="none"/>
          <w:lang w:bidi="ar"/>
        </w:rPr>
        <w:t>5.</w:t>
      </w:r>
      <w:r>
        <w:rPr>
          <w:rFonts w:hint="eastAsia" w:ascii="宋体" w:hAnsi="宋体" w:cs="宋体"/>
          <w:b/>
          <w:highlight w:val="none"/>
          <w:lang w:bidi="ar"/>
        </w:rPr>
        <w:t>其他要求：</w:t>
      </w:r>
    </w:p>
    <w:p w14:paraId="645F714E">
      <w:pPr>
        <w:kinsoku w:val="0"/>
        <w:overflowPunct w:val="0"/>
        <w:spacing w:beforeAutospacing="1" w:afterAutospacing="1" w:line="360" w:lineRule="auto"/>
        <w:ind w:firstLine="482" w:firstLineChars="200"/>
        <w:jc w:val="both"/>
        <w:rPr>
          <w:rFonts w:ascii="宋体" w:hAnsi="宋体" w:cs="宋体"/>
          <w:b/>
          <w:highlight w:val="none"/>
          <w:u w:val="single"/>
        </w:rPr>
      </w:pPr>
      <w:r>
        <w:rPr>
          <w:rFonts w:hint="eastAsia" w:ascii="宋体" w:hAnsi="宋体" w:cs="宋体"/>
          <w:b/>
          <w:highlight w:val="none"/>
          <w:u w:val="single"/>
          <w:lang w:bidi="ar"/>
        </w:rPr>
        <w:t>5.1施工监理内容和服务期限</w:t>
      </w:r>
    </w:p>
    <w:p w14:paraId="144F8C61">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从中标人收到招标人中标通知或参加由招标人组织的进场动员会开始算起，至本项目工程质量保修期结束且本合同工程结算金额经政府主管部门审定之日止。</w:t>
      </w:r>
    </w:p>
    <w:p w14:paraId="0A2AACC4">
      <w:pPr>
        <w:kinsoku w:val="0"/>
        <w:overflowPunct w:val="0"/>
        <w:spacing w:beforeAutospacing="1" w:afterAutospacing="1" w:line="360" w:lineRule="auto"/>
        <w:ind w:firstLine="482" w:firstLineChars="200"/>
        <w:jc w:val="both"/>
        <w:rPr>
          <w:rFonts w:ascii="宋体" w:hAnsi="宋体" w:cs="宋体"/>
          <w:b/>
          <w:highlight w:val="none"/>
          <w:u w:val="single"/>
        </w:rPr>
      </w:pPr>
      <w:r>
        <w:rPr>
          <w:rFonts w:hint="eastAsia" w:ascii="宋体" w:hAnsi="宋体" w:cs="宋体"/>
          <w:b/>
          <w:highlight w:val="none"/>
          <w:u w:val="single"/>
          <w:lang w:bidi="ar"/>
        </w:rPr>
        <w:t>5.2质量目标、职业健康安全管理目标、环境管理目标</w:t>
      </w:r>
    </w:p>
    <w:p w14:paraId="2B80A83E">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1. 质量目标：达到施工合同确定的质量目标；一次性验收合格，符合国家现行质量验收标准。</w:t>
      </w:r>
    </w:p>
    <w:p w14:paraId="0AAC3CD2">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2. 职业健康安全管理目标：杜绝发生一般事故等级及以上的伤亡事故且工伤责任事故死亡人数为零。</w:t>
      </w:r>
    </w:p>
    <w:p w14:paraId="78C3FA27">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3. 环境目标：严格执行《广州市建设工程现场文明施工管理办法》（穗建质〔2008〕937号）、《广州市建设工程文明施工管理规定》（广州市人民政府令第62号令）、《关于进一步规范建设工程施工现场围蔽的通知》（穗建质〔2008〕1008号）。</w:t>
      </w:r>
    </w:p>
    <w:p w14:paraId="47C39D2B">
      <w:pPr>
        <w:kinsoku w:val="0"/>
        <w:overflowPunct w:val="0"/>
        <w:spacing w:beforeAutospacing="1" w:afterAutospacing="1" w:line="360" w:lineRule="auto"/>
        <w:ind w:firstLine="482" w:firstLineChars="200"/>
        <w:jc w:val="both"/>
        <w:rPr>
          <w:rFonts w:ascii="宋体" w:hAnsi="宋体" w:cs="宋体"/>
          <w:b/>
          <w:highlight w:val="none"/>
          <w:u w:val="single"/>
          <w:lang w:bidi="ar"/>
        </w:rPr>
      </w:pPr>
      <w:r>
        <w:rPr>
          <w:rFonts w:ascii="宋体" w:hAnsi="宋体" w:cs="宋体"/>
          <w:b/>
          <w:highlight w:val="none"/>
          <w:u w:val="single"/>
          <w:lang w:bidi="ar"/>
        </w:rPr>
        <w:t>5.3</w:t>
      </w:r>
      <w:r>
        <w:rPr>
          <w:rFonts w:hint="eastAsia" w:ascii="宋体" w:hAnsi="宋体" w:cs="宋体"/>
          <w:b/>
          <w:highlight w:val="none"/>
          <w:u w:val="single"/>
          <w:lang w:bidi="ar"/>
        </w:rPr>
        <w:t>监理管理工作总体要求</w:t>
      </w:r>
    </w:p>
    <w:p w14:paraId="2D638B53">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1.按照“守法、诚信、公正、科学”的准则执业。正确执行国家法律法规、行业及地方有关工程建设的法规、规章和规程、规范、标准和制度，履行监理合同规定的职责。</w:t>
      </w:r>
    </w:p>
    <w:p w14:paraId="3546BB2C">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2.坚持独立、公正、科学、廉洁的原则开展监理工作，对工程项目建设具有高度的责任感。严格按照工程承包合同和工程施工监理合同积极主动、独立自立、公正公平地开展各项监理工作。在项目建设过程中加强质量、安全、进度、投资、信息、环境等方面的管理。</w:t>
      </w:r>
    </w:p>
    <w:p w14:paraId="2F16E3BB">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3.熟悉监理业务，对有关的合同文件、设计文件、技术规范、施工程序、施工工艺、安全措施、验收规程、材料和工程质量检验、工程质量评定标准等，应认真学习、理解，并能正确操作。</w:t>
      </w:r>
    </w:p>
    <w:p w14:paraId="3E052469">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4.不得在本工程的承包人、设备制造和材料供应人任职或兼职。</w:t>
      </w:r>
    </w:p>
    <w:p w14:paraId="006C0085">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5.不得指定施工分包单位、设备材料以及建筑构件配件等供应商。</w:t>
      </w:r>
    </w:p>
    <w:p w14:paraId="6BE6A1AD">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6.不得收受被监理单位的任何酬礼，不得接受可能导致判断不公正的报酬。</w:t>
      </w:r>
    </w:p>
    <w:p w14:paraId="18E041A7">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7.不得泄露本项目各方认为尚需保密的事项。</w:t>
      </w:r>
    </w:p>
    <w:p w14:paraId="73AD0959">
      <w:pPr>
        <w:kinsoku w:val="0"/>
        <w:overflowPunct w:val="0"/>
        <w:spacing w:beforeAutospacing="1" w:afterAutospacing="1" w:line="360" w:lineRule="auto"/>
        <w:ind w:firstLine="482" w:firstLineChars="200"/>
        <w:jc w:val="both"/>
        <w:rPr>
          <w:rFonts w:ascii="宋体" w:hAnsi="宋体" w:cs="宋体"/>
          <w:b/>
          <w:highlight w:val="none"/>
          <w:u w:val="single"/>
        </w:rPr>
      </w:pPr>
      <w:r>
        <w:rPr>
          <w:rFonts w:hint="eastAsia" w:ascii="宋体" w:hAnsi="宋体" w:cs="宋体"/>
          <w:b/>
          <w:highlight w:val="none"/>
          <w:u w:val="single"/>
          <w:lang w:bidi="ar"/>
        </w:rPr>
        <w:t>5.4监理管理人员架构要求</w:t>
      </w:r>
    </w:p>
    <w:p w14:paraId="4F968724">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项目监理架构组成人员应符合招投标文件、合同的要求，如因特殊情况部分投标人员不能到位应向建设单位项目管理机构书面提出人员更换申请，得到批准并按合同要求办理相应变更手续后方可进行人员更换；人员的更换应在施工准备阶段完成，经备案后的项目监理架构人员不允许随便变更。</w:t>
      </w:r>
    </w:p>
    <w:p w14:paraId="7DEAC05F">
      <w:pPr>
        <w:kinsoku w:val="0"/>
        <w:overflowPunct w:val="0"/>
        <w:spacing w:beforeAutospacing="1" w:afterAutospacing="1" w:line="360" w:lineRule="auto"/>
        <w:ind w:firstLine="482" w:firstLineChars="200"/>
        <w:jc w:val="both"/>
        <w:rPr>
          <w:rFonts w:ascii="宋体" w:hAnsi="宋体" w:cs="宋体"/>
          <w:b/>
          <w:highlight w:val="none"/>
          <w:u w:val="single"/>
        </w:rPr>
      </w:pPr>
      <w:r>
        <w:rPr>
          <w:rFonts w:hint="eastAsia" w:ascii="宋体" w:hAnsi="宋体" w:cs="宋体"/>
          <w:b/>
          <w:highlight w:val="none"/>
          <w:u w:val="single"/>
          <w:lang w:bidi="ar"/>
        </w:rPr>
        <w:t>5.5监理人员考勤管理要点</w:t>
      </w:r>
    </w:p>
    <w:p w14:paraId="2A1B0049">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严格实行请假制度；在非重要部位施工时，需要请假的，监理部人员需向广州市重点公共建设项目管理中心项目负责人书面请假，请假严格按合同、招投标文件进行审批。请假条获得批准后，可不列入缺勤天数。总监理工程师在工程关键部位、关键环节施工时段均不得请假外出。</w:t>
      </w:r>
    </w:p>
    <w:p w14:paraId="5DBBEE23">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按照相关法律法规规定，在高大模板现场浇注、深基坑和沟槽开挖及按规定其它须在岗的危险源、重点时段、关键环节等重大危险源、施工作业处于重点时段和关键环节的，监理部总监或安全监理工程师（员）等必须保证在岗在位，不得请假离开施工现场。</w:t>
      </w:r>
    </w:p>
    <w:p w14:paraId="03CE20E3">
      <w:pPr>
        <w:kinsoku w:val="0"/>
        <w:overflowPunct w:val="0"/>
        <w:spacing w:beforeAutospacing="1" w:afterAutospacing="1" w:line="360" w:lineRule="auto"/>
        <w:ind w:left="480" w:leftChars="200"/>
        <w:outlineLvl w:val="1"/>
        <w:rPr>
          <w:rFonts w:ascii="宋体" w:hAnsi="宋体"/>
          <w:b/>
          <w:highlight w:val="none"/>
        </w:rPr>
      </w:pPr>
      <w:r>
        <w:rPr>
          <w:rFonts w:hint="eastAsia" w:ascii="宋体" w:hAnsi="宋体" w:cs="宋体"/>
          <w:b/>
          <w:highlight w:val="none"/>
        </w:rPr>
        <w:t>二、适用规范标准</w:t>
      </w:r>
    </w:p>
    <w:p w14:paraId="14F9067E">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本工程的监理过程必须符合国家有关工程建设标准强制性条文、现行的标准、规范、规程、定额、办法、示例，以及招标项目所在地关于工程监理方面的文件、规定、规范、标准、规程。</w:t>
      </w:r>
    </w:p>
    <w:p w14:paraId="0DD0E9EF">
      <w:pPr>
        <w:kinsoku w:val="0"/>
        <w:overflowPunct w:val="0"/>
        <w:spacing w:beforeAutospacing="1" w:afterAutospacing="1" w:line="360" w:lineRule="auto"/>
        <w:ind w:firstLine="480" w:firstLineChars="200"/>
        <w:jc w:val="both"/>
        <w:rPr>
          <w:rFonts w:ascii="宋体" w:hAnsi="宋体" w:cs="宋体"/>
          <w:highlight w:val="none"/>
          <w:u w:val="single"/>
        </w:rPr>
      </w:pPr>
      <w:r>
        <w:rPr>
          <w:rFonts w:hint="eastAsia" w:ascii="宋体" w:hAnsi="宋体" w:cs="宋体"/>
          <w:highlight w:val="none"/>
          <w:u w:val="single"/>
          <w:lang w:bidi="ar"/>
        </w:rPr>
        <w:t>在监理过程中，如果国家或有关部门颁布了新的技术标准或规范，则监理人应按照新的标准和规范进行监理。</w:t>
      </w:r>
    </w:p>
    <w:p w14:paraId="11386613">
      <w:pPr>
        <w:rPr>
          <w:rFonts w:ascii="宋体" w:hAnsi="Courier New"/>
          <w:highlight w:val="none"/>
        </w:rPr>
      </w:pPr>
      <w:r>
        <w:rPr>
          <w:rFonts w:hint="eastAsia" w:ascii="宋体" w:hAnsi="Courier New"/>
          <w:highlight w:val="none"/>
          <w:lang w:bidi="ar"/>
        </w:rPr>
        <w:t xml:space="preserve"> </w:t>
      </w:r>
    </w:p>
    <w:p w14:paraId="56701CC2">
      <w:pPr>
        <w:kinsoku w:val="0"/>
        <w:overflowPunct w:val="0"/>
        <w:spacing w:beforeAutospacing="1" w:afterAutospacing="1" w:line="360" w:lineRule="auto"/>
        <w:ind w:left="480" w:leftChars="200"/>
        <w:outlineLvl w:val="1"/>
        <w:rPr>
          <w:rFonts w:ascii="宋体" w:hAnsi="宋体"/>
          <w:b/>
          <w:kern w:val="2"/>
          <w:highlight w:val="none"/>
        </w:rPr>
      </w:pPr>
      <w:r>
        <w:rPr>
          <w:rFonts w:hint="eastAsia" w:ascii="宋体" w:hAnsi="宋体" w:cs="宋体"/>
          <w:b/>
          <w:kern w:val="2"/>
          <w:highlight w:val="none"/>
        </w:rPr>
        <w:t>三、成果文件要求</w:t>
      </w:r>
    </w:p>
    <w:p w14:paraId="4031DA84">
      <w:pPr>
        <w:kinsoku w:val="0"/>
        <w:overflowPunct w:val="0"/>
        <w:spacing w:beforeAutospacing="1" w:afterAutospacing="1" w:line="360" w:lineRule="auto"/>
        <w:ind w:firstLine="480" w:firstLineChars="200"/>
        <w:jc w:val="both"/>
        <w:rPr>
          <w:rFonts w:ascii="宋体" w:hAnsi="宋体" w:cs="宋体"/>
          <w:highlight w:val="none"/>
          <w:u w:val="single"/>
          <w:lang w:bidi="ar"/>
        </w:rPr>
      </w:pPr>
      <w:r>
        <w:rPr>
          <w:rFonts w:hint="eastAsia" w:ascii="宋体" w:hAnsi="宋体" w:cs="宋体"/>
          <w:highlight w:val="none"/>
          <w:u w:val="single"/>
          <w:lang w:bidi="ar"/>
        </w:rPr>
        <w:t>各阶段工作成果文件的要求（具体详见监理合同）</w:t>
      </w:r>
    </w:p>
    <w:p w14:paraId="0507982B">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1. 成果文件的组成</w:t>
      </w:r>
    </w:p>
    <w:p w14:paraId="13F54676">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1、勘察设计文件、建设工程监理合同及其他合同文件；</w:t>
      </w:r>
    </w:p>
    <w:p w14:paraId="4173D665">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2、监理规划、监理实施细则；</w:t>
      </w:r>
    </w:p>
    <w:p w14:paraId="7B19E118">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3、设计交底和图纸会审会议纪要；</w:t>
      </w:r>
    </w:p>
    <w:p w14:paraId="55CDF259">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4、施工组织设计、（专项）施工方案、施工进度计划报审文件资料；</w:t>
      </w:r>
    </w:p>
    <w:p w14:paraId="71D2E976">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5、分包单位资格报审文件资料；</w:t>
      </w:r>
    </w:p>
    <w:p w14:paraId="322A1D1F">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6、施工控制测量成果报验文件资料；</w:t>
      </w:r>
    </w:p>
    <w:p w14:paraId="2D1BA332">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7、总监理工程师任命书、工程开工令、暂停令、复工令、开工或复工报审文件资料；</w:t>
      </w:r>
    </w:p>
    <w:p w14:paraId="3D32B6B2">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8、工程材料、设备、构配件报验文件资料；</w:t>
      </w:r>
    </w:p>
    <w:p w14:paraId="668897CC">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9、见证取样和平行检验文件资料；</w:t>
      </w:r>
    </w:p>
    <w:p w14:paraId="59D07714">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10、工程质量检查报验资料及工程有关验收资料；</w:t>
      </w:r>
    </w:p>
    <w:p w14:paraId="5CB7EAA5">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11、工程变更、费用索赔及工程延期文件资料；</w:t>
      </w:r>
    </w:p>
    <w:p w14:paraId="25492F64">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12、工程计量、工程款支付文件资料；</w:t>
      </w:r>
    </w:p>
    <w:p w14:paraId="00590E95">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13、监理通知单、工作联系单与监理报告；</w:t>
      </w:r>
    </w:p>
    <w:p w14:paraId="5B4776E5">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14、第一次工地会议、监理例会、专题会议等会议纪要；</w:t>
      </w:r>
    </w:p>
    <w:p w14:paraId="2C7296DF">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15、监理月报、监理日志、旁站记录；</w:t>
      </w:r>
    </w:p>
    <w:p w14:paraId="6DAEBB0A">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16、工程质量或生产安全事故处理文件资料；</w:t>
      </w:r>
    </w:p>
    <w:p w14:paraId="3A0EBA27">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17、工程质量评估报告及竣工验收监理文件资料；</w:t>
      </w:r>
    </w:p>
    <w:p w14:paraId="7E83D4AC">
      <w:pPr>
        <w:autoSpaceDE/>
        <w:autoSpaceDN/>
        <w:adjustRightInd/>
        <w:spacing w:line="360" w:lineRule="auto"/>
        <w:ind w:firstLine="480" w:firstLineChars="200"/>
        <w:jc w:val="both"/>
        <w:rPr>
          <w:rFonts w:ascii="宋体" w:hAnsi="宋体" w:cs="宋体"/>
          <w:kern w:val="2"/>
          <w:highlight w:val="none"/>
          <w:u w:val="single"/>
        </w:rPr>
      </w:pPr>
      <w:r>
        <w:rPr>
          <w:rFonts w:hint="eastAsia" w:ascii="宋体" w:hAnsi="宋体" w:cs="宋体"/>
          <w:kern w:val="2"/>
          <w:highlight w:val="none"/>
          <w:u w:val="single"/>
        </w:rPr>
        <w:t>18、监理工作总结。</w:t>
      </w:r>
    </w:p>
    <w:p w14:paraId="0711E820">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2. 成果文件的深度:</w:t>
      </w:r>
      <w:r>
        <w:rPr>
          <w:rFonts w:hint="eastAsia" w:ascii="宋体" w:hAnsi="宋体" w:cs="宋体"/>
          <w:kern w:val="2"/>
          <w:highlight w:val="none"/>
          <w:u w:val="single"/>
        </w:rPr>
        <w:t xml:space="preserve"> 满足本项目监理服务要求。</w:t>
      </w:r>
    </w:p>
    <w:p w14:paraId="61F5BD89">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3. 成果文件的格式要求:</w:t>
      </w:r>
      <w:r>
        <w:rPr>
          <w:rFonts w:hint="eastAsia" w:ascii="宋体" w:hAnsi="宋体" w:cs="宋体"/>
          <w:kern w:val="2"/>
          <w:highlight w:val="none"/>
          <w:u w:val="single"/>
        </w:rPr>
        <w:t xml:space="preserve"> 满足本项目监理服务要求。</w:t>
      </w:r>
    </w:p>
    <w:p w14:paraId="07604DCC">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4. 成果文件的份数要求:</w:t>
      </w:r>
      <w:r>
        <w:rPr>
          <w:rFonts w:hint="eastAsia" w:ascii="宋体" w:hAnsi="宋体" w:cs="宋体"/>
          <w:kern w:val="2"/>
          <w:highlight w:val="none"/>
          <w:u w:val="single"/>
        </w:rPr>
        <w:t xml:space="preserve"> 一式六份；</w:t>
      </w:r>
    </w:p>
    <w:p w14:paraId="1A4216CD">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5. 成果文件的载体要求</w:t>
      </w:r>
    </w:p>
    <w:p w14:paraId="61D66D7D">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（1）纸质版的要求：:</w:t>
      </w:r>
      <w:r>
        <w:rPr>
          <w:rFonts w:hint="eastAsia" w:ascii="宋体" w:hAnsi="宋体" w:cs="宋体"/>
          <w:kern w:val="2"/>
          <w:highlight w:val="none"/>
          <w:u w:val="single"/>
        </w:rPr>
        <w:t xml:space="preserve"> 一式六份；</w:t>
      </w:r>
    </w:p>
    <w:p w14:paraId="306EC1AA">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（2）电子版的要求：:</w:t>
      </w:r>
      <w:r>
        <w:rPr>
          <w:rFonts w:hint="eastAsia" w:ascii="宋体" w:hAnsi="宋体" w:cs="宋体"/>
          <w:kern w:val="2"/>
          <w:highlight w:val="none"/>
          <w:u w:val="single"/>
        </w:rPr>
        <w:t xml:space="preserve"> 与纸质版一致的电子版文件</w:t>
      </w:r>
    </w:p>
    <w:p w14:paraId="2D30615E">
      <w:pPr>
        <w:autoSpaceDE/>
        <w:autoSpaceDN/>
        <w:adjustRightInd/>
        <w:spacing w:line="360" w:lineRule="auto"/>
        <w:ind w:firstLine="480" w:firstLineChars="200"/>
        <w:jc w:val="both"/>
        <w:rPr>
          <w:rFonts w:ascii="宋体" w:hAnsi="宋体" w:cs="宋体"/>
          <w:kern w:val="2"/>
          <w:highlight w:val="none"/>
        </w:rPr>
      </w:pPr>
      <w:r>
        <w:rPr>
          <w:rFonts w:hint="eastAsia" w:ascii="宋体" w:hAnsi="宋体" w:cs="宋体"/>
          <w:kern w:val="2"/>
          <w:highlight w:val="none"/>
        </w:rPr>
        <w:t>（3）其他要求。</w:t>
      </w:r>
    </w:p>
    <w:p w14:paraId="50ECC0A0">
      <w:pPr>
        <w:kinsoku w:val="0"/>
        <w:overflowPunct w:val="0"/>
        <w:spacing w:beforeAutospacing="1" w:afterAutospacing="1" w:line="360" w:lineRule="auto"/>
        <w:ind w:firstLine="480" w:firstLineChars="200"/>
        <w:jc w:val="both"/>
        <w:rPr>
          <w:rFonts w:ascii="宋体" w:hAnsi="宋体" w:cs="宋体"/>
          <w:highlight w:val="none"/>
          <w:u w:val="single"/>
          <w:lang w:bidi="ar"/>
        </w:rPr>
      </w:pPr>
      <w:r>
        <w:rPr>
          <w:rFonts w:hint="eastAsia" w:ascii="宋体" w:hAnsi="宋体" w:cs="宋体"/>
          <w:kern w:val="2"/>
          <w:highlight w:val="none"/>
        </w:rPr>
        <w:t>6. 成果文件的其他要求:</w:t>
      </w:r>
      <w:r>
        <w:rPr>
          <w:rFonts w:hint="eastAsia" w:ascii="宋体" w:hAnsi="宋体" w:cs="宋体"/>
          <w:kern w:val="2"/>
          <w:highlight w:val="none"/>
          <w:u w:val="single"/>
        </w:rPr>
        <w:t xml:space="preserve"> 满足本项目监理服务要求</w:t>
      </w:r>
    </w:p>
    <w:p w14:paraId="24E515B8">
      <w:pPr>
        <w:keepNext/>
        <w:keepLines/>
        <w:widowControl/>
        <w:autoSpaceDE/>
        <w:autoSpaceDN/>
        <w:adjustRightInd/>
        <w:spacing w:before="260" w:after="260" w:line="410" w:lineRule="auto"/>
        <w:ind w:firstLine="118" w:firstLineChars="49"/>
        <w:jc w:val="both"/>
        <w:outlineLvl w:val="2"/>
        <w:rPr>
          <w:rFonts w:ascii="宋体" w:hAnsi="宋体"/>
          <w:b/>
          <w:kern w:val="2"/>
          <w:highlight w:val="none"/>
        </w:rPr>
      </w:pPr>
      <w:r>
        <w:rPr>
          <w:rFonts w:hint="eastAsia" w:ascii="宋体" w:hAnsi="宋体"/>
          <w:b/>
          <w:kern w:val="2"/>
          <w:highlight w:val="none"/>
        </w:rPr>
        <w:t xml:space="preserve"> </w:t>
      </w:r>
      <w:r>
        <w:rPr>
          <w:rFonts w:hint="eastAsia" w:ascii="宋体" w:hAnsi="宋体" w:cs="宋体"/>
          <w:b/>
          <w:kern w:val="2"/>
          <w:highlight w:val="none"/>
        </w:rPr>
        <w:t>四、委托人财产清单</w:t>
      </w:r>
    </w:p>
    <w:p w14:paraId="492636B5">
      <w:pPr>
        <w:kinsoku w:val="0"/>
        <w:overflowPunct w:val="0"/>
        <w:spacing w:beforeAutospacing="1" w:afterAutospacing="1" w:line="360" w:lineRule="auto"/>
        <w:jc w:val="both"/>
        <w:outlineLvl w:val="2"/>
        <w:rPr>
          <w:rFonts w:ascii="宋体" w:hAnsi="宋体" w:cs="宋体"/>
          <w:highlight w:val="none"/>
        </w:rPr>
      </w:pPr>
      <w:r>
        <w:rPr>
          <w:rFonts w:hint="eastAsia" w:ascii="宋体" w:hAnsi="宋体" w:cs="宋体"/>
          <w:highlight w:val="none"/>
          <w:lang w:bidi="ar"/>
        </w:rPr>
        <w:t>（一）委托人提供的设备、设施（若有）</w:t>
      </w:r>
    </w:p>
    <w:p w14:paraId="5D1F79DE">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1. 委托人提供的办公房屋及冷暖设施：</w:t>
      </w:r>
      <w:r>
        <w:rPr>
          <w:rFonts w:hint="eastAsia" w:ascii="宋体" w:hAnsi="宋体" w:cs="宋体"/>
          <w:highlight w:val="none"/>
          <w:u w:val="single"/>
          <w:lang w:bidi="ar"/>
        </w:rPr>
        <w:t>根据项目实际情况需求提供</w:t>
      </w:r>
      <w:r>
        <w:rPr>
          <w:rFonts w:hint="eastAsia" w:ascii="宋体" w:hAnsi="宋体" w:cs="宋体"/>
          <w:color w:val="000000"/>
          <w:highlight w:val="none"/>
          <w:u w:val="single"/>
          <w:lang w:bidi="ar"/>
        </w:rPr>
        <w:t>。</w:t>
      </w:r>
    </w:p>
    <w:p w14:paraId="7B84BA86">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2. 委托人提供的设备清单：</w:t>
      </w:r>
      <w:r>
        <w:rPr>
          <w:rFonts w:hint="eastAsia" w:ascii="宋体" w:hAnsi="宋体" w:cs="宋体"/>
          <w:color w:val="000000"/>
          <w:highlight w:val="none"/>
          <w:u w:val="single"/>
          <w:lang w:bidi="ar"/>
        </w:rPr>
        <w:t>无。</w:t>
      </w:r>
    </w:p>
    <w:p w14:paraId="65BC3215">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3. 委托人提供的设施清单：</w:t>
      </w:r>
      <w:r>
        <w:rPr>
          <w:rFonts w:hint="eastAsia" w:ascii="宋体" w:hAnsi="宋体" w:cs="宋体"/>
          <w:color w:val="000000"/>
          <w:highlight w:val="none"/>
          <w:u w:val="single"/>
          <w:lang w:bidi="ar"/>
        </w:rPr>
        <w:t>无。</w:t>
      </w:r>
    </w:p>
    <w:p w14:paraId="3863E945">
      <w:pPr>
        <w:kinsoku w:val="0"/>
        <w:overflowPunct w:val="0"/>
        <w:spacing w:beforeAutospacing="1" w:afterAutospacing="1" w:line="360" w:lineRule="auto"/>
        <w:jc w:val="both"/>
        <w:outlineLvl w:val="2"/>
        <w:rPr>
          <w:rFonts w:ascii="宋体" w:hAnsi="宋体" w:cs="宋体"/>
          <w:highlight w:val="none"/>
        </w:rPr>
      </w:pPr>
      <w:r>
        <w:rPr>
          <w:rFonts w:hint="eastAsia" w:ascii="宋体" w:hAnsi="宋体" w:cs="宋体"/>
          <w:highlight w:val="none"/>
          <w:lang w:bidi="ar"/>
        </w:rPr>
        <w:t>（二）委托人提供的资料</w:t>
      </w:r>
    </w:p>
    <w:p w14:paraId="361281D0">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1. 施工场地及毗邻区域内的供水、排水、供电、供气、供热、通信、广播电视等地下管线资料、气象和水文观测资料，相邻建筑物和构筑物、地下工程的有关资料，以及其他与建设工程有关的原始资料</w:t>
      </w:r>
    </w:p>
    <w:p w14:paraId="50779066">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2. 定位放线的基准点、基准线和基准标高</w:t>
      </w:r>
    </w:p>
    <w:p w14:paraId="039F4A31">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3. 委托人取得的有关审批、核准和备案材料</w:t>
      </w:r>
    </w:p>
    <w:p w14:paraId="2944EA80">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4. 勘察文件、设计文件等资料</w:t>
      </w:r>
    </w:p>
    <w:p w14:paraId="0F6FDFA5">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5. 技术标准、规范</w:t>
      </w:r>
    </w:p>
    <w:p w14:paraId="22B5763D">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6. 工程承包合同及其他相关合同</w:t>
      </w:r>
    </w:p>
    <w:p w14:paraId="7409CD49">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u w:val="single"/>
          <w:lang w:bidi="ar"/>
        </w:rPr>
        <w:t>7. 其他资料</w:t>
      </w:r>
    </w:p>
    <w:p w14:paraId="2D5A0E63">
      <w:pPr>
        <w:kinsoku w:val="0"/>
        <w:overflowPunct w:val="0"/>
        <w:spacing w:beforeAutospacing="1" w:afterAutospacing="1" w:line="360" w:lineRule="auto"/>
        <w:jc w:val="both"/>
        <w:outlineLvl w:val="2"/>
        <w:rPr>
          <w:rFonts w:ascii="宋体" w:hAnsi="宋体"/>
          <w:highlight w:val="none"/>
        </w:rPr>
      </w:pPr>
      <w:r>
        <w:rPr>
          <w:rFonts w:hint="eastAsia" w:ascii="宋体" w:hAnsi="宋体" w:cs="宋体"/>
          <w:highlight w:val="none"/>
          <w:lang w:bidi="ar"/>
        </w:rPr>
        <w:t>（三）委托人财产使用要求及退还要求（若有）</w:t>
      </w:r>
    </w:p>
    <w:p w14:paraId="68CB6148">
      <w:pPr>
        <w:spacing w:line="360" w:lineRule="auto"/>
        <w:ind w:firstLine="480" w:firstLineChars="200"/>
        <w:rPr>
          <w:kern w:val="2"/>
          <w:highlight w:val="none"/>
        </w:rPr>
      </w:pPr>
      <w:r>
        <w:rPr>
          <w:highlight w:val="none"/>
          <w:lang w:bidi="ar"/>
        </w:rPr>
        <w:t xml:space="preserve">1. </w:t>
      </w:r>
      <w:r>
        <w:rPr>
          <w:rFonts w:hint="eastAsia" w:ascii="宋体" w:hAnsi="宋体" w:cs="宋体"/>
          <w:highlight w:val="none"/>
          <w:lang w:bidi="ar"/>
        </w:rPr>
        <w:t>委托人财产使用要求：</w:t>
      </w:r>
      <w:r>
        <w:rPr>
          <w:rFonts w:hint="eastAsia" w:ascii="宋体" w:hAnsi="宋体" w:cs="宋体"/>
          <w:highlight w:val="none"/>
          <w:u w:val="single"/>
          <w:lang w:bidi="ar"/>
        </w:rPr>
        <w:t>监理人对委托人财产保存完好，避免有损坏或丢失等情况发生；</w:t>
      </w:r>
    </w:p>
    <w:p w14:paraId="36B31685">
      <w:pPr>
        <w:spacing w:line="360" w:lineRule="auto"/>
        <w:ind w:firstLine="480" w:firstLineChars="200"/>
        <w:rPr>
          <w:kern w:val="2"/>
          <w:highlight w:val="none"/>
        </w:rPr>
      </w:pPr>
      <w:r>
        <w:rPr>
          <w:highlight w:val="none"/>
          <w:lang w:bidi="ar"/>
        </w:rPr>
        <w:t xml:space="preserve">2. </w:t>
      </w:r>
      <w:r>
        <w:rPr>
          <w:rFonts w:hint="eastAsia" w:ascii="宋体" w:hAnsi="宋体" w:cs="宋体"/>
          <w:highlight w:val="none"/>
          <w:lang w:bidi="ar"/>
        </w:rPr>
        <w:t>委托人财产退还要求：</w:t>
      </w:r>
      <w:r>
        <w:rPr>
          <w:rFonts w:hint="eastAsia" w:ascii="宋体" w:hAnsi="宋体" w:cs="宋体"/>
          <w:highlight w:val="none"/>
          <w:u w:val="single"/>
          <w:lang w:bidi="ar"/>
        </w:rPr>
        <w:t>工程完工后监理人将委托人财产全数完好地退还给委托人。</w:t>
      </w:r>
    </w:p>
    <w:p w14:paraId="6771D624">
      <w:pPr>
        <w:keepNext/>
        <w:keepLines/>
        <w:widowControl/>
        <w:autoSpaceDE/>
        <w:autoSpaceDN/>
        <w:adjustRightInd/>
        <w:spacing w:before="260" w:after="260" w:line="410" w:lineRule="auto"/>
        <w:ind w:firstLine="118" w:firstLineChars="49"/>
        <w:jc w:val="both"/>
        <w:outlineLvl w:val="2"/>
        <w:rPr>
          <w:rFonts w:ascii="宋体" w:hAnsi="宋体"/>
          <w:b/>
          <w:kern w:val="2"/>
          <w:highlight w:val="none"/>
        </w:rPr>
      </w:pPr>
      <w:r>
        <w:rPr>
          <w:rFonts w:hint="eastAsia" w:ascii="宋体" w:hAnsi="宋体" w:cs="宋体"/>
          <w:b/>
          <w:kern w:val="2"/>
          <w:highlight w:val="none"/>
        </w:rPr>
        <w:t>五、委托人提供的便利条件</w:t>
      </w:r>
    </w:p>
    <w:p w14:paraId="4278DFBC">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1. 委托人提供的生活条件：</w:t>
      </w:r>
      <w:r>
        <w:rPr>
          <w:rFonts w:hint="eastAsia" w:ascii="宋体" w:hAnsi="宋体" w:cs="宋体"/>
          <w:highlight w:val="none"/>
          <w:u w:val="single"/>
          <w:lang w:bidi="ar"/>
        </w:rPr>
        <w:t>根据项目实际情况需求提供</w:t>
      </w:r>
      <w:r>
        <w:rPr>
          <w:rFonts w:hint="eastAsia" w:ascii="宋体" w:hAnsi="宋体" w:cs="宋体"/>
          <w:color w:val="000000"/>
          <w:highlight w:val="none"/>
          <w:u w:val="single"/>
          <w:lang w:bidi="ar"/>
        </w:rPr>
        <w:t>。</w:t>
      </w:r>
    </w:p>
    <w:p w14:paraId="258401DA">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2. 委托人提供的交通条件：</w:t>
      </w:r>
      <w:r>
        <w:rPr>
          <w:rFonts w:hint="eastAsia" w:ascii="宋体" w:hAnsi="宋体" w:cs="宋体"/>
          <w:color w:val="000000"/>
          <w:highlight w:val="none"/>
          <w:u w:val="single"/>
          <w:lang w:bidi="ar"/>
        </w:rPr>
        <w:t>无</w:t>
      </w:r>
    </w:p>
    <w:p w14:paraId="210562FC">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3. 委托人提供的网络、通讯条件：</w:t>
      </w:r>
      <w:r>
        <w:rPr>
          <w:rFonts w:hint="eastAsia" w:ascii="宋体" w:hAnsi="宋体" w:cs="宋体"/>
          <w:color w:val="000000"/>
          <w:highlight w:val="none"/>
          <w:u w:val="single"/>
          <w:lang w:bidi="ar"/>
        </w:rPr>
        <w:t>无</w:t>
      </w:r>
    </w:p>
    <w:p w14:paraId="1172D744">
      <w:pPr>
        <w:spacing w:line="360" w:lineRule="auto"/>
        <w:ind w:firstLine="480" w:firstLineChars="200"/>
        <w:rPr>
          <w:rFonts w:ascii="宋体" w:hAnsi="宋体"/>
          <w:color w:val="000000"/>
          <w:kern w:val="2"/>
          <w:highlight w:val="none"/>
          <w:u w:val="single"/>
        </w:rPr>
      </w:pPr>
      <w:r>
        <w:rPr>
          <w:rFonts w:hint="eastAsia" w:ascii="宋体" w:hAnsi="宋体" w:cs="宋体"/>
          <w:color w:val="000000"/>
          <w:highlight w:val="none"/>
          <w:lang w:bidi="ar"/>
        </w:rPr>
        <w:t>4. 委托人提供的协助人员：</w:t>
      </w:r>
      <w:r>
        <w:rPr>
          <w:rFonts w:hint="eastAsia" w:ascii="宋体" w:hAnsi="宋体" w:cs="宋体"/>
          <w:color w:val="000000"/>
          <w:highlight w:val="none"/>
          <w:u w:val="single"/>
          <w:lang w:bidi="ar"/>
        </w:rPr>
        <w:t>无</w:t>
      </w:r>
    </w:p>
    <w:p w14:paraId="4E2902B0">
      <w:pPr>
        <w:keepNext/>
        <w:keepLines/>
        <w:widowControl/>
        <w:autoSpaceDE/>
        <w:autoSpaceDN/>
        <w:adjustRightInd/>
        <w:spacing w:before="260" w:after="260" w:line="410" w:lineRule="auto"/>
        <w:ind w:firstLine="118" w:firstLineChars="49"/>
        <w:jc w:val="both"/>
        <w:outlineLvl w:val="2"/>
        <w:rPr>
          <w:rFonts w:ascii="宋体" w:hAnsi="宋体"/>
          <w:b/>
          <w:kern w:val="2"/>
          <w:highlight w:val="none"/>
        </w:rPr>
      </w:pPr>
      <w:r>
        <w:rPr>
          <w:rFonts w:hint="eastAsia" w:ascii="宋体" w:hAnsi="宋体" w:cs="宋体"/>
          <w:b/>
          <w:kern w:val="2"/>
          <w:highlight w:val="none"/>
        </w:rPr>
        <w:t>六、监理人需要自备的工作条件</w:t>
      </w:r>
    </w:p>
    <w:p w14:paraId="26801999">
      <w:pPr>
        <w:spacing w:line="360" w:lineRule="auto"/>
        <w:ind w:firstLine="480" w:firstLineChars="200"/>
        <w:rPr>
          <w:kern w:val="2"/>
          <w:highlight w:val="none"/>
        </w:rPr>
      </w:pPr>
      <w:r>
        <w:rPr>
          <w:highlight w:val="none"/>
          <w:lang w:bidi="ar"/>
        </w:rPr>
        <w:t xml:space="preserve">1. </w:t>
      </w:r>
      <w:r>
        <w:rPr>
          <w:rFonts w:hint="eastAsia" w:ascii="宋体" w:hAnsi="宋体" w:cs="宋体"/>
          <w:highlight w:val="none"/>
          <w:lang w:bidi="ar"/>
        </w:rPr>
        <w:t>监理人自备的工作手册：</w:t>
      </w:r>
      <w:r>
        <w:rPr>
          <w:rFonts w:hint="eastAsia" w:ascii="宋体" w:hAnsi="宋体" w:cs="宋体"/>
          <w:highlight w:val="none"/>
          <w:u w:val="single"/>
          <w:lang w:bidi="ar"/>
        </w:rPr>
        <w:t>本项目必备的规范标准、图集等。</w:t>
      </w:r>
    </w:p>
    <w:p w14:paraId="44E425AC">
      <w:pPr>
        <w:spacing w:line="360" w:lineRule="auto"/>
        <w:ind w:firstLine="480" w:firstLineChars="200"/>
        <w:rPr>
          <w:kern w:val="2"/>
          <w:highlight w:val="none"/>
        </w:rPr>
      </w:pPr>
      <w:r>
        <w:rPr>
          <w:highlight w:val="none"/>
          <w:lang w:bidi="ar"/>
        </w:rPr>
        <w:t xml:space="preserve">2. </w:t>
      </w:r>
      <w:r>
        <w:rPr>
          <w:rFonts w:hint="eastAsia" w:ascii="宋体" w:hAnsi="宋体" w:cs="宋体"/>
          <w:highlight w:val="none"/>
          <w:lang w:bidi="ar"/>
        </w:rPr>
        <w:t>监理人自备的办公设备：</w:t>
      </w:r>
      <w:r>
        <w:rPr>
          <w:rFonts w:hint="eastAsia" w:ascii="宋体" w:hAnsi="宋体" w:cs="宋体"/>
          <w:highlight w:val="none"/>
          <w:u w:val="single"/>
          <w:lang w:bidi="ar"/>
        </w:rPr>
        <w:t>电脑、软件、投影、打印机、复印机、照相机等。</w:t>
      </w:r>
    </w:p>
    <w:p w14:paraId="16BDC480">
      <w:pPr>
        <w:spacing w:line="360" w:lineRule="auto"/>
        <w:ind w:firstLine="480" w:firstLineChars="200"/>
        <w:rPr>
          <w:kern w:val="2"/>
          <w:highlight w:val="none"/>
        </w:rPr>
      </w:pPr>
      <w:r>
        <w:rPr>
          <w:highlight w:val="none"/>
          <w:lang w:bidi="ar"/>
        </w:rPr>
        <w:t xml:space="preserve">3. </w:t>
      </w:r>
      <w:r>
        <w:rPr>
          <w:rFonts w:hint="eastAsia" w:ascii="宋体" w:hAnsi="宋体" w:cs="宋体"/>
          <w:highlight w:val="none"/>
          <w:lang w:bidi="ar"/>
        </w:rPr>
        <w:t>监理人自备的交通工具：</w:t>
      </w:r>
      <w:r>
        <w:rPr>
          <w:rFonts w:hint="eastAsia" w:ascii="宋体" w:hAnsi="宋体" w:cs="宋体"/>
          <w:highlight w:val="none"/>
          <w:u w:val="single"/>
          <w:lang w:bidi="ar"/>
        </w:rPr>
        <w:t>出行车辆等。</w:t>
      </w:r>
    </w:p>
    <w:p w14:paraId="30E6B1EC">
      <w:pPr>
        <w:spacing w:line="360" w:lineRule="auto"/>
        <w:ind w:firstLine="480" w:firstLineChars="200"/>
        <w:rPr>
          <w:kern w:val="2"/>
          <w:highlight w:val="none"/>
        </w:rPr>
      </w:pPr>
      <w:r>
        <w:rPr>
          <w:highlight w:val="none"/>
          <w:lang w:bidi="ar"/>
        </w:rPr>
        <w:t xml:space="preserve">4. </w:t>
      </w:r>
      <w:r>
        <w:rPr>
          <w:rFonts w:hint="eastAsia" w:ascii="宋体" w:hAnsi="宋体" w:cs="宋体"/>
          <w:highlight w:val="none"/>
          <w:lang w:bidi="ar"/>
        </w:rPr>
        <w:t>监理人自备的现场办公设施：</w:t>
      </w:r>
      <w:r>
        <w:rPr>
          <w:rFonts w:hint="eastAsia" w:ascii="宋体" w:hAnsi="宋体" w:cs="宋体"/>
          <w:highlight w:val="none"/>
          <w:u w:val="single"/>
          <w:lang w:bidi="ar"/>
        </w:rPr>
        <w:t>办公桌椅、文件柜等。</w:t>
      </w:r>
    </w:p>
    <w:p w14:paraId="3EB1B660">
      <w:pPr>
        <w:spacing w:line="360" w:lineRule="auto"/>
        <w:ind w:firstLine="480" w:firstLineChars="200"/>
        <w:rPr>
          <w:kern w:val="2"/>
          <w:highlight w:val="none"/>
        </w:rPr>
      </w:pPr>
      <w:r>
        <w:rPr>
          <w:highlight w:val="none"/>
          <w:lang w:bidi="ar"/>
        </w:rPr>
        <w:t xml:space="preserve">5. </w:t>
      </w:r>
      <w:r>
        <w:rPr>
          <w:rFonts w:hint="eastAsia" w:ascii="宋体" w:hAnsi="宋体" w:cs="宋体"/>
          <w:highlight w:val="none"/>
          <w:lang w:bidi="ar"/>
        </w:rPr>
        <w:t>监理人自备的安全设施：</w:t>
      </w:r>
      <w:r>
        <w:rPr>
          <w:rFonts w:hint="eastAsia" w:ascii="宋体" w:hAnsi="宋体" w:cs="宋体"/>
          <w:highlight w:val="none"/>
          <w:u w:val="single"/>
          <w:lang w:bidi="ar"/>
        </w:rPr>
        <w:t>安全帽、安全鞋、手电筒等。</w:t>
      </w:r>
    </w:p>
    <w:p w14:paraId="1B6087A6">
      <w:pPr>
        <w:spacing w:line="360" w:lineRule="auto"/>
        <w:ind w:firstLine="480" w:firstLineChars="200"/>
        <w:rPr>
          <w:kern w:val="2"/>
          <w:highlight w:val="none"/>
        </w:rPr>
      </w:pPr>
      <w:r>
        <w:rPr>
          <w:highlight w:val="none"/>
          <w:lang w:bidi="ar"/>
        </w:rPr>
        <w:t xml:space="preserve">6. </w:t>
      </w:r>
      <w:r>
        <w:rPr>
          <w:rFonts w:hint="eastAsia" w:ascii="宋体" w:hAnsi="宋体" w:cs="宋体"/>
          <w:highlight w:val="none"/>
          <w:lang w:bidi="ar"/>
        </w:rPr>
        <w:t>监理人自备的试验检测仪器、设备、工具：</w:t>
      </w:r>
      <w:r>
        <w:rPr>
          <w:rFonts w:hint="eastAsia" w:ascii="宋体" w:hAnsi="宋体" w:cs="宋体"/>
          <w:highlight w:val="none"/>
          <w:u w:val="single"/>
          <w:lang w:bidi="ar"/>
        </w:rPr>
        <w:t>满足本项目监理服务要求。</w:t>
      </w:r>
    </w:p>
    <w:p w14:paraId="41607CA0">
      <w:pPr>
        <w:spacing w:line="360" w:lineRule="auto"/>
        <w:ind w:firstLine="480" w:firstLineChars="200"/>
        <w:rPr>
          <w:kern w:val="2"/>
          <w:highlight w:val="none"/>
        </w:rPr>
      </w:pPr>
      <w:r>
        <w:rPr>
          <w:highlight w:val="none"/>
          <w:lang w:bidi="ar"/>
        </w:rPr>
        <w:t xml:space="preserve">7. </w:t>
      </w:r>
      <w:r>
        <w:rPr>
          <w:rFonts w:hint="eastAsia" w:ascii="宋体" w:hAnsi="宋体" w:cs="宋体"/>
          <w:highlight w:val="none"/>
          <w:lang w:bidi="ar"/>
        </w:rPr>
        <w:t>监理人自备的试验用房、样品用房：</w:t>
      </w:r>
      <w:r>
        <w:rPr>
          <w:rFonts w:hint="eastAsia" w:ascii="宋体" w:hAnsi="宋体" w:cs="宋体"/>
          <w:highlight w:val="none"/>
          <w:u w:val="single"/>
          <w:lang w:bidi="ar"/>
        </w:rPr>
        <w:t>监理人根据现场实际情况自行准备。</w:t>
      </w:r>
    </w:p>
    <w:p w14:paraId="651F8ABD">
      <w:pPr>
        <w:keepNext/>
        <w:keepLines/>
        <w:widowControl/>
        <w:autoSpaceDE/>
        <w:autoSpaceDN/>
        <w:adjustRightInd/>
        <w:spacing w:before="260" w:after="260" w:line="410" w:lineRule="auto"/>
        <w:ind w:firstLine="118" w:firstLineChars="49"/>
        <w:jc w:val="both"/>
        <w:outlineLvl w:val="2"/>
        <w:rPr>
          <w:rFonts w:ascii="宋体" w:hAnsi="宋体"/>
          <w:b/>
          <w:kern w:val="2"/>
          <w:highlight w:val="none"/>
        </w:rPr>
      </w:pPr>
      <w:r>
        <w:rPr>
          <w:rFonts w:hint="eastAsia" w:ascii="宋体" w:hAnsi="宋体" w:cs="宋体"/>
          <w:b/>
          <w:kern w:val="2"/>
          <w:highlight w:val="none"/>
        </w:rPr>
        <w:t>七、委托人的其他要求</w:t>
      </w:r>
    </w:p>
    <w:p w14:paraId="1A058914">
      <w:pPr>
        <w:kinsoku w:val="0"/>
        <w:overflowPunct w:val="0"/>
        <w:spacing w:before="8" w:afterAutospacing="1"/>
        <w:ind w:firstLine="400"/>
        <w:rPr>
          <w:rFonts w:ascii="Calibri" w:hAnsi="Calibri"/>
          <w:kern w:val="2"/>
          <w:sz w:val="21"/>
          <w:szCs w:val="22"/>
          <w:highlight w:val="none"/>
        </w:rPr>
      </w:pPr>
      <w:r>
        <w:rPr>
          <w:rFonts w:hint="eastAsia" w:ascii="宋体" w:hAnsi="宋体"/>
          <w:sz w:val="20"/>
          <w:szCs w:val="20"/>
          <w:highlight w:val="none"/>
          <w:lang w:bidi="ar"/>
        </w:rPr>
        <w:t xml:space="preserve"> </w:t>
      </w:r>
      <w:r>
        <w:rPr>
          <w:rFonts w:hint="eastAsia" w:ascii="宋体" w:hAnsi="宋体" w:cs="宋体"/>
          <w:highlight w:val="none"/>
          <w:lang w:bidi="ar"/>
        </w:rPr>
        <w:t>委托人的其他要求：</w:t>
      </w:r>
      <w:r>
        <w:rPr>
          <w:rFonts w:hint="eastAsia" w:ascii="宋体" w:hAnsi="宋体" w:cs="宋体"/>
          <w:highlight w:val="none"/>
          <w:u w:val="single"/>
          <w:lang w:bidi="ar"/>
        </w:rPr>
        <w:t>其他要求详见监理合同</w:t>
      </w:r>
    </w:p>
    <w:p w14:paraId="342F851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sectPr>
          <w:pgSz w:w="11905" w:h="16838"/>
          <w:pgMar w:top="1417" w:right="1417" w:bottom="1417" w:left="1417" w:header="992" w:footer="992" w:gutter="0"/>
          <w:cols w:space="720" w:num="1"/>
        </w:sectPr>
      </w:pPr>
      <w:bookmarkStart w:id="197" w:name="bookmark171"/>
      <w:bookmarkEnd w:id="197"/>
      <w:bookmarkStart w:id="198" w:name="bookmark164"/>
      <w:bookmarkEnd w:id="198"/>
      <w:bookmarkStart w:id="199" w:name="bookmark166"/>
      <w:bookmarkEnd w:id="199"/>
      <w:bookmarkStart w:id="200" w:name="bookmark172"/>
      <w:bookmarkEnd w:id="200"/>
      <w:bookmarkStart w:id="201" w:name="bookmark165"/>
      <w:bookmarkEnd w:id="201"/>
      <w:bookmarkStart w:id="202" w:name="bookmark170"/>
      <w:bookmarkEnd w:id="202"/>
      <w:bookmarkStart w:id="203" w:name="bookmark169"/>
      <w:bookmarkEnd w:id="203"/>
      <w:bookmarkStart w:id="204" w:name="bookmark167"/>
      <w:bookmarkEnd w:id="204"/>
      <w:bookmarkStart w:id="205" w:name="bookmark168"/>
      <w:bookmarkEnd w:id="205"/>
    </w:p>
    <w:p w14:paraId="3B12FB2A">
      <w:pPr>
        <w:pStyle w:val="2"/>
        <w:spacing w:before="5280" w:beforeLines="2200"/>
        <w:ind w:left="6"/>
        <w:rPr>
          <w:rFonts w:hint="default"/>
          <w:sz w:val="52"/>
          <w:szCs w:val="52"/>
          <w:highlight w:val="none"/>
        </w:rPr>
      </w:pPr>
      <w:bookmarkStart w:id="206" w:name="bookmark173"/>
      <w:bookmarkEnd w:id="206"/>
      <w:bookmarkStart w:id="207" w:name="_Toc9855"/>
      <w:r>
        <w:rPr>
          <w:sz w:val="52"/>
          <w:szCs w:val="52"/>
          <w:highlight w:val="none"/>
        </w:rPr>
        <w:t>第三卷</w:t>
      </w:r>
      <w:bookmarkEnd w:id="207"/>
    </w:p>
    <w:p w14:paraId="56633A35">
      <w:pPr>
        <w:pStyle w:val="2"/>
        <w:spacing w:before="5280" w:beforeLines="2200"/>
        <w:ind w:left="6"/>
        <w:rPr>
          <w:rFonts w:hint="default"/>
          <w:sz w:val="52"/>
          <w:szCs w:val="52"/>
          <w:highlight w:val="none"/>
        </w:rPr>
        <w:sectPr>
          <w:pgSz w:w="11905" w:h="16838"/>
          <w:pgMar w:top="1417" w:right="1417" w:bottom="1417" w:left="1417" w:header="992" w:footer="992" w:gutter="0"/>
          <w:cols w:space="720" w:num="1"/>
        </w:sectPr>
      </w:pPr>
    </w:p>
    <w:p w14:paraId="566C0525">
      <w:pPr>
        <w:pStyle w:val="4"/>
        <w:rPr>
          <w:sz w:val="44"/>
          <w:highlight w:val="none"/>
        </w:rPr>
      </w:pPr>
      <w:bookmarkStart w:id="208" w:name="bookmark174"/>
      <w:bookmarkEnd w:id="208"/>
      <w:bookmarkStart w:id="209" w:name="_Toc1895"/>
      <w:r>
        <w:rPr>
          <w:sz w:val="44"/>
          <w:highlight w:val="none"/>
        </w:rPr>
        <w:t>第六章 投标文件格式</w:t>
      </w:r>
      <w:bookmarkEnd w:id="209"/>
    </w:p>
    <w:p w14:paraId="53B1FCF3">
      <w:pPr>
        <w:pStyle w:val="4"/>
        <w:rPr>
          <w:highlight w:val="none"/>
        </w:rPr>
        <w:sectPr>
          <w:pgSz w:w="11905" w:h="16838"/>
          <w:pgMar w:top="1417" w:right="1417" w:bottom="1417" w:left="1417" w:header="992" w:footer="992" w:gutter="0"/>
          <w:cols w:space="720" w:num="1"/>
        </w:sectPr>
      </w:pPr>
    </w:p>
    <w:p w14:paraId="3BE270F6">
      <w:pPr>
        <w:pStyle w:val="12"/>
        <w:kinsoku w:val="0"/>
        <w:overflowPunct w:val="0"/>
        <w:ind w:left="0"/>
        <w:rPr>
          <w:rFonts w:ascii="Microsoft JhengHei" w:hAnsi="Microsoft JhengHei" w:eastAsia="Microsoft JhengHei"/>
          <w:b/>
          <w:sz w:val="20"/>
          <w:highlight w:val="none"/>
        </w:rPr>
      </w:pPr>
    </w:p>
    <w:p w14:paraId="39B9DEC6">
      <w:pPr>
        <w:pStyle w:val="12"/>
        <w:kinsoku w:val="0"/>
        <w:overflowPunct w:val="0"/>
        <w:ind w:left="0"/>
        <w:rPr>
          <w:rFonts w:ascii="Microsoft JhengHei" w:hAnsi="Microsoft JhengHei" w:eastAsia="Microsoft JhengHei"/>
          <w:b/>
          <w:sz w:val="20"/>
          <w:highlight w:val="none"/>
        </w:rPr>
      </w:pPr>
    </w:p>
    <w:p w14:paraId="48C8DB46">
      <w:pPr>
        <w:pStyle w:val="12"/>
        <w:kinsoku w:val="0"/>
        <w:overflowPunct w:val="0"/>
        <w:spacing w:before="1"/>
        <w:ind w:left="0"/>
        <w:rPr>
          <w:rFonts w:ascii="Microsoft JhengHei" w:hAnsi="Microsoft JhengHei" w:eastAsia="Microsoft JhengHei"/>
          <w:b/>
          <w:sz w:val="22"/>
          <w:highlight w:val="none"/>
        </w:rPr>
      </w:pPr>
    </w:p>
    <w:p w14:paraId="0EB91378">
      <w:pPr>
        <w:jc w:val="center"/>
        <w:rPr>
          <w:rFonts w:ascii="宋体"/>
          <w:sz w:val="36"/>
          <w:highlight w:val="none"/>
        </w:rPr>
      </w:pPr>
      <w:r>
        <w:rPr>
          <w:sz w:val="36"/>
          <w:highlight w:val="none"/>
          <w:u w:val="single"/>
        </w:rPr>
        <w:t xml:space="preserve">                 </w:t>
      </w:r>
      <w:r>
        <w:rPr>
          <w:rFonts w:ascii="宋体"/>
          <w:sz w:val="36"/>
          <w:highlight w:val="none"/>
          <w:u w:val="single"/>
        </w:rPr>
        <w:t>（项目名称）</w:t>
      </w:r>
      <w:r>
        <w:rPr>
          <w:rFonts w:ascii="宋体"/>
          <w:sz w:val="36"/>
          <w:highlight w:val="none"/>
        </w:rPr>
        <w:t xml:space="preserve"> </w:t>
      </w:r>
    </w:p>
    <w:p w14:paraId="3987B515">
      <w:pPr>
        <w:pStyle w:val="12"/>
        <w:kinsoku w:val="0"/>
        <w:overflowPunct w:val="0"/>
        <w:ind w:left="0"/>
        <w:rPr>
          <w:sz w:val="20"/>
          <w:highlight w:val="none"/>
        </w:rPr>
      </w:pPr>
    </w:p>
    <w:p w14:paraId="1B9AC345">
      <w:pPr>
        <w:pStyle w:val="12"/>
        <w:kinsoku w:val="0"/>
        <w:overflowPunct w:val="0"/>
        <w:spacing w:before="9"/>
        <w:ind w:left="0"/>
        <w:rPr>
          <w:sz w:val="15"/>
          <w:highlight w:val="none"/>
        </w:rPr>
      </w:pPr>
    </w:p>
    <w:p w14:paraId="58BF358B">
      <w:pPr>
        <w:pStyle w:val="12"/>
        <w:kinsoku w:val="0"/>
        <w:overflowPunct w:val="0"/>
        <w:spacing w:line="539" w:lineRule="exact"/>
        <w:ind w:left="3" w:right="1"/>
        <w:jc w:val="center"/>
        <w:rPr>
          <w:sz w:val="44"/>
          <w:highlight w:val="none"/>
        </w:rPr>
      </w:pPr>
    </w:p>
    <w:p w14:paraId="18C66C86">
      <w:pPr>
        <w:pStyle w:val="12"/>
        <w:kinsoku w:val="0"/>
        <w:overflowPunct w:val="0"/>
        <w:spacing w:line="539" w:lineRule="exact"/>
        <w:ind w:left="3" w:right="1"/>
        <w:jc w:val="center"/>
        <w:rPr>
          <w:sz w:val="44"/>
          <w:highlight w:val="none"/>
        </w:rPr>
      </w:pPr>
    </w:p>
    <w:p w14:paraId="44F529FF">
      <w:pPr>
        <w:pStyle w:val="12"/>
        <w:kinsoku w:val="0"/>
        <w:overflowPunct w:val="0"/>
        <w:ind w:left="0"/>
        <w:jc w:val="center"/>
        <w:rPr>
          <w:sz w:val="44"/>
          <w:highlight w:val="none"/>
        </w:rPr>
      </w:pPr>
      <w:r>
        <w:rPr>
          <w:rFonts w:cs="宋体"/>
          <w:sz w:val="84"/>
          <w:szCs w:val="84"/>
          <w:highlight w:val="none"/>
        </w:rPr>
        <w:t>投标文件</w:t>
      </w:r>
    </w:p>
    <w:p w14:paraId="1075C107">
      <w:pPr>
        <w:pStyle w:val="12"/>
        <w:kinsoku w:val="0"/>
        <w:overflowPunct w:val="0"/>
        <w:ind w:left="0"/>
        <w:rPr>
          <w:sz w:val="44"/>
          <w:highlight w:val="none"/>
        </w:rPr>
      </w:pPr>
    </w:p>
    <w:p w14:paraId="191F7F40">
      <w:pPr>
        <w:pStyle w:val="12"/>
        <w:kinsoku w:val="0"/>
        <w:overflowPunct w:val="0"/>
        <w:ind w:left="0"/>
        <w:rPr>
          <w:sz w:val="44"/>
          <w:highlight w:val="none"/>
        </w:rPr>
      </w:pPr>
    </w:p>
    <w:p w14:paraId="3A0AC774">
      <w:pPr>
        <w:pStyle w:val="12"/>
        <w:kinsoku w:val="0"/>
        <w:overflowPunct w:val="0"/>
        <w:ind w:left="0"/>
        <w:rPr>
          <w:sz w:val="44"/>
          <w:highlight w:val="none"/>
        </w:rPr>
      </w:pPr>
    </w:p>
    <w:p w14:paraId="71CA9B8C">
      <w:pPr>
        <w:pStyle w:val="12"/>
        <w:kinsoku w:val="0"/>
        <w:overflowPunct w:val="0"/>
        <w:ind w:left="0"/>
        <w:rPr>
          <w:sz w:val="44"/>
          <w:highlight w:val="none"/>
        </w:rPr>
      </w:pPr>
    </w:p>
    <w:p w14:paraId="55CE6C52">
      <w:pPr>
        <w:pStyle w:val="12"/>
        <w:kinsoku w:val="0"/>
        <w:overflowPunct w:val="0"/>
        <w:ind w:left="0"/>
        <w:rPr>
          <w:sz w:val="44"/>
          <w:highlight w:val="none"/>
        </w:rPr>
      </w:pPr>
    </w:p>
    <w:p w14:paraId="6030626D">
      <w:pPr>
        <w:pStyle w:val="12"/>
        <w:kinsoku w:val="0"/>
        <w:overflowPunct w:val="0"/>
        <w:ind w:left="0"/>
        <w:rPr>
          <w:sz w:val="44"/>
          <w:highlight w:val="none"/>
        </w:rPr>
      </w:pPr>
    </w:p>
    <w:p w14:paraId="3AA99B6B">
      <w:pPr>
        <w:pStyle w:val="12"/>
        <w:kinsoku w:val="0"/>
        <w:overflowPunct w:val="0"/>
        <w:ind w:left="0"/>
        <w:rPr>
          <w:sz w:val="44"/>
          <w:highlight w:val="none"/>
        </w:rPr>
      </w:pPr>
    </w:p>
    <w:p w14:paraId="3F0BEC8E">
      <w:pPr>
        <w:pStyle w:val="12"/>
        <w:kinsoku w:val="0"/>
        <w:overflowPunct w:val="0"/>
        <w:ind w:left="0"/>
        <w:rPr>
          <w:sz w:val="44"/>
          <w:highlight w:val="none"/>
        </w:rPr>
      </w:pPr>
    </w:p>
    <w:p w14:paraId="134FF984">
      <w:pPr>
        <w:pStyle w:val="12"/>
        <w:kinsoku w:val="0"/>
        <w:overflowPunct w:val="0"/>
        <w:ind w:left="0"/>
        <w:rPr>
          <w:sz w:val="44"/>
          <w:highlight w:val="none"/>
        </w:rPr>
      </w:pPr>
    </w:p>
    <w:p w14:paraId="16472779">
      <w:pPr>
        <w:pStyle w:val="12"/>
        <w:kinsoku w:val="0"/>
        <w:overflowPunct w:val="0"/>
        <w:spacing w:before="3"/>
        <w:ind w:left="0"/>
        <w:rPr>
          <w:sz w:val="41"/>
          <w:highlight w:val="none"/>
        </w:rPr>
      </w:pPr>
    </w:p>
    <w:p w14:paraId="3D5CA244">
      <w:pPr>
        <w:pStyle w:val="12"/>
        <w:tabs>
          <w:tab w:val="left" w:pos="5577"/>
          <w:tab w:val="left" w:pos="6942"/>
        </w:tabs>
        <w:kinsoku w:val="0"/>
        <w:overflowPunct w:val="0"/>
        <w:spacing w:line="357" w:lineRule="auto"/>
        <w:ind w:left="1201" w:right="175"/>
        <w:rPr>
          <w:spacing w:val="-1"/>
          <w:sz w:val="28"/>
          <w:highlight w:val="none"/>
        </w:rPr>
      </w:pPr>
      <w:r>
        <w:rPr>
          <w:sz w:val="28"/>
          <w:highlight w:val="none"/>
        </w:rPr>
        <w:t>投标人：</w:t>
      </w:r>
      <w:r>
        <w:rPr>
          <w:rFonts w:hint="eastAsia" w:ascii="Times New Roman" w:hAnsi="Times New Roman" w:eastAsia="Times New Roman"/>
          <w:sz w:val="28"/>
          <w:highlight w:val="none"/>
          <w:u w:val="single"/>
        </w:rPr>
        <w:tab/>
      </w:r>
      <w:r>
        <w:rPr>
          <w:rFonts w:hint="eastAsia" w:ascii="Times New Roman" w:hAnsi="Times New Roman" w:eastAsia="Times New Roman"/>
          <w:sz w:val="28"/>
          <w:highlight w:val="none"/>
          <w:u w:val="single"/>
        </w:rPr>
        <w:tab/>
      </w:r>
      <w:r>
        <w:rPr>
          <w:spacing w:val="-1"/>
          <w:sz w:val="28"/>
          <w:highlight w:val="none"/>
        </w:rPr>
        <w:t>（盖单位章）</w:t>
      </w:r>
      <w:r>
        <w:rPr>
          <w:spacing w:val="-136"/>
          <w:sz w:val="28"/>
          <w:highlight w:val="none"/>
        </w:rPr>
        <w:t xml:space="preserve"> </w:t>
      </w:r>
      <w:r>
        <w:rPr>
          <w:spacing w:val="-1"/>
          <w:sz w:val="28"/>
          <w:highlight w:val="none"/>
        </w:rPr>
        <w:t>法定代表人或其委托代理人：</w:t>
      </w:r>
      <w:r>
        <w:rPr>
          <w:rFonts w:hint="eastAsia" w:ascii="Times New Roman" w:hAnsi="Times New Roman" w:eastAsia="Times New Roman"/>
          <w:spacing w:val="-1"/>
          <w:sz w:val="28"/>
          <w:highlight w:val="none"/>
          <w:u w:val="single"/>
        </w:rPr>
        <w:tab/>
      </w:r>
      <w:r>
        <w:rPr>
          <w:spacing w:val="-1"/>
          <w:sz w:val="28"/>
          <w:highlight w:val="none"/>
        </w:rPr>
        <w:t>（签字）</w:t>
      </w:r>
    </w:p>
    <w:p w14:paraId="0E37768E">
      <w:pPr>
        <w:pStyle w:val="12"/>
        <w:kinsoku w:val="0"/>
        <w:overflowPunct w:val="0"/>
        <w:spacing w:before="10"/>
        <w:ind w:left="0"/>
        <w:rPr>
          <w:sz w:val="29"/>
          <w:highlight w:val="none"/>
        </w:rPr>
      </w:pPr>
    </w:p>
    <w:p w14:paraId="5804CDD7">
      <w:pPr>
        <w:pStyle w:val="12"/>
        <w:tabs>
          <w:tab w:val="left" w:pos="3611"/>
          <w:tab w:val="left" w:pos="4626"/>
          <w:tab w:val="left" w:pos="5642"/>
        </w:tabs>
        <w:kinsoku w:val="0"/>
        <w:overflowPunct w:val="0"/>
        <w:spacing w:before="14"/>
        <w:ind w:left="2877" w:right="175"/>
        <w:rPr>
          <w:sz w:val="28"/>
          <w:highlight w:val="none"/>
        </w:rPr>
      </w:pPr>
      <w:r>
        <w:rPr>
          <w:rFonts w:hint="eastAsia" w:ascii="Times New Roman" w:hAnsi="Times New Roman" w:eastAsia="Times New Roman"/>
          <w:sz w:val="28"/>
          <w:highlight w:val="none"/>
          <w:u w:val="single"/>
        </w:rPr>
        <w:t xml:space="preserve"> </w:t>
      </w:r>
      <w:r>
        <w:rPr>
          <w:rFonts w:hint="eastAsia" w:ascii="Times New Roman" w:hAnsi="Times New Roman" w:eastAsia="Times New Roman"/>
          <w:sz w:val="28"/>
          <w:highlight w:val="none"/>
          <w:u w:val="single"/>
        </w:rPr>
        <w:tab/>
      </w:r>
      <w:r>
        <w:rPr>
          <w:sz w:val="28"/>
          <w:highlight w:val="none"/>
        </w:rPr>
        <w:t>年</w:t>
      </w:r>
      <w:r>
        <w:rPr>
          <w:rFonts w:hint="eastAsia" w:ascii="Times New Roman" w:hAnsi="Times New Roman" w:eastAsia="Times New Roman"/>
          <w:sz w:val="28"/>
          <w:highlight w:val="none"/>
          <w:u w:val="single"/>
        </w:rPr>
        <w:tab/>
      </w:r>
      <w:r>
        <w:rPr>
          <w:sz w:val="28"/>
          <w:highlight w:val="none"/>
        </w:rPr>
        <w:t>月</w:t>
      </w:r>
      <w:r>
        <w:rPr>
          <w:rFonts w:hint="eastAsia" w:ascii="Times New Roman" w:hAnsi="Times New Roman" w:eastAsia="Times New Roman"/>
          <w:sz w:val="28"/>
          <w:highlight w:val="none"/>
          <w:u w:val="single"/>
        </w:rPr>
        <w:tab/>
      </w:r>
      <w:r>
        <w:rPr>
          <w:sz w:val="28"/>
          <w:highlight w:val="none"/>
        </w:rPr>
        <w:t>日</w:t>
      </w:r>
    </w:p>
    <w:p w14:paraId="724C1D76">
      <w:pPr>
        <w:pStyle w:val="12"/>
        <w:tabs>
          <w:tab w:val="left" w:pos="3611"/>
          <w:tab w:val="left" w:pos="4626"/>
          <w:tab w:val="left" w:pos="5642"/>
        </w:tabs>
        <w:kinsoku w:val="0"/>
        <w:overflowPunct w:val="0"/>
        <w:spacing w:before="14"/>
        <w:ind w:left="2877" w:right="175"/>
        <w:rPr>
          <w:sz w:val="28"/>
          <w:highlight w:val="none"/>
        </w:rPr>
        <w:sectPr>
          <w:pgSz w:w="11905" w:h="16838"/>
          <w:pgMar w:top="1417" w:right="1417" w:bottom="1417" w:left="1417" w:header="992" w:footer="992" w:gutter="0"/>
          <w:cols w:space="720" w:num="1"/>
        </w:sectPr>
      </w:pPr>
    </w:p>
    <w:p w14:paraId="4219086E">
      <w:pPr>
        <w:pStyle w:val="12"/>
        <w:kinsoku w:val="0"/>
        <w:overflowPunct w:val="0"/>
        <w:spacing w:line="443" w:lineRule="exact"/>
        <w:ind w:left="1244" w:right="1222"/>
        <w:jc w:val="center"/>
        <w:rPr>
          <w:rFonts w:ascii="Microsoft JhengHei" w:hAnsi="Microsoft JhengHei" w:eastAsia="Microsoft JhengHei"/>
          <w:sz w:val="32"/>
          <w:highlight w:val="none"/>
        </w:rPr>
      </w:pPr>
      <w:bookmarkStart w:id="210" w:name="bookmark175"/>
      <w:bookmarkEnd w:id="210"/>
      <w:r>
        <w:rPr>
          <w:rFonts w:hint="eastAsia" w:ascii="Microsoft JhengHei" w:hAnsi="Microsoft JhengHei" w:eastAsia="Microsoft JhengHei"/>
          <w:b/>
          <w:sz w:val="32"/>
          <w:highlight w:val="none"/>
        </w:rPr>
        <w:t>目录</w:t>
      </w:r>
    </w:p>
    <w:p w14:paraId="4B626D53">
      <w:pPr>
        <w:pStyle w:val="12"/>
        <w:kinsoku w:val="0"/>
        <w:overflowPunct w:val="0"/>
        <w:ind w:left="0"/>
        <w:rPr>
          <w:rFonts w:ascii="Microsoft JhengHei" w:hAnsi="Microsoft JhengHei" w:eastAsia="Microsoft JhengHei"/>
          <w:b/>
          <w:sz w:val="20"/>
          <w:highlight w:val="none"/>
        </w:rPr>
      </w:pPr>
    </w:p>
    <w:p w14:paraId="2E6ED8E8">
      <w:pPr>
        <w:pStyle w:val="12"/>
        <w:kinsoku w:val="0"/>
        <w:overflowPunct w:val="0"/>
        <w:ind w:left="0"/>
        <w:rPr>
          <w:rFonts w:ascii="Microsoft JhengHei" w:hAnsi="Microsoft JhengHei" w:eastAsia="Microsoft JhengHei"/>
          <w:b/>
          <w:sz w:val="20"/>
          <w:highlight w:val="none"/>
        </w:rPr>
      </w:pPr>
    </w:p>
    <w:p w14:paraId="184BAFF4">
      <w:pPr>
        <w:pStyle w:val="12"/>
        <w:kinsoku w:val="0"/>
        <w:overflowPunct w:val="0"/>
        <w:ind w:left="0"/>
        <w:rPr>
          <w:rFonts w:ascii="Microsoft JhengHei" w:hAnsi="Microsoft JhengHei" w:eastAsia="Microsoft JhengHei"/>
          <w:b/>
          <w:sz w:val="20"/>
          <w:highlight w:val="none"/>
        </w:rPr>
      </w:pPr>
    </w:p>
    <w:p w14:paraId="59AA57BF">
      <w:pPr>
        <w:pStyle w:val="12"/>
        <w:kinsoku w:val="0"/>
        <w:overflowPunct w:val="0"/>
        <w:spacing w:before="6"/>
        <w:ind w:left="0"/>
        <w:rPr>
          <w:rFonts w:ascii="Microsoft JhengHei" w:hAnsi="Microsoft JhengHei" w:eastAsia="Microsoft JhengHei"/>
          <w:b/>
          <w:sz w:val="24"/>
          <w:highlight w:val="none"/>
        </w:rPr>
      </w:pPr>
    </w:p>
    <w:p w14:paraId="23741AC3">
      <w:pPr>
        <w:pStyle w:val="12"/>
        <w:kinsoku w:val="0"/>
        <w:overflowPunct w:val="0"/>
        <w:spacing w:before="36" w:line="472" w:lineRule="auto"/>
        <w:ind w:left="0" w:right="2650"/>
        <w:rPr>
          <w:sz w:val="24"/>
          <w:highlight w:val="none"/>
        </w:rPr>
      </w:pPr>
      <w:r>
        <w:rPr>
          <w:sz w:val="24"/>
          <w:highlight w:val="none"/>
        </w:rPr>
        <w:t>一、投标函及投标函附录</w:t>
      </w:r>
    </w:p>
    <w:p w14:paraId="5ECE5BB8">
      <w:pPr>
        <w:pStyle w:val="12"/>
        <w:kinsoku w:val="0"/>
        <w:overflowPunct w:val="0"/>
        <w:spacing w:before="36" w:line="472" w:lineRule="auto"/>
        <w:ind w:left="0" w:right="2650"/>
        <w:rPr>
          <w:sz w:val="24"/>
          <w:highlight w:val="none"/>
        </w:rPr>
      </w:pPr>
      <w:r>
        <w:rPr>
          <w:spacing w:val="-2"/>
          <w:sz w:val="24"/>
          <w:highlight w:val="none"/>
        </w:rPr>
        <w:t>二、法定代表人身份证明</w:t>
      </w:r>
    </w:p>
    <w:p w14:paraId="61FDE0CF">
      <w:pPr>
        <w:pStyle w:val="12"/>
        <w:kinsoku w:val="0"/>
        <w:overflowPunct w:val="0"/>
        <w:spacing w:before="36" w:line="472" w:lineRule="auto"/>
        <w:ind w:left="0" w:right="2650"/>
        <w:rPr>
          <w:sz w:val="24"/>
          <w:highlight w:val="none"/>
        </w:rPr>
      </w:pPr>
      <w:r>
        <w:rPr>
          <w:rFonts w:hint="eastAsia"/>
          <w:sz w:val="24"/>
          <w:highlight w:val="none"/>
          <w:lang w:val="en-US" w:eastAsia="zh-CN"/>
        </w:rPr>
        <w:t>三</w:t>
      </w:r>
      <w:r>
        <w:rPr>
          <w:sz w:val="24"/>
          <w:highlight w:val="none"/>
        </w:rPr>
        <w:t>、授权委托书（适用于有委托代理人的情况）</w:t>
      </w:r>
    </w:p>
    <w:p w14:paraId="49C93B27">
      <w:pPr>
        <w:pStyle w:val="12"/>
        <w:kinsoku w:val="0"/>
        <w:overflowPunct w:val="0"/>
        <w:spacing w:before="36" w:line="472" w:lineRule="auto"/>
        <w:ind w:left="0" w:right="2650"/>
        <w:rPr>
          <w:strike/>
          <w:sz w:val="24"/>
          <w:highlight w:val="none"/>
        </w:rPr>
      </w:pPr>
      <w:r>
        <w:rPr>
          <w:rFonts w:hint="eastAsia"/>
          <w:strike/>
          <w:sz w:val="24"/>
          <w:highlight w:val="none"/>
          <w:lang w:val="en-US" w:eastAsia="zh-CN"/>
        </w:rPr>
        <w:t>四</w:t>
      </w:r>
      <w:r>
        <w:rPr>
          <w:strike/>
          <w:sz w:val="24"/>
          <w:highlight w:val="none"/>
        </w:rPr>
        <w:t>、联合体协议书（若有）</w:t>
      </w:r>
    </w:p>
    <w:p w14:paraId="496B752F">
      <w:pPr>
        <w:pStyle w:val="12"/>
        <w:kinsoku w:val="0"/>
        <w:overflowPunct w:val="0"/>
        <w:spacing w:before="61" w:line="472" w:lineRule="auto"/>
        <w:ind w:left="0" w:right="6220"/>
        <w:rPr>
          <w:strike/>
          <w:sz w:val="24"/>
          <w:highlight w:val="none"/>
        </w:rPr>
      </w:pPr>
      <w:r>
        <w:rPr>
          <w:rFonts w:hint="eastAsia"/>
          <w:strike/>
          <w:sz w:val="24"/>
          <w:highlight w:val="none"/>
          <w:lang w:val="en-US" w:eastAsia="zh-CN"/>
        </w:rPr>
        <w:t>五</w:t>
      </w:r>
      <w:r>
        <w:rPr>
          <w:strike/>
          <w:sz w:val="24"/>
          <w:highlight w:val="none"/>
        </w:rPr>
        <w:t>、投标保证金（若有）</w:t>
      </w:r>
    </w:p>
    <w:p w14:paraId="5E942114">
      <w:pPr>
        <w:pStyle w:val="12"/>
        <w:kinsoku w:val="0"/>
        <w:overflowPunct w:val="0"/>
        <w:spacing w:before="61" w:line="472" w:lineRule="auto"/>
        <w:ind w:left="0" w:right="6220"/>
        <w:rPr>
          <w:sz w:val="24"/>
          <w:highlight w:val="none"/>
        </w:rPr>
      </w:pPr>
      <w:r>
        <w:rPr>
          <w:rFonts w:hint="eastAsia"/>
          <w:spacing w:val="-2"/>
          <w:sz w:val="24"/>
          <w:highlight w:val="none"/>
          <w:lang w:val="en-US" w:eastAsia="zh-CN"/>
        </w:rPr>
        <w:t>六</w:t>
      </w:r>
      <w:r>
        <w:rPr>
          <w:spacing w:val="-2"/>
          <w:sz w:val="24"/>
          <w:highlight w:val="none"/>
        </w:rPr>
        <w:t>、监理报酬清单</w:t>
      </w:r>
    </w:p>
    <w:p w14:paraId="17D16279">
      <w:pPr>
        <w:pStyle w:val="12"/>
        <w:kinsoku w:val="0"/>
        <w:overflowPunct w:val="0"/>
        <w:spacing w:before="61" w:line="472" w:lineRule="auto"/>
        <w:ind w:left="0" w:right="6220"/>
        <w:rPr>
          <w:sz w:val="24"/>
          <w:highlight w:val="none"/>
        </w:rPr>
      </w:pPr>
      <w:r>
        <w:rPr>
          <w:spacing w:val="-90"/>
          <w:sz w:val="24"/>
          <w:highlight w:val="none"/>
        </w:rPr>
        <w:t xml:space="preserve"> </w:t>
      </w:r>
      <w:r>
        <w:rPr>
          <w:rFonts w:hint="eastAsia"/>
          <w:spacing w:val="-2"/>
          <w:sz w:val="24"/>
          <w:highlight w:val="none"/>
          <w:lang w:val="en-US" w:eastAsia="zh-CN"/>
        </w:rPr>
        <w:t>七</w:t>
      </w:r>
      <w:r>
        <w:rPr>
          <w:spacing w:val="-2"/>
          <w:sz w:val="24"/>
          <w:highlight w:val="none"/>
        </w:rPr>
        <w:t>、资格审查资料</w:t>
      </w:r>
    </w:p>
    <w:p w14:paraId="13CDEB77">
      <w:pPr>
        <w:pStyle w:val="12"/>
        <w:kinsoku w:val="0"/>
        <w:overflowPunct w:val="0"/>
        <w:spacing w:before="61" w:line="472" w:lineRule="auto"/>
        <w:ind w:left="0" w:right="6220"/>
        <w:rPr>
          <w:sz w:val="24"/>
          <w:highlight w:val="none"/>
        </w:rPr>
      </w:pPr>
      <w:r>
        <w:rPr>
          <w:spacing w:val="-90"/>
          <w:sz w:val="24"/>
          <w:highlight w:val="none"/>
        </w:rPr>
        <w:t xml:space="preserve"> </w:t>
      </w:r>
      <w:r>
        <w:rPr>
          <w:rFonts w:hint="eastAsia"/>
          <w:sz w:val="24"/>
          <w:highlight w:val="none"/>
          <w:lang w:val="en-US" w:eastAsia="zh-CN"/>
        </w:rPr>
        <w:t>八</w:t>
      </w:r>
      <w:r>
        <w:rPr>
          <w:sz w:val="24"/>
          <w:highlight w:val="none"/>
        </w:rPr>
        <w:t xml:space="preserve">、监理大纲 </w:t>
      </w:r>
      <w:bookmarkStart w:id="257" w:name="_GoBack"/>
      <w:bookmarkEnd w:id="257"/>
    </w:p>
    <w:p w14:paraId="1CF634A7">
      <w:pPr>
        <w:pStyle w:val="12"/>
        <w:kinsoku w:val="0"/>
        <w:overflowPunct w:val="0"/>
        <w:spacing w:before="61" w:line="472" w:lineRule="auto"/>
        <w:ind w:left="0" w:right="6220"/>
        <w:rPr>
          <w:sz w:val="24"/>
          <w:highlight w:val="none"/>
        </w:rPr>
      </w:pPr>
      <w:r>
        <w:rPr>
          <w:rFonts w:hint="eastAsia"/>
          <w:sz w:val="24"/>
          <w:highlight w:val="none"/>
          <w:lang w:val="en-US" w:eastAsia="zh-CN"/>
        </w:rPr>
        <w:t>九</w:t>
      </w:r>
      <w:r>
        <w:rPr>
          <w:sz w:val="24"/>
          <w:highlight w:val="none"/>
        </w:rPr>
        <w:t>、其他资料</w:t>
      </w:r>
    </w:p>
    <w:p w14:paraId="22B821D4">
      <w:pPr>
        <w:pStyle w:val="12"/>
        <w:kinsoku w:val="0"/>
        <w:overflowPunct w:val="0"/>
        <w:spacing w:before="61" w:line="472" w:lineRule="auto"/>
        <w:ind w:left="100" w:right="6220"/>
        <w:rPr>
          <w:sz w:val="24"/>
          <w:highlight w:val="none"/>
        </w:rPr>
        <w:sectPr>
          <w:pgSz w:w="11905" w:h="16838"/>
          <w:pgMar w:top="1417" w:right="1417" w:bottom="1417" w:left="1417" w:header="992" w:footer="992" w:gutter="0"/>
          <w:cols w:space="720" w:num="1"/>
        </w:sectPr>
      </w:pPr>
    </w:p>
    <w:p w14:paraId="00200FCC">
      <w:pPr>
        <w:pStyle w:val="5"/>
        <w:spacing w:before="120" w:after="120"/>
        <w:jc w:val="center"/>
        <w:rPr>
          <w:sz w:val="28"/>
          <w:highlight w:val="none"/>
        </w:rPr>
      </w:pPr>
      <w:bookmarkStart w:id="211" w:name="bookmark176"/>
      <w:bookmarkEnd w:id="211"/>
      <w:bookmarkStart w:id="212" w:name="_Toc6180"/>
      <w:r>
        <w:rPr>
          <w:sz w:val="28"/>
          <w:highlight w:val="none"/>
        </w:rPr>
        <w:t>一、投标函及投标函附录</w:t>
      </w:r>
      <w:bookmarkEnd w:id="212"/>
    </w:p>
    <w:p w14:paraId="1227BA5E">
      <w:pPr>
        <w:pStyle w:val="6"/>
        <w:rPr>
          <w:b/>
          <w:highlight w:val="none"/>
        </w:rPr>
      </w:pPr>
      <w:bookmarkStart w:id="213" w:name="bookmark177"/>
      <w:bookmarkEnd w:id="213"/>
      <w:bookmarkStart w:id="214" w:name="_Toc13758"/>
      <w:r>
        <w:rPr>
          <w:b/>
          <w:highlight w:val="none"/>
        </w:rPr>
        <w:t>（一）投标函</w:t>
      </w:r>
      <w:bookmarkEnd w:id="214"/>
    </w:p>
    <w:p w14:paraId="09B45505">
      <w:pPr>
        <w:pStyle w:val="12"/>
        <w:kinsoku w:val="0"/>
        <w:overflowPunct w:val="0"/>
        <w:spacing w:before="1"/>
        <w:ind w:left="0"/>
        <w:rPr>
          <w:sz w:val="23"/>
          <w:highlight w:val="none"/>
        </w:rPr>
      </w:pPr>
    </w:p>
    <w:p w14:paraId="5865E78E">
      <w:pPr>
        <w:pStyle w:val="12"/>
        <w:tabs>
          <w:tab w:val="left" w:pos="1991"/>
        </w:tabs>
        <w:kinsoku w:val="0"/>
        <w:overflowPunct w:val="0"/>
        <w:ind w:left="100" w:right="113"/>
        <w:rPr>
          <w:spacing w:val="-1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15"/>
          <w:highlight w:val="none"/>
        </w:rPr>
        <w:t>（招标人名称）：</w:t>
      </w:r>
    </w:p>
    <w:p w14:paraId="5E3BBE08">
      <w:pPr>
        <w:pStyle w:val="12"/>
        <w:kinsoku w:val="0"/>
        <w:overflowPunct w:val="0"/>
        <w:spacing w:before="13"/>
        <w:ind w:left="0"/>
        <w:rPr>
          <w:highlight w:val="none"/>
        </w:rPr>
      </w:pPr>
    </w:p>
    <w:p w14:paraId="067D0C45">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1．我方已仔细研究了</w:t>
      </w:r>
      <w:r>
        <w:rPr>
          <w:rFonts w:ascii="宋体" w:hAnsi="宋体" w:cs="宋体"/>
          <w:kern w:val="2"/>
          <w:sz w:val="21"/>
          <w:szCs w:val="21"/>
          <w:highlight w:val="none"/>
          <w:u w:val="single"/>
        </w:rPr>
        <w:tab/>
      </w:r>
      <w:r>
        <w:rPr>
          <w:rFonts w:ascii="宋体" w:hAnsi="宋体" w:cs="宋体"/>
          <w:kern w:val="2"/>
          <w:sz w:val="21"/>
          <w:szCs w:val="21"/>
          <w:highlight w:val="none"/>
          <w:u w:val="single"/>
        </w:rPr>
        <w:tab/>
      </w:r>
      <w:r>
        <w:rPr>
          <w:rFonts w:ascii="宋体" w:hAnsi="宋体" w:cs="宋体"/>
          <w:kern w:val="2"/>
          <w:sz w:val="21"/>
          <w:szCs w:val="21"/>
          <w:highlight w:val="none"/>
          <w:u w:val="single"/>
        </w:rPr>
        <w:t xml:space="preserve">（项目名称）  </w:t>
      </w:r>
      <w:r>
        <w:rPr>
          <w:rFonts w:ascii="宋体" w:hAnsi="宋体" w:cs="宋体"/>
          <w:kern w:val="2"/>
          <w:sz w:val="21"/>
          <w:szCs w:val="21"/>
          <w:highlight w:val="none"/>
        </w:rPr>
        <w:t xml:space="preserve"> 招标项目招标文件的全部内容， 愿意以人民币（大写）</w:t>
      </w:r>
      <w:r>
        <w:rPr>
          <w:rFonts w:ascii="宋体" w:hAnsi="宋体" w:cs="宋体"/>
          <w:kern w:val="2"/>
          <w:sz w:val="21"/>
          <w:szCs w:val="21"/>
          <w:highlight w:val="none"/>
          <w:u w:val="single"/>
        </w:rPr>
        <w:tab/>
      </w:r>
      <w:r>
        <w:rPr>
          <w:rFonts w:ascii="宋体" w:hAnsi="宋体" w:cs="宋体"/>
          <w:kern w:val="2"/>
          <w:sz w:val="21"/>
          <w:szCs w:val="21"/>
          <w:highlight w:val="none"/>
          <w:u w:val="single"/>
        </w:rPr>
        <w:t xml:space="preserve">   </w:t>
      </w:r>
      <w:r>
        <w:rPr>
          <w:rFonts w:ascii="宋体" w:hAnsi="宋体" w:cs="宋体"/>
          <w:kern w:val="2"/>
          <w:sz w:val="21"/>
          <w:szCs w:val="21"/>
          <w:highlight w:val="none"/>
        </w:rPr>
        <w:t>（¥</w:t>
      </w:r>
      <w:r>
        <w:rPr>
          <w:rFonts w:ascii="宋体" w:hAnsi="宋体" w:cs="宋体"/>
          <w:kern w:val="2"/>
          <w:sz w:val="21"/>
          <w:szCs w:val="21"/>
          <w:highlight w:val="none"/>
          <w:u w:val="single"/>
        </w:rPr>
        <w:tab/>
      </w:r>
      <w:r>
        <w:rPr>
          <w:rFonts w:ascii="宋体" w:hAnsi="宋体" w:cs="宋体"/>
          <w:kern w:val="2"/>
          <w:sz w:val="21"/>
          <w:szCs w:val="21"/>
          <w:highlight w:val="none"/>
          <w:u w:val="single"/>
        </w:rPr>
        <w:tab/>
      </w:r>
      <w:r>
        <w:rPr>
          <w:rFonts w:ascii="宋体" w:hAnsi="宋体" w:cs="宋体"/>
          <w:kern w:val="2"/>
          <w:sz w:val="21"/>
          <w:szCs w:val="21"/>
          <w:highlight w:val="none"/>
        </w:rPr>
        <w:t>）的投标总报价，监理服务期限：</w:t>
      </w:r>
      <w:r>
        <w:rPr>
          <w:rFonts w:hint="eastAsia" w:ascii="宋体" w:hAnsi="宋体" w:cs="宋体"/>
          <w:kern w:val="2"/>
          <w:sz w:val="21"/>
          <w:szCs w:val="21"/>
          <w:highlight w:val="none"/>
          <w:lang w:eastAsia="zh-CN"/>
        </w:rPr>
        <w:t>按照招标文件要求。</w:t>
      </w:r>
      <w:r>
        <w:rPr>
          <w:rFonts w:ascii="宋体" w:hAnsi="宋体" w:cs="宋体"/>
          <w:kern w:val="2"/>
          <w:sz w:val="21"/>
          <w:szCs w:val="21"/>
          <w:highlight w:val="none"/>
        </w:rPr>
        <w:t>按合同约定完成监理工作。</w:t>
      </w:r>
    </w:p>
    <w:p w14:paraId="13B5DF8A">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2. 我方的投标文件包括下列内容：</w:t>
      </w:r>
    </w:p>
    <w:p w14:paraId="58C8ED76">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（1）投标函及投标函附录；</w:t>
      </w:r>
    </w:p>
    <w:p w14:paraId="62CFA000">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（2）法定代表人身份证明</w:t>
      </w:r>
      <w:r>
        <w:rPr>
          <w:rFonts w:ascii="宋体" w:hAnsi="宋体" w:cs="宋体"/>
          <w:spacing w:val="8"/>
          <w:sz w:val="21"/>
          <w:szCs w:val="21"/>
          <w:highlight w:val="none"/>
        </w:rPr>
        <w:t>或附有法定代表人身份证明的授权委托书</w:t>
      </w:r>
      <w:r>
        <w:rPr>
          <w:rFonts w:ascii="宋体" w:hAnsi="宋体" w:cs="宋体"/>
          <w:kern w:val="2"/>
          <w:sz w:val="21"/>
          <w:szCs w:val="21"/>
          <w:highlight w:val="none"/>
        </w:rPr>
        <w:t>；</w:t>
      </w:r>
    </w:p>
    <w:p w14:paraId="2FDEE57C">
      <w:pPr>
        <w:autoSpaceDE/>
        <w:autoSpaceDN/>
        <w:adjustRightInd/>
        <w:spacing w:line="360" w:lineRule="auto"/>
        <w:ind w:left="585" w:leftChars="200" w:hanging="105" w:hangingChars="50"/>
        <w:jc w:val="both"/>
        <w:rPr>
          <w:rFonts w:ascii="宋体" w:hAnsi="宋体" w:cs="宋体"/>
          <w:strike/>
          <w:kern w:val="2"/>
          <w:sz w:val="21"/>
          <w:szCs w:val="21"/>
          <w:highlight w:val="none"/>
        </w:rPr>
      </w:pPr>
      <w:r>
        <w:rPr>
          <w:rFonts w:ascii="宋体" w:hAnsi="宋体" w:cs="宋体"/>
          <w:strike/>
          <w:kern w:val="2"/>
          <w:sz w:val="21"/>
          <w:szCs w:val="21"/>
          <w:highlight w:val="none"/>
        </w:rPr>
        <w:t>（3）联合体协议书（如有）；</w:t>
      </w:r>
    </w:p>
    <w:p w14:paraId="35F11202">
      <w:pPr>
        <w:autoSpaceDE/>
        <w:autoSpaceDN/>
        <w:adjustRightInd/>
        <w:spacing w:line="360" w:lineRule="auto"/>
        <w:ind w:left="585" w:leftChars="200" w:hanging="105" w:hangingChars="50"/>
        <w:jc w:val="both"/>
        <w:rPr>
          <w:rFonts w:ascii="宋体" w:hAnsi="宋体" w:cs="宋体"/>
          <w:strike/>
          <w:kern w:val="2"/>
          <w:sz w:val="21"/>
          <w:szCs w:val="21"/>
          <w:highlight w:val="none"/>
        </w:rPr>
      </w:pPr>
      <w:r>
        <w:rPr>
          <w:rFonts w:ascii="宋体" w:hAnsi="宋体" w:cs="宋体"/>
          <w:strike/>
          <w:kern w:val="2"/>
          <w:sz w:val="21"/>
          <w:szCs w:val="21"/>
          <w:highlight w:val="none"/>
        </w:rPr>
        <w:t>（4）投标保证金（如有）；</w:t>
      </w:r>
    </w:p>
    <w:p w14:paraId="0A0CC2B0">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（5）监理报酬清单；</w:t>
      </w:r>
    </w:p>
    <w:p w14:paraId="07454852">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（6）资格审查资料；</w:t>
      </w:r>
    </w:p>
    <w:p w14:paraId="45534D2E">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（7）监理大纲；</w:t>
      </w:r>
    </w:p>
    <w:p w14:paraId="079FE5A8">
      <w:pPr>
        <w:autoSpaceDE/>
        <w:autoSpaceDN/>
        <w:adjustRightInd/>
        <w:spacing w:line="360" w:lineRule="auto"/>
        <w:ind w:left="585" w:leftChars="200" w:hanging="105" w:hangingChars="50"/>
        <w:rPr>
          <w:rFonts w:ascii="宋体" w:hAnsi="宋体" w:cs="宋体"/>
          <w:kern w:val="2"/>
          <w:sz w:val="21"/>
          <w:szCs w:val="21"/>
          <w:highlight w:val="none"/>
        </w:rPr>
      </w:pPr>
      <w:r>
        <w:rPr>
          <w:rFonts w:ascii="宋体" w:hAnsi="宋体" w:cs="宋体"/>
          <w:kern w:val="2"/>
          <w:sz w:val="21"/>
          <w:szCs w:val="21"/>
          <w:highlight w:val="none"/>
        </w:rPr>
        <w:t>（8）其他资料。</w:t>
      </w:r>
    </w:p>
    <w:p w14:paraId="6B986A91">
      <w:pPr>
        <w:pStyle w:val="12"/>
        <w:kinsoku w:val="0"/>
        <w:overflowPunct w:val="0"/>
        <w:spacing w:line="360" w:lineRule="auto"/>
        <w:ind w:left="522" w:right="2132" w:hanging="17"/>
        <w:rPr>
          <w:spacing w:val="-2"/>
          <w:highlight w:val="none"/>
        </w:rPr>
      </w:pPr>
      <w:r>
        <w:rPr>
          <w:spacing w:val="-2"/>
          <w:highlight w:val="none"/>
        </w:rPr>
        <w:t>投标文件的上述组成部分如存在内容不一致的，以投标函为准。</w:t>
      </w:r>
    </w:p>
    <w:p w14:paraId="4CA9E721">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3．我方承诺在招标文件规定的投标有效期内不撤销投标文件。</w:t>
      </w:r>
    </w:p>
    <w:p w14:paraId="07086F34">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4．如我方中标，我方承诺：</w:t>
      </w:r>
    </w:p>
    <w:p w14:paraId="41FE0F41">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（1）在收到中标通知书后，在中标通知书规定的期限内与你方签订合同；</w:t>
      </w:r>
    </w:p>
    <w:p w14:paraId="22A3D7AE">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（2）在签订合同时不向你方提出附加条件；</w:t>
      </w:r>
    </w:p>
    <w:p w14:paraId="6383A936">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（3）按照招标文件要求提交履约保证金；</w:t>
      </w:r>
    </w:p>
    <w:p w14:paraId="4A00AF97">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（4）在合同约定的期限内完成合同规定的全部义务。</w:t>
      </w:r>
    </w:p>
    <w:p w14:paraId="45F7F5C2">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5．我方在此声明，所递交的投标文件及有关资料内容完整、真实和准确，且不存在第二章 “投标人须知”第 1.4.3 项规定的任何一种情形。</w:t>
      </w:r>
    </w:p>
    <w:p w14:paraId="61F5B88F">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6．</w:t>
      </w:r>
      <w:r>
        <w:rPr>
          <w:rFonts w:hint="eastAsia" w:ascii="宋体" w:hAnsi="宋体" w:cs="宋体"/>
          <w:kern w:val="2"/>
          <w:sz w:val="21"/>
          <w:szCs w:val="21"/>
          <w:highlight w:val="none"/>
        </w:rPr>
        <w:t>如我方中标，我方承诺：我司提交的所有投标资料真实可靠，并在中标通知书发放之前，如招标人、建设行政管理部门、工程招标监督机构等提出复查投标资料原件的，我方在</w:t>
      </w:r>
      <w:r>
        <w:rPr>
          <w:rFonts w:ascii="宋体" w:hAnsi="宋体" w:cs="宋体"/>
          <w:kern w:val="2"/>
          <w:sz w:val="21"/>
          <w:szCs w:val="21"/>
          <w:highlight w:val="none"/>
        </w:rPr>
        <w:t>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02D626B3">
      <w:pPr>
        <w:pStyle w:val="12"/>
        <w:tabs>
          <w:tab w:val="left" w:pos="7241"/>
        </w:tabs>
        <w:kinsoku w:val="0"/>
        <w:overflowPunct w:val="0"/>
        <w:spacing w:before="36" w:line="360" w:lineRule="auto"/>
        <w:ind w:left="2621" w:right="113" w:firstLine="1260" w:firstLineChars="600"/>
        <w:rPr>
          <w:highlight w:val="none"/>
        </w:rPr>
      </w:pPr>
    </w:p>
    <w:p w14:paraId="2F37A250">
      <w:pPr>
        <w:pStyle w:val="12"/>
        <w:tabs>
          <w:tab w:val="left" w:pos="7241"/>
        </w:tabs>
        <w:kinsoku w:val="0"/>
        <w:overflowPunct w:val="0"/>
        <w:spacing w:before="36" w:line="360" w:lineRule="auto"/>
        <w:ind w:left="2621" w:right="113" w:firstLine="1260" w:firstLineChars="600"/>
        <w:rPr>
          <w:highlight w:val="none"/>
        </w:rPr>
      </w:pPr>
      <w:r>
        <w:rPr>
          <w:highlight w:val="none"/>
        </w:rPr>
        <w:t>投 标</w:t>
      </w:r>
      <w:r>
        <w:rPr>
          <w:spacing w:val="-1"/>
          <w:highlight w:val="none"/>
        </w:rPr>
        <w:t xml:space="preserve"> </w:t>
      </w:r>
      <w:r>
        <w:rPr>
          <w:highlight w:val="none"/>
        </w:rPr>
        <w:t>人：</w:t>
      </w:r>
      <w:r>
        <w:rPr>
          <w:highlight w:val="none"/>
          <w:u w:val="single"/>
        </w:rPr>
        <w:t xml:space="preserve">                 </w:t>
      </w:r>
      <w:r>
        <w:rPr>
          <w:rFonts w:hAnsi="Times New Roman"/>
          <w:highlight w:val="none"/>
          <w:u w:val="single"/>
        </w:rPr>
        <w:t xml:space="preserve">       </w:t>
      </w:r>
      <w:r>
        <w:rPr>
          <w:highlight w:val="none"/>
        </w:rPr>
        <w:t>（盖单位章）</w:t>
      </w:r>
    </w:p>
    <w:p w14:paraId="6D2E89A2">
      <w:pPr>
        <w:widowControl/>
        <w:kinsoku w:val="0"/>
        <w:snapToGrid w:val="0"/>
        <w:spacing w:line="360" w:lineRule="auto"/>
        <w:ind w:left="3840" w:leftChars="1600" w:right="253"/>
        <w:textAlignment w:val="baseline"/>
        <w:rPr>
          <w:rFonts w:ascii="宋体" w:hAnsi="宋体" w:cs="宋体"/>
          <w:spacing w:val="-4"/>
          <w:sz w:val="21"/>
          <w:szCs w:val="21"/>
          <w:highlight w:val="none"/>
        </w:rPr>
      </w:pPr>
      <w:r>
        <w:rPr>
          <w:rFonts w:ascii="宋体" w:hAnsi="宋体" w:cs="宋体"/>
          <w:spacing w:val="-8"/>
          <w:sz w:val="21"/>
          <w:szCs w:val="21"/>
          <w:highlight w:val="none"/>
        </w:rPr>
        <w:t>法定</w:t>
      </w:r>
      <w:r>
        <w:rPr>
          <w:rFonts w:ascii="宋体" w:hAnsi="宋体" w:cs="宋体"/>
          <w:spacing w:val="-4"/>
          <w:sz w:val="21"/>
          <w:szCs w:val="21"/>
          <w:highlight w:val="none"/>
        </w:rPr>
        <w:t>代表人：</w:t>
      </w:r>
      <w:r>
        <w:rPr>
          <w:rFonts w:ascii="宋体" w:hAnsi="宋体" w:cs="宋体"/>
          <w:spacing w:val="-4"/>
          <w:sz w:val="21"/>
          <w:szCs w:val="21"/>
          <w:highlight w:val="none"/>
          <w:u w:val="single"/>
        </w:rPr>
        <w:t xml:space="preserve">            </w:t>
      </w:r>
      <w:r>
        <w:rPr>
          <w:rFonts w:ascii="宋体" w:hAnsi="宋体" w:cs="宋体"/>
          <w:spacing w:val="-4"/>
          <w:sz w:val="21"/>
          <w:szCs w:val="21"/>
          <w:highlight w:val="none"/>
        </w:rPr>
        <w:t>(签字或盖章)</w:t>
      </w:r>
    </w:p>
    <w:p w14:paraId="6DB5CE3E">
      <w:pPr>
        <w:widowControl/>
        <w:kinsoku w:val="0"/>
        <w:snapToGrid w:val="0"/>
        <w:spacing w:line="360" w:lineRule="auto"/>
        <w:ind w:left="3840" w:leftChars="1600" w:right="253"/>
        <w:textAlignment w:val="baseline"/>
        <w:rPr>
          <w:rFonts w:ascii="宋体" w:hAnsi="宋体" w:cs="宋体"/>
          <w:spacing w:val="-4"/>
          <w:sz w:val="21"/>
          <w:szCs w:val="21"/>
          <w:highlight w:val="none"/>
        </w:rPr>
      </w:pPr>
      <w:r>
        <w:rPr>
          <w:rFonts w:ascii="宋体" w:hAnsi="宋体" w:cs="宋体"/>
          <w:spacing w:val="-4"/>
          <w:sz w:val="21"/>
          <w:szCs w:val="21"/>
          <w:highlight w:val="none"/>
        </w:rPr>
        <w:t>委托代理人：</w:t>
      </w:r>
      <w:r>
        <w:rPr>
          <w:rFonts w:ascii="宋体" w:hAnsi="宋体" w:cs="宋体"/>
          <w:spacing w:val="-4"/>
          <w:sz w:val="21"/>
          <w:szCs w:val="21"/>
          <w:highlight w:val="none"/>
          <w:u w:val="single"/>
        </w:rPr>
        <w:t xml:space="preserve">            </w:t>
      </w:r>
      <w:r>
        <w:rPr>
          <w:rFonts w:ascii="宋体" w:hAnsi="宋体" w:cs="宋体"/>
          <w:spacing w:val="-4"/>
          <w:sz w:val="21"/>
          <w:szCs w:val="21"/>
          <w:highlight w:val="none"/>
        </w:rPr>
        <w:t>(签字)</w:t>
      </w:r>
    </w:p>
    <w:p w14:paraId="1BA80CB8">
      <w:pPr>
        <w:pStyle w:val="39"/>
        <w:widowControl/>
        <w:kinsoku w:val="0"/>
        <w:snapToGrid w:val="0"/>
        <w:spacing w:line="360" w:lineRule="auto"/>
        <w:ind w:left="3840" w:leftChars="1600"/>
        <w:jc w:val="left"/>
        <w:textAlignment w:val="baseline"/>
        <w:rPr>
          <w:rFonts w:ascii="宋体" w:hAnsi="宋体" w:cs="宋体"/>
          <w:b w:val="0"/>
          <w:snapToGrid w:val="0"/>
          <w:spacing w:val="-4"/>
          <w:sz w:val="21"/>
          <w:szCs w:val="21"/>
          <w:highlight w:val="none"/>
        </w:rPr>
      </w:pPr>
      <w:r>
        <w:rPr>
          <w:rFonts w:ascii="宋体" w:hAnsi="宋体" w:cs="宋体"/>
          <w:b w:val="0"/>
          <w:snapToGrid w:val="0"/>
          <w:spacing w:val="-4"/>
          <w:sz w:val="21"/>
          <w:szCs w:val="21"/>
          <w:highlight w:val="none"/>
        </w:rPr>
        <w:t>项目负责人</w:t>
      </w:r>
      <w:r>
        <w:rPr>
          <w:rFonts w:hint="eastAsia" w:ascii="宋体" w:hAnsi="宋体" w:cs="宋体"/>
          <w:b w:val="0"/>
          <w:snapToGrid w:val="0"/>
          <w:spacing w:val="-4"/>
          <w:sz w:val="21"/>
          <w:szCs w:val="21"/>
          <w:highlight w:val="none"/>
        </w:rPr>
        <w:t>（总监理工程师）</w:t>
      </w:r>
      <w:r>
        <w:rPr>
          <w:rFonts w:ascii="宋体" w:hAnsi="宋体" w:cs="宋体"/>
          <w:b w:val="0"/>
          <w:snapToGrid w:val="0"/>
          <w:spacing w:val="-4"/>
          <w:sz w:val="21"/>
          <w:szCs w:val="21"/>
          <w:highlight w:val="none"/>
        </w:rPr>
        <w:t>：</w:t>
      </w:r>
      <w:r>
        <w:rPr>
          <w:rFonts w:ascii="宋体" w:hAnsi="宋体" w:cs="宋体"/>
          <w:spacing w:val="-4"/>
          <w:sz w:val="21"/>
          <w:szCs w:val="21"/>
          <w:highlight w:val="none"/>
          <w:u w:val="single"/>
        </w:rPr>
        <w:t xml:space="preserve">           </w:t>
      </w:r>
      <w:r>
        <w:rPr>
          <w:rFonts w:ascii="宋体" w:hAnsi="宋体" w:cs="宋体"/>
          <w:b w:val="0"/>
          <w:spacing w:val="-4"/>
          <w:sz w:val="21"/>
          <w:szCs w:val="21"/>
          <w:highlight w:val="none"/>
        </w:rPr>
        <w:t>(签字)</w:t>
      </w:r>
    </w:p>
    <w:p w14:paraId="3976EAE7">
      <w:pPr>
        <w:pStyle w:val="12"/>
        <w:tabs>
          <w:tab w:val="left" w:pos="3232"/>
          <w:tab w:val="left" w:pos="8529"/>
        </w:tabs>
        <w:kinsoku w:val="0"/>
        <w:overflowPunct w:val="0"/>
        <w:spacing w:before="36" w:line="360" w:lineRule="auto"/>
        <w:ind w:left="2601" w:firstLine="1260" w:firstLineChars="600"/>
        <w:rPr>
          <w:rFonts w:ascii="Times New Roman" w:hAnsi="Times New Roman" w:eastAsia="Times New Roman"/>
          <w:highlight w:val="none"/>
        </w:rPr>
      </w:pPr>
      <w:r>
        <w:rPr>
          <w:highlight w:val="none"/>
        </w:rPr>
        <w:t>地    址：</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5109ED6C">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highlight w:val="none"/>
        </w:rPr>
      </w:pPr>
      <w:r>
        <w:rPr>
          <w:highlight w:val="none"/>
        </w:rPr>
        <w:t>网    址：</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74418A5C">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highlight w:val="none"/>
          <w:u w:val="single"/>
        </w:rPr>
      </w:pPr>
      <w:r>
        <w:rPr>
          <w:highlight w:val="none"/>
        </w:rPr>
        <w:t>电    话：</w:t>
      </w:r>
      <w:r>
        <w:rPr>
          <w:highlight w:val="none"/>
          <w:u w:val="single"/>
        </w:rPr>
        <w:t xml:space="preserve">                          </w:t>
      </w:r>
    </w:p>
    <w:p w14:paraId="17B2DBB9">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highlight w:val="none"/>
          <w:u w:val="single"/>
        </w:rPr>
      </w:pPr>
      <w:r>
        <w:rPr>
          <w:highlight w:val="none"/>
        </w:rPr>
        <w:t>传    真：</w:t>
      </w:r>
      <w:r>
        <w:rPr>
          <w:highlight w:val="none"/>
          <w:u w:val="single"/>
        </w:rPr>
        <w:t xml:space="preserve">                          </w:t>
      </w:r>
    </w:p>
    <w:p w14:paraId="3A06B180">
      <w:pPr>
        <w:pStyle w:val="12"/>
        <w:tabs>
          <w:tab w:val="left" w:pos="8529"/>
        </w:tabs>
        <w:kinsoku w:val="0"/>
        <w:overflowPunct w:val="0"/>
        <w:spacing w:before="36" w:line="360" w:lineRule="auto"/>
        <w:ind w:left="2601" w:firstLine="1260" w:firstLineChars="600"/>
        <w:rPr>
          <w:rFonts w:ascii="Times New Roman" w:hAnsi="Times New Roman" w:eastAsia="Times New Roman"/>
          <w:highlight w:val="none"/>
          <w:u w:val="single"/>
        </w:rPr>
      </w:pPr>
      <w:r>
        <w:rPr>
          <w:highlight w:val="none"/>
        </w:rPr>
        <w:t>邮政编码：</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63540065">
      <w:pPr>
        <w:pStyle w:val="12"/>
        <w:tabs>
          <w:tab w:val="left" w:pos="8529"/>
        </w:tabs>
        <w:kinsoku w:val="0"/>
        <w:overflowPunct w:val="0"/>
        <w:spacing w:before="36" w:line="360" w:lineRule="auto"/>
        <w:ind w:left="2601"/>
        <w:rPr>
          <w:rFonts w:ascii="Times New Roman" w:hAnsi="Times New Roman" w:eastAsia="Times New Roman"/>
          <w:highlight w:val="none"/>
          <w:u w:val="single"/>
        </w:rPr>
      </w:pPr>
      <w:r>
        <w:rPr>
          <w:rFonts w:hAnsi="Times New Roman"/>
          <w:highlight w:val="none"/>
        </w:rPr>
        <w:t xml:space="preserve">                  </w:t>
      </w:r>
      <w:r>
        <w:rPr>
          <w:rFonts w:hAnsi="Times New Roman"/>
          <w:highlight w:val="none"/>
          <w:u w:val="single"/>
        </w:rPr>
        <w:t xml:space="preserve">       </w:t>
      </w:r>
      <w:r>
        <w:rPr>
          <w:rFonts w:hAnsi="Times New Roman"/>
          <w:highlight w:val="none"/>
        </w:rPr>
        <w:t>年</w:t>
      </w:r>
      <w:r>
        <w:rPr>
          <w:rFonts w:hAnsi="Times New Roman"/>
          <w:highlight w:val="none"/>
          <w:u w:val="single"/>
        </w:rPr>
        <w:t xml:space="preserve">       </w:t>
      </w:r>
      <w:r>
        <w:rPr>
          <w:rFonts w:hAnsi="Times New Roman"/>
          <w:highlight w:val="none"/>
        </w:rPr>
        <w:t>月</w:t>
      </w:r>
      <w:r>
        <w:rPr>
          <w:rFonts w:hAnsi="Times New Roman"/>
          <w:highlight w:val="none"/>
          <w:u w:val="single"/>
        </w:rPr>
        <w:t xml:space="preserve">      </w:t>
      </w:r>
      <w:r>
        <w:rPr>
          <w:rFonts w:hAnsi="Times New Roman"/>
          <w:highlight w:val="none"/>
        </w:rPr>
        <w:t>日</w:t>
      </w:r>
    </w:p>
    <w:p w14:paraId="556AB4ED">
      <w:pPr>
        <w:pStyle w:val="12"/>
        <w:tabs>
          <w:tab w:val="left" w:pos="631"/>
          <w:tab w:val="left" w:pos="1471"/>
          <w:tab w:val="left" w:pos="2311"/>
        </w:tabs>
        <w:kinsoku w:val="0"/>
        <w:overflowPunct w:val="0"/>
        <w:spacing w:before="36" w:line="360" w:lineRule="auto"/>
        <w:ind w:left="0" w:right="117"/>
        <w:jc w:val="right"/>
        <w:rPr>
          <w:highlight w:val="none"/>
        </w:rPr>
        <w:sectPr>
          <w:footerReference r:id="rId25" w:type="default"/>
          <w:pgSz w:w="11905" w:h="16838"/>
          <w:pgMar w:top="1417" w:right="1417" w:bottom="1417" w:left="1417" w:header="992" w:footer="992" w:gutter="0"/>
          <w:cols w:space="720" w:num="1"/>
        </w:sectPr>
      </w:pPr>
    </w:p>
    <w:p w14:paraId="35955985">
      <w:pPr>
        <w:pStyle w:val="6"/>
        <w:jc w:val="center"/>
        <w:rPr>
          <w:b/>
          <w:highlight w:val="none"/>
        </w:rPr>
      </w:pPr>
      <w:bookmarkStart w:id="215" w:name="bookmark178"/>
      <w:bookmarkEnd w:id="215"/>
      <w:bookmarkStart w:id="216" w:name="_Toc28395"/>
      <w:r>
        <w:rPr>
          <w:b/>
          <w:highlight w:val="none"/>
        </w:rPr>
        <w:t>（二）投标函附录</w:t>
      </w:r>
      <w:bookmarkEnd w:id="216"/>
    </w:p>
    <w:p w14:paraId="3E7299D9">
      <w:pPr>
        <w:pStyle w:val="12"/>
        <w:kinsoku w:val="0"/>
        <w:overflowPunct w:val="0"/>
        <w:ind w:left="0"/>
        <w:rPr>
          <w:sz w:val="20"/>
          <w:highlight w:val="none"/>
        </w:rPr>
      </w:pPr>
    </w:p>
    <w:tbl>
      <w:tblPr>
        <w:tblStyle w:val="24"/>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92"/>
        <w:gridCol w:w="1317"/>
        <w:gridCol w:w="3637"/>
        <w:gridCol w:w="1008"/>
      </w:tblGrid>
      <w:tr w14:paraId="5DEE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6F61304">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序号</w:t>
            </w:r>
          </w:p>
        </w:tc>
        <w:tc>
          <w:tcPr>
            <w:tcW w:w="2592" w:type="dxa"/>
            <w:tcBorders>
              <w:top w:val="single" w:color="auto" w:sz="4" w:space="0"/>
              <w:left w:val="single" w:color="auto" w:sz="4" w:space="0"/>
              <w:bottom w:val="single" w:color="auto" w:sz="4" w:space="0"/>
              <w:right w:val="single" w:color="auto" w:sz="4" w:space="0"/>
            </w:tcBorders>
            <w:vAlign w:val="center"/>
          </w:tcPr>
          <w:p w14:paraId="64104F42">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条款名称</w:t>
            </w:r>
          </w:p>
        </w:tc>
        <w:tc>
          <w:tcPr>
            <w:tcW w:w="1317" w:type="dxa"/>
            <w:tcBorders>
              <w:top w:val="single" w:color="auto" w:sz="4" w:space="0"/>
              <w:left w:val="single" w:color="auto" w:sz="4" w:space="0"/>
              <w:bottom w:val="single" w:color="auto" w:sz="4" w:space="0"/>
              <w:right w:val="single" w:color="auto" w:sz="4" w:space="0"/>
            </w:tcBorders>
            <w:vAlign w:val="center"/>
          </w:tcPr>
          <w:p w14:paraId="49A57271">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合同条款号</w:t>
            </w:r>
          </w:p>
        </w:tc>
        <w:tc>
          <w:tcPr>
            <w:tcW w:w="3637" w:type="dxa"/>
            <w:tcBorders>
              <w:top w:val="single" w:color="auto" w:sz="4" w:space="0"/>
              <w:left w:val="single" w:color="auto" w:sz="4" w:space="0"/>
              <w:bottom w:val="single" w:color="auto" w:sz="4" w:space="0"/>
              <w:right w:val="single" w:color="auto" w:sz="4" w:space="0"/>
            </w:tcBorders>
            <w:vAlign w:val="center"/>
          </w:tcPr>
          <w:p w14:paraId="4F09851B">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约定内容</w:t>
            </w:r>
          </w:p>
        </w:tc>
        <w:tc>
          <w:tcPr>
            <w:tcW w:w="1008" w:type="dxa"/>
            <w:tcBorders>
              <w:top w:val="single" w:color="auto" w:sz="4" w:space="0"/>
              <w:left w:val="single" w:color="auto" w:sz="4" w:space="0"/>
              <w:bottom w:val="single" w:color="auto" w:sz="4" w:space="0"/>
              <w:right w:val="single" w:color="auto" w:sz="4" w:space="0"/>
            </w:tcBorders>
            <w:vAlign w:val="center"/>
          </w:tcPr>
          <w:p w14:paraId="7A25246D">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备注</w:t>
            </w:r>
          </w:p>
        </w:tc>
      </w:tr>
      <w:tr w14:paraId="1F2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671A8F1">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1</w:t>
            </w:r>
          </w:p>
        </w:tc>
        <w:tc>
          <w:tcPr>
            <w:tcW w:w="2592" w:type="dxa"/>
            <w:tcBorders>
              <w:top w:val="single" w:color="auto" w:sz="4" w:space="0"/>
              <w:left w:val="single" w:color="auto" w:sz="4" w:space="0"/>
              <w:bottom w:val="single" w:color="auto" w:sz="4" w:space="0"/>
              <w:right w:val="single" w:color="auto" w:sz="4" w:space="0"/>
            </w:tcBorders>
            <w:vAlign w:val="center"/>
          </w:tcPr>
          <w:p w14:paraId="05F7B665">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总监理工程师</w:t>
            </w:r>
          </w:p>
        </w:tc>
        <w:tc>
          <w:tcPr>
            <w:tcW w:w="1317" w:type="dxa"/>
            <w:tcBorders>
              <w:top w:val="single" w:color="auto" w:sz="4" w:space="0"/>
              <w:left w:val="single" w:color="auto" w:sz="4" w:space="0"/>
              <w:bottom w:val="single" w:color="auto" w:sz="4" w:space="0"/>
              <w:right w:val="single" w:color="auto" w:sz="4" w:space="0"/>
            </w:tcBorders>
            <w:vAlign w:val="center"/>
          </w:tcPr>
          <w:p w14:paraId="2084DF6A">
            <w:pPr>
              <w:autoSpaceDE/>
              <w:autoSpaceDN/>
              <w:adjustRightInd/>
              <w:jc w:val="center"/>
              <w:rPr>
                <w:rFonts w:ascii="宋体" w:hAnsi="宋体" w:cs="宋体"/>
                <w:b/>
                <w:kern w:val="2"/>
                <w:sz w:val="21"/>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7CD11E71">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 xml:space="preserve">姓名： </w:t>
            </w:r>
          </w:p>
          <w:p w14:paraId="4FF9B9B8">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技术职称：</w:t>
            </w:r>
          </w:p>
          <w:p w14:paraId="532AC996">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证书编号：</w:t>
            </w:r>
          </w:p>
        </w:tc>
        <w:tc>
          <w:tcPr>
            <w:tcW w:w="1008" w:type="dxa"/>
            <w:tcBorders>
              <w:top w:val="single" w:color="auto" w:sz="4" w:space="0"/>
              <w:left w:val="single" w:color="auto" w:sz="4" w:space="0"/>
              <w:bottom w:val="single" w:color="auto" w:sz="4" w:space="0"/>
              <w:right w:val="single" w:color="auto" w:sz="4" w:space="0"/>
            </w:tcBorders>
            <w:vAlign w:val="center"/>
          </w:tcPr>
          <w:p w14:paraId="6DC1B619">
            <w:pPr>
              <w:autoSpaceDE/>
              <w:autoSpaceDN/>
              <w:adjustRightInd/>
              <w:jc w:val="center"/>
              <w:rPr>
                <w:rFonts w:ascii="宋体" w:hAnsi="宋体" w:cs="宋体"/>
                <w:b/>
                <w:kern w:val="2"/>
                <w:sz w:val="21"/>
                <w:szCs w:val="22"/>
                <w:highlight w:val="none"/>
              </w:rPr>
            </w:pPr>
          </w:p>
        </w:tc>
      </w:tr>
      <w:tr w14:paraId="738F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EEA96AF">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2</w:t>
            </w:r>
          </w:p>
        </w:tc>
        <w:tc>
          <w:tcPr>
            <w:tcW w:w="2592" w:type="dxa"/>
            <w:tcBorders>
              <w:top w:val="single" w:color="auto" w:sz="4" w:space="0"/>
              <w:left w:val="single" w:color="auto" w:sz="4" w:space="0"/>
              <w:bottom w:val="single" w:color="auto" w:sz="4" w:space="0"/>
              <w:right w:val="single" w:color="auto" w:sz="4" w:space="0"/>
            </w:tcBorders>
            <w:vAlign w:val="center"/>
          </w:tcPr>
          <w:p w14:paraId="3BAA112D">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监理服务期限</w:t>
            </w:r>
          </w:p>
        </w:tc>
        <w:tc>
          <w:tcPr>
            <w:tcW w:w="1317" w:type="dxa"/>
            <w:tcBorders>
              <w:top w:val="single" w:color="auto" w:sz="4" w:space="0"/>
              <w:left w:val="single" w:color="auto" w:sz="4" w:space="0"/>
              <w:bottom w:val="single" w:color="auto" w:sz="4" w:space="0"/>
              <w:right w:val="single" w:color="auto" w:sz="4" w:space="0"/>
            </w:tcBorders>
            <w:vAlign w:val="center"/>
          </w:tcPr>
          <w:p w14:paraId="3025E7B7">
            <w:pPr>
              <w:autoSpaceDE/>
              <w:autoSpaceDN/>
              <w:adjustRightInd/>
              <w:jc w:val="center"/>
              <w:rPr>
                <w:rFonts w:ascii="宋体" w:hAnsi="宋体" w:cs="宋体"/>
                <w:b/>
                <w:kern w:val="2"/>
                <w:sz w:val="21"/>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057AFD01">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3CDF7A10">
            <w:pPr>
              <w:autoSpaceDE/>
              <w:autoSpaceDN/>
              <w:adjustRightInd/>
              <w:jc w:val="center"/>
              <w:rPr>
                <w:rFonts w:ascii="宋体" w:hAnsi="宋体" w:cs="宋体"/>
                <w:kern w:val="2"/>
                <w:sz w:val="21"/>
                <w:szCs w:val="21"/>
                <w:highlight w:val="none"/>
                <w:u w:val="single"/>
              </w:rPr>
            </w:pPr>
          </w:p>
        </w:tc>
      </w:tr>
      <w:tr w14:paraId="5511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6AB7A3C8">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3</w:t>
            </w:r>
          </w:p>
        </w:tc>
        <w:tc>
          <w:tcPr>
            <w:tcW w:w="2592" w:type="dxa"/>
            <w:tcBorders>
              <w:top w:val="single" w:color="auto" w:sz="4" w:space="0"/>
              <w:left w:val="single" w:color="auto" w:sz="4" w:space="0"/>
              <w:bottom w:val="single" w:color="auto" w:sz="4" w:space="0"/>
              <w:right w:val="single" w:color="auto" w:sz="4" w:space="0"/>
            </w:tcBorders>
            <w:vAlign w:val="center"/>
          </w:tcPr>
          <w:p w14:paraId="259397A2">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投标内容</w:t>
            </w:r>
          </w:p>
        </w:tc>
        <w:tc>
          <w:tcPr>
            <w:tcW w:w="1317" w:type="dxa"/>
            <w:tcBorders>
              <w:top w:val="single" w:color="auto" w:sz="4" w:space="0"/>
              <w:left w:val="single" w:color="auto" w:sz="4" w:space="0"/>
              <w:bottom w:val="single" w:color="auto" w:sz="4" w:space="0"/>
              <w:right w:val="single" w:color="auto" w:sz="4" w:space="0"/>
            </w:tcBorders>
            <w:vAlign w:val="center"/>
          </w:tcPr>
          <w:p w14:paraId="6DFC54A7">
            <w:pPr>
              <w:autoSpaceDE/>
              <w:autoSpaceDN/>
              <w:adjustRightInd/>
              <w:jc w:val="center"/>
              <w:rPr>
                <w:rFonts w:ascii="宋体" w:hAnsi="宋体" w:cs="宋体"/>
                <w:b/>
                <w:kern w:val="2"/>
                <w:sz w:val="21"/>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09A5EF23">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2EB1534A">
            <w:pPr>
              <w:autoSpaceDE/>
              <w:autoSpaceDN/>
              <w:adjustRightInd/>
              <w:jc w:val="center"/>
              <w:rPr>
                <w:rFonts w:ascii="宋体" w:hAnsi="宋体" w:cs="宋体"/>
                <w:b/>
                <w:kern w:val="2"/>
                <w:sz w:val="21"/>
                <w:szCs w:val="22"/>
                <w:highlight w:val="none"/>
              </w:rPr>
            </w:pPr>
          </w:p>
        </w:tc>
      </w:tr>
      <w:tr w14:paraId="61D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2AB1DA6C">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4</w:t>
            </w:r>
          </w:p>
        </w:tc>
        <w:tc>
          <w:tcPr>
            <w:tcW w:w="2592" w:type="dxa"/>
            <w:tcBorders>
              <w:top w:val="single" w:color="auto" w:sz="4" w:space="0"/>
              <w:left w:val="single" w:color="auto" w:sz="4" w:space="0"/>
              <w:bottom w:val="single" w:color="auto" w:sz="4" w:space="0"/>
              <w:right w:val="single" w:color="auto" w:sz="4" w:space="0"/>
            </w:tcBorders>
            <w:vAlign w:val="center"/>
          </w:tcPr>
          <w:p w14:paraId="368E8EF6">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质量标准</w:t>
            </w:r>
          </w:p>
        </w:tc>
        <w:tc>
          <w:tcPr>
            <w:tcW w:w="1317" w:type="dxa"/>
            <w:tcBorders>
              <w:top w:val="single" w:color="auto" w:sz="4" w:space="0"/>
              <w:left w:val="single" w:color="auto" w:sz="4" w:space="0"/>
              <w:bottom w:val="single" w:color="auto" w:sz="4" w:space="0"/>
              <w:right w:val="single" w:color="auto" w:sz="4" w:space="0"/>
            </w:tcBorders>
            <w:vAlign w:val="center"/>
          </w:tcPr>
          <w:p w14:paraId="61F131DF">
            <w:pPr>
              <w:autoSpaceDE/>
              <w:autoSpaceDN/>
              <w:adjustRightInd/>
              <w:jc w:val="center"/>
              <w:rPr>
                <w:rFonts w:ascii="宋体" w:hAnsi="宋体" w:cs="宋体"/>
                <w:b/>
                <w:kern w:val="2"/>
                <w:sz w:val="21"/>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7DDC30D7">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1DA97A6A">
            <w:pPr>
              <w:autoSpaceDE/>
              <w:autoSpaceDN/>
              <w:adjustRightInd/>
              <w:jc w:val="center"/>
              <w:rPr>
                <w:rFonts w:ascii="宋体" w:hAnsi="宋体" w:cs="宋体"/>
                <w:b/>
                <w:kern w:val="2"/>
                <w:sz w:val="21"/>
                <w:szCs w:val="22"/>
                <w:highlight w:val="none"/>
              </w:rPr>
            </w:pPr>
          </w:p>
        </w:tc>
      </w:tr>
      <w:tr w14:paraId="738E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ECA87D1">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5</w:t>
            </w:r>
          </w:p>
        </w:tc>
        <w:tc>
          <w:tcPr>
            <w:tcW w:w="2592" w:type="dxa"/>
            <w:tcBorders>
              <w:top w:val="single" w:color="auto" w:sz="4" w:space="0"/>
              <w:left w:val="single" w:color="auto" w:sz="4" w:space="0"/>
              <w:bottom w:val="single" w:color="auto" w:sz="4" w:space="0"/>
              <w:right w:val="single" w:color="auto" w:sz="4" w:space="0"/>
            </w:tcBorders>
            <w:vAlign w:val="center"/>
          </w:tcPr>
          <w:p w14:paraId="5B7FDECC">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投标总报价（监理报价）</w:t>
            </w:r>
          </w:p>
        </w:tc>
        <w:tc>
          <w:tcPr>
            <w:tcW w:w="1317" w:type="dxa"/>
            <w:tcBorders>
              <w:top w:val="single" w:color="auto" w:sz="4" w:space="0"/>
              <w:left w:val="single" w:color="auto" w:sz="4" w:space="0"/>
              <w:bottom w:val="single" w:color="auto" w:sz="4" w:space="0"/>
              <w:right w:val="single" w:color="auto" w:sz="4" w:space="0"/>
            </w:tcBorders>
            <w:vAlign w:val="center"/>
          </w:tcPr>
          <w:p w14:paraId="40F6E4F3">
            <w:pPr>
              <w:autoSpaceDE/>
              <w:autoSpaceDN/>
              <w:adjustRightInd/>
              <w:jc w:val="center"/>
              <w:rPr>
                <w:rFonts w:ascii="宋体" w:hAnsi="宋体" w:cs="宋体"/>
                <w:b/>
                <w:kern w:val="2"/>
                <w:sz w:val="21"/>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6D262E1E">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监理报价（元）：</w:t>
            </w:r>
          </w:p>
        </w:tc>
        <w:tc>
          <w:tcPr>
            <w:tcW w:w="1008" w:type="dxa"/>
            <w:tcBorders>
              <w:top w:val="single" w:color="auto" w:sz="4" w:space="0"/>
              <w:left w:val="single" w:color="auto" w:sz="4" w:space="0"/>
              <w:bottom w:val="single" w:color="auto" w:sz="4" w:space="0"/>
              <w:right w:val="single" w:color="auto" w:sz="4" w:space="0"/>
            </w:tcBorders>
            <w:vAlign w:val="center"/>
          </w:tcPr>
          <w:p w14:paraId="62C678C3">
            <w:pPr>
              <w:autoSpaceDE/>
              <w:autoSpaceDN/>
              <w:adjustRightInd/>
              <w:jc w:val="center"/>
              <w:rPr>
                <w:rFonts w:ascii="宋体" w:hAnsi="宋体" w:cs="宋体"/>
                <w:b/>
                <w:kern w:val="2"/>
                <w:sz w:val="21"/>
                <w:szCs w:val="22"/>
                <w:highlight w:val="none"/>
              </w:rPr>
            </w:pPr>
          </w:p>
        </w:tc>
      </w:tr>
      <w:tr w14:paraId="29F4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2BBC36C">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6</w:t>
            </w:r>
          </w:p>
        </w:tc>
        <w:tc>
          <w:tcPr>
            <w:tcW w:w="2592" w:type="dxa"/>
            <w:tcBorders>
              <w:top w:val="single" w:color="auto" w:sz="4" w:space="0"/>
              <w:left w:val="single" w:color="auto" w:sz="4" w:space="0"/>
              <w:bottom w:val="single" w:color="auto" w:sz="4" w:space="0"/>
              <w:right w:val="single" w:color="auto" w:sz="4" w:space="0"/>
            </w:tcBorders>
            <w:vAlign w:val="center"/>
          </w:tcPr>
          <w:p w14:paraId="6DD8469E">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投标下浮率</w:t>
            </w:r>
          </w:p>
        </w:tc>
        <w:tc>
          <w:tcPr>
            <w:tcW w:w="1317" w:type="dxa"/>
            <w:tcBorders>
              <w:top w:val="single" w:color="auto" w:sz="4" w:space="0"/>
              <w:left w:val="single" w:color="auto" w:sz="4" w:space="0"/>
              <w:bottom w:val="single" w:color="auto" w:sz="4" w:space="0"/>
              <w:right w:val="single" w:color="auto" w:sz="4" w:space="0"/>
            </w:tcBorders>
            <w:vAlign w:val="center"/>
          </w:tcPr>
          <w:p w14:paraId="64DA4FA6">
            <w:pPr>
              <w:autoSpaceDE/>
              <w:autoSpaceDN/>
              <w:adjustRightInd/>
              <w:jc w:val="center"/>
              <w:rPr>
                <w:rFonts w:ascii="宋体" w:hAnsi="宋体" w:cs="宋体"/>
                <w:spacing w:val="-16"/>
                <w:kern w:val="2"/>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0BBD8665">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投标下浮率：</w:t>
            </w:r>
            <w:r>
              <w:rPr>
                <w:rFonts w:hint="eastAsia" w:ascii="宋体" w:hAnsi="宋体" w:cs="宋体"/>
                <w:b/>
                <w:kern w:val="2"/>
                <w:sz w:val="21"/>
                <w:szCs w:val="22"/>
                <w:highlight w:val="none"/>
                <w:u w:val="single"/>
              </w:rPr>
              <w:t xml:space="preserve">     %</w:t>
            </w:r>
          </w:p>
        </w:tc>
        <w:tc>
          <w:tcPr>
            <w:tcW w:w="1008" w:type="dxa"/>
            <w:tcBorders>
              <w:top w:val="single" w:color="auto" w:sz="4" w:space="0"/>
              <w:left w:val="single" w:color="auto" w:sz="4" w:space="0"/>
              <w:bottom w:val="single" w:color="auto" w:sz="4" w:space="0"/>
              <w:right w:val="single" w:color="auto" w:sz="4" w:space="0"/>
            </w:tcBorders>
            <w:vAlign w:val="center"/>
          </w:tcPr>
          <w:p w14:paraId="06A3A27F">
            <w:pPr>
              <w:autoSpaceDE/>
              <w:autoSpaceDN/>
              <w:adjustRightInd/>
              <w:jc w:val="center"/>
              <w:rPr>
                <w:rFonts w:ascii="宋体" w:hAnsi="宋体" w:cs="宋体"/>
                <w:b/>
                <w:kern w:val="2"/>
                <w:sz w:val="21"/>
                <w:szCs w:val="22"/>
                <w:highlight w:val="none"/>
              </w:rPr>
            </w:pPr>
          </w:p>
        </w:tc>
      </w:tr>
      <w:tr w14:paraId="143A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74280F62">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7</w:t>
            </w:r>
          </w:p>
        </w:tc>
        <w:tc>
          <w:tcPr>
            <w:tcW w:w="2592" w:type="dxa"/>
            <w:tcBorders>
              <w:top w:val="single" w:color="auto" w:sz="4" w:space="0"/>
              <w:left w:val="single" w:color="auto" w:sz="4" w:space="0"/>
              <w:bottom w:val="single" w:color="auto" w:sz="4" w:space="0"/>
              <w:right w:val="single" w:color="auto" w:sz="4" w:space="0"/>
            </w:tcBorders>
            <w:vAlign w:val="center"/>
          </w:tcPr>
          <w:p w14:paraId="31B6DE69">
            <w:pPr>
              <w:autoSpaceDE/>
              <w:autoSpaceDN/>
              <w:adjustRightInd/>
              <w:jc w:val="center"/>
              <w:rPr>
                <w:rFonts w:ascii="宋体" w:hAnsi="宋体" w:cs="宋体"/>
                <w:b/>
                <w:kern w:val="2"/>
                <w:sz w:val="21"/>
                <w:szCs w:val="22"/>
                <w:highlight w:val="none"/>
              </w:rPr>
            </w:pPr>
            <w:r>
              <w:rPr>
                <w:rFonts w:hint="eastAsia" w:ascii="宋体" w:hAnsi="宋体" w:cs="宋体"/>
                <w:b/>
                <w:kern w:val="2"/>
                <w:sz w:val="21"/>
                <w:szCs w:val="22"/>
                <w:highlight w:val="none"/>
              </w:rPr>
              <w:t>投标有效期</w:t>
            </w:r>
          </w:p>
        </w:tc>
        <w:tc>
          <w:tcPr>
            <w:tcW w:w="1317" w:type="dxa"/>
            <w:tcBorders>
              <w:top w:val="single" w:color="auto" w:sz="4" w:space="0"/>
              <w:left w:val="single" w:color="auto" w:sz="4" w:space="0"/>
              <w:bottom w:val="single" w:color="auto" w:sz="4" w:space="0"/>
              <w:right w:val="single" w:color="auto" w:sz="4" w:space="0"/>
            </w:tcBorders>
            <w:vAlign w:val="center"/>
          </w:tcPr>
          <w:p w14:paraId="2708B0D6">
            <w:pPr>
              <w:autoSpaceDE/>
              <w:autoSpaceDN/>
              <w:adjustRightInd/>
              <w:jc w:val="center"/>
              <w:rPr>
                <w:rFonts w:ascii="宋体" w:hAnsi="宋体" w:cs="宋体"/>
                <w:spacing w:val="-16"/>
                <w:kern w:val="2"/>
                <w:szCs w:val="22"/>
                <w:highlight w:val="none"/>
              </w:rPr>
            </w:pPr>
            <w:r>
              <w:rPr>
                <w:rFonts w:hint="eastAsia" w:ascii="宋体" w:hAnsi="宋体" w:cs="宋体"/>
                <w:spacing w:val="-16"/>
                <w:kern w:val="2"/>
                <w:szCs w:val="22"/>
                <w:highlight w:val="none"/>
              </w:rPr>
              <w:t>/</w:t>
            </w:r>
          </w:p>
        </w:tc>
        <w:tc>
          <w:tcPr>
            <w:tcW w:w="3637" w:type="dxa"/>
            <w:tcBorders>
              <w:top w:val="single" w:color="auto" w:sz="4" w:space="0"/>
              <w:left w:val="single" w:color="auto" w:sz="4" w:space="0"/>
              <w:bottom w:val="single" w:color="auto" w:sz="4" w:space="0"/>
              <w:right w:val="single" w:color="auto" w:sz="4" w:space="0"/>
            </w:tcBorders>
            <w:vAlign w:val="center"/>
          </w:tcPr>
          <w:p w14:paraId="0CCD4723">
            <w:pPr>
              <w:autoSpaceDE/>
              <w:autoSpaceDN/>
              <w:adjustRightInd/>
              <w:rPr>
                <w:rFonts w:ascii="宋体" w:hAnsi="宋体" w:cs="宋体"/>
                <w:b/>
                <w:kern w:val="2"/>
                <w:sz w:val="21"/>
                <w:szCs w:val="22"/>
                <w:highlight w:val="none"/>
              </w:rPr>
            </w:pPr>
            <w:r>
              <w:rPr>
                <w:rFonts w:hint="eastAsia" w:ascii="宋体" w:hAnsi="宋体" w:cs="宋体"/>
                <w:b/>
                <w:kern w:val="2"/>
                <w:sz w:val="21"/>
                <w:szCs w:val="22"/>
                <w:highlight w:val="none"/>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3F476CB7">
            <w:pPr>
              <w:autoSpaceDE/>
              <w:autoSpaceDN/>
              <w:adjustRightInd/>
              <w:jc w:val="center"/>
              <w:rPr>
                <w:rFonts w:ascii="宋体" w:hAnsi="宋体" w:cs="宋体"/>
                <w:b/>
                <w:kern w:val="2"/>
                <w:sz w:val="21"/>
                <w:szCs w:val="22"/>
                <w:highlight w:val="none"/>
              </w:rPr>
            </w:pPr>
          </w:p>
        </w:tc>
      </w:tr>
    </w:tbl>
    <w:p w14:paraId="2EA28D14">
      <w:pPr>
        <w:pStyle w:val="12"/>
        <w:kinsoku w:val="0"/>
        <w:overflowPunct w:val="0"/>
        <w:spacing w:before="11"/>
        <w:ind w:left="0"/>
        <w:rPr>
          <w:sz w:val="22"/>
          <w:highlight w:val="none"/>
        </w:rPr>
      </w:pPr>
    </w:p>
    <w:p w14:paraId="209712AD">
      <w:pPr>
        <w:autoSpaceDE/>
        <w:autoSpaceDN/>
        <w:adjustRightInd/>
        <w:spacing w:line="440" w:lineRule="exact"/>
        <w:ind w:firstLine="420" w:firstLineChars="200"/>
        <w:rPr>
          <w:rFonts w:ascii="宋体" w:hAnsi="宋体" w:cs="宋体"/>
          <w:kern w:val="2"/>
          <w:highlight w:val="none"/>
        </w:rPr>
      </w:pPr>
      <w:r>
        <w:rPr>
          <w:rFonts w:hint="eastAsia" w:ascii="宋体" w:hAnsi="宋体" w:cs="宋体"/>
          <w:kern w:val="2"/>
          <w:sz w:val="21"/>
          <w:szCs w:val="21"/>
          <w:highlight w:val="none"/>
          <w:lang w:bidi="ar"/>
        </w:rPr>
        <w:t>注：1.投标人根据企业自身情况进行报价，</w:t>
      </w:r>
      <w:r>
        <w:rPr>
          <w:rFonts w:hint="eastAsia" w:ascii="宋体" w:hAnsi="宋体" w:cs="宋体"/>
          <w:bCs/>
          <w:kern w:val="2"/>
          <w:sz w:val="21"/>
          <w:szCs w:val="21"/>
          <w:highlight w:val="none"/>
          <w:lang w:bidi="ar"/>
        </w:rPr>
        <w:t>投标报价不得超过最高投标限价。</w:t>
      </w:r>
      <w:r>
        <w:rPr>
          <w:rFonts w:hint="eastAsia" w:ascii="宋体" w:hAnsi="宋体" w:cs="宋体"/>
          <w:kern w:val="2"/>
          <w:sz w:val="21"/>
          <w:szCs w:val="21"/>
          <w:highlight w:val="none"/>
          <w:lang w:bidi="ar"/>
        </w:rPr>
        <w:t>小数点后保留两位小数，第三位小数四舍五入。</w:t>
      </w:r>
    </w:p>
    <w:p w14:paraId="2DBF73C8">
      <w:pPr>
        <w:pStyle w:val="12"/>
        <w:kinsoku w:val="0"/>
        <w:overflowPunct w:val="0"/>
        <w:ind w:left="0"/>
        <w:rPr>
          <w:sz w:val="20"/>
          <w:highlight w:val="none"/>
        </w:rPr>
      </w:pPr>
    </w:p>
    <w:p w14:paraId="1FD28BE9">
      <w:pPr>
        <w:pStyle w:val="12"/>
        <w:kinsoku w:val="0"/>
        <w:overflowPunct w:val="0"/>
        <w:ind w:left="0"/>
        <w:rPr>
          <w:sz w:val="20"/>
          <w:highlight w:val="none"/>
        </w:rPr>
      </w:pPr>
    </w:p>
    <w:p w14:paraId="27A2D4FF">
      <w:pPr>
        <w:pStyle w:val="12"/>
        <w:kinsoku w:val="0"/>
        <w:overflowPunct w:val="0"/>
        <w:ind w:left="0"/>
        <w:rPr>
          <w:sz w:val="20"/>
          <w:highlight w:val="none"/>
        </w:rPr>
      </w:pPr>
    </w:p>
    <w:p w14:paraId="30151DEE">
      <w:pPr>
        <w:autoSpaceDE/>
        <w:autoSpaceDN/>
        <w:adjustRightInd/>
        <w:spacing w:line="440" w:lineRule="exact"/>
        <w:ind w:firstLine="2520" w:firstLineChars="1200"/>
        <w:rPr>
          <w:rFonts w:ascii="宋体" w:hAnsi="宋体" w:cs="宋体"/>
          <w:kern w:val="2"/>
          <w:sz w:val="21"/>
          <w:szCs w:val="21"/>
          <w:highlight w:val="none"/>
        </w:rPr>
      </w:pPr>
      <w:r>
        <w:rPr>
          <w:rFonts w:hint="eastAsia" w:ascii="宋体" w:hAnsi="宋体" w:cs="宋体"/>
          <w:kern w:val="2"/>
          <w:sz w:val="21"/>
          <w:szCs w:val="21"/>
          <w:highlight w:val="none"/>
        </w:rPr>
        <w:t>投 标 人：</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（盖单位章）</w:t>
      </w:r>
    </w:p>
    <w:p w14:paraId="2ED18FC8">
      <w:pPr>
        <w:autoSpaceDE/>
        <w:autoSpaceDN/>
        <w:adjustRightInd/>
        <w:spacing w:line="440" w:lineRule="exact"/>
        <w:ind w:firstLine="2520" w:firstLineChars="1200"/>
        <w:rPr>
          <w:rFonts w:ascii="宋体" w:hAnsi="宋体" w:cs="宋体"/>
          <w:kern w:val="2"/>
          <w:sz w:val="21"/>
          <w:szCs w:val="21"/>
          <w:highlight w:val="none"/>
        </w:rPr>
      </w:pPr>
      <w:r>
        <w:rPr>
          <w:rFonts w:hint="eastAsia" w:ascii="宋体" w:hAnsi="宋体" w:cs="宋体"/>
          <w:kern w:val="2"/>
          <w:sz w:val="21"/>
          <w:szCs w:val="22"/>
          <w:highlight w:val="none"/>
        </w:rPr>
        <w:t>法定代表人</w:t>
      </w:r>
      <w:r>
        <w:rPr>
          <w:rFonts w:hint="eastAsia" w:ascii="宋体" w:hAnsi="宋体" w:cs="宋体"/>
          <w:kern w:val="2"/>
          <w:sz w:val="21"/>
          <w:szCs w:val="21"/>
          <w:highlight w:val="none"/>
        </w:rPr>
        <w:t>或其委托代理人：</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（签字）</w:t>
      </w:r>
    </w:p>
    <w:p w14:paraId="089EE6D4">
      <w:pPr>
        <w:autoSpaceDE/>
        <w:autoSpaceDN/>
        <w:adjustRightInd/>
        <w:spacing w:line="440" w:lineRule="exact"/>
        <w:ind w:firstLine="4725" w:firstLineChars="2250"/>
        <w:jc w:val="right"/>
        <w:rPr>
          <w:rFonts w:ascii="宋体" w:hAnsi="宋体" w:cs="宋体"/>
          <w:kern w:val="2"/>
          <w:sz w:val="21"/>
          <w:szCs w:val="21"/>
          <w:highlight w:val="none"/>
        </w:rPr>
      </w:pPr>
      <w:r>
        <w:rPr>
          <w:rFonts w:hint="eastAsia" w:ascii="宋体" w:hAnsi="宋体" w:cs="宋体"/>
          <w:kern w:val="2"/>
          <w:sz w:val="21"/>
          <w:szCs w:val="22"/>
          <w:highlight w:val="none"/>
          <w:u w:val="single"/>
        </w:rPr>
        <w:t xml:space="preserve">      </w:t>
      </w:r>
      <w:r>
        <w:rPr>
          <w:rFonts w:hint="eastAsia" w:ascii="宋体" w:hAnsi="宋体" w:cs="宋体"/>
          <w:kern w:val="2"/>
          <w:sz w:val="21"/>
          <w:szCs w:val="21"/>
          <w:highlight w:val="none"/>
        </w:rPr>
        <w:t>年</w:t>
      </w:r>
      <w:r>
        <w:rPr>
          <w:rFonts w:hint="eastAsia" w:ascii="宋体" w:hAnsi="宋体" w:cs="宋体"/>
          <w:kern w:val="2"/>
          <w:sz w:val="21"/>
          <w:szCs w:val="22"/>
          <w:highlight w:val="none"/>
          <w:u w:val="single"/>
        </w:rPr>
        <w:t xml:space="preserve">      </w:t>
      </w:r>
      <w:r>
        <w:rPr>
          <w:rFonts w:hint="eastAsia" w:ascii="宋体" w:hAnsi="宋体" w:cs="宋体"/>
          <w:kern w:val="2"/>
          <w:sz w:val="21"/>
          <w:szCs w:val="21"/>
          <w:highlight w:val="none"/>
        </w:rPr>
        <w:t>月</w:t>
      </w:r>
      <w:r>
        <w:rPr>
          <w:rFonts w:hint="eastAsia" w:ascii="宋体" w:hAnsi="宋体" w:cs="宋体"/>
          <w:kern w:val="2"/>
          <w:sz w:val="21"/>
          <w:szCs w:val="22"/>
          <w:highlight w:val="none"/>
          <w:u w:val="single"/>
        </w:rPr>
        <w:t xml:space="preserve">      </w:t>
      </w:r>
      <w:r>
        <w:rPr>
          <w:rFonts w:hint="eastAsia" w:ascii="宋体" w:hAnsi="宋体" w:cs="宋体"/>
          <w:kern w:val="2"/>
          <w:sz w:val="21"/>
          <w:szCs w:val="21"/>
          <w:highlight w:val="none"/>
        </w:rPr>
        <w:t>日</w:t>
      </w:r>
    </w:p>
    <w:p w14:paraId="0B049B68">
      <w:pPr>
        <w:pStyle w:val="12"/>
        <w:kinsoku w:val="0"/>
        <w:overflowPunct w:val="0"/>
        <w:ind w:left="0"/>
        <w:rPr>
          <w:sz w:val="19"/>
          <w:highlight w:val="none"/>
        </w:rPr>
      </w:pPr>
    </w:p>
    <w:p w14:paraId="3E71F066">
      <w:pPr>
        <w:pStyle w:val="12"/>
        <w:kinsoku w:val="0"/>
        <w:overflowPunct w:val="0"/>
        <w:spacing w:before="10"/>
        <w:ind w:left="0"/>
        <w:rPr>
          <w:sz w:val="24"/>
          <w:highlight w:val="none"/>
        </w:rPr>
      </w:pPr>
    </w:p>
    <w:p w14:paraId="7B1FE627">
      <w:pPr>
        <w:pStyle w:val="12"/>
        <w:tabs>
          <w:tab w:val="left" w:pos="631"/>
          <w:tab w:val="left" w:pos="1471"/>
          <w:tab w:val="left" w:pos="2311"/>
        </w:tabs>
        <w:kinsoku w:val="0"/>
        <w:overflowPunct w:val="0"/>
        <w:spacing w:before="36"/>
        <w:ind w:left="0" w:right="177"/>
        <w:jc w:val="right"/>
        <w:rPr>
          <w:highlight w:val="none"/>
        </w:rPr>
      </w:pPr>
      <w:r>
        <w:rPr>
          <w:rFonts w:hint="eastAsia" w:ascii="Times New Roman" w:hAnsi="Times New Roman" w:eastAsia="Times New Roman"/>
          <w:sz w:val="24"/>
          <w:highlight w:val="none"/>
          <w:u w:val="single"/>
        </w:rPr>
        <w:t xml:space="preserve"> </w:t>
      </w:r>
    </w:p>
    <w:p w14:paraId="6328DA31">
      <w:pPr>
        <w:pStyle w:val="12"/>
        <w:tabs>
          <w:tab w:val="left" w:pos="631"/>
          <w:tab w:val="left" w:pos="1471"/>
          <w:tab w:val="left" w:pos="2311"/>
        </w:tabs>
        <w:kinsoku w:val="0"/>
        <w:overflowPunct w:val="0"/>
        <w:spacing w:before="36"/>
        <w:ind w:left="0" w:right="177"/>
        <w:jc w:val="right"/>
        <w:rPr>
          <w:highlight w:val="none"/>
        </w:rPr>
        <w:sectPr>
          <w:pgSz w:w="11905" w:h="16838"/>
          <w:pgMar w:top="1417" w:right="1417" w:bottom="1417" w:left="1417" w:header="992" w:footer="992" w:gutter="0"/>
          <w:cols w:space="720" w:num="1"/>
        </w:sectPr>
      </w:pPr>
    </w:p>
    <w:p w14:paraId="4DE13534">
      <w:pPr>
        <w:pStyle w:val="5"/>
        <w:spacing w:before="120" w:after="120"/>
        <w:jc w:val="center"/>
        <w:rPr>
          <w:sz w:val="28"/>
          <w:highlight w:val="none"/>
        </w:rPr>
      </w:pPr>
      <w:bookmarkStart w:id="217" w:name="bookmark179"/>
      <w:bookmarkEnd w:id="217"/>
      <w:bookmarkStart w:id="218" w:name="_Toc18723"/>
      <w:r>
        <w:rPr>
          <w:sz w:val="28"/>
          <w:highlight w:val="none"/>
        </w:rPr>
        <w:t>二、法定代表人身份证明</w:t>
      </w:r>
      <w:bookmarkEnd w:id="218"/>
    </w:p>
    <w:p w14:paraId="7FEF4832">
      <w:pPr>
        <w:pStyle w:val="12"/>
        <w:kinsoku w:val="0"/>
        <w:overflowPunct w:val="0"/>
        <w:ind w:left="0"/>
        <w:rPr>
          <w:rFonts w:ascii="Microsoft JhengHei" w:hAnsi="Microsoft JhengHei" w:eastAsia="Microsoft JhengHei"/>
          <w:b/>
          <w:sz w:val="32"/>
          <w:highlight w:val="none"/>
        </w:rPr>
      </w:pPr>
    </w:p>
    <w:p w14:paraId="7C53BDE8">
      <w:pPr>
        <w:pStyle w:val="12"/>
        <w:kinsoku w:val="0"/>
        <w:overflowPunct w:val="0"/>
        <w:ind w:left="0"/>
        <w:rPr>
          <w:rFonts w:ascii="Microsoft JhengHei" w:hAnsi="Microsoft JhengHei" w:eastAsia="Microsoft JhengHei"/>
          <w:b/>
          <w:sz w:val="32"/>
          <w:highlight w:val="none"/>
        </w:rPr>
      </w:pPr>
    </w:p>
    <w:p w14:paraId="32C1AD4C">
      <w:pPr>
        <w:pStyle w:val="12"/>
        <w:kinsoku w:val="0"/>
        <w:overflowPunct w:val="0"/>
        <w:spacing w:before="8"/>
        <w:ind w:left="0"/>
        <w:rPr>
          <w:rFonts w:ascii="Microsoft JhengHei" w:hAnsi="Microsoft JhengHei" w:eastAsia="Microsoft JhengHei"/>
          <w:b/>
          <w:sz w:val="25"/>
          <w:highlight w:val="none"/>
        </w:rPr>
      </w:pPr>
    </w:p>
    <w:p w14:paraId="3F27F930">
      <w:pPr>
        <w:pStyle w:val="12"/>
        <w:tabs>
          <w:tab w:val="left" w:pos="3928"/>
        </w:tabs>
        <w:kinsoku w:val="0"/>
        <w:overflowPunct w:val="0"/>
        <w:ind w:left="100"/>
        <w:rPr>
          <w:rFonts w:ascii="Times New Roman" w:hAnsi="Times New Roman" w:eastAsia="Times New Roman"/>
          <w:sz w:val="24"/>
          <w:highlight w:val="none"/>
        </w:rPr>
      </w:pPr>
      <w:r>
        <w:rPr>
          <w:sz w:val="24"/>
          <w:highlight w:val="none"/>
        </w:rPr>
        <w:t>投标人名称：</w:t>
      </w: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p>
    <w:p w14:paraId="095A0FBC">
      <w:pPr>
        <w:pStyle w:val="12"/>
        <w:kinsoku w:val="0"/>
        <w:overflowPunct w:val="0"/>
        <w:spacing w:before="2"/>
        <w:ind w:left="0"/>
        <w:rPr>
          <w:rFonts w:ascii="Times New Roman" w:hAnsi="Times New Roman" w:eastAsia="Times New Roman"/>
          <w:sz w:val="24"/>
          <w:highlight w:val="none"/>
        </w:rPr>
      </w:pPr>
    </w:p>
    <w:p w14:paraId="07D2A349">
      <w:pPr>
        <w:pStyle w:val="12"/>
        <w:tabs>
          <w:tab w:val="left" w:pos="2412"/>
          <w:tab w:val="left" w:pos="3883"/>
          <w:tab w:val="left" w:pos="5352"/>
          <w:tab w:val="left" w:pos="6869"/>
        </w:tabs>
        <w:kinsoku w:val="0"/>
        <w:overflowPunct w:val="0"/>
        <w:spacing w:before="36"/>
        <w:ind w:left="100"/>
        <w:rPr>
          <w:rFonts w:ascii="Times New Roman" w:hAnsi="Times New Roman" w:eastAsia="Times New Roman"/>
          <w:sz w:val="24"/>
          <w:highlight w:val="none"/>
        </w:rPr>
      </w:pPr>
      <w:r>
        <w:rPr>
          <w:spacing w:val="-1"/>
          <w:sz w:val="24"/>
          <w:highlight w:val="none"/>
        </w:rPr>
        <w:t>姓名：</w:t>
      </w:r>
      <w:r>
        <w:rPr>
          <w:rFonts w:hint="eastAsia" w:ascii="Times New Roman" w:hAnsi="Times New Roman" w:eastAsia="Times New Roman"/>
          <w:spacing w:val="-1"/>
          <w:sz w:val="24"/>
          <w:highlight w:val="none"/>
          <w:u w:val="single"/>
        </w:rPr>
        <w:tab/>
      </w:r>
      <w:r>
        <w:rPr>
          <w:spacing w:val="-1"/>
          <w:sz w:val="24"/>
          <w:highlight w:val="none"/>
        </w:rPr>
        <w:t>性别：</w:t>
      </w:r>
      <w:r>
        <w:rPr>
          <w:rFonts w:hint="eastAsia" w:ascii="Times New Roman" w:hAnsi="Times New Roman" w:eastAsia="Times New Roman"/>
          <w:spacing w:val="-1"/>
          <w:sz w:val="24"/>
          <w:highlight w:val="none"/>
          <w:u w:val="single"/>
        </w:rPr>
        <w:tab/>
      </w:r>
      <w:r>
        <w:rPr>
          <w:spacing w:val="-2"/>
          <w:sz w:val="24"/>
          <w:highlight w:val="none"/>
        </w:rPr>
        <w:t>年龄：</w:t>
      </w:r>
      <w:r>
        <w:rPr>
          <w:rFonts w:hint="eastAsia" w:ascii="Times New Roman" w:hAnsi="Times New Roman" w:eastAsia="Times New Roman"/>
          <w:spacing w:val="-2"/>
          <w:sz w:val="24"/>
          <w:highlight w:val="none"/>
          <w:u w:val="single"/>
        </w:rPr>
        <w:tab/>
      </w:r>
      <w:r>
        <w:rPr>
          <w:spacing w:val="-2"/>
          <w:sz w:val="24"/>
          <w:highlight w:val="none"/>
        </w:rPr>
        <w:t>职务：</w:t>
      </w: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p>
    <w:p w14:paraId="41A13D3E">
      <w:pPr>
        <w:pStyle w:val="12"/>
        <w:kinsoku w:val="0"/>
        <w:overflowPunct w:val="0"/>
        <w:spacing w:before="5"/>
        <w:ind w:left="0"/>
        <w:rPr>
          <w:rFonts w:ascii="Times New Roman" w:hAnsi="Times New Roman" w:eastAsia="Times New Roman"/>
          <w:sz w:val="24"/>
          <w:highlight w:val="none"/>
        </w:rPr>
      </w:pPr>
    </w:p>
    <w:p w14:paraId="621B908A">
      <w:pPr>
        <w:pStyle w:val="12"/>
        <w:tabs>
          <w:tab w:val="left" w:pos="2832"/>
        </w:tabs>
        <w:kinsoku w:val="0"/>
        <w:overflowPunct w:val="0"/>
        <w:spacing w:before="36"/>
        <w:ind w:left="100"/>
        <w:rPr>
          <w:spacing w:val="-2"/>
          <w:sz w:val="24"/>
          <w:highlight w:val="none"/>
        </w:rPr>
      </w:pPr>
      <w:r>
        <w:rPr>
          <w:spacing w:val="-1"/>
          <w:sz w:val="24"/>
          <w:highlight w:val="none"/>
        </w:rPr>
        <w:t>系</w:t>
      </w:r>
      <w:r>
        <w:rPr>
          <w:rFonts w:hint="eastAsia" w:ascii="Times New Roman" w:hAnsi="Times New Roman" w:eastAsia="Times New Roman"/>
          <w:spacing w:val="-1"/>
          <w:sz w:val="24"/>
          <w:highlight w:val="none"/>
          <w:u w:val="single"/>
        </w:rPr>
        <w:tab/>
      </w:r>
      <w:r>
        <w:rPr>
          <w:spacing w:val="-2"/>
          <w:sz w:val="24"/>
          <w:highlight w:val="none"/>
        </w:rPr>
        <w:t>（投标人名称）的法定代表人。</w:t>
      </w:r>
    </w:p>
    <w:p w14:paraId="4CE474E1">
      <w:pPr>
        <w:pStyle w:val="12"/>
        <w:kinsoku w:val="0"/>
        <w:overflowPunct w:val="0"/>
        <w:spacing w:before="10"/>
        <w:ind w:left="0"/>
        <w:rPr>
          <w:sz w:val="24"/>
          <w:highlight w:val="none"/>
        </w:rPr>
      </w:pPr>
    </w:p>
    <w:p w14:paraId="5588C133">
      <w:pPr>
        <w:pStyle w:val="12"/>
        <w:kinsoku w:val="0"/>
        <w:overflowPunct w:val="0"/>
        <w:spacing w:before="36"/>
        <w:ind w:left="100" w:firstLine="419"/>
        <w:rPr>
          <w:sz w:val="24"/>
          <w:highlight w:val="none"/>
        </w:rPr>
      </w:pPr>
      <w:r>
        <w:rPr>
          <w:sz w:val="24"/>
          <w:highlight w:val="none"/>
        </w:rPr>
        <w:t>特此证明。</w:t>
      </w:r>
    </w:p>
    <w:p w14:paraId="1455CF69">
      <w:pPr>
        <w:pStyle w:val="12"/>
        <w:kinsoku w:val="0"/>
        <w:overflowPunct w:val="0"/>
        <w:ind w:left="0"/>
        <w:rPr>
          <w:sz w:val="24"/>
          <w:highlight w:val="none"/>
        </w:rPr>
      </w:pPr>
    </w:p>
    <w:p w14:paraId="5C098A47">
      <w:pPr>
        <w:pStyle w:val="12"/>
        <w:kinsoku w:val="0"/>
        <w:overflowPunct w:val="0"/>
        <w:spacing w:before="4"/>
        <w:ind w:left="0"/>
        <w:rPr>
          <w:sz w:val="24"/>
          <w:highlight w:val="none"/>
        </w:rPr>
      </w:pPr>
    </w:p>
    <w:p w14:paraId="45E7DE9E">
      <w:pPr>
        <w:pStyle w:val="12"/>
        <w:kinsoku w:val="0"/>
        <w:overflowPunct w:val="0"/>
        <w:ind w:left="100"/>
        <w:rPr>
          <w:sz w:val="24"/>
          <w:highlight w:val="none"/>
        </w:rPr>
      </w:pPr>
      <w:r>
        <w:rPr>
          <w:sz w:val="24"/>
          <w:highlight w:val="none"/>
        </w:rPr>
        <w:t>附：法定代表人身份证正反面扫描件。</w:t>
      </w:r>
    </w:p>
    <w:p w14:paraId="6C7956DE">
      <w:pPr>
        <w:pStyle w:val="12"/>
        <w:kinsoku w:val="0"/>
        <w:overflowPunct w:val="0"/>
        <w:ind w:left="0"/>
        <w:rPr>
          <w:sz w:val="24"/>
          <w:highlight w:val="none"/>
        </w:rPr>
      </w:pPr>
    </w:p>
    <w:p w14:paraId="4FB7CECA">
      <w:pPr>
        <w:pStyle w:val="12"/>
        <w:kinsoku w:val="0"/>
        <w:overflowPunct w:val="0"/>
        <w:spacing w:before="2"/>
        <w:ind w:left="0"/>
        <w:rPr>
          <w:sz w:val="24"/>
          <w:highlight w:val="none"/>
        </w:rPr>
      </w:pPr>
    </w:p>
    <w:p w14:paraId="71877624">
      <w:pPr>
        <w:pStyle w:val="12"/>
        <w:kinsoku w:val="0"/>
        <w:overflowPunct w:val="0"/>
        <w:ind w:left="0"/>
        <w:rPr>
          <w:sz w:val="24"/>
          <w:highlight w:val="none"/>
        </w:rPr>
      </w:pPr>
    </w:p>
    <w:p w14:paraId="50316CCD">
      <w:pPr>
        <w:pStyle w:val="12"/>
        <w:kinsoku w:val="0"/>
        <w:overflowPunct w:val="0"/>
        <w:ind w:left="0"/>
        <w:rPr>
          <w:sz w:val="24"/>
          <w:highlight w:val="none"/>
        </w:rPr>
      </w:pPr>
    </w:p>
    <w:p w14:paraId="11692A0A">
      <w:pPr>
        <w:pStyle w:val="12"/>
        <w:kinsoku w:val="0"/>
        <w:overflowPunct w:val="0"/>
        <w:ind w:left="0"/>
        <w:rPr>
          <w:sz w:val="24"/>
          <w:highlight w:val="none"/>
        </w:rPr>
      </w:pPr>
    </w:p>
    <w:p w14:paraId="3350FA98">
      <w:pPr>
        <w:pStyle w:val="12"/>
        <w:kinsoku w:val="0"/>
        <w:overflowPunct w:val="0"/>
        <w:spacing w:before="2"/>
        <w:ind w:left="0"/>
        <w:rPr>
          <w:sz w:val="24"/>
          <w:highlight w:val="none"/>
        </w:rPr>
      </w:pPr>
    </w:p>
    <w:p w14:paraId="5DD66CBA">
      <w:pPr>
        <w:pStyle w:val="12"/>
        <w:tabs>
          <w:tab w:val="left" w:pos="6521"/>
        </w:tabs>
        <w:kinsoku w:val="0"/>
        <w:overflowPunct w:val="0"/>
        <w:spacing w:before="36"/>
        <w:ind w:left="4212"/>
        <w:rPr>
          <w:spacing w:val="-1"/>
          <w:sz w:val="24"/>
          <w:highlight w:val="none"/>
        </w:rPr>
      </w:pPr>
      <w:r>
        <w:rPr>
          <w:spacing w:val="-2"/>
          <w:sz w:val="24"/>
          <w:highlight w:val="none"/>
        </w:rPr>
        <w:t>投标人：</w:t>
      </w:r>
      <w:r>
        <w:rPr>
          <w:rFonts w:hint="eastAsia" w:ascii="Times New Roman" w:hAnsi="Times New Roman" w:eastAsia="Times New Roman"/>
          <w:spacing w:val="-2"/>
          <w:sz w:val="24"/>
          <w:highlight w:val="none"/>
          <w:u w:val="single"/>
        </w:rPr>
        <w:tab/>
      </w:r>
      <w:r>
        <w:rPr>
          <w:spacing w:val="-1"/>
          <w:sz w:val="24"/>
          <w:highlight w:val="none"/>
        </w:rPr>
        <w:t>（盖单位章）</w:t>
      </w:r>
    </w:p>
    <w:p w14:paraId="56A6CD55">
      <w:pPr>
        <w:pStyle w:val="12"/>
        <w:kinsoku w:val="0"/>
        <w:overflowPunct w:val="0"/>
        <w:ind w:left="0"/>
        <w:rPr>
          <w:sz w:val="24"/>
          <w:highlight w:val="none"/>
        </w:rPr>
      </w:pPr>
    </w:p>
    <w:p w14:paraId="4801A7DC">
      <w:pPr>
        <w:pStyle w:val="12"/>
        <w:kinsoku w:val="0"/>
        <w:overflowPunct w:val="0"/>
        <w:spacing w:before="7"/>
        <w:ind w:left="0"/>
        <w:rPr>
          <w:sz w:val="24"/>
          <w:highlight w:val="none"/>
        </w:rPr>
      </w:pPr>
    </w:p>
    <w:p w14:paraId="0BB37A88">
      <w:pPr>
        <w:pStyle w:val="12"/>
        <w:tabs>
          <w:tab w:val="left" w:pos="5352"/>
          <w:tab w:val="left" w:pos="6192"/>
          <w:tab w:val="left" w:pos="7032"/>
        </w:tabs>
        <w:kinsoku w:val="0"/>
        <w:overflowPunct w:val="0"/>
        <w:spacing w:before="36"/>
        <w:ind w:left="4721"/>
        <w:rPr>
          <w:sz w:val="24"/>
          <w:highlight w:val="none"/>
        </w:rPr>
      </w:pP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r>
        <w:rPr>
          <w:sz w:val="24"/>
          <w:highlight w:val="none"/>
        </w:rPr>
        <w:t>年</w:t>
      </w:r>
      <w:r>
        <w:rPr>
          <w:rFonts w:hint="eastAsia" w:ascii="Times New Roman" w:hAnsi="Times New Roman" w:eastAsia="Times New Roman"/>
          <w:sz w:val="24"/>
          <w:highlight w:val="none"/>
          <w:u w:val="single"/>
        </w:rPr>
        <w:tab/>
      </w:r>
      <w:r>
        <w:rPr>
          <w:sz w:val="24"/>
          <w:highlight w:val="none"/>
        </w:rPr>
        <w:t>月</w:t>
      </w:r>
      <w:r>
        <w:rPr>
          <w:rFonts w:hint="eastAsia" w:ascii="Times New Roman" w:hAnsi="Times New Roman" w:eastAsia="Times New Roman"/>
          <w:sz w:val="24"/>
          <w:highlight w:val="none"/>
          <w:u w:val="single"/>
        </w:rPr>
        <w:tab/>
      </w:r>
      <w:r>
        <w:rPr>
          <w:sz w:val="24"/>
          <w:highlight w:val="none"/>
        </w:rPr>
        <w:t>日</w:t>
      </w:r>
    </w:p>
    <w:p w14:paraId="10051D39">
      <w:pPr>
        <w:pStyle w:val="12"/>
        <w:tabs>
          <w:tab w:val="left" w:pos="5352"/>
          <w:tab w:val="left" w:pos="6192"/>
          <w:tab w:val="left" w:pos="7032"/>
        </w:tabs>
        <w:kinsoku w:val="0"/>
        <w:overflowPunct w:val="0"/>
        <w:spacing w:before="36"/>
        <w:ind w:left="4721"/>
        <w:rPr>
          <w:sz w:val="24"/>
          <w:highlight w:val="none"/>
        </w:rPr>
        <w:sectPr>
          <w:pgSz w:w="11905" w:h="16838"/>
          <w:pgMar w:top="1417" w:right="1417" w:bottom="1417" w:left="1417" w:header="992" w:footer="992" w:gutter="0"/>
          <w:cols w:space="720" w:num="1"/>
        </w:sectPr>
      </w:pPr>
    </w:p>
    <w:p w14:paraId="4193E849">
      <w:pPr>
        <w:pStyle w:val="5"/>
        <w:spacing w:before="120" w:after="120"/>
        <w:jc w:val="center"/>
        <w:rPr>
          <w:sz w:val="28"/>
          <w:highlight w:val="none"/>
        </w:rPr>
      </w:pPr>
      <w:bookmarkStart w:id="219" w:name="bookmark180"/>
      <w:bookmarkEnd w:id="219"/>
      <w:bookmarkStart w:id="220" w:name="_Toc13873"/>
      <w:r>
        <w:rPr>
          <w:rFonts w:hint="eastAsia"/>
          <w:sz w:val="28"/>
          <w:highlight w:val="none"/>
        </w:rPr>
        <w:t>三</w:t>
      </w:r>
      <w:r>
        <w:rPr>
          <w:sz w:val="28"/>
          <w:highlight w:val="none"/>
        </w:rPr>
        <w:t>、授权委托书</w:t>
      </w:r>
      <w:bookmarkEnd w:id="220"/>
    </w:p>
    <w:p w14:paraId="2C1F5404">
      <w:pPr>
        <w:pStyle w:val="12"/>
        <w:kinsoku w:val="0"/>
        <w:overflowPunct w:val="0"/>
        <w:ind w:left="0"/>
        <w:rPr>
          <w:rFonts w:ascii="Microsoft JhengHei" w:hAnsi="Microsoft JhengHei" w:eastAsia="Microsoft JhengHei"/>
          <w:b/>
          <w:sz w:val="32"/>
          <w:highlight w:val="none"/>
        </w:rPr>
      </w:pPr>
    </w:p>
    <w:p w14:paraId="76A32313">
      <w:pPr>
        <w:pStyle w:val="12"/>
        <w:kinsoku w:val="0"/>
        <w:overflowPunct w:val="0"/>
        <w:spacing w:before="4"/>
        <w:ind w:left="0"/>
        <w:rPr>
          <w:rFonts w:ascii="Microsoft JhengHei" w:hAnsi="Microsoft JhengHei" w:eastAsia="Microsoft JhengHei"/>
          <w:b/>
          <w:sz w:val="32"/>
          <w:highlight w:val="none"/>
        </w:rPr>
      </w:pPr>
    </w:p>
    <w:p w14:paraId="35BC3D71">
      <w:pPr>
        <w:pStyle w:val="12"/>
        <w:tabs>
          <w:tab w:val="left" w:pos="3928"/>
        </w:tabs>
        <w:kinsoku w:val="0"/>
        <w:overflowPunct w:val="0"/>
        <w:spacing w:line="360" w:lineRule="auto"/>
        <w:ind w:left="0" w:firstLine="480" w:firstLineChars="200"/>
        <w:rPr>
          <w:sz w:val="24"/>
          <w:highlight w:val="none"/>
        </w:rPr>
      </w:pPr>
      <w:r>
        <w:rPr>
          <w:sz w:val="24"/>
          <w:highlight w:val="none"/>
        </w:rPr>
        <w:t>本人</w:t>
      </w:r>
      <w:r>
        <w:rPr>
          <w:sz w:val="24"/>
          <w:highlight w:val="none"/>
          <w:u w:val="single"/>
        </w:rPr>
        <w:t xml:space="preserve">   </w:t>
      </w:r>
      <w:r>
        <w:rPr>
          <w:sz w:val="24"/>
          <w:highlight w:val="none"/>
        </w:rPr>
        <w:t xml:space="preserve">（姓名）系 </w:t>
      </w:r>
      <w:r>
        <w:rPr>
          <w:sz w:val="24"/>
          <w:highlight w:val="none"/>
          <w:u w:val="single"/>
        </w:rPr>
        <w:t xml:space="preserve">    </w:t>
      </w:r>
      <w:r>
        <w:rPr>
          <w:sz w:val="24"/>
          <w:highlight w:val="none"/>
        </w:rPr>
        <w:t>（投标人名称）的法定代表人，现委托</w:t>
      </w:r>
      <w:r>
        <w:rPr>
          <w:sz w:val="24"/>
          <w:highlight w:val="none"/>
          <w:u w:val="single"/>
        </w:rPr>
        <w:tab/>
      </w:r>
      <w:r>
        <w:rPr>
          <w:sz w:val="24"/>
          <w:highlight w:val="none"/>
          <w:u w:val="single"/>
        </w:rPr>
        <w:t xml:space="preserve"> </w:t>
      </w:r>
      <w:r>
        <w:rPr>
          <w:sz w:val="24"/>
          <w:highlight w:val="none"/>
        </w:rPr>
        <w:t xml:space="preserve">（姓名）为我方代理人。代理人根据授权，以我方名义签署、澄清确认、递交、撤回、修改监理招标项目投标文件、签订合同和处理有关事宜，其法律后果由我方承担。 </w:t>
      </w:r>
    </w:p>
    <w:p w14:paraId="2396CA1B">
      <w:pPr>
        <w:pStyle w:val="12"/>
        <w:tabs>
          <w:tab w:val="left" w:pos="3928"/>
        </w:tabs>
        <w:kinsoku w:val="0"/>
        <w:overflowPunct w:val="0"/>
        <w:spacing w:line="360" w:lineRule="auto"/>
        <w:ind w:left="0"/>
        <w:rPr>
          <w:sz w:val="24"/>
          <w:highlight w:val="none"/>
        </w:rPr>
      </w:pPr>
      <w:r>
        <w:rPr>
          <w:sz w:val="24"/>
          <w:highlight w:val="none"/>
        </w:rPr>
        <w:t>委托期限：</w:t>
      </w:r>
      <w:r>
        <w:rPr>
          <w:sz w:val="24"/>
          <w:highlight w:val="none"/>
          <w:u w:val="single"/>
        </w:rPr>
        <w:tab/>
      </w:r>
      <w:r>
        <w:rPr>
          <w:sz w:val="24"/>
          <w:highlight w:val="none"/>
        </w:rPr>
        <w:t>。</w:t>
      </w:r>
    </w:p>
    <w:p w14:paraId="283935ED">
      <w:pPr>
        <w:pStyle w:val="12"/>
        <w:tabs>
          <w:tab w:val="left" w:pos="3928"/>
        </w:tabs>
        <w:kinsoku w:val="0"/>
        <w:overflowPunct w:val="0"/>
        <w:spacing w:line="360" w:lineRule="auto"/>
        <w:ind w:left="0" w:firstLine="480" w:firstLineChars="200"/>
        <w:rPr>
          <w:sz w:val="24"/>
          <w:highlight w:val="none"/>
        </w:rPr>
      </w:pPr>
      <w:r>
        <w:rPr>
          <w:sz w:val="24"/>
          <w:highlight w:val="none"/>
        </w:rPr>
        <w:t>代理人无转委托权。代理人为投标人正式职工</w:t>
      </w:r>
      <w:r>
        <w:rPr>
          <w:rFonts w:hint="eastAsia"/>
          <w:sz w:val="24"/>
          <w:highlight w:val="none"/>
        </w:rPr>
        <w:t>，必须具有离投标截止时间最近的至少1个</w:t>
      </w:r>
      <w:r>
        <w:rPr>
          <w:rFonts w:hint="eastAsia"/>
          <w:color w:val="auto"/>
          <w:sz w:val="24"/>
          <w:highlight w:val="none"/>
        </w:rPr>
        <w:t>月（202</w:t>
      </w:r>
      <w:r>
        <w:rPr>
          <w:rFonts w:hint="eastAsia"/>
          <w:color w:val="auto"/>
          <w:sz w:val="24"/>
          <w:highlight w:val="none"/>
          <w:lang w:val="en-US" w:eastAsia="zh-CN"/>
        </w:rPr>
        <w:t>5</w:t>
      </w:r>
      <w:r>
        <w:rPr>
          <w:rFonts w:hint="eastAsia"/>
          <w:color w:val="auto"/>
          <w:sz w:val="24"/>
          <w:highlight w:val="none"/>
        </w:rPr>
        <w:t>年</w:t>
      </w:r>
      <w:r>
        <w:rPr>
          <w:rFonts w:hint="eastAsia"/>
          <w:color w:val="auto"/>
          <w:sz w:val="24"/>
          <w:highlight w:val="none"/>
          <w:lang w:val="en-US" w:eastAsia="zh-CN"/>
        </w:rPr>
        <w:t>7</w:t>
      </w:r>
      <w:r>
        <w:rPr>
          <w:rFonts w:hint="eastAsia"/>
          <w:color w:val="auto"/>
          <w:sz w:val="24"/>
          <w:highlight w:val="none"/>
        </w:rPr>
        <w:t>月）</w:t>
      </w:r>
      <w:r>
        <w:rPr>
          <w:rFonts w:hint="eastAsia"/>
          <w:sz w:val="24"/>
          <w:highlight w:val="none"/>
        </w:rPr>
        <w:t>在本单位缴纳的社保证明文件。</w:t>
      </w:r>
    </w:p>
    <w:p w14:paraId="4BB40EC6">
      <w:pPr>
        <w:pStyle w:val="12"/>
        <w:tabs>
          <w:tab w:val="left" w:pos="3928"/>
        </w:tabs>
        <w:kinsoku w:val="0"/>
        <w:overflowPunct w:val="0"/>
        <w:spacing w:line="360" w:lineRule="auto"/>
        <w:ind w:left="100"/>
        <w:rPr>
          <w:sz w:val="24"/>
          <w:highlight w:val="none"/>
        </w:rPr>
      </w:pPr>
    </w:p>
    <w:p w14:paraId="0065E453">
      <w:pPr>
        <w:pStyle w:val="12"/>
        <w:kinsoku w:val="0"/>
        <w:overflowPunct w:val="0"/>
        <w:spacing w:before="4"/>
        <w:ind w:left="0"/>
        <w:rPr>
          <w:sz w:val="24"/>
          <w:highlight w:val="none"/>
        </w:rPr>
      </w:pPr>
    </w:p>
    <w:p w14:paraId="2D494ABD">
      <w:pPr>
        <w:pStyle w:val="12"/>
        <w:kinsoku w:val="0"/>
        <w:overflowPunct w:val="0"/>
        <w:ind w:left="100" w:right="113"/>
        <w:rPr>
          <w:sz w:val="24"/>
          <w:highlight w:val="none"/>
        </w:rPr>
      </w:pPr>
      <w:r>
        <w:rPr>
          <w:sz w:val="24"/>
          <w:highlight w:val="none"/>
        </w:rPr>
        <w:t>附：委托代理人身份证正反面和社保证明扫描件。</w:t>
      </w:r>
    </w:p>
    <w:p w14:paraId="6769DA8C">
      <w:pPr>
        <w:pStyle w:val="12"/>
        <w:kinsoku w:val="0"/>
        <w:overflowPunct w:val="0"/>
        <w:ind w:left="0"/>
        <w:rPr>
          <w:sz w:val="24"/>
          <w:highlight w:val="none"/>
        </w:rPr>
      </w:pPr>
    </w:p>
    <w:p w14:paraId="13DAECE5">
      <w:pPr>
        <w:pStyle w:val="12"/>
        <w:kinsoku w:val="0"/>
        <w:overflowPunct w:val="0"/>
        <w:spacing w:before="2"/>
        <w:ind w:left="0"/>
        <w:rPr>
          <w:sz w:val="24"/>
          <w:highlight w:val="none"/>
        </w:rPr>
      </w:pPr>
    </w:p>
    <w:p w14:paraId="2D284F88">
      <w:pPr>
        <w:pStyle w:val="12"/>
        <w:kinsoku w:val="0"/>
        <w:overflowPunct w:val="0"/>
        <w:ind w:left="0"/>
        <w:rPr>
          <w:sz w:val="24"/>
          <w:highlight w:val="none"/>
        </w:rPr>
      </w:pPr>
    </w:p>
    <w:p w14:paraId="53D71B7E">
      <w:pPr>
        <w:pStyle w:val="12"/>
        <w:kinsoku w:val="0"/>
        <w:overflowPunct w:val="0"/>
        <w:spacing w:before="4"/>
        <w:ind w:left="0"/>
        <w:rPr>
          <w:sz w:val="24"/>
          <w:highlight w:val="none"/>
        </w:rPr>
      </w:pPr>
    </w:p>
    <w:p w14:paraId="151235CF">
      <w:pPr>
        <w:pStyle w:val="12"/>
        <w:tabs>
          <w:tab w:val="left" w:pos="3216"/>
          <w:tab w:val="left" w:pos="3636"/>
          <w:tab w:val="left" w:pos="7241"/>
        </w:tabs>
        <w:kinsoku w:val="0"/>
        <w:overflowPunct w:val="0"/>
        <w:ind w:left="2793" w:right="113"/>
        <w:rPr>
          <w:sz w:val="24"/>
          <w:highlight w:val="none"/>
        </w:rPr>
      </w:pPr>
      <w:r>
        <w:rPr>
          <w:sz w:val="24"/>
          <w:highlight w:val="none"/>
        </w:rPr>
        <w:t>投</w:t>
      </w:r>
      <w:r>
        <w:rPr>
          <w:sz w:val="24"/>
          <w:highlight w:val="none"/>
        </w:rPr>
        <w:tab/>
      </w:r>
      <w:r>
        <w:rPr>
          <w:sz w:val="24"/>
          <w:highlight w:val="none"/>
        </w:rPr>
        <w:t>标</w:t>
      </w:r>
      <w:r>
        <w:rPr>
          <w:sz w:val="24"/>
          <w:highlight w:val="none"/>
        </w:rPr>
        <w:tab/>
      </w:r>
      <w:r>
        <w:rPr>
          <w:spacing w:val="-3"/>
          <w:sz w:val="24"/>
          <w:highlight w:val="none"/>
        </w:rPr>
        <w:t>人：</w:t>
      </w:r>
      <w:r>
        <w:rPr>
          <w:rFonts w:hAnsi="Times New Roman"/>
          <w:spacing w:val="-3"/>
          <w:sz w:val="24"/>
          <w:highlight w:val="none"/>
          <w:u w:val="single"/>
        </w:rPr>
        <w:t xml:space="preserve">                       </w:t>
      </w:r>
      <w:r>
        <w:rPr>
          <w:sz w:val="24"/>
          <w:highlight w:val="none"/>
        </w:rPr>
        <w:t>（盖单位章）</w:t>
      </w:r>
    </w:p>
    <w:p w14:paraId="29EF9231">
      <w:pPr>
        <w:pStyle w:val="12"/>
        <w:kinsoku w:val="0"/>
        <w:overflowPunct w:val="0"/>
        <w:ind w:left="0"/>
        <w:rPr>
          <w:sz w:val="24"/>
          <w:highlight w:val="none"/>
        </w:rPr>
      </w:pPr>
    </w:p>
    <w:p w14:paraId="75C535F7">
      <w:pPr>
        <w:pStyle w:val="12"/>
        <w:tabs>
          <w:tab w:val="left" w:pos="6401"/>
        </w:tabs>
        <w:kinsoku w:val="0"/>
        <w:overflowPunct w:val="0"/>
        <w:spacing w:before="36"/>
        <w:ind w:left="2791" w:right="113"/>
        <w:rPr>
          <w:spacing w:val="-1"/>
          <w:sz w:val="24"/>
          <w:highlight w:val="none"/>
        </w:rPr>
      </w:pPr>
      <w:r>
        <w:rPr>
          <w:spacing w:val="-2"/>
          <w:sz w:val="24"/>
          <w:highlight w:val="none"/>
        </w:rPr>
        <w:t>法定代表人：</w:t>
      </w:r>
      <w:r>
        <w:rPr>
          <w:rFonts w:hint="eastAsia" w:ascii="Times New Roman" w:hAnsi="Times New Roman" w:eastAsia="Times New Roman"/>
          <w:spacing w:val="-2"/>
          <w:sz w:val="24"/>
          <w:highlight w:val="none"/>
          <w:u w:val="single"/>
        </w:rPr>
        <w:tab/>
      </w:r>
      <w:r>
        <w:rPr>
          <w:rFonts w:hAnsi="Times New Roman"/>
          <w:spacing w:val="-2"/>
          <w:sz w:val="24"/>
          <w:highlight w:val="none"/>
          <w:u w:val="single"/>
        </w:rPr>
        <w:t xml:space="preserve">    </w:t>
      </w:r>
      <w:r>
        <w:rPr>
          <w:spacing w:val="-1"/>
          <w:sz w:val="24"/>
          <w:highlight w:val="none"/>
        </w:rPr>
        <w:t>（签字）</w:t>
      </w:r>
    </w:p>
    <w:p w14:paraId="3514FE3A">
      <w:pPr>
        <w:pStyle w:val="12"/>
        <w:kinsoku w:val="0"/>
        <w:overflowPunct w:val="0"/>
        <w:ind w:left="0"/>
        <w:rPr>
          <w:sz w:val="24"/>
          <w:highlight w:val="none"/>
        </w:rPr>
      </w:pPr>
    </w:p>
    <w:p w14:paraId="11B02D56">
      <w:pPr>
        <w:pStyle w:val="12"/>
        <w:tabs>
          <w:tab w:val="left" w:pos="8549"/>
        </w:tabs>
        <w:kinsoku w:val="0"/>
        <w:overflowPunct w:val="0"/>
        <w:spacing w:before="36"/>
        <w:ind w:left="2793" w:right="113"/>
        <w:rPr>
          <w:rFonts w:ascii="Times New Roman" w:hAnsi="Times New Roman" w:eastAsia="Times New Roman"/>
          <w:sz w:val="24"/>
          <w:highlight w:val="none"/>
        </w:rPr>
      </w:pPr>
      <w:r>
        <w:rPr>
          <w:sz w:val="24"/>
          <w:highlight w:val="none"/>
        </w:rPr>
        <w:t>身份证号码：</w:t>
      </w:r>
      <w:r>
        <w:rPr>
          <w:rFonts w:hint="eastAsia" w:ascii="Times New Roman" w:hAnsi="Times New Roman" w:eastAsia="Times New Roman"/>
          <w:sz w:val="24"/>
          <w:highlight w:val="none"/>
          <w:u w:val="single"/>
        </w:rPr>
        <w:t xml:space="preserve"> </w:t>
      </w:r>
      <w:r>
        <w:rPr>
          <w:rFonts w:hAnsi="Times New Roman"/>
          <w:sz w:val="24"/>
          <w:highlight w:val="none"/>
          <w:u w:val="single"/>
        </w:rPr>
        <w:t xml:space="preserve">                        </w:t>
      </w:r>
      <w:r>
        <w:rPr>
          <w:rFonts w:hAnsi="Times New Roman"/>
          <w:sz w:val="24"/>
          <w:highlight w:val="none"/>
        </w:rPr>
        <w:t xml:space="preserve">               </w:t>
      </w:r>
    </w:p>
    <w:p w14:paraId="48A9B8E0">
      <w:pPr>
        <w:pStyle w:val="12"/>
        <w:kinsoku w:val="0"/>
        <w:overflowPunct w:val="0"/>
        <w:ind w:left="0"/>
        <w:rPr>
          <w:rFonts w:ascii="Times New Roman" w:hAnsi="Times New Roman" w:eastAsia="Times New Roman"/>
          <w:sz w:val="24"/>
          <w:highlight w:val="none"/>
        </w:rPr>
      </w:pPr>
    </w:p>
    <w:p w14:paraId="7BB40190">
      <w:pPr>
        <w:pStyle w:val="12"/>
        <w:tabs>
          <w:tab w:val="left" w:pos="7661"/>
        </w:tabs>
        <w:kinsoku w:val="0"/>
        <w:overflowPunct w:val="0"/>
        <w:spacing w:before="36"/>
        <w:ind w:left="2793" w:right="113"/>
        <w:rPr>
          <w:spacing w:val="-1"/>
          <w:sz w:val="24"/>
          <w:highlight w:val="none"/>
        </w:rPr>
      </w:pPr>
      <w:r>
        <w:rPr>
          <w:spacing w:val="-2"/>
          <w:sz w:val="24"/>
          <w:highlight w:val="none"/>
        </w:rPr>
        <w:t>委托代理人：</w:t>
      </w:r>
      <w:r>
        <w:rPr>
          <w:spacing w:val="-2"/>
          <w:sz w:val="24"/>
          <w:highlight w:val="none"/>
          <w:u w:val="single"/>
        </w:rPr>
        <w:t xml:space="preserve">                         </w:t>
      </w:r>
      <w:r>
        <w:rPr>
          <w:spacing w:val="-1"/>
          <w:sz w:val="24"/>
          <w:highlight w:val="none"/>
        </w:rPr>
        <w:t>（签字）</w:t>
      </w:r>
    </w:p>
    <w:p w14:paraId="335EB4B3">
      <w:pPr>
        <w:pStyle w:val="12"/>
        <w:kinsoku w:val="0"/>
        <w:overflowPunct w:val="0"/>
        <w:ind w:left="0"/>
        <w:rPr>
          <w:sz w:val="24"/>
          <w:highlight w:val="none"/>
        </w:rPr>
      </w:pPr>
    </w:p>
    <w:p w14:paraId="5477DE3A">
      <w:pPr>
        <w:pStyle w:val="12"/>
        <w:tabs>
          <w:tab w:val="left" w:pos="8549"/>
        </w:tabs>
        <w:kinsoku w:val="0"/>
        <w:overflowPunct w:val="0"/>
        <w:spacing w:before="36"/>
        <w:ind w:left="2793" w:right="113"/>
        <w:rPr>
          <w:rFonts w:ascii="Times New Roman" w:hAnsi="Times New Roman" w:eastAsia="Times New Roman"/>
          <w:sz w:val="24"/>
          <w:highlight w:val="none"/>
          <w:u w:val="single"/>
        </w:rPr>
      </w:pPr>
      <w:r>
        <w:rPr>
          <w:sz w:val="24"/>
          <w:highlight w:val="none"/>
        </w:rPr>
        <w:t>身份证号码：</w:t>
      </w:r>
      <w:r>
        <w:rPr>
          <w:rFonts w:hint="eastAsia" w:ascii="Times New Roman" w:hAnsi="Times New Roman" w:eastAsia="Times New Roman"/>
          <w:sz w:val="24"/>
          <w:highlight w:val="none"/>
          <w:u w:val="single"/>
        </w:rPr>
        <w:t xml:space="preserve"> </w:t>
      </w:r>
      <w:r>
        <w:rPr>
          <w:rFonts w:hAnsi="Times New Roman"/>
          <w:sz w:val="24"/>
          <w:highlight w:val="none"/>
          <w:u w:val="single"/>
        </w:rPr>
        <w:t xml:space="preserve">                        </w:t>
      </w:r>
      <w:r>
        <w:rPr>
          <w:rFonts w:hAnsi="Times New Roman"/>
          <w:sz w:val="24"/>
          <w:highlight w:val="none"/>
        </w:rPr>
        <w:t xml:space="preserve">               </w:t>
      </w:r>
    </w:p>
    <w:p w14:paraId="4EC22519">
      <w:pPr>
        <w:pStyle w:val="12"/>
        <w:kinsoku w:val="0"/>
        <w:overflowPunct w:val="0"/>
        <w:spacing w:before="9"/>
        <w:ind w:left="0"/>
        <w:rPr>
          <w:rFonts w:ascii="Times New Roman" w:hAnsi="Times New Roman" w:eastAsia="Times New Roman"/>
          <w:sz w:val="24"/>
          <w:highlight w:val="none"/>
        </w:rPr>
      </w:pPr>
    </w:p>
    <w:p w14:paraId="0C159D58">
      <w:pPr>
        <w:pStyle w:val="12"/>
        <w:tabs>
          <w:tab w:val="left" w:pos="736"/>
          <w:tab w:val="left" w:pos="1682"/>
          <w:tab w:val="left" w:pos="2626"/>
        </w:tabs>
        <w:kinsoku w:val="0"/>
        <w:overflowPunct w:val="0"/>
        <w:spacing w:before="36"/>
        <w:ind w:left="0" w:right="113"/>
        <w:jc w:val="both"/>
        <w:rPr>
          <w:sz w:val="24"/>
          <w:highlight w:val="none"/>
          <w:u w:val="singl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8BB8C18">
      <w:pPr>
        <w:pStyle w:val="12"/>
        <w:tabs>
          <w:tab w:val="left" w:pos="736"/>
          <w:tab w:val="left" w:pos="1682"/>
          <w:tab w:val="left" w:pos="2626"/>
        </w:tabs>
        <w:kinsoku w:val="0"/>
        <w:overflowPunct w:val="0"/>
        <w:spacing w:before="36"/>
        <w:ind w:left="0"/>
        <w:jc w:val="right"/>
        <w:rPr>
          <w:sz w:val="24"/>
          <w:highlight w:val="none"/>
        </w:rPr>
        <w:sectPr>
          <w:pgSz w:w="11905" w:h="16838"/>
          <w:pgMar w:top="1417" w:right="1417" w:bottom="1417" w:left="1417" w:header="992" w:footer="992" w:gutter="0"/>
          <w:cols w:space="720" w:num="1"/>
        </w:sectPr>
      </w:pPr>
    </w:p>
    <w:p w14:paraId="08FA36A1">
      <w:pPr>
        <w:pStyle w:val="5"/>
        <w:spacing w:before="120" w:after="120"/>
        <w:jc w:val="center"/>
        <w:rPr>
          <w:strike/>
          <w:sz w:val="28"/>
          <w:highlight w:val="none"/>
        </w:rPr>
      </w:pPr>
      <w:bookmarkStart w:id="221" w:name="bookmark181"/>
      <w:bookmarkEnd w:id="221"/>
      <w:bookmarkStart w:id="222" w:name="_Toc5401"/>
      <w:r>
        <w:rPr>
          <w:strike/>
          <w:sz w:val="28"/>
          <w:highlight w:val="none"/>
        </w:rPr>
        <w:t>三、联合体协议书</w:t>
      </w:r>
      <w:bookmarkEnd w:id="222"/>
    </w:p>
    <w:p w14:paraId="75BB0EDB">
      <w:pPr>
        <w:pStyle w:val="12"/>
        <w:tabs>
          <w:tab w:val="left" w:pos="2202"/>
          <w:tab w:val="left" w:pos="6000"/>
        </w:tabs>
        <w:kinsoku w:val="0"/>
        <w:overflowPunct w:val="0"/>
        <w:spacing w:line="360" w:lineRule="auto"/>
        <w:ind w:left="0" w:firstLine="420" w:firstLineChars="200"/>
        <w:rPr>
          <w:strike/>
          <w:spacing w:val="-1"/>
          <w:highlight w:val="none"/>
        </w:rPr>
      </w:pPr>
      <w:r>
        <w:rPr>
          <w:rFonts w:ascii="Times New Roman" w:hAnsi="Times New Roman" w:eastAsia="Times New Roman"/>
          <w:strike/>
          <w:highlight w:val="none"/>
          <w:u w:val="single"/>
        </w:rPr>
        <w:t xml:space="preserve"> </w:t>
      </w:r>
      <w:r>
        <w:rPr>
          <w:rFonts w:ascii="Times New Roman" w:hAnsi="Times New Roman" w:eastAsia="Times New Roman"/>
          <w:strike/>
          <w:highlight w:val="none"/>
          <w:u w:val="single"/>
        </w:rPr>
        <w:tab/>
      </w:r>
      <w:r>
        <w:rPr>
          <w:strike/>
          <w:spacing w:val="-1"/>
          <w:highlight w:val="none"/>
        </w:rPr>
        <w:t>（所有成员单位名称）自愿组成</w:t>
      </w:r>
      <w:r>
        <w:rPr>
          <w:rFonts w:ascii="Times New Roman" w:hAnsi="Times New Roman" w:eastAsia="Times New Roman"/>
          <w:strike/>
          <w:spacing w:val="-1"/>
          <w:highlight w:val="none"/>
          <w:u w:val="single"/>
        </w:rPr>
        <w:tab/>
      </w:r>
      <w:r>
        <w:rPr>
          <w:strike/>
          <w:highlight w:val="none"/>
        </w:rPr>
        <w:t>（联合体名称）联合体，共同</w:t>
      </w:r>
      <w:r>
        <w:rPr>
          <w:strike/>
          <w:spacing w:val="-1"/>
          <w:highlight w:val="none"/>
        </w:rPr>
        <w:t>参加</w:t>
      </w:r>
      <w:r>
        <w:rPr>
          <w:rFonts w:ascii="Times New Roman" w:hAnsi="Times New Roman" w:eastAsia="Times New Roman"/>
          <w:strike/>
          <w:spacing w:val="-1"/>
          <w:highlight w:val="none"/>
          <w:u w:val="single"/>
        </w:rPr>
        <w:tab/>
      </w:r>
      <w:r>
        <w:rPr>
          <w:strike/>
          <w:spacing w:val="-1"/>
          <w:highlight w:val="none"/>
        </w:rPr>
        <w:t>（项目名称）监理招标项目投标。现就联合体投标事宜订立如下协议。</w:t>
      </w:r>
    </w:p>
    <w:p w14:paraId="068074A8">
      <w:pPr>
        <w:pStyle w:val="12"/>
        <w:tabs>
          <w:tab w:val="left" w:pos="2673"/>
          <w:tab w:val="left" w:pos="5614"/>
        </w:tabs>
        <w:kinsoku w:val="0"/>
        <w:overflowPunct w:val="0"/>
        <w:spacing w:before="36" w:line="360" w:lineRule="auto"/>
        <w:rPr>
          <w:strike/>
          <w:spacing w:val="-2"/>
          <w:highlight w:val="none"/>
        </w:rPr>
      </w:pPr>
      <w:r>
        <w:rPr>
          <w:rFonts w:ascii="Times New Roman" w:hAnsi="Times New Roman" w:eastAsia="Times New Roman"/>
          <w:strike/>
          <w:highlight w:val="none"/>
        </w:rPr>
        <w:t>1.</w:t>
      </w:r>
      <w:r>
        <w:rPr>
          <w:rFonts w:ascii="Times New Roman" w:hAnsi="Times New Roman" w:eastAsia="Times New Roman"/>
          <w:strike/>
          <w:highlight w:val="none"/>
          <w:u w:val="single"/>
        </w:rPr>
        <w:tab/>
      </w:r>
      <w:r>
        <w:rPr>
          <w:strike/>
          <w:spacing w:val="-2"/>
          <w:highlight w:val="none"/>
        </w:rPr>
        <w:t>（某成员单位名称）为</w:t>
      </w:r>
      <w:r>
        <w:rPr>
          <w:rFonts w:ascii="Times New Roman" w:hAnsi="Times New Roman" w:eastAsia="Times New Roman"/>
          <w:strike/>
          <w:spacing w:val="-2"/>
          <w:highlight w:val="none"/>
          <w:u w:val="single"/>
        </w:rPr>
        <w:tab/>
      </w:r>
      <w:r>
        <w:rPr>
          <w:strike/>
          <w:spacing w:val="-2"/>
          <w:highlight w:val="none"/>
        </w:rPr>
        <w:t>（联合体名称）主办方。</w:t>
      </w:r>
    </w:p>
    <w:p w14:paraId="305020B2">
      <w:pPr>
        <w:pStyle w:val="12"/>
        <w:kinsoku w:val="0"/>
        <w:overflowPunct w:val="0"/>
        <w:spacing w:before="148" w:line="360" w:lineRule="auto"/>
        <w:ind w:left="100" w:firstLine="419"/>
        <w:rPr>
          <w:strike/>
          <w:highlight w:val="none"/>
        </w:rPr>
      </w:pPr>
      <w:r>
        <w:rPr>
          <w:rFonts w:ascii="Times New Roman" w:hAnsi="Times New Roman" w:eastAsia="Times New Roman"/>
          <w:strike/>
          <w:highlight w:val="none"/>
        </w:rPr>
        <w:t>2.</w:t>
      </w:r>
      <w:r>
        <w:rPr>
          <w:rFonts w:ascii="Times New Roman" w:hAnsi="Times New Roman" w:eastAsia="Times New Roman"/>
          <w:strike/>
          <w:spacing w:val="50"/>
          <w:highlight w:val="none"/>
        </w:rPr>
        <w:t xml:space="preserve"> </w:t>
      </w:r>
      <w:r>
        <w:rPr>
          <w:strike/>
          <w:spacing w:val="-5"/>
          <w:highlight w:val="none"/>
        </w:rPr>
        <w:t>联合体各成员授权</w:t>
      </w:r>
      <w:r>
        <w:rPr>
          <w:strike/>
          <w:spacing w:val="-2"/>
          <w:highlight w:val="none"/>
        </w:rPr>
        <w:t>主办方</w:t>
      </w:r>
      <w:r>
        <w:rPr>
          <w:strike/>
          <w:spacing w:val="-5"/>
          <w:highlight w:val="none"/>
        </w:rPr>
        <w:t>代表联合体参加投标活动，签署文件，提交和接收相关的资料、</w:t>
      </w:r>
      <w:r>
        <w:rPr>
          <w:strike/>
          <w:highlight w:val="none"/>
        </w:rPr>
        <w:t xml:space="preserve"> 信息及指示，进行合同谈判活动，负责合同实施阶段的组织和协调工作，以及处理与本招标项</w:t>
      </w:r>
      <w:r>
        <w:rPr>
          <w:strike/>
          <w:spacing w:val="-78"/>
          <w:highlight w:val="none"/>
        </w:rPr>
        <w:t xml:space="preserve"> </w:t>
      </w:r>
      <w:r>
        <w:rPr>
          <w:strike/>
          <w:highlight w:val="none"/>
        </w:rPr>
        <w:t>目有关的一切事宜。</w:t>
      </w:r>
    </w:p>
    <w:p w14:paraId="75DB04AD">
      <w:pPr>
        <w:pStyle w:val="12"/>
        <w:kinsoku w:val="0"/>
        <w:overflowPunct w:val="0"/>
        <w:spacing w:before="46" w:line="360" w:lineRule="auto"/>
        <w:ind w:left="100" w:firstLine="419"/>
        <w:rPr>
          <w:strike/>
          <w:highlight w:val="none"/>
        </w:rPr>
      </w:pPr>
      <w:r>
        <w:rPr>
          <w:rFonts w:ascii="Times New Roman" w:hAnsi="Times New Roman" w:eastAsia="Times New Roman"/>
          <w:strike/>
          <w:highlight w:val="none"/>
        </w:rPr>
        <w:t>3.</w:t>
      </w:r>
      <w:r>
        <w:rPr>
          <w:rFonts w:ascii="Times New Roman" w:hAnsi="Times New Roman" w:eastAsia="Times New Roman"/>
          <w:strike/>
          <w:spacing w:val="20"/>
          <w:highlight w:val="none"/>
        </w:rPr>
        <w:t xml:space="preserve"> </w:t>
      </w:r>
      <w:r>
        <w:rPr>
          <w:strike/>
          <w:spacing w:val="-3"/>
          <w:highlight w:val="none"/>
        </w:rPr>
        <w:t>联合体</w:t>
      </w:r>
      <w:r>
        <w:rPr>
          <w:strike/>
          <w:spacing w:val="-2"/>
          <w:highlight w:val="none"/>
        </w:rPr>
        <w:t>主办方</w:t>
      </w:r>
      <w:r>
        <w:rPr>
          <w:strike/>
          <w:spacing w:val="-3"/>
          <w:highlight w:val="none"/>
        </w:rPr>
        <w:t>在本项目中签署的一切文件和处理的一切事宜，联合体各成员均予以承认。</w:t>
      </w:r>
      <w:r>
        <w:rPr>
          <w:strike/>
          <w:highlight w:val="none"/>
        </w:rPr>
        <w:t xml:space="preserve"> 联合体各成员将严格按照招标文件、投标文件和合同的要求全面履行义务，并向招标人承担连</w:t>
      </w:r>
      <w:r>
        <w:rPr>
          <w:strike/>
          <w:spacing w:val="-77"/>
          <w:highlight w:val="none"/>
        </w:rPr>
        <w:t xml:space="preserve"> </w:t>
      </w:r>
      <w:r>
        <w:rPr>
          <w:strike/>
          <w:highlight w:val="none"/>
        </w:rPr>
        <w:t>带责任。</w:t>
      </w:r>
    </w:p>
    <w:p w14:paraId="576AA274">
      <w:pPr>
        <w:pStyle w:val="12"/>
        <w:tabs>
          <w:tab w:val="left" w:pos="8741"/>
        </w:tabs>
        <w:kinsoku w:val="0"/>
        <w:overflowPunct w:val="0"/>
        <w:spacing w:before="46" w:line="360" w:lineRule="auto"/>
        <w:outlineLvl w:val="2"/>
        <w:rPr>
          <w:strike/>
          <w:highlight w:val="none"/>
        </w:rPr>
      </w:pPr>
      <w:bookmarkStart w:id="223" w:name="_Toc31387"/>
      <w:bookmarkStart w:id="224" w:name="_Toc29760"/>
      <w:r>
        <w:rPr>
          <w:rFonts w:ascii="Times New Roman" w:hAnsi="Times New Roman" w:eastAsia="Times New Roman"/>
          <w:strike/>
          <w:highlight w:val="none"/>
        </w:rPr>
        <w:t xml:space="preserve">4. </w:t>
      </w:r>
      <w:r>
        <w:rPr>
          <w:rFonts w:ascii="Times New Roman" w:hAnsi="Times New Roman" w:eastAsia="Times New Roman"/>
          <w:strike/>
          <w:spacing w:val="24"/>
          <w:highlight w:val="none"/>
        </w:rPr>
        <w:t xml:space="preserve"> </w:t>
      </w:r>
      <w:r>
        <w:rPr>
          <w:strike/>
          <w:spacing w:val="-3"/>
          <w:highlight w:val="none"/>
        </w:rPr>
        <w:t>联合体各成员单位内部的职责分工如下：</w:t>
      </w:r>
      <w:r>
        <w:rPr>
          <w:rFonts w:ascii="Times New Roman" w:hAnsi="Times New Roman" w:eastAsia="Times New Roman"/>
          <w:strike/>
          <w:spacing w:val="-3"/>
          <w:highlight w:val="none"/>
          <w:u w:val="single"/>
        </w:rPr>
        <w:tab/>
      </w:r>
      <w:r>
        <w:rPr>
          <w:strike/>
          <w:highlight w:val="none"/>
        </w:rPr>
        <w:t>。</w:t>
      </w:r>
      <w:bookmarkEnd w:id="223"/>
      <w:bookmarkEnd w:id="224"/>
    </w:p>
    <w:p w14:paraId="2C0FB56D">
      <w:pPr>
        <w:pStyle w:val="12"/>
        <w:kinsoku w:val="0"/>
        <w:overflowPunct w:val="0"/>
        <w:spacing w:before="151" w:line="360" w:lineRule="auto"/>
        <w:ind w:left="100" w:firstLine="419"/>
        <w:rPr>
          <w:strike/>
          <w:highlight w:val="none"/>
        </w:rPr>
      </w:pPr>
      <w:r>
        <w:rPr>
          <w:rFonts w:ascii="Times New Roman" w:hAnsi="Times New Roman" w:eastAsia="Times New Roman"/>
          <w:strike/>
          <w:highlight w:val="none"/>
        </w:rPr>
        <w:t>5.</w:t>
      </w:r>
      <w:r>
        <w:rPr>
          <w:rFonts w:ascii="Times New Roman" w:hAnsi="Times New Roman" w:eastAsia="Times New Roman"/>
          <w:strike/>
          <w:spacing w:val="27"/>
          <w:highlight w:val="none"/>
        </w:rPr>
        <w:t xml:space="preserve"> </w:t>
      </w:r>
      <w:r>
        <w:rPr>
          <w:strike/>
          <w:highlight w:val="none"/>
        </w:rPr>
        <w:t>本协议书自所有成员单位法定代表人或其委托代理人签字或盖单位章之日起生效，合同 履行完毕后自动失效。</w:t>
      </w:r>
    </w:p>
    <w:p w14:paraId="0ACCACCF">
      <w:pPr>
        <w:pStyle w:val="12"/>
        <w:tabs>
          <w:tab w:val="left" w:pos="2464"/>
        </w:tabs>
        <w:kinsoku w:val="0"/>
        <w:overflowPunct w:val="0"/>
        <w:spacing w:before="57" w:line="360" w:lineRule="auto"/>
        <w:rPr>
          <w:strike/>
          <w:highlight w:val="none"/>
        </w:rPr>
      </w:pPr>
      <w:r>
        <w:rPr>
          <w:rFonts w:ascii="Times New Roman" w:hAnsi="Times New Roman" w:eastAsia="Times New Roman"/>
          <w:strike/>
          <w:highlight w:val="none"/>
        </w:rPr>
        <w:t>6.</w:t>
      </w:r>
      <w:r>
        <w:rPr>
          <w:rFonts w:ascii="Times New Roman" w:hAnsi="Times New Roman" w:eastAsia="Times New Roman"/>
          <w:strike/>
          <w:spacing w:val="50"/>
          <w:highlight w:val="none"/>
        </w:rPr>
        <w:t xml:space="preserve"> </w:t>
      </w:r>
      <w:r>
        <w:rPr>
          <w:strike/>
          <w:highlight w:val="none"/>
        </w:rPr>
        <w:t>本协议书一式</w:t>
      </w:r>
      <w:r>
        <w:rPr>
          <w:rFonts w:ascii="Times New Roman" w:hAnsi="Times New Roman" w:eastAsia="Times New Roman"/>
          <w:strike/>
          <w:highlight w:val="none"/>
          <w:u w:val="single"/>
        </w:rPr>
        <w:tab/>
      </w:r>
      <w:r>
        <w:rPr>
          <w:rFonts w:hAnsi="Times New Roman"/>
          <w:strike/>
          <w:highlight w:val="none"/>
          <w:u w:val="single"/>
        </w:rPr>
        <w:t xml:space="preserve">     </w:t>
      </w:r>
      <w:r>
        <w:rPr>
          <w:strike/>
          <w:highlight w:val="none"/>
        </w:rPr>
        <w:t>份，联合体成员和招标人各执一份。</w:t>
      </w:r>
    </w:p>
    <w:p w14:paraId="516390C4">
      <w:pPr>
        <w:pStyle w:val="12"/>
        <w:kinsoku w:val="0"/>
        <w:overflowPunct w:val="0"/>
        <w:spacing w:before="36" w:line="360" w:lineRule="auto"/>
        <w:ind w:left="100" w:firstLine="419"/>
        <w:rPr>
          <w:strike/>
          <w:highlight w:val="none"/>
        </w:rPr>
      </w:pPr>
      <w:r>
        <w:rPr>
          <w:strike/>
          <w:spacing w:val="-1"/>
          <w:highlight w:val="none"/>
        </w:rPr>
        <w:t>注：本协议书由法定代表人签字的，应附法定代表人身份证明；由委托代理人签字的，应附法定代表人身份证明和</w:t>
      </w:r>
      <w:r>
        <w:rPr>
          <w:strike/>
          <w:highlight w:val="none"/>
        </w:rPr>
        <w:t>授权委托书。</w:t>
      </w:r>
    </w:p>
    <w:p w14:paraId="35E0EE8A">
      <w:pPr>
        <w:pStyle w:val="12"/>
        <w:kinsoku w:val="0"/>
        <w:overflowPunct w:val="0"/>
        <w:spacing w:before="36" w:line="360" w:lineRule="auto"/>
        <w:ind w:left="100" w:firstLine="419"/>
        <w:rPr>
          <w:strike/>
          <w:highlight w:val="none"/>
        </w:rPr>
      </w:pPr>
    </w:p>
    <w:p w14:paraId="141507A9">
      <w:pPr>
        <w:pStyle w:val="12"/>
        <w:tabs>
          <w:tab w:val="left" w:pos="7241"/>
        </w:tabs>
        <w:kinsoku w:val="0"/>
        <w:overflowPunct w:val="0"/>
        <w:spacing w:line="360" w:lineRule="auto"/>
        <w:ind w:left="2510"/>
        <w:rPr>
          <w:strike/>
          <w:highlight w:val="none"/>
        </w:rPr>
      </w:pPr>
      <w:r>
        <w:rPr>
          <w:strike/>
          <w:spacing w:val="-2"/>
          <w:highlight w:val="none"/>
        </w:rPr>
        <w:t>联合体主办方名称：</w:t>
      </w:r>
      <w:r>
        <w:rPr>
          <w:rFonts w:ascii="Times New Roman" w:hAnsi="Times New Roman" w:eastAsia="Times New Roman"/>
          <w:strike/>
          <w:spacing w:val="-2"/>
          <w:highlight w:val="none"/>
          <w:u w:val="single"/>
        </w:rPr>
        <w:tab/>
      </w:r>
      <w:r>
        <w:rPr>
          <w:strike/>
          <w:spacing w:val="-1"/>
          <w:highlight w:val="none"/>
        </w:rPr>
        <w:t>（盖单位章）</w:t>
      </w:r>
    </w:p>
    <w:p w14:paraId="0B815FDA">
      <w:pPr>
        <w:pStyle w:val="12"/>
        <w:tabs>
          <w:tab w:val="left" w:pos="6401"/>
        </w:tabs>
        <w:kinsoku w:val="0"/>
        <w:overflowPunct w:val="0"/>
        <w:spacing w:before="36" w:line="360" w:lineRule="auto"/>
        <w:ind w:left="2510"/>
        <w:rPr>
          <w:strike/>
          <w:highlight w:val="none"/>
        </w:rPr>
      </w:pPr>
      <w:r>
        <w:rPr>
          <w:strike/>
          <w:spacing w:val="-2"/>
          <w:highlight w:val="none"/>
        </w:rPr>
        <w:t>法定代表人或其委托代理人：</w:t>
      </w:r>
      <w:r>
        <w:rPr>
          <w:rFonts w:ascii="Times New Roman" w:hAnsi="Times New Roman" w:eastAsia="Times New Roman"/>
          <w:strike/>
          <w:spacing w:val="-2"/>
          <w:highlight w:val="none"/>
          <w:u w:val="single"/>
        </w:rPr>
        <w:tab/>
      </w:r>
      <w:r>
        <w:rPr>
          <w:rFonts w:hAnsi="Times New Roman"/>
          <w:strike/>
          <w:spacing w:val="-2"/>
          <w:highlight w:val="none"/>
          <w:u w:val="single"/>
        </w:rPr>
        <w:t xml:space="preserve">       </w:t>
      </w:r>
      <w:r>
        <w:rPr>
          <w:strike/>
          <w:spacing w:val="-1"/>
          <w:highlight w:val="none"/>
        </w:rPr>
        <w:t>（签字）</w:t>
      </w:r>
    </w:p>
    <w:p w14:paraId="0B5068C3">
      <w:pPr>
        <w:pStyle w:val="12"/>
        <w:tabs>
          <w:tab w:val="left" w:pos="7241"/>
        </w:tabs>
        <w:kinsoku w:val="0"/>
        <w:overflowPunct w:val="0"/>
        <w:spacing w:before="36" w:line="360" w:lineRule="auto"/>
        <w:ind w:left="2510"/>
        <w:rPr>
          <w:strike/>
          <w:highlight w:val="none"/>
        </w:rPr>
      </w:pPr>
      <w:r>
        <w:rPr>
          <w:strike/>
          <w:spacing w:val="-2"/>
          <w:highlight w:val="none"/>
        </w:rPr>
        <w:t>联合体成员名称：</w:t>
      </w:r>
      <w:r>
        <w:rPr>
          <w:rFonts w:ascii="Times New Roman" w:hAnsi="Times New Roman" w:eastAsia="Times New Roman"/>
          <w:strike/>
          <w:spacing w:val="-2"/>
          <w:highlight w:val="none"/>
          <w:u w:val="single"/>
        </w:rPr>
        <w:tab/>
      </w:r>
      <w:r>
        <w:rPr>
          <w:strike/>
          <w:spacing w:val="-1"/>
          <w:highlight w:val="none"/>
        </w:rPr>
        <w:t>（盖单位章）</w:t>
      </w:r>
    </w:p>
    <w:p w14:paraId="119C0067">
      <w:pPr>
        <w:pStyle w:val="12"/>
        <w:tabs>
          <w:tab w:val="left" w:pos="6187"/>
        </w:tabs>
        <w:kinsoku w:val="0"/>
        <w:overflowPunct w:val="0"/>
        <w:spacing w:before="36" w:line="360" w:lineRule="auto"/>
        <w:ind w:left="2510"/>
        <w:rPr>
          <w:strike/>
          <w:highlight w:val="none"/>
        </w:rPr>
      </w:pPr>
      <w:r>
        <w:rPr>
          <w:strike/>
          <w:spacing w:val="-2"/>
          <w:highlight w:val="none"/>
        </w:rPr>
        <w:t>法定代表人或其委托代理人：</w:t>
      </w:r>
      <w:r>
        <w:rPr>
          <w:rFonts w:ascii="Times New Roman" w:hAnsi="Times New Roman" w:eastAsia="Times New Roman"/>
          <w:strike/>
          <w:spacing w:val="-2"/>
          <w:highlight w:val="none"/>
          <w:u w:val="single"/>
        </w:rPr>
        <w:tab/>
      </w:r>
      <w:r>
        <w:rPr>
          <w:rFonts w:hAnsi="Times New Roman"/>
          <w:strike/>
          <w:spacing w:val="-2"/>
          <w:highlight w:val="none"/>
          <w:u w:val="single"/>
        </w:rPr>
        <w:t xml:space="preserve">         </w:t>
      </w:r>
      <w:r>
        <w:rPr>
          <w:strike/>
          <w:spacing w:val="-1"/>
          <w:highlight w:val="none"/>
        </w:rPr>
        <w:t>（签字）</w:t>
      </w:r>
    </w:p>
    <w:p w14:paraId="72A3FC68">
      <w:pPr>
        <w:pStyle w:val="12"/>
        <w:tabs>
          <w:tab w:val="left" w:pos="7241"/>
        </w:tabs>
        <w:kinsoku w:val="0"/>
        <w:overflowPunct w:val="0"/>
        <w:spacing w:before="36" w:line="360" w:lineRule="auto"/>
        <w:ind w:left="2510"/>
        <w:rPr>
          <w:strike/>
          <w:highlight w:val="none"/>
        </w:rPr>
      </w:pPr>
      <w:r>
        <w:rPr>
          <w:strike/>
          <w:spacing w:val="-2"/>
          <w:highlight w:val="none"/>
        </w:rPr>
        <w:t>联合体成员名称：</w:t>
      </w:r>
      <w:r>
        <w:rPr>
          <w:rFonts w:ascii="Times New Roman" w:hAnsi="Times New Roman" w:eastAsia="Times New Roman"/>
          <w:strike/>
          <w:spacing w:val="-2"/>
          <w:highlight w:val="none"/>
          <w:u w:val="single"/>
        </w:rPr>
        <w:tab/>
      </w:r>
      <w:r>
        <w:rPr>
          <w:strike/>
          <w:spacing w:val="-1"/>
          <w:highlight w:val="none"/>
        </w:rPr>
        <w:t>（盖单位章）</w:t>
      </w:r>
    </w:p>
    <w:p w14:paraId="227FD644">
      <w:pPr>
        <w:pStyle w:val="12"/>
        <w:tabs>
          <w:tab w:val="left" w:pos="6187"/>
        </w:tabs>
        <w:kinsoku w:val="0"/>
        <w:overflowPunct w:val="0"/>
        <w:spacing w:before="36" w:line="360" w:lineRule="auto"/>
        <w:ind w:left="2510"/>
        <w:rPr>
          <w:strike/>
          <w:spacing w:val="-1"/>
          <w:highlight w:val="none"/>
        </w:rPr>
      </w:pPr>
      <w:r>
        <w:rPr>
          <w:strike/>
          <w:spacing w:val="-2"/>
          <w:highlight w:val="none"/>
        </w:rPr>
        <w:t>法定代表人或其委托代理人：</w:t>
      </w:r>
      <w:r>
        <w:rPr>
          <w:rFonts w:ascii="Times New Roman" w:hAnsi="Times New Roman" w:eastAsia="Times New Roman"/>
          <w:strike/>
          <w:spacing w:val="-2"/>
          <w:highlight w:val="none"/>
          <w:u w:val="single"/>
        </w:rPr>
        <w:tab/>
      </w:r>
      <w:r>
        <w:rPr>
          <w:rFonts w:hAnsi="Times New Roman"/>
          <w:strike/>
          <w:spacing w:val="-2"/>
          <w:highlight w:val="none"/>
          <w:u w:val="single"/>
        </w:rPr>
        <w:t xml:space="preserve">         </w:t>
      </w:r>
      <w:r>
        <w:rPr>
          <w:strike/>
          <w:spacing w:val="-1"/>
          <w:highlight w:val="none"/>
        </w:rPr>
        <w:t>（签字）</w:t>
      </w:r>
    </w:p>
    <w:p w14:paraId="3A21A7ED">
      <w:pPr>
        <w:pStyle w:val="12"/>
        <w:kinsoku w:val="0"/>
        <w:overflowPunct w:val="0"/>
        <w:spacing w:before="12"/>
        <w:ind w:left="0"/>
        <w:rPr>
          <w:strike/>
          <w:highlight w:val="none"/>
        </w:rPr>
      </w:pPr>
    </w:p>
    <w:p w14:paraId="26BC7DCE">
      <w:pPr>
        <w:pStyle w:val="12"/>
        <w:tabs>
          <w:tab w:val="left" w:pos="4538"/>
          <w:tab w:val="left" w:pos="5484"/>
          <w:tab w:val="left" w:pos="6427"/>
        </w:tabs>
        <w:kinsoku w:val="0"/>
        <w:overflowPunct w:val="0"/>
        <w:spacing w:before="36"/>
        <w:ind w:left="3801"/>
        <w:rPr>
          <w:strike/>
          <w:highlight w:val="none"/>
        </w:rPr>
      </w:pPr>
      <w:r>
        <w:rPr>
          <w:rFonts w:ascii="Times New Roman" w:hAnsi="Times New Roman" w:eastAsia="Times New Roman"/>
          <w:strike/>
          <w:highlight w:val="none"/>
          <w:u w:val="single"/>
        </w:rPr>
        <w:t xml:space="preserve"> </w:t>
      </w:r>
      <w:r>
        <w:rPr>
          <w:rFonts w:ascii="Times New Roman" w:hAnsi="Times New Roman" w:eastAsia="Times New Roman"/>
          <w:strike/>
          <w:highlight w:val="none"/>
          <w:u w:val="single"/>
        </w:rPr>
        <w:tab/>
      </w:r>
      <w:r>
        <w:rPr>
          <w:strike/>
          <w:highlight w:val="none"/>
        </w:rPr>
        <w:t>年</w:t>
      </w:r>
      <w:r>
        <w:rPr>
          <w:rFonts w:ascii="Times New Roman" w:hAnsi="Times New Roman" w:eastAsia="Times New Roman"/>
          <w:strike/>
          <w:highlight w:val="none"/>
          <w:u w:val="single"/>
        </w:rPr>
        <w:tab/>
      </w:r>
      <w:r>
        <w:rPr>
          <w:strike/>
          <w:spacing w:val="-3"/>
          <w:highlight w:val="none"/>
        </w:rPr>
        <w:t>月</w:t>
      </w:r>
      <w:r>
        <w:rPr>
          <w:rFonts w:ascii="Times New Roman" w:hAnsi="Times New Roman" w:eastAsia="Times New Roman"/>
          <w:strike/>
          <w:spacing w:val="-3"/>
          <w:highlight w:val="none"/>
          <w:u w:val="single"/>
        </w:rPr>
        <w:tab/>
      </w:r>
      <w:r>
        <w:rPr>
          <w:strike/>
          <w:highlight w:val="none"/>
        </w:rPr>
        <w:t>日</w:t>
      </w:r>
    </w:p>
    <w:p w14:paraId="7A16B861">
      <w:pPr>
        <w:pStyle w:val="12"/>
        <w:tabs>
          <w:tab w:val="left" w:pos="4538"/>
          <w:tab w:val="left" w:pos="5484"/>
          <w:tab w:val="left" w:pos="6427"/>
        </w:tabs>
        <w:kinsoku w:val="0"/>
        <w:overflowPunct w:val="0"/>
        <w:spacing w:before="36"/>
        <w:ind w:left="3801"/>
        <w:rPr>
          <w:highlight w:val="none"/>
        </w:rPr>
        <w:sectPr>
          <w:pgSz w:w="11905" w:h="16838"/>
          <w:pgMar w:top="1417" w:right="1417" w:bottom="1417" w:left="1417" w:header="992" w:footer="992" w:gutter="0"/>
          <w:cols w:space="720" w:num="1"/>
        </w:sectPr>
      </w:pPr>
    </w:p>
    <w:p w14:paraId="1B30B599">
      <w:pPr>
        <w:pStyle w:val="5"/>
        <w:spacing w:before="120" w:after="120"/>
        <w:jc w:val="center"/>
        <w:rPr>
          <w:strike/>
          <w:sz w:val="28"/>
          <w:highlight w:val="none"/>
        </w:rPr>
      </w:pPr>
      <w:bookmarkStart w:id="225" w:name="bookmark182"/>
      <w:bookmarkEnd w:id="225"/>
      <w:bookmarkStart w:id="226" w:name="_Toc9753"/>
      <w:r>
        <w:rPr>
          <w:strike/>
          <w:sz w:val="28"/>
          <w:highlight w:val="none"/>
        </w:rPr>
        <w:t>四、投标保证金</w:t>
      </w:r>
      <w:bookmarkEnd w:id="226"/>
    </w:p>
    <w:p w14:paraId="0445D0AB">
      <w:pPr>
        <w:pStyle w:val="12"/>
        <w:kinsoku w:val="0"/>
        <w:overflowPunct w:val="0"/>
        <w:spacing w:before="15" w:line="360" w:lineRule="auto"/>
        <w:ind w:left="0"/>
        <w:rPr>
          <w:rFonts w:cs="宋体"/>
          <w:b/>
          <w:szCs w:val="21"/>
          <w:highlight w:val="none"/>
        </w:rPr>
      </w:pPr>
    </w:p>
    <w:p w14:paraId="0BEF96B7">
      <w:pPr>
        <w:pStyle w:val="5"/>
        <w:spacing w:before="120" w:after="120"/>
        <w:jc w:val="center"/>
        <w:rPr>
          <w:highlight w:val="none"/>
        </w:rPr>
        <w:sectPr>
          <w:pgSz w:w="11905" w:h="16838"/>
          <w:pgMar w:top="1417" w:right="1417" w:bottom="1417" w:left="1417" w:header="992" w:footer="992" w:gutter="0"/>
          <w:cols w:space="720" w:num="1"/>
        </w:sectPr>
      </w:pPr>
      <w:bookmarkStart w:id="227" w:name="bookmark183"/>
      <w:bookmarkEnd w:id="227"/>
    </w:p>
    <w:p w14:paraId="24E8DE04">
      <w:pPr>
        <w:pStyle w:val="5"/>
        <w:spacing w:before="120" w:after="120"/>
        <w:jc w:val="center"/>
        <w:rPr>
          <w:sz w:val="28"/>
          <w:highlight w:val="none"/>
        </w:rPr>
      </w:pPr>
      <w:bookmarkStart w:id="228" w:name="_Toc10111"/>
      <w:r>
        <w:rPr>
          <w:sz w:val="28"/>
          <w:highlight w:val="none"/>
        </w:rPr>
        <w:t>五、监理报酬清单</w:t>
      </w:r>
      <w:bookmarkEnd w:id="228"/>
      <w:r>
        <w:rPr>
          <w:rFonts w:hint="eastAsia"/>
          <w:sz w:val="28"/>
          <w:highlight w:val="none"/>
        </w:rPr>
        <w:t>（格式仅供参考）</w:t>
      </w:r>
    </w:p>
    <w:p w14:paraId="63BC5D21">
      <w:pPr>
        <w:pStyle w:val="12"/>
        <w:kinsoku w:val="0"/>
        <w:overflowPunct w:val="0"/>
        <w:ind w:left="0"/>
        <w:rPr>
          <w:sz w:val="20"/>
          <w:highlight w:val="none"/>
        </w:rPr>
      </w:pPr>
    </w:p>
    <w:p w14:paraId="7F9D353E">
      <w:pPr>
        <w:spacing w:line="440" w:lineRule="exact"/>
        <w:rPr>
          <w:rFonts w:ascii="宋体" w:hAnsi="宋体" w:cs="宋体"/>
          <w:sz w:val="21"/>
          <w:szCs w:val="21"/>
          <w:highlight w:val="none"/>
        </w:rPr>
      </w:pPr>
      <w:r>
        <w:rPr>
          <w:rFonts w:ascii="宋体" w:hAnsi="宋体" w:cs="宋体"/>
          <w:sz w:val="21"/>
          <w:szCs w:val="21"/>
          <w:highlight w:val="none"/>
        </w:rPr>
        <w:t>项目名称：</w:t>
      </w:r>
      <w:r>
        <w:rPr>
          <w:rFonts w:ascii="宋体" w:hAnsi="宋体" w:cs="宋体"/>
          <w:sz w:val="21"/>
          <w:szCs w:val="21"/>
          <w:highlight w:val="none"/>
          <w:u w:val="single"/>
        </w:rPr>
        <w:t xml:space="preserve">                 </w:t>
      </w:r>
      <w:r>
        <w:rPr>
          <w:rFonts w:ascii="宋体" w:hAnsi="宋体" w:cs="宋体"/>
          <w:sz w:val="21"/>
          <w:szCs w:val="21"/>
          <w:highlight w:val="none"/>
        </w:rPr>
        <w:t xml:space="preserve"> </w:t>
      </w:r>
    </w:p>
    <w:tbl>
      <w:tblPr>
        <w:tblStyle w:val="24"/>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63A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6A51EE2D">
            <w:pPr>
              <w:jc w:val="center"/>
              <w:rPr>
                <w:rFonts w:ascii="宋体" w:hAnsi="宋体" w:cs="宋体"/>
                <w:b/>
                <w:sz w:val="21"/>
                <w:szCs w:val="21"/>
                <w:highlight w:val="none"/>
              </w:rPr>
            </w:pPr>
            <w:r>
              <w:rPr>
                <w:rFonts w:ascii="宋体" w:hAnsi="宋体" w:cs="宋体"/>
                <w:b/>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4C14941F">
            <w:pPr>
              <w:jc w:val="center"/>
              <w:rPr>
                <w:rFonts w:ascii="宋体" w:hAnsi="宋体" w:cs="宋体"/>
                <w:sz w:val="21"/>
                <w:szCs w:val="21"/>
                <w:highlight w:val="none"/>
              </w:rPr>
            </w:pPr>
            <w:r>
              <w:rPr>
                <w:rFonts w:ascii="宋体" w:hAnsi="宋体" w:cs="宋体"/>
                <w:b/>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695F40A8">
            <w:pPr>
              <w:jc w:val="center"/>
              <w:rPr>
                <w:rFonts w:ascii="宋体" w:hAnsi="宋体" w:cs="宋体"/>
                <w:b/>
                <w:sz w:val="21"/>
                <w:szCs w:val="21"/>
                <w:highlight w:val="none"/>
              </w:rPr>
            </w:pPr>
            <w:r>
              <w:rPr>
                <w:rFonts w:ascii="宋体" w:hAnsi="宋体" w:cs="宋体"/>
                <w:b/>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3A687258">
            <w:pPr>
              <w:jc w:val="center"/>
              <w:rPr>
                <w:rFonts w:ascii="宋体" w:hAnsi="宋体" w:cs="宋体"/>
                <w:b/>
                <w:sz w:val="21"/>
                <w:szCs w:val="21"/>
                <w:highlight w:val="none"/>
              </w:rPr>
            </w:pPr>
            <w:r>
              <w:rPr>
                <w:rFonts w:ascii="宋体" w:hAnsi="宋体" w:cs="宋体"/>
                <w:b/>
                <w:sz w:val="21"/>
                <w:szCs w:val="21"/>
                <w:highlight w:val="none"/>
              </w:rPr>
              <w:t>投标报价（元）</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420B340D">
            <w:pPr>
              <w:jc w:val="center"/>
              <w:rPr>
                <w:rFonts w:ascii="宋体" w:hAnsi="宋体" w:cs="宋体"/>
                <w:b/>
                <w:sz w:val="21"/>
                <w:szCs w:val="21"/>
                <w:highlight w:val="none"/>
              </w:rPr>
            </w:pPr>
            <w:r>
              <w:rPr>
                <w:rFonts w:ascii="宋体" w:hAnsi="宋体" w:cs="宋体"/>
                <w:b/>
                <w:sz w:val="21"/>
                <w:szCs w:val="21"/>
                <w:highlight w:val="none"/>
              </w:rPr>
              <w:t>备注</w:t>
            </w:r>
          </w:p>
        </w:tc>
      </w:tr>
      <w:tr w14:paraId="0207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141AB2F6">
            <w:pPr>
              <w:spacing w:line="360" w:lineRule="auto"/>
              <w:jc w:val="center"/>
              <w:rPr>
                <w:rFonts w:ascii="宋体" w:hAnsi="宋体" w:cs="宋体"/>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67AB71F2">
            <w:pPr>
              <w:rPr>
                <w:rFonts w:ascii="宋体" w:hAnsi="宋体" w:cs="宋体"/>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48E206F">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3DBABB3C">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FF54D09">
            <w:pPr>
              <w:spacing w:line="360" w:lineRule="auto"/>
              <w:jc w:val="center"/>
              <w:rPr>
                <w:rFonts w:ascii="宋体" w:hAnsi="宋体" w:cs="宋体"/>
                <w:sz w:val="21"/>
                <w:szCs w:val="21"/>
                <w:highlight w:val="none"/>
              </w:rPr>
            </w:pPr>
          </w:p>
        </w:tc>
      </w:tr>
      <w:tr w14:paraId="5AAF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7A025C28">
            <w:pPr>
              <w:spacing w:line="360" w:lineRule="auto"/>
              <w:jc w:val="center"/>
              <w:rPr>
                <w:rFonts w:ascii="宋体" w:hAnsi="宋体" w:cs="宋体"/>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11B34FE8">
            <w:pPr>
              <w:rPr>
                <w:rFonts w:ascii="宋体" w:hAnsi="宋体" w:cs="宋体"/>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C1D75F">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3ADB8F64">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9219F44">
            <w:pPr>
              <w:spacing w:line="360" w:lineRule="auto"/>
              <w:jc w:val="center"/>
              <w:rPr>
                <w:rFonts w:ascii="宋体" w:hAnsi="宋体" w:cs="宋体"/>
                <w:sz w:val="21"/>
                <w:szCs w:val="21"/>
                <w:highlight w:val="none"/>
              </w:rPr>
            </w:pPr>
          </w:p>
        </w:tc>
      </w:tr>
      <w:tr w14:paraId="660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1B8A5F">
            <w:pPr>
              <w:jc w:val="center"/>
              <w:rPr>
                <w:rFonts w:ascii="宋体" w:hAnsi="宋体" w:cs="宋体"/>
                <w:b/>
                <w:sz w:val="21"/>
                <w:szCs w:val="21"/>
                <w:highlight w:val="none"/>
              </w:rPr>
            </w:pPr>
            <w:r>
              <w:rPr>
                <w:rFonts w:ascii="宋体" w:hAnsi="宋体" w:cs="宋体"/>
                <w:b/>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4F8F5596">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274F3A08">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902237E">
            <w:pPr>
              <w:spacing w:line="360" w:lineRule="auto"/>
              <w:jc w:val="center"/>
              <w:rPr>
                <w:rFonts w:ascii="宋体" w:hAnsi="宋体" w:cs="宋体"/>
                <w:sz w:val="21"/>
                <w:szCs w:val="21"/>
                <w:highlight w:val="none"/>
              </w:rPr>
            </w:pPr>
          </w:p>
        </w:tc>
      </w:tr>
    </w:tbl>
    <w:p w14:paraId="5C4D0DF8">
      <w:pPr>
        <w:pStyle w:val="38"/>
        <w:spacing w:line="240" w:lineRule="auto"/>
        <w:ind w:firstLine="0" w:firstLineChars="0"/>
        <w:rPr>
          <w:rFonts w:ascii="宋体" w:hAnsi="宋体" w:cs="宋体"/>
          <w:sz w:val="21"/>
          <w:szCs w:val="21"/>
          <w:highlight w:val="none"/>
        </w:rPr>
      </w:pPr>
    </w:p>
    <w:p w14:paraId="7BCAA2A0">
      <w:pPr>
        <w:pStyle w:val="38"/>
        <w:spacing w:line="240" w:lineRule="auto"/>
        <w:ind w:firstLine="0" w:firstLineChars="0"/>
        <w:rPr>
          <w:rFonts w:ascii="宋体" w:hAnsi="宋体" w:cs="宋体"/>
          <w:sz w:val="21"/>
          <w:szCs w:val="21"/>
          <w:highlight w:val="none"/>
        </w:rPr>
      </w:pPr>
      <w:r>
        <w:rPr>
          <w:rFonts w:ascii="宋体" w:hAnsi="宋体" w:cs="宋体"/>
          <w:sz w:val="21"/>
          <w:szCs w:val="21"/>
          <w:highlight w:val="none"/>
        </w:rPr>
        <w:t>注：</w:t>
      </w:r>
    </w:p>
    <w:p w14:paraId="708C2C90">
      <w:pPr>
        <w:pStyle w:val="38"/>
        <w:ind w:firstLine="428"/>
        <w:rPr>
          <w:rFonts w:ascii="宋体" w:hAnsi="宋体" w:cs="宋体"/>
          <w:sz w:val="21"/>
          <w:szCs w:val="21"/>
          <w:highlight w:val="none"/>
        </w:rPr>
      </w:pPr>
      <w:r>
        <w:rPr>
          <w:rFonts w:ascii="宋体" w:hAnsi="宋体" w:cs="宋体"/>
          <w:sz w:val="21"/>
          <w:szCs w:val="21"/>
          <w:highlight w:val="none"/>
        </w:rPr>
        <w:t>1、</w:t>
      </w:r>
      <w:r>
        <w:rPr>
          <w:rFonts w:ascii="宋体" w:hAnsi="宋体" w:cs="宋体"/>
          <w:sz w:val="21"/>
          <w:szCs w:val="21"/>
          <w:highlight w:val="none"/>
          <w:lang w:val="zh-CN"/>
        </w:rPr>
        <w:t>投标下浮率以百分比为单位，保留到小数点后</w:t>
      </w:r>
      <w:r>
        <w:rPr>
          <w:rFonts w:ascii="宋体" w:hAnsi="宋体" w:cs="宋体"/>
          <w:sz w:val="21"/>
          <w:szCs w:val="21"/>
          <w:highlight w:val="none"/>
        </w:rPr>
        <w:t>2</w:t>
      </w:r>
      <w:r>
        <w:rPr>
          <w:rFonts w:ascii="宋体" w:hAnsi="宋体" w:cs="宋体"/>
          <w:sz w:val="21"/>
          <w:szCs w:val="21"/>
          <w:highlight w:val="none"/>
          <w:lang w:val="zh-CN"/>
        </w:rPr>
        <w:t>位</w:t>
      </w:r>
      <w:r>
        <w:rPr>
          <w:rFonts w:ascii="宋体" w:hAnsi="宋体" w:cs="宋体"/>
          <w:sz w:val="21"/>
          <w:szCs w:val="21"/>
          <w:highlight w:val="none"/>
        </w:rPr>
        <w:t>，投标报价填报保留小数点后2位。</w:t>
      </w:r>
    </w:p>
    <w:p w14:paraId="1DA065EA">
      <w:pPr>
        <w:pStyle w:val="38"/>
        <w:ind w:firstLine="428"/>
        <w:rPr>
          <w:rFonts w:ascii="宋体" w:hAnsi="宋体" w:cs="宋体"/>
          <w:sz w:val="21"/>
          <w:szCs w:val="21"/>
          <w:highlight w:val="none"/>
        </w:rPr>
      </w:pPr>
      <w:r>
        <w:rPr>
          <w:rFonts w:ascii="宋体" w:hAnsi="宋体" w:cs="宋体"/>
          <w:sz w:val="21"/>
          <w:szCs w:val="21"/>
          <w:highlight w:val="none"/>
        </w:rPr>
        <w:t>2、监理费投标下浮率=（监理费最高投标限价-监理费投标报价）/监理费最高投标限价*100%。</w:t>
      </w:r>
    </w:p>
    <w:p w14:paraId="1368C4A5">
      <w:pPr>
        <w:pStyle w:val="38"/>
        <w:ind w:firstLine="428"/>
        <w:outlineLvl w:val="2"/>
        <w:rPr>
          <w:rFonts w:ascii="宋体" w:hAnsi="宋体" w:cs="宋体"/>
          <w:sz w:val="21"/>
          <w:szCs w:val="21"/>
          <w:highlight w:val="none"/>
        </w:rPr>
      </w:pPr>
      <w:bookmarkStart w:id="229" w:name="_Toc4060"/>
      <w:bookmarkStart w:id="230" w:name="_Toc6894"/>
      <w:r>
        <w:rPr>
          <w:rFonts w:ascii="宋体" w:hAnsi="宋体" w:cs="宋体"/>
          <w:sz w:val="21"/>
          <w:szCs w:val="21"/>
          <w:highlight w:val="none"/>
        </w:rPr>
        <w:t>3、投标报价与投标下浮率不符时，以投标下浮率为准修正总价。</w:t>
      </w:r>
      <w:bookmarkEnd w:id="229"/>
      <w:bookmarkEnd w:id="230"/>
    </w:p>
    <w:p w14:paraId="7868DD23">
      <w:pPr>
        <w:pStyle w:val="38"/>
        <w:ind w:firstLine="428"/>
        <w:outlineLvl w:val="2"/>
        <w:rPr>
          <w:rFonts w:ascii="宋体" w:hAnsi="宋体" w:cs="宋体"/>
          <w:sz w:val="21"/>
          <w:szCs w:val="21"/>
          <w:highlight w:val="none"/>
        </w:rPr>
      </w:pPr>
      <w:r>
        <w:rPr>
          <w:rFonts w:hint="eastAsia" w:ascii="宋体" w:hAnsi="宋体" w:cs="宋体"/>
          <w:sz w:val="21"/>
          <w:szCs w:val="21"/>
          <w:highlight w:val="none"/>
        </w:rPr>
        <w:t>4、合计费用应与投标函的监理费报价一致。</w:t>
      </w:r>
    </w:p>
    <w:p w14:paraId="0CF53AD2">
      <w:pPr>
        <w:rPr>
          <w:highlight w:val="none"/>
        </w:rPr>
        <w:sectPr>
          <w:pgSz w:w="11905" w:h="16838"/>
          <w:pgMar w:top="1417" w:right="1417" w:bottom="1417" w:left="1417" w:header="992" w:footer="992" w:gutter="0"/>
          <w:cols w:space="720" w:num="1"/>
        </w:sectPr>
      </w:pPr>
    </w:p>
    <w:p w14:paraId="588E804D">
      <w:pPr>
        <w:pStyle w:val="5"/>
        <w:kinsoku w:val="0"/>
        <w:overflowPunct w:val="0"/>
        <w:spacing w:before="120" w:after="120" w:line="456" w:lineRule="exact"/>
        <w:ind w:right="1"/>
        <w:jc w:val="center"/>
        <w:rPr>
          <w:b w:val="0"/>
          <w:sz w:val="28"/>
          <w:highlight w:val="none"/>
        </w:rPr>
      </w:pPr>
      <w:bookmarkStart w:id="231" w:name="bookmark184"/>
      <w:bookmarkEnd w:id="231"/>
      <w:bookmarkStart w:id="232" w:name="_Toc26761"/>
      <w:r>
        <w:rPr>
          <w:sz w:val="28"/>
          <w:highlight w:val="none"/>
        </w:rPr>
        <w:t>六、资格审查资料</w:t>
      </w:r>
      <w:bookmarkEnd w:id="232"/>
    </w:p>
    <w:p w14:paraId="02D7353B">
      <w:pPr>
        <w:pStyle w:val="12"/>
        <w:kinsoku w:val="0"/>
        <w:overflowPunct w:val="0"/>
        <w:spacing w:before="10"/>
        <w:ind w:left="0"/>
        <w:rPr>
          <w:rFonts w:ascii="Microsoft JhengHei" w:hAnsi="Microsoft JhengHei" w:eastAsia="Microsoft JhengHei"/>
          <w:b/>
          <w:sz w:val="15"/>
          <w:highlight w:val="none"/>
        </w:rPr>
      </w:pPr>
    </w:p>
    <w:p w14:paraId="2F73507C">
      <w:pPr>
        <w:pStyle w:val="6"/>
        <w:rPr>
          <w:b/>
          <w:sz w:val="24"/>
          <w:highlight w:val="none"/>
        </w:rPr>
      </w:pPr>
      <w:bookmarkStart w:id="233" w:name="bookmark185"/>
      <w:bookmarkEnd w:id="233"/>
      <w:bookmarkStart w:id="234" w:name="_Toc25320"/>
      <w:r>
        <w:rPr>
          <w:b/>
          <w:sz w:val="24"/>
          <w:highlight w:val="none"/>
        </w:rPr>
        <w:t>（一）基本情况表</w:t>
      </w:r>
      <w:bookmarkEnd w:id="234"/>
    </w:p>
    <w:p w14:paraId="6260F4AB">
      <w:pPr>
        <w:pStyle w:val="12"/>
        <w:kinsoku w:val="0"/>
        <w:overflowPunct w:val="0"/>
        <w:ind w:left="0"/>
        <w:rPr>
          <w:sz w:val="23"/>
          <w:highlight w:val="none"/>
        </w:rPr>
      </w:pPr>
    </w:p>
    <w:tbl>
      <w:tblPr>
        <w:tblStyle w:val="24"/>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6008301C">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6DA40D3">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69078723">
            <w:pPr>
              <w:rPr>
                <w:rFonts w:ascii="宋体" w:hAnsi="宋体" w:cs="宋体"/>
                <w:sz w:val="21"/>
                <w:szCs w:val="21"/>
                <w:highlight w:val="none"/>
              </w:rPr>
            </w:pPr>
          </w:p>
        </w:tc>
      </w:tr>
      <w:tr w14:paraId="1C5224BD">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BA276E2">
            <w:pPr>
              <w:pStyle w:val="34"/>
              <w:kinsoku w:val="0"/>
              <w:overflowPunct w:val="0"/>
              <w:jc w:val="center"/>
              <w:rPr>
                <w:rFonts w:ascii="宋体" w:hAnsi="宋体" w:cs="宋体"/>
                <w:sz w:val="21"/>
                <w:szCs w:val="21"/>
                <w:highlight w:val="none"/>
              </w:rPr>
            </w:pPr>
            <w:r>
              <w:rPr>
                <w:rFonts w:ascii="宋体" w:hAnsi="宋体" w:cs="宋体"/>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6F001DA4">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06C40E41">
            <w:pPr>
              <w:pStyle w:val="34"/>
              <w:kinsoku w:val="0"/>
              <w:overflowPunct w:val="0"/>
              <w:spacing w:before="107"/>
              <w:ind w:left="218"/>
              <w:rPr>
                <w:rFonts w:ascii="宋体" w:hAnsi="宋体" w:cs="宋体"/>
                <w:sz w:val="21"/>
                <w:szCs w:val="21"/>
                <w:highlight w:val="none"/>
              </w:rPr>
            </w:pPr>
            <w:r>
              <w:rPr>
                <w:rFonts w:ascii="宋体" w:hAnsi="宋体" w:cs="宋体"/>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147653A8">
            <w:pPr>
              <w:rPr>
                <w:rFonts w:ascii="宋体" w:hAnsi="宋体" w:cs="宋体"/>
                <w:sz w:val="21"/>
                <w:szCs w:val="21"/>
                <w:highlight w:val="none"/>
              </w:rPr>
            </w:pPr>
          </w:p>
        </w:tc>
      </w:tr>
      <w:tr w14:paraId="25B58E78">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C9C0C92">
            <w:pPr>
              <w:pStyle w:val="34"/>
              <w:kinsoku w:val="0"/>
              <w:overflowPunct w:val="0"/>
              <w:jc w:val="center"/>
              <w:rPr>
                <w:rFonts w:ascii="宋体" w:hAnsi="宋体" w:cs="宋体"/>
                <w:sz w:val="21"/>
                <w:szCs w:val="21"/>
                <w:highlight w:val="none"/>
              </w:rPr>
            </w:pPr>
          </w:p>
          <w:p w14:paraId="24EF1ACB">
            <w:pPr>
              <w:pStyle w:val="34"/>
              <w:kinsoku w:val="0"/>
              <w:overflowPunct w:val="0"/>
              <w:jc w:val="center"/>
              <w:rPr>
                <w:rFonts w:ascii="宋体" w:hAnsi="宋体" w:cs="宋体"/>
                <w:sz w:val="21"/>
                <w:szCs w:val="21"/>
                <w:highlight w:val="none"/>
              </w:rPr>
            </w:pPr>
            <w:r>
              <w:rPr>
                <w:rFonts w:ascii="宋体" w:hAnsi="宋体" w:cs="宋体"/>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4F7E0784">
            <w:pPr>
              <w:pStyle w:val="34"/>
              <w:kinsoku w:val="0"/>
              <w:overflowPunct w:val="0"/>
              <w:spacing w:before="107"/>
              <w:jc w:val="center"/>
              <w:rPr>
                <w:rFonts w:ascii="宋体" w:hAnsi="宋体" w:cs="宋体"/>
                <w:sz w:val="21"/>
                <w:szCs w:val="21"/>
                <w:highlight w:val="none"/>
              </w:rPr>
            </w:pPr>
            <w:r>
              <w:rPr>
                <w:rFonts w:ascii="宋体" w:hAnsi="宋体" w:cs="宋体"/>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610DF736">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2160F217">
            <w:pPr>
              <w:pStyle w:val="34"/>
              <w:kinsoku w:val="0"/>
              <w:overflowPunct w:val="0"/>
              <w:spacing w:before="107"/>
              <w:ind w:left="374"/>
              <w:rPr>
                <w:rFonts w:ascii="宋体" w:hAnsi="宋体" w:cs="宋体"/>
                <w:sz w:val="21"/>
                <w:szCs w:val="21"/>
                <w:highlight w:val="none"/>
              </w:rPr>
            </w:pPr>
            <w:r>
              <w:rPr>
                <w:rFonts w:ascii="宋体" w:hAnsi="宋体" w:cs="宋体"/>
                <w:sz w:val="21"/>
                <w:szCs w:val="21"/>
                <w:highlight w:val="none"/>
              </w:rPr>
              <w:t>电</w:t>
            </w:r>
            <w:r>
              <w:rPr>
                <w:rFonts w:ascii="宋体" w:hAnsi="宋体" w:cs="宋体"/>
                <w:spacing w:val="2"/>
                <w:sz w:val="21"/>
                <w:szCs w:val="21"/>
                <w:highlight w:val="none"/>
              </w:rPr>
              <w:t xml:space="preserve"> </w:t>
            </w:r>
            <w:r>
              <w:rPr>
                <w:rFonts w:ascii="宋体" w:hAnsi="宋体" w:cs="宋体"/>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3DA7BF6C">
            <w:pPr>
              <w:rPr>
                <w:rFonts w:ascii="宋体" w:hAnsi="宋体" w:cs="宋体"/>
                <w:sz w:val="21"/>
                <w:szCs w:val="21"/>
                <w:highlight w:val="none"/>
              </w:rPr>
            </w:pPr>
          </w:p>
        </w:tc>
      </w:tr>
      <w:tr w14:paraId="678B759A">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109D1E">
            <w:pPr>
              <w:jc w:val="center"/>
              <w:rPr>
                <w:rFonts w:ascii="宋体" w:hAnsi="宋体" w:cs="宋体"/>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08C723C3">
            <w:pPr>
              <w:pStyle w:val="34"/>
              <w:tabs>
                <w:tab w:val="left" w:pos="550"/>
              </w:tabs>
              <w:kinsoku w:val="0"/>
              <w:overflowPunct w:val="0"/>
              <w:spacing w:before="108"/>
              <w:jc w:val="center"/>
              <w:rPr>
                <w:rFonts w:ascii="宋体" w:hAnsi="宋体" w:cs="宋体"/>
                <w:sz w:val="21"/>
                <w:szCs w:val="21"/>
                <w:highlight w:val="none"/>
              </w:rPr>
            </w:pPr>
            <w:r>
              <w:rPr>
                <w:rFonts w:ascii="宋体" w:hAnsi="宋体" w:cs="宋体"/>
                <w:sz w:val="21"/>
                <w:szCs w:val="21"/>
                <w:highlight w:val="none"/>
              </w:rPr>
              <w:t>传真</w:t>
            </w:r>
            <w:r>
              <w:rPr>
                <w:rFonts w:ascii="宋体" w:hAnsi="宋体" w:cs="宋体"/>
                <w:sz w:val="21"/>
                <w:szCs w:val="21"/>
                <w:highlight w:val="none"/>
              </w:rPr>
              <w:tab/>
            </w:r>
            <w:r>
              <w:rPr>
                <w:rFonts w:ascii="宋体" w:hAnsi="宋体" w:cs="宋体"/>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7F8E3C8E">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2A6DBFF">
            <w:pPr>
              <w:pStyle w:val="34"/>
              <w:kinsoku w:val="0"/>
              <w:overflowPunct w:val="0"/>
              <w:spacing w:before="108"/>
              <w:ind w:left="374"/>
              <w:rPr>
                <w:rFonts w:ascii="宋体" w:hAnsi="宋体" w:cs="宋体"/>
                <w:sz w:val="21"/>
                <w:szCs w:val="21"/>
                <w:highlight w:val="none"/>
              </w:rPr>
            </w:pPr>
            <w:r>
              <w:rPr>
                <w:rFonts w:ascii="宋体" w:hAnsi="宋体" w:cs="宋体"/>
                <w:sz w:val="21"/>
                <w:szCs w:val="21"/>
                <w:highlight w:val="none"/>
              </w:rPr>
              <w:t>网</w:t>
            </w:r>
            <w:r>
              <w:rPr>
                <w:rFonts w:ascii="宋体" w:hAnsi="宋体" w:cs="宋体"/>
                <w:spacing w:val="2"/>
                <w:sz w:val="21"/>
                <w:szCs w:val="21"/>
                <w:highlight w:val="none"/>
              </w:rPr>
              <w:t xml:space="preserve"> </w:t>
            </w:r>
            <w:r>
              <w:rPr>
                <w:rFonts w:ascii="宋体" w:hAnsi="宋体" w:cs="宋体"/>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6FA64FAD">
            <w:pPr>
              <w:rPr>
                <w:rFonts w:ascii="宋体" w:hAnsi="宋体" w:cs="宋体"/>
                <w:sz w:val="21"/>
                <w:szCs w:val="21"/>
                <w:highlight w:val="none"/>
              </w:rPr>
            </w:pPr>
          </w:p>
        </w:tc>
      </w:tr>
      <w:tr w14:paraId="4675F5CB">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0F07F21">
            <w:pPr>
              <w:pStyle w:val="34"/>
              <w:kinsoku w:val="0"/>
              <w:overflowPunct w:val="0"/>
              <w:jc w:val="center"/>
              <w:rPr>
                <w:rFonts w:ascii="宋体" w:hAnsi="宋体" w:cs="宋体"/>
                <w:sz w:val="21"/>
                <w:szCs w:val="21"/>
                <w:highlight w:val="none"/>
              </w:rPr>
            </w:pPr>
            <w:r>
              <w:rPr>
                <w:rFonts w:ascii="宋体" w:hAnsi="宋体" w:cs="宋体"/>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711FD173">
            <w:pPr>
              <w:pStyle w:val="34"/>
              <w:kinsoku w:val="0"/>
              <w:overflowPunct w:val="0"/>
              <w:spacing w:before="107"/>
              <w:jc w:val="center"/>
              <w:rPr>
                <w:rFonts w:ascii="宋体" w:hAnsi="宋体" w:cs="宋体"/>
                <w:sz w:val="21"/>
                <w:szCs w:val="21"/>
                <w:highlight w:val="none"/>
              </w:rPr>
            </w:pPr>
            <w:r>
              <w:rPr>
                <w:rFonts w:ascii="宋体" w:hAnsi="宋体" w:cs="宋体"/>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5F3BE8F3">
            <w:pPr>
              <w:rPr>
                <w:rFonts w:ascii="宋体" w:hAnsi="宋体" w:cs="宋体"/>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62774C94">
            <w:pPr>
              <w:pStyle w:val="34"/>
              <w:kinsoku w:val="0"/>
              <w:overflowPunct w:val="0"/>
              <w:spacing w:before="107"/>
              <w:rPr>
                <w:rFonts w:ascii="宋体" w:hAnsi="宋体" w:cs="宋体"/>
                <w:sz w:val="21"/>
                <w:szCs w:val="21"/>
                <w:highlight w:val="none"/>
              </w:rPr>
            </w:pPr>
            <w:r>
              <w:rPr>
                <w:rFonts w:ascii="宋体" w:hAnsi="宋体" w:cs="宋体"/>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6D5E2E5A">
            <w:pPr>
              <w:rPr>
                <w:rFonts w:ascii="宋体" w:hAnsi="宋体" w:cs="宋体"/>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086347B1">
            <w:pPr>
              <w:pStyle w:val="34"/>
              <w:kinsoku w:val="0"/>
              <w:overflowPunct w:val="0"/>
              <w:spacing w:before="107"/>
              <w:rPr>
                <w:rFonts w:ascii="宋体" w:hAnsi="宋体" w:cs="宋体"/>
                <w:sz w:val="21"/>
                <w:szCs w:val="21"/>
                <w:highlight w:val="none"/>
              </w:rPr>
            </w:pPr>
            <w:r>
              <w:rPr>
                <w:rFonts w:ascii="宋体" w:hAnsi="宋体" w:cs="宋体"/>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2C928C51">
            <w:pPr>
              <w:rPr>
                <w:rFonts w:ascii="宋体" w:hAnsi="宋体" w:cs="宋体"/>
                <w:sz w:val="21"/>
                <w:szCs w:val="21"/>
                <w:highlight w:val="none"/>
              </w:rPr>
            </w:pPr>
          </w:p>
        </w:tc>
      </w:tr>
      <w:tr w14:paraId="1715E377">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D609E25">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2327571">
            <w:pPr>
              <w:pStyle w:val="34"/>
              <w:kinsoku w:val="0"/>
              <w:overflowPunct w:val="0"/>
              <w:spacing w:before="107"/>
              <w:jc w:val="center"/>
              <w:rPr>
                <w:rFonts w:ascii="宋体" w:hAnsi="宋体" w:cs="宋体"/>
                <w:sz w:val="21"/>
                <w:szCs w:val="21"/>
                <w:highlight w:val="none"/>
              </w:rPr>
            </w:pPr>
            <w:r>
              <w:rPr>
                <w:rFonts w:ascii="宋体" w:hAnsi="宋体" w:cs="宋体"/>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68F03307">
            <w:pPr>
              <w:rPr>
                <w:rFonts w:ascii="宋体" w:hAnsi="宋体" w:cs="宋体"/>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30489224">
            <w:pPr>
              <w:pStyle w:val="34"/>
              <w:kinsoku w:val="0"/>
              <w:overflowPunct w:val="0"/>
              <w:spacing w:before="107"/>
              <w:rPr>
                <w:rFonts w:ascii="宋体" w:hAnsi="宋体" w:cs="宋体"/>
                <w:sz w:val="21"/>
                <w:szCs w:val="21"/>
                <w:highlight w:val="none"/>
              </w:rPr>
            </w:pPr>
            <w:r>
              <w:rPr>
                <w:rFonts w:ascii="宋体" w:hAnsi="宋体" w:cs="宋体"/>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68F60A4C">
            <w:pPr>
              <w:rPr>
                <w:rFonts w:ascii="宋体" w:hAnsi="宋体" w:cs="宋体"/>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0F24A75B">
            <w:pPr>
              <w:pStyle w:val="34"/>
              <w:kinsoku w:val="0"/>
              <w:overflowPunct w:val="0"/>
              <w:spacing w:before="107"/>
              <w:rPr>
                <w:rFonts w:ascii="宋体" w:hAnsi="宋体" w:cs="宋体"/>
                <w:sz w:val="21"/>
                <w:szCs w:val="21"/>
                <w:highlight w:val="none"/>
              </w:rPr>
            </w:pPr>
            <w:r>
              <w:rPr>
                <w:rFonts w:ascii="宋体" w:hAnsi="宋体" w:cs="宋体"/>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510317DE">
            <w:pPr>
              <w:rPr>
                <w:rFonts w:ascii="宋体" w:hAnsi="宋体" w:cs="宋体"/>
                <w:sz w:val="21"/>
                <w:szCs w:val="21"/>
                <w:highlight w:val="none"/>
              </w:rPr>
            </w:pPr>
          </w:p>
        </w:tc>
      </w:tr>
      <w:tr w14:paraId="51DEF88A">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664F1E4">
            <w:pPr>
              <w:pStyle w:val="34"/>
              <w:kinsoku w:val="0"/>
              <w:overflowPunct w:val="0"/>
              <w:jc w:val="center"/>
              <w:rPr>
                <w:rFonts w:ascii="宋体" w:hAnsi="宋体" w:cs="宋体"/>
                <w:sz w:val="21"/>
                <w:szCs w:val="21"/>
                <w:highlight w:val="none"/>
              </w:rPr>
            </w:pPr>
            <w:r>
              <w:rPr>
                <w:rFonts w:ascii="宋体" w:hAnsi="宋体" w:cs="宋体"/>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17A935A">
            <w:pPr>
              <w:pStyle w:val="34"/>
              <w:tabs>
                <w:tab w:val="left" w:pos="3785"/>
                <w:tab w:val="left" w:pos="5045"/>
              </w:tabs>
              <w:kinsoku w:val="0"/>
              <w:overflowPunct w:val="0"/>
              <w:spacing w:before="107"/>
              <w:ind w:left="1054"/>
              <w:rPr>
                <w:rFonts w:ascii="宋体" w:hAnsi="宋体" w:cs="宋体"/>
                <w:sz w:val="21"/>
                <w:szCs w:val="21"/>
                <w:highlight w:val="none"/>
              </w:rPr>
            </w:pPr>
            <w:r>
              <w:rPr>
                <w:rFonts w:ascii="宋体" w:hAnsi="宋体" w:cs="宋体"/>
                <w:sz w:val="21"/>
                <w:szCs w:val="21"/>
                <w:highlight w:val="none"/>
              </w:rPr>
              <w:t>类型：</w:t>
            </w:r>
            <w:r>
              <w:rPr>
                <w:rFonts w:ascii="宋体" w:hAnsi="宋体" w:cs="宋体"/>
                <w:sz w:val="21"/>
                <w:szCs w:val="21"/>
                <w:highlight w:val="none"/>
              </w:rPr>
              <w:tab/>
            </w:r>
            <w:r>
              <w:rPr>
                <w:rFonts w:ascii="宋体" w:hAnsi="宋体" w:cs="宋体"/>
                <w:spacing w:val="-1"/>
                <w:sz w:val="21"/>
                <w:szCs w:val="21"/>
                <w:highlight w:val="none"/>
              </w:rPr>
              <w:t>等级：</w:t>
            </w:r>
            <w:r>
              <w:rPr>
                <w:rFonts w:ascii="宋体" w:hAnsi="宋体" w:cs="宋体"/>
                <w:spacing w:val="-1"/>
                <w:sz w:val="21"/>
                <w:szCs w:val="21"/>
                <w:highlight w:val="none"/>
              </w:rPr>
              <w:tab/>
            </w:r>
            <w:r>
              <w:rPr>
                <w:rFonts w:ascii="宋体" w:hAnsi="宋体" w:cs="宋体"/>
                <w:spacing w:val="-2"/>
                <w:sz w:val="21"/>
                <w:szCs w:val="21"/>
                <w:highlight w:val="none"/>
              </w:rPr>
              <w:t>证书号：</w:t>
            </w:r>
          </w:p>
        </w:tc>
      </w:tr>
      <w:tr w14:paraId="020942A0">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48CA86E">
            <w:pPr>
              <w:pStyle w:val="34"/>
              <w:kinsoku w:val="0"/>
              <w:overflowPunct w:val="0"/>
              <w:jc w:val="center"/>
              <w:rPr>
                <w:rFonts w:ascii="宋体" w:hAnsi="宋体" w:cs="宋体"/>
                <w:sz w:val="21"/>
                <w:szCs w:val="21"/>
                <w:highlight w:val="none"/>
              </w:rPr>
            </w:pPr>
            <w:r>
              <w:rPr>
                <w:rFonts w:ascii="宋体" w:hAnsi="宋体" w:cs="宋体"/>
                <w:sz w:val="21"/>
                <w:szCs w:val="21"/>
                <w:highlight w:val="none"/>
              </w:rPr>
              <w:t>质量管理体系证书</w:t>
            </w:r>
          </w:p>
          <w:p w14:paraId="5311528E">
            <w:pPr>
              <w:pStyle w:val="34"/>
              <w:kinsoku w:val="0"/>
              <w:overflowPunct w:val="0"/>
              <w:ind w:right="101"/>
              <w:jc w:val="center"/>
              <w:rPr>
                <w:rFonts w:ascii="宋体" w:hAnsi="宋体" w:cs="宋体"/>
                <w:sz w:val="21"/>
                <w:szCs w:val="21"/>
                <w:highlight w:val="none"/>
              </w:rPr>
            </w:pPr>
            <w:r>
              <w:rPr>
                <w:rFonts w:ascii="宋体" w:hAnsi="宋体" w:cs="宋体"/>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3642DBCA">
            <w:pPr>
              <w:pStyle w:val="34"/>
              <w:kinsoku w:val="0"/>
              <w:overflowPunct w:val="0"/>
              <w:spacing w:before="1"/>
              <w:rPr>
                <w:rFonts w:ascii="宋体" w:hAnsi="宋体" w:cs="宋体"/>
                <w:sz w:val="21"/>
                <w:szCs w:val="21"/>
                <w:highlight w:val="none"/>
              </w:rPr>
            </w:pPr>
          </w:p>
          <w:p w14:paraId="29E089A6">
            <w:pPr>
              <w:pStyle w:val="34"/>
              <w:tabs>
                <w:tab w:val="left" w:pos="3785"/>
                <w:tab w:val="left" w:pos="5045"/>
              </w:tabs>
              <w:kinsoku w:val="0"/>
              <w:overflowPunct w:val="0"/>
              <w:ind w:left="1054"/>
              <w:rPr>
                <w:rFonts w:ascii="宋体" w:hAnsi="宋体" w:cs="宋体"/>
                <w:sz w:val="21"/>
                <w:szCs w:val="21"/>
                <w:highlight w:val="none"/>
              </w:rPr>
            </w:pPr>
            <w:r>
              <w:rPr>
                <w:rFonts w:ascii="宋体" w:hAnsi="宋体" w:cs="宋体"/>
                <w:sz w:val="21"/>
                <w:szCs w:val="21"/>
                <w:highlight w:val="none"/>
              </w:rPr>
              <w:t>类型：</w:t>
            </w:r>
            <w:r>
              <w:rPr>
                <w:rFonts w:ascii="宋体" w:hAnsi="宋体" w:cs="宋体"/>
                <w:sz w:val="21"/>
                <w:szCs w:val="21"/>
                <w:highlight w:val="none"/>
              </w:rPr>
              <w:tab/>
            </w:r>
            <w:r>
              <w:rPr>
                <w:rFonts w:ascii="宋体" w:hAnsi="宋体" w:cs="宋体"/>
                <w:spacing w:val="-1"/>
                <w:sz w:val="21"/>
                <w:szCs w:val="21"/>
                <w:highlight w:val="none"/>
              </w:rPr>
              <w:t>等级：</w:t>
            </w:r>
            <w:r>
              <w:rPr>
                <w:rFonts w:ascii="宋体" w:hAnsi="宋体" w:cs="宋体"/>
                <w:spacing w:val="-1"/>
                <w:sz w:val="21"/>
                <w:szCs w:val="21"/>
                <w:highlight w:val="none"/>
              </w:rPr>
              <w:tab/>
            </w:r>
            <w:r>
              <w:rPr>
                <w:rFonts w:ascii="宋体" w:hAnsi="宋体" w:cs="宋体"/>
                <w:spacing w:val="-2"/>
                <w:sz w:val="21"/>
                <w:szCs w:val="21"/>
                <w:highlight w:val="none"/>
              </w:rPr>
              <w:t>证书号：</w:t>
            </w:r>
          </w:p>
        </w:tc>
      </w:tr>
      <w:tr w14:paraId="0424B4BA">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63CE95E">
            <w:pPr>
              <w:pStyle w:val="34"/>
              <w:kinsoku w:val="0"/>
              <w:overflowPunct w:val="0"/>
              <w:jc w:val="center"/>
              <w:rPr>
                <w:rFonts w:ascii="宋体" w:hAnsi="宋体" w:cs="宋体"/>
                <w:sz w:val="21"/>
                <w:szCs w:val="21"/>
                <w:highlight w:val="none"/>
              </w:rPr>
            </w:pPr>
            <w:r>
              <w:rPr>
                <w:rFonts w:ascii="宋体" w:hAnsi="宋体" w:cs="宋体"/>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94C46D3">
            <w:pPr>
              <w:rPr>
                <w:rFonts w:ascii="宋体" w:hAnsi="宋体" w:cs="宋体"/>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tcPr>
          <w:p w14:paraId="42E5749E">
            <w:pPr>
              <w:pStyle w:val="34"/>
              <w:kinsoku w:val="0"/>
              <w:overflowPunct w:val="0"/>
              <w:spacing w:before="107"/>
              <w:ind w:left="1178"/>
              <w:rPr>
                <w:rFonts w:ascii="宋体" w:hAnsi="宋体" w:cs="宋体"/>
                <w:sz w:val="21"/>
                <w:szCs w:val="21"/>
                <w:highlight w:val="none"/>
              </w:rPr>
            </w:pPr>
            <w:r>
              <w:rPr>
                <w:rFonts w:ascii="宋体" w:hAnsi="宋体" w:cs="宋体"/>
                <w:sz w:val="21"/>
                <w:szCs w:val="21"/>
                <w:highlight w:val="none"/>
              </w:rPr>
              <w:t>员工总人数：</w:t>
            </w:r>
          </w:p>
        </w:tc>
      </w:tr>
      <w:tr w14:paraId="4EFBEC25">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1771176A">
            <w:pPr>
              <w:pStyle w:val="34"/>
              <w:kinsoku w:val="0"/>
              <w:overflowPunct w:val="0"/>
              <w:jc w:val="center"/>
              <w:rPr>
                <w:rFonts w:ascii="宋体" w:hAnsi="宋体" w:cs="宋体"/>
                <w:sz w:val="21"/>
                <w:szCs w:val="21"/>
                <w:highlight w:val="none"/>
              </w:rPr>
            </w:pPr>
            <w:r>
              <w:rPr>
                <w:rFonts w:ascii="宋体" w:hAnsi="宋体" w:cs="宋体"/>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30D71CFB">
            <w:pPr>
              <w:rPr>
                <w:rFonts w:ascii="宋体" w:hAnsi="宋体" w:cs="宋体"/>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710C7B0">
            <w:pPr>
              <w:pStyle w:val="34"/>
              <w:kinsoku w:val="0"/>
              <w:overflowPunct w:val="0"/>
              <w:spacing w:line="384" w:lineRule="auto"/>
              <w:ind w:right="89"/>
              <w:jc w:val="center"/>
              <w:rPr>
                <w:rFonts w:ascii="宋体" w:hAnsi="宋体" w:cs="宋体"/>
                <w:sz w:val="21"/>
                <w:szCs w:val="21"/>
                <w:highlight w:val="none"/>
              </w:rPr>
            </w:pPr>
            <w:r>
              <w:rPr>
                <w:rFonts w:ascii="宋体" w:hAnsi="宋体" w:cs="宋体"/>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A1900E6">
            <w:pPr>
              <w:pStyle w:val="34"/>
              <w:kinsoku w:val="0"/>
              <w:overflowPunct w:val="0"/>
              <w:jc w:val="center"/>
              <w:rPr>
                <w:rFonts w:ascii="宋体" w:hAnsi="宋体" w:cs="宋体"/>
                <w:sz w:val="21"/>
                <w:szCs w:val="21"/>
                <w:highlight w:val="none"/>
              </w:rPr>
            </w:pPr>
            <w:r>
              <w:rPr>
                <w:rFonts w:ascii="宋体" w:hAnsi="宋体" w:cs="宋体"/>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34581D4C">
            <w:pPr>
              <w:rPr>
                <w:rFonts w:ascii="宋体" w:hAnsi="宋体" w:cs="宋体"/>
                <w:sz w:val="21"/>
                <w:szCs w:val="21"/>
                <w:highlight w:val="none"/>
              </w:rPr>
            </w:pPr>
          </w:p>
        </w:tc>
      </w:tr>
      <w:tr w14:paraId="7C037343">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0D4E507">
            <w:pPr>
              <w:pStyle w:val="34"/>
              <w:kinsoku w:val="0"/>
              <w:overflowPunct w:val="0"/>
              <w:jc w:val="center"/>
              <w:rPr>
                <w:rFonts w:ascii="宋体" w:hAnsi="宋体" w:cs="宋体"/>
                <w:sz w:val="21"/>
                <w:szCs w:val="21"/>
                <w:highlight w:val="none"/>
              </w:rPr>
            </w:pPr>
            <w:r>
              <w:rPr>
                <w:rFonts w:ascii="宋体" w:hAnsi="宋体" w:cs="宋体"/>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40272431">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7DC65AEE">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C83C272">
            <w:pPr>
              <w:pStyle w:val="34"/>
              <w:kinsoku w:val="0"/>
              <w:overflowPunct w:val="0"/>
              <w:jc w:val="center"/>
              <w:rPr>
                <w:rFonts w:ascii="宋体" w:hAnsi="宋体" w:cs="宋体"/>
                <w:sz w:val="21"/>
                <w:szCs w:val="21"/>
                <w:highlight w:val="none"/>
              </w:rPr>
            </w:pPr>
            <w:r>
              <w:rPr>
                <w:rFonts w:ascii="宋体" w:hAnsi="宋体" w:cs="宋体"/>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0CF5D398">
            <w:pPr>
              <w:rPr>
                <w:rFonts w:ascii="宋体" w:hAnsi="宋体" w:cs="宋体"/>
                <w:sz w:val="21"/>
                <w:szCs w:val="21"/>
                <w:highlight w:val="none"/>
              </w:rPr>
            </w:pPr>
          </w:p>
        </w:tc>
      </w:tr>
      <w:tr w14:paraId="24D1118C">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10DCE1B">
            <w:pPr>
              <w:pStyle w:val="34"/>
              <w:kinsoku w:val="0"/>
              <w:overflowPunct w:val="0"/>
              <w:jc w:val="center"/>
              <w:rPr>
                <w:rFonts w:ascii="宋体" w:hAnsi="宋体" w:cs="宋体"/>
                <w:sz w:val="21"/>
                <w:szCs w:val="21"/>
                <w:highlight w:val="none"/>
              </w:rPr>
            </w:pPr>
            <w:r>
              <w:rPr>
                <w:rFonts w:ascii="宋体" w:hAnsi="宋体" w:cs="宋体"/>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7A246C61">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39C7CD76">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EE6E7AC">
            <w:pPr>
              <w:pStyle w:val="34"/>
              <w:kinsoku w:val="0"/>
              <w:overflowPunct w:val="0"/>
              <w:jc w:val="center"/>
              <w:rPr>
                <w:rFonts w:ascii="宋体" w:hAnsi="宋体" w:cs="宋体"/>
                <w:sz w:val="21"/>
                <w:szCs w:val="21"/>
                <w:highlight w:val="none"/>
              </w:rPr>
            </w:pPr>
            <w:r>
              <w:rPr>
                <w:rFonts w:ascii="宋体" w:hAnsi="宋体" w:cs="宋体"/>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3EDCED28">
            <w:pPr>
              <w:rPr>
                <w:rFonts w:ascii="宋体" w:hAnsi="宋体" w:cs="宋体"/>
                <w:sz w:val="21"/>
                <w:szCs w:val="21"/>
                <w:highlight w:val="none"/>
              </w:rPr>
            </w:pPr>
          </w:p>
        </w:tc>
      </w:tr>
      <w:tr w14:paraId="2CFFD86A">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B9FC8F3">
            <w:pPr>
              <w:pStyle w:val="34"/>
              <w:kinsoku w:val="0"/>
              <w:overflowPunct w:val="0"/>
              <w:jc w:val="center"/>
              <w:rPr>
                <w:rFonts w:ascii="宋体" w:hAnsi="宋体" w:cs="宋体"/>
                <w:sz w:val="21"/>
                <w:szCs w:val="21"/>
                <w:highlight w:val="none"/>
              </w:rPr>
            </w:pPr>
            <w:r>
              <w:rPr>
                <w:rFonts w:ascii="宋体" w:hAnsi="宋体" w:cs="宋体"/>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6B108BBC">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0ECCF19E">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67075E5">
            <w:pPr>
              <w:pStyle w:val="34"/>
              <w:kinsoku w:val="0"/>
              <w:overflowPunct w:val="0"/>
              <w:jc w:val="center"/>
              <w:rPr>
                <w:rFonts w:ascii="宋体" w:hAnsi="宋体" w:cs="宋体"/>
                <w:sz w:val="21"/>
                <w:szCs w:val="21"/>
                <w:highlight w:val="none"/>
              </w:rPr>
            </w:pPr>
            <w:r>
              <w:rPr>
                <w:rFonts w:ascii="宋体" w:hAnsi="宋体" w:cs="宋体"/>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49066DA7">
            <w:pPr>
              <w:rPr>
                <w:rFonts w:ascii="宋体" w:hAnsi="宋体" w:cs="宋体"/>
                <w:sz w:val="21"/>
                <w:szCs w:val="21"/>
                <w:highlight w:val="none"/>
              </w:rPr>
            </w:pPr>
          </w:p>
        </w:tc>
      </w:tr>
      <w:tr w14:paraId="1CF466EF">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BEBA367">
            <w:pPr>
              <w:pStyle w:val="34"/>
              <w:kinsoku w:val="0"/>
              <w:overflowPunct w:val="0"/>
              <w:jc w:val="center"/>
              <w:rPr>
                <w:rFonts w:ascii="宋体" w:hAnsi="宋体" w:cs="宋体"/>
                <w:sz w:val="21"/>
                <w:szCs w:val="21"/>
                <w:highlight w:val="none"/>
              </w:rPr>
            </w:pPr>
            <w:r>
              <w:rPr>
                <w:rFonts w:ascii="宋体" w:hAnsi="宋体" w:cs="宋体"/>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3910EB2">
            <w:pPr>
              <w:rPr>
                <w:rFonts w:ascii="宋体" w:hAnsi="宋体" w:cs="宋体"/>
                <w:sz w:val="21"/>
                <w:szCs w:val="21"/>
                <w:highlight w:val="none"/>
              </w:rPr>
            </w:pPr>
          </w:p>
        </w:tc>
      </w:tr>
      <w:tr w14:paraId="17D089C0">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0CB503B">
            <w:pPr>
              <w:pStyle w:val="34"/>
              <w:kinsoku w:val="0"/>
              <w:overflowPunct w:val="0"/>
              <w:ind w:right="96"/>
              <w:jc w:val="center"/>
              <w:rPr>
                <w:rFonts w:ascii="宋体" w:hAnsi="宋体" w:cs="宋体"/>
                <w:sz w:val="21"/>
                <w:szCs w:val="21"/>
                <w:highlight w:val="none"/>
              </w:rPr>
            </w:pPr>
            <w:r>
              <w:rPr>
                <w:rFonts w:ascii="宋体" w:hAnsi="宋体" w:cs="宋体"/>
                <w:sz w:val="21"/>
                <w:szCs w:val="21"/>
                <w:highlight w:val="none"/>
              </w:rPr>
              <w:t>投标人关联企业情</w:t>
            </w:r>
            <w:r>
              <w:rPr>
                <w:rFonts w:ascii="宋体" w:hAnsi="宋体" w:cs="宋体"/>
                <w:spacing w:val="-8"/>
                <w:sz w:val="21"/>
                <w:szCs w:val="21"/>
                <w:highlight w:val="none"/>
              </w:rPr>
              <w:t>况（包括但不限于与</w:t>
            </w:r>
            <w:r>
              <w:rPr>
                <w:rFonts w:ascii="宋体" w:hAnsi="宋体" w:cs="宋体"/>
                <w:spacing w:val="-102"/>
                <w:sz w:val="21"/>
                <w:szCs w:val="21"/>
                <w:highlight w:val="none"/>
              </w:rPr>
              <w:t xml:space="preserve"> </w:t>
            </w:r>
            <w:r>
              <w:rPr>
                <w:rFonts w:ascii="宋体" w:hAnsi="宋体" w:cs="宋体"/>
                <w:sz w:val="21"/>
                <w:szCs w:val="21"/>
                <w:highlight w:val="none"/>
              </w:rPr>
              <w:t>投标人法定代表人为同一人或者存在</w:t>
            </w:r>
            <w:r>
              <w:rPr>
                <w:rFonts w:ascii="宋体" w:hAnsi="宋体" w:cs="宋体"/>
                <w:spacing w:val="-8"/>
                <w:sz w:val="21"/>
                <w:szCs w:val="21"/>
                <w:highlight w:val="none"/>
              </w:rPr>
              <w:t>控股、管理关系的不</w:t>
            </w:r>
            <w:r>
              <w:rPr>
                <w:rFonts w:ascii="宋体" w:hAnsi="宋体" w:cs="宋体"/>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221B948">
            <w:pPr>
              <w:rPr>
                <w:rFonts w:ascii="宋体" w:hAnsi="宋体" w:cs="宋体"/>
                <w:sz w:val="21"/>
                <w:szCs w:val="21"/>
                <w:highlight w:val="none"/>
              </w:rPr>
            </w:pPr>
          </w:p>
        </w:tc>
      </w:tr>
      <w:tr w14:paraId="4A3D8BC2">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0E9ED49">
            <w:pPr>
              <w:pStyle w:val="34"/>
              <w:kinsoku w:val="0"/>
              <w:overflowPunct w:val="0"/>
              <w:jc w:val="center"/>
              <w:rPr>
                <w:rFonts w:ascii="宋体" w:hAnsi="宋体" w:cs="宋体"/>
                <w:sz w:val="21"/>
                <w:szCs w:val="21"/>
                <w:highlight w:val="none"/>
              </w:rPr>
            </w:pPr>
            <w:r>
              <w:rPr>
                <w:rFonts w:ascii="宋体" w:hAnsi="宋体" w:cs="宋体"/>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4B031879">
            <w:pPr>
              <w:rPr>
                <w:rFonts w:ascii="宋体" w:hAnsi="宋体" w:cs="宋体"/>
                <w:sz w:val="21"/>
                <w:szCs w:val="21"/>
                <w:highlight w:val="none"/>
              </w:rPr>
            </w:pPr>
          </w:p>
        </w:tc>
      </w:tr>
    </w:tbl>
    <w:p w14:paraId="79B37A74">
      <w:pPr>
        <w:pStyle w:val="12"/>
        <w:kinsoku w:val="0"/>
        <w:overflowPunct w:val="0"/>
        <w:spacing w:before="74" w:line="331" w:lineRule="auto"/>
        <w:ind w:left="240"/>
        <w:rPr>
          <w:rFonts w:cs="宋体"/>
          <w:szCs w:val="21"/>
          <w:highlight w:val="none"/>
        </w:rPr>
      </w:pPr>
      <w:r>
        <w:rPr>
          <w:rFonts w:cs="宋体"/>
          <w:spacing w:val="-5"/>
          <w:szCs w:val="21"/>
          <w:highlight w:val="none"/>
        </w:rPr>
        <w:t>注：</w:t>
      </w:r>
      <w:r>
        <w:rPr>
          <w:rFonts w:cs="宋体"/>
          <w:highlight w:val="none"/>
        </w:rPr>
        <w:t>投标人应附营业执照、资质证书等相关证明材料。</w:t>
      </w:r>
    </w:p>
    <w:p w14:paraId="4F7E728E">
      <w:pPr>
        <w:pStyle w:val="12"/>
        <w:kinsoku w:val="0"/>
        <w:overflowPunct w:val="0"/>
        <w:spacing w:before="74" w:line="331" w:lineRule="auto"/>
        <w:ind w:left="240"/>
        <w:rPr>
          <w:highlight w:val="none"/>
        </w:rPr>
        <w:sectPr>
          <w:footerReference r:id="rId26" w:type="default"/>
          <w:pgSz w:w="11905" w:h="16838"/>
          <w:pgMar w:top="1417" w:right="1417" w:bottom="1417" w:left="1417" w:header="992" w:footer="992" w:gutter="0"/>
          <w:cols w:space="720" w:num="1"/>
        </w:sectPr>
      </w:pPr>
    </w:p>
    <w:p w14:paraId="441F4207">
      <w:pPr>
        <w:pStyle w:val="6"/>
        <w:rPr>
          <w:b/>
          <w:sz w:val="24"/>
          <w:highlight w:val="none"/>
        </w:rPr>
      </w:pPr>
      <w:bookmarkStart w:id="235" w:name="bookmark187"/>
      <w:bookmarkEnd w:id="235"/>
      <w:bookmarkStart w:id="236" w:name="bookmark186"/>
      <w:bookmarkEnd w:id="236"/>
      <w:bookmarkStart w:id="237" w:name="_Toc31107"/>
      <w:r>
        <w:rPr>
          <w:b/>
          <w:sz w:val="24"/>
          <w:highlight w:val="none"/>
        </w:rPr>
        <w:t>（二）近年完成的类似项目情况表</w:t>
      </w:r>
      <w:bookmarkEnd w:id="237"/>
    </w:p>
    <w:p w14:paraId="276268E3">
      <w:pPr>
        <w:pStyle w:val="12"/>
        <w:kinsoku w:val="0"/>
        <w:overflowPunct w:val="0"/>
        <w:ind w:left="0"/>
        <w:rPr>
          <w:sz w:val="20"/>
          <w:highlight w:val="none"/>
        </w:rPr>
      </w:pPr>
    </w:p>
    <w:p w14:paraId="4D1E5052">
      <w:pPr>
        <w:pStyle w:val="12"/>
        <w:kinsoku w:val="0"/>
        <w:overflowPunct w:val="0"/>
        <w:spacing w:before="11"/>
        <w:ind w:left="0"/>
        <w:rPr>
          <w:sz w:val="22"/>
          <w:highlight w:val="none"/>
        </w:rPr>
      </w:pPr>
    </w:p>
    <w:tbl>
      <w:tblPr>
        <w:tblStyle w:val="24"/>
        <w:tblW w:w="8521" w:type="dxa"/>
        <w:tblInd w:w="264" w:type="dxa"/>
        <w:tblLayout w:type="fixed"/>
        <w:tblCellMar>
          <w:top w:w="0" w:type="dxa"/>
          <w:left w:w="108" w:type="dxa"/>
          <w:bottom w:w="0" w:type="dxa"/>
          <w:right w:w="108" w:type="dxa"/>
        </w:tblCellMar>
      </w:tblPr>
      <w:tblGrid>
        <w:gridCol w:w="2268"/>
        <w:gridCol w:w="6253"/>
      </w:tblGrid>
      <w:tr w14:paraId="6A17089A">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EEDD6E2">
            <w:pPr>
              <w:pStyle w:val="34"/>
              <w:kinsoku w:val="0"/>
              <w:overflowPunct w:val="0"/>
              <w:jc w:val="center"/>
              <w:rPr>
                <w:sz w:val="21"/>
                <w:highlight w:val="none"/>
              </w:rPr>
            </w:pPr>
            <w:r>
              <w:rPr>
                <w:rFonts w:ascii="宋体" w:hAnsi="宋体"/>
                <w:sz w:val="21"/>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FC8F0A6">
            <w:pPr>
              <w:rPr>
                <w:sz w:val="21"/>
                <w:highlight w:val="none"/>
              </w:rPr>
            </w:pPr>
          </w:p>
        </w:tc>
      </w:tr>
      <w:tr w14:paraId="3A67820D">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3C071342">
            <w:pPr>
              <w:pStyle w:val="34"/>
              <w:kinsoku w:val="0"/>
              <w:overflowPunct w:val="0"/>
              <w:jc w:val="center"/>
              <w:rPr>
                <w:sz w:val="21"/>
                <w:highlight w:val="none"/>
              </w:rPr>
            </w:pPr>
            <w:r>
              <w:rPr>
                <w:rFonts w:ascii="宋体" w:hAnsi="宋体"/>
                <w:sz w:val="21"/>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4E59CFF">
            <w:pPr>
              <w:rPr>
                <w:sz w:val="21"/>
                <w:highlight w:val="none"/>
              </w:rPr>
            </w:pPr>
          </w:p>
        </w:tc>
      </w:tr>
      <w:tr w14:paraId="5328282A">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4E976BFC">
            <w:pPr>
              <w:pStyle w:val="34"/>
              <w:kinsoku w:val="0"/>
              <w:overflowPunct w:val="0"/>
              <w:jc w:val="center"/>
              <w:rPr>
                <w:sz w:val="21"/>
                <w:highlight w:val="none"/>
              </w:rPr>
            </w:pPr>
            <w:r>
              <w:rPr>
                <w:rFonts w:ascii="宋体" w:hAnsi="宋体"/>
                <w:sz w:val="21"/>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AF994F1">
            <w:pPr>
              <w:rPr>
                <w:sz w:val="21"/>
                <w:highlight w:val="none"/>
              </w:rPr>
            </w:pPr>
          </w:p>
        </w:tc>
      </w:tr>
      <w:tr w14:paraId="101D6AC7">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DD3813C">
            <w:pPr>
              <w:pStyle w:val="34"/>
              <w:tabs>
                <w:tab w:val="left" w:pos="668"/>
                <w:tab w:val="center" w:pos="1387"/>
              </w:tabs>
              <w:kinsoku w:val="0"/>
              <w:overflowPunct w:val="0"/>
              <w:jc w:val="center"/>
              <w:rPr>
                <w:sz w:val="21"/>
                <w:highlight w:val="none"/>
              </w:rPr>
            </w:pPr>
            <w:r>
              <w:rPr>
                <w:rFonts w:ascii="宋体" w:hAnsi="宋体"/>
                <w:sz w:val="21"/>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80595AF">
            <w:pPr>
              <w:rPr>
                <w:sz w:val="21"/>
                <w:highlight w:val="none"/>
              </w:rPr>
            </w:pPr>
          </w:p>
        </w:tc>
      </w:tr>
      <w:tr w14:paraId="5909D630">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17D6BBA">
            <w:pPr>
              <w:pStyle w:val="34"/>
              <w:kinsoku w:val="0"/>
              <w:overflowPunct w:val="0"/>
              <w:jc w:val="center"/>
              <w:rPr>
                <w:sz w:val="21"/>
                <w:highlight w:val="none"/>
              </w:rPr>
            </w:pPr>
            <w:r>
              <w:rPr>
                <w:rFonts w:ascii="宋体" w:hAnsi="宋体"/>
                <w:sz w:val="21"/>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220F42FC">
            <w:pPr>
              <w:rPr>
                <w:sz w:val="21"/>
                <w:highlight w:val="none"/>
              </w:rPr>
            </w:pPr>
          </w:p>
        </w:tc>
      </w:tr>
      <w:tr w14:paraId="1796C9B6">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6808E62">
            <w:pPr>
              <w:pStyle w:val="34"/>
              <w:kinsoku w:val="0"/>
              <w:overflowPunct w:val="0"/>
              <w:jc w:val="center"/>
              <w:rPr>
                <w:sz w:val="21"/>
                <w:highlight w:val="none"/>
              </w:rPr>
            </w:pPr>
            <w:r>
              <w:rPr>
                <w:rFonts w:ascii="宋体" w:hAnsi="宋体"/>
                <w:sz w:val="21"/>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94ACD16">
            <w:pPr>
              <w:rPr>
                <w:sz w:val="21"/>
                <w:highlight w:val="none"/>
              </w:rPr>
            </w:pPr>
          </w:p>
        </w:tc>
      </w:tr>
      <w:tr w14:paraId="29F84CA5">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6A95FEB">
            <w:pPr>
              <w:pStyle w:val="34"/>
              <w:kinsoku w:val="0"/>
              <w:overflowPunct w:val="0"/>
              <w:jc w:val="center"/>
              <w:rPr>
                <w:sz w:val="21"/>
                <w:highlight w:val="none"/>
              </w:rPr>
            </w:pPr>
            <w:r>
              <w:rPr>
                <w:rFonts w:ascii="宋体" w:hAnsi="宋体"/>
                <w:sz w:val="21"/>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DE8C61D">
            <w:pPr>
              <w:rPr>
                <w:sz w:val="21"/>
                <w:highlight w:val="none"/>
              </w:rPr>
            </w:pPr>
          </w:p>
        </w:tc>
      </w:tr>
      <w:tr w14:paraId="3F334135">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E44B743">
            <w:pPr>
              <w:pStyle w:val="34"/>
              <w:kinsoku w:val="0"/>
              <w:overflowPunct w:val="0"/>
              <w:jc w:val="center"/>
              <w:rPr>
                <w:sz w:val="21"/>
                <w:highlight w:val="none"/>
              </w:rPr>
            </w:pPr>
            <w:r>
              <w:rPr>
                <w:rFonts w:ascii="宋体" w:hAnsi="宋体"/>
                <w:sz w:val="21"/>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3BAEC86">
            <w:pPr>
              <w:rPr>
                <w:sz w:val="21"/>
                <w:highlight w:val="none"/>
              </w:rPr>
            </w:pPr>
          </w:p>
        </w:tc>
      </w:tr>
      <w:tr w14:paraId="681A7DC8">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4322053">
            <w:pPr>
              <w:pStyle w:val="34"/>
              <w:kinsoku w:val="0"/>
              <w:overflowPunct w:val="0"/>
              <w:jc w:val="center"/>
              <w:rPr>
                <w:sz w:val="21"/>
                <w:highlight w:val="none"/>
              </w:rPr>
            </w:pPr>
            <w:r>
              <w:rPr>
                <w:rFonts w:ascii="宋体" w:hAnsi="宋体"/>
                <w:sz w:val="21"/>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5E74F41B">
            <w:pPr>
              <w:rPr>
                <w:sz w:val="21"/>
                <w:highlight w:val="none"/>
              </w:rPr>
            </w:pPr>
          </w:p>
        </w:tc>
      </w:tr>
      <w:tr w14:paraId="6F607CCC">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03405DE">
            <w:pPr>
              <w:pStyle w:val="34"/>
              <w:kinsoku w:val="0"/>
              <w:overflowPunct w:val="0"/>
              <w:jc w:val="center"/>
              <w:rPr>
                <w:sz w:val="21"/>
                <w:highlight w:val="none"/>
              </w:rPr>
            </w:pPr>
            <w:r>
              <w:rPr>
                <w:rFonts w:ascii="宋体" w:hAnsi="宋体"/>
                <w:sz w:val="21"/>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CA80594">
            <w:pPr>
              <w:rPr>
                <w:sz w:val="21"/>
                <w:highlight w:val="none"/>
              </w:rPr>
            </w:pPr>
          </w:p>
        </w:tc>
      </w:tr>
      <w:tr w14:paraId="356BDE69">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8A273AB">
            <w:pPr>
              <w:pStyle w:val="34"/>
              <w:kinsoku w:val="0"/>
              <w:overflowPunct w:val="0"/>
              <w:jc w:val="center"/>
              <w:rPr>
                <w:sz w:val="21"/>
                <w:highlight w:val="none"/>
              </w:rPr>
            </w:pPr>
            <w:r>
              <w:rPr>
                <w:rFonts w:ascii="宋体" w:hAnsi="宋体"/>
                <w:sz w:val="21"/>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875C391">
            <w:pPr>
              <w:rPr>
                <w:sz w:val="21"/>
                <w:highlight w:val="none"/>
              </w:rPr>
            </w:pPr>
          </w:p>
        </w:tc>
      </w:tr>
    </w:tbl>
    <w:p w14:paraId="1965FC5D">
      <w:pPr>
        <w:pStyle w:val="12"/>
        <w:kinsoku w:val="0"/>
        <w:overflowPunct w:val="0"/>
        <w:spacing w:before="6"/>
        <w:ind w:left="0"/>
        <w:rPr>
          <w:sz w:val="24"/>
          <w:highlight w:val="none"/>
        </w:rPr>
      </w:pPr>
    </w:p>
    <w:p w14:paraId="45C2D447">
      <w:pPr>
        <w:pStyle w:val="12"/>
        <w:kinsoku w:val="0"/>
        <w:overflowPunct w:val="0"/>
        <w:spacing w:before="36"/>
        <w:ind w:left="100"/>
        <w:rPr>
          <w:sz w:val="24"/>
          <w:highlight w:val="none"/>
        </w:rPr>
      </w:pPr>
    </w:p>
    <w:p w14:paraId="1FB28DC3">
      <w:pPr>
        <w:pStyle w:val="12"/>
        <w:kinsoku w:val="0"/>
        <w:overflowPunct w:val="0"/>
        <w:spacing w:before="36"/>
        <w:ind w:left="100"/>
        <w:rPr>
          <w:highlight w:val="none"/>
        </w:rPr>
        <w:sectPr>
          <w:headerReference r:id="rId27" w:type="default"/>
          <w:footerReference r:id="rId28" w:type="default"/>
          <w:pgSz w:w="11905" w:h="16838"/>
          <w:pgMar w:top="1417" w:right="1417" w:bottom="1417" w:left="1417" w:header="992" w:footer="992" w:gutter="0"/>
          <w:cols w:space="720" w:num="1"/>
        </w:sectPr>
      </w:pPr>
    </w:p>
    <w:p w14:paraId="3A4F5F6A">
      <w:pPr>
        <w:pStyle w:val="6"/>
        <w:rPr>
          <w:b/>
          <w:sz w:val="24"/>
          <w:highlight w:val="none"/>
        </w:rPr>
      </w:pPr>
      <w:bookmarkStart w:id="238" w:name="bookmark189"/>
      <w:bookmarkEnd w:id="238"/>
      <w:bookmarkStart w:id="239" w:name="bookmark190"/>
      <w:bookmarkEnd w:id="239"/>
      <w:bookmarkStart w:id="240" w:name="bookmark188"/>
      <w:bookmarkEnd w:id="240"/>
      <w:bookmarkStart w:id="241" w:name="_Toc11195"/>
      <w:r>
        <w:rPr>
          <w:b/>
          <w:sz w:val="24"/>
          <w:highlight w:val="none"/>
        </w:rPr>
        <w:t>（三）拟委任的主要人员汇总表</w:t>
      </w:r>
      <w:bookmarkEnd w:id="241"/>
    </w:p>
    <w:p w14:paraId="1A18D3B6">
      <w:pPr>
        <w:pStyle w:val="12"/>
        <w:kinsoku w:val="0"/>
        <w:overflowPunct w:val="0"/>
        <w:ind w:left="0"/>
        <w:rPr>
          <w:sz w:val="20"/>
          <w:highlight w:val="none"/>
        </w:rPr>
      </w:pPr>
    </w:p>
    <w:p w14:paraId="07C83FFA">
      <w:pPr>
        <w:pStyle w:val="12"/>
        <w:kinsoku w:val="0"/>
        <w:overflowPunct w:val="0"/>
        <w:spacing w:before="11"/>
        <w:ind w:left="0"/>
        <w:rPr>
          <w:sz w:val="22"/>
          <w:highlight w:val="none"/>
        </w:rPr>
      </w:pPr>
    </w:p>
    <w:tbl>
      <w:tblPr>
        <w:tblStyle w:val="24"/>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074C89A4">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5C2DA48">
            <w:pPr>
              <w:pStyle w:val="34"/>
              <w:kinsoku w:val="0"/>
              <w:overflowPunct w:val="0"/>
              <w:spacing w:line="240" w:lineRule="atLeast"/>
              <w:jc w:val="center"/>
              <w:rPr>
                <w:sz w:val="21"/>
                <w:highlight w:val="none"/>
              </w:rPr>
            </w:pPr>
            <w:r>
              <w:rPr>
                <w:rFonts w:ascii="宋体" w:hAnsi="宋体"/>
                <w:sz w:val="21"/>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4F1896B">
            <w:pPr>
              <w:pStyle w:val="34"/>
              <w:kinsoku w:val="0"/>
              <w:overflowPunct w:val="0"/>
              <w:spacing w:line="240" w:lineRule="atLeast"/>
              <w:jc w:val="center"/>
              <w:rPr>
                <w:sz w:val="21"/>
                <w:highlight w:val="none"/>
              </w:rPr>
            </w:pPr>
            <w:r>
              <w:rPr>
                <w:rFonts w:ascii="宋体" w:hAnsi="宋体"/>
                <w:sz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31C0894">
            <w:pPr>
              <w:pStyle w:val="34"/>
              <w:kinsoku w:val="0"/>
              <w:overflowPunct w:val="0"/>
              <w:spacing w:line="240" w:lineRule="atLeast"/>
              <w:jc w:val="center"/>
              <w:rPr>
                <w:sz w:val="21"/>
                <w:highlight w:val="none"/>
              </w:rPr>
            </w:pPr>
            <w:r>
              <w:rPr>
                <w:rFonts w:ascii="宋体" w:hAnsi="宋体"/>
                <w:sz w:val="21"/>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51174A4">
            <w:pPr>
              <w:pStyle w:val="34"/>
              <w:kinsoku w:val="0"/>
              <w:overflowPunct w:val="0"/>
              <w:spacing w:line="240" w:lineRule="atLeast"/>
              <w:jc w:val="center"/>
              <w:rPr>
                <w:sz w:val="21"/>
                <w:highlight w:val="none"/>
              </w:rPr>
            </w:pPr>
            <w:r>
              <w:rPr>
                <w:rFonts w:ascii="宋体" w:hAnsi="宋体"/>
                <w:sz w:val="21"/>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4C4B39F">
            <w:pPr>
              <w:pStyle w:val="34"/>
              <w:kinsoku w:val="0"/>
              <w:overflowPunct w:val="0"/>
              <w:spacing w:line="240" w:lineRule="atLeast"/>
              <w:jc w:val="center"/>
              <w:rPr>
                <w:sz w:val="21"/>
                <w:highlight w:val="none"/>
              </w:rPr>
            </w:pPr>
            <w:r>
              <w:rPr>
                <w:rFonts w:ascii="宋体" w:hAnsi="宋体"/>
                <w:sz w:val="21"/>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122CB549">
            <w:pPr>
              <w:pStyle w:val="34"/>
              <w:kinsoku w:val="0"/>
              <w:overflowPunct w:val="0"/>
              <w:spacing w:line="240" w:lineRule="atLeast"/>
              <w:jc w:val="center"/>
              <w:rPr>
                <w:sz w:val="21"/>
                <w:highlight w:val="none"/>
              </w:rPr>
            </w:pPr>
            <w:r>
              <w:rPr>
                <w:rFonts w:ascii="宋体" w:hAnsi="宋体"/>
                <w:sz w:val="21"/>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6E744780">
            <w:pPr>
              <w:pStyle w:val="34"/>
              <w:kinsoku w:val="0"/>
              <w:overflowPunct w:val="0"/>
              <w:spacing w:line="240" w:lineRule="atLeast"/>
              <w:jc w:val="center"/>
              <w:rPr>
                <w:sz w:val="21"/>
                <w:highlight w:val="none"/>
              </w:rPr>
            </w:pPr>
            <w:r>
              <w:rPr>
                <w:rFonts w:ascii="宋体" w:hAnsi="宋体"/>
                <w:sz w:val="21"/>
                <w:highlight w:val="none"/>
              </w:rPr>
              <w:t>备注</w:t>
            </w:r>
          </w:p>
        </w:tc>
      </w:tr>
      <w:tr w14:paraId="5E3B0829">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D09DB96">
            <w:pPr>
              <w:pStyle w:val="34"/>
              <w:kinsoku w:val="0"/>
              <w:overflowPunct w:val="0"/>
              <w:spacing w:line="240" w:lineRule="atLeast"/>
              <w:jc w:val="center"/>
              <w:rPr>
                <w:sz w:val="21"/>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264B463">
            <w:pPr>
              <w:pStyle w:val="34"/>
              <w:kinsoku w:val="0"/>
              <w:overflowPunct w:val="0"/>
              <w:spacing w:line="240" w:lineRule="atLeast"/>
              <w:jc w:val="center"/>
              <w:rPr>
                <w:sz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FAC85D5">
            <w:pPr>
              <w:pStyle w:val="34"/>
              <w:kinsoku w:val="0"/>
              <w:overflowPunct w:val="0"/>
              <w:spacing w:line="240" w:lineRule="atLeast"/>
              <w:jc w:val="center"/>
              <w:rPr>
                <w:sz w:val="21"/>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93F9A58">
            <w:pPr>
              <w:pStyle w:val="34"/>
              <w:kinsoku w:val="0"/>
              <w:overflowPunct w:val="0"/>
              <w:spacing w:line="240" w:lineRule="atLeast"/>
              <w:jc w:val="center"/>
              <w:rPr>
                <w:sz w:val="21"/>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403C696">
            <w:pPr>
              <w:pStyle w:val="34"/>
              <w:kinsoku w:val="0"/>
              <w:overflowPunct w:val="0"/>
              <w:spacing w:line="240" w:lineRule="atLeast"/>
              <w:jc w:val="center"/>
              <w:rPr>
                <w:sz w:val="21"/>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vAlign w:val="center"/>
          </w:tcPr>
          <w:p w14:paraId="1F490056">
            <w:pPr>
              <w:pStyle w:val="34"/>
              <w:kinsoku w:val="0"/>
              <w:overflowPunct w:val="0"/>
              <w:spacing w:line="240" w:lineRule="atLeast"/>
              <w:jc w:val="center"/>
              <w:rPr>
                <w:sz w:val="21"/>
                <w:highlight w:val="none"/>
              </w:rPr>
            </w:pPr>
            <w:r>
              <w:rPr>
                <w:rFonts w:ascii="宋体" w:hAnsi="宋体"/>
                <w:sz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14:paraId="588619F1">
            <w:pPr>
              <w:pStyle w:val="34"/>
              <w:kinsoku w:val="0"/>
              <w:overflowPunct w:val="0"/>
              <w:spacing w:line="240" w:lineRule="atLeast"/>
              <w:jc w:val="center"/>
              <w:rPr>
                <w:sz w:val="21"/>
                <w:highlight w:val="none"/>
              </w:rPr>
            </w:pPr>
            <w:r>
              <w:rPr>
                <w:rFonts w:ascii="宋体" w:hAnsi="宋体"/>
                <w:sz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vAlign w:val="center"/>
          </w:tcPr>
          <w:p w14:paraId="1ACBD779">
            <w:pPr>
              <w:pStyle w:val="34"/>
              <w:kinsoku w:val="0"/>
              <w:overflowPunct w:val="0"/>
              <w:spacing w:line="240" w:lineRule="atLeast"/>
              <w:jc w:val="center"/>
              <w:rPr>
                <w:sz w:val="21"/>
                <w:highlight w:val="none"/>
              </w:rPr>
            </w:pPr>
            <w:r>
              <w:rPr>
                <w:rFonts w:ascii="宋体" w:hAnsi="宋体"/>
                <w:sz w:val="21"/>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40DA2321">
            <w:pPr>
              <w:spacing w:line="240" w:lineRule="atLeast"/>
              <w:jc w:val="center"/>
              <w:rPr>
                <w:sz w:val="21"/>
                <w:highlight w:val="none"/>
              </w:rPr>
            </w:pPr>
          </w:p>
        </w:tc>
      </w:tr>
      <w:tr w14:paraId="4CD60D4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0BC0EB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0C579F">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DE1C58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D29FB41">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C664483">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D25BE45">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03C7AE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91E3AD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C464B8F">
            <w:pPr>
              <w:rPr>
                <w:highlight w:val="none"/>
              </w:rPr>
            </w:pPr>
          </w:p>
        </w:tc>
      </w:tr>
      <w:tr w14:paraId="146E871F">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8C1FE5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C999AA3">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9DFF6B7">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C6911EF">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F868682">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B2EE1A3">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7D8C01C">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260B0A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2FBB48A">
            <w:pPr>
              <w:rPr>
                <w:highlight w:val="none"/>
              </w:rPr>
            </w:pPr>
          </w:p>
        </w:tc>
      </w:tr>
      <w:tr w14:paraId="173779A3">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6D0621E">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36AD507">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583201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98F9A4D">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33ABCB4">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BCDE309">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6F786F9">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5332861E">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1E07F19">
            <w:pPr>
              <w:rPr>
                <w:highlight w:val="none"/>
              </w:rPr>
            </w:pPr>
          </w:p>
        </w:tc>
      </w:tr>
      <w:tr w14:paraId="21FBF215">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88CD88F">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0804DBB">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8E98007">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665307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6BAA555">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F1E5CBB">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7CAD39C">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D04903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971B270">
            <w:pPr>
              <w:rPr>
                <w:highlight w:val="none"/>
              </w:rPr>
            </w:pPr>
          </w:p>
        </w:tc>
      </w:tr>
      <w:tr w14:paraId="57EEFF77">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0F1772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EDC507C">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7491D14">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8815D2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85C1F63">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6689A88">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AECECC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D4F57E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3571166">
            <w:pPr>
              <w:rPr>
                <w:highlight w:val="none"/>
              </w:rPr>
            </w:pPr>
          </w:p>
        </w:tc>
      </w:tr>
      <w:tr w14:paraId="19FD51C4">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9F51758">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0FE6351">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D90607F">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A3C0205">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5892CBA">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61D6109">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C9E2C18">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75291B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F9C27CC">
            <w:pPr>
              <w:rPr>
                <w:highlight w:val="none"/>
              </w:rPr>
            </w:pPr>
          </w:p>
        </w:tc>
      </w:tr>
      <w:tr w14:paraId="17161174">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DFC1B2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642873">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D164C88">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751734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33A91F9">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B84A7EC">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07601D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B3AE5C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C9AC9F6">
            <w:pPr>
              <w:rPr>
                <w:highlight w:val="none"/>
              </w:rPr>
            </w:pPr>
          </w:p>
        </w:tc>
      </w:tr>
      <w:tr w14:paraId="0397AF1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6B9EB36">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9324AE8">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0C691E0">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4AF2FF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5397DDF">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8924362">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6E59D9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28C0A8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1A64046">
            <w:pPr>
              <w:rPr>
                <w:highlight w:val="none"/>
              </w:rPr>
            </w:pPr>
          </w:p>
        </w:tc>
      </w:tr>
      <w:tr w14:paraId="11E742A2">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C14B9B8">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F8CFE68">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2FCA83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DFE1FA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12C8636">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56570FA">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0E6BEF3">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9EB55D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6FF3EF4">
            <w:pPr>
              <w:rPr>
                <w:highlight w:val="none"/>
              </w:rPr>
            </w:pPr>
          </w:p>
        </w:tc>
      </w:tr>
      <w:tr w14:paraId="35DC9A3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1F7539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478F4B9">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B5BBBE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25F5493">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6271D06">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D42C67B">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FFB299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8F29E24">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9E5D421">
            <w:pPr>
              <w:rPr>
                <w:highlight w:val="none"/>
              </w:rPr>
            </w:pPr>
          </w:p>
        </w:tc>
      </w:tr>
      <w:tr w14:paraId="16ED2877">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B7C27D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59CA4FB">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810E73B">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26A7772E">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8F1F213">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9F4A291">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53DF97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5B7554E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06D3E5E">
            <w:pPr>
              <w:rPr>
                <w:highlight w:val="none"/>
              </w:rPr>
            </w:pPr>
          </w:p>
        </w:tc>
      </w:tr>
      <w:tr w14:paraId="62F7D501">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945B95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8523140">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A2B57C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82BC6CA">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5FB5992">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89EB578">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8370D9F">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103FE8F">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0082CE4">
            <w:pPr>
              <w:rPr>
                <w:highlight w:val="none"/>
              </w:rPr>
            </w:pPr>
          </w:p>
        </w:tc>
      </w:tr>
      <w:tr w14:paraId="7B270625">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C807F14">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244DF3A">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829E7EB">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3C55F9E">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FB63820">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A731DC5">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4EAC25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5F1384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6DB3A97">
            <w:pPr>
              <w:rPr>
                <w:highlight w:val="none"/>
              </w:rPr>
            </w:pPr>
          </w:p>
        </w:tc>
      </w:tr>
      <w:tr w14:paraId="30440DC5">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1256EA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0EDFABE">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14A3680">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A299CCA">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18518AA">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1D58FD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DB73C76">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8F4806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8E27BC1">
            <w:pPr>
              <w:rPr>
                <w:highlight w:val="none"/>
              </w:rPr>
            </w:pPr>
          </w:p>
        </w:tc>
      </w:tr>
      <w:tr w14:paraId="3B826330">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A7A3818">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33754D3">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FD5C87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1A09211">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519DE55">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08E8B1D">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3D95DC3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F82B30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308C767">
            <w:pPr>
              <w:rPr>
                <w:highlight w:val="none"/>
              </w:rPr>
            </w:pPr>
          </w:p>
        </w:tc>
      </w:tr>
      <w:tr w14:paraId="7FD90F2B">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2E168E3">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E3F3389">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FFAC1A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BA8929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6A4E4D3">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AABFC9F">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9A8F7F3">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D39944E">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BD24A5E">
            <w:pPr>
              <w:rPr>
                <w:highlight w:val="none"/>
              </w:rPr>
            </w:pPr>
          </w:p>
        </w:tc>
      </w:tr>
      <w:tr w14:paraId="494BBA16">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CF621E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D621C7E">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6E0CDA2">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E2789AA">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188B88E">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F6E782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B9674F9">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6FB3EE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7A6EADF">
            <w:pPr>
              <w:rPr>
                <w:highlight w:val="none"/>
              </w:rPr>
            </w:pPr>
          </w:p>
        </w:tc>
      </w:tr>
      <w:tr w14:paraId="534F3D8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A826FEE">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33814BD">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76256E4">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84E9804">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4C8381F">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C4B2C77">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844FC7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7FFB3C0">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36BD2CB">
            <w:pPr>
              <w:rPr>
                <w:highlight w:val="none"/>
              </w:rPr>
            </w:pPr>
          </w:p>
        </w:tc>
      </w:tr>
      <w:tr w14:paraId="0FA5CACF">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F289D5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33453F1">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DDA4E91">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A63FAF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019B17F">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802EA1A">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156E40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33CC2E4">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C38B9DF">
            <w:pPr>
              <w:rPr>
                <w:highlight w:val="none"/>
              </w:rPr>
            </w:pPr>
          </w:p>
        </w:tc>
      </w:tr>
      <w:tr w14:paraId="4E6A4E3B">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F29BA0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615C224">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88324B8">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257B729C">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D4F4D7A">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5752C1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FA97338">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1783558">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571DC60">
            <w:pPr>
              <w:rPr>
                <w:highlight w:val="none"/>
              </w:rPr>
            </w:pPr>
          </w:p>
        </w:tc>
      </w:tr>
      <w:tr w14:paraId="1F8B982E">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EC2070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C0C617A">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8F08BDA">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84DF766">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3E8D2CF">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1316D6F">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018BC3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C88C78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35FFB51">
            <w:pPr>
              <w:rPr>
                <w:highlight w:val="none"/>
              </w:rPr>
            </w:pPr>
          </w:p>
        </w:tc>
      </w:tr>
    </w:tbl>
    <w:p w14:paraId="4526F969">
      <w:pPr>
        <w:rPr>
          <w:highlight w:val="none"/>
        </w:rPr>
        <w:sectPr>
          <w:headerReference r:id="rId29" w:type="default"/>
          <w:footerReference r:id="rId30" w:type="default"/>
          <w:pgSz w:w="11905" w:h="16838"/>
          <w:pgMar w:top="1417" w:right="1417" w:bottom="1417" w:left="1417" w:header="992" w:footer="992" w:gutter="0"/>
          <w:cols w:space="720" w:num="1"/>
        </w:sectPr>
      </w:pPr>
    </w:p>
    <w:p w14:paraId="032DB360">
      <w:pPr>
        <w:pStyle w:val="6"/>
        <w:rPr>
          <w:b/>
          <w:sz w:val="24"/>
          <w:highlight w:val="none"/>
        </w:rPr>
      </w:pPr>
      <w:bookmarkStart w:id="242" w:name="bookmark191"/>
      <w:bookmarkEnd w:id="242"/>
      <w:bookmarkStart w:id="243" w:name="_Toc23916"/>
      <w:r>
        <w:rPr>
          <w:b/>
          <w:sz w:val="24"/>
          <w:highlight w:val="none"/>
        </w:rPr>
        <w:t>（四）主要人员简历表</w:t>
      </w:r>
      <w:bookmarkEnd w:id="243"/>
    </w:p>
    <w:p w14:paraId="11B13876">
      <w:pPr>
        <w:pStyle w:val="12"/>
        <w:kinsoku w:val="0"/>
        <w:overflowPunct w:val="0"/>
        <w:ind w:left="0"/>
        <w:rPr>
          <w:b/>
          <w:sz w:val="24"/>
          <w:highlight w:val="none"/>
        </w:rPr>
      </w:pPr>
    </w:p>
    <w:p w14:paraId="75264F6D">
      <w:pPr>
        <w:pStyle w:val="12"/>
        <w:kinsoku w:val="0"/>
        <w:overflowPunct w:val="0"/>
        <w:spacing w:before="5"/>
        <w:ind w:left="0"/>
        <w:rPr>
          <w:sz w:val="16"/>
          <w:highlight w:val="none"/>
        </w:rPr>
      </w:pPr>
    </w:p>
    <w:tbl>
      <w:tblPr>
        <w:tblStyle w:val="24"/>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0246783C">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57CEAAAC">
            <w:pPr>
              <w:pStyle w:val="34"/>
              <w:tabs>
                <w:tab w:val="left" w:pos="695"/>
              </w:tabs>
              <w:kinsoku w:val="0"/>
              <w:overflowPunct w:val="0"/>
              <w:jc w:val="center"/>
              <w:rPr>
                <w:rFonts w:ascii="宋体" w:hAnsi="宋体" w:cs="宋体"/>
                <w:sz w:val="21"/>
                <w:szCs w:val="21"/>
                <w:highlight w:val="none"/>
              </w:rPr>
            </w:pPr>
            <w:r>
              <w:rPr>
                <w:rFonts w:ascii="宋体" w:hAnsi="宋体" w:cs="宋体"/>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49E6B106">
            <w:pPr>
              <w:rPr>
                <w:rFonts w:ascii="宋体" w:hAnsi="宋体" w:cs="宋体"/>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139DEEBC">
            <w:pPr>
              <w:pStyle w:val="34"/>
              <w:kinsoku w:val="0"/>
              <w:overflowPunct w:val="0"/>
              <w:jc w:val="center"/>
              <w:rPr>
                <w:rFonts w:ascii="宋体" w:hAnsi="宋体" w:cs="宋体"/>
                <w:sz w:val="21"/>
                <w:szCs w:val="21"/>
                <w:highlight w:val="none"/>
              </w:rPr>
            </w:pPr>
            <w:r>
              <w:rPr>
                <w:rFonts w:ascii="宋体" w:hAnsi="宋体" w:cs="宋体"/>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596FFBAC">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1EF1B59F">
            <w:pPr>
              <w:pStyle w:val="34"/>
              <w:kinsoku w:val="0"/>
              <w:overflowPunct w:val="0"/>
              <w:spacing w:before="3" w:line="440" w:lineRule="exact"/>
              <w:ind w:right="122"/>
              <w:jc w:val="center"/>
              <w:rPr>
                <w:rFonts w:ascii="宋体" w:hAnsi="宋体" w:cs="宋体"/>
                <w:sz w:val="21"/>
                <w:szCs w:val="21"/>
                <w:highlight w:val="none"/>
              </w:rPr>
            </w:pPr>
            <w:r>
              <w:rPr>
                <w:rFonts w:ascii="宋体" w:hAnsi="宋体" w:cs="宋体"/>
                <w:spacing w:val="-2"/>
                <w:sz w:val="21"/>
                <w:szCs w:val="21"/>
                <w:highlight w:val="none"/>
              </w:rPr>
              <w:t>执业资格证书（或上岗</w:t>
            </w:r>
            <w:r>
              <w:rPr>
                <w:rFonts w:ascii="宋体" w:hAnsi="宋体" w:cs="宋体"/>
                <w:spacing w:val="-85"/>
                <w:sz w:val="21"/>
                <w:szCs w:val="21"/>
                <w:highlight w:val="none"/>
              </w:rPr>
              <w:t xml:space="preserve"> </w:t>
            </w:r>
            <w:r>
              <w:rPr>
                <w:rFonts w:ascii="宋体" w:hAnsi="宋体" w:cs="宋体"/>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08D3D39F">
            <w:pPr>
              <w:rPr>
                <w:rFonts w:ascii="宋体" w:hAnsi="宋体" w:cs="宋体"/>
                <w:sz w:val="21"/>
                <w:szCs w:val="21"/>
                <w:highlight w:val="none"/>
              </w:rPr>
            </w:pPr>
          </w:p>
        </w:tc>
      </w:tr>
      <w:tr w14:paraId="1C0DC135">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41A8A4DF">
            <w:pPr>
              <w:pStyle w:val="34"/>
              <w:tabs>
                <w:tab w:val="left" w:pos="695"/>
              </w:tabs>
              <w:kinsoku w:val="0"/>
              <w:overflowPunct w:val="0"/>
              <w:jc w:val="center"/>
              <w:rPr>
                <w:rFonts w:ascii="宋体" w:hAnsi="宋体" w:cs="宋体"/>
                <w:sz w:val="21"/>
                <w:szCs w:val="21"/>
                <w:highlight w:val="none"/>
              </w:rPr>
            </w:pPr>
            <w:r>
              <w:rPr>
                <w:rFonts w:ascii="宋体" w:hAnsi="宋体" w:cs="宋体"/>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40843673">
            <w:pPr>
              <w:rPr>
                <w:rFonts w:ascii="宋体" w:hAnsi="宋体" w:cs="宋体"/>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71C6DE7E">
            <w:pPr>
              <w:pStyle w:val="34"/>
              <w:kinsoku w:val="0"/>
              <w:overflowPunct w:val="0"/>
              <w:jc w:val="center"/>
              <w:rPr>
                <w:rFonts w:ascii="宋体" w:hAnsi="宋体" w:cs="宋体"/>
                <w:sz w:val="21"/>
                <w:szCs w:val="21"/>
                <w:highlight w:val="none"/>
              </w:rPr>
            </w:pPr>
            <w:r>
              <w:rPr>
                <w:rFonts w:ascii="宋体" w:hAnsi="宋体" w:cs="宋体"/>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502F1C8B">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37D4A38">
            <w:pPr>
              <w:pStyle w:val="34"/>
              <w:kinsoku w:val="0"/>
              <w:overflowPunct w:val="0"/>
              <w:jc w:val="center"/>
              <w:rPr>
                <w:rFonts w:ascii="宋体" w:hAnsi="宋体" w:cs="宋体"/>
                <w:sz w:val="21"/>
                <w:szCs w:val="21"/>
                <w:highlight w:val="none"/>
              </w:rPr>
            </w:pPr>
            <w:r>
              <w:rPr>
                <w:rFonts w:ascii="宋体" w:hAnsi="宋体" w:cs="宋体"/>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221D25CC">
            <w:pPr>
              <w:rPr>
                <w:rFonts w:ascii="宋体" w:hAnsi="宋体" w:cs="宋体"/>
                <w:sz w:val="21"/>
                <w:szCs w:val="21"/>
                <w:highlight w:val="none"/>
              </w:rPr>
            </w:pPr>
          </w:p>
        </w:tc>
      </w:tr>
      <w:tr w14:paraId="200382C2">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1179B23B">
            <w:pPr>
              <w:pStyle w:val="34"/>
              <w:kinsoku w:val="0"/>
              <w:overflowPunct w:val="0"/>
              <w:jc w:val="center"/>
              <w:rPr>
                <w:rFonts w:ascii="宋体" w:hAnsi="宋体" w:cs="宋体"/>
                <w:sz w:val="21"/>
                <w:szCs w:val="21"/>
                <w:highlight w:val="none"/>
              </w:rPr>
            </w:pPr>
            <w:r>
              <w:rPr>
                <w:rFonts w:ascii="宋体" w:hAnsi="宋体" w:cs="宋体"/>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tcPr>
          <w:p w14:paraId="1CAF765B">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750B3818">
            <w:pPr>
              <w:pStyle w:val="34"/>
              <w:kinsoku w:val="0"/>
              <w:overflowPunct w:val="0"/>
              <w:jc w:val="center"/>
              <w:rPr>
                <w:rFonts w:ascii="宋体" w:hAnsi="宋体" w:cs="宋体"/>
                <w:sz w:val="21"/>
                <w:szCs w:val="21"/>
                <w:highlight w:val="none"/>
              </w:rPr>
            </w:pPr>
            <w:r>
              <w:rPr>
                <w:rFonts w:ascii="宋体" w:hAnsi="宋体" w:cs="宋体"/>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0E8A9A10">
            <w:pPr>
              <w:rPr>
                <w:rFonts w:ascii="宋体" w:hAnsi="宋体" w:cs="宋体"/>
                <w:sz w:val="21"/>
                <w:szCs w:val="21"/>
                <w:highlight w:val="none"/>
              </w:rPr>
            </w:pPr>
          </w:p>
        </w:tc>
      </w:tr>
      <w:tr w14:paraId="5346FB7E">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0D191E4A">
            <w:pPr>
              <w:pStyle w:val="34"/>
              <w:kinsoku w:val="0"/>
              <w:overflowPunct w:val="0"/>
              <w:jc w:val="both"/>
              <w:rPr>
                <w:rFonts w:ascii="宋体" w:hAnsi="宋体" w:cs="宋体"/>
                <w:sz w:val="21"/>
                <w:szCs w:val="21"/>
                <w:highlight w:val="none"/>
              </w:rPr>
            </w:pPr>
            <w:r>
              <w:rPr>
                <w:rFonts w:ascii="宋体" w:hAnsi="宋体" w:cs="宋体"/>
                <w:sz w:val="21"/>
                <w:szCs w:val="21"/>
                <w:highlight w:val="none"/>
              </w:rPr>
              <w:t>主要工作经历</w:t>
            </w:r>
          </w:p>
        </w:tc>
      </w:tr>
      <w:tr w14:paraId="3CCF63DA">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4BDB8E4">
            <w:pPr>
              <w:pStyle w:val="34"/>
              <w:tabs>
                <w:tab w:val="left" w:pos="873"/>
              </w:tabs>
              <w:kinsoku w:val="0"/>
              <w:overflowPunct w:val="0"/>
              <w:jc w:val="center"/>
              <w:rPr>
                <w:rFonts w:ascii="宋体" w:hAnsi="宋体" w:cs="宋体"/>
                <w:sz w:val="21"/>
                <w:szCs w:val="21"/>
                <w:highlight w:val="none"/>
              </w:rPr>
            </w:pPr>
            <w:r>
              <w:rPr>
                <w:rFonts w:ascii="宋体" w:hAnsi="宋体" w:cs="宋体"/>
                <w:sz w:val="21"/>
                <w:szCs w:val="21"/>
                <w:highlight w:val="none"/>
              </w:rPr>
              <w:t>时</w:t>
            </w:r>
            <w:r>
              <w:rPr>
                <w:rFonts w:ascii="宋体" w:hAnsi="宋体" w:cs="宋体"/>
                <w:sz w:val="21"/>
                <w:szCs w:val="21"/>
                <w:highlight w:val="none"/>
              </w:rPr>
              <w:tab/>
            </w:r>
            <w:r>
              <w:rPr>
                <w:rFonts w:ascii="宋体" w:hAnsi="宋体" w:cs="宋体"/>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59CA558">
            <w:pPr>
              <w:pStyle w:val="34"/>
              <w:kinsoku w:val="0"/>
              <w:overflowPunct w:val="0"/>
              <w:jc w:val="center"/>
              <w:rPr>
                <w:rFonts w:ascii="宋体" w:hAnsi="宋体" w:cs="宋体"/>
                <w:sz w:val="21"/>
                <w:szCs w:val="21"/>
                <w:highlight w:val="none"/>
              </w:rPr>
            </w:pPr>
            <w:r>
              <w:rPr>
                <w:rFonts w:ascii="宋体" w:hAnsi="宋体" w:cs="宋体"/>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19F23AA9">
            <w:pPr>
              <w:pStyle w:val="34"/>
              <w:kinsoku w:val="0"/>
              <w:overflowPunct w:val="0"/>
              <w:jc w:val="center"/>
              <w:rPr>
                <w:rFonts w:ascii="宋体" w:hAnsi="宋体" w:cs="宋体"/>
                <w:sz w:val="21"/>
                <w:szCs w:val="21"/>
                <w:highlight w:val="none"/>
              </w:rPr>
            </w:pPr>
            <w:r>
              <w:rPr>
                <w:rFonts w:ascii="宋体" w:hAnsi="宋体" w:cs="宋体"/>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72F3589">
            <w:pPr>
              <w:pStyle w:val="34"/>
              <w:kinsoku w:val="0"/>
              <w:overflowPunct w:val="0"/>
              <w:jc w:val="center"/>
              <w:rPr>
                <w:rFonts w:ascii="宋体" w:hAnsi="宋体" w:cs="宋体"/>
                <w:sz w:val="21"/>
                <w:szCs w:val="21"/>
                <w:highlight w:val="none"/>
              </w:rPr>
            </w:pPr>
            <w:r>
              <w:rPr>
                <w:rFonts w:ascii="宋体" w:hAnsi="宋体" w:cs="宋体"/>
                <w:sz w:val="21"/>
                <w:szCs w:val="21"/>
                <w:highlight w:val="none"/>
              </w:rPr>
              <w:t>委托人及联系电话</w:t>
            </w:r>
          </w:p>
        </w:tc>
      </w:tr>
      <w:tr w14:paraId="0E916FA3">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C287994">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5249845">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1F28D2F">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E0195B0">
            <w:pPr>
              <w:jc w:val="center"/>
              <w:rPr>
                <w:rFonts w:ascii="宋体" w:hAnsi="宋体" w:cs="宋体"/>
                <w:sz w:val="21"/>
                <w:szCs w:val="21"/>
                <w:highlight w:val="none"/>
              </w:rPr>
            </w:pPr>
          </w:p>
        </w:tc>
      </w:tr>
      <w:tr w14:paraId="0F8E2D55">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C9F5258">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8C47551">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1070959">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6E7A4D0">
            <w:pPr>
              <w:jc w:val="center"/>
              <w:rPr>
                <w:rFonts w:ascii="宋体" w:hAnsi="宋体" w:cs="宋体"/>
                <w:sz w:val="21"/>
                <w:szCs w:val="21"/>
                <w:highlight w:val="none"/>
              </w:rPr>
            </w:pPr>
          </w:p>
        </w:tc>
      </w:tr>
      <w:tr w14:paraId="674422EE">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096801B">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1930ED6">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50BB0122">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6641B74">
            <w:pPr>
              <w:jc w:val="center"/>
              <w:rPr>
                <w:rFonts w:ascii="宋体" w:hAnsi="宋体" w:cs="宋体"/>
                <w:sz w:val="21"/>
                <w:szCs w:val="21"/>
                <w:highlight w:val="none"/>
              </w:rPr>
            </w:pPr>
          </w:p>
        </w:tc>
      </w:tr>
      <w:tr w14:paraId="58FA0632">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F44590E">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76740D8">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6E832564">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95AF449">
            <w:pPr>
              <w:jc w:val="center"/>
              <w:rPr>
                <w:rFonts w:ascii="宋体" w:hAnsi="宋体" w:cs="宋体"/>
                <w:sz w:val="21"/>
                <w:szCs w:val="21"/>
                <w:highlight w:val="none"/>
              </w:rPr>
            </w:pPr>
          </w:p>
        </w:tc>
      </w:tr>
      <w:tr w14:paraId="0EC5E94C">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6425415">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84B6D29">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406F5BCF">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5E25CF7">
            <w:pPr>
              <w:jc w:val="center"/>
              <w:rPr>
                <w:rFonts w:ascii="宋体" w:hAnsi="宋体" w:cs="宋体"/>
                <w:sz w:val="21"/>
                <w:szCs w:val="21"/>
                <w:highlight w:val="none"/>
              </w:rPr>
            </w:pPr>
          </w:p>
        </w:tc>
      </w:tr>
      <w:tr w14:paraId="153E9268">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0D29534">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5881AA1">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35ACE626">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25F675A">
            <w:pPr>
              <w:jc w:val="center"/>
              <w:rPr>
                <w:rFonts w:ascii="宋体" w:hAnsi="宋体" w:cs="宋体"/>
                <w:sz w:val="21"/>
                <w:szCs w:val="21"/>
                <w:highlight w:val="none"/>
              </w:rPr>
            </w:pPr>
          </w:p>
        </w:tc>
      </w:tr>
      <w:tr w14:paraId="7BE41A88">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EB6B1FC">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3533C8C">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48348A8B">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7908E54">
            <w:pPr>
              <w:jc w:val="center"/>
              <w:rPr>
                <w:rFonts w:ascii="宋体" w:hAnsi="宋体" w:cs="宋体"/>
                <w:sz w:val="21"/>
                <w:szCs w:val="21"/>
                <w:highlight w:val="none"/>
              </w:rPr>
            </w:pPr>
          </w:p>
        </w:tc>
      </w:tr>
    </w:tbl>
    <w:p w14:paraId="159ADEAF">
      <w:pPr>
        <w:pStyle w:val="12"/>
        <w:kinsoku w:val="0"/>
        <w:overflowPunct w:val="0"/>
        <w:spacing w:before="6"/>
        <w:ind w:left="0"/>
        <w:rPr>
          <w:rFonts w:cs="宋体"/>
          <w:sz w:val="24"/>
          <w:highlight w:val="none"/>
        </w:rPr>
      </w:pPr>
    </w:p>
    <w:p w14:paraId="74C05BDB">
      <w:pPr>
        <w:pStyle w:val="12"/>
        <w:kinsoku w:val="0"/>
        <w:overflowPunct w:val="0"/>
        <w:spacing w:before="36"/>
        <w:ind w:left="100"/>
        <w:rPr>
          <w:rFonts w:cs="宋体"/>
          <w:sz w:val="24"/>
          <w:highlight w:val="none"/>
        </w:rPr>
      </w:pPr>
    </w:p>
    <w:p w14:paraId="039F9ED6">
      <w:pPr>
        <w:pStyle w:val="12"/>
        <w:kinsoku w:val="0"/>
        <w:overflowPunct w:val="0"/>
        <w:spacing w:before="36"/>
        <w:ind w:left="100"/>
        <w:rPr>
          <w:sz w:val="24"/>
          <w:highlight w:val="none"/>
        </w:rPr>
        <w:sectPr>
          <w:headerReference r:id="rId31" w:type="default"/>
          <w:footerReference r:id="rId32" w:type="default"/>
          <w:pgSz w:w="11905" w:h="16838"/>
          <w:pgMar w:top="1417" w:right="1417" w:bottom="1417" w:left="1417" w:header="992" w:footer="992" w:gutter="0"/>
          <w:cols w:space="720" w:num="1"/>
        </w:sectPr>
      </w:pPr>
    </w:p>
    <w:p w14:paraId="3C4E0BC9">
      <w:pPr>
        <w:pStyle w:val="6"/>
        <w:rPr>
          <w:b/>
          <w:sz w:val="24"/>
          <w:highlight w:val="none"/>
        </w:rPr>
      </w:pPr>
      <w:bookmarkStart w:id="244" w:name="bookmark192"/>
      <w:bookmarkEnd w:id="244"/>
      <w:bookmarkStart w:id="245" w:name="_Toc12286"/>
      <w:r>
        <w:rPr>
          <w:b/>
          <w:sz w:val="24"/>
          <w:highlight w:val="none"/>
        </w:rPr>
        <w:t>（五）拟投入本项目的主要试验检测仪器设备表</w:t>
      </w:r>
      <w:bookmarkEnd w:id="245"/>
    </w:p>
    <w:p w14:paraId="65AAFB42">
      <w:pPr>
        <w:pStyle w:val="12"/>
        <w:kinsoku w:val="0"/>
        <w:overflowPunct w:val="0"/>
        <w:ind w:left="0"/>
        <w:rPr>
          <w:sz w:val="20"/>
          <w:highlight w:val="none"/>
        </w:rPr>
      </w:pPr>
    </w:p>
    <w:p w14:paraId="25615AE2">
      <w:pPr>
        <w:pStyle w:val="12"/>
        <w:kinsoku w:val="0"/>
        <w:overflowPunct w:val="0"/>
        <w:spacing w:before="11"/>
        <w:ind w:left="0"/>
        <w:rPr>
          <w:sz w:val="22"/>
          <w:highlight w:val="none"/>
        </w:rPr>
      </w:pPr>
    </w:p>
    <w:tbl>
      <w:tblPr>
        <w:tblStyle w:val="24"/>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4F0B1BE7">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14:paraId="2C3DF90C">
            <w:pPr>
              <w:pStyle w:val="34"/>
              <w:kinsoku w:val="0"/>
              <w:overflowPunct w:val="0"/>
              <w:spacing w:line="240" w:lineRule="atLeast"/>
              <w:jc w:val="center"/>
              <w:rPr>
                <w:sz w:val="21"/>
                <w:highlight w:val="none"/>
              </w:rPr>
            </w:pPr>
            <w:r>
              <w:rPr>
                <w:rFonts w:ascii="宋体" w:hAnsi="宋体"/>
                <w:sz w:val="21"/>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vAlign w:val="center"/>
          </w:tcPr>
          <w:p w14:paraId="43DFDFD7">
            <w:pPr>
              <w:pStyle w:val="34"/>
              <w:kinsoku w:val="0"/>
              <w:overflowPunct w:val="0"/>
              <w:spacing w:line="240" w:lineRule="atLeast"/>
              <w:jc w:val="center"/>
              <w:rPr>
                <w:sz w:val="21"/>
                <w:highlight w:val="none"/>
              </w:rPr>
            </w:pPr>
            <w:r>
              <w:rPr>
                <w:rFonts w:ascii="宋体" w:hAnsi="宋体"/>
                <w:sz w:val="21"/>
                <w:highlight w:val="none"/>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22A3519">
            <w:pPr>
              <w:pStyle w:val="34"/>
              <w:kinsoku w:val="0"/>
              <w:overflowPunct w:val="0"/>
              <w:spacing w:line="240" w:lineRule="atLeast"/>
              <w:jc w:val="center"/>
              <w:rPr>
                <w:sz w:val="21"/>
                <w:highlight w:val="none"/>
              </w:rPr>
            </w:pPr>
            <w:r>
              <w:rPr>
                <w:rFonts w:ascii="宋体" w:hAnsi="宋体"/>
                <w:sz w:val="21"/>
                <w:highlight w:val="none"/>
              </w:rPr>
              <w:t>型号</w:t>
            </w:r>
            <w:r>
              <w:rPr>
                <w:rFonts w:ascii="宋体" w:hAnsi="宋体"/>
                <w:spacing w:val="-103"/>
                <w:sz w:val="21"/>
                <w:highlight w:val="none"/>
              </w:rPr>
              <w:t xml:space="preserve"> </w:t>
            </w:r>
            <w:r>
              <w:rPr>
                <w:rFonts w:ascii="宋体" w:hAnsi="宋体"/>
                <w:sz w:val="21"/>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4EBB039E">
            <w:pPr>
              <w:pStyle w:val="34"/>
              <w:kinsoku w:val="0"/>
              <w:overflowPunct w:val="0"/>
              <w:spacing w:line="240" w:lineRule="atLeast"/>
              <w:jc w:val="center"/>
              <w:rPr>
                <w:sz w:val="21"/>
                <w:highlight w:val="none"/>
              </w:rPr>
            </w:pPr>
            <w:r>
              <w:rPr>
                <w:rFonts w:ascii="宋体" w:hAnsi="宋体"/>
                <w:sz w:val="21"/>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14:paraId="491156C4">
            <w:pPr>
              <w:pStyle w:val="34"/>
              <w:kinsoku w:val="0"/>
              <w:overflowPunct w:val="0"/>
              <w:spacing w:line="240" w:lineRule="atLeast"/>
              <w:jc w:val="center"/>
              <w:rPr>
                <w:sz w:val="21"/>
                <w:highlight w:val="none"/>
              </w:rPr>
            </w:pPr>
            <w:r>
              <w:rPr>
                <w:rFonts w:ascii="宋体" w:hAnsi="宋体"/>
                <w:sz w:val="21"/>
                <w:highlight w:val="none"/>
              </w:rPr>
              <w:t>国别</w:t>
            </w:r>
            <w:r>
              <w:rPr>
                <w:rFonts w:ascii="宋体" w:hAnsi="宋体"/>
                <w:spacing w:val="-103"/>
                <w:sz w:val="21"/>
                <w:highlight w:val="none"/>
              </w:rPr>
              <w:t xml:space="preserve"> </w:t>
            </w:r>
            <w:r>
              <w:rPr>
                <w:rFonts w:ascii="宋体" w:hAnsi="宋体"/>
                <w:sz w:val="21"/>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14:paraId="677B828C">
            <w:pPr>
              <w:pStyle w:val="34"/>
              <w:kinsoku w:val="0"/>
              <w:overflowPunct w:val="0"/>
              <w:spacing w:line="240" w:lineRule="atLeast"/>
              <w:jc w:val="center"/>
              <w:rPr>
                <w:sz w:val="21"/>
                <w:highlight w:val="none"/>
              </w:rPr>
            </w:pPr>
            <w:r>
              <w:rPr>
                <w:rFonts w:ascii="宋体" w:hAnsi="宋体"/>
                <w:sz w:val="21"/>
                <w:highlight w:val="none"/>
              </w:rPr>
              <w:t>制造</w:t>
            </w:r>
            <w:r>
              <w:rPr>
                <w:rFonts w:ascii="宋体" w:hAnsi="宋体"/>
                <w:spacing w:val="-103"/>
                <w:sz w:val="21"/>
                <w:highlight w:val="none"/>
              </w:rPr>
              <w:t xml:space="preserve"> </w:t>
            </w:r>
            <w:r>
              <w:rPr>
                <w:rFonts w:ascii="宋体" w:hAnsi="宋体"/>
                <w:sz w:val="21"/>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14:paraId="6F3B25DB">
            <w:pPr>
              <w:pStyle w:val="34"/>
              <w:kinsoku w:val="0"/>
              <w:overflowPunct w:val="0"/>
              <w:spacing w:line="240" w:lineRule="atLeast"/>
              <w:jc w:val="center"/>
              <w:rPr>
                <w:sz w:val="21"/>
                <w:highlight w:val="none"/>
              </w:rPr>
            </w:pPr>
            <w:r>
              <w:rPr>
                <w:rFonts w:ascii="宋体" w:hAnsi="宋体"/>
                <w:sz w:val="21"/>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14:paraId="050B17FB">
            <w:pPr>
              <w:pStyle w:val="34"/>
              <w:kinsoku w:val="0"/>
              <w:overflowPunct w:val="0"/>
              <w:spacing w:line="240" w:lineRule="atLeast"/>
              <w:jc w:val="center"/>
              <w:rPr>
                <w:sz w:val="21"/>
                <w:highlight w:val="none"/>
              </w:rPr>
            </w:pPr>
            <w:r>
              <w:rPr>
                <w:rFonts w:ascii="宋体" w:hAnsi="宋体"/>
                <w:sz w:val="21"/>
                <w:highlight w:val="none"/>
              </w:rPr>
              <w:t>备注</w:t>
            </w:r>
          </w:p>
        </w:tc>
      </w:tr>
      <w:tr w14:paraId="7A1CCD5B">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4E16C0E">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3E444E9">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96740E2">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A532220">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82EEA05">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175F903">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DF3956C">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0607F3C">
            <w:pPr>
              <w:rPr>
                <w:highlight w:val="none"/>
              </w:rPr>
            </w:pPr>
          </w:p>
        </w:tc>
      </w:tr>
      <w:tr w14:paraId="22B04372">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E6C4952">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2B782B0">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5D1B81E">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3BC5D76">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D06A74B">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95AB0DC">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CD308B3">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79AEB9A">
            <w:pPr>
              <w:rPr>
                <w:highlight w:val="none"/>
              </w:rPr>
            </w:pPr>
          </w:p>
        </w:tc>
      </w:tr>
      <w:tr w14:paraId="5E122ABC">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C24A958">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6642D71">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798FEB3">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C3ED9C2">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2F5982A">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D310234">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6A9E630">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676FB5E">
            <w:pPr>
              <w:rPr>
                <w:highlight w:val="none"/>
              </w:rPr>
            </w:pPr>
          </w:p>
        </w:tc>
      </w:tr>
      <w:tr w14:paraId="18BB1EC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2207C2B">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36FE033">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3F9679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61E665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3FB56B5">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9732A69">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C18850D">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DC78466">
            <w:pPr>
              <w:rPr>
                <w:highlight w:val="none"/>
              </w:rPr>
            </w:pPr>
          </w:p>
        </w:tc>
      </w:tr>
      <w:tr w14:paraId="483E8CCD">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D892A13">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2DEDB5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A466FA2">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8C50660">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0214D09">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CDEE134">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D2F9EB1">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762B1FE">
            <w:pPr>
              <w:rPr>
                <w:highlight w:val="none"/>
              </w:rPr>
            </w:pPr>
          </w:p>
        </w:tc>
      </w:tr>
      <w:tr w14:paraId="2B969FEE">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F1F2690">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721E7C2">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FD86207">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8424990">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5695D8B">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CEFABF8">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8AA36F6">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05DEE93">
            <w:pPr>
              <w:rPr>
                <w:highlight w:val="none"/>
              </w:rPr>
            </w:pPr>
          </w:p>
        </w:tc>
      </w:tr>
      <w:tr w14:paraId="61FF232A">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770F8D8">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988B5F0">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ABAD921">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DCE9431">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0163CA1">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07EB4C6">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93B4CAF">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FED55C8">
            <w:pPr>
              <w:rPr>
                <w:highlight w:val="none"/>
              </w:rPr>
            </w:pPr>
          </w:p>
        </w:tc>
      </w:tr>
      <w:tr w14:paraId="0EE1A36A">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976B9EE">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5377099">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372CE48">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1F427B5">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9941784">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9C4AAAC">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6A734A2">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92125EC">
            <w:pPr>
              <w:rPr>
                <w:highlight w:val="none"/>
              </w:rPr>
            </w:pPr>
          </w:p>
        </w:tc>
      </w:tr>
      <w:tr w14:paraId="1DEC91D1">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3FC6AFF">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46B1567">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5186DF1">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EE9309A">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173255F">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1933D58">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B5BD692">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01799D1">
            <w:pPr>
              <w:rPr>
                <w:highlight w:val="none"/>
              </w:rPr>
            </w:pPr>
          </w:p>
        </w:tc>
      </w:tr>
      <w:tr w14:paraId="6AB8E99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C594ABC">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B3BE93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C62FE59">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26E069B">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2F4F612">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48ECCF0">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C2A090F">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7070DCE">
            <w:pPr>
              <w:rPr>
                <w:highlight w:val="none"/>
              </w:rPr>
            </w:pPr>
          </w:p>
        </w:tc>
      </w:tr>
      <w:tr w14:paraId="3A07CBAF">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4CBA18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79522F1">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73F7A42">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ED6D37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C79FD81">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4526027">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BB92F61">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B68766B">
            <w:pPr>
              <w:rPr>
                <w:highlight w:val="none"/>
              </w:rPr>
            </w:pPr>
          </w:p>
        </w:tc>
      </w:tr>
      <w:tr w14:paraId="0A3C7460">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3790F5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3E9897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71C3399">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BE074AE">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A0E8B1D">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8ECDE4E">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B13AF74">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C047881">
            <w:pPr>
              <w:rPr>
                <w:highlight w:val="none"/>
              </w:rPr>
            </w:pPr>
          </w:p>
        </w:tc>
      </w:tr>
      <w:tr w14:paraId="687D8F26">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3574EA9">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EC0EE55">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D4143E0">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E8AACF4">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C245D65">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46F9B72">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F8B1E0D">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AFE0E63">
            <w:pPr>
              <w:rPr>
                <w:highlight w:val="none"/>
              </w:rPr>
            </w:pPr>
          </w:p>
        </w:tc>
      </w:tr>
      <w:tr w14:paraId="662BADA4">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A3354C0">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8E4B372">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DF7F00E">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320F064">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D93DD10">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55BEBEB">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7F57306">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7AB48D7">
            <w:pPr>
              <w:rPr>
                <w:highlight w:val="none"/>
              </w:rPr>
            </w:pPr>
          </w:p>
        </w:tc>
      </w:tr>
      <w:tr w14:paraId="4667C010">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D5336AB">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3F96FC1">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8B60B8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D594F6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53FFF0D">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B9803AC">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9848A53">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343A44F">
            <w:pPr>
              <w:rPr>
                <w:highlight w:val="none"/>
              </w:rPr>
            </w:pPr>
          </w:p>
        </w:tc>
      </w:tr>
      <w:tr w14:paraId="3ED1A4A5">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2588AC1">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1B3259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5586D80">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287B1D6">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4B77FDE">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E47799B">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B129623">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03D09CD">
            <w:pPr>
              <w:rPr>
                <w:highlight w:val="none"/>
              </w:rPr>
            </w:pPr>
          </w:p>
        </w:tc>
      </w:tr>
      <w:tr w14:paraId="55A6BCA6">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620A282">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AD58834">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C9D4B5C">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CC1C7D8">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EE1450E">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B7D4E1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BDF06E2">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E69B7AE">
            <w:pPr>
              <w:rPr>
                <w:highlight w:val="none"/>
              </w:rPr>
            </w:pPr>
          </w:p>
        </w:tc>
      </w:tr>
      <w:tr w14:paraId="6BB812F2">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FB4ACA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C322843">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3243A14">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DE9937D">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6CF39AD">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11604C7">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BD5923F">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4507F69">
            <w:pPr>
              <w:rPr>
                <w:highlight w:val="none"/>
              </w:rPr>
            </w:pPr>
          </w:p>
        </w:tc>
      </w:tr>
      <w:tr w14:paraId="56D51F9A">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D080FDA">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1C36B9B">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F1707CE">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1B73391">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3182FC4">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FD3E20F">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6E668E2">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9E68C3D">
            <w:pPr>
              <w:rPr>
                <w:highlight w:val="none"/>
              </w:rPr>
            </w:pPr>
          </w:p>
        </w:tc>
      </w:tr>
    </w:tbl>
    <w:p w14:paraId="791F4DF8">
      <w:pPr>
        <w:rPr>
          <w:highlight w:val="none"/>
        </w:rPr>
        <w:sectPr>
          <w:headerReference r:id="rId33" w:type="default"/>
          <w:footerReference r:id="rId34" w:type="default"/>
          <w:pgSz w:w="11905" w:h="16838"/>
          <w:pgMar w:top="1417" w:right="1417" w:bottom="1417" w:left="1417" w:header="992" w:footer="992" w:gutter="0"/>
          <w:cols w:space="720" w:num="1"/>
        </w:sectPr>
      </w:pPr>
    </w:p>
    <w:p w14:paraId="7C3D638D">
      <w:pPr>
        <w:pStyle w:val="6"/>
        <w:rPr>
          <w:b/>
          <w:sz w:val="24"/>
          <w:highlight w:val="none"/>
        </w:rPr>
      </w:pPr>
      <w:bookmarkStart w:id="246" w:name="_Toc32582"/>
      <w:r>
        <w:rPr>
          <w:b/>
          <w:sz w:val="24"/>
          <w:highlight w:val="none"/>
        </w:rPr>
        <w:t>（六）投标人声明格式</w:t>
      </w:r>
      <w:bookmarkEnd w:id="246"/>
    </w:p>
    <w:p w14:paraId="2D981476">
      <w:pPr>
        <w:pStyle w:val="20"/>
        <w:spacing w:before="120" w:beforeLines="50" w:after="120" w:afterLines="50"/>
        <w:jc w:val="center"/>
        <w:rPr>
          <w:rFonts w:hint="default" w:ascii="宋体" w:hAnsi="宋体" w:eastAsia="宋体"/>
          <w:highlight w:val="none"/>
        </w:rPr>
      </w:pPr>
      <w:bookmarkStart w:id="247" w:name="_Toc7353"/>
      <w:bookmarkStart w:id="248" w:name="_Toc681"/>
      <w:r>
        <w:rPr>
          <w:rFonts w:hint="default" w:ascii="宋体" w:hAnsi="宋体" w:eastAsia="宋体" w:cs="宋体"/>
          <w:b/>
          <w:sz w:val="32"/>
          <w:szCs w:val="32"/>
          <w:highlight w:val="none"/>
        </w:rPr>
        <w:t>投标人声明</w:t>
      </w:r>
      <w:bookmarkEnd w:id="247"/>
      <w:bookmarkEnd w:id="248"/>
      <w:r>
        <w:rPr>
          <w:rFonts w:hint="default" w:ascii="宋体" w:hAnsi="宋体" w:eastAsia="宋体" w:cs="宋体"/>
          <w:b/>
          <w:sz w:val="32"/>
          <w:szCs w:val="32"/>
          <w:highlight w:val="none"/>
        </w:rPr>
        <w:t>（参考格式）</w:t>
      </w:r>
    </w:p>
    <w:p w14:paraId="2897D520">
      <w:pPr>
        <w:snapToGrid w:val="0"/>
        <w:spacing w:line="360" w:lineRule="auto"/>
        <w:rPr>
          <w:rFonts w:ascii="宋体" w:hAnsi="宋体" w:cs="宋体"/>
          <w:sz w:val="21"/>
          <w:szCs w:val="21"/>
          <w:highlight w:val="none"/>
        </w:rPr>
      </w:pPr>
    </w:p>
    <w:p w14:paraId="34ED3120">
      <w:pPr>
        <w:snapToGrid w:val="0"/>
        <w:spacing w:line="360" w:lineRule="auto"/>
        <w:rPr>
          <w:rFonts w:ascii="宋体" w:hAnsi="宋体" w:cs="宋体"/>
          <w:sz w:val="21"/>
          <w:szCs w:val="21"/>
          <w:highlight w:val="none"/>
        </w:rPr>
      </w:pPr>
      <w:r>
        <w:rPr>
          <w:rFonts w:ascii="宋体" w:hAnsi="宋体" w:cs="宋体"/>
          <w:sz w:val="21"/>
          <w:szCs w:val="21"/>
          <w:highlight w:val="none"/>
        </w:rPr>
        <w:t>本招标项目招标人及招标监管机构：</w:t>
      </w:r>
    </w:p>
    <w:p w14:paraId="65C2D4F0">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本公司就参加</w:t>
      </w:r>
      <w:r>
        <w:rPr>
          <w:rFonts w:ascii="宋体" w:hAnsi="宋体" w:cs="宋体"/>
          <w:sz w:val="21"/>
          <w:szCs w:val="21"/>
          <w:highlight w:val="none"/>
          <w:u w:val="single"/>
        </w:rPr>
        <w:t>    （项目名称）    </w:t>
      </w:r>
      <w:r>
        <w:rPr>
          <w:rFonts w:ascii="宋体" w:hAnsi="宋体" w:cs="宋体"/>
          <w:sz w:val="21"/>
          <w:szCs w:val="21"/>
          <w:highlight w:val="none"/>
        </w:rPr>
        <w:t>项目投标工作，作出郑重声明：</w:t>
      </w:r>
    </w:p>
    <w:p w14:paraId="499DFEA6">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A4AAE7D">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二、本公司保证不与其他单位围标、串标，不出让投标资格，不向招标人或评标委员会成员行贿。</w:t>
      </w:r>
    </w:p>
    <w:p w14:paraId="3C191CA0">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三、本公司不存在招标文件第二章投标人须知第1.4.3项所规定的任何一种情形。</w:t>
      </w:r>
    </w:p>
    <w:p w14:paraId="20C514FF">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四、本公司及其有隶属关系的机构，没有参加本项目招标文件的编写工作；本公司与本次招标的招标代理机构没有隶属关系或其他利害关系。</w:t>
      </w:r>
    </w:p>
    <w:p w14:paraId="72B30E90">
      <w:pPr>
        <w:snapToGrid w:val="0"/>
        <w:spacing w:line="360" w:lineRule="auto"/>
        <w:ind w:firstLine="420" w:firstLineChars="200"/>
        <w:rPr>
          <w:rFonts w:ascii="宋体" w:hAnsi="宋体" w:cs="宋体"/>
          <w:sz w:val="21"/>
          <w:szCs w:val="21"/>
          <w:highlight w:val="none"/>
        </w:rPr>
      </w:pPr>
      <w:bookmarkStart w:id="249" w:name="_Toc14569"/>
      <w:r>
        <w:rPr>
          <w:rFonts w:hint="eastAsia" w:ascii="宋体" w:hAnsi="宋体" w:cs="宋体"/>
          <w:sz w:val="21"/>
          <w:szCs w:val="21"/>
          <w:highlight w:val="none"/>
        </w:rPr>
        <w:t>五、本公司具有履行合同的能力，包括专业、技术资格和能力，资金、设备和其他物质设施能力，管理能力，类似工程经验、信誉状况等。</w:t>
      </w:r>
    </w:p>
    <w:p w14:paraId="34B2E5BC">
      <w:pPr>
        <w:snapToGrid w:val="0"/>
        <w:spacing w:line="360" w:lineRule="auto"/>
        <w:ind w:firstLine="420" w:firstLineChars="200"/>
        <w:rPr>
          <w:rFonts w:ascii="宋体" w:hAnsi="宋体" w:cs="宋体"/>
          <w:sz w:val="21"/>
          <w:szCs w:val="21"/>
          <w:highlight w:val="none"/>
        </w:rPr>
      </w:pPr>
      <w:bookmarkStart w:id="250" w:name="_Toc4666"/>
      <w:r>
        <w:rPr>
          <w:rFonts w:hint="eastAsia" w:ascii="宋体" w:hAnsi="宋体" w:cs="宋体"/>
          <w:sz w:val="21"/>
          <w:szCs w:val="21"/>
          <w:highlight w:val="none"/>
        </w:rPr>
        <w:t>六</w:t>
      </w:r>
      <w:r>
        <w:rPr>
          <w:rFonts w:ascii="宋体" w:hAnsi="宋体" w:cs="宋体"/>
          <w:sz w:val="21"/>
          <w:szCs w:val="21"/>
          <w:highlight w:val="none"/>
        </w:rPr>
        <w:t>、本公司承诺，中标后严格执行安全生产相关管理规定。</w:t>
      </w:r>
      <w:bookmarkEnd w:id="249"/>
      <w:bookmarkEnd w:id="250"/>
    </w:p>
    <w:p w14:paraId="12EDC0FB">
      <w:pPr>
        <w:snapToGrid w:val="0"/>
        <w:spacing w:line="360" w:lineRule="auto"/>
        <w:ind w:firstLine="420" w:firstLineChars="200"/>
        <w:rPr>
          <w:rFonts w:ascii="宋体" w:hAnsi="宋体" w:cs="宋体"/>
          <w:strike w:val="0"/>
          <w:sz w:val="21"/>
          <w:szCs w:val="21"/>
          <w:highlight w:val="none"/>
        </w:rPr>
      </w:pPr>
      <w:r>
        <w:rPr>
          <w:rFonts w:ascii="宋体" w:hAnsi="宋体" w:cs="宋体"/>
          <w:strike w:val="0"/>
          <w:sz w:val="21"/>
          <w:szCs w:val="21"/>
          <w:highlight w:val="none"/>
        </w:rPr>
        <w:t>七、本公司积极响应广州市关于投身“百千万工程”的号召，主动参与政府投资类建设工程施工项目的建筑业结对帮扶等活动（市属国有企业投资项目参照执行）。</w:t>
      </w:r>
    </w:p>
    <w:p w14:paraId="73670DD6">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本公司违反上述保证，或本声明陈述与事实不符，经查实，本公司愿意接受公开通报，承担由此带来的法律后果。</w:t>
      </w:r>
    </w:p>
    <w:p w14:paraId="06AA29EF">
      <w:pPr>
        <w:widowControl/>
        <w:shd w:val="clear" w:color="auto" w:fill="FFFFFF"/>
        <w:spacing w:line="360" w:lineRule="auto"/>
        <w:ind w:firstLine="420" w:firstLineChars="200"/>
        <w:rPr>
          <w:rFonts w:ascii="宋体" w:hAnsi="宋体" w:cs="宋体"/>
          <w:sz w:val="21"/>
          <w:szCs w:val="21"/>
          <w:highlight w:val="none"/>
        </w:rPr>
      </w:pPr>
      <w:r>
        <w:rPr>
          <w:rFonts w:ascii="宋体" w:hAnsi="宋体" w:cs="宋体"/>
          <w:sz w:val="21"/>
          <w:szCs w:val="21"/>
          <w:highlight w:val="none"/>
        </w:rPr>
        <w:t>特此声明。</w:t>
      </w:r>
    </w:p>
    <w:p w14:paraId="7D6D8EFB">
      <w:pPr>
        <w:pStyle w:val="40"/>
        <w:ind w:right="1449" w:firstLine="420" w:firstLineChars="200"/>
        <w:rPr>
          <w:rFonts w:hint="default" w:ascii="宋体" w:eastAsia="宋体" w:cs="宋体"/>
          <w:sz w:val="21"/>
          <w:szCs w:val="21"/>
          <w:highlight w:val="none"/>
        </w:rPr>
      </w:pPr>
    </w:p>
    <w:p w14:paraId="7A09C195">
      <w:pPr>
        <w:pStyle w:val="40"/>
        <w:spacing w:line="600" w:lineRule="exact"/>
        <w:ind w:left="629" w:right="1449" w:firstLine="420" w:firstLineChars="200"/>
        <w:rPr>
          <w:rFonts w:hint="default" w:ascii="宋体" w:eastAsia="宋体" w:cs="宋体"/>
          <w:sz w:val="21"/>
          <w:szCs w:val="21"/>
          <w:highlight w:val="none"/>
        </w:rPr>
      </w:pPr>
      <w:r>
        <w:rPr>
          <w:rFonts w:hint="default" w:ascii="宋体" w:eastAsia="宋体" w:cs="宋体"/>
          <w:sz w:val="21"/>
          <w:szCs w:val="21"/>
          <w:highlight w:val="none"/>
        </w:rPr>
        <w:t xml:space="preserve">                                           声明企业：</w:t>
      </w:r>
    </w:p>
    <w:p w14:paraId="102E3B9F">
      <w:pPr>
        <w:pStyle w:val="35"/>
        <w:spacing w:line="600" w:lineRule="exact"/>
        <w:ind w:right="1779" w:firstLine="473"/>
        <w:jc w:val="right"/>
        <w:rPr>
          <w:rFonts w:hint="default" w:ascii="宋体" w:eastAsia="宋体" w:cs="宋体"/>
          <w:sz w:val="21"/>
          <w:szCs w:val="21"/>
          <w:highlight w:val="none"/>
        </w:rPr>
      </w:pPr>
      <w:r>
        <w:rPr>
          <w:rFonts w:hint="default" w:ascii="宋体" w:eastAsia="宋体" w:cs="宋体"/>
          <w:sz w:val="21"/>
          <w:szCs w:val="21"/>
          <w:highlight w:val="none"/>
        </w:rPr>
        <w:t>法定代表人（签字）：</w:t>
      </w:r>
    </w:p>
    <w:p w14:paraId="3C5C3720">
      <w:pPr>
        <w:pStyle w:val="35"/>
        <w:spacing w:line="600" w:lineRule="exact"/>
        <w:ind w:right="1779" w:firstLine="473"/>
        <w:jc w:val="right"/>
        <w:rPr>
          <w:rFonts w:hint="default" w:ascii="宋体" w:eastAsia="宋体" w:cs="宋体"/>
          <w:sz w:val="21"/>
          <w:szCs w:val="21"/>
          <w:highlight w:val="none"/>
        </w:rPr>
      </w:pPr>
      <w:r>
        <w:rPr>
          <w:rFonts w:hint="default" w:ascii="宋体" w:eastAsia="宋体" w:cs="宋体"/>
          <w:sz w:val="21"/>
          <w:szCs w:val="21"/>
          <w:highlight w:val="none"/>
        </w:rPr>
        <w:t>总监理工程师（签字）：</w:t>
      </w:r>
    </w:p>
    <w:p w14:paraId="565DFB86">
      <w:pPr>
        <w:pStyle w:val="35"/>
        <w:spacing w:line="600" w:lineRule="exact"/>
        <w:ind w:right="1779" w:firstLine="473"/>
        <w:jc w:val="right"/>
        <w:rPr>
          <w:rFonts w:hint="default" w:ascii="宋体" w:eastAsia="宋体" w:cs="宋体"/>
          <w:sz w:val="21"/>
          <w:szCs w:val="21"/>
          <w:highlight w:val="none"/>
        </w:rPr>
      </w:pPr>
      <w:r>
        <w:rPr>
          <w:rFonts w:ascii="宋体" w:eastAsia="宋体" w:cs="宋体"/>
          <w:sz w:val="21"/>
          <w:szCs w:val="21"/>
          <w:highlight w:val="none"/>
        </w:rPr>
        <w:t>技术负责人（签字）：</w:t>
      </w:r>
    </w:p>
    <w:p w14:paraId="5A4D6C7A">
      <w:pPr>
        <w:pStyle w:val="35"/>
        <w:spacing w:line="600" w:lineRule="exact"/>
        <w:ind w:right="879" w:firstLine="420" w:firstLineChars="200"/>
        <w:jc w:val="right"/>
        <w:rPr>
          <w:rFonts w:hint="default" w:ascii="宋体" w:eastAsia="宋体" w:cs="宋体"/>
          <w:sz w:val="21"/>
          <w:szCs w:val="21"/>
          <w:highlight w:val="none"/>
        </w:rPr>
      </w:pPr>
      <w:r>
        <w:rPr>
          <w:rFonts w:hint="default" w:ascii="宋体" w:eastAsia="宋体" w:cs="宋体"/>
          <w:sz w:val="21"/>
          <w:szCs w:val="21"/>
          <w:highlight w:val="none"/>
        </w:rPr>
        <w:t>（企业公章）</w:t>
      </w:r>
    </w:p>
    <w:p w14:paraId="48AAFDD2">
      <w:pPr>
        <w:pStyle w:val="35"/>
        <w:ind w:right="879" w:firstLine="420" w:firstLineChars="200"/>
        <w:jc w:val="right"/>
        <w:rPr>
          <w:rFonts w:hint="default" w:ascii="宋体" w:eastAsia="宋体" w:cs="宋体"/>
          <w:sz w:val="21"/>
          <w:szCs w:val="21"/>
          <w:highlight w:val="none"/>
        </w:rPr>
      </w:pPr>
      <w:r>
        <w:rPr>
          <w:rFonts w:hint="default" w:ascii="宋体" w:eastAsia="宋体" w:cs="宋体"/>
          <w:sz w:val="21"/>
          <w:szCs w:val="21"/>
          <w:highlight w:val="none"/>
        </w:rPr>
        <w:t>年  月  日</w:t>
      </w:r>
    </w:p>
    <w:p w14:paraId="17573018">
      <w:pPr>
        <w:pStyle w:val="31"/>
        <w:ind w:firstLine="0" w:firstLineChars="0"/>
        <w:rPr>
          <w:rFonts w:hint="default"/>
          <w:szCs w:val="24"/>
          <w:highlight w:val="none"/>
        </w:rPr>
        <w:sectPr>
          <w:pgSz w:w="11905" w:h="16838"/>
          <w:pgMar w:top="1417" w:right="1417" w:bottom="1417" w:left="1417" w:header="992" w:footer="992" w:gutter="0"/>
          <w:cols w:space="720" w:num="1"/>
        </w:sectPr>
      </w:pPr>
    </w:p>
    <w:p w14:paraId="17D5453F">
      <w:pPr>
        <w:pStyle w:val="6"/>
        <w:pageBreakBefore/>
        <w:rPr>
          <w:b/>
          <w:sz w:val="24"/>
          <w:highlight w:val="none"/>
        </w:rPr>
      </w:pPr>
      <w:r>
        <w:rPr>
          <w:rFonts w:hint="eastAsia"/>
          <w:b/>
          <w:bCs/>
          <w:sz w:val="24"/>
          <w:highlight w:val="none"/>
        </w:rPr>
        <w:t>（七）</w:t>
      </w:r>
      <w:r>
        <w:rPr>
          <w:rFonts w:hint="eastAsia"/>
          <w:b/>
          <w:sz w:val="24"/>
          <w:highlight w:val="none"/>
        </w:rPr>
        <w:t>投标人廉洁承诺书（格式）</w:t>
      </w:r>
    </w:p>
    <w:p w14:paraId="53BBF65C">
      <w:pPr>
        <w:pStyle w:val="20"/>
        <w:spacing w:before="120" w:beforeLines="50" w:beforeAutospacing="0" w:after="120" w:afterLines="50" w:afterAutospacing="0" w:line="360" w:lineRule="auto"/>
        <w:jc w:val="center"/>
        <w:rPr>
          <w:rFonts w:hint="default" w:ascii="宋体" w:hAnsi="宋体" w:cs="宋体"/>
          <w:b/>
          <w:bCs/>
          <w:sz w:val="32"/>
          <w:szCs w:val="32"/>
          <w:highlight w:val="none"/>
        </w:rPr>
      </w:pPr>
      <w:r>
        <w:rPr>
          <w:rFonts w:ascii="宋体" w:hAnsi="宋体" w:eastAsia="宋体" w:cs="宋体"/>
          <w:b/>
          <w:bCs/>
          <w:sz w:val="32"/>
          <w:szCs w:val="32"/>
          <w:highlight w:val="none"/>
        </w:rPr>
        <w:t>投标人廉洁承诺书</w:t>
      </w:r>
    </w:p>
    <w:p w14:paraId="606CBC13">
      <w:pPr>
        <w:pStyle w:val="20"/>
        <w:shd w:val="clear" w:color="auto" w:fill="FFFFFF"/>
        <w:spacing w:before="0" w:beforeAutospacing="0" w:after="0" w:afterAutospacing="0" w:line="360" w:lineRule="auto"/>
        <w:rPr>
          <w:rFonts w:hint="default" w:ascii="宋体" w:hAnsi="宋体" w:cs="宋体"/>
          <w:highlight w:val="none"/>
        </w:rPr>
      </w:pPr>
      <w:r>
        <w:rPr>
          <w:rFonts w:ascii="宋体" w:hAnsi="宋体" w:eastAsia="宋体" w:cs="宋体"/>
          <w:highlight w:val="none"/>
        </w:rPr>
        <w:t>广州市水务局、本招标项目招标人及招标监管机构：</w:t>
      </w:r>
    </w:p>
    <w:p w14:paraId="3AF28777">
      <w:pPr>
        <w:pStyle w:val="14"/>
        <w:spacing w:line="360" w:lineRule="auto"/>
        <w:ind w:right="420" w:firstLine="480" w:firstLineChars="200"/>
        <w:jc w:val="both"/>
        <w:rPr>
          <w:rFonts w:hAnsi="宋体" w:cs="宋体"/>
          <w:highlight w:val="none"/>
        </w:rPr>
      </w:pPr>
      <w:r>
        <w:rPr>
          <w:rFonts w:hint="eastAsia" w:hAnsi="宋体" w:cs="宋体"/>
          <w:highlight w:val="none"/>
        </w:rPr>
        <w:t>本公司参加了</w:t>
      </w:r>
      <w:r>
        <w:rPr>
          <w:rFonts w:hint="eastAsia" w:hAnsi="宋体" w:cs="宋体"/>
          <w:highlight w:val="none"/>
          <w:u w:val="single"/>
        </w:rPr>
        <w:t xml:space="preserve">   （项目名称/标段名称）    </w:t>
      </w:r>
      <w:r>
        <w:rPr>
          <w:rFonts w:hint="eastAsia" w:hAnsi="宋体" w:cs="宋体"/>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26B7AEEB">
      <w:pPr>
        <w:pStyle w:val="14"/>
        <w:spacing w:line="360" w:lineRule="auto"/>
        <w:ind w:right="420" w:firstLine="480" w:firstLineChars="200"/>
        <w:rPr>
          <w:rFonts w:hAnsi="宋体" w:cs="宋体"/>
          <w:highlight w:val="none"/>
        </w:rPr>
      </w:pPr>
      <w:r>
        <w:rPr>
          <w:rFonts w:hint="eastAsia" w:hAnsi="宋体" w:cs="宋体"/>
          <w:highlight w:val="none"/>
        </w:rPr>
        <w:t>一、自觉遵守国家有关法律法规及廉洁规定。</w:t>
      </w:r>
    </w:p>
    <w:p w14:paraId="39CDD09D">
      <w:pPr>
        <w:pStyle w:val="14"/>
        <w:spacing w:line="360" w:lineRule="auto"/>
        <w:ind w:right="420" w:firstLine="480" w:firstLineChars="200"/>
        <w:jc w:val="both"/>
        <w:rPr>
          <w:rFonts w:hAnsi="宋体" w:cs="宋体"/>
          <w:highlight w:val="none"/>
        </w:rPr>
      </w:pPr>
      <w:r>
        <w:rPr>
          <w:rFonts w:hint="eastAsia" w:hAnsi="宋体" w:cs="宋体"/>
          <w:highlight w:val="none"/>
        </w:rPr>
        <w:t>二、不与招标单位工作人员串通投标，损害国家利益、企业利益以及他人的合法利益；</w:t>
      </w:r>
    </w:p>
    <w:p w14:paraId="17A41FD3">
      <w:pPr>
        <w:pStyle w:val="14"/>
        <w:spacing w:line="360" w:lineRule="auto"/>
        <w:ind w:right="420" w:firstLine="480" w:firstLineChars="200"/>
        <w:jc w:val="both"/>
        <w:rPr>
          <w:rFonts w:hAnsi="宋体" w:cs="宋体"/>
          <w:highlight w:val="none"/>
        </w:rPr>
      </w:pPr>
      <w:r>
        <w:rPr>
          <w:rFonts w:hint="eastAsia" w:hAnsi="宋体" w:cs="宋体"/>
          <w:highlight w:val="none"/>
        </w:rPr>
        <w:t>三、不与其他单位围标、串标，不出让投标资格，不向招标人或评标委员会成员行贿。</w:t>
      </w:r>
    </w:p>
    <w:p w14:paraId="5AE499C4">
      <w:pPr>
        <w:pStyle w:val="14"/>
        <w:spacing w:line="360" w:lineRule="auto"/>
        <w:ind w:right="420" w:firstLine="480" w:firstLineChars="200"/>
        <w:jc w:val="both"/>
        <w:rPr>
          <w:rFonts w:hAnsi="宋体" w:cs="宋体"/>
          <w:highlight w:val="none"/>
        </w:rPr>
      </w:pPr>
      <w:r>
        <w:rPr>
          <w:rFonts w:hint="eastAsia" w:hAnsi="宋体" w:cs="宋体"/>
          <w:highlight w:val="none"/>
        </w:rPr>
        <w:t xml:space="preserve">四、不以任何名义向参与招标、评标工作的有关人员提供高消费宴请及娱乐活动和赠送回扣、红包、礼金、购物卡、有价证券、贵重物品和好处费、感谢费等； </w:t>
      </w:r>
    </w:p>
    <w:p w14:paraId="7DD9561D">
      <w:pPr>
        <w:pStyle w:val="14"/>
        <w:spacing w:line="360" w:lineRule="auto"/>
        <w:ind w:right="420" w:firstLine="480" w:firstLineChars="200"/>
        <w:jc w:val="both"/>
        <w:rPr>
          <w:rFonts w:hAnsi="宋体" w:cs="宋体"/>
          <w:highlight w:val="none"/>
        </w:rPr>
      </w:pPr>
      <w:r>
        <w:rPr>
          <w:rFonts w:hint="eastAsia" w:hAnsi="宋体" w:cs="宋体"/>
          <w:highlight w:val="none"/>
        </w:rPr>
        <w:t>五、不以任何名义为参与招标、评标工作的有关人员装修住房、婚丧嫁取、配偶子女的工作安排以及境内外旅游等提供方便；</w:t>
      </w:r>
    </w:p>
    <w:p w14:paraId="2DB11A40">
      <w:pPr>
        <w:pStyle w:val="14"/>
        <w:spacing w:line="360" w:lineRule="auto"/>
        <w:ind w:right="420" w:firstLine="480" w:firstLineChars="200"/>
        <w:rPr>
          <w:rFonts w:hAnsi="宋体" w:cs="宋体"/>
          <w:highlight w:val="none"/>
        </w:rPr>
      </w:pPr>
      <w:r>
        <w:rPr>
          <w:rFonts w:hint="eastAsia" w:hAnsi="宋体" w:cs="宋体"/>
          <w:highlight w:val="none"/>
        </w:rPr>
        <w:t>六、不以谋取非正当利益为目的，擅自与参与招标、评标工作的有关人员就业务问题进行私下商谈或者达成利益默契。</w:t>
      </w:r>
    </w:p>
    <w:p w14:paraId="146BA8DA">
      <w:pPr>
        <w:pStyle w:val="20"/>
        <w:shd w:val="clear" w:color="auto" w:fill="FFFFFF"/>
        <w:spacing w:before="0" w:beforeAutospacing="0" w:after="0" w:afterAutospacing="0" w:line="360" w:lineRule="auto"/>
        <w:ind w:firstLine="480" w:firstLineChars="200"/>
        <w:rPr>
          <w:rFonts w:hint="default" w:ascii="宋体" w:hAnsi="宋体" w:cs="宋体"/>
          <w:highlight w:val="none"/>
        </w:rPr>
      </w:pPr>
      <w:r>
        <w:rPr>
          <w:rFonts w:ascii="宋体" w:hAnsi="宋体" w:eastAsia="宋体" w:cs="宋体"/>
          <w:highlight w:val="none"/>
        </w:rPr>
        <w:t>本公司违反上述承诺，或本承诺陈述与事实不符，经查实，本公司愿意接受公开通报，承担由此带来的法律后果。</w:t>
      </w:r>
    </w:p>
    <w:p w14:paraId="5914BACB">
      <w:pPr>
        <w:pStyle w:val="20"/>
        <w:shd w:val="clear" w:color="auto" w:fill="FFFFFF"/>
        <w:spacing w:before="0" w:beforeAutospacing="0" w:after="0" w:afterAutospacing="0" w:line="360" w:lineRule="auto"/>
        <w:ind w:firstLine="480" w:firstLineChars="200"/>
        <w:rPr>
          <w:rFonts w:hint="default" w:ascii="宋体" w:hAnsi="宋体" w:eastAsia="宋体" w:cs="宋体"/>
          <w:highlight w:val="none"/>
        </w:rPr>
      </w:pPr>
      <w:r>
        <w:rPr>
          <w:rFonts w:ascii="宋体" w:hAnsi="宋体" w:eastAsia="宋体" w:cs="宋体"/>
          <w:highlight w:val="none"/>
        </w:rPr>
        <w:t>特此承诺。</w:t>
      </w:r>
    </w:p>
    <w:p w14:paraId="7069C1AA">
      <w:pPr>
        <w:pStyle w:val="20"/>
        <w:shd w:val="clear" w:color="auto" w:fill="FFFFFF"/>
        <w:spacing w:before="0" w:beforeAutospacing="0" w:after="0" w:afterAutospacing="0" w:line="360" w:lineRule="auto"/>
        <w:ind w:right="1455" w:firstLine="2880"/>
        <w:jc w:val="right"/>
        <w:rPr>
          <w:rFonts w:hint="default" w:ascii="宋体" w:hAnsi="宋体" w:cs="宋体"/>
          <w:highlight w:val="none"/>
        </w:rPr>
      </w:pPr>
      <w:r>
        <w:rPr>
          <w:rFonts w:ascii="宋体" w:hAnsi="宋体" w:eastAsia="宋体" w:cs="宋体"/>
          <w:highlight w:val="none"/>
        </w:rPr>
        <w:t>承诺企业（</w:t>
      </w:r>
      <w:r>
        <w:rPr>
          <w:rFonts w:ascii="宋体" w:hAnsi="宋体" w:cs="宋体"/>
          <w:highlight w:val="none"/>
        </w:rPr>
        <w:t>盖</w:t>
      </w:r>
      <w:r>
        <w:rPr>
          <w:rFonts w:ascii="宋体" w:hAnsi="宋体" w:eastAsia="宋体" w:cs="宋体"/>
          <w:highlight w:val="none"/>
        </w:rPr>
        <w:t>单位章）：      </w:t>
      </w:r>
    </w:p>
    <w:p w14:paraId="48CB9C45">
      <w:pPr>
        <w:pStyle w:val="20"/>
        <w:shd w:val="clear" w:color="auto" w:fill="FFFFFF"/>
        <w:spacing w:before="0" w:beforeAutospacing="0" w:after="0" w:afterAutospacing="0" w:line="360" w:lineRule="auto"/>
        <w:ind w:firstLine="480"/>
        <w:jc w:val="right"/>
        <w:rPr>
          <w:rFonts w:hint="default" w:ascii="宋体" w:hAnsi="宋体" w:cs="宋体"/>
          <w:highlight w:val="none"/>
        </w:rPr>
      </w:pPr>
      <w:r>
        <w:rPr>
          <w:rFonts w:ascii="宋体" w:hAnsi="宋体" w:eastAsia="宋体" w:cs="宋体"/>
          <w:highlight w:val="none"/>
        </w:rPr>
        <w:t>法定代表人签字：</w:t>
      </w:r>
      <w:r>
        <w:rPr>
          <w:rFonts w:ascii="宋体" w:hAnsi="宋体" w:cs="宋体"/>
          <w:highlight w:val="none"/>
        </w:rPr>
        <w:t xml:space="preserve">           </w:t>
      </w:r>
    </w:p>
    <w:p w14:paraId="6DACC76E">
      <w:pPr>
        <w:pStyle w:val="31"/>
        <w:ind w:firstLine="0" w:firstLineChars="0"/>
        <w:jc w:val="right"/>
        <w:rPr>
          <w:rFonts w:hint="default"/>
          <w:szCs w:val="24"/>
          <w:highlight w:val="none"/>
        </w:rPr>
        <w:sectPr>
          <w:pgSz w:w="11905" w:h="16838"/>
          <w:pgMar w:top="1417" w:right="1417" w:bottom="1417" w:left="1417" w:header="992" w:footer="992" w:gutter="0"/>
          <w:cols w:space="720" w:num="1"/>
        </w:sectPr>
      </w:pPr>
      <w:r>
        <w:rPr>
          <w:rFonts w:ascii="宋体" w:hAnsi="宋体" w:eastAsia="宋体" w:cs="宋体"/>
          <w:szCs w:val="24"/>
          <w:highlight w:val="none"/>
        </w:rPr>
        <w:t>年   月   日</w:t>
      </w:r>
    </w:p>
    <w:p w14:paraId="68C44839">
      <w:pPr>
        <w:pStyle w:val="5"/>
        <w:spacing w:before="120" w:after="120"/>
        <w:jc w:val="center"/>
        <w:rPr>
          <w:sz w:val="28"/>
          <w:highlight w:val="none"/>
        </w:rPr>
      </w:pPr>
      <w:bookmarkStart w:id="251" w:name="bookmark193"/>
      <w:bookmarkEnd w:id="251"/>
      <w:bookmarkStart w:id="252" w:name="_Toc3592"/>
      <w:r>
        <w:rPr>
          <w:sz w:val="28"/>
          <w:highlight w:val="none"/>
        </w:rPr>
        <w:t>七、监理大纲</w:t>
      </w:r>
      <w:bookmarkEnd w:id="252"/>
    </w:p>
    <w:p w14:paraId="6CE355CB">
      <w:pPr>
        <w:pStyle w:val="12"/>
        <w:kinsoku w:val="0"/>
        <w:overflowPunct w:val="0"/>
        <w:spacing w:before="240" w:beforeLines="100" w:line="360" w:lineRule="auto"/>
        <w:ind w:left="0" w:firstLine="480" w:firstLineChars="200"/>
        <w:rPr>
          <w:sz w:val="24"/>
          <w:highlight w:val="none"/>
        </w:rPr>
      </w:pPr>
      <w:r>
        <w:rPr>
          <w:sz w:val="24"/>
          <w:highlight w:val="none"/>
        </w:rPr>
        <w:t>监理大纲应包括（但不限于）下列内容：</w:t>
      </w:r>
    </w:p>
    <w:p w14:paraId="2C04AB6B">
      <w:pPr>
        <w:pStyle w:val="12"/>
        <w:kinsoku w:val="0"/>
        <w:overflowPunct w:val="0"/>
        <w:spacing w:line="360" w:lineRule="auto"/>
        <w:ind w:left="480"/>
        <w:rPr>
          <w:sz w:val="24"/>
          <w:highlight w:val="none"/>
        </w:rPr>
      </w:pPr>
      <w:r>
        <w:rPr>
          <w:sz w:val="24"/>
          <w:highlight w:val="none"/>
        </w:rPr>
        <w:t>一、监理工程概况；</w:t>
      </w:r>
    </w:p>
    <w:p w14:paraId="5F353C09">
      <w:pPr>
        <w:pStyle w:val="12"/>
        <w:kinsoku w:val="0"/>
        <w:overflowPunct w:val="0"/>
        <w:spacing w:line="360" w:lineRule="auto"/>
        <w:ind w:left="480"/>
        <w:rPr>
          <w:sz w:val="24"/>
          <w:highlight w:val="none"/>
        </w:rPr>
      </w:pPr>
      <w:r>
        <w:rPr>
          <w:sz w:val="24"/>
          <w:highlight w:val="none"/>
        </w:rPr>
        <w:t xml:space="preserve">二、监理范围、监理内容； </w:t>
      </w:r>
    </w:p>
    <w:p w14:paraId="73F0740A">
      <w:pPr>
        <w:pStyle w:val="12"/>
        <w:kinsoku w:val="0"/>
        <w:overflowPunct w:val="0"/>
        <w:spacing w:line="360" w:lineRule="auto"/>
        <w:ind w:left="480"/>
        <w:rPr>
          <w:sz w:val="24"/>
          <w:highlight w:val="none"/>
        </w:rPr>
      </w:pPr>
      <w:r>
        <w:rPr>
          <w:sz w:val="24"/>
          <w:highlight w:val="none"/>
        </w:rPr>
        <w:t>三、监理依据、监理工作目标；</w:t>
      </w:r>
    </w:p>
    <w:p w14:paraId="09FB9AE0">
      <w:pPr>
        <w:pStyle w:val="12"/>
        <w:kinsoku w:val="0"/>
        <w:overflowPunct w:val="0"/>
        <w:spacing w:line="360" w:lineRule="auto"/>
        <w:ind w:left="480"/>
        <w:rPr>
          <w:sz w:val="24"/>
          <w:highlight w:val="none"/>
        </w:rPr>
      </w:pPr>
      <w:r>
        <w:rPr>
          <w:spacing w:val="-8"/>
          <w:sz w:val="24"/>
          <w:highlight w:val="none"/>
        </w:rPr>
        <w:t>四、监理机构设置（框图）、岗位职责；</w:t>
      </w:r>
      <w:r>
        <w:rPr>
          <w:spacing w:val="-69"/>
          <w:sz w:val="24"/>
          <w:highlight w:val="none"/>
        </w:rPr>
        <w:t xml:space="preserve"> </w:t>
      </w:r>
    </w:p>
    <w:p w14:paraId="37920E7F">
      <w:pPr>
        <w:pStyle w:val="12"/>
        <w:kinsoku w:val="0"/>
        <w:overflowPunct w:val="0"/>
        <w:spacing w:line="360" w:lineRule="auto"/>
        <w:ind w:left="0" w:firstLine="480" w:firstLineChars="200"/>
        <w:rPr>
          <w:sz w:val="24"/>
          <w:highlight w:val="none"/>
        </w:rPr>
      </w:pPr>
      <w:r>
        <w:rPr>
          <w:sz w:val="24"/>
          <w:highlight w:val="none"/>
        </w:rPr>
        <w:t xml:space="preserve">五、监理工作程序、方法和制度； </w:t>
      </w:r>
    </w:p>
    <w:p w14:paraId="0D883521">
      <w:pPr>
        <w:pStyle w:val="12"/>
        <w:kinsoku w:val="0"/>
        <w:overflowPunct w:val="0"/>
        <w:spacing w:line="360" w:lineRule="auto"/>
        <w:ind w:left="480"/>
        <w:rPr>
          <w:sz w:val="24"/>
          <w:highlight w:val="none"/>
        </w:rPr>
      </w:pPr>
      <w:r>
        <w:rPr>
          <w:sz w:val="24"/>
          <w:highlight w:val="none"/>
        </w:rPr>
        <w:t xml:space="preserve">六、拟投入的监理人员、试验检测仪器设备； </w:t>
      </w:r>
    </w:p>
    <w:p w14:paraId="2EAB40BD">
      <w:pPr>
        <w:pStyle w:val="12"/>
        <w:kinsoku w:val="0"/>
        <w:overflowPunct w:val="0"/>
        <w:spacing w:line="360" w:lineRule="auto"/>
        <w:ind w:left="480"/>
        <w:rPr>
          <w:sz w:val="24"/>
          <w:highlight w:val="none"/>
        </w:rPr>
      </w:pPr>
      <w:r>
        <w:rPr>
          <w:spacing w:val="-2"/>
          <w:sz w:val="24"/>
          <w:highlight w:val="none"/>
        </w:rPr>
        <w:t>七、质量、进度、造价、安全、环保监理措施；</w:t>
      </w:r>
      <w:r>
        <w:rPr>
          <w:spacing w:val="-66"/>
          <w:sz w:val="24"/>
          <w:highlight w:val="none"/>
        </w:rPr>
        <w:t xml:space="preserve"> </w:t>
      </w:r>
    </w:p>
    <w:p w14:paraId="34BACD11">
      <w:pPr>
        <w:pStyle w:val="12"/>
        <w:kinsoku w:val="0"/>
        <w:overflowPunct w:val="0"/>
        <w:spacing w:line="360" w:lineRule="auto"/>
        <w:ind w:left="480"/>
        <w:rPr>
          <w:sz w:val="24"/>
          <w:highlight w:val="none"/>
        </w:rPr>
      </w:pPr>
      <w:r>
        <w:rPr>
          <w:sz w:val="24"/>
          <w:highlight w:val="none"/>
        </w:rPr>
        <w:t>八、合同、信息管理方案；</w:t>
      </w:r>
    </w:p>
    <w:p w14:paraId="763CED63">
      <w:pPr>
        <w:pStyle w:val="12"/>
        <w:kinsoku w:val="0"/>
        <w:overflowPunct w:val="0"/>
        <w:spacing w:line="360" w:lineRule="auto"/>
        <w:ind w:left="480"/>
        <w:rPr>
          <w:sz w:val="24"/>
          <w:highlight w:val="none"/>
        </w:rPr>
      </w:pPr>
      <w:r>
        <w:rPr>
          <w:sz w:val="24"/>
          <w:highlight w:val="none"/>
        </w:rPr>
        <w:t xml:space="preserve">九、组织协调内容及措施； </w:t>
      </w:r>
    </w:p>
    <w:p w14:paraId="35983187">
      <w:pPr>
        <w:pStyle w:val="12"/>
        <w:kinsoku w:val="0"/>
        <w:overflowPunct w:val="0"/>
        <w:spacing w:line="360" w:lineRule="auto"/>
        <w:ind w:left="480"/>
        <w:rPr>
          <w:sz w:val="24"/>
          <w:highlight w:val="none"/>
        </w:rPr>
      </w:pPr>
      <w:r>
        <w:rPr>
          <w:sz w:val="24"/>
          <w:highlight w:val="none"/>
        </w:rPr>
        <w:t xml:space="preserve">十、监理工作重点、难点分析； </w:t>
      </w:r>
    </w:p>
    <w:p w14:paraId="70D1981F">
      <w:pPr>
        <w:pStyle w:val="12"/>
        <w:kinsoku w:val="0"/>
        <w:overflowPunct w:val="0"/>
        <w:spacing w:line="360" w:lineRule="auto"/>
        <w:ind w:left="480"/>
        <w:rPr>
          <w:sz w:val="24"/>
          <w:highlight w:val="none"/>
        </w:rPr>
      </w:pPr>
      <w:r>
        <w:rPr>
          <w:sz w:val="24"/>
          <w:highlight w:val="none"/>
        </w:rPr>
        <w:t>十一、对本工程监理的合理化建议。</w:t>
      </w:r>
    </w:p>
    <w:p w14:paraId="2CC46258">
      <w:pPr>
        <w:pStyle w:val="12"/>
        <w:kinsoku w:val="0"/>
        <w:overflowPunct w:val="0"/>
        <w:spacing w:before="275" w:line="357" w:lineRule="auto"/>
        <w:ind w:left="555" w:right="3835"/>
        <w:rPr>
          <w:sz w:val="24"/>
          <w:highlight w:val="none"/>
        </w:rPr>
        <w:sectPr>
          <w:pgSz w:w="11905" w:h="16838"/>
          <w:pgMar w:top="1417" w:right="1417" w:bottom="1417" w:left="1417" w:header="992" w:footer="992" w:gutter="0"/>
          <w:cols w:space="720" w:num="1"/>
        </w:sectPr>
      </w:pPr>
    </w:p>
    <w:p w14:paraId="4F6A896B">
      <w:pPr>
        <w:pStyle w:val="5"/>
        <w:spacing w:before="120" w:after="120"/>
        <w:jc w:val="center"/>
        <w:rPr>
          <w:sz w:val="28"/>
          <w:highlight w:val="none"/>
        </w:rPr>
        <w:sectPr>
          <w:headerReference r:id="rId35" w:type="default"/>
          <w:footerReference r:id="rId36" w:type="default"/>
          <w:pgSz w:w="11905" w:h="16838"/>
          <w:pgMar w:top="1417" w:right="1417" w:bottom="1417" w:left="1417" w:header="992" w:footer="992" w:gutter="0"/>
          <w:cols w:space="720" w:num="1"/>
        </w:sectPr>
      </w:pPr>
      <w:bookmarkStart w:id="253" w:name="bookmark194"/>
      <w:bookmarkEnd w:id="253"/>
      <w:bookmarkStart w:id="254" w:name="_Toc29707"/>
      <w:r>
        <w:rPr>
          <w:sz w:val="28"/>
          <w:highlight w:val="none"/>
        </w:rPr>
        <w:t>八、其他资料</w:t>
      </w:r>
      <w:bookmarkEnd w:id="254"/>
    </w:p>
    <w:p w14:paraId="79045C30">
      <w:pPr>
        <w:pStyle w:val="4"/>
        <w:rPr>
          <w:sz w:val="44"/>
          <w:szCs w:val="44"/>
          <w:highlight w:val="none"/>
        </w:rPr>
      </w:pPr>
      <w:bookmarkStart w:id="255" w:name="_Toc27375"/>
      <w:r>
        <w:rPr>
          <w:sz w:val="44"/>
          <w:szCs w:val="44"/>
          <w:highlight w:val="none"/>
        </w:rPr>
        <w:t>第七章 投标人须知前附表规定的其他资料。</w:t>
      </w:r>
      <w:bookmarkEnd w:id="255"/>
    </w:p>
    <w:p w14:paraId="6489EA77">
      <w:pPr>
        <w:rPr>
          <w:highlight w:val="none"/>
        </w:rPr>
      </w:pPr>
    </w:p>
    <w:p w14:paraId="2E8E1CDE">
      <w:pPr>
        <w:pStyle w:val="5"/>
        <w:spacing w:before="120" w:after="120"/>
        <w:jc w:val="center"/>
        <w:rPr>
          <w:sz w:val="30"/>
          <w:highlight w:val="none"/>
        </w:rPr>
      </w:pPr>
      <w:bookmarkStart w:id="256" w:name="_Toc11244"/>
      <w:r>
        <w:rPr>
          <w:sz w:val="30"/>
          <w:highlight w:val="none"/>
        </w:rPr>
        <w:t>否决性条款汇总</w:t>
      </w:r>
      <w:bookmarkEnd w:id="256"/>
    </w:p>
    <w:p w14:paraId="52EB3E27">
      <w:pPr>
        <w:widowControl/>
        <w:ind w:firstLine="482"/>
        <w:jc w:val="center"/>
        <w:rPr>
          <w:rFonts w:ascii="宋体" w:hAnsi="宋体" w:cs="宋体"/>
          <w:highlight w:val="none"/>
        </w:rPr>
      </w:pPr>
      <w:r>
        <w:rPr>
          <w:rFonts w:hint="eastAsia" w:ascii="宋体" w:hAnsi="宋体" w:cs="宋体"/>
          <w:b/>
          <w:bCs/>
          <w:highlight w:val="none"/>
        </w:rPr>
        <w:t>否决性条款单列参考格式</w:t>
      </w:r>
    </w:p>
    <w:p w14:paraId="6110A0CD">
      <w:pPr>
        <w:widowControl/>
        <w:spacing w:after="135" w:line="585" w:lineRule="atLeast"/>
        <w:ind w:firstLine="480"/>
        <w:jc w:val="center"/>
        <w:rPr>
          <w:rFonts w:ascii="宋体" w:hAnsi="宋体" w:cs="宋体"/>
          <w:highlight w:val="none"/>
        </w:rPr>
      </w:pPr>
      <w:r>
        <w:rPr>
          <w:rFonts w:hint="eastAsia" w:ascii="宋体" w:hAnsi="宋体" w:cs="宋体"/>
          <w:b/>
          <w:bCs/>
          <w:highlight w:val="none"/>
        </w:rPr>
        <w:t>（*格式仅供参考，条款的实际内容应与招标文件条款相对应）</w:t>
      </w:r>
    </w:p>
    <w:p w14:paraId="4DAE157B">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1615DB4E">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7178B60F">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B2532A8">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一、开标时，出现下列情形之一的，不参与资格审查和评标</w:t>
      </w:r>
    </w:p>
    <w:p w14:paraId="5867D9FB">
      <w:pPr>
        <w:widowControl/>
        <w:spacing w:after="135" w:line="360" w:lineRule="auto"/>
        <w:ind w:firstLine="480" w:firstLineChars="200"/>
        <w:rPr>
          <w:rFonts w:ascii="宋体" w:hAnsi="宋体" w:cs="宋体"/>
          <w:highlight w:val="none"/>
        </w:rPr>
      </w:pPr>
      <w:r>
        <w:rPr>
          <w:rFonts w:hint="eastAsia" w:ascii="宋体" w:hAnsi="宋体" w:cs="宋体"/>
          <w:highlight w:val="none"/>
        </w:rPr>
        <w:t>1.</w:t>
      </w:r>
      <w:r>
        <w:rPr>
          <w:rFonts w:hint="eastAsia" w:ascii="宋体" w:hAnsi="宋体" w:cs="宋体"/>
        </w:rPr>
        <w:t>电子投标文件未在投标截止时间前成功上传并保存在规定的电子交易平台电子评标系统且取得回执的</w:t>
      </w:r>
      <w:r>
        <w:rPr>
          <w:rFonts w:hint="eastAsia" w:ascii="宋体" w:hAnsi="宋体" w:cs="宋体"/>
          <w:highlight w:val="none"/>
        </w:rPr>
        <w:t>；</w:t>
      </w:r>
    </w:p>
    <w:p w14:paraId="10EA0200">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2.因投标人原因造成投标文件未解密的；</w:t>
      </w:r>
    </w:p>
    <w:p w14:paraId="346DE090">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3.两个（含两个）以上的投标人加密打包投标文件电脑机器特征码一致的；</w:t>
      </w:r>
    </w:p>
    <w:p w14:paraId="58A1E477">
      <w:pPr>
        <w:widowControl/>
        <w:spacing w:after="135" w:line="360" w:lineRule="auto"/>
        <w:ind w:firstLine="480" w:firstLineChars="200"/>
        <w:rPr>
          <w:rFonts w:ascii="宋体" w:hAnsi="宋体" w:cs="宋体"/>
          <w:highlight w:val="none"/>
        </w:rPr>
      </w:pPr>
      <w:r>
        <w:rPr>
          <w:rFonts w:hint="eastAsia" w:ascii="宋体" w:hAnsi="宋体" w:cs="宋体"/>
          <w:highlight w:val="none"/>
        </w:rPr>
        <w:t>4.若递交投标文件的投标人不足3家，则重新组织招标。</w:t>
      </w:r>
    </w:p>
    <w:p w14:paraId="43AD217D">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二、作无效投标的情形</w:t>
      </w:r>
    </w:p>
    <w:p w14:paraId="6950B297">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1.投标文件不符合招标文件评标办法中形式评审标准、资格评审标准、响应性评审标准、技术评审标准（若有）的要求。</w:t>
      </w:r>
    </w:p>
    <w:p w14:paraId="4022536E">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三、作不合格标处理的情形</w:t>
      </w:r>
    </w:p>
    <w:p w14:paraId="3DFB0AA2">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1.串通投标或弄虚作假或有其他违法行为的；</w:t>
      </w:r>
    </w:p>
    <w:p w14:paraId="335CC0F0">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2.不按评标委员会要求澄清、说明或补正的。</w:t>
      </w:r>
    </w:p>
    <w:p w14:paraId="338F738A">
      <w:pPr>
        <w:spacing w:line="360" w:lineRule="auto"/>
        <w:ind w:firstLine="484" w:firstLineChars="202"/>
      </w:pPr>
      <w:r>
        <w:rPr>
          <w:rFonts w:hint="eastAsia" w:ascii="宋体" w:hAnsi="宋体" w:cs="宋体"/>
          <w:highlight w:val="none"/>
        </w:rPr>
        <w:t>3.第二章“投标人须知”第1.4.3项规定的任何一种情形的；</w:t>
      </w:r>
    </w:p>
    <w:p w14:paraId="2C378F2C">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、其他否定投标文件效力情形</w:t>
      </w:r>
    </w:p>
    <w:p w14:paraId="225E110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0528822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674947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27BADBD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0935D42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0553A79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0221F41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37D90BA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5A16BE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（9）与本招标项目的检测机构、建设、施工单位以及建筑材料、建筑构配件和设备供应商有隶属关系或者其他利害关系有隶属关系或者其他利害关系；</w:t>
      </w:r>
    </w:p>
    <w:p w14:paraId="66C1653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523E7F9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0EE9930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3881ED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（13）进入清算程序，或被宣布破产，或其他丧失履约能力的情形；</w:t>
      </w:r>
    </w:p>
    <w:p w14:paraId="49D68DBD">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 w:val="24"/>
          <w:szCs w:val="24"/>
          <w:highlight w:val="none"/>
          <w:u w:val="none"/>
          <w:lang w:eastAsia="zh-CN"/>
        </w:rPr>
        <w:t>；</w:t>
      </w:r>
    </w:p>
    <w:p w14:paraId="1B01946C">
      <w:pPr>
        <w:pBdr>
          <w:bottom w:val="single" w:color="auto" w:sz="6" w:space="1"/>
        </w:pBd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（15）被最高人民法院在“信用中国”网站（www.creditchina.gov.cn）或“信用广州”网站或各级信用信息共享平台中列入失信被执行人名单（黑名单）；</w:t>
      </w:r>
    </w:p>
    <w:p w14:paraId="770563A6">
      <w:pPr>
        <w:pBdr>
          <w:bottom w:val="single" w:color="auto" w:sz="6" w:space="1"/>
        </w:pBd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（16）在近三年内投标人或其法定代表人、拟委任的总监理工程师有行贿犯罪行为的；</w:t>
      </w:r>
    </w:p>
    <w:p w14:paraId="7B1D8336">
      <w:pPr>
        <w:pBdr>
          <w:bottom w:val="single" w:color="auto" w:sz="6" w:space="1"/>
        </w:pBdr>
        <w:tabs>
          <w:tab w:val="left" w:pos="7904"/>
        </w:tabs>
        <w:spacing w:line="480" w:lineRule="auto"/>
        <w:ind w:firstLine="480" w:firstLineChars="200"/>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）法律法规规定的其他情形</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ab/>
      </w:r>
    </w:p>
    <w:sectPr>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DABF">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B57549">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06B5754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8E18">
    <w:pPr>
      <w:spacing w:line="265" w:lineRule="exact"/>
      <w:ind w:left="4441"/>
      <w:rPr>
        <w:rFonts w:ascii="Calibri" w:hAnsi="Calibri" w:eastAsia="Calibri" w:cs="Calibri"/>
        <w:sz w:val="18"/>
        <w:szCs w:val="18"/>
      </w:rPr>
    </w:pPr>
    <w:r>
      <w:rPr>
        <w:rFonts w:ascii="Calibri" w:hAnsi="Calibri" w:eastAsia="Calibri" w:cs="Calibri"/>
        <w:position w:val="2"/>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275E">
    <w:pPr>
      <w:spacing w:line="265" w:lineRule="exact"/>
      <w:ind w:left="4443"/>
      <w:rPr>
        <w:rFonts w:ascii="Calibri" w:hAnsi="Calibri" w:eastAsia="Calibri" w:cs="Calibri"/>
        <w:sz w:val="18"/>
        <w:szCs w:val="18"/>
      </w:rPr>
    </w:pPr>
    <w:r>
      <w:rPr>
        <w:rFonts w:ascii="Calibri" w:hAnsi="Calibri" w:eastAsia="Calibri" w:cs="Calibri"/>
        <w:position w:val="2"/>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1947">
    <w:pPr>
      <w:spacing w:line="265" w:lineRule="exact"/>
      <w:ind w:left="4571"/>
      <w:rPr>
        <w:rFonts w:ascii="Calibri" w:hAnsi="Calibri" w:eastAsia="Calibri" w:cs="Calibri"/>
        <w:sz w:val="18"/>
        <w:szCs w:val="18"/>
      </w:rPr>
    </w:pPr>
    <w:r>
      <w:rPr>
        <w:rFonts w:ascii="Calibri" w:hAnsi="Calibri" w:eastAsia="Calibri" w:cs="Calibri"/>
        <w:spacing w:val="-10"/>
        <w:position w:val="2"/>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4E39">
    <w:pPr>
      <w:spacing w:line="266" w:lineRule="exact"/>
      <w:ind w:left="4449"/>
      <w:rPr>
        <w:rFonts w:ascii="Calibri" w:hAnsi="Calibri" w:eastAsia="Calibri" w:cs="Calibri"/>
        <w:sz w:val="18"/>
        <w:szCs w:val="18"/>
      </w:rPr>
    </w:pPr>
    <w:r>
      <w:rPr>
        <w:rFonts w:ascii="Calibri" w:hAnsi="Calibri" w:eastAsia="Calibri" w:cs="Calibri"/>
        <w:spacing w:val="-10"/>
        <w:position w:val="2"/>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126B">
    <w:pPr>
      <w:spacing w:line="266" w:lineRule="exact"/>
      <w:ind w:left="4451"/>
      <w:rPr>
        <w:rFonts w:ascii="Calibri" w:hAnsi="Calibri" w:eastAsia="Calibri" w:cs="Calibri"/>
        <w:sz w:val="18"/>
        <w:szCs w:val="18"/>
      </w:rPr>
    </w:pPr>
    <w:r>
      <w:rPr>
        <w:rFonts w:ascii="Calibri" w:hAnsi="Calibri" w:eastAsia="Calibri" w:cs="Calibri"/>
        <w:spacing w:val="-10"/>
        <w:position w:val="2"/>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1588">
    <w:pPr>
      <w:spacing w:line="265" w:lineRule="exact"/>
      <w:ind w:left="4451"/>
      <w:rPr>
        <w:rFonts w:ascii="Calibri" w:hAnsi="Calibri" w:eastAsia="Calibri" w:cs="Calibri"/>
        <w:sz w:val="18"/>
        <w:szCs w:val="18"/>
      </w:rPr>
    </w:pPr>
    <w:r>
      <w:rPr>
        <w:rFonts w:ascii="Calibri" w:hAnsi="Calibri" w:eastAsia="Calibri" w:cs="Calibri"/>
        <w:spacing w:val="-10"/>
        <w:position w:val="2"/>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EBB1">
    <w:pPr>
      <w:spacing w:line="266" w:lineRule="exact"/>
      <w:ind w:left="4451"/>
      <w:rPr>
        <w:rFonts w:ascii="Calibri" w:hAnsi="Calibri" w:eastAsia="Calibri" w:cs="Calibri"/>
        <w:sz w:val="18"/>
        <w:szCs w:val="18"/>
      </w:rPr>
    </w:pPr>
    <w:r>
      <w:rPr>
        <w:rFonts w:ascii="Calibri" w:hAnsi="Calibri" w:eastAsia="Calibri" w:cs="Calibri"/>
        <w:spacing w:val="-10"/>
        <w:position w:val="2"/>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8B01">
    <w:pPr>
      <w:spacing w:line="265" w:lineRule="exact"/>
      <w:ind w:left="4452"/>
      <w:rPr>
        <w:rFonts w:ascii="Calibri" w:hAnsi="Calibri" w:eastAsia="Calibri" w:cs="Calibri"/>
        <w:sz w:val="18"/>
        <w:szCs w:val="18"/>
      </w:rPr>
    </w:pPr>
    <w:r>
      <w:rPr>
        <w:rFonts w:ascii="Calibri" w:hAnsi="Calibri" w:eastAsia="Calibri" w:cs="Calibri"/>
        <w:spacing w:val="-10"/>
        <w:position w:val="2"/>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AD22">
    <w:pPr>
      <w:spacing w:line="265" w:lineRule="exact"/>
      <w:ind w:left="4451"/>
      <w:rPr>
        <w:rFonts w:ascii="Calibri" w:hAnsi="Calibri" w:eastAsia="Calibri" w:cs="Calibri"/>
        <w:sz w:val="18"/>
        <w:szCs w:val="18"/>
      </w:rPr>
    </w:pPr>
    <w:r>
      <w:rPr>
        <w:rFonts w:ascii="Calibri" w:hAnsi="Calibri" w:eastAsia="Calibri" w:cs="Calibri"/>
        <w:spacing w:val="-10"/>
        <w:position w:val="2"/>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144D">
    <w:pPr>
      <w:pStyle w:val="1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BA870A0">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2BA870A0">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78</w:t>
                    </w:r>
                    <w:r>
                      <w:rPr>
                        <w:rFonts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1144">
    <w:pPr>
      <w:pStyle w:val="1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7FC0560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7FC0560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w:t>
                    </w:r>
                    <w:r>
                      <w:rPr>
                        <w:rFonts w:ascii="Calibri" w:hAnsi="Calibri" w:eastAsia="Calibri"/>
                        <w:w w:val="99"/>
                        <w:sz w:val="18"/>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118A">
    <w:pPr>
      <w:pStyle w:val="1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1524D9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82</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21524D9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82</w:t>
                    </w:r>
                    <w:r>
                      <w:rPr>
                        <w:rFonts w:ascii="Calibri" w:hAnsi="Calibri" w:eastAsia="Calibri"/>
                        <w:w w:val="99"/>
                        <w:sz w:val="18"/>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99F">
    <w:pPr>
      <w:pStyle w:val="12"/>
      <w:kinsoku w:val="0"/>
      <w:overflowPunct w:val="0"/>
      <w:spacing w:line="14" w:lineRule="auto"/>
      <w:ind w:left="0"/>
      <w:rPr>
        <w:sz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053E94E">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7155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6053E94E">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87</w:t>
                    </w:r>
                    <w:r>
                      <w:rPr>
                        <w:rFonts w:ascii="Calibri" w:hAnsi="Calibri" w:eastAsia="Calibri"/>
                        <w:w w:val="99"/>
                        <w:sz w:val="18"/>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864D">
    <w:pPr>
      <w:pStyle w:val="12"/>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424E5">
                          <w:pPr>
                            <w:pStyle w:val="16"/>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7E4424E5">
                    <w:pPr>
                      <w:pStyle w:val="16"/>
                    </w:pPr>
                    <w:r>
                      <w:fldChar w:fldCharType="begin"/>
                    </w:r>
                    <w:r>
                      <w:instrText xml:space="preserve"> PAGE  \* MERGEFORMAT </w:instrText>
                    </w:r>
                    <w:r>
                      <w:fldChar w:fldCharType="separate"/>
                    </w:r>
                    <w:r>
                      <w:t>88</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7AC6730">
                          <w:pPr>
                            <w:pStyle w:val="12"/>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3120;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Z4bHFzQ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S85c8LS&#10;wA8/fxx+3R5+f2fVPOkz+FBT2o2nxDi+gZG2ZvIHcibaY4c2fYkQozipuz+rq8bIZHr0opqXVEVS&#10;qHp++arM6hd3jz2G+FaBZcloONLwsqZi9z5EaoRSp5RUy8G1NiYP0Li/HJSYPEXq/NhhsuK4Hk90&#10;1tDuiQ39BVSnB/zG2UA70PDwdStQcWbeORI5Lcxk4GSsJ2PrUW96Ashq5GI0pNzmaaHSFty/55bu&#10;fq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yQofaAAAADQEAAA8AAAAAAAAAAQAgAAAAIgAA&#10;AGRycy9kb3ducmV2LnhtbFBLAQIUABQAAAAIAIdO4kCZ4bHFzQEAAIwDAAAOAAAAAAAAAAEAIAAA&#10;ACkBAABkcnMvZTJvRG9jLnhtbFBLBQYAAAAABgAGAFkBAABoBQAAAAA=&#10;">
              <v:fill on="f" focussize="0,0"/>
              <v:stroke on="f"/>
              <v:imagedata o:title=""/>
              <o:lock v:ext="edit" aspectratio="f"/>
              <v:textbox inset="0mm,0mm,0mm,0mm">
                <w:txbxContent>
                  <w:p w14:paraId="17AC6730">
                    <w:pPr>
                      <w:pStyle w:val="12"/>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0210">
    <w:pPr>
      <w:pStyle w:val="12"/>
      <w:kinsoku w:val="0"/>
      <w:overflowPunct w:val="0"/>
      <w:spacing w:line="14" w:lineRule="auto"/>
      <w:ind w:left="0"/>
      <w:rPr>
        <w:sz w:val="20"/>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169C71C">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89</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052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6169C71C">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89</w:t>
                    </w:r>
                    <w:r>
                      <w:rPr>
                        <w:rFonts w:ascii="Calibri" w:hAnsi="Calibri" w:eastAsia="Calibri"/>
                        <w:w w:val="99"/>
                        <w:sz w:val="18"/>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0F4B">
    <w:pPr>
      <w:pStyle w:val="12"/>
      <w:kinsoku w:val="0"/>
      <w:overflowPunct w:val="0"/>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2666ABC">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22666ABC">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90</w:t>
                    </w:r>
                    <w:r>
                      <w:rPr>
                        <w:rFonts w:ascii="Calibri" w:hAnsi="Calibri" w:eastAsia="Calibri"/>
                        <w:w w:val="99"/>
                        <w:sz w:val="18"/>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AA38">
    <w:pPr>
      <w:pStyle w:val="12"/>
      <w:kinsoku w:val="0"/>
      <w:overflowPunct w:val="0"/>
      <w:spacing w:line="14" w:lineRule="auto"/>
      <w:ind w:left="0"/>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A111C3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4A111C3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AA7A">
    <w:pPr>
      <w:pStyle w:val="12"/>
      <w:kinsoku w:val="0"/>
      <w:overflowPunct w:val="0"/>
      <w:spacing w:line="14" w:lineRule="auto"/>
      <w:ind w:left="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6AF6FF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56AF6FF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1CB7">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A585D2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36</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0A585D23">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36</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B369">
    <w:pPr>
      <w:pStyle w:val="12"/>
      <w:kinsoku w:val="0"/>
      <w:overflowPunct w:val="0"/>
      <w:spacing w:line="14" w:lineRule="auto"/>
      <w:ind w:left="0"/>
      <w:rPr>
        <w:sz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7D816BE">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46</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57D816BE">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46</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FA24">
    <w:pPr>
      <w:spacing w:line="266" w:lineRule="exact"/>
      <w:ind w:left="4445"/>
      <w:rPr>
        <w:rFonts w:ascii="Calibri" w:hAnsi="Calibri" w:eastAsia="Calibri" w:cs="Calibri"/>
        <w:sz w:val="18"/>
        <w:szCs w:val="18"/>
      </w:rPr>
    </w:pPr>
    <w:r>
      <w:rPr>
        <w:rFonts w:ascii="Calibri" w:hAnsi="Calibri" w:eastAsia="Calibri" w:cs="Calibri"/>
        <w:position w:val="2"/>
        <w:sz w:val="18"/>
        <w:szCs w:val="18"/>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EF7F">
    <w:pPr>
      <w:spacing w:line="266" w:lineRule="exact"/>
      <w:ind w:left="4440"/>
      <w:rPr>
        <w:rFonts w:ascii="Calibri" w:hAnsi="Calibri" w:eastAsia="Calibri" w:cs="Calibri"/>
        <w:sz w:val="18"/>
        <w:szCs w:val="18"/>
      </w:rPr>
    </w:pPr>
    <w:r>
      <w:rPr>
        <w:rFonts w:ascii="Calibri" w:hAnsi="Calibri" w:eastAsia="Calibri" w:cs="Calibri"/>
        <w:position w:val="2"/>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8F31">
    <w:pPr>
      <w:spacing w:line="265" w:lineRule="exact"/>
      <w:ind w:left="4443"/>
      <w:rPr>
        <w:rFonts w:ascii="Calibri" w:hAnsi="Calibri" w:eastAsia="Calibri" w:cs="Calibri"/>
        <w:sz w:val="18"/>
        <w:szCs w:val="18"/>
      </w:rPr>
    </w:pPr>
    <w:r>
      <w:rPr>
        <w:rFonts w:ascii="Calibri" w:hAnsi="Calibri" w:eastAsia="Calibri" w:cs="Calibri"/>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5FEC">
    <w:pPr>
      <w:spacing w:line="265" w:lineRule="exact"/>
      <w:ind w:left="4445"/>
      <w:rPr>
        <w:rFonts w:ascii="Calibri" w:hAnsi="Calibri" w:eastAsia="Calibri" w:cs="Calibri"/>
        <w:sz w:val="18"/>
        <w:szCs w:val="18"/>
      </w:rPr>
    </w:pPr>
    <w:r>
      <w:rPr>
        <w:rFonts w:ascii="Calibri" w:hAnsi="Calibri" w:eastAsia="Calibri" w:cs="Calibri"/>
        <w:position w:val="2"/>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4860">
    <w:pPr>
      <w:spacing w:line="266" w:lineRule="exact"/>
      <w:ind w:left="4444"/>
      <w:rPr>
        <w:rFonts w:ascii="Calibri" w:hAnsi="Calibri" w:eastAsia="Calibri" w:cs="Calibri"/>
        <w:sz w:val="18"/>
        <w:szCs w:val="18"/>
      </w:rPr>
    </w:pPr>
    <w:r>
      <w:rPr>
        <w:rFonts w:ascii="Calibri" w:hAnsi="Calibri" w:eastAsia="Calibri" w:cs="Calibri"/>
        <w:position w:val="2"/>
        <w:sz w:val="18"/>
        <w:szCs w:val="18"/>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345B">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99CA">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FE93">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8680">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2F8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8C52">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2EA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F3D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4F7"/>
    <w:multiLevelType w:val="singleLevel"/>
    <w:tmpl w:val="6FAA44F7"/>
    <w:lvl w:ilvl="0" w:tentative="0">
      <w:start w:val="1"/>
      <w:numFmt w:val="decimal"/>
      <w:suff w:val="nothing"/>
      <w:lvlText w:val="%1、"/>
      <w:lvlJc w:val="left"/>
    </w:lvl>
  </w:abstractNum>
  <w:abstractNum w:abstractNumId="1">
    <w:nsid w:val="7F6E7801"/>
    <w:multiLevelType w:val="multilevel"/>
    <w:tmpl w:val="7F6E780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 w:name="KSO_WPS_MARK_KEY" w:val="449958d2-eff5-4c9a-a0bc-a461362959b0"/>
  </w:docVars>
  <w:rsids>
    <w:rsidRoot w:val="00172A27"/>
    <w:rsid w:val="00006AC5"/>
    <w:rsid w:val="00013C26"/>
    <w:rsid w:val="00013DBA"/>
    <w:rsid w:val="000369BA"/>
    <w:rsid w:val="00055E52"/>
    <w:rsid w:val="000738D7"/>
    <w:rsid w:val="00076ED3"/>
    <w:rsid w:val="00086FDA"/>
    <w:rsid w:val="00092E83"/>
    <w:rsid w:val="000C5E5A"/>
    <w:rsid w:val="000D14BC"/>
    <w:rsid w:val="000D41B5"/>
    <w:rsid w:val="00107F21"/>
    <w:rsid w:val="00111846"/>
    <w:rsid w:val="00172A27"/>
    <w:rsid w:val="00182F13"/>
    <w:rsid w:val="001867A9"/>
    <w:rsid w:val="00187F87"/>
    <w:rsid w:val="001D2381"/>
    <w:rsid w:val="00222FBE"/>
    <w:rsid w:val="00233E52"/>
    <w:rsid w:val="0029459A"/>
    <w:rsid w:val="00296AA2"/>
    <w:rsid w:val="002D1008"/>
    <w:rsid w:val="002F27B8"/>
    <w:rsid w:val="00322500"/>
    <w:rsid w:val="00324F5A"/>
    <w:rsid w:val="00336B58"/>
    <w:rsid w:val="00336EC3"/>
    <w:rsid w:val="00370984"/>
    <w:rsid w:val="00414A42"/>
    <w:rsid w:val="004474DB"/>
    <w:rsid w:val="00453456"/>
    <w:rsid w:val="00466A29"/>
    <w:rsid w:val="00471218"/>
    <w:rsid w:val="004D4411"/>
    <w:rsid w:val="00533276"/>
    <w:rsid w:val="005C40AF"/>
    <w:rsid w:val="005E0E03"/>
    <w:rsid w:val="00605CFB"/>
    <w:rsid w:val="00617BA2"/>
    <w:rsid w:val="00621E21"/>
    <w:rsid w:val="00636668"/>
    <w:rsid w:val="0069294A"/>
    <w:rsid w:val="006979FB"/>
    <w:rsid w:val="007353C6"/>
    <w:rsid w:val="00752B1F"/>
    <w:rsid w:val="00753D5E"/>
    <w:rsid w:val="007606B7"/>
    <w:rsid w:val="00774E8E"/>
    <w:rsid w:val="0077726D"/>
    <w:rsid w:val="0081227D"/>
    <w:rsid w:val="0085160E"/>
    <w:rsid w:val="00856FCB"/>
    <w:rsid w:val="008A0ADD"/>
    <w:rsid w:val="008F651C"/>
    <w:rsid w:val="009D5853"/>
    <w:rsid w:val="009E0E8C"/>
    <w:rsid w:val="009E112B"/>
    <w:rsid w:val="009E5E26"/>
    <w:rsid w:val="00A202E0"/>
    <w:rsid w:val="00A475AC"/>
    <w:rsid w:val="00A53E9D"/>
    <w:rsid w:val="00AA45C0"/>
    <w:rsid w:val="00AB376D"/>
    <w:rsid w:val="00B01F56"/>
    <w:rsid w:val="00B41BD2"/>
    <w:rsid w:val="00B5480E"/>
    <w:rsid w:val="00B913F3"/>
    <w:rsid w:val="00BD2EA5"/>
    <w:rsid w:val="00BF65C8"/>
    <w:rsid w:val="00C072C5"/>
    <w:rsid w:val="00C1137B"/>
    <w:rsid w:val="00C54343"/>
    <w:rsid w:val="00C7357F"/>
    <w:rsid w:val="00CA2A0F"/>
    <w:rsid w:val="00CB2312"/>
    <w:rsid w:val="00CB7A47"/>
    <w:rsid w:val="00CC6C41"/>
    <w:rsid w:val="00CD07EC"/>
    <w:rsid w:val="00CE42A7"/>
    <w:rsid w:val="00CF63E6"/>
    <w:rsid w:val="00D15F7D"/>
    <w:rsid w:val="00D255A3"/>
    <w:rsid w:val="00D30171"/>
    <w:rsid w:val="00D6232B"/>
    <w:rsid w:val="00DC2D5A"/>
    <w:rsid w:val="00E159F8"/>
    <w:rsid w:val="00E17399"/>
    <w:rsid w:val="00E307A7"/>
    <w:rsid w:val="00E31AC8"/>
    <w:rsid w:val="00E655CA"/>
    <w:rsid w:val="00E92E5E"/>
    <w:rsid w:val="00EC16DE"/>
    <w:rsid w:val="00EF7451"/>
    <w:rsid w:val="00F03838"/>
    <w:rsid w:val="00F23B82"/>
    <w:rsid w:val="00F2577E"/>
    <w:rsid w:val="00F41B66"/>
    <w:rsid w:val="00F77270"/>
    <w:rsid w:val="00F92FC3"/>
    <w:rsid w:val="00FA6C47"/>
    <w:rsid w:val="00FD3313"/>
    <w:rsid w:val="00FD5944"/>
    <w:rsid w:val="00FD69D9"/>
    <w:rsid w:val="00FF1337"/>
    <w:rsid w:val="00FF3DE8"/>
    <w:rsid w:val="0102542E"/>
    <w:rsid w:val="016D1799"/>
    <w:rsid w:val="017A234B"/>
    <w:rsid w:val="01811713"/>
    <w:rsid w:val="02D51A04"/>
    <w:rsid w:val="03842FE5"/>
    <w:rsid w:val="038A0253"/>
    <w:rsid w:val="04162113"/>
    <w:rsid w:val="045B6B84"/>
    <w:rsid w:val="051D4572"/>
    <w:rsid w:val="05486CD8"/>
    <w:rsid w:val="05BB5302"/>
    <w:rsid w:val="06021E00"/>
    <w:rsid w:val="0729334D"/>
    <w:rsid w:val="07F51485"/>
    <w:rsid w:val="09043B58"/>
    <w:rsid w:val="09175198"/>
    <w:rsid w:val="09695DE1"/>
    <w:rsid w:val="099F7199"/>
    <w:rsid w:val="09B11B38"/>
    <w:rsid w:val="09C27272"/>
    <w:rsid w:val="0A6B1FEC"/>
    <w:rsid w:val="0A8868ED"/>
    <w:rsid w:val="0B16263E"/>
    <w:rsid w:val="0FBE21B3"/>
    <w:rsid w:val="10566A15"/>
    <w:rsid w:val="10795B91"/>
    <w:rsid w:val="10804703"/>
    <w:rsid w:val="10913B38"/>
    <w:rsid w:val="10B14C22"/>
    <w:rsid w:val="10F33BA4"/>
    <w:rsid w:val="11121A54"/>
    <w:rsid w:val="11305BF0"/>
    <w:rsid w:val="114A0833"/>
    <w:rsid w:val="1182211B"/>
    <w:rsid w:val="11844F94"/>
    <w:rsid w:val="126D46CC"/>
    <w:rsid w:val="132E7181"/>
    <w:rsid w:val="16306D72"/>
    <w:rsid w:val="16472A5F"/>
    <w:rsid w:val="16E94CD8"/>
    <w:rsid w:val="17045380"/>
    <w:rsid w:val="175F30F2"/>
    <w:rsid w:val="17B52FAD"/>
    <w:rsid w:val="17FA3BE0"/>
    <w:rsid w:val="190F3329"/>
    <w:rsid w:val="19C45513"/>
    <w:rsid w:val="1B554868"/>
    <w:rsid w:val="1C0A2194"/>
    <w:rsid w:val="1CEF7F37"/>
    <w:rsid w:val="1D137258"/>
    <w:rsid w:val="1DBA1478"/>
    <w:rsid w:val="1EAA7ACD"/>
    <w:rsid w:val="1F3F048A"/>
    <w:rsid w:val="1F423B59"/>
    <w:rsid w:val="1FA45952"/>
    <w:rsid w:val="209534C5"/>
    <w:rsid w:val="20F12E19"/>
    <w:rsid w:val="22345E5B"/>
    <w:rsid w:val="2306353E"/>
    <w:rsid w:val="23E7074D"/>
    <w:rsid w:val="24475584"/>
    <w:rsid w:val="257A5BFD"/>
    <w:rsid w:val="25A44C59"/>
    <w:rsid w:val="25D269ED"/>
    <w:rsid w:val="25ED3EFB"/>
    <w:rsid w:val="26943E54"/>
    <w:rsid w:val="26E86A6C"/>
    <w:rsid w:val="275814FC"/>
    <w:rsid w:val="276C144B"/>
    <w:rsid w:val="28EF1334"/>
    <w:rsid w:val="29663BFD"/>
    <w:rsid w:val="299627B0"/>
    <w:rsid w:val="2B6C3C42"/>
    <w:rsid w:val="2B8325F8"/>
    <w:rsid w:val="2BB4677D"/>
    <w:rsid w:val="2C6E3570"/>
    <w:rsid w:val="2CDB4B07"/>
    <w:rsid w:val="2E895051"/>
    <w:rsid w:val="2EA87C37"/>
    <w:rsid w:val="2EB07766"/>
    <w:rsid w:val="2F897FB2"/>
    <w:rsid w:val="2F9B208F"/>
    <w:rsid w:val="2FFF534B"/>
    <w:rsid w:val="30C67022"/>
    <w:rsid w:val="31A348F2"/>
    <w:rsid w:val="31C33D33"/>
    <w:rsid w:val="31C818B0"/>
    <w:rsid w:val="32292413"/>
    <w:rsid w:val="328F69F4"/>
    <w:rsid w:val="335C05C6"/>
    <w:rsid w:val="33B84FC8"/>
    <w:rsid w:val="355E2940"/>
    <w:rsid w:val="36EA0396"/>
    <w:rsid w:val="37377930"/>
    <w:rsid w:val="373B789A"/>
    <w:rsid w:val="374101FF"/>
    <w:rsid w:val="37896AC1"/>
    <w:rsid w:val="38F018EE"/>
    <w:rsid w:val="3A125865"/>
    <w:rsid w:val="3A4A7D8D"/>
    <w:rsid w:val="3AA52853"/>
    <w:rsid w:val="3BFD68F1"/>
    <w:rsid w:val="3CCE6668"/>
    <w:rsid w:val="3D9A6C3F"/>
    <w:rsid w:val="3DD60F75"/>
    <w:rsid w:val="3E2A7656"/>
    <w:rsid w:val="3ED41958"/>
    <w:rsid w:val="3FB12286"/>
    <w:rsid w:val="3FFE3372"/>
    <w:rsid w:val="40632CF4"/>
    <w:rsid w:val="40A30D97"/>
    <w:rsid w:val="41D56796"/>
    <w:rsid w:val="42003016"/>
    <w:rsid w:val="43CB1CC4"/>
    <w:rsid w:val="43DA3072"/>
    <w:rsid w:val="44293F63"/>
    <w:rsid w:val="44DA57EF"/>
    <w:rsid w:val="45763769"/>
    <w:rsid w:val="4670640B"/>
    <w:rsid w:val="4675394B"/>
    <w:rsid w:val="471C7F53"/>
    <w:rsid w:val="479C6D8B"/>
    <w:rsid w:val="47B938F2"/>
    <w:rsid w:val="47E524E0"/>
    <w:rsid w:val="4A977AF4"/>
    <w:rsid w:val="4BD06DDB"/>
    <w:rsid w:val="4C213D03"/>
    <w:rsid w:val="4C7E4CB1"/>
    <w:rsid w:val="4CEE40B6"/>
    <w:rsid w:val="4CFE1405"/>
    <w:rsid w:val="4DED1912"/>
    <w:rsid w:val="4E9F590E"/>
    <w:rsid w:val="4EF4773E"/>
    <w:rsid w:val="4F2D00A8"/>
    <w:rsid w:val="4FA62AF1"/>
    <w:rsid w:val="4FFF25AD"/>
    <w:rsid w:val="500C7DFB"/>
    <w:rsid w:val="506036C9"/>
    <w:rsid w:val="50C70D7F"/>
    <w:rsid w:val="50F73FEE"/>
    <w:rsid w:val="51136310"/>
    <w:rsid w:val="526E487B"/>
    <w:rsid w:val="52B95845"/>
    <w:rsid w:val="53C56995"/>
    <w:rsid w:val="545B4B0B"/>
    <w:rsid w:val="54927C0A"/>
    <w:rsid w:val="551B11A7"/>
    <w:rsid w:val="55BD2AE1"/>
    <w:rsid w:val="5630741E"/>
    <w:rsid w:val="56F5366D"/>
    <w:rsid w:val="56F87B9A"/>
    <w:rsid w:val="57F01934"/>
    <w:rsid w:val="58C66C34"/>
    <w:rsid w:val="59AD307A"/>
    <w:rsid w:val="5A1170DE"/>
    <w:rsid w:val="5A3D43FE"/>
    <w:rsid w:val="5BC715AF"/>
    <w:rsid w:val="5C465B82"/>
    <w:rsid w:val="5C9D73D6"/>
    <w:rsid w:val="5CAD483A"/>
    <w:rsid w:val="5D1F555A"/>
    <w:rsid w:val="5D5E4AAE"/>
    <w:rsid w:val="5DD63B0F"/>
    <w:rsid w:val="5F836D59"/>
    <w:rsid w:val="5F9009FE"/>
    <w:rsid w:val="5FD212FC"/>
    <w:rsid w:val="5FEA20BE"/>
    <w:rsid w:val="604678A4"/>
    <w:rsid w:val="61723CCE"/>
    <w:rsid w:val="63397B8C"/>
    <w:rsid w:val="64C33B59"/>
    <w:rsid w:val="64F831CA"/>
    <w:rsid w:val="667D1449"/>
    <w:rsid w:val="668C4B37"/>
    <w:rsid w:val="66AB743B"/>
    <w:rsid w:val="66CA3897"/>
    <w:rsid w:val="67110FB8"/>
    <w:rsid w:val="6727446B"/>
    <w:rsid w:val="6AA93751"/>
    <w:rsid w:val="6B2A0C5E"/>
    <w:rsid w:val="6D4A7EB2"/>
    <w:rsid w:val="6ECE48B9"/>
    <w:rsid w:val="6ED22F0F"/>
    <w:rsid w:val="70316526"/>
    <w:rsid w:val="71942FD1"/>
    <w:rsid w:val="722A54E3"/>
    <w:rsid w:val="72482193"/>
    <w:rsid w:val="7341797A"/>
    <w:rsid w:val="744B0F16"/>
    <w:rsid w:val="75612FA2"/>
    <w:rsid w:val="75B0548E"/>
    <w:rsid w:val="767B079C"/>
    <w:rsid w:val="76C2222D"/>
    <w:rsid w:val="77A318EC"/>
    <w:rsid w:val="784210E3"/>
    <w:rsid w:val="784F69F8"/>
    <w:rsid w:val="78BE7C47"/>
    <w:rsid w:val="7AEA7C2C"/>
    <w:rsid w:val="7B2014A6"/>
    <w:rsid w:val="7B3B4788"/>
    <w:rsid w:val="7D7F0EF0"/>
    <w:rsid w:val="7DCE4049"/>
    <w:rsid w:val="7E351D69"/>
    <w:rsid w:val="7E724B78"/>
    <w:rsid w:val="7ED834C2"/>
    <w:rsid w:val="7F10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unhideWhenUsed/>
    <w:qFormat/>
    <w:uiPriority w:val="1"/>
    <w:pPr>
      <w:ind w:left="3"/>
      <w:jc w:val="center"/>
      <w:outlineLvl w:val="0"/>
    </w:pPr>
    <w:rPr>
      <w:rFonts w:hint="eastAsia" w:ascii="Microsoft JhengHei" w:hAnsi="Microsoft JhengHei" w:eastAsia="Microsoft JhengHei"/>
      <w:sz w:val="44"/>
    </w:rPr>
  </w:style>
  <w:style w:type="paragraph" w:styleId="4">
    <w:name w:val="heading 2"/>
    <w:basedOn w:val="2"/>
    <w:next w:val="1"/>
    <w:link w:val="41"/>
    <w:unhideWhenUsed/>
    <w:qFormat/>
    <w:uiPriority w:val="1"/>
    <w:pPr>
      <w:outlineLvl w:val="1"/>
    </w:pPr>
    <w:rPr>
      <w:rFonts w:hint="default" w:ascii="宋体" w:hAnsi="宋体" w:eastAsia="宋体"/>
      <w:sz w:val="30"/>
    </w:rPr>
  </w:style>
  <w:style w:type="paragraph" w:styleId="5">
    <w:name w:val="heading 3"/>
    <w:basedOn w:val="1"/>
    <w:next w:val="1"/>
    <w:link w:val="33"/>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99"/>
    <w:pPr>
      <w:spacing w:before="120" w:after="60"/>
      <w:jc w:val="center"/>
    </w:pPr>
    <w:rPr>
      <w:rFonts w:ascii="Arial" w:hAnsi="Arial"/>
      <w:b/>
      <w:sz w:val="44"/>
      <w:szCs w:val="20"/>
    </w:rPr>
  </w:style>
  <w:style w:type="paragraph" w:styleId="9">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10">
    <w:name w:val="annotation text"/>
    <w:basedOn w:val="1"/>
    <w:link w:val="48"/>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next w:val="1"/>
    <w:unhideWhenUsed/>
    <w:qFormat/>
    <w:uiPriority w:val="0"/>
    <w:rPr>
      <w:rFonts w:ascii="宋体" w:hAnsi="Courier New"/>
    </w:rPr>
  </w:style>
  <w:style w:type="paragraph" w:styleId="15">
    <w:name w:val="Balloon Text"/>
    <w:basedOn w:val="1"/>
    <w:link w:val="47"/>
    <w:qFormat/>
    <w:uiPriority w:val="99"/>
    <w:rPr>
      <w:sz w:val="18"/>
      <w:szCs w:val="18"/>
    </w:rPr>
  </w:style>
  <w:style w:type="paragraph" w:styleId="16">
    <w:name w:val="footer"/>
    <w:basedOn w:val="1"/>
    <w:unhideWhenUsed/>
    <w:qFormat/>
    <w:uiPriority w:val="99"/>
    <w:pPr>
      <w:tabs>
        <w:tab w:val="center" w:pos="4153"/>
        <w:tab w:val="right" w:pos="8306"/>
      </w:tabs>
      <w:snapToGrid w:val="0"/>
    </w:pPr>
    <w:rPr>
      <w:sz w:val="18"/>
    </w:rPr>
  </w:style>
  <w:style w:type="paragraph" w:styleId="17">
    <w:name w:val="header"/>
    <w:basedOn w:val="1"/>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annotation subject"/>
    <w:basedOn w:val="10"/>
    <w:next w:val="10"/>
    <w:link w:val="49"/>
    <w:qFormat/>
    <w:uiPriority w:val="99"/>
    <w:rPr>
      <w:b/>
      <w:bCs/>
    </w:rPr>
  </w:style>
  <w:style w:type="paragraph" w:styleId="22">
    <w:name w:val="Body Text First Indent"/>
    <w:basedOn w:val="12"/>
    <w:unhideWhenUsed/>
    <w:qFormat/>
    <w:uiPriority w:val="0"/>
    <w:pPr>
      <w:ind w:firstLine="420"/>
    </w:pPr>
    <w:rPr>
      <w:rFonts w:hint="eastAsia" w:ascii="Times New Roman" w:hAnsi="Times New Roman" w:eastAsia="楷体_GB2312"/>
      <w:sz w:val="20"/>
    </w:rPr>
  </w:style>
  <w:style w:type="paragraph" w:styleId="23">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character" w:styleId="28">
    <w:name w:val="annotation reference"/>
    <w:basedOn w:val="26"/>
    <w:qFormat/>
    <w:uiPriority w:val="99"/>
    <w:rPr>
      <w:sz w:val="21"/>
      <w:szCs w:val="21"/>
    </w:rPr>
  </w:style>
  <w:style w:type="paragraph" w:customStyle="1" w:styleId="29">
    <w:name w:val="Body Text First Indent 21"/>
    <w:basedOn w:val="30"/>
    <w:qFormat/>
    <w:uiPriority w:val="0"/>
    <w:pPr>
      <w:spacing w:line="360" w:lineRule="auto"/>
    </w:pPr>
    <w:rPr>
      <w:rFonts w:eastAsia="宋体"/>
      <w:sz w:val="24"/>
    </w:rPr>
  </w:style>
  <w:style w:type="paragraph" w:customStyle="1" w:styleId="30">
    <w:name w:val="Body Text Indent1"/>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31">
    <w:name w:val="正文缩进1"/>
    <w:basedOn w:val="32"/>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2">
    <w:name w:val="正文1"/>
    <w:basedOn w:val="1"/>
    <w:unhideWhenUsed/>
    <w:qFormat/>
    <w:uiPriority w:val="0"/>
    <w:pPr>
      <w:spacing w:line="240" w:lineRule="atLeast"/>
      <w:jc w:val="center"/>
      <w:textAlignment w:val="baseline"/>
    </w:pPr>
    <w:rPr>
      <w:rFonts w:ascii="Tahoma" w:hAnsi="Tahoma"/>
    </w:rPr>
  </w:style>
  <w:style w:type="character" w:customStyle="1" w:styleId="33">
    <w:name w:val="标题 3 Char"/>
    <w:link w:val="5"/>
    <w:unhideWhenUsed/>
    <w:qFormat/>
    <w:uiPriority w:val="1"/>
    <w:rPr>
      <w:rFonts w:hint="default" w:ascii="宋体" w:hAnsi="宋体" w:eastAsia="宋体"/>
      <w:b/>
      <w:sz w:val="24"/>
      <w:szCs w:val="24"/>
    </w:rPr>
  </w:style>
  <w:style w:type="paragraph" w:customStyle="1" w:styleId="34">
    <w:name w:val="Table Paragraph"/>
    <w:basedOn w:val="1"/>
    <w:unhideWhenUsed/>
    <w:qFormat/>
    <w:uiPriority w:val="99"/>
  </w:style>
  <w:style w:type="paragraph" w:customStyle="1" w:styleId="35">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6">
    <w:name w:val="p0"/>
    <w:basedOn w:val="1"/>
    <w:unhideWhenUsed/>
    <w:qFormat/>
    <w:uiPriority w:val="0"/>
    <w:pPr>
      <w:widowControl/>
      <w:spacing w:before="75" w:after="75"/>
    </w:pPr>
    <w:rPr>
      <w:rFonts w:ascii="宋体" w:hAnsi="宋体" w:cs="宋体"/>
    </w:rPr>
  </w:style>
  <w:style w:type="paragraph" w:customStyle="1" w:styleId="37">
    <w:name w:val="列出段落1"/>
    <w:basedOn w:val="1"/>
    <w:unhideWhenUsed/>
    <w:qFormat/>
    <w:uiPriority w:val="1"/>
  </w:style>
  <w:style w:type="paragraph" w:customStyle="1" w:styleId="38">
    <w:name w:val="文一"/>
    <w:basedOn w:val="1"/>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9">
    <w:name w:val="样式 宋体 行距: 1.5 倍行距"/>
    <w:basedOn w:val="1"/>
    <w:unhideWhenUsed/>
    <w:qFormat/>
    <w:uiPriority w:val="0"/>
    <w:pPr>
      <w:jc w:val="center"/>
    </w:pPr>
    <w:rPr>
      <w:b/>
    </w:rPr>
  </w:style>
  <w:style w:type="paragraph" w:customStyle="1" w:styleId="40">
    <w:name w:val="发文落款"/>
    <w:basedOn w:val="35"/>
    <w:unhideWhenUsed/>
    <w:qFormat/>
    <w:uiPriority w:val="99"/>
    <w:pPr>
      <w:ind w:left="4094" w:right="607" w:firstLine="0"/>
      <w:jc w:val="center"/>
    </w:pPr>
    <w:rPr>
      <w:rFonts w:cs="仿宋_GB2312"/>
      <w:szCs w:val="32"/>
    </w:rPr>
  </w:style>
  <w:style w:type="character" w:customStyle="1" w:styleId="41">
    <w:name w:val="标题 2 Char"/>
    <w:link w:val="4"/>
    <w:unhideWhenUsed/>
    <w:qFormat/>
    <w:uiPriority w:val="1"/>
    <w:rPr>
      <w:rFonts w:hint="default" w:ascii="宋体" w:hAnsi="宋体" w:eastAsia="宋体"/>
      <w:b/>
      <w:sz w:val="30"/>
      <w:szCs w:val="24"/>
    </w:rPr>
  </w:style>
  <w:style w:type="character" w:customStyle="1" w:styleId="42">
    <w:name w:val="NormalCharacter"/>
    <w:unhideWhenUsed/>
    <w:qFormat/>
    <w:uiPriority w:val="0"/>
    <w:rPr>
      <w:rFonts w:hint="default"/>
      <w:sz w:val="24"/>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批注框文本 Char"/>
    <w:basedOn w:val="26"/>
    <w:link w:val="15"/>
    <w:qFormat/>
    <w:uiPriority w:val="99"/>
    <w:rPr>
      <w:sz w:val="18"/>
      <w:szCs w:val="18"/>
    </w:rPr>
  </w:style>
  <w:style w:type="character" w:customStyle="1" w:styleId="48">
    <w:name w:val="批注文字 Char"/>
    <w:basedOn w:val="26"/>
    <w:link w:val="10"/>
    <w:qFormat/>
    <w:uiPriority w:val="99"/>
    <w:rPr>
      <w:sz w:val="24"/>
      <w:szCs w:val="24"/>
    </w:rPr>
  </w:style>
  <w:style w:type="character" w:customStyle="1" w:styleId="49">
    <w:name w:val="批注主题 Char"/>
    <w:basedOn w:val="48"/>
    <w:link w:val="21"/>
    <w:qFormat/>
    <w:uiPriority w:val="99"/>
    <w:rPr>
      <w:b/>
      <w:bCs/>
      <w:sz w:val="24"/>
      <w:szCs w:val="24"/>
    </w:rPr>
  </w:style>
  <w:style w:type="paragraph" w:customStyle="1" w:styleId="50">
    <w:name w:val="BodyText1I"/>
    <w:basedOn w:val="1"/>
    <w:qFormat/>
    <w:uiPriority w:val="0"/>
    <w:pPr>
      <w:autoSpaceDE/>
      <w:autoSpaceDN/>
      <w:adjustRightInd/>
      <w:spacing w:line="360" w:lineRule="auto"/>
      <w:jc w:val="center"/>
    </w:pPr>
    <w:rPr>
      <w:kern w:val="2"/>
      <w:sz w:val="21"/>
      <w:szCs w:val="22"/>
    </w:rPr>
  </w:style>
  <w:style w:type="paragraph" w:customStyle="1" w:styleId="5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26.xml"/><Relationship Id="rId35" Type="http://schemas.openxmlformats.org/officeDocument/2006/relationships/header" Target="header8.xml"/><Relationship Id="rId34" Type="http://schemas.openxmlformats.org/officeDocument/2006/relationships/footer" Target="footer25.xml"/><Relationship Id="rId33" Type="http://schemas.openxmlformats.org/officeDocument/2006/relationships/header" Target="header7.xml"/><Relationship Id="rId32" Type="http://schemas.openxmlformats.org/officeDocument/2006/relationships/footer" Target="footer24.xml"/><Relationship Id="rId31" Type="http://schemas.openxmlformats.org/officeDocument/2006/relationships/header" Target="header6.xml"/><Relationship Id="rId30" Type="http://schemas.openxmlformats.org/officeDocument/2006/relationships/footer" Target="footer23.xml"/><Relationship Id="rId3" Type="http://schemas.openxmlformats.org/officeDocument/2006/relationships/footer" Target="footer1.xml"/><Relationship Id="rId29" Type="http://schemas.openxmlformats.org/officeDocument/2006/relationships/header" Target="header5.xml"/><Relationship Id="rId28" Type="http://schemas.openxmlformats.org/officeDocument/2006/relationships/footer" Target="footer22.xml"/><Relationship Id="rId27" Type="http://schemas.openxmlformats.org/officeDocument/2006/relationships/header" Target="header4.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3.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28072</Words>
  <Characters>29916</Characters>
  <Lines>72</Lines>
  <Paragraphs>108</Paragraphs>
  <TotalTime>106</TotalTime>
  <ScaleCrop>false</ScaleCrop>
  <LinksUpToDate>false</LinksUpToDate>
  <CharactersWithSpaces>30624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PC</dc:creator>
  <cp:lastModifiedBy>用户</cp:lastModifiedBy>
  <cp:lastPrinted>2025-07-16T05:49:03Z</cp:lastPrinted>
  <dcterms:modified xsi:type="dcterms:W3CDTF">2025-07-16T05:52:34Z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7F3D715CF7A24107988DBA4E8745E2B1_13</vt:lpwstr>
  </property>
  <property fmtid="{D5CDD505-2E9C-101B-9397-08002B2CF9AE}" pid="4" name="KSOTemplateDocerSaveRecord">
    <vt:lpwstr>eyJoZGlkIjoiMjc2MWZjMDE4MzkxMGFjOTg2ZGY2MWU3ZmEyYzVhYTciLCJ1c2VySWQiOiIzNjk1MDI2MTYifQ==</vt:lpwstr>
  </property>
</Properties>
</file>