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3B57720">
      <w:pPr>
        <w:jc w:val="center"/>
        <w:outlineLvl w:val="2"/>
        <w:rPr>
          <w:rFonts w:hint="eastAsia" w:ascii="宋体" w:hAnsi="宋体" w:cs="宋体"/>
          <w:color w:val="auto"/>
          <w:sz w:val="30"/>
          <w:szCs w:val="30"/>
          <w:highlight w:val="none"/>
        </w:rPr>
      </w:pPr>
      <w:bookmarkStart w:id="0" w:name="_Toc295"/>
      <w:r>
        <w:rPr>
          <w:rFonts w:hint="eastAsia" w:ascii="宋体" w:hAnsi="宋体" w:cs="宋体"/>
          <w:color w:val="auto"/>
          <w:sz w:val="30"/>
          <w:szCs w:val="30"/>
          <w:highlight w:val="none"/>
        </w:rPr>
        <w:t>附录1   资格审</w:t>
      </w:r>
      <w:bookmarkStart w:id="20" w:name="_GoBack"/>
      <w:bookmarkEnd w:id="20"/>
      <w:r>
        <w:rPr>
          <w:rFonts w:hint="eastAsia" w:ascii="宋体" w:hAnsi="宋体" w:cs="宋体"/>
          <w:color w:val="auto"/>
          <w:sz w:val="30"/>
          <w:szCs w:val="30"/>
          <w:highlight w:val="none"/>
        </w:rPr>
        <w:t>查条件(资质最低条件)</w:t>
      </w:r>
      <w:bookmarkEnd w:id="0"/>
    </w:p>
    <w:p w14:paraId="5E22ECD2">
      <w:pPr>
        <w:spacing w:line="160" w:lineRule="exact"/>
        <w:rPr>
          <w:rFonts w:hint="eastAsia" w:ascii="宋体" w:hAnsi="宋体" w:cs="宋体"/>
          <w:color w:val="auto"/>
          <w:highlight w:val="none"/>
        </w:rPr>
      </w:pPr>
    </w:p>
    <w:tbl>
      <w:tblPr>
        <w:tblStyle w:val="4"/>
        <w:tblW w:w="5000"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9854"/>
      </w:tblGrid>
      <w:tr w14:paraId="1C167DB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23" w:hRule="exact"/>
        </w:trPr>
        <w:tc>
          <w:tcPr>
            <w:tcW w:w="5000" w:type="pct"/>
            <w:noWrap w:val="0"/>
            <w:vAlign w:val="center"/>
          </w:tcPr>
          <w:p w14:paraId="751094C1">
            <w:pPr>
              <w:jc w:val="center"/>
              <w:rPr>
                <w:rFonts w:hint="eastAsia" w:ascii="宋体" w:hAnsi="宋体" w:cs="宋体"/>
                <w:b/>
                <w:color w:val="auto"/>
                <w:sz w:val="28"/>
                <w:szCs w:val="28"/>
                <w:highlight w:val="none"/>
              </w:rPr>
            </w:pPr>
            <w:r>
              <w:rPr>
                <w:rFonts w:hint="eastAsia" w:ascii="宋体" w:hAnsi="宋体" w:cs="宋体"/>
                <w:b/>
                <w:color w:val="auto"/>
                <w:sz w:val="28"/>
                <w:szCs w:val="28"/>
                <w:highlight w:val="none"/>
              </w:rPr>
              <w:t>施工企业资质等级要求</w:t>
            </w:r>
          </w:p>
        </w:tc>
      </w:tr>
      <w:tr w14:paraId="39B3D19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5629" w:hRule="exact"/>
        </w:trPr>
        <w:tc>
          <w:tcPr>
            <w:tcW w:w="5000" w:type="pct"/>
            <w:noWrap w:val="0"/>
            <w:vAlign w:val="center"/>
          </w:tcPr>
          <w:p w14:paraId="62AD68D4">
            <w:pPr>
              <w:spacing w:line="360" w:lineRule="auto"/>
              <w:ind w:firstLine="240" w:firstLineChars="100"/>
              <w:rPr>
                <w:rFonts w:hint="eastAsia" w:ascii="宋体" w:hAnsi="宋体" w:cs="宋体"/>
                <w:color w:val="auto"/>
                <w:sz w:val="24"/>
                <w:highlight w:val="none"/>
              </w:rPr>
            </w:pPr>
            <w:r>
              <w:rPr>
                <w:rFonts w:hint="eastAsia" w:ascii="宋体" w:hAnsi="宋体" w:cs="宋体"/>
                <w:color w:val="auto"/>
                <w:sz w:val="24"/>
                <w:highlight w:val="none"/>
              </w:rPr>
              <w:t>1、中华人民共和国国内注册成立的独立企业法人。</w:t>
            </w:r>
          </w:p>
          <w:p w14:paraId="43A7D595">
            <w:pPr>
              <w:spacing w:line="360" w:lineRule="auto"/>
              <w:ind w:firstLine="240" w:firstLineChars="100"/>
              <w:rPr>
                <w:rFonts w:hint="eastAsia" w:ascii="宋体" w:hAnsi="宋体" w:cs="宋体"/>
                <w:color w:val="auto"/>
                <w:kern w:val="0"/>
                <w:sz w:val="24"/>
                <w:szCs w:val="24"/>
                <w:highlight w:val="none"/>
              </w:rPr>
            </w:pPr>
            <w:r>
              <w:rPr>
                <w:rFonts w:hint="eastAsia" w:ascii="宋体" w:hAnsi="宋体" w:cs="宋体"/>
                <w:color w:val="auto"/>
                <w:sz w:val="24"/>
                <w:highlight w:val="none"/>
              </w:rPr>
              <w:t>2、具备住房城乡建设主管部门核发的公路工程施工总承包三级（或以上）资质或交通运输主管部门核发的公路养护作业路基路面乙级（或以上）资质</w:t>
            </w:r>
            <w:r>
              <w:rPr>
                <w:rFonts w:hint="eastAsia" w:ascii="宋体" w:hAnsi="宋体" w:cs="宋体"/>
                <w:color w:val="auto"/>
                <w:kern w:val="0"/>
                <w:sz w:val="24"/>
                <w:szCs w:val="24"/>
                <w:highlight w:val="none"/>
              </w:rPr>
              <w:t>。</w:t>
            </w:r>
          </w:p>
          <w:p w14:paraId="2A5CC4C0">
            <w:pPr>
              <w:spacing w:line="360" w:lineRule="auto"/>
              <w:ind w:firstLine="240" w:firstLineChars="100"/>
              <w:rPr>
                <w:rFonts w:ascii="宋体" w:hAnsi="宋体" w:cs="宋体"/>
                <w:color w:val="auto"/>
                <w:sz w:val="24"/>
                <w:highlight w:val="none"/>
              </w:rPr>
            </w:pPr>
            <w:r>
              <w:rPr>
                <w:rFonts w:hint="eastAsia" w:ascii="宋体" w:hAnsi="宋体" w:cs="宋体"/>
                <w:color w:val="auto"/>
                <w:sz w:val="24"/>
                <w:highlight w:val="none"/>
              </w:rPr>
              <w:t>3、具有有效的安全生产许可证。</w:t>
            </w:r>
          </w:p>
        </w:tc>
      </w:tr>
    </w:tbl>
    <w:p w14:paraId="5B4CE9B7">
      <w:pPr>
        <w:widowControl/>
        <w:spacing w:line="360" w:lineRule="auto"/>
        <w:jc w:val="left"/>
        <w:rPr>
          <w:rFonts w:ascii="宋体" w:hAnsi="宋体" w:cs="宋体"/>
          <w:color w:val="auto"/>
          <w:kern w:val="0"/>
          <w:sz w:val="24"/>
          <w:szCs w:val="24"/>
          <w:highlight w:val="none"/>
          <w:lang w:bidi="ar"/>
        </w:rPr>
      </w:pPr>
      <w:bookmarkStart w:id="1" w:name="_Toc6635"/>
      <w:r>
        <w:rPr>
          <w:rFonts w:hint="eastAsia" w:ascii="宋体" w:hAnsi="宋体" w:cs="宋体"/>
          <w:color w:val="auto"/>
          <w:kern w:val="0"/>
          <w:sz w:val="24"/>
          <w:szCs w:val="24"/>
          <w:highlight w:val="none"/>
          <w:lang w:bidi="ar"/>
        </w:rPr>
        <w:t>注：1、投标人应根据投标文件第二章“投标人须知”第3.5.1项的要求附相关证明材料。</w:t>
      </w:r>
    </w:p>
    <w:p w14:paraId="459818A0">
      <w:pPr>
        <w:widowControl/>
        <w:spacing w:line="360" w:lineRule="auto"/>
        <w:jc w:val="left"/>
        <w:rPr>
          <w:rFonts w:hint="eastAsia" w:ascii="宋体" w:hAnsi="宋体" w:cs="宋体"/>
          <w:color w:val="auto"/>
          <w:kern w:val="0"/>
          <w:sz w:val="24"/>
          <w:szCs w:val="24"/>
          <w:highlight w:val="none"/>
          <w:lang w:bidi="ar"/>
        </w:rPr>
      </w:pPr>
      <w:r>
        <w:rPr>
          <w:rFonts w:hint="eastAsia" w:ascii="宋体" w:hAnsi="宋体" w:cs="宋体"/>
          <w:color w:val="auto"/>
          <w:kern w:val="0"/>
          <w:sz w:val="24"/>
          <w:szCs w:val="24"/>
          <w:highlight w:val="none"/>
          <w:lang w:bidi="ar"/>
        </w:rPr>
        <w:t>2、投标人需在交通运输部“全国公路建设市场监督管理系</w:t>
      </w:r>
      <w:r>
        <w:rPr>
          <w:rFonts w:hint="eastAsia" w:ascii="宋体" w:hAnsi="宋体" w:cs="宋体"/>
          <w:color w:val="auto"/>
          <w:kern w:val="0"/>
          <w:sz w:val="24"/>
          <w:szCs w:val="24"/>
          <w:highlight w:val="none"/>
          <w:lang w:val="en-US" w:eastAsia="zh-CN" w:bidi="ar"/>
        </w:rPr>
        <w:t>统</w:t>
      </w:r>
      <w:r>
        <w:rPr>
          <w:rFonts w:hint="eastAsia" w:ascii="宋体" w:hAnsi="宋体" w:cs="宋体"/>
          <w:color w:val="auto"/>
          <w:kern w:val="0"/>
          <w:sz w:val="24"/>
          <w:szCs w:val="24"/>
          <w:highlight w:val="none"/>
          <w:lang w:bidi="ar"/>
        </w:rPr>
        <w:t>”（https://hwdms.mot.gov.cn</w:t>
      </w:r>
      <w:r>
        <w:rPr>
          <w:rFonts w:hint="eastAsia" w:ascii="宋体" w:hAnsi="宋体" w:cs="宋体"/>
          <w:color w:val="auto"/>
          <w:sz w:val="24"/>
          <w:szCs w:val="24"/>
          <w:highlight w:val="none"/>
        </w:rPr>
        <w:t>/</w:t>
      </w:r>
      <w:r>
        <w:rPr>
          <w:rFonts w:hint="eastAsia" w:ascii="宋体" w:hAnsi="宋体" w:cs="宋体"/>
          <w:color w:val="auto"/>
          <w:kern w:val="0"/>
          <w:sz w:val="24"/>
          <w:szCs w:val="24"/>
          <w:highlight w:val="none"/>
          <w:lang w:bidi="ar"/>
        </w:rPr>
        <w:t>）中“公路工程施工资质企业名录”（以下简称“名录”）中。对于未列入“名录”或投标人名称、资质信息与“名录”查询结果不符的，将不能通过资格审查。</w:t>
      </w:r>
    </w:p>
    <w:p w14:paraId="326443A6">
      <w:pPr>
        <w:jc w:val="center"/>
        <w:outlineLvl w:val="2"/>
        <w:rPr>
          <w:rFonts w:hint="eastAsia" w:ascii="宋体" w:hAnsi="宋体" w:cs="宋体"/>
          <w:color w:val="auto"/>
          <w:sz w:val="30"/>
          <w:szCs w:val="30"/>
          <w:highlight w:val="none"/>
        </w:rPr>
      </w:pPr>
      <w:r>
        <w:rPr>
          <w:rFonts w:hint="eastAsia" w:ascii="宋体" w:hAnsi="宋体" w:cs="宋体"/>
          <w:color w:val="auto"/>
          <w:sz w:val="30"/>
          <w:szCs w:val="30"/>
          <w:highlight w:val="none"/>
        </w:rPr>
        <w:br w:type="page"/>
      </w:r>
      <w:r>
        <w:rPr>
          <w:rFonts w:hint="eastAsia" w:ascii="宋体" w:hAnsi="宋体" w:cs="宋体"/>
          <w:color w:val="auto"/>
          <w:sz w:val="30"/>
          <w:szCs w:val="30"/>
          <w:highlight w:val="none"/>
        </w:rPr>
        <w:t>附录2   资格审查条件(财务最低要求)</w:t>
      </w:r>
      <w:bookmarkEnd w:id="1"/>
    </w:p>
    <w:p w14:paraId="5EA49C35">
      <w:pPr>
        <w:spacing w:line="160" w:lineRule="exact"/>
        <w:rPr>
          <w:rFonts w:hint="eastAsia" w:ascii="宋体" w:hAnsi="宋体" w:cs="宋体"/>
          <w:color w:val="auto"/>
          <w:highlight w:val="none"/>
        </w:rPr>
      </w:pPr>
    </w:p>
    <w:tbl>
      <w:tblPr>
        <w:tblStyle w:val="4"/>
        <w:tblW w:w="5000"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9854"/>
      </w:tblGrid>
      <w:tr w14:paraId="387A4E2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0" w:hRule="exact"/>
        </w:trPr>
        <w:tc>
          <w:tcPr>
            <w:tcW w:w="5000" w:type="pct"/>
            <w:noWrap w:val="0"/>
            <w:vAlign w:val="center"/>
          </w:tcPr>
          <w:p w14:paraId="3AD14690">
            <w:pPr>
              <w:jc w:val="center"/>
              <w:rPr>
                <w:rFonts w:hint="eastAsia" w:ascii="宋体" w:hAnsi="宋体" w:cs="宋体"/>
                <w:b/>
                <w:color w:val="auto"/>
                <w:sz w:val="28"/>
                <w:szCs w:val="28"/>
                <w:highlight w:val="none"/>
              </w:rPr>
            </w:pPr>
            <w:r>
              <w:rPr>
                <w:rFonts w:hint="eastAsia" w:ascii="宋体" w:hAnsi="宋体" w:cs="宋体"/>
                <w:b/>
                <w:color w:val="auto"/>
                <w:sz w:val="28"/>
                <w:szCs w:val="28"/>
                <w:highlight w:val="none"/>
              </w:rPr>
              <w:t>财 务 要 求</w:t>
            </w:r>
          </w:p>
        </w:tc>
      </w:tr>
      <w:tr w14:paraId="0C06C0F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646" w:hRule="exact"/>
        </w:trPr>
        <w:tc>
          <w:tcPr>
            <w:tcW w:w="5000" w:type="pct"/>
            <w:noWrap w:val="0"/>
            <w:vAlign w:val="center"/>
          </w:tcPr>
          <w:p w14:paraId="243792E9">
            <w:pPr>
              <w:spacing w:line="520" w:lineRule="exact"/>
              <w:ind w:firstLine="240" w:firstLineChars="100"/>
              <w:rPr>
                <w:rFonts w:hint="eastAsia" w:ascii="宋体" w:hAnsi="宋体" w:cs="宋体"/>
                <w:color w:val="auto"/>
                <w:sz w:val="24"/>
                <w:highlight w:val="none"/>
              </w:rPr>
            </w:pPr>
            <w:r>
              <w:rPr>
                <w:rFonts w:hint="eastAsia" w:ascii="宋体" w:hAnsi="宋体" w:cs="宋体"/>
                <w:color w:val="auto"/>
                <w:sz w:val="24"/>
                <w:highlight w:val="none"/>
              </w:rPr>
              <w:t>1、企业净资产（总资产-总负债）不少于</w:t>
            </w:r>
            <w:r>
              <w:rPr>
                <w:rFonts w:hint="eastAsia" w:ascii="宋体" w:hAnsi="宋体" w:cs="宋体"/>
                <w:color w:val="auto"/>
                <w:sz w:val="24"/>
                <w:highlight w:val="none"/>
                <w:lang w:val="en-US" w:eastAsia="zh-CN"/>
              </w:rPr>
              <w:t>1200</w:t>
            </w:r>
            <w:r>
              <w:rPr>
                <w:rFonts w:hint="eastAsia" w:ascii="宋体" w:hAnsi="宋体" w:cs="宋体"/>
                <w:color w:val="auto"/>
                <w:sz w:val="24"/>
                <w:highlight w:val="none"/>
              </w:rPr>
              <w:t>万元人民币；</w:t>
            </w:r>
          </w:p>
          <w:p w14:paraId="5908AE52">
            <w:pPr>
              <w:spacing w:line="520" w:lineRule="exact"/>
              <w:ind w:firstLine="240" w:firstLineChars="100"/>
              <w:rPr>
                <w:rFonts w:hint="eastAsia" w:ascii="宋体" w:hAnsi="宋体" w:cs="宋体"/>
                <w:color w:val="auto"/>
                <w:sz w:val="24"/>
                <w:highlight w:val="none"/>
              </w:rPr>
            </w:pPr>
            <w:r>
              <w:rPr>
                <w:rFonts w:hint="eastAsia" w:ascii="宋体" w:hAnsi="宋体" w:cs="宋体"/>
                <w:color w:val="auto"/>
                <w:sz w:val="24"/>
                <w:highlight w:val="none"/>
              </w:rPr>
              <w:t>2、营运资金（流动资产－流动负债）不少于1</w:t>
            </w:r>
            <w:r>
              <w:rPr>
                <w:rFonts w:hint="eastAsia" w:ascii="宋体" w:hAnsi="宋体" w:cs="宋体"/>
                <w:color w:val="auto"/>
                <w:sz w:val="24"/>
                <w:highlight w:val="none"/>
                <w:lang w:val="en-US" w:eastAsia="zh-CN"/>
              </w:rPr>
              <w:t>2</w:t>
            </w:r>
            <w:r>
              <w:rPr>
                <w:rFonts w:hint="eastAsia" w:ascii="宋体" w:hAnsi="宋体" w:cs="宋体"/>
                <w:color w:val="auto"/>
                <w:sz w:val="24"/>
                <w:highlight w:val="none"/>
              </w:rPr>
              <w:t>00万元人民币；</w:t>
            </w:r>
          </w:p>
          <w:p w14:paraId="5157FA30">
            <w:pPr>
              <w:spacing w:line="520" w:lineRule="exact"/>
              <w:ind w:firstLine="240" w:firstLineChars="100"/>
              <w:rPr>
                <w:rFonts w:hint="eastAsia" w:ascii="宋体" w:hAnsi="宋体" w:cs="宋体"/>
                <w:color w:val="auto"/>
                <w:sz w:val="24"/>
                <w:highlight w:val="none"/>
              </w:rPr>
            </w:pPr>
            <w:r>
              <w:rPr>
                <w:rFonts w:hint="eastAsia" w:ascii="宋体" w:hAnsi="宋体" w:cs="宋体"/>
                <w:color w:val="auto"/>
                <w:sz w:val="24"/>
                <w:highlight w:val="none"/>
              </w:rPr>
              <w:t>3、最近三个年度的平均营业总收入不少于2</w:t>
            </w:r>
            <w:r>
              <w:rPr>
                <w:rFonts w:hint="eastAsia" w:ascii="宋体" w:hAnsi="宋体" w:cs="宋体"/>
                <w:color w:val="auto"/>
                <w:sz w:val="24"/>
                <w:highlight w:val="none"/>
                <w:lang w:val="en-US" w:eastAsia="zh-CN"/>
              </w:rPr>
              <w:t>4</w:t>
            </w:r>
            <w:r>
              <w:rPr>
                <w:rFonts w:hint="eastAsia" w:ascii="宋体" w:hAnsi="宋体" w:cs="宋体"/>
                <w:color w:val="auto"/>
                <w:sz w:val="24"/>
                <w:highlight w:val="none"/>
              </w:rPr>
              <w:t>00万元人民币；</w:t>
            </w:r>
          </w:p>
          <w:p w14:paraId="00F7DB4E">
            <w:pPr>
              <w:spacing w:line="520" w:lineRule="exact"/>
              <w:ind w:firstLine="240" w:firstLineChars="100"/>
              <w:rPr>
                <w:rFonts w:hint="eastAsia" w:ascii="宋体" w:hAnsi="宋体" w:cs="宋体"/>
                <w:color w:val="auto"/>
                <w:sz w:val="24"/>
                <w:szCs w:val="24"/>
                <w:highlight w:val="none"/>
              </w:rPr>
            </w:pPr>
            <w:r>
              <w:rPr>
                <w:rFonts w:hint="eastAsia" w:ascii="宋体" w:hAnsi="宋体" w:cs="宋体"/>
                <w:color w:val="auto"/>
                <w:sz w:val="24"/>
                <w:highlight w:val="none"/>
              </w:rPr>
              <w:t>4、最近三个年度至少有2年盈利。</w:t>
            </w:r>
          </w:p>
        </w:tc>
      </w:tr>
    </w:tbl>
    <w:p w14:paraId="1E5FE627">
      <w:pPr>
        <w:widowControl/>
        <w:spacing w:line="360" w:lineRule="auto"/>
        <w:jc w:val="left"/>
        <w:rPr>
          <w:rFonts w:hint="eastAsia" w:ascii="宋体" w:hAnsi="宋体" w:cs="宋体"/>
          <w:color w:val="auto"/>
          <w:kern w:val="0"/>
          <w:sz w:val="24"/>
          <w:szCs w:val="24"/>
          <w:highlight w:val="none"/>
          <w:u w:val="single"/>
          <w:lang w:bidi="ar"/>
        </w:rPr>
      </w:pPr>
      <w:bookmarkStart w:id="2" w:name="_Toc2824"/>
      <w:r>
        <w:rPr>
          <w:rFonts w:hint="eastAsia" w:ascii="宋体" w:hAnsi="宋体" w:cs="宋体"/>
          <w:color w:val="auto"/>
          <w:kern w:val="0"/>
          <w:sz w:val="24"/>
          <w:szCs w:val="24"/>
          <w:highlight w:val="none"/>
          <w:lang w:bidi="ar"/>
        </w:rPr>
        <w:t>注：1、企业净资产、营运资金是按交通运输部“全国公路建设市场监督管理系统”登记的最新年度（近三个年度的最后一年，下同）数据计算得出。近三个年度是指</w:t>
      </w:r>
      <w:r>
        <w:rPr>
          <w:rFonts w:hint="eastAsia" w:ascii="宋体" w:hAnsi="宋体" w:cs="宋体"/>
          <w:color w:val="auto"/>
          <w:kern w:val="0"/>
          <w:sz w:val="24"/>
          <w:szCs w:val="24"/>
          <w:highlight w:val="none"/>
          <w:u w:val="single"/>
          <w:lang w:bidi="ar"/>
        </w:rPr>
        <w:t>202</w:t>
      </w:r>
      <w:r>
        <w:rPr>
          <w:rFonts w:hint="eastAsia" w:ascii="宋体" w:hAnsi="宋体" w:cs="宋体"/>
          <w:color w:val="auto"/>
          <w:kern w:val="0"/>
          <w:sz w:val="24"/>
          <w:szCs w:val="24"/>
          <w:highlight w:val="none"/>
          <w:u w:val="single"/>
          <w:lang w:val="en-US" w:eastAsia="zh-CN" w:bidi="ar"/>
        </w:rPr>
        <w:t>1</w:t>
      </w:r>
      <w:r>
        <w:rPr>
          <w:rFonts w:hint="eastAsia" w:ascii="宋体" w:hAnsi="宋体" w:cs="宋体"/>
          <w:color w:val="auto"/>
          <w:kern w:val="0"/>
          <w:sz w:val="24"/>
          <w:szCs w:val="24"/>
          <w:highlight w:val="none"/>
          <w:u w:val="single"/>
          <w:lang w:bidi="ar"/>
        </w:rPr>
        <w:t>年度、202</w:t>
      </w:r>
      <w:r>
        <w:rPr>
          <w:rFonts w:hint="eastAsia" w:ascii="宋体" w:hAnsi="宋体" w:cs="宋体"/>
          <w:color w:val="auto"/>
          <w:kern w:val="0"/>
          <w:sz w:val="24"/>
          <w:szCs w:val="24"/>
          <w:highlight w:val="none"/>
          <w:u w:val="single"/>
          <w:lang w:val="en-US" w:eastAsia="zh-CN" w:bidi="ar"/>
        </w:rPr>
        <w:t>2</w:t>
      </w:r>
      <w:r>
        <w:rPr>
          <w:rFonts w:hint="eastAsia" w:ascii="宋体" w:hAnsi="宋体" w:cs="宋体"/>
          <w:color w:val="auto"/>
          <w:kern w:val="0"/>
          <w:sz w:val="24"/>
          <w:szCs w:val="24"/>
          <w:highlight w:val="none"/>
          <w:u w:val="single"/>
          <w:lang w:bidi="ar"/>
        </w:rPr>
        <w:t>年度、202</w:t>
      </w:r>
      <w:r>
        <w:rPr>
          <w:rFonts w:hint="eastAsia" w:ascii="宋体" w:hAnsi="宋体" w:cs="宋体"/>
          <w:color w:val="auto"/>
          <w:kern w:val="0"/>
          <w:sz w:val="24"/>
          <w:szCs w:val="24"/>
          <w:highlight w:val="none"/>
          <w:u w:val="single"/>
          <w:lang w:val="en-US" w:eastAsia="zh-CN" w:bidi="ar"/>
        </w:rPr>
        <w:t>3</w:t>
      </w:r>
      <w:r>
        <w:rPr>
          <w:rFonts w:hint="eastAsia" w:ascii="宋体" w:hAnsi="宋体" w:cs="宋体"/>
          <w:color w:val="auto"/>
          <w:kern w:val="0"/>
          <w:sz w:val="24"/>
          <w:szCs w:val="24"/>
          <w:highlight w:val="none"/>
          <w:u w:val="single"/>
          <w:lang w:bidi="ar"/>
        </w:rPr>
        <w:t>年度。</w:t>
      </w:r>
    </w:p>
    <w:p w14:paraId="4D3B9809">
      <w:pPr>
        <w:widowControl/>
        <w:spacing w:line="360" w:lineRule="auto"/>
        <w:ind w:firstLine="480" w:firstLineChars="200"/>
        <w:jc w:val="left"/>
        <w:rPr>
          <w:rFonts w:hint="eastAsia" w:ascii="宋体" w:hAnsi="宋体" w:cs="宋体"/>
          <w:color w:val="auto"/>
          <w:kern w:val="0"/>
          <w:sz w:val="24"/>
          <w:szCs w:val="24"/>
          <w:highlight w:val="none"/>
          <w:lang w:bidi="ar"/>
        </w:rPr>
      </w:pPr>
      <w:r>
        <w:rPr>
          <w:rFonts w:hint="eastAsia" w:ascii="宋体" w:hAnsi="宋体" w:cs="宋体"/>
          <w:color w:val="auto"/>
          <w:kern w:val="0"/>
          <w:sz w:val="24"/>
          <w:szCs w:val="24"/>
          <w:highlight w:val="none"/>
          <w:lang w:bidi="ar"/>
        </w:rPr>
        <w:t>2、投标人应根据招标文件第二章“投标人须知”第3.5.2项的要求附相关证明材料。</w:t>
      </w:r>
    </w:p>
    <w:p w14:paraId="67DDDE56">
      <w:pPr>
        <w:ind w:firstLine="600" w:firstLineChars="200"/>
        <w:jc w:val="center"/>
        <w:outlineLvl w:val="2"/>
        <w:rPr>
          <w:rFonts w:hint="eastAsia" w:ascii="宋体" w:hAnsi="宋体" w:cs="宋体"/>
          <w:color w:val="auto"/>
          <w:sz w:val="30"/>
          <w:szCs w:val="30"/>
          <w:highlight w:val="none"/>
        </w:rPr>
      </w:pPr>
      <w:r>
        <w:rPr>
          <w:rFonts w:hint="eastAsia" w:ascii="宋体" w:hAnsi="宋体" w:cs="宋体"/>
          <w:color w:val="auto"/>
          <w:sz w:val="30"/>
          <w:szCs w:val="30"/>
          <w:highlight w:val="none"/>
        </w:rPr>
        <w:br w:type="page"/>
      </w:r>
      <w:r>
        <w:rPr>
          <w:rFonts w:hint="eastAsia" w:ascii="宋体" w:hAnsi="宋体" w:cs="宋体"/>
          <w:color w:val="auto"/>
          <w:sz w:val="30"/>
          <w:szCs w:val="30"/>
          <w:highlight w:val="none"/>
        </w:rPr>
        <w:t>附录3   资格审查条件(业绩最低要求)</w:t>
      </w:r>
      <w:bookmarkEnd w:id="2"/>
    </w:p>
    <w:p w14:paraId="5A16924C">
      <w:pPr>
        <w:spacing w:line="160" w:lineRule="exact"/>
        <w:rPr>
          <w:rFonts w:hint="eastAsia" w:ascii="宋体" w:hAnsi="宋体" w:cs="宋体"/>
          <w:color w:val="auto"/>
          <w:highlight w:val="none"/>
        </w:rPr>
      </w:pPr>
    </w:p>
    <w:tbl>
      <w:tblPr>
        <w:tblStyle w:val="4"/>
        <w:tblW w:w="5000"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9854"/>
      </w:tblGrid>
      <w:tr w14:paraId="75B18C8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89" w:hRule="exact"/>
        </w:trPr>
        <w:tc>
          <w:tcPr>
            <w:tcW w:w="5000" w:type="pct"/>
            <w:noWrap w:val="0"/>
            <w:vAlign w:val="center"/>
          </w:tcPr>
          <w:p w14:paraId="03EA2653">
            <w:pPr>
              <w:jc w:val="center"/>
              <w:rPr>
                <w:rFonts w:hint="eastAsia" w:ascii="宋体" w:hAnsi="宋体" w:cs="宋体"/>
                <w:b/>
                <w:color w:val="auto"/>
                <w:sz w:val="28"/>
                <w:szCs w:val="28"/>
                <w:highlight w:val="none"/>
              </w:rPr>
            </w:pPr>
            <w:r>
              <w:rPr>
                <w:rFonts w:hint="eastAsia" w:ascii="宋体" w:hAnsi="宋体" w:cs="宋体"/>
                <w:b/>
                <w:color w:val="auto"/>
                <w:sz w:val="28"/>
                <w:szCs w:val="28"/>
                <w:highlight w:val="none"/>
              </w:rPr>
              <w:t>业 绩 要 求</w:t>
            </w:r>
          </w:p>
        </w:tc>
      </w:tr>
      <w:tr w14:paraId="1A98123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243" w:hRule="exact"/>
        </w:trPr>
        <w:tc>
          <w:tcPr>
            <w:tcW w:w="5000" w:type="pct"/>
            <w:noWrap w:val="0"/>
            <w:vAlign w:val="center"/>
          </w:tcPr>
          <w:p w14:paraId="59145BC6">
            <w:pPr>
              <w:pStyle w:val="6"/>
              <w:spacing w:before="183" w:line="358" w:lineRule="auto"/>
              <w:ind w:left="585"/>
              <w:rPr>
                <w:rFonts w:hint="eastAsia"/>
                <w:color w:val="auto"/>
                <w:szCs w:val="20"/>
                <w:highlight w:val="none"/>
                <w:lang w:eastAsia="zh-CN"/>
              </w:rPr>
            </w:pPr>
            <w:bookmarkStart w:id="3" w:name="OLE_LINK6"/>
            <w:r>
              <w:rPr>
                <w:rFonts w:hint="eastAsia"/>
                <w:color w:val="auto"/>
                <w:szCs w:val="20"/>
                <w:highlight w:val="none"/>
                <w:lang w:eastAsia="zh-CN"/>
              </w:rPr>
              <w:t>近五年内，(2020年</w:t>
            </w:r>
            <w:r>
              <w:rPr>
                <w:rFonts w:hint="eastAsia"/>
                <w:color w:val="auto"/>
                <w:szCs w:val="20"/>
                <w:highlight w:val="none"/>
                <w:lang w:val="en-US" w:eastAsia="zh-CN"/>
              </w:rPr>
              <w:t>7月1日</w:t>
            </w:r>
            <w:r>
              <w:rPr>
                <w:rFonts w:hint="eastAsia"/>
                <w:color w:val="auto"/>
                <w:szCs w:val="20"/>
                <w:highlight w:val="none"/>
                <w:lang w:eastAsia="zh-CN"/>
              </w:rPr>
              <w:t>至投标截止日)成功完成：</w:t>
            </w:r>
          </w:p>
          <w:p w14:paraId="6E1A7FA8">
            <w:pPr>
              <w:pStyle w:val="6"/>
              <w:spacing w:before="183" w:line="358" w:lineRule="auto"/>
              <w:ind w:left="585"/>
              <w:rPr>
                <w:rFonts w:hint="eastAsia"/>
                <w:color w:val="auto"/>
                <w:szCs w:val="20"/>
                <w:highlight w:val="none"/>
                <w:lang w:eastAsia="zh-CN"/>
              </w:rPr>
            </w:pPr>
            <w:r>
              <w:rPr>
                <w:rFonts w:hint="eastAsia"/>
                <w:color w:val="auto"/>
                <w:szCs w:val="20"/>
                <w:highlight w:val="none"/>
                <w:lang w:eastAsia="zh-CN"/>
              </w:rPr>
              <w:t>类似工程（</w:t>
            </w:r>
            <w:r>
              <w:rPr>
                <w:rFonts w:hint="eastAsia"/>
                <w:color w:val="auto"/>
                <w:szCs w:val="20"/>
                <w:highlight w:val="none"/>
                <w:lang w:val="en-US" w:eastAsia="zh-CN"/>
              </w:rPr>
              <w:t>沥青</w:t>
            </w:r>
            <w:r>
              <w:rPr>
                <w:rFonts w:hint="eastAsia"/>
                <w:color w:val="auto"/>
                <w:szCs w:val="20"/>
                <w:highlight w:val="none"/>
                <w:lang w:eastAsia="zh-CN"/>
              </w:rPr>
              <w:t>混凝土路面工程）至少1个标段（其中有1个标段里程不少于</w:t>
            </w:r>
            <w:r>
              <w:rPr>
                <w:rFonts w:hint="eastAsia"/>
                <w:color w:val="auto"/>
                <w:szCs w:val="20"/>
                <w:highlight w:val="none"/>
                <w:lang w:val="en-US" w:eastAsia="zh-CN"/>
              </w:rPr>
              <w:t>13</w:t>
            </w:r>
            <w:r>
              <w:rPr>
                <w:rFonts w:hint="eastAsia"/>
                <w:color w:val="auto"/>
                <w:szCs w:val="20"/>
                <w:highlight w:val="none"/>
                <w:lang w:eastAsia="zh-CN"/>
              </w:rPr>
              <w:t>km），且累计里程不少于</w:t>
            </w:r>
            <w:r>
              <w:rPr>
                <w:rFonts w:hint="eastAsia"/>
                <w:color w:val="auto"/>
                <w:szCs w:val="20"/>
                <w:highlight w:val="none"/>
                <w:lang w:val="en-US" w:eastAsia="zh-CN"/>
              </w:rPr>
              <w:t>30</w:t>
            </w:r>
            <w:r>
              <w:rPr>
                <w:rFonts w:hint="eastAsia"/>
                <w:color w:val="auto"/>
                <w:szCs w:val="20"/>
                <w:highlight w:val="none"/>
                <w:lang w:eastAsia="zh-CN"/>
              </w:rPr>
              <w:t>km。</w:t>
            </w:r>
            <w:bookmarkEnd w:id="3"/>
          </w:p>
        </w:tc>
      </w:tr>
    </w:tbl>
    <w:p w14:paraId="096B9ABA">
      <w:pPr>
        <w:spacing w:before="72" w:line="360" w:lineRule="auto"/>
        <w:ind w:right="2"/>
        <w:jc w:val="left"/>
        <w:outlineLvl w:val="1"/>
        <w:rPr>
          <w:rFonts w:hint="eastAsia" w:ascii="宋体" w:hAnsi="宋体" w:cs="宋体"/>
          <w:color w:val="auto"/>
          <w:spacing w:val="8"/>
          <w:sz w:val="24"/>
          <w:szCs w:val="24"/>
          <w:highlight w:val="none"/>
        </w:rPr>
      </w:pPr>
      <w:bookmarkStart w:id="4" w:name="_Toc10279"/>
      <w:r>
        <w:rPr>
          <w:rFonts w:hint="eastAsia" w:ascii="宋体" w:hAnsi="宋体" w:cs="宋体"/>
          <w:color w:val="auto"/>
          <w:spacing w:val="8"/>
          <w:sz w:val="24"/>
          <w:szCs w:val="24"/>
          <w:highlight w:val="none"/>
        </w:rPr>
        <w:t>注：1、本附录所要求的业绩仅限中华人民共和国境内业绩。</w:t>
      </w:r>
    </w:p>
    <w:p w14:paraId="6970A4FD">
      <w:pPr>
        <w:spacing w:before="72" w:line="360" w:lineRule="auto"/>
        <w:ind w:left="132" w:right="2" w:firstLine="421"/>
        <w:jc w:val="left"/>
        <w:outlineLvl w:val="1"/>
        <w:rPr>
          <w:rFonts w:hint="eastAsia" w:ascii="宋体" w:hAnsi="宋体" w:cs="宋体"/>
          <w:color w:val="auto"/>
          <w:spacing w:val="8"/>
          <w:sz w:val="24"/>
          <w:szCs w:val="24"/>
          <w:highlight w:val="none"/>
        </w:rPr>
      </w:pPr>
      <w:r>
        <w:rPr>
          <w:rFonts w:hint="eastAsia" w:ascii="宋体" w:hAnsi="宋体" w:cs="宋体"/>
          <w:color w:val="auto"/>
          <w:spacing w:val="8"/>
          <w:sz w:val="24"/>
          <w:szCs w:val="24"/>
          <w:highlight w:val="none"/>
        </w:rPr>
        <w:t>2、近</w:t>
      </w:r>
      <w:r>
        <w:rPr>
          <w:rFonts w:hint="eastAsia" w:ascii="宋体" w:hAnsi="宋体" w:cs="宋体"/>
          <w:color w:val="auto"/>
          <w:spacing w:val="8"/>
          <w:sz w:val="24"/>
          <w:szCs w:val="24"/>
          <w:highlight w:val="none"/>
          <w:lang w:val="en-US" w:eastAsia="zh-CN"/>
        </w:rPr>
        <w:t>五</w:t>
      </w:r>
      <w:r>
        <w:rPr>
          <w:rFonts w:hint="eastAsia" w:ascii="宋体" w:hAnsi="宋体" w:cs="宋体"/>
          <w:color w:val="auto"/>
          <w:spacing w:val="8"/>
          <w:sz w:val="24"/>
          <w:szCs w:val="24"/>
          <w:highlight w:val="none"/>
        </w:rPr>
        <w:t>年完成的类似项目情况的时间要求：2020年</w:t>
      </w:r>
      <w:r>
        <w:rPr>
          <w:rFonts w:hint="eastAsia" w:ascii="宋体" w:hAnsi="宋体" w:cs="宋体"/>
          <w:color w:val="auto"/>
          <w:spacing w:val="8"/>
          <w:sz w:val="24"/>
          <w:szCs w:val="24"/>
          <w:highlight w:val="none"/>
          <w:lang w:val="en-US" w:eastAsia="zh-CN"/>
        </w:rPr>
        <w:t>7月1日</w:t>
      </w:r>
      <w:r>
        <w:rPr>
          <w:rFonts w:hint="eastAsia" w:ascii="宋体" w:hAnsi="宋体" w:cs="宋体"/>
          <w:color w:val="auto"/>
          <w:spacing w:val="8"/>
          <w:sz w:val="24"/>
          <w:szCs w:val="24"/>
          <w:highlight w:val="none"/>
        </w:rPr>
        <w:t>至投标文件递交截止之日止，以“全国公路建设市场监督管理系统”上的交工验收或未交工验收一次性竣工验收的时间为准。“近年完成的类似项目”应是已列入交通运输部“全国公路建设市场监督管理系统”并公开的总包已建业绩或分包（不包括劳务分包）已建业绩，具体时间要求见投标人须知前附表。“近年完成的类似项目情况表”应附在交通运输部“全国公路建设市场监督管理系统”中查询到的企业“业绩信息”相关项目网页截图复印件或网页打印件，即包括“项目名称”、“标段类型”、“合同价”、“主要工程量”等栏目在内的项目详细信息网页截图复印件或网页打印件。除网页截图复印件或网页打印件外，投标人无需再提供任何业绩证明材料。</w:t>
      </w:r>
    </w:p>
    <w:p w14:paraId="4C55D9C9">
      <w:pPr>
        <w:spacing w:before="72" w:line="360" w:lineRule="auto"/>
        <w:ind w:left="132" w:right="2" w:firstLine="421"/>
        <w:jc w:val="left"/>
        <w:outlineLvl w:val="1"/>
        <w:rPr>
          <w:rFonts w:hint="eastAsia" w:ascii="宋体" w:hAnsi="宋体" w:cs="宋体"/>
          <w:color w:val="auto"/>
          <w:spacing w:val="8"/>
          <w:sz w:val="24"/>
          <w:szCs w:val="24"/>
          <w:highlight w:val="none"/>
        </w:rPr>
      </w:pPr>
      <w:r>
        <w:rPr>
          <w:rFonts w:hint="eastAsia" w:ascii="宋体" w:hAnsi="宋体" w:cs="宋体"/>
          <w:color w:val="auto"/>
          <w:spacing w:val="8"/>
          <w:sz w:val="24"/>
          <w:szCs w:val="24"/>
          <w:highlight w:val="none"/>
        </w:rPr>
        <w:t>3、如投标人未提供相关项目网页截图复印件或相关项目网页截图中的信息无法证实投标人满足招标文件规定的资格审查条件（业绩最低要求）或评标办法评分标准（如有），则该项目业绩不予认定。</w:t>
      </w:r>
    </w:p>
    <w:p w14:paraId="532700C2">
      <w:pPr>
        <w:spacing w:before="72" w:line="360" w:lineRule="auto"/>
        <w:ind w:left="132" w:right="2" w:firstLine="421"/>
        <w:jc w:val="left"/>
        <w:outlineLvl w:val="1"/>
        <w:rPr>
          <w:rFonts w:hint="eastAsia" w:ascii="宋体" w:hAnsi="宋体" w:cs="宋体"/>
          <w:color w:val="auto"/>
          <w:spacing w:val="8"/>
          <w:sz w:val="24"/>
          <w:szCs w:val="24"/>
          <w:highlight w:val="none"/>
        </w:rPr>
      </w:pPr>
      <w:r>
        <w:rPr>
          <w:rFonts w:hint="eastAsia" w:ascii="宋体" w:hAnsi="宋体" w:cs="宋体"/>
          <w:color w:val="auto"/>
          <w:spacing w:val="8"/>
          <w:sz w:val="24"/>
          <w:szCs w:val="24"/>
          <w:highlight w:val="none"/>
        </w:rPr>
        <w:t>4、如近年来，投标人法人机构发生合法变更或重组或法人名称变更时，应提供相关部门的合法批件或其他相关证明材料来证明其所附业绩的继承性。</w:t>
      </w:r>
    </w:p>
    <w:p w14:paraId="459AAD70">
      <w:pPr>
        <w:spacing w:before="72" w:line="360" w:lineRule="auto"/>
        <w:ind w:left="130" w:firstLine="420"/>
        <w:jc w:val="left"/>
        <w:rPr>
          <w:rFonts w:hint="eastAsia" w:ascii="宋体" w:hAnsi="宋体" w:cs="宋体"/>
          <w:color w:val="auto"/>
          <w:spacing w:val="8"/>
          <w:sz w:val="24"/>
          <w:szCs w:val="24"/>
          <w:highlight w:val="none"/>
        </w:rPr>
      </w:pPr>
      <w:r>
        <w:rPr>
          <w:rFonts w:hint="eastAsia" w:ascii="宋体" w:hAnsi="宋体" w:cs="宋体"/>
          <w:color w:val="auto"/>
          <w:spacing w:val="8"/>
          <w:sz w:val="24"/>
          <w:szCs w:val="24"/>
          <w:highlight w:val="none"/>
        </w:rPr>
        <w:t>5、类似工程是指：指新建或改、扩建</w:t>
      </w:r>
      <w:r>
        <w:rPr>
          <w:rFonts w:hint="eastAsia" w:ascii="宋体" w:hAnsi="宋体" w:cs="宋体"/>
          <w:color w:val="auto"/>
          <w:spacing w:val="8"/>
          <w:sz w:val="24"/>
          <w:szCs w:val="24"/>
          <w:highlight w:val="none"/>
          <w:lang w:eastAsia="zh-CN"/>
        </w:rPr>
        <w:t>、</w:t>
      </w:r>
      <w:r>
        <w:rPr>
          <w:rFonts w:hint="eastAsia" w:ascii="宋体" w:hAnsi="宋体" w:cs="宋体"/>
          <w:color w:val="auto"/>
          <w:spacing w:val="8"/>
          <w:sz w:val="24"/>
          <w:szCs w:val="24"/>
          <w:highlight w:val="none"/>
          <w:lang w:val="en-US" w:eastAsia="zh-CN"/>
        </w:rPr>
        <w:t>路面改造</w:t>
      </w:r>
      <w:r>
        <w:rPr>
          <w:rFonts w:hint="eastAsia" w:ascii="宋体" w:hAnsi="宋体" w:cs="宋体"/>
          <w:color w:val="auto"/>
          <w:spacing w:val="8"/>
          <w:sz w:val="24"/>
          <w:szCs w:val="24"/>
          <w:highlight w:val="none"/>
        </w:rPr>
        <w:t>或养护工程（路基路面</w:t>
      </w:r>
      <w:r>
        <w:rPr>
          <w:rFonts w:hint="eastAsia" w:ascii="宋体" w:hAnsi="宋体" w:cs="宋体"/>
          <w:color w:val="auto"/>
          <w:spacing w:val="8"/>
          <w:sz w:val="24"/>
          <w:szCs w:val="24"/>
          <w:highlight w:val="none"/>
          <w:lang w:val="en-US" w:eastAsia="zh-CN"/>
        </w:rPr>
        <w:t>大中修、</w:t>
      </w:r>
      <w:r>
        <w:rPr>
          <w:rFonts w:hint="eastAsia" w:ascii="宋体" w:hAnsi="宋体" w:cs="宋体"/>
          <w:color w:val="auto"/>
          <w:spacing w:val="8"/>
          <w:sz w:val="24"/>
          <w:szCs w:val="24"/>
          <w:highlight w:val="none"/>
        </w:rPr>
        <w:t>维修</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修复养护</w:t>
      </w:r>
      <w:r>
        <w:rPr>
          <w:rFonts w:hint="eastAsia" w:ascii="宋体" w:hAnsi="宋体" w:cs="宋体"/>
          <w:color w:val="auto"/>
          <w:spacing w:val="8"/>
          <w:sz w:val="24"/>
          <w:szCs w:val="24"/>
          <w:highlight w:val="none"/>
          <w:lang w:val="en-US" w:eastAsia="zh-CN"/>
        </w:rPr>
        <w:t>工程</w:t>
      </w:r>
      <w:r>
        <w:rPr>
          <w:rFonts w:hint="eastAsia" w:ascii="宋体" w:hAnsi="宋体" w:cs="宋体"/>
          <w:color w:val="auto"/>
          <w:spacing w:val="8"/>
          <w:sz w:val="24"/>
          <w:szCs w:val="24"/>
          <w:highlight w:val="none"/>
        </w:rPr>
        <w:t>）</w:t>
      </w:r>
      <w:r>
        <w:rPr>
          <w:rFonts w:hint="eastAsia" w:ascii="宋体" w:hAnsi="宋体" w:cs="宋体"/>
          <w:color w:val="auto"/>
          <w:spacing w:val="8"/>
          <w:sz w:val="24"/>
          <w:szCs w:val="24"/>
          <w:highlight w:val="none"/>
          <w:lang w:val="en-US" w:eastAsia="zh-CN"/>
        </w:rPr>
        <w:t>三</w:t>
      </w:r>
      <w:r>
        <w:rPr>
          <w:rFonts w:hint="eastAsia" w:ascii="宋体" w:hAnsi="宋体" w:cs="宋体"/>
          <w:color w:val="auto"/>
          <w:spacing w:val="8"/>
          <w:sz w:val="24"/>
          <w:szCs w:val="24"/>
          <w:highlight w:val="none"/>
        </w:rPr>
        <w:t>级（或以上）公路施工项目。在采用新建公路项目完工业绩时，对于同公路等级改、扩建中的新建桥梁或隧道工程业绩也应认可。</w:t>
      </w:r>
    </w:p>
    <w:p w14:paraId="593E7ABA">
      <w:pPr>
        <w:spacing w:before="72" w:line="360" w:lineRule="auto"/>
        <w:ind w:left="130" w:firstLine="420"/>
        <w:jc w:val="center"/>
        <w:rPr>
          <w:rFonts w:hint="eastAsia" w:ascii="宋体" w:hAnsi="宋体" w:cs="宋体"/>
          <w:color w:val="auto"/>
          <w:sz w:val="30"/>
          <w:szCs w:val="30"/>
          <w:highlight w:val="none"/>
        </w:rPr>
      </w:pPr>
      <w:r>
        <w:rPr>
          <w:rFonts w:hint="eastAsia" w:ascii="宋体" w:hAnsi="宋体" w:cs="宋体"/>
          <w:color w:val="auto"/>
          <w:spacing w:val="8"/>
          <w:sz w:val="24"/>
          <w:szCs w:val="24"/>
          <w:highlight w:val="none"/>
        </w:rPr>
        <w:br w:type="page"/>
      </w:r>
      <w:r>
        <w:rPr>
          <w:rFonts w:hint="eastAsia" w:ascii="宋体" w:hAnsi="宋体" w:cs="宋体"/>
          <w:color w:val="auto"/>
          <w:sz w:val="30"/>
          <w:szCs w:val="30"/>
          <w:highlight w:val="none"/>
        </w:rPr>
        <w:t>附录4   资格审查条件(信誉最低要求)</w:t>
      </w:r>
      <w:bookmarkEnd w:id="4"/>
    </w:p>
    <w:tbl>
      <w:tblPr>
        <w:tblStyle w:val="4"/>
        <w:tblW w:w="5000"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9854"/>
      </w:tblGrid>
      <w:tr w14:paraId="659E32B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471" w:hRule="exact"/>
        </w:trPr>
        <w:tc>
          <w:tcPr>
            <w:tcW w:w="5000" w:type="pct"/>
            <w:noWrap w:val="0"/>
            <w:vAlign w:val="center"/>
          </w:tcPr>
          <w:p w14:paraId="0C70DF30">
            <w:pPr>
              <w:jc w:val="center"/>
              <w:rPr>
                <w:rFonts w:hint="eastAsia" w:ascii="宋体" w:hAnsi="宋体" w:cs="宋体"/>
                <w:b/>
                <w:color w:val="auto"/>
                <w:sz w:val="28"/>
                <w:szCs w:val="28"/>
                <w:highlight w:val="none"/>
              </w:rPr>
            </w:pPr>
            <w:r>
              <w:rPr>
                <w:rFonts w:hint="eastAsia" w:ascii="宋体" w:hAnsi="宋体" w:cs="宋体"/>
                <w:b/>
                <w:color w:val="auto"/>
                <w:sz w:val="28"/>
                <w:szCs w:val="28"/>
                <w:highlight w:val="none"/>
              </w:rPr>
              <w:t>信 誉 要 求</w:t>
            </w:r>
          </w:p>
        </w:tc>
      </w:tr>
      <w:tr w14:paraId="30A9199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237" w:hRule="exact"/>
        </w:trPr>
        <w:tc>
          <w:tcPr>
            <w:tcW w:w="5000" w:type="pct"/>
            <w:noWrap w:val="0"/>
            <w:vAlign w:val="center"/>
          </w:tcPr>
          <w:p w14:paraId="065A9AB9">
            <w:pPr>
              <w:topLinePunct/>
              <w:adjustRightInd w:val="0"/>
              <w:spacing w:line="48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在最新年度广东省公路工程从业单位(施工单位)信用评价(含无最新年度而上一年度有信用评价)中，信用等级未被评为D级；</w:t>
            </w:r>
          </w:p>
          <w:p w14:paraId="55EC6259">
            <w:pPr>
              <w:topLinePunct/>
              <w:adjustRightInd w:val="0"/>
              <w:spacing w:line="480" w:lineRule="exact"/>
              <w:ind w:firstLine="480" w:firstLineChars="200"/>
              <w:rPr>
                <w:rFonts w:hint="eastAsia" w:ascii="宋体" w:hAnsi="宋体" w:cs="宋体"/>
                <w:color w:val="auto"/>
                <w:highlight w:val="none"/>
              </w:rPr>
            </w:pPr>
            <w:r>
              <w:rPr>
                <w:rFonts w:hint="eastAsia" w:ascii="宋体" w:hAnsi="宋体" w:cs="宋体"/>
                <w:color w:val="auto"/>
                <w:sz w:val="24"/>
                <w:szCs w:val="24"/>
                <w:highlight w:val="none"/>
              </w:rPr>
              <w:t>初次进入广东省的投标人，在最新年度的全国公路从业单位(施工单位)信用评价结果中未被评为D级。</w:t>
            </w:r>
          </w:p>
        </w:tc>
      </w:tr>
    </w:tbl>
    <w:p w14:paraId="25599034">
      <w:pPr>
        <w:spacing w:before="72" w:line="360" w:lineRule="auto"/>
        <w:jc w:val="left"/>
        <w:outlineLvl w:val="1"/>
        <w:rPr>
          <w:rFonts w:hint="eastAsia" w:ascii="宋体" w:hAnsi="宋体" w:cs="宋体"/>
          <w:color w:val="auto"/>
          <w:spacing w:val="8"/>
          <w:sz w:val="24"/>
          <w:szCs w:val="24"/>
          <w:highlight w:val="none"/>
        </w:rPr>
      </w:pPr>
      <w:r>
        <w:rPr>
          <w:rFonts w:hint="eastAsia" w:ascii="宋体" w:hAnsi="宋体" w:cs="宋体"/>
          <w:color w:val="auto"/>
          <w:spacing w:val="8"/>
          <w:sz w:val="24"/>
          <w:szCs w:val="24"/>
          <w:highlight w:val="none"/>
        </w:rPr>
        <w:t>注：</w:t>
      </w:r>
      <w:bookmarkStart w:id="5" w:name="_Toc18116"/>
      <w:r>
        <w:rPr>
          <w:rFonts w:hint="eastAsia" w:ascii="宋体" w:hAnsi="宋体" w:cs="宋体"/>
          <w:color w:val="auto"/>
          <w:spacing w:val="8"/>
          <w:sz w:val="24"/>
          <w:szCs w:val="24"/>
          <w:highlight w:val="none"/>
        </w:rPr>
        <w:t>1、信用等级的确定原则遵遁投标人须知前附表10.2款的规定。</w:t>
      </w:r>
      <w:bookmarkEnd w:id="5"/>
    </w:p>
    <w:p w14:paraId="0FC85375">
      <w:pPr>
        <w:spacing w:before="72" w:line="360" w:lineRule="auto"/>
        <w:ind w:firstLine="512" w:firstLineChars="200"/>
        <w:jc w:val="left"/>
        <w:outlineLvl w:val="1"/>
        <w:rPr>
          <w:rFonts w:hint="eastAsia" w:ascii="宋体" w:hAnsi="宋体" w:cs="宋体"/>
          <w:color w:val="auto"/>
          <w:spacing w:val="8"/>
          <w:sz w:val="24"/>
          <w:szCs w:val="24"/>
          <w:highlight w:val="none"/>
        </w:rPr>
      </w:pPr>
      <w:r>
        <w:rPr>
          <w:rFonts w:hint="eastAsia" w:ascii="宋体" w:hAnsi="宋体" w:cs="宋体"/>
          <w:color w:val="auto"/>
          <w:spacing w:val="8"/>
          <w:sz w:val="24"/>
          <w:szCs w:val="24"/>
          <w:highlight w:val="none"/>
        </w:rPr>
        <w:t>2、投标人应根据第九章“投标文件格式”中“八、资格审查资料(五)投标人的信誉情况表”填写情况说明。</w:t>
      </w:r>
    </w:p>
    <w:p w14:paraId="77784571">
      <w:pPr>
        <w:spacing w:line="360" w:lineRule="auto"/>
        <w:jc w:val="center"/>
        <w:outlineLvl w:val="2"/>
        <w:rPr>
          <w:rFonts w:hint="eastAsia" w:ascii="宋体" w:hAnsi="宋体" w:cs="宋体"/>
          <w:color w:val="auto"/>
          <w:sz w:val="30"/>
          <w:szCs w:val="30"/>
          <w:highlight w:val="none"/>
        </w:rPr>
      </w:pPr>
      <w:r>
        <w:rPr>
          <w:rFonts w:hint="eastAsia" w:ascii="宋体" w:hAnsi="宋体" w:cs="宋体"/>
          <w:color w:val="auto"/>
          <w:sz w:val="24"/>
          <w:szCs w:val="24"/>
          <w:highlight w:val="none"/>
        </w:rPr>
        <w:br w:type="page"/>
      </w:r>
      <w:bookmarkStart w:id="6" w:name="_Toc22362"/>
      <w:r>
        <w:rPr>
          <w:rFonts w:hint="eastAsia" w:ascii="宋体" w:hAnsi="宋体" w:cs="宋体"/>
          <w:color w:val="auto"/>
          <w:sz w:val="30"/>
          <w:szCs w:val="30"/>
          <w:highlight w:val="none"/>
        </w:rPr>
        <w:t xml:space="preserve">附录5   </w:t>
      </w:r>
      <w:bookmarkEnd w:id="6"/>
      <w:r>
        <w:rPr>
          <w:rFonts w:hint="eastAsia" w:ascii="宋体" w:hAnsi="宋体" w:cs="宋体"/>
          <w:color w:val="auto"/>
          <w:sz w:val="30"/>
          <w:szCs w:val="30"/>
          <w:highlight w:val="none"/>
        </w:rPr>
        <w:t>资格审查条件(项目经理和项目总工最低要求)</w:t>
      </w:r>
    </w:p>
    <w:tbl>
      <w:tblPr>
        <w:tblStyle w:val="4"/>
        <w:tblW w:w="4998"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455"/>
        <w:gridCol w:w="1163"/>
        <w:gridCol w:w="3802"/>
        <w:gridCol w:w="2430"/>
      </w:tblGrid>
      <w:tr w14:paraId="456DD6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2" w:hRule="atLeast"/>
        </w:trPr>
        <w:tc>
          <w:tcPr>
            <w:tcW w:w="1246" w:type="pct"/>
            <w:noWrap w:val="0"/>
            <w:vAlign w:val="center"/>
          </w:tcPr>
          <w:p w14:paraId="7478E6A7">
            <w:pPr>
              <w:autoSpaceDE w:val="0"/>
              <w:autoSpaceDN w:val="0"/>
              <w:adjustRightInd w:val="0"/>
              <w:spacing w:line="420" w:lineRule="exact"/>
              <w:jc w:val="center"/>
              <w:outlineLvl w:val="1"/>
              <w:rPr>
                <w:rFonts w:hint="eastAsia" w:ascii="宋体" w:hAnsi="宋体" w:cs="宋体"/>
                <w:b/>
                <w:color w:val="auto"/>
                <w:kern w:val="0"/>
                <w:sz w:val="24"/>
                <w:szCs w:val="24"/>
                <w:highlight w:val="none"/>
              </w:rPr>
            </w:pPr>
            <w:bookmarkStart w:id="7" w:name="_Toc16193"/>
            <w:r>
              <w:rPr>
                <w:rFonts w:hint="eastAsia" w:ascii="宋体" w:hAnsi="宋体" w:cs="宋体"/>
                <w:b/>
                <w:color w:val="auto"/>
                <w:kern w:val="0"/>
                <w:sz w:val="24"/>
                <w:szCs w:val="24"/>
                <w:highlight w:val="none"/>
              </w:rPr>
              <w:t>人员</w:t>
            </w:r>
            <w:bookmarkEnd w:id="7"/>
          </w:p>
        </w:tc>
        <w:tc>
          <w:tcPr>
            <w:tcW w:w="590" w:type="pct"/>
            <w:noWrap w:val="0"/>
            <w:vAlign w:val="center"/>
          </w:tcPr>
          <w:p w14:paraId="6E34A0E3">
            <w:pPr>
              <w:autoSpaceDE w:val="0"/>
              <w:autoSpaceDN w:val="0"/>
              <w:adjustRightInd w:val="0"/>
              <w:spacing w:line="420" w:lineRule="exact"/>
              <w:jc w:val="center"/>
              <w:outlineLvl w:val="1"/>
              <w:rPr>
                <w:rFonts w:hint="eastAsia" w:ascii="宋体" w:hAnsi="宋体" w:cs="宋体"/>
                <w:b/>
                <w:color w:val="auto"/>
                <w:kern w:val="0"/>
                <w:sz w:val="24"/>
                <w:szCs w:val="24"/>
                <w:highlight w:val="none"/>
              </w:rPr>
            </w:pPr>
            <w:bookmarkStart w:id="8" w:name="_Toc11377"/>
            <w:r>
              <w:rPr>
                <w:rFonts w:hint="eastAsia" w:ascii="宋体" w:hAnsi="宋体" w:cs="宋体"/>
                <w:b/>
                <w:color w:val="auto"/>
                <w:kern w:val="0"/>
                <w:sz w:val="24"/>
                <w:szCs w:val="24"/>
                <w:highlight w:val="none"/>
              </w:rPr>
              <w:t>数量</w:t>
            </w:r>
            <w:bookmarkEnd w:id="8"/>
          </w:p>
        </w:tc>
        <w:tc>
          <w:tcPr>
            <w:tcW w:w="1929" w:type="pct"/>
            <w:noWrap w:val="0"/>
            <w:vAlign w:val="center"/>
          </w:tcPr>
          <w:p w14:paraId="6849FB60">
            <w:pPr>
              <w:autoSpaceDE w:val="0"/>
              <w:autoSpaceDN w:val="0"/>
              <w:adjustRightInd w:val="0"/>
              <w:spacing w:line="420" w:lineRule="exact"/>
              <w:jc w:val="center"/>
              <w:outlineLvl w:val="1"/>
              <w:rPr>
                <w:rFonts w:hint="eastAsia" w:ascii="宋体" w:hAnsi="宋体" w:cs="宋体"/>
                <w:b/>
                <w:color w:val="auto"/>
                <w:kern w:val="0"/>
                <w:sz w:val="24"/>
                <w:szCs w:val="24"/>
                <w:highlight w:val="none"/>
              </w:rPr>
            </w:pPr>
            <w:bookmarkStart w:id="9" w:name="_Toc29656"/>
            <w:r>
              <w:rPr>
                <w:rFonts w:hint="eastAsia" w:ascii="宋体" w:hAnsi="宋体" w:cs="宋体"/>
                <w:b/>
                <w:color w:val="auto"/>
                <w:kern w:val="0"/>
                <w:sz w:val="24"/>
                <w:szCs w:val="24"/>
                <w:highlight w:val="none"/>
              </w:rPr>
              <w:t>资格要求</w:t>
            </w:r>
            <w:bookmarkEnd w:id="9"/>
          </w:p>
        </w:tc>
        <w:tc>
          <w:tcPr>
            <w:tcW w:w="1233" w:type="pct"/>
            <w:noWrap w:val="0"/>
            <w:vAlign w:val="center"/>
          </w:tcPr>
          <w:p w14:paraId="7A8BBCEB">
            <w:pPr>
              <w:autoSpaceDE w:val="0"/>
              <w:autoSpaceDN w:val="0"/>
              <w:adjustRightInd w:val="0"/>
              <w:spacing w:line="420" w:lineRule="exact"/>
              <w:jc w:val="center"/>
              <w:outlineLvl w:val="1"/>
              <w:rPr>
                <w:rFonts w:hint="eastAsia" w:ascii="宋体" w:hAnsi="宋体" w:cs="宋体"/>
                <w:b/>
                <w:color w:val="auto"/>
                <w:kern w:val="0"/>
                <w:sz w:val="24"/>
                <w:szCs w:val="24"/>
                <w:highlight w:val="none"/>
              </w:rPr>
            </w:pPr>
            <w:bookmarkStart w:id="10" w:name="_Toc30699"/>
            <w:r>
              <w:rPr>
                <w:rFonts w:hint="eastAsia" w:ascii="宋体" w:hAnsi="宋体" w:cs="宋体"/>
                <w:b/>
                <w:color w:val="auto"/>
                <w:kern w:val="0"/>
                <w:sz w:val="24"/>
                <w:szCs w:val="24"/>
                <w:highlight w:val="none"/>
              </w:rPr>
              <w:t>在岗要求</w:t>
            </w:r>
            <w:bookmarkEnd w:id="10"/>
          </w:p>
        </w:tc>
      </w:tr>
      <w:tr w14:paraId="6EBF1A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10" w:hRule="atLeast"/>
        </w:trPr>
        <w:tc>
          <w:tcPr>
            <w:tcW w:w="1246" w:type="pct"/>
            <w:noWrap w:val="0"/>
            <w:vAlign w:val="center"/>
          </w:tcPr>
          <w:p w14:paraId="3B7DA178">
            <w:pPr>
              <w:autoSpaceDE w:val="0"/>
              <w:autoSpaceDN w:val="0"/>
              <w:adjustRightInd w:val="0"/>
              <w:spacing w:line="420" w:lineRule="exact"/>
              <w:jc w:val="center"/>
              <w:outlineLvl w:val="1"/>
              <w:rPr>
                <w:rFonts w:hint="eastAsia" w:ascii="宋体" w:hAnsi="宋体" w:cs="宋体"/>
                <w:b/>
                <w:color w:val="auto"/>
                <w:kern w:val="0"/>
                <w:sz w:val="24"/>
                <w:szCs w:val="24"/>
                <w:highlight w:val="none"/>
              </w:rPr>
            </w:pPr>
            <w:bookmarkStart w:id="11" w:name="_Toc1866"/>
            <w:r>
              <w:rPr>
                <w:rFonts w:hint="eastAsia" w:ascii="宋体" w:hAnsi="宋体" w:cs="宋体"/>
                <w:color w:val="auto"/>
                <w:spacing w:val="-4"/>
                <w:sz w:val="24"/>
                <w:szCs w:val="24"/>
                <w:highlight w:val="none"/>
              </w:rPr>
              <w:t>项目经理</w:t>
            </w:r>
            <w:bookmarkEnd w:id="11"/>
          </w:p>
        </w:tc>
        <w:tc>
          <w:tcPr>
            <w:tcW w:w="590" w:type="pct"/>
            <w:noWrap w:val="0"/>
            <w:vAlign w:val="center"/>
          </w:tcPr>
          <w:p w14:paraId="376657B4">
            <w:pPr>
              <w:autoSpaceDE w:val="0"/>
              <w:autoSpaceDN w:val="0"/>
              <w:adjustRightInd w:val="0"/>
              <w:spacing w:line="420" w:lineRule="exact"/>
              <w:jc w:val="center"/>
              <w:outlineLvl w:val="1"/>
              <w:rPr>
                <w:rFonts w:hint="eastAsia" w:ascii="宋体" w:hAnsi="宋体" w:cs="宋体"/>
                <w:bCs/>
                <w:color w:val="auto"/>
                <w:kern w:val="0"/>
                <w:sz w:val="24"/>
                <w:szCs w:val="24"/>
                <w:highlight w:val="none"/>
              </w:rPr>
            </w:pPr>
            <w:bookmarkStart w:id="12" w:name="_Toc18197"/>
            <w:r>
              <w:rPr>
                <w:rFonts w:hint="eastAsia" w:ascii="宋体" w:hAnsi="宋体" w:cs="宋体"/>
                <w:bCs/>
                <w:color w:val="auto"/>
                <w:kern w:val="0"/>
                <w:sz w:val="24"/>
                <w:szCs w:val="24"/>
                <w:highlight w:val="none"/>
              </w:rPr>
              <w:t>1</w:t>
            </w:r>
            <w:bookmarkEnd w:id="12"/>
          </w:p>
        </w:tc>
        <w:tc>
          <w:tcPr>
            <w:tcW w:w="1929" w:type="pct"/>
            <w:vMerge w:val="restart"/>
            <w:noWrap w:val="0"/>
            <w:vAlign w:val="center"/>
          </w:tcPr>
          <w:p w14:paraId="034DEE8F">
            <w:pPr>
              <w:autoSpaceDE w:val="0"/>
              <w:autoSpaceDN w:val="0"/>
              <w:adjustRightInd w:val="0"/>
              <w:spacing w:line="420" w:lineRule="exact"/>
              <w:jc w:val="left"/>
              <w:outlineLvl w:val="1"/>
              <w:rPr>
                <w:rFonts w:hint="eastAsia" w:ascii="宋体" w:hAnsi="宋体" w:cs="宋体"/>
                <w:bCs/>
                <w:color w:val="auto"/>
                <w:kern w:val="0"/>
                <w:sz w:val="24"/>
                <w:szCs w:val="24"/>
                <w:highlight w:val="none"/>
              </w:rPr>
            </w:pPr>
            <w:r>
              <w:rPr>
                <w:rFonts w:hint="eastAsia" w:ascii="宋体" w:hAnsi="宋体" w:cs="宋体"/>
                <w:bCs/>
                <w:color w:val="auto"/>
                <w:kern w:val="0"/>
                <w:sz w:val="24"/>
                <w:szCs w:val="24"/>
                <w:highlight w:val="none"/>
              </w:rPr>
              <w:t>工程师（或以上）职称，担任类似工程项目经理(或项目副经理或项目总工)岗位累计不少于</w:t>
            </w:r>
            <w:r>
              <w:rPr>
                <w:rFonts w:hint="eastAsia" w:ascii="宋体" w:hAnsi="宋体" w:cs="宋体"/>
                <w:bCs/>
                <w:color w:val="auto"/>
                <w:kern w:val="0"/>
                <w:sz w:val="24"/>
                <w:szCs w:val="24"/>
                <w:highlight w:val="none"/>
                <w:lang w:val="en-US" w:eastAsia="zh-CN"/>
              </w:rPr>
              <w:t>24</w:t>
            </w:r>
            <w:r>
              <w:rPr>
                <w:rFonts w:hint="eastAsia" w:ascii="宋体" w:hAnsi="宋体" w:cs="宋体"/>
                <w:bCs/>
                <w:color w:val="auto"/>
                <w:kern w:val="0"/>
                <w:sz w:val="24"/>
                <w:szCs w:val="24"/>
                <w:highlight w:val="none"/>
              </w:rPr>
              <w:t>个月，并持有住房和城乡建设部颁发的公路工程专业二级（或以上）建造师注册证书(不含临时资格证书)，具有交通主管部门颁发的有效安全生产“三类人员”B类证书。</w:t>
            </w:r>
          </w:p>
        </w:tc>
        <w:tc>
          <w:tcPr>
            <w:tcW w:w="1233" w:type="pct"/>
            <w:vMerge w:val="restart"/>
            <w:noWrap w:val="0"/>
            <w:vAlign w:val="center"/>
          </w:tcPr>
          <w:p w14:paraId="3DAFF6C4">
            <w:pPr>
              <w:autoSpaceDE w:val="0"/>
              <w:autoSpaceDN w:val="0"/>
              <w:adjustRightInd w:val="0"/>
              <w:spacing w:line="420" w:lineRule="exact"/>
              <w:outlineLvl w:val="1"/>
              <w:rPr>
                <w:rFonts w:hint="eastAsia" w:ascii="宋体" w:hAnsi="宋体" w:cs="宋体"/>
                <w:b/>
                <w:color w:val="auto"/>
                <w:kern w:val="0"/>
                <w:sz w:val="24"/>
                <w:szCs w:val="24"/>
                <w:highlight w:val="none"/>
              </w:rPr>
            </w:pPr>
            <w:bookmarkStart w:id="13" w:name="_Toc1759"/>
            <w:r>
              <w:rPr>
                <w:rFonts w:hint="eastAsia" w:ascii="宋体" w:hAnsi="宋体" w:cs="宋体"/>
                <w:bCs/>
                <w:color w:val="auto"/>
                <w:kern w:val="0"/>
                <w:sz w:val="24"/>
                <w:szCs w:val="24"/>
                <w:highlight w:val="none"/>
              </w:rPr>
              <w:t>无在岗项目（指目前未在其他项目上任职，或虽在其他项目上任职但本项目中标后能够从该项目撤离）</w:t>
            </w:r>
            <w:bookmarkEnd w:id="13"/>
          </w:p>
        </w:tc>
      </w:tr>
      <w:tr w14:paraId="35E98D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6" w:type="pct"/>
            <w:noWrap w:val="0"/>
            <w:vAlign w:val="center"/>
          </w:tcPr>
          <w:p w14:paraId="666E61CF">
            <w:pPr>
              <w:autoSpaceDE w:val="0"/>
              <w:autoSpaceDN w:val="0"/>
              <w:adjustRightInd w:val="0"/>
              <w:spacing w:line="420" w:lineRule="exact"/>
              <w:jc w:val="center"/>
              <w:outlineLvl w:val="1"/>
              <w:rPr>
                <w:rFonts w:hint="eastAsia" w:ascii="宋体" w:hAnsi="宋体" w:cs="宋体"/>
                <w:b/>
                <w:color w:val="auto"/>
                <w:kern w:val="0"/>
                <w:sz w:val="24"/>
                <w:szCs w:val="24"/>
                <w:highlight w:val="none"/>
              </w:rPr>
            </w:pPr>
            <w:bookmarkStart w:id="14" w:name="_Toc5898"/>
            <w:r>
              <w:rPr>
                <w:rFonts w:hint="eastAsia" w:ascii="宋体" w:hAnsi="宋体" w:cs="宋体"/>
                <w:color w:val="auto"/>
                <w:spacing w:val="-2"/>
                <w:sz w:val="24"/>
                <w:szCs w:val="24"/>
                <w:highlight w:val="none"/>
              </w:rPr>
              <w:t>项目经理备选人</w:t>
            </w:r>
            <w:bookmarkEnd w:id="14"/>
          </w:p>
        </w:tc>
        <w:tc>
          <w:tcPr>
            <w:tcW w:w="590" w:type="pct"/>
            <w:noWrap w:val="0"/>
            <w:vAlign w:val="center"/>
          </w:tcPr>
          <w:p w14:paraId="764AE2D1">
            <w:pPr>
              <w:autoSpaceDE w:val="0"/>
              <w:autoSpaceDN w:val="0"/>
              <w:adjustRightInd w:val="0"/>
              <w:spacing w:line="420" w:lineRule="exact"/>
              <w:jc w:val="center"/>
              <w:outlineLvl w:val="1"/>
              <w:rPr>
                <w:rFonts w:hint="eastAsia" w:ascii="宋体" w:hAnsi="宋体" w:cs="宋体"/>
                <w:b/>
                <w:color w:val="auto"/>
                <w:kern w:val="0"/>
                <w:sz w:val="24"/>
                <w:szCs w:val="24"/>
                <w:highlight w:val="none"/>
              </w:rPr>
            </w:pPr>
            <w:bookmarkStart w:id="15" w:name="_Toc2890"/>
            <w:r>
              <w:rPr>
                <w:rFonts w:hint="eastAsia" w:ascii="宋体" w:hAnsi="宋体" w:cs="宋体"/>
                <w:bCs/>
                <w:color w:val="auto"/>
                <w:kern w:val="0"/>
                <w:sz w:val="24"/>
                <w:szCs w:val="24"/>
                <w:highlight w:val="none"/>
              </w:rPr>
              <w:t>0~1</w:t>
            </w:r>
            <w:bookmarkEnd w:id="15"/>
          </w:p>
        </w:tc>
        <w:tc>
          <w:tcPr>
            <w:tcW w:w="1929" w:type="pct"/>
            <w:vMerge w:val="continue"/>
            <w:noWrap w:val="0"/>
            <w:vAlign w:val="center"/>
          </w:tcPr>
          <w:p w14:paraId="6DE9D90A">
            <w:pPr>
              <w:autoSpaceDE w:val="0"/>
              <w:autoSpaceDN w:val="0"/>
              <w:adjustRightInd w:val="0"/>
              <w:spacing w:line="420" w:lineRule="exact"/>
              <w:jc w:val="left"/>
              <w:rPr>
                <w:rFonts w:hint="eastAsia" w:ascii="宋体" w:hAnsi="宋体" w:cs="宋体"/>
                <w:b/>
                <w:color w:val="auto"/>
                <w:kern w:val="0"/>
                <w:sz w:val="24"/>
                <w:szCs w:val="24"/>
                <w:highlight w:val="none"/>
              </w:rPr>
            </w:pPr>
          </w:p>
        </w:tc>
        <w:tc>
          <w:tcPr>
            <w:tcW w:w="1233" w:type="pct"/>
            <w:vMerge w:val="continue"/>
            <w:noWrap w:val="0"/>
            <w:vAlign w:val="center"/>
          </w:tcPr>
          <w:p w14:paraId="0886874E">
            <w:pPr>
              <w:autoSpaceDE w:val="0"/>
              <w:autoSpaceDN w:val="0"/>
              <w:adjustRightInd w:val="0"/>
              <w:spacing w:line="420" w:lineRule="exact"/>
              <w:jc w:val="center"/>
              <w:rPr>
                <w:rFonts w:hint="eastAsia" w:ascii="宋体" w:hAnsi="宋体" w:cs="宋体"/>
                <w:b/>
                <w:color w:val="auto"/>
                <w:kern w:val="0"/>
                <w:sz w:val="24"/>
                <w:szCs w:val="24"/>
                <w:highlight w:val="none"/>
              </w:rPr>
            </w:pPr>
          </w:p>
        </w:tc>
      </w:tr>
      <w:tr w14:paraId="0A723E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56" w:hRule="atLeast"/>
        </w:trPr>
        <w:tc>
          <w:tcPr>
            <w:tcW w:w="1246" w:type="pct"/>
            <w:noWrap w:val="0"/>
            <w:vAlign w:val="center"/>
          </w:tcPr>
          <w:p w14:paraId="4A8497AF">
            <w:pPr>
              <w:autoSpaceDE w:val="0"/>
              <w:autoSpaceDN w:val="0"/>
              <w:adjustRightInd w:val="0"/>
              <w:spacing w:line="420" w:lineRule="exact"/>
              <w:jc w:val="center"/>
              <w:outlineLvl w:val="1"/>
              <w:rPr>
                <w:rFonts w:hint="eastAsia" w:ascii="宋体" w:hAnsi="宋体" w:cs="宋体"/>
                <w:b/>
                <w:color w:val="auto"/>
                <w:kern w:val="0"/>
                <w:sz w:val="24"/>
                <w:szCs w:val="24"/>
                <w:highlight w:val="none"/>
              </w:rPr>
            </w:pPr>
            <w:bookmarkStart w:id="16" w:name="_Toc6452"/>
            <w:r>
              <w:rPr>
                <w:rFonts w:hint="eastAsia" w:ascii="宋体" w:hAnsi="宋体" w:cs="宋体"/>
                <w:color w:val="auto"/>
                <w:spacing w:val="-4"/>
                <w:sz w:val="24"/>
                <w:szCs w:val="24"/>
                <w:highlight w:val="none"/>
              </w:rPr>
              <w:t>项目总工</w:t>
            </w:r>
            <w:bookmarkEnd w:id="16"/>
          </w:p>
        </w:tc>
        <w:tc>
          <w:tcPr>
            <w:tcW w:w="590" w:type="pct"/>
            <w:noWrap w:val="0"/>
            <w:vAlign w:val="center"/>
          </w:tcPr>
          <w:p w14:paraId="51DCDCE6">
            <w:pPr>
              <w:autoSpaceDE w:val="0"/>
              <w:autoSpaceDN w:val="0"/>
              <w:adjustRightInd w:val="0"/>
              <w:spacing w:line="420" w:lineRule="exact"/>
              <w:jc w:val="center"/>
              <w:outlineLvl w:val="1"/>
              <w:rPr>
                <w:rFonts w:hint="eastAsia" w:ascii="宋体" w:hAnsi="宋体" w:cs="宋体"/>
                <w:bCs/>
                <w:color w:val="auto"/>
                <w:kern w:val="0"/>
                <w:sz w:val="24"/>
                <w:szCs w:val="24"/>
                <w:highlight w:val="none"/>
              </w:rPr>
            </w:pPr>
            <w:bookmarkStart w:id="17" w:name="_Toc25765"/>
            <w:r>
              <w:rPr>
                <w:rFonts w:hint="eastAsia" w:ascii="宋体" w:hAnsi="宋体" w:cs="宋体"/>
                <w:bCs/>
                <w:color w:val="auto"/>
                <w:kern w:val="0"/>
                <w:sz w:val="24"/>
                <w:szCs w:val="24"/>
                <w:highlight w:val="none"/>
              </w:rPr>
              <w:t>1</w:t>
            </w:r>
            <w:bookmarkEnd w:id="17"/>
          </w:p>
        </w:tc>
        <w:tc>
          <w:tcPr>
            <w:tcW w:w="1929" w:type="pct"/>
            <w:vMerge w:val="restart"/>
            <w:noWrap w:val="0"/>
            <w:vAlign w:val="center"/>
          </w:tcPr>
          <w:p w14:paraId="76E53066">
            <w:pPr>
              <w:autoSpaceDE w:val="0"/>
              <w:autoSpaceDN w:val="0"/>
              <w:adjustRightInd w:val="0"/>
              <w:spacing w:line="420" w:lineRule="exact"/>
              <w:jc w:val="left"/>
              <w:outlineLvl w:val="1"/>
              <w:rPr>
                <w:rFonts w:hint="eastAsia" w:ascii="宋体" w:hAnsi="宋体" w:cs="宋体"/>
                <w:bCs/>
                <w:color w:val="auto"/>
                <w:kern w:val="0"/>
                <w:sz w:val="24"/>
                <w:szCs w:val="24"/>
                <w:highlight w:val="none"/>
              </w:rPr>
            </w:pPr>
            <w:r>
              <w:rPr>
                <w:rFonts w:hint="eastAsia" w:ascii="宋体" w:hAnsi="宋体" w:cs="宋体"/>
                <w:bCs/>
                <w:color w:val="auto"/>
                <w:kern w:val="0"/>
                <w:sz w:val="24"/>
                <w:szCs w:val="24"/>
                <w:highlight w:val="none"/>
              </w:rPr>
              <w:t>路桥相关专业工程师（或以上）职称，主管类似工程技术工作岗位累计不少于</w:t>
            </w:r>
            <w:r>
              <w:rPr>
                <w:rFonts w:hint="eastAsia" w:ascii="宋体" w:hAnsi="宋体" w:cs="宋体"/>
                <w:bCs/>
                <w:color w:val="auto"/>
                <w:kern w:val="0"/>
                <w:sz w:val="24"/>
                <w:szCs w:val="24"/>
                <w:highlight w:val="none"/>
                <w:lang w:val="en-US" w:eastAsia="zh-CN"/>
              </w:rPr>
              <w:t>24</w:t>
            </w:r>
            <w:r>
              <w:rPr>
                <w:rFonts w:hint="eastAsia" w:ascii="宋体" w:hAnsi="宋体" w:cs="宋体"/>
                <w:bCs/>
                <w:color w:val="auto"/>
                <w:kern w:val="0"/>
                <w:sz w:val="24"/>
                <w:szCs w:val="24"/>
                <w:highlight w:val="none"/>
              </w:rPr>
              <w:t>个月,具有交通主管部门颁发的有效安全生产“三类人员”B类证书。</w:t>
            </w:r>
          </w:p>
        </w:tc>
        <w:tc>
          <w:tcPr>
            <w:tcW w:w="1233" w:type="pct"/>
            <w:vMerge w:val="continue"/>
            <w:noWrap w:val="0"/>
            <w:vAlign w:val="center"/>
          </w:tcPr>
          <w:p w14:paraId="793E81D7">
            <w:pPr>
              <w:autoSpaceDE w:val="0"/>
              <w:autoSpaceDN w:val="0"/>
              <w:adjustRightInd w:val="0"/>
              <w:spacing w:line="420" w:lineRule="exact"/>
              <w:jc w:val="center"/>
              <w:rPr>
                <w:rFonts w:hint="eastAsia" w:ascii="宋体" w:hAnsi="宋体" w:cs="宋体"/>
                <w:b/>
                <w:color w:val="auto"/>
                <w:kern w:val="0"/>
                <w:sz w:val="24"/>
                <w:szCs w:val="24"/>
                <w:highlight w:val="none"/>
              </w:rPr>
            </w:pPr>
          </w:p>
        </w:tc>
      </w:tr>
      <w:tr w14:paraId="663820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6" w:type="pct"/>
            <w:noWrap w:val="0"/>
            <w:vAlign w:val="center"/>
          </w:tcPr>
          <w:p w14:paraId="40B254B7">
            <w:pPr>
              <w:autoSpaceDE w:val="0"/>
              <w:autoSpaceDN w:val="0"/>
              <w:adjustRightInd w:val="0"/>
              <w:spacing w:line="420" w:lineRule="exact"/>
              <w:jc w:val="center"/>
              <w:outlineLvl w:val="1"/>
              <w:rPr>
                <w:rFonts w:hint="eastAsia" w:ascii="宋体" w:hAnsi="宋体" w:cs="宋体"/>
                <w:b/>
                <w:color w:val="auto"/>
                <w:kern w:val="0"/>
                <w:sz w:val="24"/>
                <w:szCs w:val="24"/>
                <w:highlight w:val="none"/>
              </w:rPr>
            </w:pPr>
            <w:bookmarkStart w:id="18" w:name="_Toc17270"/>
            <w:r>
              <w:rPr>
                <w:rFonts w:hint="eastAsia" w:ascii="宋体" w:hAnsi="宋体" w:cs="宋体"/>
                <w:color w:val="auto"/>
                <w:spacing w:val="-2"/>
                <w:sz w:val="24"/>
                <w:szCs w:val="24"/>
                <w:highlight w:val="none"/>
              </w:rPr>
              <w:t>项目总工备选人</w:t>
            </w:r>
            <w:bookmarkEnd w:id="18"/>
          </w:p>
        </w:tc>
        <w:tc>
          <w:tcPr>
            <w:tcW w:w="590" w:type="pct"/>
            <w:noWrap w:val="0"/>
            <w:vAlign w:val="center"/>
          </w:tcPr>
          <w:p w14:paraId="31225FDF">
            <w:pPr>
              <w:autoSpaceDE w:val="0"/>
              <w:autoSpaceDN w:val="0"/>
              <w:adjustRightInd w:val="0"/>
              <w:spacing w:line="420" w:lineRule="exact"/>
              <w:jc w:val="center"/>
              <w:outlineLvl w:val="1"/>
              <w:rPr>
                <w:rFonts w:hint="eastAsia" w:ascii="宋体" w:hAnsi="宋体" w:cs="宋体"/>
                <w:bCs/>
                <w:color w:val="auto"/>
                <w:kern w:val="0"/>
                <w:sz w:val="24"/>
                <w:szCs w:val="24"/>
                <w:highlight w:val="none"/>
              </w:rPr>
            </w:pPr>
            <w:bookmarkStart w:id="19" w:name="_Toc4806"/>
            <w:r>
              <w:rPr>
                <w:rFonts w:hint="eastAsia" w:ascii="宋体" w:hAnsi="宋体" w:cs="宋体"/>
                <w:bCs/>
                <w:color w:val="auto"/>
                <w:kern w:val="0"/>
                <w:sz w:val="24"/>
                <w:szCs w:val="24"/>
                <w:highlight w:val="none"/>
              </w:rPr>
              <w:t>0~1</w:t>
            </w:r>
            <w:bookmarkEnd w:id="19"/>
          </w:p>
        </w:tc>
        <w:tc>
          <w:tcPr>
            <w:tcW w:w="1929" w:type="pct"/>
            <w:vMerge w:val="continue"/>
            <w:noWrap w:val="0"/>
            <w:vAlign w:val="center"/>
          </w:tcPr>
          <w:p w14:paraId="6A2537AB">
            <w:pPr>
              <w:autoSpaceDE w:val="0"/>
              <w:autoSpaceDN w:val="0"/>
              <w:adjustRightInd w:val="0"/>
              <w:spacing w:line="420" w:lineRule="exact"/>
              <w:jc w:val="center"/>
              <w:rPr>
                <w:rFonts w:hint="eastAsia" w:ascii="宋体" w:hAnsi="宋体" w:cs="宋体"/>
                <w:bCs/>
                <w:color w:val="auto"/>
                <w:kern w:val="0"/>
                <w:sz w:val="24"/>
                <w:szCs w:val="24"/>
                <w:highlight w:val="none"/>
              </w:rPr>
            </w:pPr>
          </w:p>
        </w:tc>
        <w:tc>
          <w:tcPr>
            <w:tcW w:w="1233" w:type="pct"/>
            <w:vMerge w:val="continue"/>
            <w:noWrap w:val="0"/>
            <w:vAlign w:val="center"/>
          </w:tcPr>
          <w:p w14:paraId="43C2EC83">
            <w:pPr>
              <w:autoSpaceDE w:val="0"/>
              <w:autoSpaceDN w:val="0"/>
              <w:adjustRightInd w:val="0"/>
              <w:spacing w:line="420" w:lineRule="exact"/>
              <w:jc w:val="center"/>
              <w:rPr>
                <w:rFonts w:hint="eastAsia" w:ascii="宋体" w:hAnsi="宋体" w:cs="宋体"/>
                <w:b/>
                <w:color w:val="auto"/>
                <w:kern w:val="0"/>
                <w:sz w:val="24"/>
                <w:szCs w:val="24"/>
                <w:highlight w:val="none"/>
              </w:rPr>
            </w:pPr>
          </w:p>
        </w:tc>
      </w:tr>
    </w:tbl>
    <w:p w14:paraId="45B9F18B">
      <w:pPr>
        <w:widowControl/>
        <w:spacing w:line="360" w:lineRule="auto"/>
        <w:rPr>
          <w:rFonts w:hint="eastAsia" w:ascii="宋体" w:hAnsi="宋体" w:cs="宋体"/>
          <w:color w:val="auto"/>
          <w:kern w:val="0"/>
          <w:sz w:val="24"/>
          <w:szCs w:val="24"/>
          <w:highlight w:val="none"/>
          <w:lang w:bidi="ar"/>
        </w:rPr>
      </w:pPr>
      <w:r>
        <w:rPr>
          <w:rFonts w:hint="eastAsia" w:ascii="宋体" w:hAnsi="宋体" w:cs="宋体"/>
          <w:color w:val="auto"/>
          <w:kern w:val="0"/>
          <w:sz w:val="24"/>
          <w:szCs w:val="24"/>
          <w:highlight w:val="none"/>
          <w:lang w:bidi="ar"/>
        </w:rPr>
        <w:t>注：1、资格要求的人员建造师注册证书、安全生产“三类人员”B类证书均应在投标人所在单位，否则视为无效。</w:t>
      </w:r>
    </w:p>
    <w:p w14:paraId="05A81AA1">
      <w:pPr>
        <w:widowControl/>
        <w:spacing w:line="360" w:lineRule="auto"/>
        <w:ind w:firstLine="480" w:firstLineChars="200"/>
        <w:rPr>
          <w:rFonts w:hint="eastAsia" w:ascii="宋体" w:hAnsi="宋体" w:cs="宋体"/>
          <w:color w:val="auto"/>
          <w:kern w:val="0"/>
          <w:sz w:val="24"/>
          <w:szCs w:val="24"/>
          <w:highlight w:val="none"/>
          <w:lang w:bidi="ar"/>
        </w:rPr>
      </w:pPr>
      <w:r>
        <w:rPr>
          <w:rFonts w:hint="eastAsia" w:ascii="宋体" w:hAnsi="宋体" w:cs="宋体"/>
          <w:color w:val="auto"/>
          <w:kern w:val="0"/>
          <w:sz w:val="24"/>
          <w:szCs w:val="24"/>
          <w:highlight w:val="none"/>
          <w:lang w:bidi="ar"/>
        </w:rPr>
        <w:t>2、主管技术工作指：担任过项目经理、项目副经理、总工程师、质检部门负责人、工程部门负责人。担任类似工程项目经理(或项目副经理或项目总工)岗位经验累计时间、主管类似工程技术工作岗位经验累计时间统计至月，计算时尾数如不少于15天的按1个月计，不足15天部分不计。</w:t>
      </w:r>
    </w:p>
    <w:p w14:paraId="16398D82">
      <w:pPr>
        <w:widowControl/>
        <w:spacing w:line="360" w:lineRule="auto"/>
        <w:ind w:firstLine="480" w:firstLineChars="200"/>
        <w:rPr>
          <w:rFonts w:hint="eastAsia" w:ascii="宋体" w:hAnsi="宋体" w:cs="宋体"/>
          <w:color w:val="auto"/>
          <w:kern w:val="0"/>
          <w:sz w:val="24"/>
          <w:szCs w:val="24"/>
          <w:highlight w:val="none"/>
          <w:lang w:bidi="ar"/>
        </w:rPr>
      </w:pPr>
      <w:r>
        <w:rPr>
          <w:rFonts w:hint="eastAsia" w:ascii="宋体" w:hAnsi="宋体" w:cs="宋体"/>
          <w:color w:val="auto"/>
          <w:kern w:val="0"/>
          <w:sz w:val="24"/>
          <w:szCs w:val="24"/>
          <w:highlight w:val="none"/>
          <w:lang w:bidi="ar"/>
        </w:rPr>
        <w:t>3、投标人应根据招标文件第二章“投标人须知”第3.5.5项的要求附相关证明材料。</w:t>
      </w:r>
    </w:p>
    <w:p w14:paraId="5FF49F37">
      <w:pPr>
        <w:widowControl/>
        <w:spacing w:line="360" w:lineRule="auto"/>
        <w:ind w:firstLine="480" w:firstLineChars="200"/>
        <w:rPr>
          <w:rFonts w:hint="eastAsia" w:ascii="宋体" w:hAnsi="宋体" w:cs="宋体"/>
          <w:color w:val="auto"/>
          <w:kern w:val="0"/>
          <w:sz w:val="24"/>
          <w:szCs w:val="24"/>
          <w:highlight w:val="none"/>
          <w:lang w:bidi="ar"/>
        </w:rPr>
      </w:pPr>
      <w:r>
        <w:rPr>
          <w:rFonts w:hint="eastAsia" w:ascii="宋体" w:hAnsi="宋体" w:cs="宋体"/>
          <w:color w:val="auto"/>
          <w:kern w:val="0"/>
          <w:sz w:val="24"/>
          <w:szCs w:val="24"/>
          <w:highlight w:val="none"/>
          <w:lang w:bidi="ar"/>
        </w:rPr>
        <w:t>4、路桥工程相关专业职称包括公路工程、桥梁工程、公路与桥梁工程、交通土建、隧道（地下结构）工程、市政路桥、交通工程等专业职称。</w:t>
      </w:r>
    </w:p>
    <w:p w14:paraId="620FA2F2"/>
    <w:sectPr>
      <w:pgSz w:w="11906" w:h="16838"/>
      <w:pgMar w:top="1134" w:right="1134"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1CA29BC"/>
    <w:rsid w:val="71CA29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Plain Text"/>
    <w:basedOn w:val="1"/>
    <w:next w:val="3"/>
    <w:qFormat/>
    <w:uiPriority w:val="0"/>
    <w:pPr>
      <w:widowControl/>
      <w:ind w:left="1800" w:hanging="360"/>
      <w:jc w:val="left"/>
    </w:pPr>
    <w:rPr>
      <w:rFonts w:ascii="宋体" w:hAnsi="Courier New" w:eastAsia="Times New Roman"/>
      <w:kern w:val="0"/>
      <w:sz w:val="24"/>
    </w:rPr>
  </w:style>
  <w:style w:type="paragraph" w:customStyle="1" w:styleId="3">
    <w:name w:val="Defaul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6">
    <w:name w:val="Table Text"/>
    <w:basedOn w:val="1"/>
    <w:semiHidden/>
    <w:qFormat/>
    <w:uiPriority w:val="0"/>
    <w:rPr>
      <w:rFonts w:ascii="宋体" w:hAnsi="宋体" w:eastAsia="宋体" w:cs="宋体"/>
      <w:sz w:val="24"/>
      <w:szCs w:val="24"/>
      <w:lang w:val="en-US" w:eastAsia="en-US"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0</TotalTime>
  <ScaleCrop>false</ScaleCrop>
  <LinksUpToDate>false</LinksUpToDate>
  <CharactersWithSpaces>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2025-07-08T09:00:00Z</dcterms:created>
  <dc:creator>可妮兔</dc:creator>
  <cp:lastModifiedBy>可妮兔</cp:lastModifiedBy>
  <dcterms:modified xsi:type="dcterms:W3CDTF">2025-07-08T09:01:35Z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A0E7121256EE451E9D2C205C3FD0CF7E_11</vt:lpwstr>
  </property>
  <property fmtid="{D5CDD505-2E9C-101B-9397-08002B2CF9AE}" pid="4" name="KSOTemplateDocerSaveRecord">
    <vt:lpwstr>eyJoZGlkIjoiZjQ2YTY5NTU1ZDg1NGQ2ODQ5N2VlMTYwYTM5YWVhMDciLCJ1c2VySWQiOiIyMTMyNjI4NzAifQ==</vt:lpwstr>
  </property>
</Properties>
</file>