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14" w:line="226" w:lineRule="auto"/>
        <w:jc w:val="center"/>
        <w:outlineLvl w:val="0"/>
        <w:rPr>
          <w:rFonts w:hint="eastAsia" w:ascii="宋体" w:hAnsi="宋体" w:eastAsia="宋体" w:cs="宋体"/>
          <w:sz w:val="35"/>
          <w:szCs w:val="35"/>
          <w:highlight w:val="none"/>
          <w:lang w:val="en-US" w:eastAsia="zh-CN"/>
        </w:rPr>
      </w:pPr>
      <w:bookmarkStart w:id="3" w:name="_GoBack"/>
      <w:r>
        <w:rPr>
          <w:rFonts w:hint="eastAsia" w:ascii="宋体" w:hAnsi="宋体" w:eastAsia="宋体" w:cs="宋体"/>
          <w:b/>
          <w:bCs/>
          <w:spacing w:val="-6"/>
          <w:sz w:val="35"/>
          <w:szCs w:val="35"/>
          <w:highlight w:val="none"/>
        </w:rPr>
        <w:t>评标办法</w:t>
      </w:r>
      <w:bookmarkEnd w:id="3"/>
      <w:r>
        <w:rPr>
          <w:rFonts w:hint="eastAsia" w:ascii="宋体" w:hAnsi="宋体" w:eastAsia="宋体" w:cs="宋体"/>
          <w:b/>
          <w:bCs/>
          <w:spacing w:val="-12"/>
          <w:sz w:val="35"/>
          <w:szCs w:val="35"/>
          <w:highlight w:val="none"/>
        </w:rPr>
        <w:t>（双信封的技术评分最低标价法)</w:t>
      </w:r>
    </w:p>
    <w:p>
      <w:pPr>
        <w:pStyle w:val="3"/>
        <w:spacing w:before="271" w:line="334" w:lineRule="auto"/>
        <w:ind w:left="55" w:leftChars="0" w:right="52" w:rightChars="0" w:hanging="55" w:firstLineChars="0"/>
        <w:jc w:val="center"/>
        <w:outlineLvl w:val="1"/>
        <w:rPr>
          <w:rFonts w:hint="eastAsia" w:ascii="宋体" w:hAnsi="宋体" w:eastAsia="宋体" w:cs="宋体"/>
          <w:sz w:val="28"/>
          <w:szCs w:val="28"/>
          <w:highlight w:val="none"/>
        </w:rPr>
      </w:pPr>
      <w:bookmarkStart w:id="0" w:name="_Toc4783"/>
      <w:r>
        <w:rPr>
          <w:rFonts w:hint="eastAsia" w:ascii="宋体" w:hAnsi="宋体" w:eastAsia="宋体" w:cs="宋体"/>
          <w:b/>
          <w:bCs/>
          <w:spacing w:val="-4"/>
          <w:sz w:val="28"/>
          <w:szCs w:val="28"/>
          <w:highlight w:val="none"/>
        </w:rPr>
        <w:t>评标办法前附表</w:t>
      </w:r>
      <w:bookmarkEnd w:id="0"/>
    </w:p>
    <w:tbl>
      <w:tblPr>
        <w:tblStyle w:val="6"/>
        <w:tblW w:w="91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1170"/>
        <w:gridCol w:w="7058"/>
        <w:gridCol w:w="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068" w:type="dxa"/>
            <w:gridSpan w:val="2"/>
            <w:vAlign w:val="center"/>
          </w:tcPr>
          <w:p>
            <w:pPr>
              <w:spacing w:line="360" w:lineRule="auto"/>
              <w:ind w:left="0" w:leftChars="0" w:firstLine="140" w:firstLineChars="0"/>
              <w:jc w:val="center"/>
              <w:rPr>
                <w:rFonts w:hint="eastAsia" w:ascii="宋体" w:hAnsi="宋体" w:eastAsia="宋体" w:cs="宋体"/>
                <w:b/>
                <w:bCs/>
                <w:sz w:val="21"/>
                <w:szCs w:val="21"/>
                <w:highlight w:val="none"/>
                <w:lang w:val="en-US" w:eastAsia="en-US"/>
              </w:rPr>
            </w:pPr>
            <w:r>
              <w:rPr>
                <w:rFonts w:hint="eastAsia" w:ascii="宋体" w:hAnsi="宋体" w:eastAsia="宋体" w:cs="宋体"/>
                <w:b/>
                <w:bCs/>
                <w:sz w:val="21"/>
                <w:szCs w:val="21"/>
                <w:highlight w:val="none"/>
                <w:lang w:val="en-US" w:eastAsia="en-US"/>
              </w:rPr>
              <w:t>条款号</w:t>
            </w:r>
          </w:p>
        </w:tc>
        <w:tc>
          <w:tcPr>
            <w:tcW w:w="7086" w:type="dxa"/>
            <w:gridSpan w:val="2"/>
            <w:vAlign w:val="center"/>
          </w:tcPr>
          <w:p>
            <w:pPr>
              <w:spacing w:line="360" w:lineRule="auto"/>
              <w:ind w:left="0" w:leftChars="0" w:firstLine="140" w:firstLineChars="0"/>
              <w:jc w:val="center"/>
              <w:rPr>
                <w:rFonts w:hint="eastAsia" w:ascii="宋体" w:hAnsi="宋体" w:eastAsia="宋体" w:cs="宋体"/>
                <w:b/>
                <w:bCs/>
                <w:sz w:val="21"/>
                <w:szCs w:val="21"/>
                <w:highlight w:val="none"/>
                <w:lang w:val="en-US" w:eastAsia="en-US"/>
              </w:rPr>
            </w:pPr>
            <w:r>
              <w:rPr>
                <w:rFonts w:hint="eastAsia" w:ascii="宋体" w:hAnsi="宋体" w:eastAsia="宋体" w:cs="宋体"/>
                <w:b/>
                <w:bCs/>
                <w:sz w:val="21"/>
                <w:szCs w:val="21"/>
                <w:highlight w:val="none"/>
                <w:lang w:val="en-US" w:eastAsia="en-US"/>
              </w:rPr>
              <w:t>评审因素与评审标准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98" w:type="dxa"/>
            <w:vAlign w:val="center"/>
          </w:tcPr>
          <w:p>
            <w:pPr>
              <w:spacing w:line="360" w:lineRule="auto"/>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1</w:t>
            </w:r>
          </w:p>
        </w:tc>
        <w:tc>
          <w:tcPr>
            <w:tcW w:w="1170" w:type="dxa"/>
            <w:vAlign w:val="center"/>
          </w:tcPr>
          <w:p>
            <w:pPr>
              <w:spacing w:line="360" w:lineRule="auto"/>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评标方法</w:t>
            </w:r>
          </w:p>
        </w:tc>
        <w:tc>
          <w:tcPr>
            <w:tcW w:w="7086" w:type="dxa"/>
            <w:gridSpan w:val="2"/>
            <w:vAlign w:val="top"/>
          </w:tcPr>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评标价相等时，评标委员会依次按照以下优先顺序推荐中标候选人或确定中标人：</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（1）按招标文件规定被认定为最新年度广东省公路工程从业单位信用评价等级较高的投标人优先；</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【采用如下的优先顺序：承诺使用的AA级投标人、不承诺使用的AA级投标人、承诺使用的A级投标人、不承诺使用的A级投标人、B级投标人、未参评且被确定为B级投标人】</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（2）以投标人企业最新年度净资产较高的优先；</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（3）评标委员会视投标人情况综合比较，投票确定其名次。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98" w:type="dxa"/>
            <w:vAlign w:val="center"/>
          </w:tcPr>
          <w:p>
            <w:pPr>
              <w:spacing w:line="360" w:lineRule="auto"/>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2.1.1</w:t>
            </w:r>
          </w:p>
          <w:p>
            <w:pPr>
              <w:spacing w:line="360" w:lineRule="auto"/>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2.1.3</w:t>
            </w:r>
          </w:p>
        </w:tc>
        <w:tc>
          <w:tcPr>
            <w:tcW w:w="1170" w:type="dxa"/>
            <w:vAlign w:val="center"/>
          </w:tcPr>
          <w:p>
            <w:pPr>
              <w:spacing w:line="360" w:lineRule="auto"/>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形式评审与响应性评审标准</w:t>
            </w:r>
          </w:p>
        </w:tc>
        <w:tc>
          <w:tcPr>
            <w:tcW w:w="7086" w:type="dxa"/>
            <w:gridSpan w:val="2"/>
            <w:vAlign w:val="top"/>
          </w:tcPr>
          <w:p>
            <w:pPr>
              <w:spacing w:line="360" w:lineRule="auto"/>
              <w:ind w:left="0" w:leftChars="0" w:firstLine="140" w:firstLineChars="0"/>
              <w:rPr>
                <w:rFonts w:hint="eastAsia" w:ascii="宋体" w:hAnsi="宋体" w:eastAsia="宋体" w:cs="宋体"/>
                <w:b/>
                <w:bCs/>
                <w:sz w:val="21"/>
                <w:szCs w:val="21"/>
                <w:highlight w:val="none"/>
                <w:lang w:val="en-US" w:eastAsia="en-US"/>
              </w:rPr>
            </w:pPr>
            <w:r>
              <w:rPr>
                <w:rFonts w:hint="eastAsia" w:ascii="宋体" w:hAnsi="宋体" w:eastAsia="宋体" w:cs="宋体"/>
                <w:b/>
                <w:bCs/>
                <w:sz w:val="21"/>
                <w:szCs w:val="21"/>
                <w:highlight w:val="none"/>
                <w:lang w:val="en-US" w:eastAsia="en-US"/>
              </w:rPr>
              <w:t>第一个信封（商务及技术文件）评审标准：</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（1）投标文件按照招标文件规定的格式、内容填写，字迹清晰可辨：</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a.投标函按招标文件规定填报了项目名称、标段号（如有)、补遗书编号（如有)、工期、工程质量要求及安全目标；</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b.投标函附录的所有数据均符合招标文件规定；</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c.投标文件组成齐全完整，内容均按规定填写。</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（2）投标文件上法定代表人或其委托代理人的签字、投标人的单位章盖章齐全，符合招标文件规定。</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（3）投标人按照招标文件的规定提供了投标保证金：</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a.投标保证金金额符合招标文件规定的金额，且投标保证金有效期不少于投标有效期；</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b.若投标保证金采用银行转账形式提交，投标人应在投标人须知3.4.1款规定的时间，将投标保证金由投标人的基本账户转入招标人指定账户；</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c.若投标保证金采用电子保函形式提交，电子保函应满足招标文件要求。</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（4）投标人法定代表人授权委托代理人签署投标文件的，需提交授权委托书，且授权人和被授权人均在授权委托书上签名，未使用印章、签名章或其他电子制版签名代替。</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（5）投标人法定代表人亲自签署投标文件的，提供了法定代表人身份证明，且法定代表人在法定代表人身份证明上签名，未使用印章、签名章或其他电子制版签名代替。</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6）如投标人不具备拟分包工程所需的某专项工程相应资质或投标人如有分包计划，符合招标文件第二章“投标人须知”第1.11款规定，且按招标文件第九章“投标文件格式”的要求填写了“拟分包项目情况表”。</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（7）同一投标人未提交两个以上不同的投标文件，但招标文件要求提交备选投标的除外。</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（8）投标文件中未出现有关投标报价的内容。</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（9）投标文件载明的招标项目完成期限未超过招标文件规定的时限。</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（10）投标文件对招标文件的实质性要求和条件作出响应。</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（11）权利义务符合招标文件规定：</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a.投标人应接受招标文件规定的风险划分原则，未提出新的风险划分办法；</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b.投标人未增加发包人的责任范围，或减少投标人义务；</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c.投标人未提出不同的工程验收、计量、支付办法；</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d.投标人对合同纠纷、事故处理办法未提出异议；</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e.投标人在投标活动中无欺诈行为；</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f.投标人未对合同条款有重要保留。</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（12）投标文件符合招标文件第二章“投标人须知第3.7.4项规定。</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（13）投标文件未附有招标人不能接受的条件。</w:t>
            </w:r>
          </w:p>
          <w:p>
            <w:pPr>
              <w:spacing w:line="360" w:lineRule="auto"/>
              <w:ind w:left="0" w:leftChars="0" w:firstLine="140" w:firstLineChars="0"/>
              <w:rPr>
                <w:rFonts w:hint="eastAsia" w:ascii="宋体" w:hAnsi="宋体" w:eastAsia="宋体" w:cs="宋体"/>
                <w:b/>
                <w:bCs/>
                <w:sz w:val="21"/>
                <w:szCs w:val="21"/>
                <w:highlight w:val="none"/>
                <w:lang w:val="en-US" w:eastAsia="en-US"/>
              </w:rPr>
            </w:pPr>
            <w:r>
              <w:rPr>
                <w:rFonts w:hint="eastAsia" w:ascii="宋体" w:hAnsi="宋体" w:eastAsia="宋体" w:cs="宋体"/>
                <w:b/>
                <w:bCs/>
                <w:sz w:val="21"/>
                <w:szCs w:val="21"/>
                <w:highlight w:val="none"/>
                <w:lang w:val="en-US" w:eastAsia="en-US"/>
              </w:rPr>
              <w:t>第二个信封（报价文件）的评审标准：</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（1）投标文件按照招标文件规定的格式、内容填写，字迹清晰可辩：</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a.投标函按招标文件规定填报了项目名称、标段号（如有)、补遗书编号（如有)、投标总报价（包括大写金额和小写金额)；</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b.已标价工程量清单说明文字与招标文件规定一致，未进行实质性修改和删减；</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c.投标文件组成齐全完整，内容均按规定填写。</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（2）投标文件上法定代表人或其委托代理人的签字、投标人的单位章盖章齐全，符合招标文件规定。</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（3）投标总报价或调价函中的报价未超过招标文件设定的最高投标限价（如有)及最高评标限价（如有）。</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（4）投标总报价或调价函中报价的大写金额能够确定具体数值。</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（5）同一投标人未提交两个以上不同的投标报价，但招标文件要求提交备选投标的除外。</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（6）投标人若提交调价函，调价函符合招标文件第二章“投标人须知”第3.2.6项要求。</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（7）投标人若填写工程量固化清单，填写完毕的工程量固化清单未对工程量固化清单电子文件中的数据、格式和运算定义进行修改；工程量固化清单中的投标总报价和投标函大写金额报价一致。</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（8）投标文件符合招标文件第二章“投标人须知”第3.7.4项规定。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98" w:type="dxa"/>
            <w:vAlign w:val="center"/>
          </w:tcPr>
          <w:p>
            <w:pPr>
              <w:spacing w:line="360" w:lineRule="auto"/>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2.1.2</w:t>
            </w:r>
          </w:p>
        </w:tc>
        <w:tc>
          <w:tcPr>
            <w:tcW w:w="1170" w:type="dxa"/>
            <w:vAlign w:val="center"/>
          </w:tcPr>
          <w:p>
            <w:pPr>
              <w:spacing w:line="360" w:lineRule="auto"/>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资格评审标准</w:t>
            </w:r>
          </w:p>
        </w:tc>
        <w:tc>
          <w:tcPr>
            <w:tcW w:w="7086" w:type="dxa"/>
            <w:gridSpan w:val="2"/>
            <w:vAlign w:val="top"/>
          </w:tcPr>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（2）投标人的资质等级符合招标文件规定；</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（3）投标人的财务状况符合招标文件规定；</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（4）投标人的类似项目业绩符合招标文件规定；</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（5）投标人的信誉符合招标文件规定；</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（6）投标人的项目经理和项目总工资格、在岗情况符合招标文件规定，并按规定在投标文件中签字确认；</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（7）投标人的其他要求符合招标文件规定；</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val="en-US" w:eastAsia="en-US"/>
              </w:rPr>
              <w:t>）投标人不存在第二章“投标人须知”第 1.4.3 项或第 1.4.4 项规定的任何一种情形；</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val="en-US" w:eastAsia="en-US"/>
              </w:rPr>
              <w:t>）投标人符合第二章“投标人须知”第 1.4.5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8" w:type="dxa"/>
          <w:trHeight w:val="0" w:hRule="atLeast"/>
        </w:trPr>
        <w:tc>
          <w:tcPr>
            <w:tcW w:w="898" w:type="dxa"/>
            <w:vAlign w:val="center"/>
          </w:tcPr>
          <w:p>
            <w:pPr>
              <w:spacing w:line="360" w:lineRule="auto"/>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2.2.1</w:t>
            </w:r>
          </w:p>
        </w:tc>
        <w:tc>
          <w:tcPr>
            <w:tcW w:w="1170" w:type="dxa"/>
            <w:vAlign w:val="center"/>
          </w:tcPr>
          <w:p>
            <w:pPr>
              <w:spacing w:line="360" w:lineRule="auto"/>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第一个信封评分分值构成(总分100分）</w:t>
            </w:r>
          </w:p>
        </w:tc>
        <w:tc>
          <w:tcPr>
            <w:tcW w:w="7058" w:type="dxa"/>
            <w:vAlign w:val="top"/>
          </w:tcPr>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施工组织设计（A）：40分</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主要人员(B)：</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lang w:val="en-US" w:eastAsia="en-US"/>
              </w:rPr>
              <w:t>分</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其他因素(C)</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技术能力：</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val="en-US" w:eastAsia="en-US"/>
              </w:rPr>
              <w:t>分</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履约信誉：</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val="en-US" w:eastAsia="en-U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8" w:type="dxa"/>
          <w:trHeight w:val="0" w:hRule="atLeast"/>
        </w:trPr>
        <w:tc>
          <w:tcPr>
            <w:tcW w:w="898" w:type="dxa"/>
            <w:vAlign w:val="center"/>
          </w:tcPr>
          <w:p>
            <w:pPr>
              <w:spacing w:line="360" w:lineRule="auto"/>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2.2.3</w:t>
            </w:r>
          </w:p>
        </w:tc>
        <w:tc>
          <w:tcPr>
            <w:tcW w:w="1170" w:type="dxa"/>
            <w:vAlign w:val="center"/>
          </w:tcPr>
          <w:p>
            <w:pPr>
              <w:spacing w:line="360" w:lineRule="auto"/>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第二个信封详细评审标准</w:t>
            </w:r>
          </w:p>
        </w:tc>
        <w:tc>
          <w:tcPr>
            <w:tcW w:w="7058" w:type="dxa"/>
            <w:vAlign w:val="top"/>
          </w:tcPr>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评标价的评审：</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(1)评标价计算公式：</w:t>
            </w:r>
          </w:p>
          <w:p>
            <w:pPr>
              <w:spacing w:line="360" w:lineRule="auto"/>
              <w:ind w:left="0" w:leftChars="0" w:firstLine="140" w:firstLineChars="0"/>
              <w:rPr>
                <w:rFonts w:hint="eastAsia" w:ascii="宋体" w:hAnsi="宋体" w:eastAsia="宋体" w:cs="宋体"/>
                <w:b/>
                <w:bCs/>
                <w:sz w:val="21"/>
                <w:szCs w:val="21"/>
                <w:highlight w:val="none"/>
                <w:lang w:val="en-US" w:eastAsia="en-US"/>
              </w:rPr>
            </w:pPr>
            <w:r>
              <w:rPr>
                <w:rFonts w:hint="eastAsia" w:ascii="宋体" w:hAnsi="宋体" w:eastAsia="宋体" w:cs="宋体"/>
                <w:b/>
                <w:bCs/>
                <w:sz w:val="21"/>
                <w:szCs w:val="21"/>
                <w:highlight w:val="none"/>
                <w:lang w:val="en-US" w:eastAsia="en-US"/>
              </w:rPr>
              <w:t>评标价=修正后的投标总报价一暂估价一暂列金额（不含计日工总额）</w:t>
            </w:r>
          </w:p>
          <w:p>
            <w:pPr>
              <w:spacing w:line="360" w:lineRule="auto"/>
              <w:ind w:left="0" w:leftChars="0" w:firstLine="140" w:firstLineChars="0"/>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8" w:type="dxa"/>
          <w:trHeight w:val="0" w:hRule="atLeast"/>
        </w:trPr>
        <w:tc>
          <w:tcPr>
            <w:tcW w:w="898" w:type="dxa"/>
            <w:vAlign w:val="center"/>
          </w:tcPr>
          <w:p>
            <w:pPr>
              <w:spacing w:line="360" w:lineRule="auto"/>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3.2.4</w:t>
            </w:r>
          </w:p>
        </w:tc>
        <w:tc>
          <w:tcPr>
            <w:tcW w:w="1170" w:type="dxa"/>
            <w:vAlign w:val="center"/>
          </w:tcPr>
          <w:p>
            <w:pPr>
              <w:spacing w:line="360" w:lineRule="auto"/>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通过第一个信封详细评审的投标人数量</w:t>
            </w:r>
          </w:p>
        </w:tc>
        <w:tc>
          <w:tcPr>
            <w:tcW w:w="7058" w:type="dxa"/>
            <w:vAlign w:val="center"/>
          </w:tcPr>
          <w:p>
            <w:pPr>
              <w:spacing w:line="360" w:lineRule="auto"/>
              <w:ind w:left="0" w:leftChars="0" w:firstLine="140" w:firstLineChars="0"/>
              <w:jc w:val="both"/>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按照投标人的商务和技术得分由高到低排序，选择前5名（不少于3名但不足5名时，按全部实际数量）通过详细评审。</w:t>
            </w:r>
          </w:p>
          <w:p>
            <w:pPr>
              <w:pStyle w:val="2"/>
              <w:rPr>
                <w:rFonts w:hint="eastAsia" w:ascii="宋体" w:hAnsi="宋体" w:eastAsia="宋体" w:cs="宋体"/>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bidi="ar-SA"/>
              </w:rPr>
              <w:t>注</w:t>
            </w:r>
            <w:r>
              <w:rPr>
                <w:rFonts w:hint="eastAsia" w:ascii="宋体" w:hAnsi="宋体" w:eastAsia="宋体" w:cs="宋体"/>
                <w:snapToGrid w:val="0"/>
                <w:color w:val="000000"/>
                <w:kern w:val="0"/>
                <w:sz w:val="21"/>
                <w:szCs w:val="21"/>
                <w:highlight w:val="none"/>
                <w:lang w:val="en-US" w:eastAsia="zh-CN" w:bidi="ar-SA"/>
              </w:rPr>
              <w:t>：</w:t>
            </w:r>
            <w:r>
              <w:rPr>
                <w:rFonts w:hint="eastAsia" w:ascii="宋体" w:hAnsi="宋体" w:eastAsia="宋体" w:cs="宋体"/>
                <w:snapToGrid w:val="0"/>
                <w:color w:val="000000"/>
                <w:kern w:val="0"/>
                <w:sz w:val="21"/>
                <w:szCs w:val="21"/>
                <w:highlight w:val="none"/>
                <w:lang w:val="en-US" w:eastAsia="en-US" w:bidi="ar-SA"/>
              </w:rPr>
              <w:t>上述“名次”包含了并列的情况;如名次为1,1,3,4,5，则前5名为5 家投标人:如名次为1,2,3,4,5,5，则前5名为6家投标人，下同。</w:t>
            </w:r>
          </w:p>
        </w:tc>
      </w:tr>
    </w:tbl>
    <w:p>
      <w:pPr>
        <w:spacing w:line="299" w:lineRule="auto"/>
        <w:rPr>
          <w:rFonts w:hint="eastAsia" w:ascii="宋体" w:hAnsi="宋体" w:eastAsia="宋体" w:cs="宋体"/>
          <w:sz w:val="21"/>
          <w:highlight w:val="none"/>
        </w:rPr>
      </w:pPr>
    </w:p>
    <w:tbl>
      <w:tblPr>
        <w:tblStyle w:val="6"/>
        <w:tblW w:w="90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6"/>
        <w:gridCol w:w="248"/>
        <w:gridCol w:w="241"/>
        <w:gridCol w:w="449"/>
        <w:gridCol w:w="600"/>
        <w:gridCol w:w="1014"/>
        <w:gridCol w:w="676"/>
        <w:gridCol w:w="51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944" w:type="dxa"/>
            <w:gridSpan w:val="7"/>
            <w:vAlign w:val="center"/>
          </w:tcPr>
          <w:p>
            <w:pPr>
              <w:bidi w:val="0"/>
              <w:spacing w:line="360" w:lineRule="auto"/>
              <w:jc w:val="center"/>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评分因素与权重分值</w:t>
            </w:r>
          </w:p>
        </w:tc>
        <w:tc>
          <w:tcPr>
            <w:tcW w:w="5105" w:type="dxa"/>
            <w:vAlign w:val="center"/>
          </w:tcPr>
          <w:p>
            <w:pPr>
              <w:bidi w:val="0"/>
              <w:spacing w:line="360" w:lineRule="auto"/>
              <w:jc w:val="center"/>
              <w:rPr>
                <w:rFonts w:hint="eastAsia" w:ascii="宋体" w:hAnsi="宋体" w:eastAsia="宋体" w:cs="宋体"/>
                <w:b/>
                <w:bCs/>
                <w:i w:val="0"/>
                <w:iCs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6" w:type="dxa"/>
            <w:vAlign w:val="center"/>
          </w:tcPr>
          <w:p>
            <w:pPr>
              <w:bidi w:val="0"/>
              <w:spacing w:line="360" w:lineRule="auto"/>
              <w:jc w:val="center"/>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条款号</w:t>
            </w:r>
          </w:p>
        </w:tc>
        <w:tc>
          <w:tcPr>
            <w:tcW w:w="938" w:type="dxa"/>
            <w:gridSpan w:val="3"/>
            <w:vAlign w:val="center"/>
          </w:tcPr>
          <w:p>
            <w:pPr>
              <w:bidi w:val="0"/>
              <w:spacing w:line="360" w:lineRule="auto"/>
              <w:jc w:val="center"/>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评分因素</w:t>
            </w:r>
          </w:p>
        </w:tc>
        <w:tc>
          <w:tcPr>
            <w:tcW w:w="600" w:type="dxa"/>
            <w:vAlign w:val="center"/>
          </w:tcPr>
          <w:p>
            <w:pPr>
              <w:bidi w:val="0"/>
              <w:spacing w:line="360" w:lineRule="auto"/>
              <w:jc w:val="center"/>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评分因</w:t>
            </w:r>
          </w:p>
          <w:p>
            <w:pPr>
              <w:bidi w:val="0"/>
              <w:spacing w:line="360" w:lineRule="auto"/>
              <w:jc w:val="center"/>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素权重</w:t>
            </w:r>
          </w:p>
          <w:p>
            <w:pPr>
              <w:bidi w:val="0"/>
              <w:spacing w:line="360" w:lineRule="auto"/>
              <w:jc w:val="center"/>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分值</w:t>
            </w:r>
          </w:p>
        </w:tc>
        <w:tc>
          <w:tcPr>
            <w:tcW w:w="1014" w:type="dxa"/>
            <w:vAlign w:val="center"/>
          </w:tcPr>
          <w:p>
            <w:pPr>
              <w:bidi w:val="0"/>
              <w:spacing w:line="360" w:lineRule="auto"/>
              <w:jc w:val="center"/>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各评分因素细分项</w:t>
            </w:r>
          </w:p>
        </w:tc>
        <w:tc>
          <w:tcPr>
            <w:tcW w:w="676" w:type="dxa"/>
            <w:vAlign w:val="center"/>
          </w:tcPr>
          <w:p>
            <w:pPr>
              <w:bidi w:val="0"/>
              <w:spacing w:line="360" w:lineRule="auto"/>
              <w:jc w:val="center"/>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分值</w:t>
            </w:r>
          </w:p>
        </w:tc>
        <w:tc>
          <w:tcPr>
            <w:tcW w:w="5105" w:type="dxa"/>
            <w:vAlign w:val="center"/>
          </w:tcPr>
          <w:p>
            <w:pPr>
              <w:bidi w:val="0"/>
              <w:spacing w:line="360" w:lineRule="auto"/>
              <w:jc w:val="center"/>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6" w:type="dxa"/>
            <w:vMerge w:val="restart"/>
            <w:tcBorders>
              <w:bottom w:val="nil"/>
            </w:tcBorders>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2.2.2(1)</w:t>
            </w:r>
          </w:p>
        </w:tc>
        <w:tc>
          <w:tcPr>
            <w:tcW w:w="938" w:type="dxa"/>
            <w:gridSpan w:val="3"/>
            <w:vMerge w:val="restart"/>
            <w:tcBorders>
              <w:bottom w:val="nil"/>
            </w:tcBorders>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施工组织设计</w:t>
            </w:r>
          </w:p>
        </w:tc>
        <w:tc>
          <w:tcPr>
            <w:tcW w:w="600" w:type="dxa"/>
            <w:vMerge w:val="restart"/>
            <w:vAlign w:val="center"/>
          </w:tcPr>
          <w:p>
            <w:pPr>
              <w:bidi w:val="0"/>
              <w:spacing w:line="360" w:lineRule="auto"/>
              <w:jc w:val="center"/>
              <w:rPr>
                <w:rFonts w:hint="eastAsia" w:ascii="宋体" w:hAnsi="宋体" w:eastAsia="宋体" w:cs="宋体"/>
                <w:i w:val="0"/>
                <w:iCs w:val="0"/>
                <w:sz w:val="21"/>
                <w:szCs w:val="21"/>
                <w:highlight w:val="none"/>
                <w:lang w:val="en-US" w:eastAsia="zh-CN"/>
              </w:rPr>
            </w:pPr>
            <w:r>
              <w:rPr>
                <w:rFonts w:hint="eastAsia" w:ascii="宋体" w:hAnsi="宋体" w:eastAsia="宋体" w:cs="宋体"/>
                <w:b/>
                <w:bCs/>
                <w:i w:val="0"/>
                <w:iCs w:val="0"/>
                <w:sz w:val="21"/>
                <w:szCs w:val="21"/>
                <w:highlight w:val="none"/>
                <w:lang w:val="en-US" w:eastAsia="zh-CN"/>
              </w:rPr>
              <w:t>40分</w:t>
            </w:r>
          </w:p>
        </w:tc>
        <w:tc>
          <w:tcPr>
            <w:tcW w:w="1014" w:type="dxa"/>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总体施</w:t>
            </w:r>
          </w:p>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工组织</w:t>
            </w:r>
          </w:p>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布置及</w:t>
            </w:r>
          </w:p>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规划</w:t>
            </w:r>
          </w:p>
        </w:tc>
        <w:tc>
          <w:tcPr>
            <w:tcW w:w="676" w:type="dxa"/>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b/>
                <w:bCs/>
                <w:i w:val="0"/>
                <w:iCs w:val="0"/>
                <w:sz w:val="21"/>
                <w:szCs w:val="21"/>
                <w:highlight w:val="none"/>
                <w:lang w:val="en-US" w:eastAsia="zh-CN"/>
              </w:rPr>
              <w:t>15</w:t>
            </w:r>
            <w:r>
              <w:rPr>
                <w:rFonts w:hint="eastAsia" w:ascii="宋体" w:hAnsi="宋体" w:eastAsia="宋体" w:cs="宋体"/>
                <w:b/>
                <w:bCs/>
                <w:i w:val="0"/>
                <w:iCs w:val="0"/>
                <w:sz w:val="21"/>
                <w:szCs w:val="21"/>
                <w:highlight w:val="none"/>
              </w:rPr>
              <w:t>分</w:t>
            </w:r>
          </w:p>
        </w:tc>
        <w:tc>
          <w:tcPr>
            <w:tcW w:w="5105" w:type="dxa"/>
            <w:vAlign w:val="top"/>
          </w:tcPr>
          <w:p>
            <w:pPr>
              <w:numPr>
                <w:ilvl w:val="0"/>
                <w:numId w:val="0"/>
              </w:num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napToGrid w:val="0"/>
                <w:color w:val="000000"/>
                <w:kern w:val="0"/>
                <w:sz w:val="21"/>
                <w:szCs w:val="21"/>
                <w:highlight w:val="none"/>
                <w:lang w:val="en-US" w:eastAsia="en-US" w:bidi="ar-SA"/>
              </w:rPr>
              <w:t>（1）</w:t>
            </w:r>
            <w:r>
              <w:rPr>
                <w:rFonts w:hint="eastAsia" w:ascii="宋体" w:hAnsi="宋体" w:eastAsia="宋体" w:cs="宋体"/>
                <w:i w:val="0"/>
                <w:iCs w:val="0"/>
                <w:sz w:val="21"/>
                <w:szCs w:val="21"/>
                <w:highlight w:val="none"/>
              </w:rPr>
              <w:t>对项目的基本情况了解全面、准确，施工总体布置规划、施工进度计划科学合理、可操作性强，按《广东省公路工程施工标准化指南》及《广东省高速公路工程施工安全标准化指南》《公路工程施工安全防护设施技术指南》执行，得</w:t>
            </w:r>
            <w:r>
              <w:rPr>
                <w:rFonts w:hint="eastAsia" w:ascii="宋体" w:hAnsi="宋体" w:eastAsia="宋体" w:cs="宋体"/>
                <w:b/>
                <w:bCs/>
                <w:i w:val="0"/>
                <w:iCs w:val="0"/>
                <w:sz w:val="21"/>
                <w:szCs w:val="21"/>
                <w:highlight w:val="none"/>
                <w:u w:val="single"/>
                <w:lang w:val="en-US" w:eastAsia="zh-CN"/>
              </w:rPr>
              <w:t>12-15</w:t>
            </w:r>
            <w:r>
              <w:rPr>
                <w:rFonts w:hint="eastAsia" w:ascii="宋体" w:hAnsi="宋体" w:eastAsia="宋体" w:cs="宋体"/>
                <w:i w:val="0"/>
                <w:iCs w:val="0"/>
                <w:sz w:val="21"/>
                <w:szCs w:val="21"/>
                <w:highlight w:val="none"/>
              </w:rPr>
              <w:t>分（满分分值的80%～100%）；</w:t>
            </w:r>
          </w:p>
          <w:p>
            <w:pPr>
              <w:numPr>
                <w:ilvl w:val="0"/>
                <w:numId w:val="0"/>
              </w:num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（2）满足工程建设需要，施工总体布置规划、施工进度计划基本可行，得</w:t>
            </w:r>
            <w:r>
              <w:rPr>
                <w:rFonts w:hint="eastAsia" w:ascii="宋体" w:hAnsi="宋体" w:eastAsia="宋体" w:cs="宋体"/>
                <w:b/>
                <w:bCs/>
                <w:i w:val="0"/>
                <w:iCs w:val="0"/>
                <w:sz w:val="21"/>
                <w:szCs w:val="21"/>
                <w:highlight w:val="none"/>
                <w:u w:val="single"/>
                <w:lang w:val="en-US" w:eastAsia="zh-CN"/>
              </w:rPr>
              <w:t>9-12</w:t>
            </w:r>
            <w:r>
              <w:rPr>
                <w:rFonts w:hint="eastAsia" w:ascii="宋体" w:hAnsi="宋体" w:eastAsia="宋体" w:cs="宋体"/>
                <w:i w:val="0"/>
                <w:iCs w:val="0"/>
                <w:sz w:val="21"/>
                <w:szCs w:val="21"/>
                <w:highlight w:val="none"/>
              </w:rPr>
              <w:t>分（满分分值的60%～80%）；</w:t>
            </w:r>
          </w:p>
          <w:p>
            <w:pPr>
              <w:numPr>
                <w:ilvl w:val="0"/>
                <w:numId w:val="0"/>
              </w:num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（3）一般但不被评定为不响应的,得</w:t>
            </w:r>
            <w:r>
              <w:rPr>
                <w:rFonts w:hint="eastAsia" w:ascii="宋体" w:hAnsi="宋体" w:eastAsia="宋体" w:cs="宋体"/>
                <w:b/>
                <w:bCs/>
                <w:i w:val="0"/>
                <w:iCs w:val="0"/>
                <w:sz w:val="21"/>
                <w:szCs w:val="21"/>
                <w:highlight w:val="none"/>
                <w:u w:val="single"/>
                <w:lang w:val="en-US" w:eastAsia="zh-CN"/>
              </w:rPr>
              <w:t>9</w:t>
            </w:r>
            <w:r>
              <w:rPr>
                <w:rFonts w:hint="eastAsia" w:ascii="宋体" w:hAnsi="宋体" w:eastAsia="宋体" w:cs="宋体"/>
                <w:i w:val="0"/>
                <w:iCs w:val="0"/>
                <w:sz w:val="21"/>
                <w:szCs w:val="21"/>
                <w:highlight w:val="none"/>
              </w:rPr>
              <w:t>分（满分分值的60%）。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6" w:type="dxa"/>
            <w:vMerge w:val="continue"/>
            <w:tcBorders>
              <w:top w:val="nil"/>
              <w:bottom w:val="nil"/>
            </w:tcBorders>
            <w:vAlign w:val="center"/>
          </w:tcPr>
          <w:p>
            <w:pPr>
              <w:bidi w:val="0"/>
              <w:spacing w:line="360" w:lineRule="auto"/>
              <w:jc w:val="center"/>
              <w:rPr>
                <w:rFonts w:hint="eastAsia" w:ascii="宋体" w:hAnsi="宋体" w:eastAsia="宋体" w:cs="宋体"/>
                <w:i w:val="0"/>
                <w:iCs w:val="0"/>
                <w:sz w:val="21"/>
                <w:szCs w:val="21"/>
                <w:highlight w:val="none"/>
              </w:rPr>
            </w:pPr>
          </w:p>
        </w:tc>
        <w:tc>
          <w:tcPr>
            <w:tcW w:w="938" w:type="dxa"/>
            <w:gridSpan w:val="3"/>
            <w:vMerge w:val="continue"/>
            <w:tcBorders>
              <w:top w:val="nil"/>
              <w:bottom w:val="nil"/>
            </w:tcBorders>
            <w:vAlign w:val="center"/>
          </w:tcPr>
          <w:p>
            <w:pPr>
              <w:bidi w:val="0"/>
              <w:spacing w:line="360" w:lineRule="auto"/>
              <w:jc w:val="center"/>
              <w:rPr>
                <w:rFonts w:hint="eastAsia" w:ascii="宋体" w:hAnsi="宋体" w:eastAsia="宋体" w:cs="宋体"/>
                <w:i w:val="0"/>
                <w:iCs w:val="0"/>
                <w:sz w:val="21"/>
                <w:szCs w:val="21"/>
                <w:highlight w:val="none"/>
              </w:rPr>
            </w:pPr>
          </w:p>
        </w:tc>
        <w:tc>
          <w:tcPr>
            <w:tcW w:w="600" w:type="dxa"/>
            <w:vMerge w:val="continue"/>
            <w:vAlign w:val="center"/>
          </w:tcPr>
          <w:p>
            <w:pPr>
              <w:bidi w:val="0"/>
              <w:spacing w:line="360" w:lineRule="auto"/>
              <w:jc w:val="center"/>
              <w:rPr>
                <w:rFonts w:hint="eastAsia" w:ascii="宋体" w:hAnsi="宋体" w:eastAsia="宋体" w:cs="宋体"/>
                <w:i w:val="0"/>
                <w:iCs w:val="0"/>
                <w:sz w:val="21"/>
                <w:szCs w:val="21"/>
                <w:highlight w:val="none"/>
              </w:rPr>
            </w:pPr>
          </w:p>
        </w:tc>
        <w:tc>
          <w:tcPr>
            <w:tcW w:w="1014" w:type="dxa"/>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重点、难点和关键工程的施工方案与技术措施</w:t>
            </w:r>
          </w:p>
        </w:tc>
        <w:tc>
          <w:tcPr>
            <w:tcW w:w="676" w:type="dxa"/>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b/>
                <w:bCs/>
                <w:i w:val="0"/>
                <w:iCs w:val="0"/>
                <w:sz w:val="21"/>
                <w:szCs w:val="21"/>
                <w:highlight w:val="none"/>
                <w:lang w:val="en-US" w:eastAsia="zh-CN"/>
              </w:rPr>
              <w:t>15</w:t>
            </w:r>
            <w:r>
              <w:rPr>
                <w:rFonts w:hint="eastAsia" w:ascii="宋体" w:hAnsi="宋体" w:eastAsia="宋体" w:cs="宋体"/>
                <w:b/>
                <w:bCs/>
                <w:i w:val="0"/>
                <w:iCs w:val="0"/>
                <w:sz w:val="21"/>
                <w:szCs w:val="21"/>
                <w:highlight w:val="none"/>
              </w:rPr>
              <w:t>分</w:t>
            </w:r>
          </w:p>
        </w:tc>
        <w:tc>
          <w:tcPr>
            <w:tcW w:w="5105" w:type="dxa"/>
            <w:vAlign w:val="top"/>
          </w:tcPr>
          <w:p>
            <w:pPr>
              <w:bidi w:val="0"/>
              <w:spacing w:line="360" w:lineRule="auto"/>
              <w:ind w:left="0" w:leftChars="0" w:firstLine="140" w:firstLineChars="0"/>
              <w:rPr>
                <w:rFonts w:hint="eastAsia" w:ascii="宋体" w:hAnsi="宋体" w:eastAsia="宋体" w:cs="宋体"/>
                <w:i w:val="0"/>
                <w:iCs w:val="0"/>
                <w:sz w:val="21"/>
                <w:szCs w:val="21"/>
                <w:highlight w:val="none"/>
              </w:rPr>
            </w:pPr>
            <w:bookmarkStart w:id="1" w:name="OLE_LINK8"/>
            <w:r>
              <w:rPr>
                <w:rFonts w:hint="eastAsia" w:ascii="宋体" w:hAnsi="宋体" w:eastAsia="宋体" w:cs="宋体"/>
                <w:i w:val="0"/>
                <w:iCs w:val="0"/>
                <w:sz w:val="21"/>
                <w:szCs w:val="21"/>
                <w:highlight w:val="none"/>
              </w:rPr>
              <w:t>（1）对项目重点、难点和关键工程认识分析透彻，能充分发挥自身优势，积极采用“四新”技术，制定的施工方案与技术措施针对性和可操作性强，重点突出的，按《广东省公路工程施工标准化指南》及《广东省高速公路工程施工安全标准化指南》《公路工程施工安全防护设施技术指南》执行，得</w:t>
            </w:r>
            <w:r>
              <w:rPr>
                <w:rFonts w:hint="eastAsia" w:ascii="宋体" w:hAnsi="宋体" w:eastAsia="宋体" w:cs="宋体"/>
                <w:b/>
                <w:bCs/>
                <w:i w:val="0"/>
                <w:iCs w:val="0"/>
                <w:sz w:val="21"/>
                <w:szCs w:val="21"/>
                <w:highlight w:val="none"/>
                <w:u w:val="single"/>
                <w:lang w:val="en-US" w:eastAsia="zh-CN"/>
              </w:rPr>
              <w:t>12-15</w:t>
            </w:r>
            <w:r>
              <w:rPr>
                <w:rFonts w:hint="eastAsia" w:ascii="宋体" w:hAnsi="宋体" w:eastAsia="宋体" w:cs="宋体"/>
                <w:i w:val="0"/>
                <w:iCs w:val="0"/>
                <w:sz w:val="21"/>
                <w:szCs w:val="21"/>
                <w:highlight w:val="none"/>
              </w:rPr>
              <w:t>分（满分分值的80%~100%）；</w:t>
            </w:r>
          </w:p>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（2）对项目重点、难点和关键工程认识基本到位，施工方案与技术措施基本可行，重点较为突出的，得</w:t>
            </w:r>
            <w:r>
              <w:rPr>
                <w:rFonts w:hint="eastAsia" w:ascii="宋体" w:hAnsi="宋体" w:eastAsia="宋体" w:cs="宋体"/>
                <w:b/>
                <w:bCs/>
                <w:i w:val="0"/>
                <w:iCs w:val="0"/>
                <w:sz w:val="21"/>
                <w:szCs w:val="21"/>
                <w:highlight w:val="none"/>
                <w:u w:val="single"/>
                <w:lang w:val="en-US" w:eastAsia="zh-CN"/>
              </w:rPr>
              <w:t>9-12</w:t>
            </w:r>
            <w:r>
              <w:rPr>
                <w:rFonts w:hint="eastAsia" w:ascii="宋体" w:hAnsi="宋体" w:eastAsia="宋体" w:cs="宋体"/>
                <w:i w:val="0"/>
                <w:iCs w:val="0"/>
                <w:sz w:val="21"/>
                <w:szCs w:val="21"/>
                <w:highlight w:val="none"/>
              </w:rPr>
              <w:t>分（满分分值的60%～80%）；</w:t>
            </w:r>
          </w:p>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（3）一般但不被评定为不响应的,得</w:t>
            </w:r>
            <w:r>
              <w:rPr>
                <w:rFonts w:hint="eastAsia" w:ascii="宋体" w:hAnsi="宋体" w:eastAsia="宋体" w:cs="宋体"/>
                <w:i w:val="0"/>
                <w:iCs w:val="0"/>
                <w:sz w:val="21"/>
                <w:szCs w:val="21"/>
                <w:highlight w:val="none"/>
                <w:u w:val="single"/>
                <w:lang w:val="en-US" w:eastAsia="zh-CN"/>
              </w:rPr>
              <w:t xml:space="preserve"> </w:t>
            </w:r>
            <w:r>
              <w:rPr>
                <w:rFonts w:hint="eastAsia" w:ascii="宋体" w:hAnsi="宋体" w:eastAsia="宋体" w:cs="宋体"/>
                <w:b/>
                <w:bCs/>
                <w:i w:val="0"/>
                <w:iCs w:val="0"/>
                <w:sz w:val="21"/>
                <w:szCs w:val="21"/>
                <w:highlight w:val="none"/>
                <w:u w:val="single"/>
                <w:lang w:val="en-US" w:eastAsia="zh-CN"/>
              </w:rPr>
              <w:t xml:space="preserve">9 </w:t>
            </w:r>
            <w:r>
              <w:rPr>
                <w:rFonts w:hint="eastAsia" w:ascii="宋体" w:hAnsi="宋体" w:eastAsia="宋体" w:cs="宋体"/>
                <w:i w:val="0"/>
                <w:iCs w:val="0"/>
                <w:sz w:val="21"/>
                <w:szCs w:val="21"/>
                <w:highlight w:val="none"/>
              </w:rPr>
              <w:t>分（满分分值的60%）。</w:t>
            </w:r>
            <w:bookmarkEnd w:id="1"/>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6" w:type="dxa"/>
            <w:vMerge w:val="continue"/>
            <w:tcBorders>
              <w:top w:val="nil"/>
              <w:bottom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p>
        </w:tc>
        <w:tc>
          <w:tcPr>
            <w:tcW w:w="938" w:type="dxa"/>
            <w:gridSpan w:val="3"/>
            <w:vMerge w:val="continue"/>
            <w:tcBorders>
              <w:top w:val="nil"/>
              <w:bottom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p>
        </w:tc>
        <w:tc>
          <w:tcPr>
            <w:tcW w:w="600" w:type="dxa"/>
            <w:vMerge w:val="continue"/>
            <w:tcBorders>
              <w:bottom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p>
        </w:tc>
        <w:tc>
          <w:tcPr>
            <w:tcW w:w="1014" w:type="dxa"/>
            <w:tcBorders>
              <w:bottom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工期、质量、安全、环保水保、文明施工保证措施</w:t>
            </w:r>
          </w:p>
        </w:tc>
        <w:tc>
          <w:tcPr>
            <w:tcW w:w="676" w:type="dxa"/>
            <w:tcBorders>
              <w:bottom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b/>
                <w:bCs/>
                <w:i w:val="0"/>
                <w:iCs w:val="0"/>
                <w:sz w:val="21"/>
                <w:szCs w:val="21"/>
                <w:highlight w:val="none"/>
                <w:lang w:val="en-US" w:eastAsia="zh-CN"/>
              </w:rPr>
              <w:t>10</w:t>
            </w:r>
            <w:r>
              <w:rPr>
                <w:rFonts w:hint="eastAsia" w:ascii="宋体" w:hAnsi="宋体" w:eastAsia="宋体" w:cs="宋体"/>
                <w:b/>
                <w:bCs/>
                <w:i w:val="0"/>
                <w:iCs w:val="0"/>
                <w:sz w:val="21"/>
                <w:szCs w:val="21"/>
                <w:highlight w:val="none"/>
              </w:rPr>
              <w:t>分</w:t>
            </w:r>
          </w:p>
        </w:tc>
        <w:tc>
          <w:tcPr>
            <w:tcW w:w="5105" w:type="dxa"/>
            <w:tcBorders>
              <w:bottom w:val="single" w:color="auto" w:sz="4" w:space="0"/>
            </w:tcBorders>
            <w:vAlign w:val="top"/>
          </w:tcPr>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1）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w:t>
            </w:r>
            <w:r>
              <w:rPr>
                <w:rFonts w:hint="eastAsia" w:ascii="宋体" w:hAnsi="宋体" w:eastAsia="宋体" w:cs="宋体"/>
                <w:b/>
                <w:bCs/>
                <w:i w:val="0"/>
                <w:iCs w:val="0"/>
                <w:sz w:val="21"/>
                <w:szCs w:val="21"/>
                <w:highlight w:val="none"/>
                <w:u w:val="single"/>
                <w:lang w:val="en-US" w:eastAsia="zh-CN"/>
              </w:rPr>
              <w:t>8-10</w:t>
            </w:r>
            <w:r>
              <w:rPr>
                <w:rFonts w:hint="eastAsia" w:ascii="宋体" w:hAnsi="宋体" w:eastAsia="宋体" w:cs="宋体"/>
                <w:i w:val="0"/>
                <w:iCs w:val="0"/>
                <w:sz w:val="21"/>
                <w:szCs w:val="21"/>
                <w:highlight w:val="none"/>
              </w:rPr>
              <w:t>分（满分分值的80%～100%）；</w:t>
            </w:r>
          </w:p>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（2）对工期、质量、安全、环保、水保等风险有一定认识，预防保证措施基本可行，重点较为突出的，得</w:t>
            </w:r>
            <w:r>
              <w:rPr>
                <w:rFonts w:hint="eastAsia" w:ascii="宋体" w:hAnsi="宋体" w:eastAsia="宋体" w:cs="宋体"/>
                <w:b/>
                <w:bCs/>
                <w:i w:val="0"/>
                <w:iCs w:val="0"/>
                <w:sz w:val="21"/>
                <w:szCs w:val="21"/>
                <w:highlight w:val="none"/>
                <w:u w:val="single"/>
                <w:lang w:val="en-US" w:eastAsia="zh-CN"/>
              </w:rPr>
              <w:t>6-8</w:t>
            </w:r>
            <w:r>
              <w:rPr>
                <w:rFonts w:hint="eastAsia" w:ascii="宋体" w:hAnsi="宋体" w:eastAsia="宋体" w:cs="宋体"/>
                <w:i w:val="0"/>
                <w:iCs w:val="0"/>
                <w:sz w:val="21"/>
                <w:szCs w:val="21"/>
                <w:highlight w:val="none"/>
              </w:rPr>
              <w:t>分（满分分值的60%～80%）；</w:t>
            </w:r>
          </w:p>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（3）一般但不被评定为不响应的,得</w:t>
            </w:r>
            <w:r>
              <w:rPr>
                <w:rFonts w:hint="eastAsia" w:ascii="宋体" w:hAnsi="宋体" w:eastAsia="宋体" w:cs="宋体"/>
                <w:i w:val="0"/>
                <w:iCs w:val="0"/>
                <w:sz w:val="21"/>
                <w:szCs w:val="21"/>
                <w:highlight w:val="none"/>
                <w:u w:val="single"/>
                <w:lang w:val="en-US" w:eastAsia="zh-CN"/>
              </w:rPr>
              <w:t>6</w:t>
            </w:r>
            <w:r>
              <w:rPr>
                <w:rFonts w:hint="eastAsia" w:ascii="宋体" w:hAnsi="宋体" w:eastAsia="宋体" w:cs="宋体"/>
                <w:i w:val="0"/>
                <w:iCs w:val="0"/>
                <w:sz w:val="21"/>
                <w:szCs w:val="21"/>
                <w:highlight w:val="none"/>
              </w:rPr>
              <w:t>分（满分分值的60%）。</w:t>
            </w:r>
          </w:p>
          <w:p>
            <w:pPr>
              <w:bidi w:val="0"/>
              <w:spacing w:line="360" w:lineRule="auto"/>
              <w:ind w:left="0" w:leftChars="0" w:firstLine="140" w:firstLineChars="0"/>
              <w:rPr>
                <w:rFonts w:hint="eastAsia" w:ascii="宋体" w:hAnsi="宋体" w:eastAsia="宋体" w:cs="宋体"/>
                <w:i w:val="0"/>
                <w:iCs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2.2.2(2)</w:t>
            </w:r>
          </w:p>
        </w:tc>
        <w:tc>
          <w:tcPr>
            <w:tcW w:w="938" w:type="dxa"/>
            <w:gridSpan w:val="3"/>
            <w:vMerge w:val="restar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主要人员</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b/>
                <w:bCs/>
                <w:i w:val="0"/>
                <w:iCs w:val="0"/>
                <w:sz w:val="21"/>
                <w:szCs w:val="21"/>
                <w:highlight w:val="none"/>
                <w:lang w:val="en-US" w:eastAsia="zh-CN"/>
              </w:rPr>
              <w:t>30</w:t>
            </w:r>
            <w:r>
              <w:rPr>
                <w:rFonts w:hint="eastAsia" w:ascii="宋体" w:hAnsi="宋体" w:eastAsia="宋体" w:cs="宋体"/>
                <w:b/>
                <w:bCs/>
                <w:i w:val="0"/>
                <w:iCs w:val="0"/>
                <w:sz w:val="21"/>
                <w:szCs w:val="21"/>
                <w:highlight w:val="none"/>
              </w:rPr>
              <w:t>分</w:t>
            </w:r>
          </w:p>
        </w:tc>
        <w:tc>
          <w:tcPr>
            <w:tcW w:w="1014" w:type="dxa"/>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项目经理任职资格与业绩</w:t>
            </w:r>
          </w:p>
        </w:tc>
        <w:tc>
          <w:tcPr>
            <w:tcW w:w="676" w:type="dxa"/>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b/>
                <w:bCs/>
                <w:i w:val="0"/>
                <w:iCs w:val="0"/>
                <w:sz w:val="21"/>
                <w:szCs w:val="21"/>
                <w:highlight w:val="none"/>
                <w:lang w:val="en-US" w:eastAsia="zh-CN"/>
              </w:rPr>
              <w:t>15</w:t>
            </w:r>
            <w:r>
              <w:rPr>
                <w:rFonts w:hint="eastAsia" w:ascii="宋体" w:hAnsi="宋体" w:eastAsia="宋体" w:cs="宋体"/>
                <w:b/>
                <w:bCs/>
                <w:i w:val="0"/>
                <w:iCs w:val="0"/>
                <w:sz w:val="21"/>
                <w:szCs w:val="21"/>
                <w:highlight w:val="none"/>
              </w:rPr>
              <w:t>分</w:t>
            </w:r>
          </w:p>
        </w:tc>
        <w:tc>
          <w:tcPr>
            <w:tcW w:w="5105" w:type="dxa"/>
            <w:tcBorders>
              <w:top w:val="single" w:color="auto" w:sz="4" w:space="0"/>
              <w:left w:val="single" w:color="auto" w:sz="4" w:space="0"/>
              <w:bottom w:val="single" w:color="auto" w:sz="4" w:space="0"/>
              <w:right w:val="single" w:color="auto" w:sz="4" w:space="0"/>
            </w:tcBorders>
            <w:vAlign w:val="top"/>
          </w:tcPr>
          <w:p>
            <w:pPr>
              <w:bidi w:val="0"/>
              <w:spacing w:line="360" w:lineRule="auto"/>
              <w:ind w:left="0" w:leftChars="0" w:firstLine="231" w:firstLineChars="11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满足资格审查条件（项目经理和项目总工最低要求）时，得</w:t>
            </w:r>
            <w:r>
              <w:rPr>
                <w:rFonts w:hint="eastAsia" w:ascii="宋体" w:hAnsi="宋体" w:eastAsia="宋体" w:cs="宋体"/>
                <w:b/>
                <w:bCs/>
                <w:i w:val="0"/>
                <w:iCs w:val="0"/>
                <w:sz w:val="21"/>
                <w:szCs w:val="21"/>
                <w:highlight w:val="none"/>
                <w:u w:val="single"/>
                <w:lang w:val="en-US" w:eastAsia="zh-CN"/>
              </w:rPr>
              <w:t>15</w:t>
            </w:r>
            <w:r>
              <w:rPr>
                <w:rFonts w:hint="eastAsia" w:ascii="宋体" w:hAnsi="宋体" w:eastAsia="宋体" w:cs="宋体"/>
                <w:i w:val="0"/>
                <w:iCs w:val="0"/>
                <w:sz w:val="21"/>
                <w:szCs w:val="21"/>
                <w:highlight w:val="none"/>
              </w:rPr>
              <w:t>分；</w:t>
            </w:r>
          </w:p>
          <w:p>
            <w:pPr>
              <w:bidi w:val="0"/>
              <w:spacing w:line="360" w:lineRule="auto"/>
              <w:ind w:left="0" w:leftChars="0" w:firstLine="231" w:firstLineChars="11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须按“投标人须知”第 3.5.5 项的要求提供证明材料。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p>
        </w:tc>
        <w:tc>
          <w:tcPr>
            <w:tcW w:w="938" w:type="dxa"/>
            <w:gridSpan w:val="3"/>
            <w:vMerge w:val="continue"/>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项目总工任职资格与业绩</w:t>
            </w:r>
          </w:p>
        </w:tc>
        <w:tc>
          <w:tcPr>
            <w:tcW w:w="676" w:type="dxa"/>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b/>
                <w:bCs/>
                <w:i w:val="0"/>
                <w:iCs w:val="0"/>
                <w:sz w:val="21"/>
                <w:szCs w:val="21"/>
                <w:highlight w:val="none"/>
                <w:lang w:val="en-US" w:eastAsia="zh-CN"/>
              </w:rPr>
              <w:t>15</w:t>
            </w:r>
            <w:r>
              <w:rPr>
                <w:rFonts w:hint="eastAsia" w:ascii="宋体" w:hAnsi="宋体" w:eastAsia="宋体" w:cs="宋体"/>
                <w:b/>
                <w:bCs/>
                <w:i w:val="0"/>
                <w:iCs w:val="0"/>
                <w:sz w:val="21"/>
                <w:szCs w:val="21"/>
                <w:highlight w:val="none"/>
              </w:rPr>
              <w:t>分</w:t>
            </w:r>
          </w:p>
        </w:tc>
        <w:tc>
          <w:tcPr>
            <w:tcW w:w="5105" w:type="dxa"/>
            <w:tcBorders>
              <w:top w:val="single" w:color="auto" w:sz="4" w:space="0"/>
              <w:left w:val="single" w:color="auto" w:sz="4" w:space="0"/>
              <w:bottom w:val="single" w:color="auto" w:sz="4" w:space="0"/>
              <w:right w:val="single" w:color="auto" w:sz="4" w:space="0"/>
            </w:tcBorders>
            <w:vAlign w:val="top"/>
          </w:tcPr>
          <w:p>
            <w:pPr>
              <w:bidi w:val="0"/>
              <w:spacing w:line="360" w:lineRule="auto"/>
              <w:ind w:left="0" w:leftChars="0" w:firstLine="231" w:firstLineChars="11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满足资格审查条件（项目经理和项目总工最低要求）时，得</w:t>
            </w:r>
            <w:r>
              <w:rPr>
                <w:rFonts w:hint="eastAsia" w:ascii="宋体" w:hAnsi="宋体" w:eastAsia="宋体" w:cs="宋体"/>
                <w:b/>
                <w:bCs/>
                <w:i w:val="0"/>
                <w:iCs w:val="0"/>
                <w:sz w:val="21"/>
                <w:szCs w:val="21"/>
                <w:highlight w:val="none"/>
                <w:u w:val="single"/>
                <w:lang w:val="en-US" w:eastAsia="zh-CN"/>
              </w:rPr>
              <w:t xml:space="preserve"> 15</w:t>
            </w:r>
            <w:r>
              <w:rPr>
                <w:rFonts w:hint="eastAsia" w:ascii="宋体" w:hAnsi="宋体" w:eastAsia="宋体" w:cs="宋体"/>
                <w:i w:val="0"/>
                <w:iCs w:val="0"/>
                <w:sz w:val="21"/>
                <w:szCs w:val="21"/>
                <w:highlight w:val="none"/>
                <w:u w:val="single"/>
                <w:lang w:val="en-US" w:eastAsia="zh-CN"/>
              </w:rPr>
              <w:t xml:space="preserve"> </w:t>
            </w:r>
            <w:r>
              <w:rPr>
                <w:rFonts w:hint="eastAsia" w:ascii="宋体" w:hAnsi="宋体" w:eastAsia="宋体" w:cs="宋体"/>
                <w:i w:val="0"/>
                <w:iCs w:val="0"/>
                <w:sz w:val="21"/>
                <w:szCs w:val="21"/>
                <w:highlight w:val="none"/>
              </w:rPr>
              <w:t>分；</w:t>
            </w:r>
          </w:p>
          <w:p>
            <w:pPr>
              <w:bidi w:val="0"/>
              <w:spacing w:line="360" w:lineRule="auto"/>
              <w:ind w:left="0" w:leftChars="0" w:firstLine="231" w:firstLineChars="11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须按“投标人须知”第 3.5.5 项的要求提供证明材料。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6" w:type="dxa"/>
            <w:vMerge w:val="restart"/>
            <w:tcBorders>
              <w:top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2.2.2(3)</w:t>
            </w:r>
          </w:p>
        </w:tc>
        <w:tc>
          <w:tcPr>
            <w:tcW w:w="489" w:type="dxa"/>
            <w:gridSpan w:val="2"/>
            <w:vMerge w:val="restart"/>
            <w:tcBorders>
              <w:top w:val="single" w:color="auto" w:sz="4" w:space="0"/>
            </w:tcBorders>
            <w:textDirection w:val="tbRlV"/>
            <w:vAlign w:val="center"/>
          </w:tcPr>
          <w:p>
            <w:pPr>
              <w:bidi w:val="0"/>
              <w:spacing w:line="360" w:lineRule="auto"/>
              <w:jc w:val="center"/>
              <w:rPr>
                <w:rFonts w:hint="eastAsia" w:ascii="宋体" w:hAnsi="宋体" w:eastAsia="宋体" w:cs="宋体"/>
                <w:i w:val="0"/>
                <w:iCs w:val="0"/>
                <w:sz w:val="21"/>
                <w:szCs w:val="21"/>
                <w:highlight w:val="none"/>
              </w:rPr>
            </w:pPr>
            <w:r>
              <w:rPr>
                <w:rFonts w:hint="eastAsia"/>
                <w:highlight w:val="none"/>
              </w:rPr>
              <w:t>其他因素</w:t>
            </w:r>
          </w:p>
        </w:tc>
        <w:tc>
          <w:tcPr>
            <w:tcW w:w="449" w:type="dxa"/>
            <w:tcBorders>
              <w:top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技术能力</w:t>
            </w:r>
          </w:p>
        </w:tc>
        <w:tc>
          <w:tcPr>
            <w:tcW w:w="600" w:type="dxa"/>
            <w:tcBorders>
              <w:top w:val="single" w:color="auto" w:sz="4" w:space="0"/>
            </w:tcBorders>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b/>
                <w:bCs/>
                <w:i w:val="0"/>
                <w:iCs w:val="0"/>
                <w:sz w:val="21"/>
                <w:szCs w:val="21"/>
                <w:highlight w:val="none"/>
                <w:lang w:val="en-US" w:eastAsia="zh-CN"/>
              </w:rPr>
              <w:t>10</w:t>
            </w:r>
            <w:r>
              <w:rPr>
                <w:rFonts w:hint="eastAsia" w:ascii="宋体" w:hAnsi="宋体" w:eastAsia="宋体" w:cs="宋体"/>
                <w:b/>
                <w:bCs/>
                <w:i w:val="0"/>
                <w:iCs w:val="0"/>
                <w:sz w:val="21"/>
                <w:szCs w:val="21"/>
                <w:highlight w:val="none"/>
              </w:rPr>
              <w:t>分</w:t>
            </w:r>
          </w:p>
        </w:tc>
        <w:tc>
          <w:tcPr>
            <w:tcW w:w="6795" w:type="dxa"/>
            <w:gridSpan w:val="3"/>
            <w:tcBorders>
              <w:top w:val="single" w:color="auto" w:sz="4" w:space="0"/>
            </w:tcBorders>
            <w:vAlign w:val="top"/>
          </w:tcPr>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（1）投标人获得与项目施工有关的国家级工法、专利（发明专利或实用新型专利）、国家级科学技术进步奖、鲁班奖、詹天佑奖，主编或参编过国家标准，每项加</w:t>
            </w:r>
            <w:r>
              <w:rPr>
                <w:rFonts w:hint="eastAsia" w:ascii="宋体" w:hAnsi="宋体" w:eastAsia="宋体" w:cs="宋体"/>
                <w:b/>
                <w:bCs/>
                <w:i w:val="0"/>
                <w:iCs w:val="0"/>
                <w:sz w:val="21"/>
                <w:szCs w:val="21"/>
                <w:highlight w:val="none"/>
                <w:u w:val="single"/>
                <w:lang w:val="en-US" w:eastAsia="zh-CN"/>
              </w:rPr>
              <w:t xml:space="preserve"> 2 </w:t>
            </w:r>
            <w:r>
              <w:rPr>
                <w:rFonts w:hint="eastAsia" w:ascii="宋体" w:hAnsi="宋体" w:eastAsia="宋体" w:cs="宋体"/>
                <w:i w:val="0"/>
                <w:iCs w:val="0"/>
                <w:sz w:val="21"/>
                <w:szCs w:val="21"/>
                <w:highlight w:val="none"/>
              </w:rPr>
              <w:t>分；</w:t>
            </w:r>
          </w:p>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（2）投标人获得省级科学技术进步奖，主编或参编过的行业或地方（指省级）标准，每项加</w:t>
            </w:r>
            <w:r>
              <w:rPr>
                <w:rFonts w:hint="eastAsia" w:ascii="宋体" w:hAnsi="宋体" w:eastAsia="宋体" w:cs="宋体"/>
                <w:b/>
                <w:bCs/>
                <w:i w:val="0"/>
                <w:iCs w:val="0"/>
                <w:sz w:val="21"/>
                <w:szCs w:val="21"/>
                <w:highlight w:val="none"/>
                <w:u w:val="single"/>
                <w:lang w:val="en-US" w:eastAsia="zh-CN"/>
              </w:rPr>
              <w:t xml:space="preserve"> 1 </w:t>
            </w:r>
            <w:r>
              <w:rPr>
                <w:rFonts w:hint="eastAsia" w:ascii="宋体" w:hAnsi="宋体" w:eastAsia="宋体" w:cs="宋体"/>
                <w:i w:val="0"/>
                <w:iCs w:val="0"/>
                <w:sz w:val="21"/>
                <w:szCs w:val="21"/>
                <w:highlight w:val="none"/>
              </w:rPr>
              <w:t>分；</w:t>
            </w:r>
          </w:p>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注：技术能力加分最高</w:t>
            </w:r>
            <w:r>
              <w:rPr>
                <w:rFonts w:hint="eastAsia" w:ascii="宋体" w:hAnsi="宋体" w:eastAsia="宋体" w:cs="宋体"/>
                <w:i w:val="0"/>
                <w:iCs w:val="0"/>
                <w:sz w:val="21"/>
                <w:szCs w:val="21"/>
                <w:highlight w:val="none"/>
                <w:u w:val="single"/>
                <w:lang w:val="en-US" w:eastAsia="zh-CN"/>
              </w:rPr>
              <w:t xml:space="preserve"> </w:t>
            </w:r>
            <w:r>
              <w:rPr>
                <w:rFonts w:hint="eastAsia" w:ascii="宋体" w:hAnsi="宋体" w:eastAsia="宋体" w:cs="宋体"/>
                <w:b/>
                <w:bCs/>
                <w:i w:val="0"/>
                <w:iCs w:val="0"/>
                <w:sz w:val="21"/>
                <w:szCs w:val="21"/>
                <w:highlight w:val="none"/>
                <w:u w:val="single"/>
                <w:lang w:val="en-US" w:eastAsia="zh-CN"/>
              </w:rPr>
              <w:t xml:space="preserve">10 </w:t>
            </w:r>
            <w:r>
              <w:rPr>
                <w:rFonts w:hint="eastAsia" w:ascii="宋体" w:hAnsi="宋体" w:eastAsia="宋体" w:cs="宋体"/>
                <w:i w:val="0"/>
                <w:iCs w:val="0"/>
                <w:sz w:val="21"/>
                <w:szCs w:val="21"/>
                <w:highlight w:val="none"/>
              </w:rPr>
              <w:t>分，同一事项按较高分只计一次。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6" w:type="dxa"/>
            <w:vMerge w:val="continue"/>
            <w:vAlign w:val="center"/>
          </w:tcPr>
          <w:p>
            <w:pPr>
              <w:bidi w:val="0"/>
              <w:spacing w:line="360" w:lineRule="auto"/>
              <w:jc w:val="center"/>
              <w:rPr>
                <w:rFonts w:hint="eastAsia" w:ascii="宋体" w:hAnsi="宋体" w:eastAsia="宋体" w:cs="宋体"/>
                <w:i w:val="0"/>
                <w:iCs w:val="0"/>
                <w:sz w:val="21"/>
                <w:szCs w:val="21"/>
                <w:highlight w:val="none"/>
              </w:rPr>
            </w:pPr>
          </w:p>
        </w:tc>
        <w:tc>
          <w:tcPr>
            <w:tcW w:w="489" w:type="dxa"/>
            <w:gridSpan w:val="2"/>
            <w:vMerge w:val="continue"/>
            <w:vAlign w:val="center"/>
          </w:tcPr>
          <w:p>
            <w:pPr>
              <w:bidi w:val="0"/>
              <w:spacing w:line="360" w:lineRule="auto"/>
              <w:jc w:val="center"/>
              <w:rPr>
                <w:rFonts w:hint="eastAsia" w:ascii="宋体" w:hAnsi="宋体" w:eastAsia="宋体" w:cs="宋体"/>
                <w:i w:val="0"/>
                <w:iCs w:val="0"/>
                <w:sz w:val="21"/>
                <w:szCs w:val="21"/>
                <w:highlight w:val="none"/>
              </w:rPr>
            </w:pPr>
          </w:p>
        </w:tc>
        <w:tc>
          <w:tcPr>
            <w:tcW w:w="449" w:type="dxa"/>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履约信誉</w:t>
            </w:r>
          </w:p>
        </w:tc>
        <w:tc>
          <w:tcPr>
            <w:tcW w:w="600" w:type="dxa"/>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b/>
                <w:bCs/>
                <w:i w:val="0"/>
                <w:iCs w:val="0"/>
                <w:sz w:val="21"/>
                <w:szCs w:val="21"/>
                <w:highlight w:val="none"/>
                <w:lang w:val="en-US" w:eastAsia="zh-CN"/>
              </w:rPr>
              <w:t>20</w:t>
            </w:r>
            <w:r>
              <w:rPr>
                <w:rFonts w:hint="eastAsia" w:ascii="宋体" w:hAnsi="宋体" w:eastAsia="宋体" w:cs="宋体"/>
                <w:b/>
                <w:bCs/>
                <w:i w:val="0"/>
                <w:iCs w:val="0"/>
                <w:sz w:val="21"/>
                <w:szCs w:val="21"/>
                <w:highlight w:val="none"/>
              </w:rPr>
              <w:t>分</w:t>
            </w:r>
          </w:p>
        </w:tc>
        <w:tc>
          <w:tcPr>
            <w:tcW w:w="6795" w:type="dxa"/>
            <w:gridSpan w:val="3"/>
            <w:vAlign w:val="top"/>
          </w:tcPr>
          <w:p>
            <w:pPr>
              <w:bidi w:val="0"/>
              <w:spacing w:line="360" w:lineRule="auto"/>
              <w:ind w:left="0" w:leftChars="0" w:firstLine="140" w:firstLineChars="0"/>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1.信用等级分值（10分）</w:t>
            </w:r>
          </w:p>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AA、A、B、C级单位的信用等级分得分分别为</w:t>
            </w:r>
            <w:r>
              <w:rPr>
                <w:rFonts w:hint="eastAsia" w:ascii="宋体" w:hAnsi="宋体" w:eastAsia="宋体" w:cs="宋体"/>
                <w:b/>
                <w:bCs/>
                <w:i w:val="0"/>
                <w:iCs w:val="0"/>
                <w:sz w:val="21"/>
                <w:szCs w:val="21"/>
                <w:highlight w:val="none"/>
                <w:u w:val="single"/>
              </w:rPr>
              <w:t>10</w:t>
            </w:r>
            <w:r>
              <w:rPr>
                <w:rFonts w:hint="eastAsia" w:ascii="宋体" w:hAnsi="宋体" w:eastAsia="宋体" w:cs="宋体"/>
                <w:b/>
                <w:bCs/>
                <w:i w:val="0"/>
                <w:iCs w:val="0"/>
                <w:sz w:val="21"/>
                <w:szCs w:val="21"/>
                <w:highlight w:val="none"/>
                <w:u w:val="single"/>
                <w:lang w:val="en-US" w:eastAsia="zh-CN"/>
              </w:rPr>
              <w:t>分</w:t>
            </w:r>
            <w:r>
              <w:rPr>
                <w:rFonts w:hint="eastAsia" w:ascii="宋体" w:hAnsi="宋体" w:eastAsia="宋体" w:cs="宋体"/>
                <w:b/>
                <w:bCs/>
                <w:i w:val="0"/>
                <w:iCs w:val="0"/>
                <w:sz w:val="21"/>
                <w:szCs w:val="21"/>
                <w:highlight w:val="none"/>
                <w:u w:val="single"/>
              </w:rPr>
              <w:t>、9.5</w:t>
            </w:r>
            <w:r>
              <w:rPr>
                <w:rFonts w:hint="eastAsia" w:ascii="宋体" w:hAnsi="宋体" w:eastAsia="宋体" w:cs="宋体"/>
                <w:b/>
                <w:bCs/>
                <w:i w:val="0"/>
                <w:iCs w:val="0"/>
                <w:sz w:val="21"/>
                <w:szCs w:val="21"/>
                <w:highlight w:val="none"/>
                <w:u w:val="single"/>
                <w:lang w:val="en-US" w:eastAsia="zh-CN"/>
              </w:rPr>
              <w:t>分</w:t>
            </w:r>
            <w:r>
              <w:rPr>
                <w:rFonts w:hint="eastAsia" w:ascii="宋体" w:hAnsi="宋体" w:eastAsia="宋体" w:cs="宋体"/>
                <w:b/>
                <w:bCs/>
                <w:i w:val="0"/>
                <w:iCs w:val="0"/>
                <w:sz w:val="21"/>
                <w:szCs w:val="21"/>
                <w:highlight w:val="none"/>
                <w:u w:val="single"/>
              </w:rPr>
              <w:t>、8.9</w:t>
            </w:r>
            <w:r>
              <w:rPr>
                <w:rFonts w:hint="eastAsia" w:ascii="宋体" w:hAnsi="宋体" w:eastAsia="宋体" w:cs="宋体"/>
                <w:b/>
                <w:bCs/>
                <w:i w:val="0"/>
                <w:iCs w:val="0"/>
                <w:sz w:val="21"/>
                <w:szCs w:val="21"/>
                <w:highlight w:val="none"/>
                <w:u w:val="single"/>
                <w:lang w:val="en-US" w:eastAsia="zh-CN"/>
              </w:rPr>
              <w:t>分</w:t>
            </w:r>
            <w:r>
              <w:rPr>
                <w:rFonts w:hint="eastAsia" w:ascii="宋体" w:hAnsi="宋体" w:eastAsia="宋体" w:cs="宋体"/>
                <w:b/>
                <w:bCs/>
                <w:i w:val="0"/>
                <w:iCs w:val="0"/>
                <w:sz w:val="21"/>
                <w:szCs w:val="21"/>
                <w:highlight w:val="none"/>
                <w:u w:val="single"/>
              </w:rPr>
              <w:t>、7.</w:t>
            </w:r>
            <w:r>
              <w:rPr>
                <w:rFonts w:hint="eastAsia" w:ascii="宋体" w:hAnsi="宋体" w:eastAsia="宋体" w:cs="宋体"/>
                <w:b/>
                <w:bCs/>
                <w:i w:val="0"/>
                <w:iCs w:val="0"/>
                <w:sz w:val="21"/>
                <w:szCs w:val="21"/>
                <w:highlight w:val="none"/>
                <w:u w:val="none"/>
              </w:rPr>
              <w:t>3分</w:t>
            </w:r>
            <w:r>
              <w:rPr>
                <w:rFonts w:hint="eastAsia" w:ascii="宋体" w:hAnsi="宋体" w:eastAsia="宋体" w:cs="宋体"/>
                <w:i w:val="0"/>
                <w:iCs w:val="0"/>
                <w:sz w:val="21"/>
                <w:szCs w:val="21"/>
                <w:highlight w:val="none"/>
              </w:rPr>
              <w:t>。</w:t>
            </w:r>
          </w:p>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注：信用等级的确定原则遵循投标人须知前附表10.2款的规定。</w:t>
            </w:r>
          </w:p>
          <w:p>
            <w:pPr>
              <w:bidi w:val="0"/>
              <w:spacing w:line="360" w:lineRule="auto"/>
              <w:ind w:left="0" w:leftChars="0" w:firstLine="140" w:firstLineChars="0"/>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2.履约情况（</w:t>
            </w:r>
            <w:r>
              <w:rPr>
                <w:rFonts w:hint="eastAsia" w:ascii="宋体" w:hAnsi="宋体" w:eastAsia="宋体" w:cs="宋体"/>
                <w:b/>
                <w:bCs/>
                <w:i w:val="0"/>
                <w:iCs w:val="0"/>
                <w:sz w:val="21"/>
                <w:szCs w:val="21"/>
                <w:highlight w:val="none"/>
                <w:lang w:val="en-US" w:eastAsia="zh-CN"/>
              </w:rPr>
              <w:t>10</w:t>
            </w:r>
            <w:r>
              <w:rPr>
                <w:rFonts w:hint="eastAsia" w:ascii="宋体" w:hAnsi="宋体" w:eastAsia="宋体" w:cs="宋体"/>
                <w:b/>
                <w:bCs/>
                <w:i w:val="0"/>
                <w:iCs w:val="0"/>
                <w:sz w:val="21"/>
                <w:szCs w:val="21"/>
                <w:highlight w:val="none"/>
              </w:rPr>
              <w:t>分）</w:t>
            </w:r>
          </w:p>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若没出现下述情形得满分；</w:t>
            </w:r>
          </w:p>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投标文件递交截止日前1年内，投标人因公路工程（含附属设施）质量、安全、履约或招标投标问题等原因被：</w:t>
            </w:r>
          </w:p>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（1）交通运输部行政处罚的，</w:t>
            </w:r>
            <w:r>
              <w:rPr>
                <w:rFonts w:hint="eastAsia" w:ascii="宋体" w:hAnsi="宋体" w:eastAsia="宋体" w:cs="宋体"/>
                <w:b/>
                <w:bCs/>
                <w:i w:val="0"/>
                <w:iCs w:val="0"/>
                <w:sz w:val="21"/>
                <w:szCs w:val="21"/>
                <w:highlight w:val="none"/>
                <w:u w:val="single"/>
              </w:rPr>
              <w:t>扣5分/次</w:t>
            </w:r>
            <w:r>
              <w:rPr>
                <w:rFonts w:hint="eastAsia" w:ascii="宋体" w:hAnsi="宋体" w:eastAsia="宋体" w:cs="宋体"/>
                <w:i w:val="0"/>
                <w:iCs w:val="0"/>
                <w:sz w:val="21"/>
                <w:szCs w:val="21"/>
                <w:highlight w:val="none"/>
              </w:rPr>
              <w:t>。</w:t>
            </w:r>
          </w:p>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（2）广东省交通运输厅行政处罚的，</w:t>
            </w:r>
            <w:r>
              <w:rPr>
                <w:rFonts w:hint="eastAsia" w:ascii="宋体" w:hAnsi="宋体" w:eastAsia="宋体" w:cs="宋体"/>
                <w:b/>
                <w:bCs/>
                <w:i w:val="0"/>
                <w:iCs w:val="0"/>
                <w:sz w:val="21"/>
                <w:szCs w:val="21"/>
                <w:highlight w:val="none"/>
                <w:u w:val="single"/>
              </w:rPr>
              <w:t>扣3分/次</w:t>
            </w:r>
            <w:r>
              <w:rPr>
                <w:rFonts w:hint="eastAsia" w:ascii="宋体" w:hAnsi="宋体" w:eastAsia="宋体" w:cs="宋体"/>
                <w:i w:val="0"/>
                <w:iCs w:val="0"/>
                <w:sz w:val="21"/>
                <w:szCs w:val="21"/>
                <w:highlight w:val="none"/>
                <w:u w:val="single"/>
              </w:rPr>
              <w:t>。</w:t>
            </w:r>
          </w:p>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（3）招标项目所在地地级以上市交通运输局行政处罚的，</w:t>
            </w:r>
            <w:r>
              <w:rPr>
                <w:rFonts w:hint="eastAsia" w:ascii="宋体" w:hAnsi="宋体" w:eastAsia="宋体" w:cs="宋体"/>
                <w:b/>
                <w:bCs/>
                <w:i w:val="0"/>
                <w:iCs w:val="0"/>
                <w:sz w:val="21"/>
                <w:szCs w:val="21"/>
                <w:highlight w:val="none"/>
                <w:u w:val="single"/>
              </w:rPr>
              <w:t>扣1.5分/次</w:t>
            </w:r>
            <w:r>
              <w:rPr>
                <w:rFonts w:hint="eastAsia" w:ascii="宋体" w:hAnsi="宋体" w:eastAsia="宋体" w:cs="宋体"/>
                <w:i w:val="0"/>
                <w:iCs w:val="0"/>
                <w:sz w:val="21"/>
                <w:szCs w:val="21"/>
                <w:highlight w:val="none"/>
                <w:u w:val="single"/>
              </w:rPr>
              <w:t>。</w:t>
            </w:r>
          </w:p>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（4）广东省交通运输厅正式约谈的，</w:t>
            </w:r>
            <w:r>
              <w:rPr>
                <w:rFonts w:hint="eastAsia" w:ascii="宋体" w:hAnsi="宋体" w:eastAsia="宋体" w:cs="宋体"/>
                <w:b/>
                <w:bCs/>
                <w:i w:val="0"/>
                <w:iCs w:val="0"/>
                <w:sz w:val="21"/>
                <w:szCs w:val="21"/>
                <w:highlight w:val="none"/>
                <w:u w:val="single"/>
              </w:rPr>
              <w:t>扣0.1分/次</w:t>
            </w:r>
            <w:r>
              <w:rPr>
                <w:rFonts w:hint="eastAsia" w:ascii="宋体" w:hAnsi="宋体" w:eastAsia="宋体" w:cs="宋体"/>
                <w:i w:val="0"/>
                <w:iCs w:val="0"/>
                <w:sz w:val="21"/>
                <w:szCs w:val="21"/>
                <w:highlight w:val="none"/>
                <w:u w:val="single"/>
              </w:rPr>
              <w:t>。</w:t>
            </w:r>
          </w:p>
          <w:p>
            <w:pPr>
              <w:bidi w:val="0"/>
              <w:spacing w:line="360" w:lineRule="auto"/>
              <w:ind w:left="0" w:leftChars="0" w:firstLine="14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同一事项同时被多个部门行政处罚或正式约谈只按最高的扣分计算1次。如果扣完本项分值，可以从总分中扣。以联合体形式投标的，若各联合体成员任何一方或均存在上述情形的，对联合体各成员进行累计扣分。</w:t>
            </w:r>
          </w:p>
          <w:p>
            <w:pPr>
              <w:pStyle w:val="2"/>
              <w:spacing w:line="360" w:lineRule="auto"/>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highlight w:val="none"/>
                <w:lang w:val="en-US" w:eastAsia="en-US" w:bidi="ar-SA"/>
              </w:rPr>
              <w:t>【本条内容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9049" w:type="dxa"/>
            <w:gridSpan w:val="8"/>
            <w:vAlign w:val="center"/>
          </w:tcPr>
          <w:p>
            <w:pPr>
              <w:bidi w:val="0"/>
              <w:spacing w:line="360" w:lineRule="auto"/>
              <w:jc w:val="both"/>
              <w:rPr>
                <w:rFonts w:hint="eastAsia" w:ascii="宋体" w:hAnsi="宋体" w:eastAsia="宋体" w:cs="宋体"/>
                <w:i w:val="0"/>
                <w:iCs w:val="0"/>
                <w:sz w:val="21"/>
                <w:szCs w:val="21"/>
                <w:highlight w:val="none"/>
              </w:rPr>
            </w:pPr>
            <w:r>
              <w:rPr>
                <w:rFonts w:hint="eastAsia" w:ascii="宋体" w:hAnsi="宋体" w:eastAsia="宋体" w:cs="宋体"/>
                <w:b/>
                <w:bCs/>
                <w:i w:val="0"/>
                <w:iCs w:val="0"/>
                <w:sz w:val="21"/>
                <w:szCs w:val="21"/>
                <w:highlight w:val="none"/>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64" w:type="dxa"/>
            <w:gridSpan w:val="2"/>
            <w:vAlign w:val="center"/>
          </w:tcPr>
          <w:p>
            <w:pPr>
              <w:bidi w:val="0"/>
              <w:spacing w:line="360" w:lineRule="auto"/>
              <w:jc w:val="center"/>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条款号</w:t>
            </w:r>
          </w:p>
        </w:tc>
        <w:tc>
          <w:tcPr>
            <w:tcW w:w="8085" w:type="dxa"/>
            <w:gridSpan w:val="6"/>
            <w:vAlign w:val="center"/>
          </w:tcPr>
          <w:p>
            <w:pPr>
              <w:bidi w:val="0"/>
              <w:spacing w:line="360" w:lineRule="auto"/>
              <w:jc w:val="center"/>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补充或修改的内容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gridSpan w:val="2"/>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1</w:t>
            </w:r>
          </w:p>
        </w:tc>
        <w:tc>
          <w:tcPr>
            <w:tcW w:w="8085" w:type="dxa"/>
            <w:gridSpan w:val="6"/>
            <w:vAlign w:val="top"/>
          </w:tcPr>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将评标办法原文第1条“评标方法”改为“评标方法、组织及工作程序”，原文内容修改如下：</w:t>
            </w:r>
          </w:p>
          <w:p>
            <w:pPr>
              <w:bidi w:val="0"/>
              <w:spacing w:line="360" w:lineRule="auto"/>
              <w:ind w:left="0" w:leftChars="0" w:firstLine="280" w:firstLineChars="0"/>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1.评标方法、组织及工作程序</w:t>
            </w:r>
          </w:p>
          <w:p>
            <w:pPr>
              <w:bidi w:val="0"/>
              <w:spacing w:line="360" w:lineRule="auto"/>
              <w:ind w:left="0" w:leftChars="0" w:firstLine="280" w:firstLineChars="0"/>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1.1评标方法</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本次评标采用</w:t>
            </w:r>
            <w:r>
              <w:rPr>
                <w:rFonts w:hint="eastAsia" w:ascii="宋体" w:hAnsi="宋体" w:eastAsia="宋体" w:cs="宋体"/>
                <w:b/>
                <w:bCs/>
                <w:i w:val="0"/>
                <w:iCs w:val="0"/>
                <w:sz w:val="21"/>
                <w:szCs w:val="21"/>
                <w:highlight w:val="none"/>
              </w:rPr>
              <w:t>双信封的技术评分最低标价法</w:t>
            </w:r>
            <w:r>
              <w:rPr>
                <w:rFonts w:hint="eastAsia" w:ascii="宋体" w:hAnsi="宋体" w:eastAsia="宋体" w:cs="宋体"/>
                <w:i w:val="0"/>
                <w:iCs w:val="0"/>
                <w:sz w:val="21"/>
                <w:szCs w:val="21"/>
                <w:highlight w:val="none"/>
              </w:rPr>
              <w:t>。评标委员会对满足招标文件实质性要求的投标文件，按照本章第2.2款规定对通过初步评审的投标人的施工组织设计、主要人员、其他因素等进行评分，按照得分由高到低排序，对排名在招标文件规定数量前5名（不少于3名但不足5名时，按全部实际数量）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pPr>
              <w:bidi w:val="0"/>
              <w:spacing w:line="360" w:lineRule="auto"/>
              <w:ind w:left="0" w:leftChars="0" w:firstLine="280" w:firstLineChars="0"/>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1.2评标组织</w:t>
            </w:r>
          </w:p>
          <w:p>
            <w:pPr>
              <w:bidi w:val="0"/>
              <w:spacing w:line="360" w:lineRule="auto"/>
              <w:ind w:left="0" w:leftChars="0" w:firstLine="280" w:firstLineChars="0"/>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1.2.1协助工作组</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招标人可在评标工作开始前成立协助工作组，选派熟悉招标工作、政治素质高的人员组成，协助评标委员会工作。协助工作组人员的具体数量由招标人视评标工作量确定。</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招标人可以协助评标委员会开展下列工作并提供相关信息：</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（1）根据招标文件，编制评标使用的相应表格；</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（2）对投标报价进行算术性校核（如采用固化工程量清单，本步骤省略）；</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（3）以评标标准和方法为依据，列出投标文件相对于招标文件的所有偏差，并进行归类汇总；</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（4）查询公路建设市场信用信息管理系统，对投标人的资质、业绩、主要人员资历和目前在岗情况、信用等级进行核实。</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招标人不得对投标文件作出任何评价，不得故意遗漏或者片面摘录，不得在评标委员会对所有偏差定性之前透露存有偏差的投标人名称。</w:t>
            </w:r>
          </w:p>
          <w:p>
            <w:pPr>
              <w:bidi w:val="0"/>
              <w:spacing w:line="360" w:lineRule="auto"/>
              <w:ind w:left="0" w:leftChars="0" w:firstLine="280" w:firstLineChars="0"/>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1.2.2评标委员会</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评标委员会由招标人按国家、广东省等的有关规定依法组建。评标委员会的主要工作内容包括：</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（1）评标委员会开始评标工作之前，首先听取招标人、协助工作组关于工程情况和辅助工作的说明，并认真研读招标文件，获取评标所需的重要信息和数据；</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（2）对协助工作组提供的评标工作用表和评标内容进行核查。</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（3）按照以下1.3款程序进行各项评审工作。</w:t>
            </w:r>
          </w:p>
          <w:p>
            <w:pPr>
              <w:bidi w:val="0"/>
              <w:spacing w:line="360" w:lineRule="auto"/>
              <w:ind w:left="0" w:leftChars="0" w:firstLine="280" w:firstLineChars="0"/>
              <w:rPr>
                <w:rFonts w:hint="eastAsia" w:ascii="宋体" w:hAnsi="宋体" w:eastAsia="宋体" w:cs="宋体"/>
                <w:b/>
                <w:bCs/>
                <w:i w:val="0"/>
                <w:iCs w:val="0"/>
                <w:sz w:val="21"/>
                <w:szCs w:val="21"/>
                <w:highlight w:val="none"/>
              </w:rPr>
            </w:pPr>
            <w:r>
              <w:rPr>
                <w:rFonts w:hint="eastAsia" w:ascii="宋体" w:hAnsi="宋体" w:eastAsia="宋体" w:cs="宋体"/>
                <w:b/>
                <w:bCs/>
                <w:i w:val="0"/>
                <w:iCs w:val="0"/>
                <w:sz w:val="21"/>
                <w:szCs w:val="21"/>
                <w:highlight w:val="none"/>
              </w:rPr>
              <w:t>1.3评审工作程序</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（一）第一个信封（商务及技术文件）：</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l、初步评审：包括形式评审与响应性评审、资格评审（适用于未进行资格预审）；</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2、详细评审（评审打分）：评标委员会首先对通过第一个信封初步评审的投标文件进行详细评审，对投标人的施工组织设计、主要人员、其他因素等分别评审打分，并按照综合得分由高到低排序，排名在</w:t>
            </w:r>
            <w:r>
              <w:rPr>
                <w:rFonts w:hint="eastAsia" w:ascii="宋体" w:hAnsi="宋体" w:eastAsia="宋体" w:cs="宋体"/>
                <w:b/>
                <w:bCs/>
                <w:i w:val="0"/>
                <w:iCs w:val="0"/>
                <w:sz w:val="21"/>
                <w:szCs w:val="21"/>
                <w:highlight w:val="none"/>
              </w:rPr>
              <w:t>招标文件规定数量前5名（不少于3名但不足5名的，按全部实际数量）</w:t>
            </w:r>
            <w:r>
              <w:rPr>
                <w:rFonts w:hint="eastAsia" w:ascii="宋体" w:hAnsi="宋体" w:eastAsia="宋体" w:cs="宋体"/>
                <w:b w:val="0"/>
                <w:bCs w:val="0"/>
                <w:i w:val="0"/>
                <w:iCs w:val="0"/>
                <w:sz w:val="21"/>
                <w:szCs w:val="21"/>
                <w:highlight w:val="none"/>
              </w:rPr>
              <w:t>的投标人</w:t>
            </w:r>
            <w:r>
              <w:rPr>
                <w:rFonts w:hint="eastAsia" w:ascii="宋体" w:hAnsi="宋体" w:eastAsia="宋体" w:cs="宋体"/>
                <w:i w:val="0"/>
                <w:iCs w:val="0"/>
                <w:sz w:val="21"/>
                <w:szCs w:val="21"/>
                <w:highlight w:val="none"/>
              </w:rPr>
              <w:t>，其投标文件第一个信封（商务及技术文件）通过详细评审。</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（二）第二个信封（报价文件）：</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1、初步评审：</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（1）只有对投标文件第一个信封通过详细评审的投标人的报价文件才能继续参加第二个信封报价文件的形式评审与响应性评审。</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（2）报价算术性修正（如采用固化工程量清单，本步骤省略）；</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2、详细评审：计算评标价。</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（三）投标文件相关信息的核查。</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（四）投标文件的澄清和说明(如有)</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（五）按评标办法规定按照第二个信封的评标价由低到高的顺序推荐中标候选人，编写评标报告。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gridSpan w:val="2"/>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3.2.2</w:t>
            </w:r>
          </w:p>
        </w:tc>
        <w:tc>
          <w:tcPr>
            <w:tcW w:w="8085" w:type="dxa"/>
            <w:gridSpan w:val="6"/>
            <w:vAlign w:val="top"/>
          </w:tcPr>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将评标办法原文第3.2.2项修改如下：</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投标人的商务和技术得分分值计算保留小数点后三位，小数点后第四位“四舍五入”。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gridSpan w:val="2"/>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3.2.3</w:t>
            </w:r>
          </w:p>
        </w:tc>
        <w:tc>
          <w:tcPr>
            <w:tcW w:w="8085" w:type="dxa"/>
            <w:gridSpan w:val="6"/>
            <w:vAlign w:val="top"/>
          </w:tcPr>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将评标办法范本原文第3.2.3项细化如下：</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b/>
                <w:bCs/>
                <w:i w:val="0"/>
                <w:iCs w:val="0"/>
                <w:sz w:val="21"/>
                <w:szCs w:val="21"/>
                <w:highlight w:val="none"/>
              </w:rPr>
              <w:t>投标人的商务和技术得分=A+B+C</w:t>
            </w:r>
            <w:r>
              <w:rPr>
                <w:rFonts w:hint="eastAsia" w:ascii="宋体" w:hAnsi="宋体" w:eastAsia="宋体" w:cs="宋体"/>
                <w:i w:val="0"/>
                <w:iCs w:val="0"/>
                <w:sz w:val="21"/>
                <w:szCs w:val="21"/>
                <w:highlight w:val="none"/>
              </w:rPr>
              <w:t>。</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除履约信誉、技术能力得分外，投标文件各评分因素细分项得分均不应低于其权重分的60%，评分低于权重分值60%的，评标委员会成员应当在评标报告中作出说明。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取消其中1名评委所有评分的办法一（依次按照以下流程）：</w:t>
            </w:r>
          </w:p>
          <w:p>
            <w:pPr>
              <w:numPr>
                <w:ilvl w:val="0"/>
                <w:numId w:val="1"/>
              </w:num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对比上述出现技术评分总分差值最大值相等的评委的次大差值（次大差值＝某一评委技术评分</w:t>
            </w:r>
            <w:bookmarkStart w:id="2" w:name="bookmark129"/>
            <w:bookmarkEnd w:id="2"/>
            <w:r>
              <w:rPr>
                <w:rFonts w:hint="eastAsia" w:ascii="宋体" w:hAnsi="宋体" w:eastAsia="宋体" w:cs="宋体"/>
                <w:i w:val="0"/>
                <w:iCs w:val="0"/>
                <w:sz w:val="21"/>
                <w:szCs w:val="21"/>
                <w:highlight w:val="none"/>
              </w:rPr>
              <w:t>总分的最高分－该评委技术评分总分的次低分），取消次分差值最大的评委所有评分；</w:t>
            </w:r>
          </w:p>
          <w:p>
            <w:pPr>
              <w:numPr>
                <w:ilvl w:val="0"/>
                <w:numId w:val="0"/>
              </w:numPr>
              <w:bidi w:val="0"/>
              <w:spacing w:line="360" w:lineRule="auto"/>
              <w:ind w:left="280" w:left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（2）如次分差值仍相同，则按随机抽取的方式选定取消1名评委评分。</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示例:同一评委对5名投标人技术评分总分分别为:6.65（最高分)、5.88、5.11、4.90（次低分）、4.55（最低分），则其最大差值为2.1、次大差值为6.65-4.90=1.75）。取消其中1名评委所有评分的办法二：按随机抽取的方式选定取消1名评委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gridSpan w:val="2"/>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3.2.3</w:t>
            </w:r>
          </w:p>
        </w:tc>
        <w:tc>
          <w:tcPr>
            <w:tcW w:w="8085" w:type="dxa"/>
            <w:gridSpan w:val="6"/>
            <w:vAlign w:val="top"/>
          </w:tcPr>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将评标办法范本原文第3.2.3项细化如下：</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投标人的商务和技术得分=A+B+C。</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除履约信誉、技术能力得分外，投标文件各评分因素细分项得分均不应低于其权重分的60%，评分低于权重分值60%的，评标委员会成员应当在评标报告中作出说明。计算投标人技术得分时:对各评分因素细分项中取消一个最高、一个最低分后计算算术平均值的和为投标人的最终技术得分，平均值计算保留小数点后三位，小数点后第四位“四舍五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gridSpan w:val="2"/>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3.6</w:t>
            </w:r>
          </w:p>
        </w:tc>
        <w:tc>
          <w:tcPr>
            <w:tcW w:w="8085" w:type="dxa"/>
            <w:gridSpan w:val="6"/>
            <w:vAlign w:val="top"/>
          </w:tcPr>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3.6.2项（2）目末增加以下条款：</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g.当一家以上投标人评标价相同时，若各投标人工程量清单细目单价也相同，视为串标（一个标段仅一工作细目报价的除外）。</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h.广东省实施《中华人民共和国招标投标法》办法第十六条规定的情形。增加3.6.3项：</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64" w:type="dxa"/>
            <w:gridSpan w:val="2"/>
            <w:vAlign w:val="center"/>
          </w:tcPr>
          <w:p>
            <w:pPr>
              <w:bidi w:val="0"/>
              <w:spacing w:line="36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3.9</w:t>
            </w:r>
          </w:p>
        </w:tc>
        <w:tc>
          <w:tcPr>
            <w:tcW w:w="8085" w:type="dxa"/>
            <w:gridSpan w:val="6"/>
            <w:vAlign w:val="top"/>
          </w:tcPr>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增加3.9.3-3.9.7项：</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3.9.3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3.9.4通过第一个信封商务及技术文件评审的投标人少于3个的，评标委员会应否决全部投标。</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3.9.5通过第一个信封商务及技术文件评审的投标人在3个及以上的，招标人应</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3.9.6如果发生无法确定推荐中标候选人的其他意外情况，评标委员会可建议招标人重新招标。</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3.9.7本招标文件规定的否决投标条款包含在以下条款：</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（1）招标公告第3点投标人资格要求；</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（2）投标人须知1.4.3项、1.4.4项、1.4.5项、1.11.1项、1.12.2项、3.4.2项、3.5.11项、3.6.1项；</w:t>
            </w:r>
          </w:p>
          <w:p>
            <w:pPr>
              <w:bidi w:val="0"/>
              <w:spacing w:line="360" w:lineRule="auto"/>
              <w:ind w:left="0" w:leftChars="0" w:firstLine="280" w:firstLineChars="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（3）本评标办法的否决条款。</w:t>
            </w:r>
          </w:p>
        </w:tc>
      </w:tr>
    </w:tbl>
    <w:p>
      <w:pPr>
        <w:spacing w:line="268" w:lineRule="auto"/>
        <w:rPr>
          <w:rFonts w:hint="eastAsia" w:ascii="宋体" w:hAnsi="宋体" w:eastAsia="宋体" w:cs="宋体"/>
          <w:sz w:val="21"/>
          <w:highlight w:val="none"/>
        </w:rPr>
      </w:pPr>
    </w:p>
    <w:p>
      <w:pPr>
        <w:spacing w:line="268" w:lineRule="auto"/>
        <w:rPr>
          <w:rFonts w:hint="eastAsia" w:ascii="宋体" w:hAnsi="宋体" w:eastAsia="宋体" w:cs="宋体"/>
          <w:sz w:val="21"/>
          <w:highlight w:val="none"/>
        </w:rPr>
      </w:pPr>
    </w:p>
    <w:p>
      <w:pPr>
        <w:keepNext w:val="0"/>
        <w:keepLines w:val="0"/>
        <w:widowControl/>
        <w:suppressLineNumbers w:val="0"/>
        <w:jc w:val="center"/>
      </w:pPr>
      <w:r>
        <w:rPr>
          <w:rFonts w:ascii="黑体" w:hAnsi="宋体" w:eastAsia="黑体" w:cs="黑体"/>
          <w:b/>
          <w:bCs/>
          <w:snapToGrid w:val="0"/>
          <w:color w:val="000000"/>
          <w:kern w:val="0"/>
          <w:sz w:val="30"/>
          <w:szCs w:val="30"/>
          <w:lang w:val="en-US" w:eastAsia="zh-CN" w:bidi="ar"/>
        </w:rPr>
        <w:t>评标办法正文详见</w:t>
      </w:r>
    </w:p>
    <w:p>
      <w:pPr>
        <w:keepNext w:val="0"/>
        <w:keepLines w:val="0"/>
        <w:widowControl/>
        <w:suppressLineNumbers w:val="0"/>
        <w:jc w:val="center"/>
      </w:pPr>
      <w:r>
        <w:rPr>
          <w:rFonts w:hint="eastAsia" w:ascii="黑体" w:hAnsi="宋体" w:eastAsia="黑体" w:cs="黑体"/>
          <w:b/>
          <w:bCs/>
          <w:snapToGrid w:val="0"/>
          <w:color w:val="000000"/>
          <w:kern w:val="0"/>
          <w:sz w:val="30"/>
          <w:szCs w:val="30"/>
          <w:lang w:val="en-US" w:eastAsia="zh-CN" w:bidi="ar"/>
        </w:rPr>
        <w:t>交通运输部《公路工程标准施工招标文件（2018 年版）》</w:t>
      </w: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86075"/>
    <w:multiLevelType w:val="singleLevel"/>
    <w:tmpl w:val="DEC8607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2MGFiOTI0NmYxM2FkZjgyN2I1ZGY5NDFjYWM0ZTkifQ=="/>
  </w:docVars>
  <w:rsids>
    <w:rsidRoot w:val="1E415F02"/>
    <w:rsid w:val="1E415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napToGrid w:val="0"/>
      <w:spacing w:line="440" w:lineRule="atLeast"/>
      <w:ind w:firstLine="510"/>
      <w:textAlignment w:val="bottom"/>
    </w:pPr>
    <w:rPr>
      <w:rFonts w:ascii="宋体" w:hAnsi="宋体"/>
      <w:sz w:val="24"/>
      <w:szCs w:val="20"/>
    </w:rPr>
  </w:style>
  <w:style w:type="paragraph" w:styleId="3">
    <w:name w:val="Body Text"/>
    <w:basedOn w:val="1"/>
    <w:semiHidden/>
    <w:qFormat/>
    <w:uiPriority w:val="0"/>
    <w:rPr>
      <w:rFonts w:ascii="黑体" w:hAnsi="黑体" w:eastAsia="黑体" w:cs="黑体"/>
      <w:sz w:val="52"/>
      <w:szCs w:val="52"/>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2025-07-15T09:17:00Z</dcterms:created>
  <dc:creator>.+经不住逝水流年</dc:creator>
  <cp:lastModifiedBy>.+经不住逝水流年</cp:lastModifiedBy>
  <dcterms:modified xsi:type="dcterms:W3CDTF">2025-07-15T09:17:51Z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EC12F04DB0C941DD8BCAA8C8D8B2238F_11</vt:lpwstr>
  </property>
</Properties>
</file>