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0BC3A0">
      <w:pPr>
        <w:ind w:firstLine="1446" w:firstLineChars="300"/>
        <w:rPr>
          <w:rFonts w:hint="eastAsia" w:ascii="宋体" w:hAnsi="宋体" w:cs="宋体"/>
          <w:b/>
          <w:color w:val="auto"/>
          <w:kern w:val="0"/>
          <w:sz w:val="48"/>
          <w:szCs w:val="48"/>
          <w:highlight w:val="none"/>
        </w:rPr>
      </w:pPr>
    </w:p>
    <w:p w14:paraId="4EE8903B">
      <w:pPr>
        <w:pStyle w:val="19"/>
        <w:ind w:firstLine="210"/>
        <w:rPr>
          <w:rFonts w:hint="eastAsia"/>
          <w:color w:val="auto"/>
          <w:highlight w:val="none"/>
        </w:rPr>
      </w:pPr>
    </w:p>
    <w:p w14:paraId="08FBF0C4">
      <w:pPr>
        <w:ind w:firstLine="1446" w:firstLineChars="300"/>
        <w:rPr>
          <w:rFonts w:hint="eastAsia" w:ascii="宋体" w:hAnsi="宋体" w:cs="宋体"/>
          <w:b/>
          <w:color w:val="auto"/>
          <w:kern w:val="0"/>
          <w:sz w:val="48"/>
          <w:szCs w:val="48"/>
          <w:highlight w:val="none"/>
        </w:rPr>
      </w:pPr>
    </w:p>
    <w:p w14:paraId="4F8EB071">
      <w:pPr>
        <w:jc w:val="center"/>
        <w:rPr>
          <w:rFonts w:hint="eastAsia" w:ascii="宋体" w:hAnsi="宋体"/>
          <w:color w:val="auto"/>
          <w:sz w:val="28"/>
          <w:szCs w:val="28"/>
          <w:highlight w:val="none"/>
        </w:rPr>
      </w:pPr>
      <w:r>
        <w:rPr>
          <w:rFonts w:hint="eastAsia" w:ascii="宋体" w:hAnsi="宋体" w:cs="宋体"/>
          <w:b/>
          <w:bCs/>
          <w:color w:val="auto"/>
          <w:sz w:val="52"/>
          <w:szCs w:val="52"/>
          <w:highlight w:val="none"/>
          <w:lang w:eastAsia="zh-CN"/>
        </w:rPr>
        <w:t>番禺区农村自来水提质增效三年行动计划项目(北约村、秀发村、塘埗西村、南双玉村、茭东村、茭西村、塱边村、猛涌村、云星村汀沙片区)施工监理</w:t>
      </w:r>
    </w:p>
    <w:p w14:paraId="3DD1CA28">
      <w:pPr>
        <w:rPr>
          <w:rFonts w:hint="eastAsia" w:ascii="宋体" w:hAnsi="宋体"/>
          <w:color w:val="auto"/>
          <w:sz w:val="28"/>
          <w:szCs w:val="28"/>
          <w:highlight w:val="none"/>
        </w:rPr>
      </w:pPr>
    </w:p>
    <w:p w14:paraId="30C5A39A">
      <w:pPr>
        <w:rPr>
          <w:rFonts w:hint="eastAsia" w:ascii="宋体" w:hAnsi="宋体"/>
          <w:color w:val="auto"/>
          <w:sz w:val="28"/>
          <w:szCs w:val="28"/>
          <w:highlight w:val="none"/>
        </w:rPr>
      </w:pPr>
    </w:p>
    <w:p w14:paraId="7687B3CB">
      <w:pPr>
        <w:rPr>
          <w:rFonts w:hint="eastAsia" w:ascii="宋体" w:hAnsi="宋体"/>
          <w:color w:val="auto"/>
          <w:sz w:val="28"/>
          <w:szCs w:val="28"/>
          <w:highlight w:val="none"/>
        </w:rPr>
      </w:pPr>
    </w:p>
    <w:p w14:paraId="72BEA305">
      <w:pPr>
        <w:rPr>
          <w:rFonts w:hint="eastAsia" w:ascii="宋体" w:hAnsi="宋体"/>
          <w:color w:val="auto"/>
          <w:sz w:val="28"/>
          <w:szCs w:val="28"/>
          <w:highlight w:val="none"/>
        </w:rPr>
      </w:pPr>
    </w:p>
    <w:p w14:paraId="30E11D95">
      <w:pPr>
        <w:rPr>
          <w:rFonts w:hint="eastAsia" w:ascii="宋体" w:hAnsi="宋体"/>
          <w:color w:val="auto"/>
          <w:sz w:val="28"/>
          <w:szCs w:val="28"/>
          <w:highlight w:val="none"/>
        </w:rPr>
      </w:pPr>
    </w:p>
    <w:p w14:paraId="1BACFC8B">
      <w:pPr>
        <w:pStyle w:val="19"/>
        <w:ind w:firstLine="210"/>
        <w:rPr>
          <w:rFonts w:hint="eastAsia"/>
          <w:color w:val="auto"/>
          <w:highlight w:val="none"/>
        </w:rPr>
      </w:pPr>
    </w:p>
    <w:p w14:paraId="48D30E4B">
      <w:pPr>
        <w:pStyle w:val="19"/>
        <w:ind w:firstLine="210"/>
        <w:rPr>
          <w:rFonts w:hint="eastAsia"/>
          <w:color w:val="auto"/>
          <w:highlight w:val="none"/>
        </w:rPr>
      </w:pPr>
    </w:p>
    <w:p w14:paraId="4CE4679C">
      <w:pPr>
        <w:pStyle w:val="19"/>
        <w:ind w:firstLine="210"/>
        <w:rPr>
          <w:color w:val="auto"/>
          <w:highlight w:val="none"/>
        </w:rPr>
      </w:pPr>
    </w:p>
    <w:p w14:paraId="5A85562F">
      <w:pPr>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rPr>
        <w:t>招标</w:t>
      </w:r>
      <w:r>
        <w:rPr>
          <w:rFonts w:hint="eastAsia" w:ascii="宋体" w:hAnsi="宋体"/>
          <w:b/>
          <w:color w:val="auto"/>
          <w:sz w:val="84"/>
          <w:szCs w:val="84"/>
          <w:highlight w:val="none"/>
          <w:lang w:val="en-US" w:eastAsia="zh-CN"/>
        </w:rPr>
        <w:t>公告</w:t>
      </w:r>
    </w:p>
    <w:p w14:paraId="6E955C9C">
      <w:pPr>
        <w:rPr>
          <w:rFonts w:ascii="宋体" w:hAnsi="宋体"/>
          <w:color w:val="auto"/>
          <w:sz w:val="28"/>
          <w:szCs w:val="28"/>
          <w:highlight w:val="none"/>
        </w:rPr>
      </w:pPr>
    </w:p>
    <w:p w14:paraId="1D20EB40">
      <w:pPr>
        <w:rPr>
          <w:rFonts w:hint="eastAsia" w:ascii="宋体" w:hAnsi="宋体"/>
          <w:color w:val="auto"/>
          <w:sz w:val="28"/>
          <w:szCs w:val="28"/>
          <w:highlight w:val="none"/>
        </w:rPr>
      </w:pPr>
    </w:p>
    <w:p w14:paraId="206F75E9">
      <w:pPr>
        <w:rPr>
          <w:rFonts w:ascii="宋体" w:hAnsi="宋体"/>
          <w:color w:val="auto"/>
          <w:sz w:val="28"/>
          <w:szCs w:val="28"/>
          <w:highlight w:val="none"/>
        </w:rPr>
      </w:pPr>
    </w:p>
    <w:p w14:paraId="08E7DCBB">
      <w:pPr>
        <w:rPr>
          <w:rFonts w:hint="eastAsia" w:ascii="宋体" w:hAnsi="宋体"/>
          <w:color w:val="auto"/>
          <w:sz w:val="28"/>
          <w:szCs w:val="28"/>
          <w:highlight w:val="none"/>
        </w:rPr>
      </w:pPr>
    </w:p>
    <w:p w14:paraId="4A40C819">
      <w:pPr>
        <w:pStyle w:val="19"/>
        <w:ind w:firstLine="210"/>
        <w:rPr>
          <w:rFonts w:hint="eastAsia"/>
          <w:color w:val="auto"/>
          <w:highlight w:val="none"/>
        </w:rPr>
      </w:pPr>
    </w:p>
    <w:p w14:paraId="43A5902E">
      <w:pPr>
        <w:rPr>
          <w:rFonts w:ascii="宋体" w:hAnsi="宋体"/>
          <w:color w:val="auto"/>
          <w:sz w:val="28"/>
          <w:szCs w:val="28"/>
          <w:highlight w:val="none"/>
        </w:rPr>
      </w:pPr>
    </w:p>
    <w:p w14:paraId="3D560318">
      <w:pPr>
        <w:rPr>
          <w:rFonts w:ascii="宋体" w:hAnsi="宋体"/>
          <w:color w:val="auto"/>
          <w:sz w:val="28"/>
          <w:szCs w:val="28"/>
          <w:highlight w:val="none"/>
        </w:rPr>
      </w:pPr>
    </w:p>
    <w:p w14:paraId="1CE90ACB">
      <w:pPr>
        <w:spacing w:line="480" w:lineRule="auto"/>
        <w:rPr>
          <w:rFonts w:ascii="宋体" w:hAnsi="宋体"/>
          <w:color w:val="auto"/>
          <w:sz w:val="28"/>
          <w:szCs w:val="28"/>
          <w:highlight w:val="none"/>
        </w:rPr>
      </w:pPr>
    </w:p>
    <w:p w14:paraId="50AC2D0F">
      <w:pPr>
        <w:spacing w:line="360" w:lineRule="auto"/>
        <w:ind w:firstLine="900" w:firstLineChars="300"/>
        <w:rPr>
          <w:rFonts w:hint="eastAsia" w:ascii="宋体" w:hAnsi="宋体" w:eastAsia="宋体" w:cs="宋体"/>
          <w:sz w:val="30"/>
          <w:u w:val="single"/>
          <w:lang w:eastAsia="zh-CN"/>
        </w:rPr>
      </w:pPr>
      <w:r>
        <w:rPr>
          <w:rFonts w:hint="eastAsia" w:ascii="宋体" w:hAnsi="宋体" w:cs="宋体"/>
          <w:sz w:val="30"/>
        </w:rPr>
        <w:t>招  标 单 位：</w:t>
      </w:r>
      <w:r>
        <w:rPr>
          <w:rFonts w:hint="eastAsia" w:ascii="宋体" w:hAnsi="宋体" w:cs="宋体"/>
          <w:sz w:val="30"/>
          <w:u w:val="single"/>
          <w:lang w:eastAsia="zh-CN"/>
        </w:rPr>
        <w:t>广州市番禺水务股份有限公司</w:t>
      </w:r>
    </w:p>
    <w:p w14:paraId="15DB7F4C">
      <w:pPr>
        <w:spacing w:line="360" w:lineRule="auto"/>
        <w:ind w:firstLine="945"/>
        <w:rPr>
          <w:rFonts w:hint="eastAsia" w:ascii="宋体" w:hAnsi="宋体" w:eastAsia="宋体" w:cs="宋体"/>
          <w:sz w:val="30"/>
          <w:u w:val="single"/>
          <w:lang w:eastAsia="zh-CN"/>
        </w:rPr>
      </w:pPr>
      <w:r>
        <w:rPr>
          <w:rFonts w:hint="eastAsia" w:ascii="宋体" w:hAnsi="宋体" w:cs="宋体"/>
          <w:sz w:val="30"/>
        </w:rPr>
        <w:t>招标代理单位：</w:t>
      </w:r>
      <w:r>
        <w:rPr>
          <w:rFonts w:hint="eastAsia" w:ascii="宋体" w:hAnsi="宋体" w:cs="宋体"/>
          <w:sz w:val="30"/>
          <w:u w:val="single"/>
          <w:lang w:eastAsia="zh-CN"/>
        </w:rPr>
        <w:t>广东创达工程技术有限公司</w:t>
      </w:r>
    </w:p>
    <w:p w14:paraId="31E4BF6B">
      <w:pPr>
        <w:pStyle w:val="17"/>
        <w:ind w:firstLine="960" w:firstLineChars="300"/>
        <w:rPr>
          <w:rFonts w:hint="eastAsia" w:ascii="宋体" w:hAnsi="宋体"/>
          <w:b/>
          <w:color w:val="auto"/>
          <w:sz w:val="32"/>
          <w:szCs w:val="32"/>
          <w:highlight w:val="none"/>
        </w:rPr>
        <w:sectPr>
          <w:headerReference r:id="rId3" w:type="default"/>
          <w:footerReference r:id="rId4" w:type="default"/>
          <w:pgSz w:w="11905" w:h="16838"/>
          <w:pgMar w:top="1134" w:right="1134" w:bottom="1134" w:left="1134" w:header="720" w:footer="720" w:gutter="0"/>
          <w:pgNumType w:start="0"/>
          <w:cols w:space="0" w:num="1"/>
          <w:rtlGutter w:val="0"/>
          <w:docGrid w:linePitch="312" w:charSpace="0"/>
        </w:sectPr>
      </w:pPr>
      <w:r>
        <w:rPr>
          <w:rFonts w:hint="eastAsia" w:ascii="宋体" w:hAnsi="宋体" w:cs="宋体"/>
          <w:sz w:val="32"/>
        </w:rPr>
        <w:t>日       期：</w:t>
      </w:r>
      <w:r>
        <w:rPr>
          <w:rFonts w:hint="eastAsia" w:ascii="宋体" w:hAnsi="宋体" w:cs="宋体"/>
          <w:sz w:val="32"/>
          <w:u w:val="single"/>
        </w:rPr>
        <w:t>202</w:t>
      </w:r>
      <w:r>
        <w:rPr>
          <w:rFonts w:hint="eastAsia" w:cs="宋体"/>
          <w:sz w:val="32"/>
          <w:u w:val="single"/>
          <w:lang w:val="en-US" w:eastAsia="zh-CN"/>
        </w:rPr>
        <w:t>5</w:t>
      </w:r>
      <w:r>
        <w:rPr>
          <w:rFonts w:hint="eastAsia" w:ascii="宋体" w:hAnsi="宋体" w:cs="宋体"/>
          <w:sz w:val="32"/>
          <w:u w:val="single"/>
        </w:rPr>
        <w:t>年</w:t>
      </w:r>
      <w:r>
        <w:rPr>
          <w:rFonts w:hint="eastAsia" w:cs="宋体"/>
          <w:sz w:val="32"/>
          <w:u w:val="single"/>
          <w:lang w:val="en-US" w:eastAsia="zh-CN"/>
        </w:rPr>
        <w:t>7</w:t>
      </w:r>
      <w:r>
        <w:rPr>
          <w:rFonts w:hint="eastAsia" w:ascii="宋体" w:hAnsi="宋体" w:cs="宋体"/>
          <w:sz w:val="32"/>
          <w:u w:val="single"/>
        </w:rPr>
        <w:t>月</w:t>
      </w:r>
    </w:p>
    <w:p w14:paraId="793274F8">
      <w:pPr>
        <w:spacing w:beforeLines="100" w:afterLines="100" w:line="360" w:lineRule="auto"/>
        <w:jc w:val="center"/>
        <w:rPr>
          <w:rFonts w:hint="default"/>
          <w:b/>
          <w:color w:val="auto"/>
          <w:sz w:val="30"/>
          <w:szCs w:val="24"/>
          <w:highlight w:val="none"/>
        </w:rPr>
      </w:pPr>
      <w:r>
        <w:rPr>
          <w:rFonts w:hint="eastAsia" w:asciiTheme="minorEastAsia" w:hAnsiTheme="minorEastAsia" w:eastAsiaTheme="minorEastAsia" w:cstheme="minorEastAsia"/>
          <w:b/>
          <w:color w:val="auto"/>
          <w:sz w:val="30"/>
          <w:szCs w:val="24"/>
          <w:highlight w:val="none"/>
          <w:u w:val="single"/>
          <w:lang w:val="en-US" w:eastAsia="zh-CN"/>
        </w:rPr>
        <w:t>番禺区农村自来水提质增效三年行动计划项目(北约村、秀发村、塘埗西村、南双玉村、茭东村、茭西村、塱边村、猛涌村、云星村汀沙片区)施工监理</w:t>
      </w:r>
      <w:r>
        <w:rPr>
          <w:rFonts w:hint="default" w:ascii="宋体" w:hAnsi="Times New Roman" w:eastAsia="宋体"/>
          <w:b/>
          <w:color w:val="auto"/>
          <w:sz w:val="30"/>
          <w:szCs w:val="24"/>
          <w:highlight w:val="none"/>
        </w:rPr>
        <w:t>招标公告</w:t>
      </w:r>
    </w:p>
    <w:p w14:paraId="2D043F6C">
      <w:pPr>
        <w:pStyle w:val="11"/>
        <w:kinsoku w:val="0"/>
        <w:overflowPunct w:val="0"/>
        <w:ind w:left="0"/>
        <w:rPr>
          <w:rFonts w:hint="default"/>
          <w:color w:val="auto"/>
          <w:sz w:val="20"/>
          <w:szCs w:val="24"/>
          <w:highlight w:val="none"/>
        </w:rPr>
      </w:pPr>
    </w:p>
    <w:p w14:paraId="59ED1239">
      <w:pPr>
        <w:pStyle w:val="5"/>
        <w:outlineLvl w:val="1"/>
        <w:rPr>
          <w:rFonts w:hint="eastAsia" w:ascii="Microsoft JhengHei" w:eastAsia="Microsoft JhengHei"/>
          <w:b w:val="0"/>
          <w:color w:val="auto"/>
          <w:sz w:val="24"/>
          <w:szCs w:val="24"/>
          <w:highlight w:val="none"/>
        </w:rPr>
      </w:pPr>
      <w:bookmarkStart w:id="0" w:name="bookmark2"/>
      <w:bookmarkEnd w:id="0"/>
      <w:bookmarkStart w:id="1" w:name="_Toc14009"/>
      <w:r>
        <w:rPr>
          <w:rFonts w:hint="default" w:cs="宋体"/>
          <w:color w:val="auto"/>
          <w:sz w:val="24"/>
          <w:szCs w:val="24"/>
          <w:highlight w:val="none"/>
        </w:rPr>
        <w:t>1.招标条件</w:t>
      </w:r>
      <w:bookmarkEnd w:id="1"/>
    </w:p>
    <w:p w14:paraId="23E544C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olor w:val="auto"/>
          <w:sz w:val="24"/>
          <w:szCs w:val="24"/>
          <w:highlight w:val="none"/>
        </w:rPr>
      </w:pPr>
      <w:r>
        <w:rPr>
          <w:rFonts w:hint="default"/>
          <w:color w:val="auto"/>
          <w:sz w:val="24"/>
          <w:szCs w:val="24"/>
          <w:highlight w:val="none"/>
        </w:rPr>
        <w:t>本招标项目</w:t>
      </w:r>
      <w:r>
        <w:rPr>
          <w:rFonts w:hint="eastAsia"/>
          <w:color w:val="auto"/>
          <w:sz w:val="24"/>
          <w:szCs w:val="24"/>
          <w:highlight w:val="none"/>
          <w:u w:val="single"/>
          <w:lang w:eastAsia="zh-CN"/>
        </w:rPr>
        <w:t>番禺区农村自来水提质增效三年行动计划项目(北约村、秀发村、塘埗西村、南双玉村、茭东村、茭西村、塱边村、猛涌村、云星村汀沙片区)施工监理</w:t>
      </w:r>
      <w:r>
        <w:rPr>
          <w:rFonts w:hint="default"/>
          <w:color w:val="auto"/>
          <w:spacing w:val="-1"/>
          <w:sz w:val="24"/>
          <w:szCs w:val="24"/>
          <w:highlight w:val="none"/>
        </w:rPr>
        <w:t>（项目名称）已由</w:t>
      </w:r>
      <w:r>
        <w:rPr>
          <w:rFonts w:hint="eastAsia"/>
          <w:color w:val="auto"/>
          <w:spacing w:val="-1"/>
          <w:sz w:val="24"/>
          <w:szCs w:val="24"/>
          <w:highlight w:val="none"/>
          <w:u w:val="single"/>
          <w:lang w:val="en-US" w:eastAsia="zh-CN"/>
        </w:rPr>
        <w:t>①</w:t>
      </w:r>
      <w:r>
        <w:rPr>
          <w:rFonts w:hint="eastAsia" w:cs="宋体"/>
          <w:color w:val="auto"/>
          <w:sz w:val="24"/>
          <w:szCs w:val="24"/>
          <w:highlight w:val="none"/>
          <w:u w:val="single"/>
          <w:lang w:eastAsia="zh-CN"/>
        </w:rPr>
        <w:t>2501-440113-04-01-313962；</w:t>
      </w:r>
      <w:r>
        <w:rPr>
          <w:rFonts w:hint="eastAsia" w:cs="宋体"/>
          <w:color w:val="auto"/>
          <w:sz w:val="24"/>
          <w:szCs w:val="24"/>
          <w:highlight w:val="none"/>
          <w:u w:val="single"/>
          <w:lang w:val="en-US" w:eastAsia="zh-CN"/>
        </w:rPr>
        <w:t>②2411-440113-04-01-379535；③2501-440113-04-01-719264；④2411-440113-04-01-132820；⑤2411-440113-04-01-283392；⑥2412-440113-04-01-818621；⑦2412-440113-04-01-639893；⑧2412-440113-04-01-955591；⑨2501-440113-04-01-228098</w:t>
      </w:r>
      <w:r>
        <w:rPr>
          <w:rFonts w:hint="default"/>
          <w:color w:val="auto"/>
          <w:spacing w:val="-4"/>
          <w:sz w:val="24"/>
          <w:szCs w:val="24"/>
          <w:highlight w:val="none"/>
        </w:rPr>
        <w:t>批准建设，项目业主为</w:t>
      </w:r>
      <w:r>
        <w:rPr>
          <w:rFonts w:hint="eastAsia"/>
          <w:color w:val="auto"/>
          <w:spacing w:val="-4"/>
          <w:sz w:val="24"/>
          <w:szCs w:val="24"/>
          <w:highlight w:val="none"/>
          <w:u w:val="single"/>
          <w:lang w:eastAsia="zh-CN"/>
        </w:rPr>
        <w:t>广州市番禺水务股份有限公司</w:t>
      </w:r>
      <w:r>
        <w:rPr>
          <w:rFonts w:hint="default"/>
          <w:color w:val="auto"/>
          <w:spacing w:val="-4"/>
          <w:sz w:val="24"/>
          <w:szCs w:val="24"/>
          <w:highlight w:val="none"/>
        </w:rPr>
        <w:t>，建设资金来自</w:t>
      </w:r>
      <w:r>
        <w:rPr>
          <w:rFonts w:hint="default"/>
          <w:color w:val="auto"/>
          <w:spacing w:val="-4"/>
          <w:sz w:val="24"/>
          <w:szCs w:val="24"/>
          <w:highlight w:val="none"/>
          <w:u w:val="single"/>
        </w:rPr>
        <w:t>自筹资金</w:t>
      </w:r>
      <w:r>
        <w:rPr>
          <w:rFonts w:hint="default"/>
          <w:color w:val="auto"/>
          <w:spacing w:val="-4"/>
          <w:sz w:val="24"/>
          <w:szCs w:val="24"/>
          <w:highlight w:val="none"/>
        </w:rPr>
        <w:t>，资金来源已落实，项目出资比例为</w:t>
      </w:r>
      <w:r>
        <w:rPr>
          <w:rFonts w:hint="default"/>
          <w:color w:val="auto"/>
          <w:spacing w:val="-4"/>
          <w:sz w:val="24"/>
          <w:szCs w:val="24"/>
          <w:highlight w:val="none"/>
          <w:u w:val="single"/>
        </w:rPr>
        <w:t>100%</w:t>
      </w:r>
      <w:r>
        <w:rPr>
          <w:rFonts w:hint="default"/>
          <w:color w:val="auto"/>
          <w:spacing w:val="-4"/>
          <w:sz w:val="24"/>
          <w:szCs w:val="24"/>
          <w:highlight w:val="none"/>
        </w:rPr>
        <w:t>, 招标人</w:t>
      </w:r>
      <w:r>
        <w:rPr>
          <w:rFonts w:hint="default"/>
          <w:color w:val="auto"/>
          <w:spacing w:val="-4"/>
          <w:sz w:val="24"/>
          <w:szCs w:val="24"/>
          <w:highlight w:val="none"/>
          <w:u w:val="none"/>
        </w:rPr>
        <w:t>为</w:t>
      </w:r>
      <w:r>
        <w:rPr>
          <w:rFonts w:hint="eastAsia"/>
          <w:color w:val="auto"/>
          <w:spacing w:val="-4"/>
          <w:sz w:val="24"/>
          <w:szCs w:val="24"/>
          <w:highlight w:val="none"/>
          <w:u w:val="single"/>
          <w:lang w:eastAsia="zh-CN"/>
        </w:rPr>
        <w:t>广州市番禺水务股份有限公司</w:t>
      </w:r>
      <w:r>
        <w:rPr>
          <w:rFonts w:hint="default"/>
          <w:color w:val="auto"/>
          <w:spacing w:val="-4"/>
          <w:sz w:val="24"/>
          <w:szCs w:val="24"/>
          <w:highlight w:val="none"/>
        </w:rPr>
        <w:t>。项目已具备招标条件，现对该项目</w:t>
      </w:r>
      <w:r>
        <w:rPr>
          <w:rFonts w:hint="eastAsia"/>
          <w:color w:val="auto"/>
          <w:spacing w:val="-4"/>
          <w:sz w:val="24"/>
          <w:szCs w:val="24"/>
          <w:highlight w:val="none"/>
          <w:u w:val="single"/>
          <w:lang w:val="en-US" w:eastAsia="zh-CN"/>
        </w:rPr>
        <w:t>施工监理</w:t>
      </w:r>
      <w:r>
        <w:rPr>
          <w:rFonts w:hint="default"/>
          <w:color w:val="auto"/>
          <w:spacing w:val="-4"/>
          <w:sz w:val="24"/>
          <w:szCs w:val="24"/>
          <w:highlight w:val="none"/>
        </w:rPr>
        <w:t>进行公开招标</w:t>
      </w:r>
      <w:r>
        <w:rPr>
          <w:rFonts w:hint="default"/>
          <w:color w:val="auto"/>
          <w:sz w:val="24"/>
          <w:szCs w:val="24"/>
          <w:highlight w:val="none"/>
        </w:rPr>
        <w:t>。</w:t>
      </w:r>
    </w:p>
    <w:p w14:paraId="3F51ED39">
      <w:pPr>
        <w:pStyle w:val="5"/>
        <w:outlineLvl w:val="1"/>
        <w:rPr>
          <w:rFonts w:hint="default" w:cs="宋体"/>
          <w:color w:val="auto"/>
          <w:sz w:val="24"/>
          <w:szCs w:val="24"/>
          <w:highlight w:val="none"/>
        </w:rPr>
      </w:pPr>
      <w:bookmarkStart w:id="2" w:name="bookmark3"/>
      <w:bookmarkEnd w:id="2"/>
      <w:bookmarkStart w:id="3" w:name="_Toc20903"/>
      <w:r>
        <w:rPr>
          <w:rFonts w:hint="default" w:cs="宋体"/>
          <w:color w:val="auto"/>
          <w:sz w:val="24"/>
          <w:szCs w:val="24"/>
          <w:highlight w:val="none"/>
        </w:rPr>
        <w:t>2.项目概况与招标范围</w:t>
      </w:r>
      <w:bookmarkEnd w:id="3"/>
    </w:p>
    <w:p w14:paraId="0295821F">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4" w:name="_Toc17345"/>
      <w:r>
        <w:rPr>
          <w:rFonts w:hint="default"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招标项目概况</w:t>
      </w:r>
      <w:bookmarkEnd w:id="4"/>
    </w:p>
    <w:p w14:paraId="255A270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2.1.1招标项目名称：</w:t>
      </w:r>
      <w:r>
        <w:rPr>
          <w:rFonts w:hint="eastAsia" w:asciiTheme="minorEastAsia" w:hAnsiTheme="minorEastAsia" w:eastAsiaTheme="minorEastAsia" w:cstheme="minorEastAsia"/>
          <w:color w:val="auto"/>
          <w:sz w:val="24"/>
          <w:szCs w:val="24"/>
          <w:highlight w:val="none"/>
          <w:u w:val="single"/>
          <w:lang w:val="en-US" w:eastAsia="zh-CN"/>
        </w:rPr>
        <w:t xml:space="preserve">番禺区农村自来水提质增效三年行动计划项目(北约村、秀发村、塘埗西村、南双玉村、茭东村、茭西村、塱边村、猛涌村、云星村汀沙片区)施工监理 </w:t>
      </w:r>
      <w:r>
        <w:rPr>
          <w:rFonts w:hint="eastAsia" w:asciiTheme="minorEastAsia" w:hAnsiTheme="minorEastAsia" w:eastAsiaTheme="minorEastAsia" w:cstheme="minorEastAsia"/>
          <w:color w:val="auto"/>
          <w:sz w:val="24"/>
          <w:szCs w:val="24"/>
          <w:highlight w:val="none"/>
          <w:lang w:val="en-US" w:eastAsia="zh-CN"/>
        </w:rPr>
        <w:t xml:space="preserve"> </w:t>
      </w:r>
    </w:p>
    <w:p w14:paraId="4E2D3A5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2.1.2工程建设地点：</w:t>
      </w:r>
      <w:r>
        <w:rPr>
          <w:rFonts w:hint="eastAsia" w:asciiTheme="minorEastAsia" w:hAnsiTheme="minorEastAsia" w:eastAsiaTheme="minorEastAsia" w:cstheme="minorEastAsia"/>
          <w:color w:val="auto"/>
          <w:sz w:val="24"/>
          <w:szCs w:val="24"/>
          <w:highlight w:val="none"/>
          <w:u w:val="single"/>
          <w:lang w:val="en-US" w:eastAsia="zh-CN"/>
        </w:rPr>
        <w:t>广州市番禺区</w:t>
      </w:r>
      <w:r>
        <w:rPr>
          <w:rFonts w:hint="eastAsia" w:asciiTheme="minorEastAsia" w:hAnsiTheme="minorEastAsia" w:eastAsiaTheme="minorEastAsia" w:cstheme="minorEastAsia"/>
          <w:color w:val="auto"/>
          <w:sz w:val="24"/>
          <w:szCs w:val="24"/>
          <w:highlight w:val="none"/>
          <w:lang w:val="en-US" w:eastAsia="zh-CN"/>
        </w:rPr>
        <w:t xml:space="preserve"> </w:t>
      </w:r>
    </w:p>
    <w:p w14:paraId="7AC2311B">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2.1.3工程建设规模：</w:t>
      </w:r>
      <w:r>
        <w:rPr>
          <w:rFonts w:hint="eastAsia" w:asciiTheme="minorEastAsia" w:hAnsiTheme="minorEastAsia" w:eastAsiaTheme="minorEastAsia" w:cstheme="minorEastAsia"/>
          <w:color w:val="auto"/>
          <w:sz w:val="24"/>
          <w:szCs w:val="24"/>
          <w:highlight w:val="none"/>
          <w:u w:val="single"/>
        </w:rPr>
        <w:t>本项目为合并招标</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本工程主要对北约村、秀发村、塘埗西村、南双玉村、茭东村、茭西村、塱边村、猛涌村、云星村汀沙片区范围内给水管道及设施进行提质增效改造，主要工程内容包括：</w:t>
      </w:r>
    </w:p>
    <w:p w14:paraId="4DFEFD62">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（1）番禺区农村自来水提质增效三年行动计划项目（北约村）施工改造给水管约9.246km，管径DN15-DN200；</w:t>
      </w:r>
    </w:p>
    <w:p w14:paraId="48ECAA24">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（2）番禺区农村自来水提质增效三年行动计划项目（秀发村）施工改造给水管约14.363km，管径DN15-DN300；</w:t>
      </w:r>
    </w:p>
    <w:p w14:paraId="3690873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（3）番禺区农村自来水提质增效三年行动计划项目（塘埗西村）施工改造给水管约14.764km，管径DN20-DN300；</w:t>
      </w:r>
    </w:p>
    <w:p w14:paraId="3215CF1D">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（4）番禺区农村自来水提质增效三年行动计划项目（南双玉村）施工改造给水管约16.22km，管径DN15-DN300；</w:t>
      </w:r>
    </w:p>
    <w:p w14:paraId="035E9291">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（5）番禺区农村自来水提质增效三年行动计划项目（茭东村）施工改造给水管约16.992km，管径DN15-DN200；</w:t>
      </w:r>
    </w:p>
    <w:p w14:paraId="53FC6119">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（6）番禺区农村自来水提质增效三年行动计划项目（茭西村）施工改造给水管约17.075km，管径DN15-DN150；</w:t>
      </w:r>
    </w:p>
    <w:p w14:paraId="12AFEE1A">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（7）番禺区农村自来水提质增效三年行动计划项目（塱边村）施工改造给水管约10.328km，管径DN15-DN300；</w:t>
      </w:r>
    </w:p>
    <w:p w14:paraId="01C5D303">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（8）番禺区农村自来水提质增效三年行动计划项目（猛涌村）施工改造给水管约9.427km，管径DN20-DN200；</w:t>
      </w:r>
    </w:p>
    <w:p w14:paraId="730CE0B0">
      <w:pPr>
        <w:keepNext w:val="0"/>
        <w:keepLines w:val="0"/>
        <w:pageBreakBefore w:val="0"/>
        <w:widowControl w:val="0"/>
        <w:numPr>
          <w:ilvl w:val="0"/>
          <w:numId w:val="0"/>
        </w:numPr>
        <w:tabs>
          <w:tab w:val="left" w:pos="7513"/>
        </w:tabs>
        <w:kinsoku/>
        <w:wordWrap/>
        <w:overflowPunct/>
        <w:topLinePunct w:val="0"/>
        <w:autoSpaceDE w:val="0"/>
        <w:autoSpaceDN w:val="0"/>
        <w:bidi w:val="0"/>
        <w:adjustRightInd w:val="0"/>
        <w:snapToGrid/>
        <w:spacing w:line="360" w:lineRule="auto"/>
        <w:ind w:firstLine="424" w:firstLineChars="177"/>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highlight w:val="none"/>
          <w:u w:val="single"/>
          <w:lang w:val="en-US" w:eastAsia="zh-CN"/>
        </w:rPr>
        <w:t>（9）番禺区农村自来水提质增效三年行动计划项目（云星村汀沙片区村）施工改造给水管约13.703km，管径DN15-DN300。</w:t>
      </w:r>
    </w:p>
    <w:p w14:paraId="23E5C1C6">
      <w:pPr>
        <w:keepNext w:val="0"/>
        <w:keepLines w:val="0"/>
        <w:pageBreakBefore w:val="0"/>
        <w:widowControl w:val="0"/>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val="en-US" w:eastAsia="zh-CN"/>
        </w:rPr>
        <w:t>2.1.4工程建安费：</w:t>
      </w:r>
    </w:p>
    <w:p w14:paraId="2D7D1FA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u w:val="single"/>
          <w:lang w:eastAsia="zh-CN"/>
        </w:rPr>
        <w:t>（1）</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番禺区农村自来水提质增效三年行动计划项目（北约村）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369万</w:t>
      </w:r>
      <w:r>
        <w:rPr>
          <w:rFonts w:hint="eastAsia" w:asciiTheme="minorEastAsia" w:hAnsiTheme="minorEastAsia" w:eastAsiaTheme="minorEastAsia" w:cstheme="minorEastAsia"/>
          <w:color w:val="auto"/>
          <w:sz w:val="24"/>
          <w:szCs w:val="24"/>
          <w:highlight w:val="none"/>
          <w:u w:val="single"/>
          <w:lang w:eastAsia="zh-CN"/>
        </w:rPr>
        <w:t>元；</w:t>
      </w:r>
    </w:p>
    <w:p w14:paraId="63CB2C4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（2）</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番禺区农村自来水提质增效三年行动计划项目（秀发村）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388万</w:t>
      </w:r>
      <w:r>
        <w:rPr>
          <w:rFonts w:hint="eastAsia" w:asciiTheme="minorEastAsia" w:hAnsiTheme="minorEastAsia" w:eastAsiaTheme="minorEastAsia" w:cstheme="minorEastAsia"/>
          <w:color w:val="auto"/>
          <w:sz w:val="24"/>
          <w:szCs w:val="24"/>
          <w:highlight w:val="none"/>
          <w:u w:val="single"/>
          <w:lang w:eastAsia="zh-CN"/>
        </w:rPr>
        <w:t>元；</w:t>
      </w:r>
    </w:p>
    <w:p w14:paraId="5DA2644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（3）</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番禺区农村自来水提质增效三年行动计划项目（塘埗西村）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388万</w:t>
      </w:r>
      <w:r>
        <w:rPr>
          <w:rFonts w:hint="eastAsia" w:asciiTheme="minorEastAsia" w:hAnsiTheme="minorEastAsia" w:eastAsiaTheme="minorEastAsia" w:cstheme="minorEastAsia"/>
          <w:color w:val="auto"/>
          <w:sz w:val="24"/>
          <w:szCs w:val="24"/>
          <w:highlight w:val="none"/>
          <w:u w:val="single"/>
          <w:lang w:eastAsia="zh-CN"/>
        </w:rPr>
        <w:t>元；</w:t>
      </w:r>
    </w:p>
    <w:p w14:paraId="3A33C4E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（4）</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番禺区农村自来水提质增效三年行动计划项目（南双玉村）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389万</w:t>
      </w:r>
      <w:r>
        <w:rPr>
          <w:rFonts w:hint="eastAsia" w:asciiTheme="minorEastAsia" w:hAnsiTheme="minorEastAsia" w:eastAsiaTheme="minorEastAsia" w:cstheme="minorEastAsia"/>
          <w:color w:val="auto"/>
          <w:sz w:val="24"/>
          <w:szCs w:val="24"/>
          <w:highlight w:val="none"/>
          <w:u w:val="single"/>
          <w:lang w:eastAsia="zh-CN"/>
        </w:rPr>
        <w:t>元；</w:t>
      </w:r>
    </w:p>
    <w:p w14:paraId="2213944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（5）</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番禺区农村自来水提质增效三年行动计划项目（茭东村）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382万</w:t>
      </w:r>
      <w:r>
        <w:rPr>
          <w:rFonts w:hint="eastAsia" w:asciiTheme="minorEastAsia" w:hAnsiTheme="minorEastAsia" w:eastAsiaTheme="minorEastAsia" w:cstheme="minorEastAsia"/>
          <w:color w:val="auto"/>
          <w:sz w:val="24"/>
          <w:szCs w:val="24"/>
          <w:highlight w:val="none"/>
          <w:u w:val="single"/>
          <w:lang w:eastAsia="zh-CN"/>
        </w:rPr>
        <w:t>元；</w:t>
      </w:r>
    </w:p>
    <w:p w14:paraId="42AE229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（6）</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番禺区农村自来水提质增效三年行动计划项目（茭西村）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387万</w:t>
      </w:r>
      <w:r>
        <w:rPr>
          <w:rFonts w:hint="eastAsia" w:asciiTheme="minorEastAsia" w:hAnsiTheme="minorEastAsia" w:eastAsiaTheme="minorEastAsia" w:cstheme="minorEastAsia"/>
          <w:color w:val="auto"/>
          <w:sz w:val="24"/>
          <w:szCs w:val="24"/>
          <w:highlight w:val="none"/>
          <w:u w:val="single"/>
          <w:lang w:eastAsia="zh-CN"/>
        </w:rPr>
        <w:t>元；</w:t>
      </w:r>
    </w:p>
    <w:p w14:paraId="5B65CCC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（7）</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番禺区农村自来水提质增效三年行动计划项目（塱边村）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274万</w:t>
      </w:r>
      <w:r>
        <w:rPr>
          <w:rFonts w:hint="eastAsia" w:asciiTheme="minorEastAsia" w:hAnsiTheme="minorEastAsia" w:eastAsiaTheme="minorEastAsia" w:cstheme="minorEastAsia"/>
          <w:color w:val="auto"/>
          <w:sz w:val="24"/>
          <w:szCs w:val="24"/>
          <w:highlight w:val="none"/>
          <w:u w:val="single"/>
          <w:lang w:eastAsia="zh-CN"/>
        </w:rPr>
        <w:t>元；</w:t>
      </w:r>
    </w:p>
    <w:p w14:paraId="620D17D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（8）</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番禺区农村自来水提质增效三年行动计划项目（猛涌村）</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304万</w:t>
      </w:r>
      <w:r>
        <w:rPr>
          <w:rFonts w:hint="eastAsia" w:asciiTheme="minorEastAsia" w:hAnsiTheme="minorEastAsia" w:eastAsiaTheme="minorEastAsia" w:cstheme="minorEastAsia"/>
          <w:color w:val="auto"/>
          <w:sz w:val="24"/>
          <w:szCs w:val="24"/>
          <w:highlight w:val="none"/>
          <w:u w:val="single"/>
          <w:lang w:eastAsia="zh-CN"/>
        </w:rPr>
        <w:t>元；</w:t>
      </w:r>
    </w:p>
    <w:p w14:paraId="1460AEB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（9）</w:t>
      </w:r>
      <w:r>
        <w:rPr>
          <w:rFonts w:hint="eastAsia" w:asciiTheme="minorEastAsia" w:hAnsiTheme="minorEastAsia" w:eastAsiaTheme="minorEastAsia" w:cstheme="minorEastAsia"/>
          <w:color w:val="auto"/>
          <w:sz w:val="24"/>
          <w:szCs w:val="24"/>
          <w:highlight w:val="none"/>
          <w:u w:val="single"/>
          <w:lang w:eastAsia="zh-CN"/>
        </w:rPr>
        <w:t>番禺区农村自来水提质增效三年行动计划项目（云星村汀沙片区）</w:t>
      </w:r>
      <w:r>
        <w:rPr>
          <w:rFonts w:hint="eastAsia" w:asciiTheme="minorEastAsia" w:hAnsiTheme="minorEastAsia" w:eastAsiaTheme="minorEastAsia" w:cstheme="minorEastAsia"/>
          <w:color w:val="auto"/>
          <w:sz w:val="24"/>
          <w:szCs w:val="24"/>
          <w:highlight w:val="none"/>
          <w:u w:val="single"/>
          <w:lang w:val="en-US" w:eastAsia="zh-CN"/>
        </w:rPr>
        <w:t>工程建安费</w:t>
      </w:r>
      <w:r>
        <w:rPr>
          <w:rFonts w:hint="eastAsia" w:asciiTheme="minorEastAsia" w:hAnsiTheme="minorEastAsia" w:eastAsiaTheme="minorEastAsia" w:cstheme="minorEastAsia"/>
          <w:color w:val="auto"/>
          <w:sz w:val="24"/>
          <w:szCs w:val="24"/>
          <w:highlight w:val="none"/>
          <w:u w:val="single"/>
          <w:lang w:eastAsia="zh-CN"/>
        </w:rPr>
        <w:t>为</w:t>
      </w:r>
      <w:r>
        <w:rPr>
          <w:rFonts w:hint="eastAsia" w:asciiTheme="minorEastAsia" w:hAnsiTheme="minorEastAsia" w:eastAsiaTheme="minorEastAsia" w:cstheme="minorEastAsia"/>
          <w:color w:val="auto"/>
          <w:sz w:val="24"/>
          <w:szCs w:val="24"/>
          <w:highlight w:val="none"/>
          <w:u w:val="single"/>
          <w:lang w:val="en-US" w:eastAsia="zh-CN"/>
        </w:rPr>
        <w:t>330万</w:t>
      </w:r>
      <w:r>
        <w:rPr>
          <w:rFonts w:hint="eastAsia" w:asciiTheme="minorEastAsia" w:hAnsiTheme="minorEastAsia" w:eastAsiaTheme="minorEastAsia" w:cstheme="minorEastAsia"/>
          <w:color w:val="auto"/>
          <w:sz w:val="24"/>
          <w:szCs w:val="24"/>
          <w:highlight w:val="none"/>
          <w:u w:val="single"/>
          <w:lang w:eastAsia="zh-CN"/>
        </w:rPr>
        <w:t>元。</w:t>
      </w:r>
    </w:p>
    <w:p w14:paraId="76C812F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5" w:name="_Toc13481"/>
      <w:r>
        <w:rPr>
          <w:rFonts w:hint="default" w:ascii="宋体" w:hAnsi="宋体" w:eastAsia="宋体" w:cs="Times New Roman"/>
          <w:color w:val="auto"/>
          <w:sz w:val="24"/>
          <w:szCs w:val="24"/>
          <w:highlight w:val="none"/>
          <w:lang w:val="en-US" w:eastAsia="zh-CN"/>
        </w:rPr>
        <w:t>2.2</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招标范围</w:t>
      </w:r>
      <w:bookmarkEnd w:id="5"/>
    </w:p>
    <w:p w14:paraId="17729C3F">
      <w:pPr>
        <w:tabs>
          <w:tab w:val="left" w:pos="7513"/>
        </w:tabs>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eastAsia="宋体"/>
          <w:color w:val="auto"/>
          <w:sz w:val="24"/>
          <w:szCs w:val="24"/>
          <w:highlight w:val="none"/>
        </w:rPr>
        <w:t>2.2.1</w:t>
      </w:r>
      <w:r>
        <w:rPr>
          <w:rFonts w:hint="default" w:ascii="宋体" w:hAnsi="Times New Roman" w:eastAsia="宋体"/>
          <w:color w:val="auto"/>
          <w:sz w:val="24"/>
          <w:szCs w:val="24"/>
          <w:highlight w:val="none"/>
        </w:rPr>
        <w:t>标段划分：</w:t>
      </w:r>
      <w:r>
        <w:rPr>
          <w:rFonts w:hint="default"/>
          <w:color w:val="auto"/>
          <w:sz w:val="24"/>
          <w:szCs w:val="24"/>
          <w:highlight w:val="none"/>
          <w:u w:val="single"/>
          <w:lang w:val="en-US" w:eastAsia="zh-CN"/>
        </w:rPr>
        <w:t xml:space="preserve">  本项目设1个标段</w:t>
      </w:r>
      <w:r>
        <w:rPr>
          <w:rFonts w:hint="eastAsia"/>
          <w:color w:val="auto"/>
          <w:sz w:val="24"/>
          <w:szCs w:val="24"/>
          <w:highlight w:val="none"/>
          <w:u w:val="single"/>
          <w:lang w:val="en-US" w:eastAsia="zh-CN"/>
        </w:rPr>
        <w:t>。</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 xml:space="preserve">     </w:t>
      </w:r>
    </w:p>
    <w:p w14:paraId="0E4352C9">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2.2.2监理范围：</w:t>
      </w:r>
      <w:r>
        <w:rPr>
          <w:rFonts w:hint="default" w:ascii="宋体" w:hAnsi="宋体" w:eastAsia="宋体"/>
          <w:color w:val="auto"/>
          <w:sz w:val="24"/>
          <w:szCs w:val="24"/>
          <w:highlight w:val="none"/>
          <w:u w:val="single"/>
          <w:lang w:val="en-US" w:eastAsia="zh-CN"/>
        </w:rPr>
        <w:t xml:space="preserve">  1、施工准备阶段、施工阶段、竣工结算期、质量保修期全过程，对包括工程质量、进度、投资控制、安全生产和文明施工等进行监控，其中安全生产和文明施工包括施工扬尘污染防治，监理人在监理规划中提出有针对性的监理措施，并加强对施工单位扬尘污染防治情况的检查，督促施工单位落实扬尘防治措施。</w:t>
      </w:r>
    </w:p>
    <w:p w14:paraId="7145C5EA">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2、工程施工图预算（或承包商投标报价书）和竣工结算审核，及协调等相关工作。</w:t>
      </w:r>
    </w:p>
    <w:p w14:paraId="1BB66C04">
      <w:pPr>
        <w:tabs>
          <w:tab w:val="left" w:pos="7513"/>
        </w:tabs>
        <w:spacing w:line="360" w:lineRule="auto"/>
        <w:ind w:firstLine="480" w:firstLineChars="200"/>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u w:val="single"/>
          <w:lang w:val="en-US" w:eastAsia="zh-CN"/>
        </w:rPr>
        <w:t>3、对完成本工程所必需的附属临时工程项目施工进行监理。</w:t>
      </w:r>
      <w:r>
        <w:rPr>
          <w:rFonts w:hint="default" w:ascii="宋体" w:hAnsi="宋体" w:eastAsia="宋体"/>
          <w:color w:val="auto"/>
          <w:sz w:val="24"/>
          <w:szCs w:val="24"/>
          <w:highlight w:val="none"/>
          <w:lang w:val="en-US" w:eastAsia="zh-CN"/>
        </w:rPr>
        <w:t xml:space="preserve">                 </w:t>
      </w:r>
    </w:p>
    <w:p w14:paraId="5E549DFE">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2.2.3监理服务期：</w:t>
      </w:r>
      <w:r>
        <w:rPr>
          <w:rFonts w:hint="default" w:ascii="宋体" w:hAnsi="宋体" w:eastAsia="宋体"/>
          <w:color w:val="auto"/>
          <w:sz w:val="24"/>
          <w:szCs w:val="24"/>
          <w:highlight w:val="none"/>
          <w:u w:val="single"/>
          <w:lang w:val="en-US" w:eastAsia="zh-CN"/>
        </w:rPr>
        <w:t>工程施工准备阶段的监理工期、施工阶段的监理工期、工程保修阶段和竣工结算期的监理工期之和：</w:t>
      </w:r>
    </w:p>
    <w:p w14:paraId="02489A51">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（1）施工准备阶段监理工期：从中标通知书发放之日起至业主下达开工令或开工报告审批之日为止；</w:t>
      </w:r>
    </w:p>
    <w:p w14:paraId="776B8281">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（2）施工阶段监理工期：从业主下达开工令或开工报告审批之日起至施工项目全部完工并办理竣工验收、竣工结算、备案管理为止；</w:t>
      </w:r>
    </w:p>
    <w:p w14:paraId="32390E4F">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u w:val="single"/>
          <w:lang w:val="en-US" w:eastAsia="zh-CN"/>
        </w:rPr>
        <w:t>（3）保修阶段监理工期：从工程竣工验收合格、备案管理完成之日起二年；</w:t>
      </w:r>
    </w:p>
    <w:p w14:paraId="490409E6">
      <w:pPr>
        <w:tabs>
          <w:tab w:val="left" w:pos="7513"/>
        </w:tabs>
        <w:spacing w:line="360" w:lineRule="auto"/>
        <w:ind w:firstLine="480" w:firstLineChars="200"/>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u w:val="single"/>
          <w:lang w:val="en-US" w:eastAsia="zh-CN"/>
        </w:rPr>
        <w:t xml:space="preserve">（4）竣工结算期：从竣工验收完成开始至竣工结算完成为止。 </w:t>
      </w:r>
      <w:r>
        <w:rPr>
          <w:rFonts w:hint="default" w:ascii="宋体" w:hAnsi="宋体" w:eastAsia="宋体"/>
          <w:color w:val="auto"/>
          <w:sz w:val="24"/>
          <w:szCs w:val="24"/>
          <w:highlight w:val="none"/>
          <w:lang w:val="en-US" w:eastAsia="zh-CN"/>
        </w:rPr>
        <w:t xml:space="preserve">                </w:t>
      </w:r>
    </w:p>
    <w:p w14:paraId="2B2BF1FB">
      <w:pPr>
        <w:spacing w:line="360" w:lineRule="auto"/>
        <w:ind w:firstLine="540" w:firstLineChars="225"/>
        <w:jc w:val="both"/>
        <w:rPr>
          <w:rFonts w:hint="eastAsia" w:ascii="宋体" w:hAnsi="宋体"/>
          <w:color w:val="auto"/>
          <w:sz w:val="24"/>
          <w:szCs w:val="24"/>
          <w:highlight w:val="none"/>
          <w:u w:val="single"/>
          <w:lang w:val="en-US" w:eastAsia="zh-CN"/>
        </w:rPr>
      </w:pPr>
      <w:r>
        <w:rPr>
          <w:rFonts w:hint="default" w:ascii="宋体" w:hAnsi="宋体" w:eastAsia="宋体"/>
          <w:color w:val="auto"/>
          <w:sz w:val="24"/>
          <w:szCs w:val="24"/>
          <w:highlight w:val="none"/>
        </w:rPr>
        <w:t>2.2.4监理服务最高投标</w:t>
      </w:r>
      <w:r>
        <w:rPr>
          <w:rFonts w:hint="eastAsia" w:ascii="宋体" w:hAnsi="宋体"/>
          <w:color w:val="auto"/>
          <w:sz w:val="24"/>
          <w:szCs w:val="24"/>
          <w:highlight w:val="none"/>
          <w:lang w:val="en-US" w:eastAsia="zh-CN"/>
        </w:rPr>
        <w:t>总</w:t>
      </w:r>
      <w:r>
        <w:rPr>
          <w:rFonts w:hint="default" w:ascii="宋体" w:hAnsi="宋体" w:eastAsia="宋体"/>
          <w:color w:val="auto"/>
          <w:sz w:val="24"/>
          <w:szCs w:val="24"/>
          <w:highlight w:val="none"/>
        </w:rPr>
        <w:t>限价：</w:t>
      </w:r>
      <w:bookmarkStart w:id="6" w:name="OLE_LINK1"/>
      <w:r>
        <w:rPr>
          <w:rFonts w:hint="default" w:ascii="宋体" w:hAnsi="宋体" w:eastAsia="宋体"/>
          <w:color w:val="auto"/>
          <w:sz w:val="24"/>
          <w:szCs w:val="24"/>
          <w:highlight w:val="none"/>
          <w:u w:val="single"/>
        </w:rPr>
        <w:t>1</w:t>
      </w:r>
      <w:r>
        <w:rPr>
          <w:rFonts w:hint="eastAsia" w:ascii="宋体" w:hAnsi="宋体"/>
          <w:color w:val="auto"/>
          <w:sz w:val="24"/>
          <w:szCs w:val="24"/>
          <w:highlight w:val="none"/>
          <w:u w:val="single"/>
          <w:lang w:val="en-US" w:eastAsia="zh-CN"/>
        </w:rPr>
        <w:t>,</w:t>
      </w:r>
      <w:r>
        <w:rPr>
          <w:rFonts w:hint="default" w:ascii="宋体" w:hAnsi="宋体" w:eastAsia="宋体"/>
          <w:color w:val="auto"/>
          <w:sz w:val="24"/>
          <w:szCs w:val="24"/>
          <w:highlight w:val="none"/>
          <w:u w:val="single"/>
        </w:rPr>
        <w:t>465</w:t>
      </w:r>
      <w:r>
        <w:rPr>
          <w:rFonts w:hint="eastAsia" w:ascii="宋体" w:hAnsi="宋体"/>
          <w:color w:val="auto"/>
          <w:sz w:val="24"/>
          <w:szCs w:val="24"/>
          <w:highlight w:val="none"/>
          <w:u w:val="single"/>
          <w:lang w:val="en-US" w:eastAsia="zh-CN"/>
        </w:rPr>
        <w:t>,</w:t>
      </w:r>
      <w:r>
        <w:rPr>
          <w:rFonts w:hint="default" w:ascii="宋体" w:hAnsi="宋体" w:eastAsia="宋体"/>
          <w:color w:val="auto"/>
          <w:sz w:val="24"/>
          <w:szCs w:val="24"/>
          <w:highlight w:val="none"/>
          <w:u w:val="single"/>
        </w:rPr>
        <w:t>781</w:t>
      </w:r>
      <w:r>
        <w:rPr>
          <w:rFonts w:hint="eastAsia" w:ascii="宋体" w:hAnsi="宋体"/>
          <w:color w:val="auto"/>
          <w:sz w:val="24"/>
          <w:szCs w:val="24"/>
          <w:highlight w:val="none"/>
          <w:u w:val="single"/>
          <w:lang w:val="en-US" w:eastAsia="zh-CN"/>
        </w:rPr>
        <w:t>.</w:t>
      </w:r>
      <w:r>
        <w:rPr>
          <w:rFonts w:hint="default" w:ascii="宋体" w:hAnsi="宋体" w:eastAsia="宋体"/>
          <w:color w:val="auto"/>
          <w:sz w:val="24"/>
          <w:szCs w:val="24"/>
          <w:highlight w:val="none"/>
          <w:u w:val="single"/>
        </w:rPr>
        <w:t>72</w:t>
      </w:r>
      <w:r>
        <w:rPr>
          <w:rFonts w:hint="eastAsia" w:ascii="宋体" w:hAnsi="宋体"/>
          <w:color w:val="auto"/>
          <w:sz w:val="24"/>
          <w:szCs w:val="24"/>
          <w:highlight w:val="none"/>
          <w:u w:val="single"/>
          <w:lang w:val="en-US" w:eastAsia="zh-CN"/>
        </w:rPr>
        <w:t>元。</w:t>
      </w:r>
    </w:p>
    <w:p w14:paraId="457DB2DD">
      <w:pPr>
        <w:numPr>
          <w:ilvl w:val="0"/>
          <w:numId w:val="0"/>
        </w:numPr>
        <w:spacing w:line="360" w:lineRule="auto"/>
        <w:ind w:firstLine="540" w:firstLineChars="225"/>
        <w:jc w:val="both"/>
        <w:rPr>
          <w:rFonts w:hint="eastAsia" w:ascii="宋体" w:hAnsi="宋体" w:cs="宋体"/>
          <w:color w:val="auto"/>
          <w:sz w:val="24"/>
          <w:szCs w:val="24"/>
          <w:highlight w:val="none"/>
          <w:u w:val="single"/>
          <w:lang w:eastAsia="zh-CN"/>
        </w:rPr>
      </w:pPr>
      <w:r>
        <w:rPr>
          <w:rFonts w:hint="eastAsia" w:ascii="宋体" w:hAnsi="宋体" w:eastAsia="宋体" w:cs="宋体"/>
          <w:color w:val="auto"/>
          <w:sz w:val="24"/>
          <w:szCs w:val="24"/>
          <w:u w:val="single"/>
          <w:lang w:eastAsia="zh-CN"/>
        </w:rPr>
        <w:t>（1）</w:t>
      </w:r>
      <w:r>
        <w:rPr>
          <w:rFonts w:hint="eastAsia" w:ascii="宋体" w:hAnsi="宋体" w:cs="宋体"/>
          <w:color w:val="auto"/>
          <w:sz w:val="24"/>
          <w:szCs w:val="24"/>
          <w:highlight w:val="none"/>
          <w:u w:val="single"/>
          <w:lang w:eastAsia="zh-CN"/>
        </w:rPr>
        <w:t>番禺区农村自来水提质增效三年行动计划项目（北约村）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152817.42元</w:t>
      </w:r>
      <w:r>
        <w:rPr>
          <w:rFonts w:hint="eastAsia" w:ascii="宋体" w:hAnsi="宋体" w:cs="宋体"/>
          <w:color w:val="auto"/>
          <w:sz w:val="24"/>
          <w:szCs w:val="24"/>
          <w:highlight w:val="none"/>
          <w:u w:val="single"/>
          <w:lang w:eastAsia="zh-CN"/>
        </w:rPr>
        <w:t>；</w:t>
      </w:r>
    </w:p>
    <w:p w14:paraId="2E90108A">
      <w:pPr>
        <w:numPr>
          <w:ilvl w:val="0"/>
          <w:numId w:val="0"/>
        </w:numPr>
        <w:spacing w:line="360" w:lineRule="auto"/>
        <w:ind w:firstLine="540" w:firstLineChars="225"/>
        <w:jc w:val="both"/>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番禺区农村自来水提质增效三年行动计划项目（秀发村）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179642.40元</w:t>
      </w:r>
      <w:r>
        <w:rPr>
          <w:rFonts w:hint="eastAsia" w:ascii="宋体" w:hAnsi="宋体" w:cs="宋体"/>
          <w:color w:val="auto"/>
          <w:sz w:val="24"/>
          <w:szCs w:val="24"/>
          <w:highlight w:val="none"/>
          <w:u w:val="single"/>
          <w:lang w:eastAsia="zh-CN"/>
        </w:rPr>
        <w:t>；</w:t>
      </w:r>
    </w:p>
    <w:p w14:paraId="09456A24">
      <w:pPr>
        <w:numPr>
          <w:ilvl w:val="0"/>
          <w:numId w:val="0"/>
        </w:numPr>
        <w:spacing w:line="360" w:lineRule="auto"/>
        <w:ind w:firstLine="540" w:firstLineChars="225"/>
        <w:jc w:val="both"/>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3</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番禺区农村自来水提质增效三年行动计划项目（塘埗西村）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183140.46元</w:t>
      </w:r>
      <w:r>
        <w:rPr>
          <w:rFonts w:hint="eastAsia" w:ascii="宋体" w:hAnsi="宋体" w:cs="宋体"/>
          <w:color w:val="auto"/>
          <w:sz w:val="24"/>
          <w:szCs w:val="24"/>
          <w:highlight w:val="none"/>
          <w:u w:val="single"/>
          <w:lang w:eastAsia="zh-CN"/>
        </w:rPr>
        <w:t>；</w:t>
      </w:r>
    </w:p>
    <w:p w14:paraId="2F27CF2C">
      <w:pPr>
        <w:numPr>
          <w:ilvl w:val="0"/>
          <w:numId w:val="0"/>
        </w:numPr>
        <w:spacing w:line="360" w:lineRule="auto"/>
        <w:ind w:firstLine="540" w:firstLineChars="225"/>
        <w:jc w:val="both"/>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4</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番禺区农村自来水提质增效三年行动计划项目（南双玉村）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190922.65元</w:t>
      </w:r>
      <w:r>
        <w:rPr>
          <w:rFonts w:hint="eastAsia" w:ascii="宋体" w:hAnsi="宋体" w:cs="宋体"/>
          <w:color w:val="auto"/>
          <w:sz w:val="24"/>
          <w:szCs w:val="24"/>
          <w:highlight w:val="none"/>
          <w:u w:val="single"/>
          <w:lang w:eastAsia="zh-CN"/>
        </w:rPr>
        <w:t>；</w:t>
      </w:r>
    </w:p>
    <w:p w14:paraId="5D47A97D">
      <w:pPr>
        <w:numPr>
          <w:ilvl w:val="0"/>
          <w:numId w:val="0"/>
        </w:numPr>
        <w:spacing w:line="360" w:lineRule="auto"/>
        <w:ind w:firstLine="540" w:firstLineChars="225"/>
        <w:jc w:val="both"/>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5</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番禺区农村自来水提质增效三年行动计划项目（茭东村）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184024.80元</w:t>
      </w:r>
      <w:r>
        <w:rPr>
          <w:rFonts w:hint="eastAsia" w:ascii="宋体" w:hAnsi="宋体" w:cs="宋体"/>
          <w:color w:val="auto"/>
          <w:sz w:val="24"/>
          <w:szCs w:val="24"/>
          <w:highlight w:val="none"/>
          <w:u w:val="single"/>
          <w:lang w:eastAsia="zh-CN"/>
        </w:rPr>
        <w:t>；</w:t>
      </w:r>
    </w:p>
    <w:p w14:paraId="237EF53E">
      <w:pPr>
        <w:numPr>
          <w:ilvl w:val="0"/>
          <w:numId w:val="0"/>
        </w:numPr>
        <w:spacing w:line="360" w:lineRule="auto"/>
        <w:ind w:firstLine="540" w:firstLineChars="225"/>
        <w:jc w:val="both"/>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6</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番禺区农村自来水提质增效三年行动计划项目（茭西村）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187994.50元</w:t>
      </w:r>
      <w:r>
        <w:rPr>
          <w:rFonts w:hint="eastAsia" w:ascii="宋体" w:hAnsi="宋体" w:cs="宋体"/>
          <w:color w:val="auto"/>
          <w:sz w:val="24"/>
          <w:szCs w:val="24"/>
          <w:highlight w:val="none"/>
          <w:u w:val="single"/>
          <w:lang w:eastAsia="zh-CN"/>
        </w:rPr>
        <w:t>；</w:t>
      </w:r>
    </w:p>
    <w:p w14:paraId="339A21B1">
      <w:pPr>
        <w:numPr>
          <w:ilvl w:val="0"/>
          <w:numId w:val="0"/>
        </w:numPr>
        <w:spacing w:line="360" w:lineRule="auto"/>
        <w:ind w:firstLine="540" w:firstLineChars="225"/>
        <w:jc w:val="both"/>
        <w:rPr>
          <w:rFonts w:hint="eastAsia" w:ascii="宋体" w:hAnsi="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7</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番禺区农村自来水提质增效三年行动计划项目（塱边村）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118687.97元</w:t>
      </w:r>
      <w:r>
        <w:rPr>
          <w:rFonts w:hint="eastAsia" w:ascii="宋体" w:hAnsi="宋体" w:cs="宋体"/>
          <w:color w:val="auto"/>
          <w:sz w:val="24"/>
          <w:szCs w:val="24"/>
          <w:highlight w:val="none"/>
          <w:u w:val="single"/>
          <w:lang w:eastAsia="zh-CN"/>
        </w:rPr>
        <w:t>；</w:t>
      </w:r>
    </w:p>
    <w:p w14:paraId="01369C01">
      <w:pPr>
        <w:numPr>
          <w:ilvl w:val="0"/>
          <w:numId w:val="0"/>
        </w:numPr>
        <w:spacing w:line="360" w:lineRule="auto"/>
        <w:ind w:firstLine="540" w:firstLineChars="225"/>
        <w:jc w:val="both"/>
        <w:rPr>
          <w:rFonts w:hint="eastAsia" w:ascii="宋体" w:hAnsi="宋体" w:cs="宋体"/>
          <w:color w:val="auto"/>
          <w:sz w:val="24"/>
          <w:szCs w:val="24"/>
          <w:highlight w:val="none"/>
          <w:u w:val="single"/>
          <w:lang w:eastAsia="zh-CN"/>
        </w:rPr>
      </w:pP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kern w:val="2"/>
          <w:sz w:val="24"/>
          <w:szCs w:val="24"/>
          <w:highlight w:val="none"/>
          <w:u w:val="single"/>
          <w:lang w:val="en-US" w:eastAsia="zh-CN" w:bidi="ar-SA"/>
        </w:rPr>
        <w:t>8</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cs="宋体"/>
          <w:color w:val="auto"/>
          <w:sz w:val="24"/>
          <w:szCs w:val="24"/>
          <w:highlight w:val="none"/>
          <w:u w:val="single"/>
          <w:lang w:eastAsia="zh-CN"/>
        </w:rPr>
        <w:t>番禺区农村自来水提质增效三年行动计划项目（猛涌村）</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olor w:val="auto"/>
          <w:sz w:val="24"/>
          <w:szCs w:val="24"/>
          <w:highlight w:val="none"/>
          <w:u w:val="single"/>
          <w:lang w:val="en-US" w:eastAsia="zh-CN"/>
        </w:rPr>
        <w:t>129687.02元</w:t>
      </w:r>
      <w:r>
        <w:rPr>
          <w:rFonts w:hint="eastAsia" w:ascii="宋体" w:hAnsi="宋体" w:cs="宋体"/>
          <w:color w:val="auto"/>
          <w:sz w:val="24"/>
          <w:szCs w:val="24"/>
          <w:highlight w:val="none"/>
          <w:u w:val="single"/>
          <w:lang w:eastAsia="zh-CN"/>
        </w:rPr>
        <w:t>；</w:t>
      </w:r>
    </w:p>
    <w:p w14:paraId="6D0DC1D2">
      <w:pPr>
        <w:numPr>
          <w:ilvl w:val="0"/>
          <w:numId w:val="0"/>
        </w:numPr>
        <w:spacing w:line="360" w:lineRule="auto"/>
        <w:ind w:firstLine="540" w:firstLineChars="225"/>
        <w:jc w:val="both"/>
        <w:rPr>
          <w:rFonts w:hint="default" w:ascii="宋体" w:hAnsi="宋体" w:eastAsia="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lang w:eastAsia="zh-CN"/>
        </w:rPr>
        <w:t>）番禺区农村自来水提质增效三年行动计划项目（云星村汀沙片区）</w:t>
      </w:r>
      <w:r>
        <w:rPr>
          <w:rFonts w:hint="eastAsia" w:ascii="宋体" w:hAnsi="宋体"/>
          <w:color w:val="auto"/>
          <w:sz w:val="24"/>
          <w:szCs w:val="24"/>
          <w:highlight w:val="none"/>
          <w:u w:val="single"/>
          <w:lang w:val="en-US" w:eastAsia="zh-CN"/>
        </w:rPr>
        <w:t>监理服务最高投标限价</w:t>
      </w:r>
      <w:r>
        <w:rPr>
          <w:rFonts w:hint="default" w:ascii="宋体" w:hAnsi="宋体" w:eastAsia="宋体"/>
          <w:color w:val="auto"/>
          <w:sz w:val="24"/>
          <w:szCs w:val="24"/>
          <w:highlight w:val="none"/>
          <w:u w:val="single"/>
        </w:rPr>
        <w:t>：</w:t>
      </w:r>
      <w:r>
        <w:rPr>
          <w:rFonts w:hint="eastAsia" w:ascii="宋体" w:hAnsi="宋体" w:cs="宋体"/>
          <w:color w:val="auto"/>
          <w:sz w:val="24"/>
          <w:szCs w:val="24"/>
          <w:highlight w:val="none"/>
          <w:u w:val="single"/>
          <w:lang w:eastAsia="zh-CN"/>
        </w:rPr>
        <w:t>138864.50元。</w:t>
      </w:r>
      <w:bookmarkEnd w:id="6"/>
    </w:p>
    <w:p w14:paraId="1041E9E4">
      <w:pPr>
        <w:pStyle w:val="5"/>
        <w:outlineLvl w:val="1"/>
        <w:rPr>
          <w:rFonts w:hint="default" w:cs="宋体"/>
          <w:b w:val="0"/>
          <w:i/>
          <w:color w:val="auto"/>
          <w:sz w:val="21"/>
          <w:szCs w:val="21"/>
          <w:highlight w:val="none"/>
          <w:lang w:val="en-US" w:eastAsia="zh-CN"/>
        </w:rPr>
      </w:pPr>
      <w:bookmarkStart w:id="7" w:name="bookmark4"/>
      <w:bookmarkEnd w:id="7"/>
      <w:bookmarkStart w:id="8" w:name="_Toc32236"/>
      <w:r>
        <w:rPr>
          <w:rFonts w:hint="default" w:cs="宋体"/>
          <w:color w:val="auto"/>
          <w:sz w:val="24"/>
          <w:szCs w:val="24"/>
          <w:highlight w:val="none"/>
        </w:rPr>
        <w:t>3.投标人资格要求</w:t>
      </w:r>
      <w:bookmarkEnd w:id="8"/>
    </w:p>
    <w:p w14:paraId="536195FB">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9" w:name="_Toc31217"/>
      <w:r>
        <w:rPr>
          <w:rFonts w:hint="default" w:ascii="宋体" w:hAnsi="宋体" w:eastAsia="宋体" w:cs="Times New Roman"/>
          <w:color w:val="auto"/>
          <w:sz w:val="24"/>
          <w:szCs w:val="24"/>
          <w:highlight w:val="none"/>
          <w:lang w:val="en-US" w:eastAsia="zh-CN"/>
        </w:rPr>
        <w:t>3.1 投标人参加投标的意思表达清楚，投标人代表被授权有效。</w:t>
      </w:r>
      <w:bookmarkEnd w:id="9"/>
    </w:p>
    <w:p w14:paraId="6A18ADD1">
      <w:pPr>
        <w:tabs>
          <w:tab w:val="left" w:pos="7513"/>
        </w:tabs>
        <w:spacing w:line="360" w:lineRule="auto"/>
        <w:ind w:firstLine="480" w:firstLineChars="200"/>
        <w:rPr>
          <w:rFonts w:hint="default" w:ascii="宋体" w:hAnsi="宋体" w:eastAsia="宋体" w:cs="Times New Roman"/>
          <w:color w:val="C00000"/>
          <w:sz w:val="24"/>
          <w:szCs w:val="24"/>
          <w:highlight w:val="none"/>
          <w:lang w:val="en-US" w:eastAsia="zh-CN"/>
        </w:rPr>
      </w:pPr>
      <w:r>
        <w:rPr>
          <w:rFonts w:hint="default" w:ascii="宋体" w:hAnsi="宋体" w:eastAsia="宋体" w:cs="宋体"/>
          <w:color w:val="auto"/>
          <w:sz w:val="24"/>
          <w:szCs w:val="24"/>
          <w:highlight w:val="none"/>
          <w:lang w:val="en-US" w:eastAsia="zh-CN"/>
        </w:rPr>
        <w:t xml:space="preserve">3.2 </w:t>
      </w:r>
      <w:r>
        <w:rPr>
          <w:rFonts w:ascii="宋体" w:hAnsi="宋体" w:eastAsia="宋体" w:cs="Times New Roman"/>
          <w:color w:val="auto"/>
          <w:sz w:val="24"/>
          <w:szCs w:val="24"/>
          <w:highlight w:val="none"/>
          <w:lang w:val="en-US" w:eastAsia="zh-CN"/>
        </w:rPr>
        <w:t>投标人是法人或其他组织，按国家法律经营</w:t>
      </w:r>
      <w:r>
        <w:rPr>
          <w:rFonts w:hint="default" w:ascii="宋体" w:hAnsi="宋体" w:eastAsia="宋体" w:cs="Times New Roman"/>
          <w:color w:val="auto"/>
          <w:sz w:val="24"/>
          <w:szCs w:val="24"/>
          <w:highlight w:val="none"/>
          <w:lang w:val="en-US" w:eastAsia="zh-CN"/>
        </w:rPr>
        <w:t>。</w:t>
      </w:r>
    </w:p>
    <w:p w14:paraId="195272CE">
      <w:pPr>
        <w:tabs>
          <w:tab w:val="left" w:pos="7513"/>
        </w:tabs>
        <w:spacing w:line="360" w:lineRule="auto"/>
        <w:ind w:firstLine="480" w:firstLineChars="200"/>
        <w:jc w:val="both"/>
        <w:rPr>
          <w:rFonts w:hint="default" w:ascii="宋体" w:hAnsi="宋体" w:eastAsia="宋体" w:cs="Times New Roman"/>
          <w:color w:val="auto"/>
          <w:sz w:val="24"/>
          <w:szCs w:val="24"/>
          <w:highlight w:val="none"/>
          <w:lang w:val="en-US" w:eastAsia="zh-CN"/>
        </w:rPr>
      </w:pPr>
      <w:bookmarkStart w:id="10" w:name="_Toc9121"/>
      <w:r>
        <w:rPr>
          <w:rFonts w:hint="default" w:ascii="宋体" w:hAnsi="宋体" w:eastAsia="宋体" w:cs="Times New Roman"/>
          <w:color w:val="auto"/>
          <w:sz w:val="24"/>
          <w:szCs w:val="24"/>
          <w:highlight w:val="none"/>
          <w:lang w:val="en-US" w:eastAsia="zh-CN"/>
        </w:rPr>
        <w:t>3.3 本次招标要求投标人须具备</w:t>
      </w:r>
      <w:r>
        <w:rPr>
          <w:rFonts w:hint="default" w:ascii="宋体" w:hAnsi="宋体" w:eastAsia="宋体" w:cs="Times New Roman"/>
          <w:color w:val="auto"/>
          <w:sz w:val="24"/>
          <w:szCs w:val="24"/>
          <w:highlight w:val="none"/>
          <w:u w:val="single"/>
          <w:lang w:val="en-US" w:eastAsia="zh-CN"/>
        </w:rPr>
        <w:t>工程监理综合资质或市政公用工程监理丙级或以上专业资质或根据《住房城乡建设部办公厅关于做好有关建设工程企业资质证书换领和延续工作的通知》(建办市(2023]47 号)的规定换领的市政公用工程监理乙级或以上专业资质；香港企业参加投标的，须在广东省住房和城乡建设主管部门备案且备案的业务范围应符合本招标项目对工程监理资质的要求</w:t>
      </w:r>
      <w:r>
        <w:rPr>
          <w:rFonts w:hint="default" w:ascii="宋体" w:hAnsi="宋体" w:eastAsia="宋体" w:cs="Times New Roman"/>
          <w:color w:val="auto"/>
          <w:sz w:val="24"/>
          <w:szCs w:val="24"/>
          <w:highlight w:val="none"/>
          <w:lang w:val="en-US" w:eastAsia="zh-CN"/>
        </w:rPr>
        <w:t>。</w:t>
      </w:r>
      <w:bookmarkEnd w:id="10"/>
    </w:p>
    <w:p w14:paraId="4814697D">
      <w:pPr>
        <w:spacing w:line="360" w:lineRule="auto"/>
        <w:ind w:firstLine="424" w:firstLineChars="177"/>
        <w:jc w:val="both"/>
        <w:rPr>
          <w:rFonts w:hint="eastAsia" w:ascii="宋体" w:hAnsi="宋体" w:cs="宋体"/>
          <w:color w:val="auto"/>
          <w:sz w:val="24"/>
          <w:highlight w:val="none"/>
          <w:u w:val="single"/>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r>
        <w:rPr>
          <w:rFonts w:hint="eastAsia" w:ascii="宋体" w:hAnsi="宋体" w:cs="宋体"/>
          <w:color w:val="auto"/>
          <w:sz w:val="24"/>
          <w:highlight w:val="none"/>
          <w:u w:val="single"/>
        </w:rPr>
        <w:t>相关注意事项如下</w:t>
      </w:r>
      <w:r>
        <w:rPr>
          <w:rFonts w:hint="eastAsia" w:ascii="宋体" w:hAnsi="宋体"/>
          <w:color w:val="auto"/>
          <w:kern w:val="0"/>
          <w:sz w:val="24"/>
          <w:highlight w:val="none"/>
          <w:u w:val="single"/>
        </w:rPr>
        <w:t>：</w:t>
      </w:r>
    </w:p>
    <w:p w14:paraId="4BAC85D1">
      <w:pPr>
        <w:spacing w:line="360" w:lineRule="auto"/>
        <w:ind w:firstLine="537" w:firstLineChars="224"/>
        <w:jc w:val="both"/>
        <w:rPr>
          <w:rFonts w:hint="eastAsia" w:ascii="宋体" w:hAnsi="宋体" w:cs="宋体"/>
          <w:color w:val="auto"/>
          <w:sz w:val="24"/>
          <w:highlight w:val="none"/>
          <w:u w:val="single"/>
        </w:rPr>
      </w:pPr>
      <w:r>
        <w:rPr>
          <w:rFonts w:ascii="宋体" w:hAnsi="宋体" w:cs="宋体"/>
          <w:color w:val="auto"/>
          <w:sz w:val="24"/>
          <w:highlight w:val="none"/>
          <w:u w:val="single"/>
        </w:rPr>
        <w:t>（一）投标人按照上述规定办理了资质延期或换领新证，在投标截止前已取得新证的，投标人须在投标文件中提供经核准延期后的新资质证书。</w:t>
      </w:r>
    </w:p>
    <w:p w14:paraId="6DFCC04D">
      <w:pPr>
        <w:spacing w:line="360" w:lineRule="auto"/>
        <w:ind w:firstLine="537" w:firstLineChars="224"/>
        <w:jc w:val="both"/>
        <w:rPr>
          <w:rFonts w:hint="eastAsia" w:ascii="宋体" w:hAnsi="宋体" w:cs="宋体"/>
          <w:color w:val="auto"/>
          <w:sz w:val="24"/>
          <w:highlight w:val="none"/>
          <w:u w:val="single"/>
        </w:rPr>
      </w:pPr>
      <w:r>
        <w:rPr>
          <w:rFonts w:ascii="宋体" w:hAnsi="宋体" w:cs="宋体"/>
          <w:color w:val="auto"/>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1D0F6570">
      <w:pPr>
        <w:spacing w:line="360" w:lineRule="auto"/>
        <w:ind w:firstLine="537" w:firstLineChars="224"/>
        <w:jc w:val="both"/>
        <w:rPr>
          <w:rFonts w:hint="eastAsia" w:ascii="宋体" w:hAnsi="宋体" w:cs="宋体"/>
          <w:color w:val="auto"/>
          <w:sz w:val="24"/>
          <w:highlight w:val="none"/>
          <w:u w:val="single"/>
        </w:rPr>
      </w:pPr>
      <w:r>
        <w:rPr>
          <w:rFonts w:ascii="宋体" w:hAnsi="宋体" w:cs="宋体"/>
          <w:color w:val="auto"/>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1AE390B4">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1D99B547">
      <w:pPr>
        <w:spacing w:line="360" w:lineRule="auto"/>
        <w:ind w:firstLine="480" w:firstLineChars="200"/>
        <w:jc w:val="both"/>
        <w:rPr>
          <w:rFonts w:hint="default" w:ascii="宋体" w:hAnsi="宋体" w:eastAsia="宋体"/>
          <w:color w:val="auto"/>
          <w:sz w:val="24"/>
          <w:szCs w:val="24"/>
          <w:highlight w:val="none"/>
        </w:rPr>
      </w:pPr>
      <w:r>
        <w:rPr>
          <w:rFonts w:hint="default" w:ascii="宋体" w:hAnsi="宋体" w:eastAsia="宋体" w:cs="宋体"/>
          <w:color w:val="auto"/>
          <w:sz w:val="24"/>
          <w:szCs w:val="24"/>
          <w:highlight w:val="none"/>
          <w:lang w:val="en-US" w:eastAsia="zh-CN"/>
        </w:rPr>
        <w:t xml:space="preserve">3.4 </w:t>
      </w:r>
      <w:r>
        <w:rPr>
          <w:rFonts w:hint="default" w:ascii="宋体" w:hAnsi="宋体" w:eastAsia="宋体" w:cs="Times New Roman"/>
          <w:color w:val="auto"/>
          <w:sz w:val="24"/>
          <w:szCs w:val="24"/>
          <w:highlight w:val="none"/>
        </w:rPr>
        <w:t>拟派总监理</w:t>
      </w:r>
      <w:r>
        <w:rPr>
          <w:rFonts w:hint="default" w:ascii="宋体" w:hAnsi="宋体" w:eastAsia="宋体"/>
          <w:color w:val="auto"/>
          <w:sz w:val="24"/>
          <w:szCs w:val="24"/>
          <w:highlight w:val="none"/>
        </w:rPr>
        <w:t>工程师须具</w:t>
      </w:r>
      <w:r>
        <w:rPr>
          <w:rFonts w:hint="default" w:ascii="宋体" w:hAnsi="宋体" w:eastAsia="宋体"/>
          <w:color w:val="auto"/>
          <w:sz w:val="24"/>
          <w:szCs w:val="24"/>
          <w:highlight w:val="none"/>
          <w:lang w:eastAsia="zh-CN"/>
        </w:rPr>
        <w:t>备</w:t>
      </w:r>
      <w:r>
        <w:rPr>
          <w:rFonts w:hint="eastAsia" w:ascii="宋体" w:hAnsi="宋体" w:cs="宋体"/>
          <w:color w:val="auto"/>
          <w:sz w:val="24"/>
          <w:highlight w:val="none"/>
        </w:rPr>
        <w:t>建设部2006年4月1日后颁发的中华人民共和国注册监理工程师注册执业证书，且其注册证书专业为</w:t>
      </w:r>
      <w:r>
        <w:rPr>
          <w:rFonts w:hint="eastAsia" w:ascii="宋体" w:hAnsi="宋体" w:cs="宋体"/>
          <w:sz w:val="24"/>
          <w:szCs w:val="24"/>
          <w:highlight w:val="none"/>
          <w:u w:val="single"/>
        </w:rPr>
        <w:t>市政公用工程</w:t>
      </w:r>
      <w:r>
        <w:rPr>
          <w:rFonts w:hint="eastAsia" w:ascii="宋体" w:hAnsi="宋体" w:cs="宋体"/>
          <w:color w:val="auto"/>
          <w:sz w:val="24"/>
          <w:highlight w:val="none"/>
        </w:rPr>
        <w:t>，注册执业单位为本公司,</w:t>
      </w:r>
      <w:r>
        <w:rPr>
          <w:rFonts w:hint="eastAsia" w:ascii="宋体" w:hAnsi="宋体" w:cs="宋体"/>
          <w:color w:val="auto"/>
          <w:sz w:val="24"/>
          <w:highlight w:val="none"/>
          <w:u w:val="single"/>
        </w:rPr>
        <w:t>并具备本科或以上学历。</w:t>
      </w:r>
      <w:r>
        <w:rPr>
          <w:rFonts w:hint="eastAsia" w:ascii="宋体" w:hAnsi="宋体" w:cs="宋体"/>
          <w:sz w:val="24"/>
          <w:szCs w:val="24"/>
          <w:highlight w:val="none"/>
        </w:rPr>
        <w:t>且须是</w:t>
      </w:r>
      <w:r>
        <w:rPr>
          <w:rFonts w:hint="eastAsia" w:ascii="宋体" w:hAnsi="宋体" w:cs="宋体"/>
          <w:sz w:val="24"/>
          <w:highlight w:val="none"/>
        </w:rPr>
        <w:t>本企业在广州公共资源交易中心企业信息登记中的在册人员</w:t>
      </w:r>
      <w:r>
        <w:rPr>
          <w:rFonts w:hint="eastAsia" w:ascii="宋体" w:hAnsi="宋体" w:cs="宋体"/>
          <w:sz w:val="24"/>
          <w:szCs w:val="24"/>
          <w:highlight w:val="none"/>
        </w:rPr>
        <w:t>；</w:t>
      </w:r>
      <w:r>
        <w:rPr>
          <w:rFonts w:hint="eastAsia" w:ascii="宋体" w:hAnsi="宋体" w:cs="宋体"/>
          <w:sz w:val="24"/>
          <w:szCs w:val="24"/>
          <w:highlight w:val="none"/>
          <w:u w:val="single"/>
        </w:rPr>
        <w:t>或在广东省住房和城乡建设主管部门备案且备案的业务范围符合本招标项目对总监理工程师要求的香港专业人士</w:t>
      </w:r>
      <w:r>
        <w:rPr>
          <w:rFonts w:hint="eastAsia" w:ascii="宋体" w:hAnsi="宋体"/>
          <w:color w:val="auto"/>
          <w:sz w:val="24"/>
          <w:highlight w:val="none"/>
          <w:u w:val="single"/>
        </w:rPr>
        <w:t>。</w:t>
      </w:r>
      <w:r>
        <w:rPr>
          <w:rFonts w:hint="eastAsia" w:ascii="宋体" w:hAnsi="宋体" w:cs="宋体"/>
          <w:color w:val="auto"/>
          <w:sz w:val="24"/>
          <w:highlight w:val="none"/>
          <w:u w:val="single"/>
        </w:rPr>
        <w:t>并需提供近1个月（</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rPr>
        <w:t>）在本单位（不含子公司）购买的社保证明，社保证明需能反映参保人在相应单位（不含子公司）缴纳。中标后需提供投标文件中人员的社保补缴情况相关证明报招标人核实，若发现弄虚作假的，则将其行为纳入不诚信名单，招标人保留上报给行政主管部门的权力</w:t>
      </w:r>
      <w:r>
        <w:rPr>
          <w:rFonts w:hint="default" w:ascii="宋体" w:hAnsi="宋体" w:eastAsia="宋体"/>
          <w:color w:val="auto"/>
          <w:sz w:val="24"/>
          <w:szCs w:val="24"/>
          <w:highlight w:val="none"/>
          <w:u w:val="single"/>
          <w:lang w:val="en-US" w:eastAsia="zh-CN"/>
        </w:rPr>
        <w:t xml:space="preserve"> </w:t>
      </w:r>
      <w:r>
        <w:rPr>
          <w:rFonts w:hint="default" w:ascii="宋体" w:hAnsi="宋体" w:eastAsia="宋体"/>
          <w:color w:val="auto"/>
          <w:sz w:val="24"/>
          <w:szCs w:val="24"/>
          <w:highlight w:val="none"/>
        </w:rPr>
        <w:t>。</w:t>
      </w:r>
    </w:p>
    <w:p w14:paraId="12918D4A">
      <w:pPr>
        <w:tabs>
          <w:tab w:val="left" w:pos="7513"/>
        </w:tabs>
        <w:spacing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注：若拟委派的项目负责人（</w:t>
      </w:r>
      <w:r>
        <w:rPr>
          <w:rFonts w:hint="eastAsia" w:asciiTheme="majorEastAsia" w:hAnsiTheme="majorEastAsia" w:eastAsiaTheme="majorEastAsia" w:cstheme="majorEastAsia"/>
          <w:b w:val="0"/>
          <w:bCs w:val="0"/>
          <w:color w:val="auto"/>
          <w:sz w:val="24"/>
          <w:szCs w:val="24"/>
          <w:highlight w:val="none"/>
        </w:rPr>
        <w:t>总监理工程师</w:t>
      </w:r>
      <w:r>
        <w:rPr>
          <w:rFonts w:hint="eastAsia" w:asciiTheme="majorEastAsia" w:hAnsiTheme="majorEastAsia" w:eastAsiaTheme="majorEastAsia" w:cstheme="majorEastAsia"/>
          <w:b w:val="0"/>
          <w:bCs w:val="0"/>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FDD1AA1">
      <w:pPr>
        <w:tabs>
          <w:tab w:val="left" w:pos="7513"/>
        </w:tabs>
        <w:spacing w:line="360" w:lineRule="auto"/>
        <w:ind w:firstLine="480" w:firstLineChars="200"/>
        <w:jc w:val="both"/>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5</w:t>
      </w:r>
      <w:r>
        <w:rPr>
          <w:rFonts w:hint="default" w:ascii="宋体" w:hAnsi="宋体" w:eastAsia="宋体" w:cs="宋体"/>
          <w:color w:val="auto"/>
          <w:sz w:val="24"/>
          <w:szCs w:val="21"/>
          <w:highlight w:val="none"/>
          <w:u w:val="none"/>
        </w:rPr>
        <w:t>投标登记前，投标人须在</w:t>
      </w:r>
      <w:r>
        <w:rPr>
          <w:rFonts w:hint="eastAsia" w:ascii="宋体" w:hAnsi="宋体" w:cs="宋体"/>
          <w:color w:val="auto"/>
          <w:sz w:val="24"/>
          <w:szCs w:val="21"/>
          <w:highlight w:val="none"/>
          <w:u w:val="none"/>
          <w:lang w:eastAsia="zh-CN"/>
        </w:rPr>
        <w:t>广州交易集团有限公司（广州公共资源交易中心）</w:t>
      </w:r>
      <w:r>
        <w:rPr>
          <w:rFonts w:hint="default" w:ascii="宋体" w:hAnsi="宋体" w:eastAsia="宋体" w:cs="宋体"/>
          <w:color w:val="auto"/>
          <w:sz w:val="24"/>
          <w:szCs w:val="21"/>
          <w:highlight w:val="none"/>
          <w:u w:val="none"/>
        </w:rPr>
        <w:t>企业库已办理企业信息登记及拟担任本工程总监理工程师须是本单位在企业库中的在册人员</w:t>
      </w:r>
      <w:r>
        <w:rPr>
          <w:rFonts w:hint="default" w:ascii="宋体" w:hAnsi="宋体" w:eastAsia="宋体" w:cs="宋体"/>
          <w:color w:val="auto"/>
          <w:sz w:val="24"/>
          <w:szCs w:val="21"/>
          <w:highlight w:val="none"/>
          <w:u w:val="none"/>
          <w:lang w:eastAsia="zh-CN"/>
        </w:rPr>
        <w:t>。</w:t>
      </w:r>
    </w:p>
    <w:p w14:paraId="606586DE">
      <w:pPr>
        <w:widowControl/>
        <w:snapToGrid w:val="0"/>
        <w:spacing w:line="360" w:lineRule="auto"/>
        <w:ind w:right="34" w:rightChars="14" w:firstLine="480" w:firstLineChars="200"/>
        <w:jc w:val="both"/>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投标人已按</w:t>
      </w:r>
      <w:r>
        <w:rPr>
          <w:rFonts w:hint="default" w:ascii="宋体" w:hAnsi="宋体" w:eastAsia="宋体" w:cs="宋体"/>
          <w:color w:val="auto"/>
          <w:sz w:val="24"/>
          <w:szCs w:val="21"/>
          <w:highlight w:val="none"/>
          <w:u w:val="none"/>
          <w:lang w:eastAsia="zh-CN"/>
        </w:rPr>
        <w:t>规定格式</w:t>
      </w:r>
      <w:r>
        <w:rPr>
          <w:rFonts w:hint="default" w:ascii="宋体" w:hAnsi="宋体" w:eastAsia="宋体" w:cs="宋体"/>
          <w:color w:val="auto"/>
          <w:sz w:val="24"/>
          <w:szCs w:val="21"/>
          <w:highlight w:val="none"/>
          <w:u w:val="none"/>
        </w:rPr>
        <w:t>签署盖章《投标人声明》</w:t>
      </w:r>
      <w:r>
        <w:rPr>
          <w:rFonts w:hint="default" w:ascii="宋体" w:hAnsi="宋体" w:eastAsia="宋体" w:cs="宋体"/>
          <w:color w:val="auto"/>
          <w:sz w:val="24"/>
          <w:szCs w:val="21"/>
          <w:highlight w:val="none"/>
          <w:u w:val="none"/>
          <w:lang w:eastAsia="zh-CN"/>
        </w:rPr>
        <w:t>（格式见招标文件第六章投标文件格式）</w:t>
      </w:r>
      <w:r>
        <w:rPr>
          <w:rFonts w:hint="default" w:ascii="宋体" w:hAnsi="宋体" w:eastAsia="宋体" w:cs="宋体"/>
          <w:color w:val="auto"/>
          <w:sz w:val="24"/>
          <w:szCs w:val="24"/>
          <w:highlight w:val="none"/>
          <w:u w:val="none"/>
        </w:rPr>
        <w:t>，且总监理工程师</w:t>
      </w:r>
      <w:r>
        <w:rPr>
          <w:rFonts w:hint="default" w:ascii="宋体" w:hAnsi="宋体" w:eastAsia="宋体" w:cs="宋体"/>
          <w:color w:val="auto"/>
          <w:sz w:val="24"/>
          <w:szCs w:val="24"/>
          <w:highlight w:val="none"/>
          <w:u w:val="none"/>
          <w:lang w:eastAsia="zh-CN"/>
        </w:rPr>
        <w:t>已</w:t>
      </w:r>
      <w:r>
        <w:rPr>
          <w:rFonts w:hint="default" w:ascii="宋体" w:hAnsi="宋体" w:eastAsia="宋体" w:cs="宋体"/>
          <w:color w:val="auto"/>
          <w:sz w:val="24"/>
          <w:szCs w:val="24"/>
          <w:highlight w:val="none"/>
          <w:u w:val="none"/>
        </w:rPr>
        <w:t>签字确认</w:t>
      </w:r>
      <w:r>
        <w:rPr>
          <w:rFonts w:hint="default" w:ascii="宋体" w:hAnsi="宋体" w:eastAsia="宋体" w:cs="宋体"/>
          <w:color w:val="auto"/>
          <w:sz w:val="24"/>
          <w:szCs w:val="24"/>
          <w:highlight w:val="none"/>
          <w:u w:val="none"/>
          <w:lang w:eastAsia="zh-CN"/>
        </w:rPr>
        <w:t>。</w:t>
      </w:r>
    </w:p>
    <w:p w14:paraId="5E869746">
      <w:pPr>
        <w:snapToGrid w:val="0"/>
        <w:spacing w:line="360" w:lineRule="auto"/>
        <w:ind w:firstLine="480" w:firstLineChars="200"/>
        <w:jc w:val="both"/>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 投标人已按规定格式签署盖章附件一《承诺书》。</w:t>
      </w:r>
      <w:r>
        <w:rPr>
          <w:rFonts w:hint="default" w:ascii="宋体" w:hAnsi="宋体" w:eastAsia="宋体" w:cs="宋体"/>
          <w:color w:val="auto"/>
          <w:sz w:val="24"/>
          <w:szCs w:val="21"/>
          <w:highlight w:val="none"/>
          <w:u w:val="none"/>
          <w:lang w:eastAsia="zh-CN"/>
        </w:rPr>
        <w:t>（格式见</w:t>
      </w:r>
      <w:r>
        <w:rPr>
          <w:rFonts w:hint="eastAsia" w:ascii="宋体" w:hAnsi="宋体" w:eastAsia="宋体" w:cs="宋体"/>
          <w:color w:val="auto"/>
          <w:sz w:val="24"/>
          <w:szCs w:val="21"/>
          <w:highlight w:val="none"/>
          <w:u w:val="none"/>
          <w:lang w:val="en-US" w:eastAsia="zh-CN"/>
        </w:rPr>
        <w:t>招标公告）</w:t>
      </w:r>
    </w:p>
    <w:p w14:paraId="3D962B4A">
      <w:pPr>
        <w:snapToGrid w:val="0"/>
        <w:spacing w:line="360" w:lineRule="auto"/>
        <w:ind w:firstLine="480" w:firstLineChars="200"/>
        <w:jc w:val="both"/>
        <w:rPr>
          <w:rFonts w:hint="default"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3.8</w:t>
      </w:r>
      <w:r>
        <w:rPr>
          <w:rFonts w:hint="default" w:ascii="宋体" w:hAnsi="宋体" w:eastAsia="宋体" w:cs="Times New Roman"/>
          <w:color w:val="auto"/>
          <w:sz w:val="24"/>
          <w:szCs w:val="24"/>
          <w:highlight w:val="none"/>
        </w:rPr>
        <w:t>投标人未被列入“在一定期限内依法取消参加依法必须进行招标的项目的投标资格”，具体名单以递交投标文件截止时间“信用广州”公布的“黑名单”为准。</w:t>
      </w:r>
    </w:p>
    <w:p w14:paraId="6A2ED871">
      <w:pPr>
        <w:pStyle w:val="29"/>
        <w:spacing w:before="0" w:after="0" w:line="360" w:lineRule="auto"/>
        <w:ind w:firstLine="540"/>
        <w:jc w:val="both"/>
        <w:rPr>
          <w:rFonts w:hint="default"/>
          <w:color w:val="auto"/>
          <w:sz w:val="24"/>
          <w:szCs w:val="24"/>
          <w:highlight w:val="none"/>
          <w:lang w:val="en-US" w:eastAsia="zh-CN"/>
        </w:rPr>
      </w:pPr>
      <w:r>
        <w:rPr>
          <w:rFonts w:hint="default" w:ascii="宋体" w:hAnsi="宋体" w:eastAsia="宋体" w:cs="Times New Roman"/>
          <w:color w:val="auto"/>
          <w:sz w:val="24"/>
          <w:szCs w:val="24"/>
          <w:highlight w:val="none"/>
        </w:rPr>
        <w:t>注：《全国失信惩戒措施清单基础清单》（2024版）</w:t>
      </w:r>
      <w:r>
        <w:rPr>
          <w:rFonts w:hint="eastAsia" w:ascii="仿宋" w:hAnsi="仿宋" w:eastAsia="仿宋" w:cs="仿宋"/>
          <w:color w:val="auto"/>
          <w:sz w:val="24"/>
          <w:szCs w:val="24"/>
          <w:highlight w:val="none"/>
        </w:rPr>
        <w:t>。</w:t>
      </w:r>
    </w:p>
    <w:p w14:paraId="24A47587">
      <w:pPr>
        <w:tabs>
          <w:tab w:val="left" w:pos="7513"/>
        </w:tabs>
        <w:spacing w:line="360" w:lineRule="auto"/>
        <w:ind w:firstLine="480" w:firstLineChars="200"/>
        <w:jc w:val="both"/>
        <w:rPr>
          <w:rFonts w:hint="default" w:ascii="宋体" w:hAnsi="Times New Roman"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pacing w:val="7"/>
          <w:sz w:val="24"/>
          <w:szCs w:val="24"/>
          <w:highlight w:val="none"/>
        </w:rPr>
        <w:t>本次</w:t>
      </w:r>
      <w:r>
        <w:rPr>
          <w:rFonts w:hint="default" w:ascii="宋体" w:hAnsi="Times New Roman" w:eastAsia="宋体" w:cs="宋体"/>
          <w:color w:val="auto"/>
          <w:spacing w:val="7"/>
          <w:sz w:val="24"/>
          <w:szCs w:val="24"/>
          <w:highlight w:val="none"/>
        </w:rPr>
        <w:t>招标</w:t>
      </w:r>
      <w:r>
        <w:rPr>
          <w:rFonts w:hint="eastAsia" w:cs="宋体"/>
          <w:color w:val="auto"/>
          <w:spacing w:val="7"/>
          <w:sz w:val="24"/>
          <w:szCs w:val="24"/>
          <w:highlight w:val="none"/>
          <w:u w:val="single"/>
          <w:lang w:val="en-US" w:eastAsia="zh-CN"/>
        </w:rPr>
        <w:t>不接受</w:t>
      </w:r>
      <w:r>
        <w:rPr>
          <w:rFonts w:hint="default" w:ascii="宋体" w:hAnsi="Times New Roman" w:eastAsia="宋体" w:cs="宋体"/>
          <w:color w:val="auto"/>
          <w:spacing w:val="6"/>
          <w:sz w:val="24"/>
          <w:szCs w:val="24"/>
          <w:highlight w:val="none"/>
        </w:rPr>
        <w:t>联合体投标</w:t>
      </w:r>
      <w:r>
        <w:rPr>
          <w:rFonts w:hint="default" w:ascii="宋体" w:hAnsi="Times New Roman" w:eastAsia="宋体" w:cs="宋体"/>
          <w:color w:val="auto"/>
          <w:sz w:val="24"/>
          <w:szCs w:val="24"/>
          <w:highlight w:val="none"/>
        </w:rPr>
        <w:t>。</w:t>
      </w:r>
    </w:p>
    <w:p w14:paraId="05B3006F">
      <w:pPr>
        <w:pStyle w:val="5"/>
        <w:outlineLvl w:val="1"/>
        <w:rPr>
          <w:rFonts w:hint="default" w:cs="宋体"/>
          <w:color w:val="auto"/>
          <w:sz w:val="24"/>
          <w:szCs w:val="24"/>
          <w:highlight w:val="none"/>
        </w:rPr>
      </w:pPr>
      <w:bookmarkStart w:id="11" w:name="bookmark5"/>
      <w:bookmarkEnd w:id="11"/>
      <w:bookmarkStart w:id="12" w:name="_Toc22237"/>
      <w:r>
        <w:rPr>
          <w:rFonts w:hint="default" w:cs="宋体"/>
          <w:color w:val="auto"/>
          <w:sz w:val="24"/>
          <w:szCs w:val="24"/>
          <w:highlight w:val="none"/>
        </w:rPr>
        <w:t>4.招标文件的获取</w:t>
      </w:r>
      <w:bookmarkEnd w:id="12"/>
    </w:p>
    <w:p w14:paraId="6A62BF03">
      <w:pPr>
        <w:widowControl/>
        <w:topLinePunct/>
        <w:autoSpaceDE/>
        <w:autoSpaceDN/>
        <w:adjustRightInd/>
        <w:snapToGrid w:val="0"/>
        <w:spacing w:line="400" w:lineRule="exact"/>
        <w:ind w:firstLine="471" w:firstLineChars="198"/>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default"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08</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05</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4BD0CB88">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6250D700">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6F7601EB">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13" w:name="_Toc31577"/>
      <w:r>
        <w:rPr>
          <w:rFonts w:hint="default" w:ascii="宋体" w:hAnsi="宋体" w:eastAsia="宋体" w:cs="Times New Roman"/>
          <w:color w:val="auto"/>
          <w:sz w:val="24"/>
          <w:szCs w:val="24"/>
          <w:highlight w:val="none"/>
          <w:lang w:val="en-US" w:eastAsia="zh-CN"/>
        </w:rPr>
        <w:t>4.3 本项目采用资格后审方式。</w:t>
      </w:r>
      <w:bookmarkEnd w:id="13"/>
    </w:p>
    <w:p w14:paraId="440F94D4">
      <w:pPr>
        <w:pStyle w:val="5"/>
        <w:outlineLvl w:val="1"/>
        <w:rPr>
          <w:rFonts w:hint="default" w:cs="宋体"/>
          <w:color w:val="auto"/>
          <w:sz w:val="24"/>
          <w:szCs w:val="24"/>
          <w:highlight w:val="none"/>
        </w:rPr>
      </w:pPr>
      <w:bookmarkStart w:id="14" w:name="bookmark6"/>
      <w:bookmarkEnd w:id="14"/>
      <w:bookmarkStart w:id="15" w:name="_Toc29694"/>
      <w:r>
        <w:rPr>
          <w:rFonts w:hint="default" w:cs="宋体"/>
          <w:color w:val="auto"/>
          <w:sz w:val="24"/>
          <w:szCs w:val="24"/>
          <w:highlight w:val="none"/>
        </w:rPr>
        <w:t>5.投标文件的递交</w:t>
      </w:r>
      <w:bookmarkEnd w:id="15"/>
    </w:p>
    <w:p w14:paraId="0A2340CE">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08</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05</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7227B00C">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在投标截止时间后半小时内，投标人通过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602C7303">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5927D17F">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08</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05</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default" w:ascii="宋体" w:hAnsi="宋体" w:eastAsia="宋体" w:cs="宋体"/>
          <w:color w:val="auto"/>
          <w:sz w:val="24"/>
          <w:szCs w:val="24"/>
          <w:highlight w:val="none"/>
        </w:rPr>
        <w:t xml:space="preserve">分。    </w:t>
      </w:r>
    </w:p>
    <w:p w14:paraId="1371D621">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FDB7745">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1E9391D4">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43D1F294">
      <w:pPr>
        <w:pStyle w:val="5"/>
        <w:outlineLvl w:val="1"/>
        <w:rPr>
          <w:rFonts w:hint="default"/>
          <w:color w:val="auto"/>
          <w:sz w:val="24"/>
          <w:szCs w:val="24"/>
          <w:highlight w:val="none"/>
        </w:rPr>
      </w:pPr>
      <w:bookmarkStart w:id="16" w:name="bookmark7"/>
      <w:bookmarkEnd w:id="16"/>
      <w:bookmarkStart w:id="17" w:name="_Toc8495"/>
      <w:r>
        <w:rPr>
          <w:rFonts w:hint="default"/>
          <w:color w:val="auto"/>
          <w:sz w:val="24"/>
          <w:szCs w:val="24"/>
          <w:highlight w:val="none"/>
        </w:rPr>
        <w:t>6.发布公告的媒介</w:t>
      </w:r>
      <w:bookmarkEnd w:id="17"/>
    </w:p>
    <w:p w14:paraId="50ECE763">
      <w:pPr>
        <w:snapToGrid w:val="0"/>
        <w:spacing w:line="360" w:lineRule="auto"/>
        <w:ind w:firstLine="240" w:firstLineChars="1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p>
    <w:p w14:paraId="3D164D41">
      <w:pPr>
        <w:pStyle w:val="5"/>
        <w:outlineLvl w:val="1"/>
        <w:rPr>
          <w:rFonts w:ascii="宋体" w:hAnsi="宋体" w:eastAsia="宋体"/>
          <w:color w:val="auto"/>
          <w:highlight w:val="none"/>
          <w:lang w:val="en-US" w:eastAsia="zh-CN"/>
        </w:rPr>
      </w:pPr>
      <w:bookmarkStart w:id="18" w:name="bookmark8"/>
      <w:bookmarkEnd w:id="18"/>
      <w:bookmarkStart w:id="19" w:name="_Toc12025"/>
      <w:bookmarkStart w:id="20" w:name="_Toc24439"/>
      <w:r>
        <w:rPr>
          <w:rFonts w:hint="eastAsia"/>
          <w:color w:val="auto"/>
          <w:highlight w:val="none"/>
          <w:lang w:val="en-US" w:eastAsia="zh-CN"/>
        </w:rPr>
        <w:t>7</w:t>
      </w:r>
      <w:r>
        <w:rPr>
          <w:rFonts w:hint="default" w:ascii="宋体" w:hAnsi="宋体" w:eastAsia="宋体"/>
          <w:color w:val="auto"/>
          <w:highlight w:val="none"/>
          <w:lang w:val="en-US" w:eastAsia="zh-CN"/>
        </w:rPr>
        <w:t>.疑问、异议、投诉处理</w:t>
      </w:r>
      <w:bookmarkEnd w:id="19"/>
    </w:p>
    <w:p w14:paraId="3235E830">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537CCAB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203F00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52979F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1BE7B79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518D4D8">
      <w:pPr>
        <w:pStyle w:val="5"/>
        <w:ind w:firstLine="482" w:firstLineChars="200"/>
        <w:outlineLvl w:val="1"/>
        <w:rPr>
          <w:rFonts w:hint="default"/>
          <w:color w:val="auto"/>
          <w:sz w:val="24"/>
          <w:szCs w:val="24"/>
          <w:highlight w:val="none"/>
          <w:lang w:val="en-US" w:eastAsia="zh-CN"/>
        </w:rPr>
      </w:pPr>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0"/>
    </w:p>
    <w:p w14:paraId="2EB49E58">
      <w:pPr>
        <w:pStyle w:val="5"/>
        <w:ind w:firstLine="482" w:firstLineChars="200"/>
        <w:outlineLvl w:val="1"/>
        <w:rPr>
          <w:rFonts w:hint="eastAsia" w:ascii="Microsoft JhengHei" w:hAnsi="Microsoft JhengHei" w:eastAsia="Microsoft JhengHei"/>
          <w:b w:val="0"/>
          <w:color w:val="auto"/>
          <w:sz w:val="19"/>
          <w:szCs w:val="24"/>
          <w:highlight w:val="none"/>
        </w:rPr>
      </w:pPr>
      <w:bookmarkStart w:id="21" w:name="_Toc27093"/>
      <w:r>
        <w:rPr>
          <w:rFonts w:hint="eastAsia"/>
          <w:color w:val="auto"/>
          <w:sz w:val="24"/>
          <w:szCs w:val="24"/>
          <w:highlight w:val="none"/>
          <w:lang w:val="en-US" w:eastAsia="zh-CN"/>
        </w:rPr>
        <w:t>9</w:t>
      </w:r>
      <w:r>
        <w:rPr>
          <w:rFonts w:hint="default"/>
          <w:color w:val="auto"/>
          <w:sz w:val="24"/>
          <w:szCs w:val="24"/>
          <w:highlight w:val="none"/>
        </w:rPr>
        <w:t>.联系方式</w:t>
      </w:r>
      <w:bookmarkEnd w:id="21"/>
    </w:p>
    <w:p w14:paraId="4F75D209">
      <w:pPr>
        <w:spacing w:line="360" w:lineRule="auto"/>
        <w:ind w:firstLine="0" w:firstLineChars="0"/>
        <w:rPr>
          <w:rFonts w:ascii="宋体"/>
          <w:color w:val="auto"/>
          <w:sz w:val="24"/>
          <w:highlight w:val="none"/>
          <w:u w:val="single"/>
        </w:rPr>
      </w:pPr>
      <w:r>
        <w:rPr>
          <w:rFonts w:hint="eastAsia" w:ascii="宋体" w:hAnsi="宋体"/>
          <w:color w:val="auto"/>
          <w:sz w:val="24"/>
          <w:highlight w:val="none"/>
        </w:rPr>
        <w:t>招标单位：</w:t>
      </w:r>
      <w:r>
        <w:rPr>
          <w:rFonts w:hint="eastAsia" w:ascii="宋体" w:hAnsi="宋体" w:cs="宋体"/>
          <w:sz w:val="24"/>
          <w:szCs w:val="24"/>
          <w:highlight w:val="none"/>
          <w:u w:val="single"/>
          <w:lang w:eastAsia="zh-CN"/>
        </w:rPr>
        <w:t>广州市番禺水务股份有限公司</w:t>
      </w:r>
    </w:p>
    <w:p w14:paraId="0A277316">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sz w:val="24"/>
          <w:highlight w:val="none"/>
          <w:u w:val="single"/>
          <w:lang w:val="en-US" w:eastAsia="zh-CN"/>
        </w:rPr>
        <w:t>陈小姐</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仿宋" w:hAnsi="仿宋" w:eastAsia="仿宋"/>
          <w:sz w:val="24"/>
          <w:szCs w:val="24"/>
          <w:highlight w:val="none"/>
          <w:u w:val="single"/>
          <w:lang w:eastAsia="zh-CN"/>
        </w:rPr>
        <w:t>020-39180935</w:t>
      </w:r>
    </w:p>
    <w:p w14:paraId="460F0F97">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广东创达工程技术有限公司</w:t>
      </w:r>
    </w:p>
    <w:p w14:paraId="3451ACBA">
      <w:pPr>
        <w:spacing w:line="360" w:lineRule="auto"/>
        <w:ind w:firstLine="0" w:firstLineChars="0"/>
        <w:rPr>
          <w:rFonts w:hint="default" w:asci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林</w:t>
      </w:r>
      <w:r>
        <w:rPr>
          <w:rFonts w:hint="eastAsia" w:ascii="宋体" w:hAnsi="宋体"/>
          <w:color w:val="auto"/>
          <w:sz w:val="24"/>
          <w:highlight w:val="none"/>
          <w:u w:val="single"/>
        </w:rPr>
        <w:t>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1</w:t>
      </w:r>
      <w:r>
        <w:rPr>
          <w:rFonts w:hint="eastAsia" w:ascii="宋体" w:hAnsi="宋体"/>
          <w:color w:val="auto"/>
          <w:sz w:val="24"/>
          <w:highlight w:val="none"/>
          <w:u w:val="single"/>
          <w:lang w:val="en-US" w:eastAsia="zh-CN"/>
        </w:rPr>
        <w:t>5817977396</w:t>
      </w:r>
    </w:p>
    <w:p w14:paraId="1BE57C10">
      <w:pPr>
        <w:spacing w:line="360" w:lineRule="auto"/>
        <w:ind w:firstLine="0" w:firstLineChars="0"/>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广州市番禺区建设工程招标管理办公室</w:t>
      </w:r>
    </w:p>
    <w:p w14:paraId="38904737">
      <w:pPr>
        <w:spacing w:line="360" w:lineRule="auto"/>
        <w:ind w:firstLine="0" w:firstLineChars="0"/>
        <w:rPr>
          <w:color w:val="auto"/>
          <w:sz w:val="24"/>
          <w:szCs w:val="21"/>
          <w:highlight w:val="none"/>
        </w:rPr>
      </w:pPr>
      <w:r>
        <w:rPr>
          <w:rFonts w:hint="eastAsia" w:ascii="宋体" w:hAnsi="宋体"/>
          <w:color w:val="auto"/>
          <w:sz w:val="24"/>
          <w:highlight w:val="none"/>
        </w:rPr>
        <w:t>监督电话：</w:t>
      </w:r>
      <w:r>
        <w:rPr>
          <w:rFonts w:hint="eastAsia" w:ascii="宋体" w:hAnsi="宋体" w:cs="宋体"/>
          <w:color w:val="auto"/>
          <w:kern w:val="0"/>
          <w:sz w:val="24"/>
          <w:highlight w:val="none"/>
          <w:u w:val="single"/>
        </w:rPr>
        <w:t>020-84892221</w:t>
      </w:r>
    </w:p>
    <w:p w14:paraId="36415E1F">
      <w:pPr>
        <w:pStyle w:val="11"/>
        <w:tabs>
          <w:tab w:val="left" w:pos="5880"/>
          <w:tab w:val="left" w:pos="6826"/>
          <w:tab w:val="left" w:pos="7769"/>
        </w:tabs>
        <w:kinsoku w:val="0"/>
        <w:overflowPunct w:val="0"/>
        <w:spacing w:before="198" w:line="360" w:lineRule="auto"/>
        <w:ind w:left="5146" w:right="113" w:firstLineChars="202"/>
        <w:rPr>
          <w:rFonts w:hint="eastAsia"/>
          <w:color w:val="auto"/>
          <w:sz w:val="24"/>
          <w:highlight w:val="none"/>
          <w:lang w:val="en-US" w:eastAsia="zh-CN"/>
        </w:rPr>
      </w:pPr>
      <w:r>
        <w:rPr>
          <w:rFonts w:hint="eastAsia"/>
          <w:color w:val="auto"/>
          <w:sz w:val="24"/>
          <w:highlight w:val="none"/>
          <w:lang w:val="en-US" w:eastAsia="zh-CN"/>
        </w:rPr>
        <w:t>2025</w:t>
      </w:r>
      <w:r>
        <w:rPr>
          <w:rFonts w:hint="eastAsia" w:ascii="宋体" w:hAnsi="宋体"/>
          <w:color w:val="auto"/>
          <w:sz w:val="24"/>
          <w:highlight w:val="none"/>
        </w:rPr>
        <w:t>年</w:t>
      </w:r>
      <w:r>
        <w:rPr>
          <w:rFonts w:hint="eastAsia"/>
          <w:color w:val="auto"/>
          <w:sz w:val="24"/>
          <w:highlight w:val="none"/>
          <w:u w:val="single"/>
          <w:lang w:val="en-US" w:eastAsia="zh-CN"/>
        </w:rPr>
        <w:t>07</w:t>
      </w:r>
      <w:r>
        <w:rPr>
          <w:rFonts w:hint="eastAsia" w:ascii="宋体" w:hAnsi="宋体"/>
          <w:color w:val="auto"/>
          <w:sz w:val="24"/>
          <w:highlight w:val="none"/>
        </w:rPr>
        <w:t>月</w:t>
      </w:r>
      <w:r>
        <w:rPr>
          <w:rFonts w:hint="eastAsia"/>
          <w:color w:val="auto"/>
          <w:sz w:val="24"/>
          <w:highlight w:val="none"/>
          <w:u w:val="single"/>
          <w:lang w:val="en-US" w:eastAsia="zh-CN"/>
        </w:rPr>
        <w:t>16</w:t>
      </w:r>
      <w:r>
        <w:rPr>
          <w:rFonts w:hint="eastAsia"/>
          <w:color w:val="auto"/>
          <w:sz w:val="24"/>
          <w:highlight w:val="none"/>
          <w:lang w:val="en-US" w:eastAsia="zh-CN"/>
        </w:rPr>
        <w:t>日</w:t>
      </w:r>
    </w:p>
    <w:p w14:paraId="129DED5D">
      <w:pPr>
        <w:kinsoku w:val="0"/>
        <w:overflowPunct w:val="0"/>
        <w:spacing w:before="198"/>
        <w:ind w:left="5146" w:right="113" w:firstLineChars="202"/>
        <w:rPr>
          <w:rFonts w:hint="eastAsia"/>
          <w:color w:val="auto"/>
          <w:sz w:val="24"/>
          <w:highlight w:val="none"/>
          <w:lang w:val="en-US" w:eastAsia="zh-CN"/>
        </w:rPr>
      </w:pPr>
      <w:r>
        <w:rPr>
          <w:rFonts w:hint="eastAsia"/>
          <w:color w:val="auto"/>
          <w:sz w:val="24"/>
          <w:highlight w:val="none"/>
          <w:lang w:val="en-US" w:eastAsia="zh-CN"/>
        </w:rPr>
        <w:br w:type="page"/>
      </w:r>
    </w:p>
    <w:p w14:paraId="3515DB16">
      <w:pPr>
        <w:adjustRightInd w:val="0"/>
        <w:snapToGrid w:val="0"/>
        <w:spacing w:line="360" w:lineRule="auto"/>
        <w:rPr>
          <w:rFonts w:hint="eastAsia" w:ascii="宋体" w:hAnsi="宋体"/>
          <w:sz w:val="24"/>
          <w:highlight w:val="none"/>
          <w:u w:val="single"/>
        </w:rPr>
      </w:pPr>
      <w:r>
        <w:rPr>
          <w:rFonts w:hint="eastAsia" w:ascii="宋体" w:hAnsi="宋体"/>
          <w:sz w:val="24"/>
          <w:highlight w:val="none"/>
          <w:u w:val="single"/>
        </w:rPr>
        <w:t>附件</w:t>
      </w:r>
      <w:r>
        <w:rPr>
          <w:rFonts w:hint="eastAsia" w:ascii="宋体" w:hAnsi="宋体"/>
          <w:sz w:val="24"/>
          <w:highlight w:val="none"/>
          <w:u w:val="single"/>
          <w:lang w:val="en-US" w:eastAsia="zh-CN"/>
        </w:rPr>
        <w:t>一</w:t>
      </w:r>
      <w:r>
        <w:rPr>
          <w:rFonts w:hint="eastAsia" w:ascii="宋体" w:hAnsi="宋体"/>
          <w:sz w:val="24"/>
          <w:highlight w:val="none"/>
          <w:u w:val="single"/>
        </w:rPr>
        <w:t>：</w:t>
      </w:r>
    </w:p>
    <w:p w14:paraId="59546550">
      <w:pPr>
        <w:pStyle w:val="2"/>
        <w:ind w:firstLine="4518" w:firstLineChars="1500"/>
        <w:jc w:val="left"/>
        <w:rPr>
          <w:rFonts w:hint="eastAsia" w:hAnsi="宋体"/>
          <w:b/>
          <w:bCs/>
          <w:sz w:val="30"/>
          <w:szCs w:val="30"/>
          <w:highlight w:val="none"/>
          <w:u w:val="single"/>
        </w:rPr>
      </w:pPr>
      <w:r>
        <w:rPr>
          <w:rFonts w:hint="eastAsia" w:hAnsi="宋体"/>
          <w:b/>
          <w:bCs/>
          <w:sz w:val="30"/>
          <w:szCs w:val="30"/>
          <w:highlight w:val="none"/>
          <w:u w:val="single"/>
        </w:rPr>
        <w:t>承诺书</w:t>
      </w:r>
    </w:p>
    <w:p w14:paraId="40B90607">
      <w:pPr>
        <w:keepNext w:val="0"/>
        <w:keepLines w:val="0"/>
        <w:pageBreakBefore w:val="0"/>
        <w:widowControl w:val="0"/>
        <w:kinsoku/>
        <w:wordWrap/>
        <w:overflowPunct/>
        <w:topLinePunct w:val="0"/>
        <w:bidi w:val="0"/>
        <w:adjustRightInd w:val="0"/>
        <w:spacing w:line="360" w:lineRule="auto"/>
        <w:textAlignment w:val="auto"/>
        <w:rPr>
          <w:rFonts w:hint="eastAsia" w:ascii="宋体" w:hAnsi="宋体"/>
          <w:sz w:val="24"/>
          <w:szCs w:val="24"/>
          <w:highlight w:val="none"/>
          <w:u w:val="single"/>
        </w:rPr>
      </w:pPr>
      <w:r>
        <w:rPr>
          <w:rFonts w:hint="eastAsia" w:ascii="宋体" w:hAnsi="宋体"/>
          <w:sz w:val="24"/>
          <w:szCs w:val="24"/>
          <w:highlight w:val="none"/>
          <w:u w:val="single"/>
        </w:rPr>
        <w:t>致            （招标人）：</w:t>
      </w:r>
    </w:p>
    <w:p w14:paraId="4A209427">
      <w:pPr>
        <w:keepNext w:val="0"/>
        <w:keepLines w:val="0"/>
        <w:pageBreakBefore w:val="0"/>
        <w:widowControl w:val="0"/>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本公司就参加</w:t>
      </w:r>
      <w:r>
        <w:rPr>
          <w:rFonts w:hint="eastAsia" w:ascii="宋体" w:hAnsi="宋体" w:cs="宋体"/>
          <w:color w:val="auto"/>
          <w:sz w:val="24"/>
          <w:szCs w:val="24"/>
          <w:highlight w:val="none"/>
          <w:u w:val="single"/>
          <w:lang w:eastAsia="zh-CN"/>
        </w:rPr>
        <w:t>番禺区农村自来水提质增效三年行动计划项目(北约村、秀发村、塘埗西村、南双玉村、茭东村、茭西村、塱边村、猛涌村、云星村汀沙片区)施工监理</w:t>
      </w:r>
      <w:r>
        <w:rPr>
          <w:rFonts w:hint="eastAsia" w:ascii="宋体" w:hAnsi="宋体" w:cs="宋体"/>
          <w:sz w:val="24"/>
          <w:szCs w:val="24"/>
          <w:highlight w:val="none"/>
          <w:u w:val="single"/>
        </w:rPr>
        <w:t>投标工作，本公司知晓本项目招标为</w:t>
      </w:r>
      <w:r>
        <w:rPr>
          <w:rFonts w:hint="eastAsia" w:ascii="宋体" w:hAnsi="宋体" w:cs="宋体"/>
          <w:sz w:val="24"/>
          <w:szCs w:val="24"/>
          <w:highlight w:val="none"/>
          <w:u w:val="single"/>
          <w:lang w:val="en-US" w:eastAsia="zh-CN"/>
        </w:rPr>
        <w:t>9个村</w:t>
      </w:r>
      <w:r>
        <w:rPr>
          <w:rFonts w:hint="eastAsia" w:ascii="宋体" w:hAnsi="宋体" w:cs="宋体"/>
          <w:sz w:val="24"/>
          <w:szCs w:val="24"/>
          <w:highlight w:val="none"/>
          <w:u w:val="single"/>
        </w:rPr>
        <w:t>单独工程合并招标，作出如下承诺：</w:t>
      </w:r>
    </w:p>
    <w:p w14:paraId="77D053DF">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投标文件中所列</w:t>
      </w:r>
      <w:r>
        <w:rPr>
          <w:rFonts w:hint="eastAsia" w:ascii="宋体" w:hAnsi="宋体" w:cs="宋体"/>
          <w:sz w:val="24"/>
          <w:szCs w:val="24"/>
          <w:highlight w:val="none"/>
          <w:u w:val="single"/>
          <w:lang w:val="en-US" w:eastAsia="zh-CN"/>
        </w:rPr>
        <w:t>项目监理人员</w:t>
      </w:r>
      <w:r>
        <w:rPr>
          <w:rFonts w:hint="eastAsia" w:ascii="宋体" w:hAnsi="宋体" w:cs="宋体"/>
          <w:sz w:val="24"/>
          <w:szCs w:val="24"/>
          <w:highlight w:val="none"/>
          <w:u w:val="single"/>
        </w:rPr>
        <w:t>均为拟投入本项目</w:t>
      </w:r>
      <w:r>
        <w:rPr>
          <w:rFonts w:hint="eastAsia" w:ascii="宋体" w:hAnsi="宋体" w:cs="宋体"/>
          <w:sz w:val="24"/>
          <w:szCs w:val="24"/>
          <w:highlight w:val="none"/>
          <w:u w:val="single"/>
          <w:lang w:val="en-US" w:eastAsia="zh-CN"/>
        </w:rPr>
        <w:t>施工监理</w:t>
      </w:r>
      <w:r>
        <w:rPr>
          <w:rFonts w:hint="eastAsia" w:ascii="宋体" w:hAnsi="宋体" w:cs="宋体"/>
          <w:sz w:val="24"/>
          <w:szCs w:val="24"/>
          <w:highlight w:val="none"/>
          <w:u w:val="single"/>
        </w:rPr>
        <w:t>的人员；</w:t>
      </w:r>
    </w:p>
    <w:p w14:paraId="4D7F0762">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中标后签订合同前按</w:t>
      </w:r>
      <w:r>
        <w:rPr>
          <w:rFonts w:hint="eastAsia" w:ascii="宋体" w:hAnsi="宋体" w:cs="宋体"/>
          <w:color w:val="000000"/>
          <w:kern w:val="0"/>
          <w:sz w:val="24"/>
          <w:szCs w:val="24"/>
          <w:highlight w:val="none"/>
          <w:u w:val="single"/>
          <w:lang w:val="en-US" w:eastAsia="zh-CN"/>
        </w:rPr>
        <w:t>要求配齐各子项目的项目监理人员，每个子项目</w:t>
      </w:r>
      <w:r>
        <w:rPr>
          <w:rFonts w:hint="eastAsia" w:ascii="宋体" w:hAnsi="宋体" w:cs="宋体"/>
          <w:sz w:val="24"/>
          <w:szCs w:val="24"/>
          <w:highlight w:val="none"/>
          <w:u w:val="single"/>
        </w:rPr>
        <w:t>要求</w:t>
      </w:r>
      <w:r>
        <w:rPr>
          <w:rFonts w:hint="eastAsia" w:ascii="宋体" w:hAnsi="宋体" w:cs="宋体"/>
          <w:sz w:val="24"/>
          <w:szCs w:val="24"/>
          <w:highlight w:val="none"/>
          <w:u w:val="single"/>
          <w:lang w:val="en-US" w:eastAsia="zh-CN"/>
        </w:rPr>
        <w:t>项目</w:t>
      </w:r>
      <w:r>
        <w:rPr>
          <w:rFonts w:hint="eastAsia" w:ascii="宋体" w:hAnsi="宋体" w:cs="宋体"/>
          <w:sz w:val="24"/>
          <w:szCs w:val="24"/>
          <w:highlight w:val="none"/>
          <w:u w:val="single"/>
        </w:rPr>
        <w:t>总监理工程师</w:t>
      </w:r>
      <w:r>
        <w:rPr>
          <w:rFonts w:hint="eastAsia" w:ascii="宋体" w:hAnsi="宋体" w:cs="宋体"/>
          <w:sz w:val="24"/>
          <w:szCs w:val="24"/>
          <w:highlight w:val="none"/>
          <w:u w:val="single"/>
          <w:lang w:val="en-US" w:eastAsia="zh-CN"/>
        </w:rPr>
        <w:t>1名、</w:t>
      </w:r>
      <w:r>
        <w:rPr>
          <w:rFonts w:hint="eastAsia" w:ascii="宋体" w:hAnsi="宋体" w:cs="宋体"/>
          <w:color w:val="auto"/>
          <w:kern w:val="44"/>
          <w:sz w:val="24"/>
          <w:szCs w:val="24"/>
          <w:highlight w:val="none"/>
          <w:u w:val="single"/>
        </w:rPr>
        <w:t>项目总监理工程师代表</w:t>
      </w:r>
      <w:r>
        <w:rPr>
          <w:rFonts w:hint="eastAsia" w:ascii="宋体" w:hAnsi="宋体" w:cs="宋体"/>
          <w:color w:val="auto"/>
          <w:kern w:val="44"/>
          <w:sz w:val="24"/>
          <w:szCs w:val="24"/>
          <w:highlight w:val="none"/>
          <w:u w:val="single"/>
          <w:lang w:val="en-US" w:eastAsia="zh-CN"/>
        </w:rPr>
        <w:t>1名、</w:t>
      </w:r>
      <w:r>
        <w:rPr>
          <w:rFonts w:hint="eastAsia" w:ascii="宋体" w:hAnsi="宋体" w:cs="宋体"/>
          <w:color w:val="auto"/>
          <w:sz w:val="24"/>
          <w:szCs w:val="24"/>
          <w:highlight w:val="none"/>
          <w:u w:val="single"/>
          <w:lang w:eastAsia="zh-CN"/>
        </w:rPr>
        <w:t>市政公用</w:t>
      </w:r>
      <w:r>
        <w:rPr>
          <w:rFonts w:hint="eastAsia" w:ascii="宋体" w:hAnsi="宋体" w:cs="宋体"/>
          <w:color w:val="auto"/>
          <w:sz w:val="24"/>
          <w:szCs w:val="24"/>
          <w:highlight w:val="none"/>
          <w:u w:val="single"/>
        </w:rPr>
        <w:t>工程专业监理工程师</w:t>
      </w:r>
      <w:r>
        <w:rPr>
          <w:rFonts w:hint="eastAsia" w:ascii="宋体" w:hAnsi="宋体" w:cs="宋体"/>
          <w:sz w:val="24"/>
          <w:szCs w:val="24"/>
          <w:highlight w:val="none"/>
          <w:u w:val="single"/>
          <w:lang w:val="en-US" w:eastAsia="zh-CN"/>
        </w:rPr>
        <w:t>1名</w:t>
      </w:r>
      <w:r>
        <w:rPr>
          <w:rFonts w:hint="eastAsia" w:ascii="宋体" w:hAnsi="宋体" w:cs="宋体"/>
          <w:sz w:val="24"/>
          <w:szCs w:val="24"/>
          <w:highlight w:val="none"/>
          <w:u w:val="single"/>
        </w:rPr>
        <w:t>，并且</w:t>
      </w:r>
      <w:r>
        <w:rPr>
          <w:rFonts w:hint="eastAsia" w:ascii="宋体" w:hAnsi="宋体" w:cs="宋体"/>
          <w:sz w:val="24"/>
          <w:szCs w:val="24"/>
          <w:highlight w:val="none"/>
          <w:u w:val="single"/>
          <w:lang w:val="en-US" w:eastAsia="zh-CN"/>
        </w:rPr>
        <w:t>1个项目</w:t>
      </w:r>
      <w:r>
        <w:rPr>
          <w:rFonts w:hint="eastAsia" w:ascii="宋体" w:hAnsi="宋体" w:cs="宋体"/>
          <w:sz w:val="24"/>
          <w:szCs w:val="24"/>
          <w:highlight w:val="none"/>
          <w:u w:val="single"/>
        </w:rPr>
        <w:t>总监理工程师</w:t>
      </w:r>
      <w:r>
        <w:rPr>
          <w:rFonts w:hint="eastAsia" w:ascii="宋体" w:hAnsi="宋体" w:cs="宋体"/>
          <w:sz w:val="24"/>
          <w:szCs w:val="24"/>
          <w:highlight w:val="none"/>
          <w:u w:val="single"/>
          <w:lang w:val="en-US" w:eastAsia="zh-CN"/>
        </w:rPr>
        <w:t>只能担任三个项目、</w:t>
      </w:r>
      <w:r>
        <w:rPr>
          <w:rFonts w:hint="eastAsia" w:ascii="宋体" w:hAnsi="宋体" w:cs="宋体"/>
          <w:color w:val="auto"/>
          <w:sz w:val="24"/>
          <w:szCs w:val="24"/>
          <w:highlight w:val="none"/>
          <w:u w:val="single"/>
          <w:lang w:eastAsia="zh-CN"/>
        </w:rPr>
        <w:t>市政公用</w:t>
      </w:r>
      <w:r>
        <w:rPr>
          <w:rFonts w:hint="eastAsia" w:ascii="宋体" w:hAnsi="宋体" w:cs="宋体"/>
          <w:color w:val="auto"/>
          <w:sz w:val="24"/>
          <w:szCs w:val="24"/>
          <w:highlight w:val="none"/>
          <w:u w:val="single"/>
        </w:rPr>
        <w:t>工程专业监理工程师</w:t>
      </w:r>
      <w:r>
        <w:rPr>
          <w:rFonts w:hint="eastAsia" w:ascii="宋体" w:hAnsi="宋体" w:cs="宋体"/>
          <w:sz w:val="24"/>
          <w:szCs w:val="24"/>
          <w:highlight w:val="none"/>
          <w:u w:val="single"/>
          <w:lang w:val="en-US" w:eastAsia="zh-CN"/>
        </w:rPr>
        <w:t>不得</w:t>
      </w:r>
      <w:r>
        <w:rPr>
          <w:rFonts w:hint="eastAsia" w:ascii="宋体" w:hAnsi="宋体" w:cs="宋体"/>
          <w:sz w:val="24"/>
          <w:szCs w:val="24"/>
          <w:highlight w:val="none"/>
          <w:u w:val="single"/>
        </w:rPr>
        <w:t>重复或者兼任，同时</w:t>
      </w:r>
      <w:r>
        <w:rPr>
          <w:rFonts w:hint="eastAsia" w:ascii="宋体" w:hAnsi="宋体" w:cs="宋体"/>
          <w:sz w:val="24"/>
          <w:szCs w:val="24"/>
          <w:highlight w:val="none"/>
          <w:u w:val="single"/>
          <w:lang w:val="en-US" w:eastAsia="zh-CN"/>
        </w:rPr>
        <w:t>分别</w:t>
      </w:r>
      <w:r>
        <w:rPr>
          <w:rFonts w:hint="eastAsia" w:ascii="宋体" w:hAnsi="宋体" w:cs="宋体"/>
          <w:sz w:val="24"/>
          <w:szCs w:val="24"/>
          <w:highlight w:val="none"/>
          <w:u w:val="single"/>
        </w:rPr>
        <w:t>提供所投入人员证书原件及社保证明文件等予招标人核查，如果不按本承诺配备人员或者所配备人员不满足要求，我方愿意承担由此产生的所有违约及法律责任；</w:t>
      </w:r>
    </w:p>
    <w:p w14:paraId="367C1812">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本公司承诺，中标后签订合同前按招标文件</w:t>
      </w:r>
      <w:r>
        <w:rPr>
          <w:rFonts w:hint="eastAsia" w:ascii="宋体" w:hAnsi="宋体" w:cs="宋体"/>
          <w:sz w:val="24"/>
          <w:szCs w:val="24"/>
          <w:highlight w:val="none"/>
          <w:u w:val="single"/>
          <w:lang w:val="en-US" w:eastAsia="zh-CN"/>
        </w:rPr>
        <w:t>要求分别</w:t>
      </w:r>
      <w:r>
        <w:rPr>
          <w:rFonts w:hint="eastAsia" w:ascii="宋体" w:hAnsi="宋体" w:cs="宋体"/>
          <w:sz w:val="24"/>
          <w:szCs w:val="24"/>
          <w:highlight w:val="none"/>
          <w:u w:val="single"/>
        </w:rPr>
        <w:t>编制</w:t>
      </w:r>
      <w:r>
        <w:rPr>
          <w:rFonts w:hint="eastAsia" w:ascii="宋体" w:hAnsi="宋体" w:cs="宋体"/>
          <w:color w:val="000000"/>
          <w:kern w:val="0"/>
          <w:sz w:val="24"/>
          <w:szCs w:val="24"/>
          <w:highlight w:val="none"/>
          <w:u w:val="single"/>
          <w:lang w:val="en-US" w:eastAsia="zh-CN"/>
        </w:rPr>
        <w:t>各子项目</w:t>
      </w:r>
      <w:r>
        <w:rPr>
          <w:rFonts w:hint="eastAsia" w:ascii="宋体" w:hAnsi="宋体" w:cs="宋体"/>
          <w:sz w:val="24"/>
          <w:szCs w:val="24"/>
          <w:highlight w:val="none"/>
          <w:u w:val="single"/>
        </w:rPr>
        <w:t>的</w:t>
      </w:r>
      <w:r>
        <w:rPr>
          <w:rFonts w:hint="eastAsia" w:ascii="宋体" w:hAnsi="宋体" w:eastAsia="宋体" w:cs="宋体"/>
          <w:color w:val="auto"/>
          <w:sz w:val="24"/>
          <w:szCs w:val="24"/>
          <w:highlight w:val="none"/>
          <w:u w:val="single"/>
        </w:rPr>
        <w:t>监理大纲</w:t>
      </w:r>
      <w:r>
        <w:rPr>
          <w:rFonts w:hint="eastAsia" w:ascii="宋体" w:hAnsi="宋体" w:cs="宋体"/>
          <w:sz w:val="24"/>
          <w:szCs w:val="24"/>
          <w:highlight w:val="none"/>
          <w:u w:val="single"/>
        </w:rPr>
        <w:t>等资料；</w:t>
      </w:r>
    </w:p>
    <w:p w14:paraId="22E96873">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投标报价文件对</w:t>
      </w:r>
      <w:r>
        <w:rPr>
          <w:rFonts w:hint="eastAsia" w:ascii="宋体" w:hAnsi="宋体" w:cs="宋体"/>
          <w:color w:val="000000"/>
          <w:kern w:val="0"/>
          <w:sz w:val="24"/>
          <w:szCs w:val="24"/>
          <w:highlight w:val="none"/>
          <w:u w:val="single"/>
          <w:lang w:val="en-US" w:eastAsia="zh-CN"/>
        </w:rPr>
        <w:t>各子项目</w:t>
      </w:r>
      <w:r>
        <w:rPr>
          <w:rFonts w:hint="eastAsia" w:ascii="宋体" w:hAnsi="宋体" w:cs="宋体"/>
          <w:sz w:val="24"/>
          <w:szCs w:val="24"/>
          <w:highlight w:val="none"/>
          <w:u w:val="single"/>
        </w:rPr>
        <w:t>分别</w:t>
      </w:r>
      <w:r>
        <w:rPr>
          <w:rFonts w:hint="eastAsia" w:ascii="宋体" w:hAnsi="宋体" w:cs="宋体"/>
          <w:sz w:val="24"/>
          <w:szCs w:val="24"/>
          <w:highlight w:val="none"/>
          <w:u w:val="single"/>
          <w:lang w:val="en-US" w:eastAsia="zh-CN"/>
        </w:rPr>
        <w:t>报价</w:t>
      </w:r>
      <w:r>
        <w:rPr>
          <w:rFonts w:hint="eastAsia" w:ascii="宋体" w:hAnsi="宋体" w:cs="宋体"/>
          <w:sz w:val="24"/>
          <w:szCs w:val="24"/>
          <w:highlight w:val="none"/>
          <w:u w:val="single"/>
        </w:rPr>
        <w:t>；</w:t>
      </w:r>
    </w:p>
    <w:p w14:paraId="07FFE4C7">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本项目</w:t>
      </w:r>
      <w:r>
        <w:rPr>
          <w:rFonts w:hint="eastAsia" w:ascii="宋体" w:hAnsi="宋体" w:cs="宋体"/>
          <w:color w:val="000000"/>
          <w:kern w:val="0"/>
          <w:sz w:val="24"/>
          <w:szCs w:val="24"/>
          <w:highlight w:val="none"/>
          <w:u w:val="single"/>
          <w:lang w:val="en-US" w:eastAsia="zh-CN"/>
        </w:rPr>
        <w:t>各子项目</w:t>
      </w:r>
      <w:r>
        <w:rPr>
          <w:rFonts w:hint="eastAsia" w:ascii="宋体" w:hAnsi="宋体" w:cs="宋体"/>
          <w:sz w:val="24"/>
          <w:szCs w:val="24"/>
          <w:highlight w:val="none"/>
          <w:u w:val="single"/>
        </w:rPr>
        <w:t>施工</w:t>
      </w:r>
      <w:r>
        <w:rPr>
          <w:rFonts w:hint="eastAsia" w:ascii="宋体" w:hAnsi="宋体" w:cs="宋体"/>
          <w:sz w:val="24"/>
          <w:szCs w:val="24"/>
          <w:highlight w:val="none"/>
          <w:u w:val="single"/>
          <w:lang w:val="en-US" w:eastAsia="zh-CN"/>
        </w:rPr>
        <w:t>监理</w:t>
      </w:r>
      <w:r>
        <w:rPr>
          <w:rFonts w:hint="eastAsia" w:ascii="宋体" w:hAnsi="宋体" w:cs="宋体"/>
          <w:sz w:val="24"/>
          <w:szCs w:val="24"/>
          <w:highlight w:val="none"/>
          <w:u w:val="single"/>
        </w:rPr>
        <w:t>过程中均严格按照有关法律法规及招标过程相关资料要求执行；</w:t>
      </w:r>
    </w:p>
    <w:p w14:paraId="47E403FA">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trike w:val="0"/>
          <w:sz w:val="24"/>
          <w:szCs w:val="24"/>
          <w:highlight w:val="none"/>
          <w:u w:val="single"/>
        </w:rPr>
      </w:pPr>
      <w:r>
        <w:rPr>
          <w:rFonts w:hint="eastAsia" w:ascii="宋体" w:hAnsi="宋体" w:cs="宋体"/>
          <w:strike w:val="0"/>
          <w:sz w:val="24"/>
          <w:szCs w:val="24"/>
          <w:highlight w:val="none"/>
          <w:u w:val="single"/>
        </w:rPr>
        <w:t>如本公司违反上述承诺，本公司自愿放弃本项目中标资格，招标人可没收本公司补交的投标保证金，同时承担所产生的后果，如需处理的将依法接受监督部门的行政处罚；</w:t>
      </w:r>
    </w:p>
    <w:p w14:paraId="177DBD99">
      <w:pPr>
        <w:keepNext w:val="0"/>
        <w:keepLines w:val="0"/>
        <w:pageBreakBefore w:val="0"/>
        <w:widowControl w:val="0"/>
        <w:numPr>
          <w:ilvl w:val="0"/>
          <w:numId w:val="1"/>
        </w:numPr>
        <w:kinsoku/>
        <w:wordWrap/>
        <w:overflowPunct/>
        <w:topLinePunct w:val="0"/>
        <w:autoSpaceDE/>
        <w:autoSpaceDN/>
        <w:bidi w:val="0"/>
        <w:adjustRightInd w:val="0"/>
        <w:snapToGrid/>
        <w:spacing w:line="432" w:lineRule="auto"/>
        <w:ind w:firstLine="435"/>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u w:val="single"/>
        </w:rPr>
        <w:t>在项目实施过程中，若因人员不足或者人员素质不能满足工程实际需要时，我方将无条件按照</w:t>
      </w:r>
      <w:r>
        <w:rPr>
          <w:rFonts w:hint="eastAsia" w:ascii="宋体" w:hAnsi="宋体" w:cs="宋体"/>
          <w:sz w:val="24"/>
          <w:szCs w:val="24"/>
          <w:highlight w:val="none"/>
          <w:u w:val="single"/>
          <w:lang w:val="en-US" w:eastAsia="zh-CN"/>
        </w:rPr>
        <w:t>招标人</w:t>
      </w:r>
      <w:r>
        <w:rPr>
          <w:rFonts w:hint="eastAsia" w:ascii="宋体" w:hAnsi="宋体" w:cs="宋体"/>
          <w:sz w:val="24"/>
          <w:szCs w:val="24"/>
          <w:highlight w:val="none"/>
          <w:u w:val="single"/>
        </w:rPr>
        <w:t>要求更换或增加相关人员，同时接受并承担因此带来的所有责任。</w:t>
      </w:r>
    </w:p>
    <w:p w14:paraId="3B925B6F">
      <w:pPr>
        <w:keepNext w:val="0"/>
        <w:keepLines w:val="0"/>
        <w:pageBreakBefore w:val="0"/>
        <w:widowControl w:val="0"/>
        <w:kinsoku/>
        <w:wordWrap/>
        <w:overflowPunct/>
        <w:topLinePunct w:val="0"/>
        <w:autoSpaceDE/>
        <w:autoSpaceDN/>
        <w:bidi w:val="0"/>
        <w:adjustRightInd w:val="0"/>
        <w:snapToGrid/>
        <w:spacing w:line="432" w:lineRule="auto"/>
        <w:ind w:firstLine="480" w:firstLineChars="200"/>
        <w:jc w:val="both"/>
        <w:textAlignment w:val="auto"/>
        <w:rPr>
          <w:rFonts w:hint="eastAsia" w:ascii="宋体" w:hAnsi="宋体" w:eastAsia="宋体"/>
          <w:sz w:val="24"/>
          <w:szCs w:val="24"/>
          <w:highlight w:val="none"/>
          <w:u w:val="single"/>
          <w:lang w:eastAsia="zh-CN"/>
        </w:rPr>
      </w:pPr>
      <w:r>
        <w:rPr>
          <w:rFonts w:hint="eastAsia" w:ascii="宋体" w:hAnsi="宋体"/>
          <w:sz w:val="24"/>
          <w:szCs w:val="24"/>
          <w:highlight w:val="none"/>
          <w:u w:val="single"/>
        </w:rPr>
        <w:t xml:space="preserve"> 特此承诺</w:t>
      </w:r>
      <w:r>
        <w:rPr>
          <w:rFonts w:hint="eastAsia" w:ascii="宋体" w:hAnsi="宋体"/>
          <w:sz w:val="24"/>
          <w:szCs w:val="24"/>
          <w:highlight w:val="none"/>
          <w:u w:val="single"/>
          <w:lang w:eastAsia="zh-CN"/>
        </w:rPr>
        <w:t>！</w:t>
      </w:r>
    </w:p>
    <w:p w14:paraId="2BFBA743">
      <w:pPr>
        <w:pStyle w:val="2"/>
        <w:keepNext w:val="0"/>
        <w:keepLines w:val="0"/>
        <w:pageBreakBefore w:val="0"/>
        <w:widowControl w:val="0"/>
        <w:kinsoku/>
        <w:wordWrap/>
        <w:overflowPunct/>
        <w:topLinePunct w:val="0"/>
        <w:bidi w:val="0"/>
        <w:adjustRightInd w:val="0"/>
        <w:spacing w:line="360" w:lineRule="auto"/>
        <w:textAlignment w:val="auto"/>
        <w:rPr>
          <w:sz w:val="24"/>
          <w:szCs w:val="24"/>
          <w:highlight w:val="none"/>
          <w:u w:val="single"/>
        </w:rPr>
      </w:pPr>
    </w:p>
    <w:p w14:paraId="495FDBED">
      <w:pPr>
        <w:pStyle w:val="33"/>
        <w:kinsoku/>
        <w:overflowPunct/>
        <w:adjustRightInd w:val="0"/>
        <w:snapToGrid w:val="0"/>
        <w:spacing w:before="0"/>
        <w:ind w:left="0" w:right="1449" w:firstLine="3600" w:firstLineChars="1500"/>
        <w:jc w:val="right"/>
        <w:rPr>
          <w:rFonts w:hint="default"/>
          <w:color w:val="auto"/>
          <w:sz w:val="24"/>
          <w:highlight w:val="none"/>
          <w:lang w:val="en-US" w:eastAsia="zh-CN"/>
        </w:rPr>
      </w:pPr>
      <w:r>
        <w:rPr>
          <w:rFonts w:hint="eastAsia" w:asci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承诺企业：</w:t>
      </w:r>
      <w:r>
        <w:rPr>
          <w:rFonts w:hint="eastAsia" w:ascii="宋体" w:hAnsi="宋体" w:eastAsia="宋体"/>
          <w:color w:val="auto"/>
          <w:sz w:val="24"/>
          <w:szCs w:val="24"/>
          <w:highlight w:val="none"/>
        </w:rPr>
        <w:t xml:space="preserve">                                              </w:t>
      </w:r>
      <w:r>
        <w:rPr>
          <w:rFonts w:hint="eastAsia" w:ascii="宋体" w:eastAsia="宋体"/>
          <w:color w:val="auto"/>
          <w:sz w:val="24"/>
          <w:szCs w:val="24"/>
          <w:highlight w:val="none"/>
          <w:lang w:val="en-US" w:eastAsia="zh-CN"/>
        </w:rPr>
        <w:t xml:space="preserve">              </w:t>
      </w:r>
      <w:r>
        <w:rPr>
          <w:rFonts w:hint="eastAsia" w:ascii="宋体" w:hAnsi="宋体" w:eastAsia="宋体"/>
          <w:color w:val="auto"/>
          <w:sz w:val="24"/>
          <w:szCs w:val="24"/>
          <w:highlight w:val="none"/>
          <w:u w:val="single"/>
        </w:rPr>
        <w:t>年</w:t>
      </w:r>
      <w:r>
        <w:rPr>
          <w:rFonts w:ascii="宋体" w:hAnsi="宋体" w:eastAsia="宋体"/>
          <w:color w:val="auto"/>
          <w:sz w:val="24"/>
          <w:szCs w:val="24"/>
          <w:highlight w:val="none"/>
          <w:u w:val="single"/>
        </w:rPr>
        <w:t xml:space="preserve">   </w:t>
      </w:r>
      <w:bookmarkStart w:id="22" w:name="_GoBack"/>
      <w:bookmarkEnd w:id="22"/>
      <w:r>
        <w:rPr>
          <w:rFonts w:hint="eastAsia" w:ascii="宋体" w:hAnsi="宋体" w:eastAsia="宋体"/>
          <w:color w:val="auto"/>
          <w:sz w:val="24"/>
          <w:szCs w:val="24"/>
          <w:highlight w:val="none"/>
          <w:u w:val="singl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日</w:t>
      </w:r>
    </w:p>
    <w:sectPr>
      <w:headerReference r:id="rId5" w:type="default"/>
      <w:footerReference r:id="rId6" w:type="default"/>
      <w:pgSz w:w="11905" w:h="16838"/>
      <w:pgMar w:top="1134" w:right="1134" w:bottom="1134" w:left="1134" w:header="720" w:footer="720" w:gutter="0"/>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EDFA">
    <w:pPr>
      <w:pStyle w:val="13"/>
      <w:jc w:val="center"/>
    </w:pPr>
  </w:p>
  <w:p w14:paraId="7DEF5E7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C8A4">
    <w:pPr>
      <w:pStyle w:val="11"/>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1B0EA64">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1B0EA64">
                    <w:pPr>
                      <w:pStyle w:val="11"/>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EB7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9CEA">
    <w:pPr>
      <w:pStyle w:val="14"/>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E947E"/>
    <w:multiLevelType w:val="singleLevel"/>
    <w:tmpl w:val="788E94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3D6656"/>
    <w:rsid w:val="004E616D"/>
    <w:rsid w:val="008C7026"/>
    <w:rsid w:val="01575235"/>
    <w:rsid w:val="015F5C05"/>
    <w:rsid w:val="01774DE7"/>
    <w:rsid w:val="020F624B"/>
    <w:rsid w:val="02306473"/>
    <w:rsid w:val="023F613B"/>
    <w:rsid w:val="02456680"/>
    <w:rsid w:val="02800347"/>
    <w:rsid w:val="028805ED"/>
    <w:rsid w:val="02DE623E"/>
    <w:rsid w:val="03F32E0E"/>
    <w:rsid w:val="04180C5E"/>
    <w:rsid w:val="04406715"/>
    <w:rsid w:val="04590E88"/>
    <w:rsid w:val="04675678"/>
    <w:rsid w:val="04DE107D"/>
    <w:rsid w:val="051A51B8"/>
    <w:rsid w:val="051F024B"/>
    <w:rsid w:val="055A6E6C"/>
    <w:rsid w:val="05AB4C82"/>
    <w:rsid w:val="05FA69CA"/>
    <w:rsid w:val="067A7CBC"/>
    <w:rsid w:val="070204F3"/>
    <w:rsid w:val="079D30DF"/>
    <w:rsid w:val="07D7113E"/>
    <w:rsid w:val="08C473E5"/>
    <w:rsid w:val="09035C59"/>
    <w:rsid w:val="09452310"/>
    <w:rsid w:val="09C27272"/>
    <w:rsid w:val="0AAC6766"/>
    <w:rsid w:val="0C771FF0"/>
    <w:rsid w:val="0C997CA3"/>
    <w:rsid w:val="0DCF3BB1"/>
    <w:rsid w:val="0F023DD3"/>
    <w:rsid w:val="0F182768"/>
    <w:rsid w:val="0F7B70FF"/>
    <w:rsid w:val="11516369"/>
    <w:rsid w:val="11702C8D"/>
    <w:rsid w:val="118D5074"/>
    <w:rsid w:val="12650AB2"/>
    <w:rsid w:val="12D9220E"/>
    <w:rsid w:val="13900507"/>
    <w:rsid w:val="14DE58BA"/>
    <w:rsid w:val="15B71D5F"/>
    <w:rsid w:val="15C251DC"/>
    <w:rsid w:val="15FA071C"/>
    <w:rsid w:val="176A0758"/>
    <w:rsid w:val="184711C8"/>
    <w:rsid w:val="187237A6"/>
    <w:rsid w:val="189B1E31"/>
    <w:rsid w:val="1AE837D0"/>
    <w:rsid w:val="1AE87493"/>
    <w:rsid w:val="1CC10D5D"/>
    <w:rsid w:val="1D8B6EF6"/>
    <w:rsid w:val="1D9C4564"/>
    <w:rsid w:val="1D9C4FE8"/>
    <w:rsid w:val="1E4D619C"/>
    <w:rsid w:val="1E7A2AF8"/>
    <w:rsid w:val="1E7F009A"/>
    <w:rsid w:val="1EAE2913"/>
    <w:rsid w:val="1F493040"/>
    <w:rsid w:val="1F5C1D9D"/>
    <w:rsid w:val="1F612C06"/>
    <w:rsid w:val="1FB76ED1"/>
    <w:rsid w:val="203A10AC"/>
    <w:rsid w:val="208A5DA4"/>
    <w:rsid w:val="20CE3F4B"/>
    <w:rsid w:val="21A27D50"/>
    <w:rsid w:val="21DC13D3"/>
    <w:rsid w:val="221729FA"/>
    <w:rsid w:val="231C1107"/>
    <w:rsid w:val="2338257F"/>
    <w:rsid w:val="24082C83"/>
    <w:rsid w:val="242C27F9"/>
    <w:rsid w:val="259F668D"/>
    <w:rsid w:val="25A44C59"/>
    <w:rsid w:val="26A06E9C"/>
    <w:rsid w:val="26CF6181"/>
    <w:rsid w:val="27425E42"/>
    <w:rsid w:val="27761936"/>
    <w:rsid w:val="284F3DC2"/>
    <w:rsid w:val="288B74C9"/>
    <w:rsid w:val="29363976"/>
    <w:rsid w:val="299B49CD"/>
    <w:rsid w:val="2A203FB9"/>
    <w:rsid w:val="2A317C23"/>
    <w:rsid w:val="2A892946"/>
    <w:rsid w:val="2AD633D1"/>
    <w:rsid w:val="2B7541DA"/>
    <w:rsid w:val="2BF34C1B"/>
    <w:rsid w:val="2D07305C"/>
    <w:rsid w:val="2D4D46B5"/>
    <w:rsid w:val="2E4E5407"/>
    <w:rsid w:val="2E6508F1"/>
    <w:rsid w:val="2EAD14DA"/>
    <w:rsid w:val="2F4A16AB"/>
    <w:rsid w:val="300375DA"/>
    <w:rsid w:val="310E7E6D"/>
    <w:rsid w:val="319043B9"/>
    <w:rsid w:val="31EF70F7"/>
    <w:rsid w:val="322B758E"/>
    <w:rsid w:val="324A2A66"/>
    <w:rsid w:val="32D57EA5"/>
    <w:rsid w:val="33CB2EA1"/>
    <w:rsid w:val="3419111C"/>
    <w:rsid w:val="34E53114"/>
    <w:rsid w:val="35494B7A"/>
    <w:rsid w:val="35CA16AF"/>
    <w:rsid w:val="36115F43"/>
    <w:rsid w:val="37090E2F"/>
    <w:rsid w:val="37865B8C"/>
    <w:rsid w:val="37F11938"/>
    <w:rsid w:val="39037C61"/>
    <w:rsid w:val="39750026"/>
    <w:rsid w:val="39E420C2"/>
    <w:rsid w:val="3A444BF6"/>
    <w:rsid w:val="3A960DB6"/>
    <w:rsid w:val="3A971C80"/>
    <w:rsid w:val="3AE64F8C"/>
    <w:rsid w:val="3CDB3F9D"/>
    <w:rsid w:val="3D864BBD"/>
    <w:rsid w:val="3DE028BE"/>
    <w:rsid w:val="3E7E2A01"/>
    <w:rsid w:val="3E940328"/>
    <w:rsid w:val="3F04284B"/>
    <w:rsid w:val="40093884"/>
    <w:rsid w:val="407231D7"/>
    <w:rsid w:val="41434B73"/>
    <w:rsid w:val="416C23F6"/>
    <w:rsid w:val="41CE723A"/>
    <w:rsid w:val="4238078A"/>
    <w:rsid w:val="436B26B6"/>
    <w:rsid w:val="458E4A51"/>
    <w:rsid w:val="475C24EB"/>
    <w:rsid w:val="47B2035D"/>
    <w:rsid w:val="47B67BBB"/>
    <w:rsid w:val="489C6820"/>
    <w:rsid w:val="48E75AF7"/>
    <w:rsid w:val="49247828"/>
    <w:rsid w:val="495B5859"/>
    <w:rsid w:val="4A477482"/>
    <w:rsid w:val="4A742A58"/>
    <w:rsid w:val="4AB1638A"/>
    <w:rsid w:val="4B237385"/>
    <w:rsid w:val="4B3E45F3"/>
    <w:rsid w:val="4B83098E"/>
    <w:rsid w:val="4D0369F0"/>
    <w:rsid w:val="4D840566"/>
    <w:rsid w:val="4D903A6C"/>
    <w:rsid w:val="4DA53844"/>
    <w:rsid w:val="4DB7491F"/>
    <w:rsid w:val="4E6B1B2F"/>
    <w:rsid w:val="4EAA7737"/>
    <w:rsid w:val="4ECA5E1A"/>
    <w:rsid w:val="4F0823B4"/>
    <w:rsid w:val="4F0E5F87"/>
    <w:rsid w:val="4F5F701C"/>
    <w:rsid w:val="4F7D6EC3"/>
    <w:rsid w:val="4F7F2F6A"/>
    <w:rsid w:val="4F8817E4"/>
    <w:rsid w:val="50081462"/>
    <w:rsid w:val="511B3A45"/>
    <w:rsid w:val="517A37CC"/>
    <w:rsid w:val="51B14448"/>
    <w:rsid w:val="51CC7911"/>
    <w:rsid w:val="52021EE1"/>
    <w:rsid w:val="5223443E"/>
    <w:rsid w:val="522C3C23"/>
    <w:rsid w:val="52A929CD"/>
    <w:rsid w:val="53326776"/>
    <w:rsid w:val="535A3497"/>
    <w:rsid w:val="53CA061D"/>
    <w:rsid w:val="53EF77F2"/>
    <w:rsid w:val="54216F96"/>
    <w:rsid w:val="55096426"/>
    <w:rsid w:val="55CF0DF3"/>
    <w:rsid w:val="56244B1C"/>
    <w:rsid w:val="5794182D"/>
    <w:rsid w:val="57E70337"/>
    <w:rsid w:val="58D850D3"/>
    <w:rsid w:val="58E533AC"/>
    <w:rsid w:val="595D2673"/>
    <w:rsid w:val="59A876C3"/>
    <w:rsid w:val="59AA71CF"/>
    <w:rsid w:val="5A24333C"/>
    <w:rsid w:val="5A360CAA"/>
    <w:rsid w:val="5A587CD5"/>
    <w:rsid w:val="5B1E5531"/>
    <w:rsid w:val="5DE352BC"/>
    <w:rsid w:val="5DFE61E3"/>
    <w:rsid w:val="5E5B2DF6"/>
    <w:rsid w:val="60C773D6"/>
    <w:rsid w:val="61012141"/>
    <w:rsid w:val="61041EFF"/>
    <w:rsid w:val="61395A68"/>
    <w:rsid w:val="61783F6D"/>
    <w:rsid w:val="61EA613C"/>
    <w:rsid w:val="62001CAC"/>
    <w:rsid w:val="62127545"/>
    <w:rsid w:val="62AB097F"/>
    <w:rsid w:val="62C12D55"/>
    <w:rsid w:val="63750765"/>
    <w:rsid w:val="63DB2CB0"/>
    <w:rsid w:val="63FE472D"/>
    <w:rsid w:val="654A3E4B"/>
    <w:rsid w:val="65D76672"/>
    <w:rsid w:val="66CA3897"/>
    <w:rsid w:val="68257F70"/>
    <w:rsid w:val="68DB3760"/>
    <w:rsid w:val="69375B89"/>
    <w:rsid w:val="69B47845"/>
    <w:rsid w:val="6A0C62D7"/>
    <w:rsid w:val="6A234054"/>
    <w:rsid w:val="6A8D2838"/>
    <w:rsid w:val="6AC8299D"/>
    <w:rsid w:val="6B2A452A"/>
    <w:rsid w:val="6C696E69"/>
    <w:rsid w:val="6D0C5E17"/>
    <w:rsid w:val="6EFF51A9"/>
    <w:rsid w:val="6F585C48"/>
    <w:rsid w:val="6FB6545E"/>
    <w:rsid w:val="6FDC5A0F"/>
    <w:rsid w:val="70176540"/>
    <w:rsid w:val="702B37BF"/>
    <w:rsid w:val="711A0B9D"/>
    <w:rsid w:val="731E0F50"/>
    <w:rsid w:val="739A200E"/>
    <w:rsid w:val="74905EDF"/>
    <w:rsid w:val="757635DC"/>
    <w:rsid w:val="76A25114"/>
    <w:rsid w:val="76B664DE"/>
    <w:rsid w:val="77563D2B"/>
    <w:rsid w:val="77595BAE"/>
    <w:rsid w:val="77F34C42"/>
    <w:rsid w:val="7811525D"/>
    <w:rsid w:val="7838546B"/>
    <w:rsid w:val="784210E3"/>
    <w:rsid w:val="786C1E7A"/>
    <w:rsid w:val="78BA2206"/>
    <w:rsid w:val="792F71B0"/>
    <w:rsid w:val="793E7D8A"/>
    <w:rsid w:val="79BF259A"/>
    <w:rsid w:val="7A962E2B"/>
    <w:rsid w:val="7AC22C18"/>
    <w:rsid w:val="7AC6122C"/>
    <w:rsid w:val="7B8A5777"/>
    <w:rsid w:val="7BA3748A"/>
    <w:rsid w:val="7BB265A2"/>
    <w:rsid w:val="7C1101E9"/>
    <w:rsid w:val="7D4B3C28"/>
    <w:rsid w:val="7DCE4049"/>
    <w:rsid w:val="7E385636"/>
    <w:rsid w:val="7E8D2B2E"/>
    <w:rsid w:val="7EB0669D"/>
    <w:rsid w:val="7F5D6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1"/>
    <w:basedOn w:val="1"/>
    <w:next w:val="1"/>
    <w:autoRedefine/>
    <w:unhideWhenUsed/>
    <w:qFormat/>
    <w:uiPriority w:val="1"/>
    <w:pPr>
      <w:ind w:left="3"/>
      <w:jc w:val="center"/>
      <w:outlineLvl w:val="0"/>
    </w:pPr>
    <w:rPr>
      <w:rFonts w:hint="eastAsia" w:ascii="Microsoft JhengHei" w:hAnsi="Microsoft JhengHei" w:eastAsia="Microsoft JhengHei"/>
      <w:b/>
      <w:sz w:val="44"/>
      <w:szCs w:val="24"/>
    </w:rPr>
  </w:style>
  <w:style w:type="paragraph" w:styleId="4">
    <w:name w:val="heading 2"/>
    <w:basedOn w:val="3"/>
    <w:next w:val="1"/>
    <w:link w:val="34"/>
    <w:autoRedefine/>
    <w:unhideWhenUsed/>
    <w:qFormat/>
    <w:uiPriority w:val="1"/>
    <w:pPr>
      <w:ind w:left="3"/>
      <w:jc w:val="center"/>
      <w:outlineLvl w:val="1"/>
    </w:pPr>
    <w:rPr>
      <w:rFonts w:hint="default" w:ascii="宋体" w:hAnsi="宋体" w:eastAsia="宋体"/>
      <w:sz w:val="30"/>
      <w:szCs w:val="24"/>
    </w:rPr>
  </w:style>
  <w:style w:type="paragraph" w:styleId="5">
    <w:name w:val="heading 3"/>
    <w:basedOn w:val="1"/>
    <w:next w:val="1"/>
    <w:link w:val="26"/>
    <w:autoRedefine/>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6">
    <w:name w:val="heading 4"/>
    <w:basedOn w:val="1"/>
    <w:next w:val="1"/>
    <w:autoRedefine/>
    <w:unhideWhenUsed/>
    <w:qFormat/>
    <w:uiPriority w:val="1"/>
    <w:pPr>
      <w:outlineLvl w:val="3"/>
    </w:pPr>
    <w:rPr>
      <w:rFonts w:hint="default" w:ascii="宋体" w:hAnsi="宋体" w:eastAsia="宋体"/>
      <w:sz w:val="28"/>
      <w:szCs w:val="24"/>
    </w:rPr>
  </w:style>
  <w:style w:type="paragraph" w:styleId="7">
    <w:name w:val="heading 5"/>
    <w:basedOn w:val="1"/>
    <w:next w:val="1"/>
    <w:autoRedefine/>
    <w:unhideWhenUsed/>
    <w:qFormat/>
    <w:uiPriority w:val="1"/>
    <w:pPr>
      <w:ind w:left="237"/>
      <w:outlineLvl w:val="4"/>
    </w:pPr>
    <w:rPr>
      <w:rFonts w:hint="default" w:ascii="宋体" w:hAnsi="宋体" w:eastAsia="宋体"/>
      <w:sz w:val="28"/>
      <w:szCs w:val="24"/>
    </w:rPr>
  </w:style>
  <w:style w:type="paragraph" w:styleId="8">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2">
    <w:name w:val="Default Paragraph Font"/>
    <w:autoRedefine/>
    <w:unhideWhenUsed/>
    <w:qFormat/>
    <w:uiPriority w:val="99"/>
    <w:rPr>
      <w:rFonts w:hint="default"/>
      <w:sz w:val="24"/>
      <w:szCs w:val="24"/>
    </w:rPr>
  </w:style>
  <w:style w:type="table" w:default="1" w:styleId="21">
    <w:name w:val="Normal Table"/>
    <w:autoRedefine/>
    <w:qFormat/>
    <w:uiPriority w:val="0"/>
    <w:tblPr>
      <w:tblCellMar>
        <w:top w:w="0" w:type="dxa"/>
        <w:left w:w="108" w:type="dxa"/>
        <w:bottom w:w="0" w:type="dxa"/>
        <w:right w:w="108" w:type="dxa"/>
      </w:tblCellMar>
    </w:tblPr>
  </w:style>
  <w:style w:type="paragraph" w:styleId="2">
    <w:name w:val="Plain Text"/>
    <w:basedOn w:val="1"/>
    <w:next w:val="1"/>
    <w:autoRedefine/>
    <w:unhideWhenUsed/>
    <w:qFormat/>
    <w:uiPriority w:val="0"/>
    <w:rPr>
      <w:rFonts w:hint="default" w:ascii="宋体" w:hAnsi="Courier New" w:eastAsia="宋体"/>
      <w:sz w:val="24"/>
      <w:szCs w:val="24"/>
    </w:rPr>
  </w:style>
  <w:style w:type="paragraph" w:styleId="9">
    <w:name w:val="annotation text"/>
    <w:basedOn w:val="1"/>
    <w:autoRedefine/>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unhideWhenUsed/>
    <w:qFormat/>
    <w:uiPriority w:val="1"/>
    <w:pPr>
      <w:ind w:left="520"/>
    </w:pPr>
    <w:rPr>
      <w:rFonts w:hint="default" w:ascii="宋体" w:hAnsi="宋体" w:eastAsia="宋体"/>
      <w:sz w:val="21"/>
      <w:szCs w:val="24"/>
    </w:rPr>
  </w:style>
  <w:style w:type="paragraph" w:styleId="12">
    <w:name w:val="toc 3"/>
    <w:basedOn w:val="1"/>
    <w:next w:val="1"/>
    <w:qFormat/>
    <w:uiPriority w:val="99"/>
    <w:pPr>
      <w:ind w:left="840" w:leftChars="400"/>
    </w:pPr>
  </w:style>
  <w:style w:type="paragraph" w:styleId="13">
    <w:name w:val="footer"/>
    <w:basedOn w:val="1"/>
    <w:unhideWhenUsed/>
    <w:qFormat/>
    <w:uiPriority w:val="99"/>
    <w:pPr>
      <w:tabs>
        <w:tab w:val="center" w:pos="4153"/>
        <w:tab w:val="right" w:pos="8306"/>
      </w:tabs>
      <w:snapToGrid w:val="0"/>
    </w:pPr>
    <w:rPr>
      <w:rFonts w:hint="default"/>
      <w:sz w:val="18"/>
      <w:szCs w:val="24"/>
    </w:rPr>
  </w:style>
  <w:style w:type="paragraph" w:styleId="14">
    <w:name w:val="header"/>
    <w:basedOn w:val="1"/>
    <w:autoRedefine/>
    <w:unhideWhenUsed/>
    <w:qFormat/>
    <w:uiPriority w:val="99"/>
    <w:pPr>
      <w:tabs>
        <w:tab w:val="center" w:pos="4153"/>
        <w:tab w:val="right" w:pos="8306"/>
      </w:tabs>
      <w:snapToGrid w:val="0"/>
      <w:jc w:val="both"/>
    </w:pPr>
    <w:rPr>
      <w:rFonts w:hint="default"/>
      <w:sz w:val="18"/>
      <w:szCs w:val="24"/>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qFormat/>
    <w:uiPriority w:val="0"/>
    <w:rPr>
      <w:rFonts w:ascii="宋体" w:hAnsi="宋体"/>
      <w:kern w:val="0"/>
      <w:sz w:val="20"/>
      <w:szCs w:val="24"/>
      <w:u w:val="single"/>
    </w:rPr>
  </w:style>
  <w:style w:type="paragraph" w:styleId="18">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19">
    <w:name w:val="Body Text First Indent"/>
    <w:basedOn w:val="11"/>
    <w:unhideWhenUsed/>
    <w:qFormat/>
    <w:uiPriority w:val="0"/>
    <w:pPr>
      <w:ind w:firstLine="420"/>
    </w:pPr>
    <w:rPr>
      <w:rFonts w:hint="eastAsia" w:ascii="Times New Roman" w:hAnsi="Times New Roman" w:eastAsia="楷体_GB2312"/>
      <w:sz w:val="20"/>
      <w:szCs w:val="24"/>
    </w:rPr>
  </w:style>
  <w:style w:type="paragraph" w:styleId="2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3">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4">
    <w:name w:val="正文缩进1"/>
    <w:basedOn w:val="25"/>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5">
    <w:name w:val="正文1"/>
    <w:basedOn w:val="1"/>
    <w:autoRedefine/>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6">
    <w:name w:val="标题 3 Char"/>
    <w:link w:val="5"/>
    <w:unhideWhenUsed/>
    <w:qFormat/>
    <w:uiPriority w:val="1"/>
    <w:rPr>
      <w:rFonts w:hint="default" w:ascii="宋体" w:hAnsi="宋体" w:eastAsia="宋体"/>
      <w:b/>
      <w:sz w:val="24"/>
      <w:szCs w:val="24"/>
    </w:rPr>
  </w:style>
  <w:style w:type="paragraph" w:customStyle="1" w:styleId="27">
    <w:name w:val="Table Paragraph"/>
    <w:basedOn w:val="1"/>
    <w:unhideWhenUsed/>
    <w:qFormat/>
    <w:uiPriority w:val="1"/>
    <w:rPr>
      <w:rFonts w:hint="default"/>
      <w:sz w:val="24"/>
      <w:szCs w:val="24"/>
    </w:rPr>
  </w:style>
  <w:style w:type="paragraph" w:customStyle="1" w:styleId="28">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29">
    <w:name w:val="p0"/>
    <w:basedOn w:val="1"/>
    <w:unhideWhenUsed/>
    <w:qFormat/>
    <w:uiPriority w:val="0"/>
    <w:pPr>
      <w:widowControl/>
      <w:spacing w:before="75" w:after="75"/>
    </w:pPr>
    <w:rPr>
      <w:rFonts w:hint="default" w:ascii="宋体" w:hAnsi="宋体" w:eastAsia="宋体" w:cs="宋体"/>
      <w:sz w:val="24"/>
      <w:szCs w:val="24"/>
    </w:rPr>
  </w:style>
  <w:style w:type="paragraph" w:styleId="30">
    <w:name w:val="List Paragraph"/>
    <w:basedOn w:val="1"/>
    <w:unhideWhenUsed/>
    <w:qFormat/>
    <w:uiPriority w:val="1"/>
    <w:rPr>
      <w:rFonts w:hint="default"/>
      <w:sz w:val="24"/>
      <w:szCs w:val="24"/>
    </w:rPr>
  </w:style>
  <w:style w:type="paragraph" w:customStyle="1" w:styleId="31">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2">
    <w:name w:val="样式 宋体 行距: 1.5 倍行距"/>
    <w:basedOn w:val="1"/>
    <w:autoRedefine/>
    <w:unhideWhenUsed/>
    <w:qFormat/>
    <w:uiPriority w:val="0"/>
    <w:pPr>
      <w:jc w:val="center"/>
    </w:pPr>
    <w:rPr>
      <w:rFonts w:hint="default"/>
      <w:b/>
      <w:sz w:val="24"/>
      <w:szCs w:val="24"/>
    </w:rPr>
  </w:style>
  <w:style w:type="paragraph" w:customStyle="1" w:styleId="33">
    <w:name w:val="发文落款"/>
    <w:basedOn w:val="28"/>
    <w:unhideWhenUsed/>
    <w:qFormat/>
    <w:uiPriority w:val="99"/>
    <w:pPr>
      <w:ind w:left="4094" w:right="607" w:firstLine="0"/>
      <w:jc w:val="center"/>
    </w:pPr>
    <w:rPr>
      <w:rFonts w:hint="eastAsia" w:cs="仿宋_GB2312"/>
      <w:sz w:val="32"/>
      <w:szCs w:val="32"/>
    </w:rPr>
  </w:style>
  <w:style w:type="character" w:customStyle="1" w:styleId="34">
    <w:name w:val="标题 2 Char"/>
    <w:link w:val="4"/>
    <w:autoRedefine/>
    <w:unhideWhenUsed/>
    <w:qFormat/>
    <w:uiPriority w:val="1"/>
    <w:rPr>
      <w:rFonts w:hint="default" w:ascii="宋体" w:hAnsi="宋体" w:eastAsia="宋体"/>
      <w:b/>
      <w:sz w:val="30"/>
      <w:szCs w:val="24"/>
    </w:rPr>
  </w:style>
  <w:style w:type="character" w:customStyle="1" w:styleId="35">
    <w:name w:val="NormalCharacter"/>
    <w:unhideWhenUsed/>
    <w:qFormat/>
    <w:uiPriority w:val="0"/>
    <w:rPr>
      <w:rFonts w:hint="default"/>
      <w:sz w:val="24"/>
      <w:szCs w:val="24"/>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6754</Words>
  <Characters>7486</Characters>
  <TotalTime>7</TotalTime>
  <ScaleCrop>false</ScaleCrop>
  <LinksUpToDate>false</LinksUpToDate>
  <CharactersWithSpaces>7735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2025-05-22T09:29:00Z</cp:lastPrinted>
  <dcterms:modified xsi:type="dcterms:W3CDTF">2025-07-15T08:32:34Z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0783A5B421DB446A988C49D5E78CB381_13</vt:lpwstr>
  </property>
  <property fmtid="{D5CDD505-2E9C-101B-9397-08002B2CF9AE}" pid="4" name="KSOTemplateDocerSaveRecord">
    <vt:lpwstr>eyJoZGlkIjoiMTAwYTA1ZTVkYjVlNGFlMDQyZmI4MzFmNDY4MDhmMTkiLCJ1c2VySWQiOiI1NzExOTk3MjYifQ==</vt:lpwstr>
  </property>
</Properties>
</file>