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eastAsia="宋体" w:cs="宋体"/>
          <w:b/>
          <w:bCs/>
          <w:color w:val="auto"/>
          <w:w w:val="90"/>
          <w:sz w:val="52"/>
          <w:szCs w:val="52"/>
          <w:highlight w:val="none"/>
          <w:lang w:val="zh-CN"/>
        </w:rPr>
      </w:pPr>
      <w:r>
        <w:rPr>
          <w:rFonts w:hint="eastAsia" w:ascii="宋体" w:hAnsi="宋体" w:eastAsia="宋体" w:cs="宋体"/>
          <w:b/>
          <w:bCs/>
          <w:color w:val="auto"/>
          <w:w w:val="90"/>
          <w:sz w:val="52"/>
          <w:szCs w:val="52"/>
          <w:highlight w:val="none"/>
          <w:lang w:val="zh-CN"/>
        </w:rPr>
        <w:t>岭南集团食品产业基地项目全过程造价</w:t>
      </w:r>
    </w:p>
    <w:p>
      <w:pPr>
        <w:adjustRightInd w:val="0"/>
        <w:snapToGrid w:val="0"/>
        <w:spacing w:line="360" w:lineRule="auto"/>
        <w:jc w:val="center"/>
        <w:rPr>
          <w:rFonts w:ascii="宋体" w:hAnsi="宋体" w:eastAsia="宋体" w:cs="宋体"/>
          <w:b/>
          <w:bCs/>
          <w:color w:val="auto"/>
          <w:w w:val="90"/>
          <w:sz w:val="44"/>
          <w:szCs w:val="44"/>
          <w:highlight w:val="none"/>
          <w:lang w:val="zh-CN"/>
        </w:rPr>
      </w:pPr>
      <w:r>
        <w:rPr>
          <w:rFonts w:hint="eastAsia" w:ascii="宋体" w:hAnsi="宋体" w:eastAsia="宋体" w:cs="宋体"/>
          <w:b/>
          <w:bCs/>
          <w:color w:val="auto"/>
          <w:w w:val="90"/>
          <w:sz w:val="52"/>
          <w:szCs w:val="52"/>
          <w:highlight w:val="none"/>
          <w:lang w:val="zh-CN"/>
        </w:rPr>
        <w:t>咨询服务合同</w:t>
      </w:r>
    </w:p>
    <w:p>
      <w:pPr>
        <w:adjustRightInd w:val="0"/>
        <w:snapToGrid w:val="0"/>
        <w:spacing w:line="360" w:lineRule="auto"/>
        <w:jc w:val="center"/>
        <w:rPr>
          <w:rFonts w:ascii="宋体" w:hAnsi="宋体" w:eastAsia="宋体" w:cs="宋体"/>
          <w:b/>
          <w:bCs/>
          <w:color w:val="auto"/>
          <w:w w:val="90"/>
          <w:sz w:val="44"/>
          <w:szCs w:val="44"/>
          <w:highlight w:val="none"/>
          <w:lang w:val="zh-CN"/>
        </w:rPr>
      </w:pPr>
    </w:p>
    <w:p>
      <w:pPr>
        <w:spacing w:line="360" w:lineRule="auto"/>
        <w:jc w:val="left"/>
        <w:rPr>
          <w:rFonts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rPr>
        <w:t>工程名称：岭南集团食品产业基地项目全过程造价咨询服务</w:t>
      </w:r>
    </w:p>
    <w:p>
      <w:pPr>
        <w:spacing w:line="360" w:lineRule="auto"/>
        <w:rPr>
          <w:rFonts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rPr>
        <w:t>工程地点：</w:t>
      </w:r>
      <w:r>
        <w:rPr>
          <w:rFonts w:hint="eastAsia" w:ascii="宋体" w:hAnsi="宋体" w:eastAsia="宋体" w:cs="宋体"/>
          <w:b/>
          <w:bCs/>
          <w:color w:val="auto"/>
          <w:sz w:val="28"/>
          <w:szCs w:val="28"/>
          <w:highlight w:val="none"/>
          <w:u w:val="single"/>
        </w:rPr>
        <w:t xml:space="preserve">                             </w:t>
      </w:r>
    </w:p>
    <w:p>
      <w:pPr>
        <w:rPr>
          <w:rFonts w:ascii="宋体" w:hAnsi="宋体" w:eastAsia="宋体" w:cs="宋体"/>
          <w:b/>
          <w:bCs/>
          <w:color w:val="auto"/>
          <w:sz w:val="28"/>
          <w:szCs w:val="28"/>
          <w:highlight w:val="none"/>
          <w:u w:val="single"/>
        </w:rPr>
      </w:pPr>
    </w:p>
    <w:p>
      <w:pPr>
        <w:spacing w:line="360" w:lineRule="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甲方：</w:t>
      </w:r>
      <w:r>
        <w:rPr>
          <w:rFonts w:hint="eastAsia" w:ascii="宋体" w:hAnsi="宋体" w:eastAsia="宋体" w:cs="宋体"/>
          <w:b/>
          <w:bCs/>
          <w:color w:val="auto"/>
          <w:sz w:val="28"/>
          <w:szCs w:val="28"/>
          <w:highlight w:val="none"/>
          <w:u w:val="single"/>
          <w:lang w:eastAsia="zh-CN"/>
        </w:rPr>
        <w:t>广州广粮坊食品科技有限公司</w:t>
      </w:r>
    </w:p>
    <w:p>
      <w:pPr>
        <w:spacing w:line="360" w:lineRule="auto"/>
        <w:rPr>
          <w:rFonts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rPr>
        <w:t>甲方合同编号：</w:t>
      </w:r>
      <w:r>
        <w:rPr>
          <w:rFonts w:hint="eastAsia" w:ascii="宋体" w:hAnsi="宋体" w:eastAsia="宋体" w:cs="宋体"/>
          <w:b/>
          <w:bCs/>
          <w:color w:val="auto"/>
          <w:sz w:val="28"/>
          <w:szCs w:val="28"/>
          <w:highlight w:val="none"/>
          <w:u w:val="single"/>
        </w:rPr>
        <w:t xml:space="preserve">                      </w:t>
      </w:r>
    </w:p>
    <w:p>
      <w:pPr>
        <w:rPr>
          <w:rFonts w:ascii="宋体" w:hAnsi="宋体" w:eastAsia="宋体" w:cs="宋体"/>
          <w:b/>
          <w:bCs/>
          <w:color w:val="auto"/>
          <w:sz w:val="28"/>
          <w:szCs w:val="28"/>
          <w:highlight w:val="none"/>
          <w:u w:val="single"/>
        </w:rPr>
      </w:pPr>
    </w:p>
    <w:p>
      <w:pPr>
        <w:spacing w:line="360" w:lineRule="auto"/>
        <w:rPr>
          <w:rFonts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rPr>
        <w:t>乙方：</w:t>
      </w:r>
      <w:r>
        <w:rPr>
          <w:rFonts w:hint="eastAsia" w:ascii="宋体" w:hAnsi="宋体" w:eastAsia="宋体" w:cs="宋体"/>
          <w:b/>
          <w:bCs/>
          <w:color w:val="auto"/>
          <w:sz w:val="28"/>
          <w:szCs w:val="28"/>
          <w:highlight w:val="none"/>
          <w:u w:val="single"/>
        </w:rPr>
        <w:t xml:space="preserve">                         </w:t>
      </w:r>
    </w:p>
    <w:p>
      <w:pPr>
        <w:spacing w:line="360" w:lineRule="auto"/>
        <w:rPr>
          <w:rFonts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rPr>
        <w:t>乙方合同编号：</w:t>
      </w:r>
      <w:r>
        <w:rPr>
          <w:rFonts w:hint="eastAsia" w:ascii="宋体" w:hAnsi="宋体" w:eastAsia="宋体" w:cs="宋体"/>
          <w:b/>
          <w:bCs/>
          <w:color w:val="auto"/>
          <w:sz w:val="28"/>
          <w:szCs w:val="28"/>
          <w:highlight w:val="none"/>
          <w:u w:val="single"/>
        </w:rPr>
        <w:t xml:space="preserve">                        </w:t>
      </w:r>
    </w:p>
    <w:p>
      <w:pPr>
        <w:spacing w:line="360" w:lineRule="auto"/>
        <w:rPr>
          <w:rFonts w:ascii="宋体" w:hAnsi="宋体" w:eastAsia="宋体" w:cs="宋体"/>
          <w:color w:val="auto"/>
          <w:sz w:val="28"/>
          <w:szCs w:val="28"/>
          <w:highlight w:val="none"/>
          <w:u w:val="single"/>
        </w:rPr>
      </w:pPr>
    </w:p>
    <w:p>
      <w:pPr>
        <w:tabs>
          <w:tab w:val="left" w:pos="2268"/>
        </w:tabs>
        <w:spacing w:before="240" w:beforeLines="100" w:line="360" w:lineRule="auto"/>
        <w:rPr>
          <w:rFonts w:ascii="宋体" w:hAnsi="宋体" w:eastAsia="宋体" w:cs="宋体"/>
          <w:color w:val="auto"/>
          <w:sz w:val="20"/>
          <w:szCs w:val="20"/>
          <w:highlight w:val="none"/>
          <w:lang w:val="zh-CN"/>
        </w:rPr>
      </w:pPr>
      <w:r>
        <w:rPr>
          <w:rFonts w:hint="eastAsia" w:ascii="宋体" w:hAnsi="宋体" w:eastAsia="宋体" w:cs="宋体"/>
          <w:b/>
          <w:bCs/>
          <w:color w:val="auto"/>
          <w:sz w:val="28"/>
          <w:szCs w:val="28"/>
          <w:highlight w:val="none"/>
          <w:lang w:val="zh-CN"/>
        </w:rPr>
        <w:t>签订地点：</w:t>
      </w:r>
      <w:r>
        <w:rPr>
          <w:rFonts w:hint="eastAsia" w:ascii="宋体" w:hAnsi="宋体" w:eastAsia="宋体" w:cs="宋体"/>
          <w:b/>
          <w:bCs/>
          <w:color w:val="auto"/>
          <w:sz w:val="28"/>
          <w:szCs w:val="28"/>
          <w:highlight w:val="none"/>
          <w:u w:val="single"/>
          <w:lang w:val="zh-CN"/>
        </w:rPr>
        <w:t>   </w:t>
      </w:r>
      <w:r>
        <w:rPr>
          <w:rFonts w:hint="eastAsia" w:ascii="宋体" w:hAnsi="宋体" w:eastAsia="宋体" w:cs="宋体"/>
          <w:color w:val="auto"/>
          <w:sz w:val="20"/>
          <w:szCs w:val="20"/>
          <w:highlight w:val="none"/>
          <w:u w:val="single"/>
          <w:lang w:val="zh-CN"/>
        </w:rPr>
        <w:t xml:space="preserve">                              </w:t>
      </w:r>
    </w:p>
    <w:p>
      <w:pPr>
        <w:tabs>
          <w:tab w:val="left" w:pos="2268"/>
        </w:tabs>
        <w:spacing w:line="360" w:lineRule="auto"/>
        <w:rPr>
          <w:rFonts w:ascii="宋体" w:hAnsi="宋体" w:eastAsia="宋体" w:cs="宋体"/>
          <w:color w:val="auto"/>
          <w:szCs w:val="21"/>
          <w:highlight w:val="none"/>
          <w:lang w:val="zh-CN"/>
        </w:rPr>
      </w:pPr>
      <w:r>
        <w:rPr>
          <w:rFonts w:hint="eastAsia" w:ascii="宋体" w:hAnsi="宋体" w:eastAsia="宋体" w:cs="宋体"/>
          <w:b/>
          <w:bCs/>
          <w:color w:val="auto"/>
          <w:sz w:val="28"/>
          <w:szCs w:val="28"/>
          <w:highlight w:val="none"/>
          <w:lang w:val="zh-CN"/>
        </w:rPr>
        <w:t>签订日期：</w:t>
      </w:r>
      <w:r>
        <w:rPr>
          <w:rFonts w:hint="eastAsia" w:ascii="宋体" w:hAnsi="宋体" w:eastAsia="宋体" w:cs="宋体"/>
          <w:b/>
          <w:bCs/>
          <w:color w:val="auto"/>
          <w:sz w:val="28"/>
          <w:szCs w:val="28"/>
          <w:highlight w:val="none"/>
          <w:u w:val="single"/>
          <w:lang w:val="zh-CN"/>
        </w:rPr>
        <w:t xml:space="preserve">      202</w:t>
      </w:r>
      <w:r>
        <w:rPr>
          <w:rFonts w:hint="eastAsia" w:ascii="宋体" w:hAnsi="宋体" w:eastAsia="宋体" w:cs="宋体"/>
          <w:b/>
          <w:bCs/>
          <w:color w:val="auto"/>
          <w:sz w:val="28"/>
          <w:szCs w:val="28"/>
          <w:highlight w:val="none"/>
          <w:u w:val="single"/>
          <w:lang w:val="en-US" w:eastAsia="zh-CN"/>
        </w:rPr>
        <w:t>5</w:t>
      </w:r>
      <w:r>
        <w:rPr>
          <w:rFonts w:hint="eastAsia" w:ascii="宋体" w:hAnsi="宋体" w:eastAsia="宋体" w:cs="宋体"/>
          <w:b/>
          <w:bCs/>
          <w:color w:val="auto"/>
          <w:sz w:val="28"/>
          <w:szCs w:val="28"/>
          <w:highlight w:val="none"/>
          <w:u w:val="single"/>
          <w:lang w:val="zh-CN"/>
        </w:rPr>
        <w:t>年     月    日 </w:t>
      </w:r>
      <w:r>
        <w:rPr>
          <w:rFonts w:hint="eastAsia" w:ascii="宋体" w:hAnsi="宋体" w:eastAsia="宋体" w:cs="宋体"/>
          <w:color w:val="auto"/>
          <w:szCs w:val="21"/>
          <w:highlight w:val="none"/>
          <w:u w:val="single"/>
          <w:lang w:val="zh-CN"/>
        </w:rPr>
        <w:t xml:space="preserve"> </w:t>
      </w:r>
    </w:p>
    <w:p>
      <w:pPr>
        <w:adjustRightInd w:val="0"/>
        <w:snapToGrid w:val="0"/>
        <w:spacing w:line="360" w:lineRule="auto"/>
        <w:rPr>
          <w:rFonts w:ascii="宋体" w:hAnsi="宋体" w:eastAsia="宋体" w:cs="宋体"/>
          <w:color w:val="auto"/>
          <w:w w:val="90"/>
          <w:sz w:val="44"/>
          <w:szCs w:val="44"/>
          <w:highlight w:val="none"/>
          <w:lang w:val="zh-CN"/>
        </w:rPr>
      </w:pPr>
    </w:p>
    <w:p>
      <w:pPr>
        <w:adjustRightInd w:val="0"/>
        <w:snapToGrid w:val="0"/>
        <w:spacing w:line="360" w:lineRule="auto"/>
        <w:rPr>
          <w:rFonts w:ascii="宋体" w:hAnsi="宋体" w:eastAsia="宋体" w:cs="宋体"/>
          <w:b/>
          <w:snapToGrid w:val="0"/>
          <w:color w:val="auto"/>
          <w:kern w:val="0"/>
          <w:sz w:val="28"/>
          <w:szCs w:val="28"/>
          <w:highlight w:val="none"/>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418" w:right="1701" w:bottom="1701" w:left="1418" w:header="720" w:footer="964" w:gutter="0"/>
          <w:pgNumType w:start="0"/>
          <w:cols w:space="720" w:num="1"/>
          <w:titlePg/>
        </w:sectPr>
      </w:pPr>
    </w:p>
    <w:p>
      <w:pPr>
        <w:adjustRightInd w:val="0"/>
        <w:snapToGrid w:val="0"/>
        <w:spacing w:line="360" w:lineRule="auto"/>
        <w:jc w:val="center"/>
        <w:rPr>
          <w:rFonts w:ascii="宋体" w:hAnsi="宋体" w:eastAsia="宋体" w:cs="宋体"/>
          <w:b/>
          <w:color w:val="auto"/>
          <w:sz w:val="28"/>
          <w:szCs w:val="28"/>
          <w:highlight w:val="none"/>
          <w:lang w:val="zh-CN"/>
        </w:rPr>
      </w:pPr>
      <w:bookmarkStart w:id="0" w:name="_Toc489865840"/>
      <w:bookmarkStart w:id="1" w:name="_Toc489236592"/>
      <w:r>
        <w:rPr>
          <w:rFonts w:hint="eastAsia" w:ascii="宋体" w:hAnsi="宋体" w:eastAsia="宋体" w:cs="宋体"/>
          <w:b/>
          <w:color w:val="auto"/>
          <w:sz w:val="28"/>
          <w:szCs w:val="28"/>
          <w:highlight w:val="none"/>
          <w:lang w:val="zh-CN"/>
        </w:rPr>
        <w:t>第一部分 协 议 书</w:t>
      </w:r>
      <w:bookmarkEnd w:id="0"/>
      <w:bookmarkEnd w:id="1"/>
    </w:p>
    <w:p>
      <w:pPr>
        <w:spacing w:line="360" w:lineRule="auto"/>
        <w:rPr>
          <w:rFonts w:ascii="宋体" w:hAnsi="宋体" w:eastAsia="宋体" w:cs="宋体"/>
          <w:b/>
          <w:bCs/>
          <w:color w:val="auto"/>
          <w:sz w:val="24"/>
          <w:highlight w:val="none"/>
        </w:rPr>
      </w:pPr>
    </w:p>
    <w:p>
      <w:pPr>
        <w:spacing w:line="360" w:lineRule="auto"/>
        <w:rPr>
          <w:rFonts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rPr>
        <w:t>甲方：</w:t>
      </w:r>
      <w:r>
        <w:rPr>
          <w:rFonts w:hint="eastAsia" w:ascii="宋体" w:hAnsi="宋体" w:eastAsia="宋体" w:cs="宋体"/>
          <w:b/>
          <w:bCs/>
          <w:color w:val="auto"/>
          <w:kern w:val="0"/>
          <w:sz w:val="24"/>
          <w:highlight w:val="none"/>
          <w:u w:val="single"/>
          <w:lang w:eastAsia="zh-CN"/>
        </w:rPr>
        <w:t>广州广粮坊食品科技有限公司</w:t>
      </w:r>
      <w:r>
        <w:rPr>
          <w:rFonts w:hint="eastAsia" w:ascii="宋体" w:hAnsi="宋体" w:eastAsia="宋体" w:cs="宋体"/>
          <w:b/>
          <w:bCs/>
          <w:color w:val="auto"/>
          <w:kern w:val="0"/>
          <w:sz w:val="24"/>
          <w:highlight w:val="none"/>
          <w:u w:val="single"/>
        </w:rPr>
        <w:t xml:space="preserve">                                      </w:t>
      </w:r>
    </w:p>
    <w:p>
      <w:pPr>
        <w:spacing w:line="360" w:lineRule="auto"/>
        <w:rPr>
          <w:rFonts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rPr>
        <w:t>法定代表人：</w:t>
      </w:r>
      <w:r>
        <w:rPr>
          <w:rFonts w:hint="eastAsia" w:ascii="宋体" w:hAnsi="宋体" w:eastAsia="宋体" w:cs="宋体"/>
          <w:b/>
          <w:bCs/>
          <w:color w:val="auto"/>
          <w:kern w:val="0"/>
          <w:sz w:val="24"/>
          <w:highlight w:val="none"/>
          <w:u w:val="single"/>
        </w:rPr>
        <w:t xml:space="preserve">                                                                                   </w:t>
      </w:r>
    </w:p>
    <w:p>
      <w:pPr>
        <w:spacing w:after="120" w:afterLines="50" w:line="360" w:lineRule="auto"/>
        <w:rPr>
          <w:rFonts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rPr>
        <w:t>通信地址：</w:t>
      </w:r>
      <w:r>
        <w:rPr>
          <w:rFonts w:hint="eastAsia" w:ascii="宋体" w:hAnsi="宋体" w:eastAsia="宋体" w:cs="宋体"/>
          <w:b/>
          <w:bCs/>
          <w:color w:val="auto"/>
          <w:kern w:val="0"/>
          <w:sz w:val="24"/>
          <w:highlight w:val="none"/>
          <w:u w:val="single"/>
        </w:rPr>
        <w:t xml:space="preserve">                                                                                     </w:t>
      </w:r>
    </w:p>
    <w:p>
      <w:pPr>
        <w:spacing w:line="360" w:lineRule="auto"/>
        <w:jc w:val="left"/>
        <w:rPr>
          <w:rFonts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rPr>
        <w:t>乙方：</w:t>
      </w:r>
      <w:r>
        <w:rPr>
          <w:rFonts w:hint="eastAsia" w:ascii="宋体" w:hAnsi="宋体" w:eastAsia="宋体" w:cs="宋体"/>
          <w:b/>
          <w:bCs/>
          <w:color w:val="auto"/>
          <w:kern w:val="0"/>
          <w:sz w:val="24"/>
          <w:highlight w:val="none"/>
          <w:u w:val="single"/>
        </w:rPr>
        <w:t xml:space="preserve">                                                                </w:t>
      </w:r>
    </w:p>
    <w:p>
      <w:pPr>
        <w:spacing w:line="360" w:lineRule="auto"/>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法定代表人：</w:t>
      </w:r>
      <w:r>
        <w:rPr>
          <w:rFonts w:hint="eastAsia" w:ascii="宋体" w:hAnsi="宋体" w:eastAsia="宋体" w:cs="宋体"/>
          <w:b/>
          <w:bCs/>
          <w:color w:val="auto"/>
          <w:kern w:val="0"/>
          <w:sz w:val="24"/>
          <w:highlight w:val="none"/>
          <w:u w:val="single"/>
        </w:rPr>
        <w:t xml:space="preserve">                                                                                     </w:t>
      </w:r>
    </w:p>
    <w:p>
      <w:pPr>
        <w:spacing w:after="120" w:afterLines="50" w:line="360" w:lineRule="auto"/>
        <w:rPr>
          <w:rFonts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rPr>
        <w:t>通信地址：</w:t>
      </w:r>
      <w:r>
        <w:rPr>
          <w:rFonts w:hint="eastAsia" w:ascii="宋体" w:hAnsi="宋体" w:eastAsia="宋体" w:cs="宋体"/>
          <w:b/>
          <w:bCs/>
          <w:color w:val="auto"/>
          <w:kern w:val="0"/>
          <w:sz w:val="24"/>
          <w:highlight w:val="none"/>
          <w:u w:val="single"/>
        </w:rPr>
        <w:t xml:space="preserve">                                                                     </w:t>
      </w:r>
    </w:p>
    <w:p>
      <w:pPr>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根据《中华人民共和国民法典》、《中华人民共和国建筑法》及有关法律规定，遵循平等、自愿、公平和诚实信用的原则，双方就</w:t>
      </w:r>
      <w:r>
        <w:rPr>
          <w:rFonts w:hint="eastAsia" w:ascii="宋体" w:hAnsi="宋体" w:eastAsia="宋体" w:cs="宋体"/>
          <w:color w:val="auto"/>
          <w:sz w:val="24"/>
          <w:highlight w:val="none"/>
          <w:u w:val="single"/>
          <w:lang w:val="zh-TW" w:eastAsia="zh-CN"/>
        </w:rPr>
        <w:t>岭南集团食品产业基地项目全过程造价咨询服务</w:t>
      </w:r>
      <w:r>
        <w:rPr>
          <w:rFonts w:hint="eastAsia" w:ascii="宋体" w:hAnsi="宋体" w:eastAsia="宋体" w:cs="宋体"/>
          <w:color w:val="auto"/>
          <w:kern w:val="0"/>
          <w:sz w:val="24"/>
          <w:highlight w:val="none"/>
        </w:rPr>
        <w:t>及有关事项协商一致，共同达成如下协议：</w:t>
      </w:r>
    </w:p>
    <w:p>
      <w:pPr>
        <w:keepNext/>
        <w:keepLines/>
        <w:spacing w:before="200" w:after="200"/>
        <w:outlineLvl w:val="2"/>
        <w:rPr>
          <w:rFonts w:ascii="宋体" w:hAnsi="宋体" w:eastAsia="宋体" w:cs="宋体"/>
          <w:color w:val="auto"/>
          <w:sz w:val="24"/>
          <w:highlight w:val="none"/>
        </w:rPr>
      </w:pPr>
      <w:bookmarkStart w:id="2" w:name="_Toc489865841"/>
      <w:bookmarkStart w:id="3" w:name="_Toc485394971"/>
      <w:r>
        <w:rPr>
          <w:rFonts w:hint="eastAsia" w:ascii="宋体" w:hAnsi="宋体" w:eastAsia="宋体" w:cs="宋体"/>
          <w:b/>
          <w:color w:val="auto"/>
          <w:sz w:val="24"/>
          <w:highlight w:val="none"/>
        </w:rPr>
        <w:t>一、工程概况</w:t>
      </w:r>
      <w:bookmarkEnd w:id="2"/>
      <w:bookmarkEnd w:id="3"/>
    </w:p>
    <w:p>
      <w:pPr>
        <w:adjustRightInd w:val="0"/>
        <w:snapToGrid w:val="0"/>
        <w:spacing w:line="360" w:lineRule="auto"/>
        <w:ind w:right="11"/>
        <w:rPr>
          <w:rFonts w:ascii="宋体" w:hAnsi="宋体" w:eastAsia="宋体" w:cs="宋体"/>
          <w:bCs/>
          <w:snapToGrid w:val="0"/>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bCs/>
          <w:snapToGrid w:val="0"/>
          <w:color w:val="auto"/>
          <w:sz w:val="24"/>
          <w:highlight w:val="none"/>
        </w:rPr>
        <w:t>工程名称：</w:t>
      </w:r>
      <w:r>
        <w:rPr>
          <w:rFonts w:hint="eastAsia" w:ascii="宋体" w:hAnsi="宋体" w:eastAsia="宋体" w:cs="宋体"/>
          <w:bCs/>
          <w:snapToGrid w:val="0"/>
          <w:color w:val="auto"/>
          <w:sz w:val="24"/>
          <w:highlight w:val="none"/>
          <w:u w:val="single"/>
          <w:lang w:eastAsia="zh-CN"/>
        </w:rPr>
        <w:t>岭南集团食品产业基地项目全过程造价咨询服务</w:t>
      </w:r>
      <w:r>
        <w:rPr>
          <w:rFonts w:hint="eastAsia" w:ascii="宋体" w:hAnsi="宋体" w:eastAsia="宋体" w:cs="宋体"/>
          <w:bCs/>
          <w:snapToGrid w:val="0"/>
          <w:color w:val="auto"/>
          <w:sz w:val="24"/>
          <w:highlight w:val="none"/>
          <w:u w:val="single"/>
        </w:rPr>
        <w:t>。</w:t>
      </w:r>
    </w:p>
    <w:p>
      <w:pPr>
        <w:adjustRightInd w:val="0"/>
        <w:snapToGrid w:val="0"/>
        <w:spacing w:line="360" w:lineRule="auto"/>
        <w:ind w:right="11"/>
        <w:rPr>
          <w:rFonts w:ascii="宋体" w:hAnsi="宋体" w:eastAsia="宋体" w:cs="宋体"/>
          <w:bCs/>
          <w:snapToGrid w:val="0"/>
          <w:color w:val="auto"/>
          <w:sz w:val="24"/>
          <w:highlight w:val="none"/>
        </w:rPr>
      </w:pPr>
      <w:r>
        <w:rPr>
          <w:rFonts w:hint="eastAsia" w:ascii="宋体" w:hAnsi="宋体" w:eastAsia="宋体" w:cs="宋体"/>
          <w:bCs/>
          <w:snapToGrid w:val="0"/>
          <w:color w:val="auto"/>
          <w:sz w:val="24"/>
          <w:highlight w:val="none"/>
        </w:rPr>
        <w:t>2、工程地点：广州市南沙区横沥镇广州市粮食储备加工中心南侧</w:t>
      </w:r>
    </w:p>
    <w:p>
      <w:pPr>
        <w:adjustRightInd w:val="0"/>
        <w:snapToGrid w:val="0"/>
        <w:spacing w:line="324" w:lineRule="auto"/>
        <w:jc w:val="left"/>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3、工程规模：项目总占地面积约26295平方米，容积率2.52，总建筑面积67030平方米；其中预制烘焙产品生产车间（5F）19800平方米，小包装油生产车间（5F）11000平方米，科创中心（11F）11330平方米，油泵房300平方米，装卸区罩棚2000平方米，预留二期建设食品工厂（6F）19200平方米，油脂精炼生产车间（4F）3400平方米。</w:t>
      </w:r>
    </w:p>
    <w:p>
      <w:pPr>
        <w:adjustRightInd w:val="0"/>
        <w:snapToGrid w:val="0"/>
        <w:spacing w:line="324" w:lineRule="auto"/>
        <w:jc w:val="left"/>
        <w:rPr>
          <w:rFonts w:ascii="宋体" w:hAnsi="宋体" w:eastAsia="宋体" w:cs="宋体"/>
          <w:color w:val="auto"/>
          <w:kern w:val="0"/>
          <w:sz w:val="24"/>
          <w:highlight w:val="none"/>
          <w:u w:val="single"/>
        </w:rPr>
      </w:pPr>
      <w:r>
        <w:rPr>
          <w:rFonts w:hint="eastAsia" w:ascii="宋体" w:hAnsi="宋体" w:eastAsia="宋体" w:cs="宋体"/>
          <w:bCs/>
          <w:snapToGrid w:val="0"/>
          <w:color w:val="auto"/>
          <w:kern w:val="0"/>
          <w:sz w:val="24"/>
          <w:highlight w:val="none"/>
        </w:rPr>
        <w:t>主要建设内容；1.建设年生产规模为6,000吨烘焙预拌粉、6,000吨烘焙产品的生产线，及建设配套产能的包装车间；2.建设年设计产能为47,400吨的食用油生产线，包括植物油罐装生产线、包装车间，及配套产能的储存设施；建设科创中心。（最终以规划行政部门和报批报建批复为准）。</w:t>
      </w:r>
    </w:p>
    <w:p>
      <w:pPr>
        <w:keepNext/>
        <w:keepLines/>
        <w:numPr>
          <w:ilvl w:val="0"/>
          <w:numId w:val="1"/>
        </w:numPr>
        <w:spacing w:before="200" w:after="200"/>
        <w:outlineLvl w:val="2"/>
        <w:rPr>
          <w:rFonts w:ascii="宋体" w:hAnsi="宋体" w:eastAsia="宋体" w:cs="宋体"/>
          <w:color w:val="auto"/>
          <w:sz w:val="24"/>
          <w:highlight w:val="none"/>
        </w:rPr>
      </w:pPr>
      <w:bookmarkStart w:id="4" w:name="_Toc489865842"/>
      <w:bookmarkStart w:id="5" w:name="_Toc485394972"/>
      <w:r>
        <w:rPr>
          <w:rFonts w:hint="eastAsia" w:ascii="宋体" w:hAnsi="宋体" w:eastAsia="宋体" w:cs="宋体"/>
          <w:b/>
          <w:color w:val="auto"/>
          <w:sz w:val="24"/>
          <w:highlight w:val="none"/>
        </w:rPr>
        <w:t>全过程造价咨询工作内容及服务</w:t>
      </w:r>
      <w:bookmarkEnd w:id="4"/>
      <w:bookmarkEnd w:id="5"/>
      <w:r>
        <w:rPr>
          <w:rFonts w:hint="eastAsia" w:ascii="宋体" w:hAnsi="宋体" w:eastAsia="宋体" w:cs="宋体"/>
          <w:b/>
          <w:color w:val="auto"/>
          <w:sz w:val="24"/>
          <w:highlight w:val="none"/>
        </w:rPr>
        <w:t>范围</w:t>
      </w:r>
    </w:p>
    <w:p>
      <w:pPr>
        <w:spacing w:line="360" w:lineRule="auto"/>
        <w:rPr>
          <w:rFonts w:ascii="宋体" w:hAnsi="宋体" w:eastAsia="宋体" w:cs="宋体"/>
          <w:b/>
          <w:bCs/>
          <w:color w:val="auto"/>
          <w:sz w:val="24"/>
          <w:highlight w:val="none"/>
          <w:lang w:val="zh-TW"/>
        </w:rPr>
      </w:pPr>
      <w:r>
        <w:rPr>
          <w:rFonts w:hint="eastAsia" w:ascii="宋体" w:hAnsi="宋体" w:eastAsia="宋体" w:cs="宋体"/>
          <w:b/>
          <w:bCs/>
          <w:color w:val="auto"/>
          <w:sz w:val="24"/>
          <w:highlight w:val="none"/>
          <w:lang w:val="zh-TW"/>
        </w:rPr>
        <w:t>1、全过程造价咨询工作内容：岭南集团食品产业基地项目</w:t>
      </w:r>
      <w:r>
        <w:rPr>
          <w:rFonts w:hint="eastAsia" w:ascii="宋体" w:hAnsi="宋体" w:eastAsia="宋体" w:cs="宋体"/>
          <w:bCs/>
          <w:color w:val="auto"/>
          <w:sz w:val="24"/>
          <w:highlight w:val="none"/>
          <w:lang w:val="zh-TW"/>
        </w:rPr>
        <w:t>的全过程造价咨询服务，包括</w:t>
      </w:r>
      <w:r>
        <w:rPr>
          <w:rFonts w:hint="eastAsia" w:ascii="宋体" w:hAnsi="宋体" w:eastAsia="宋体" w:cs="宋体"/>
          <w:bCs/>
          <w:color w:val="auto"/>
          <w:sz w:val="24"/>
          <w:highlight w:val="none"/>
          <w:lang w:val="en-US" w:eastAsia="zh-CN"/>
        </w:rPr>
        <w:t>预</w:t>
      </w:r>
      <w:r>
        <w:rPr>
          <w:rFonts w:hint="eastAsia" w:ascii="宋体" w:hAnsi="宋体" w:eastAsia="宋体" w:cs="宋体"/>
          <w:bCs/>
          <w:color w:val="auto"/>
          <w:sz w:val="24"/>
          <w:highlight w:val="none"/>
        </w:rPr>
        <w:t>算审核、</w:t>
      </w:r>
      <w:r>
        <w:rPr>
          <w:rFonts w:hint="eastAsia" w:ascii="宋体" w:hAnsi="宋体" w:eastAsia="宋体" w:cs="宋体"/>
          <w:color w:val="auto"/>
          <w:sz w:val="24"/>
          <w:highlight w:val="none"/>
          <w:u w:val="single"/>
        </w:rPr>
        <w:t>全过程造价咨询（含驻场服务）</w:t>
      </w:r>
      <w:r>
        <w:rPr>
          <w:rFonts w:hint="eastAsia" w:ascii="宋体" w:hAnsi="宋体" w:eastAsia="宋体" w:cs="宋体"/>
          <w:bCs/>
          <w:color w:val="auto"/>
          <w:sz w:val="24"/>
          <w:highlight w:val="none"/>
          <w:lang w:val="zh-TW"/>
        </w:rPr>
        <w:t>等服务工作。</w:t>
      </w:r>
    </w:p>
    <w:p>
      <w:pPr>
        <w:spacing w:line="360" w:lineRule="auto"/>
        <w:rPr>
          <w:rFonts w:ascii="宋体" w:hAnsi="宋体" w:eastAsia="宋体" w:cs="宋体"/>
          <w:b/>
          <w:bCs/>
          <w:color w:val="auto"/>
          <w:sz w:val="24"/>
          <w:highlight w:val="none"/>
          <w:lang w:val="zh-TW"/>
        </w:rPr>
      </w:pPr>
      <w:r>
        <w:rPr>
          <w:rFonts w:hint="eastAsia" w:ascii="宋体" w:hAnsi="宋体" w:eastAsia="宋体" w:cs="宋体"/>
          <w:b/>
          <w:bCs/>
          <w:color w:val="auto"/>
          <w:sz w:val="24"/>
          <w:highlight w:val="none"/>
          <w:lang w:val="zh-TW"/>
        </w:rPr>
        <w:t>2、服务范围：</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lang w:val="zh-TW"/>
        </w:rPr>
        <w:t>负责</w:t>
      </w:r>
      <w:r>
        <w:rPr>
          <w:rFonts w:hint="eastAsia" w:ascii="宋体" w:hAnsi="宋体" w:eastAsia="宋体" w:cs="宋体"/>
          <w:color w:val="auto"/>
          <w:sz w:val="24"/>
          <w:highlight w:val="none"/>
          <w:u w:val="single"/>
          <w:lang w:val="zh-TW" w:eastAsia="zh-CN"/>
        </w:rPr>
        <w:t>岭南集团食品产业基地项目全过程造价咨询服务</w:t>
      </w:r>
      <w:r>
        <w:rPr>
          <w:rFonts w:hint="eastAsia" w:ascii="宋体" w:hAnsi="宋体" w:eastAsia="宋体" w:cs="宋体"/>
          <w:color w:val="auto"/>
          <w:sz w:val="24"/>
          <w:highlight w:val="none"/>
          <w:lang w:val="zh-TW"/>
        </w:rPr>
        <w:t>，包括但不限于以下工作内容：</w:t>
      </w:r>
      <w:r>
        <w:rPr>
          <w:rFonts w:hint="eastAsia" w:ascii="宋体" w:hAnsi="宋体" w:eastAsia="宋体" w:cs="宋体"/>
          <w:color w:val="auto"/>
          <w:sz w:val="24"/>
          <w:highlight w:val="none"/>
          <w:u w:val="single"/>
        </w:rPr>
        <w:t>即本项目全过程造价咨询服务，包括本招标项目工程前期阶段、设计阶段、施工阶段（含设计变更签证）、竣工验收阶段、结（决）算阶段等各阶段造价控制、咨询服务。</w:t>
      </w:r>
      <w:r>
        <w:rPr>
          <w:rFonts w:hint="eastAsia" w:ascii="宋体" w:hAnsi="宋体" w:eastAsia="宋体" w:cs="宋体"/>
          <w:color w:val="auto"/>
          <w:sz w:val="24"/>
          <w:highlight w:val="none"/>
        </w:rPr>
        <w:t>（甲方保留调整工作范围和内容的权利</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且甲方无需就此向已方支付任何补偿或赔偿</w:t>
      </w:r>
      <w:r>
        <w:rPr>
          <w:rFonts w:hint="eastAsia" w:ascii="宋体" w:hAnsi="宋体" w:eastAsia="宋体" w:cs="宋体"/>
          <w:color w:val="auto"/>
          <w:sz w:val="24"/>
          <w:highlight w:val="none"/>
        </w:rPr>
        <w:t>）</w:t>
      </w:r>
    </w:p>
    <w:p>
      <w:pPr>
        <w:spacing w:before="200" w:after="200" w:line="360" w:lineRule="auto"/>
        <w:rPr>
          <w:rFonts w:ascii="宋体" w:hAnsi="宋体" w:eastAsia="宋体" w:cs="宋体"/>
          <w:b/>
          <w:bCs/>
          <w:color w:val="auto"/>
          <w:sz w:val="24"/>
          <w:highlight w:val="none"/>
          <w:lang w:val="zh-TW"/>
        </w:rPr>
      </w:pPr>
      <w:r>
        <w:rPr>
          <w:rFonts w:hint="eastAsia" w:ascii="宋体" w:hAnsi="宋体" w:eastAsia="宋体" w:cs="宋体"/>
          <w:b/>
          <w:bCs/>
          <w:color w:val="auto"/>
          <w:sz w:val="24"/>
          <w:highlight w:val="none"/>
          <w:lang w:val="zh-TW"/>
        </w:rPr>
        <w:t>3、工作目标</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本项目全过程造价咨询服务的工作目标：</w:t>
      </w:r>
    </w:p>
    <w:p>
      <w:pPr>
        <w:snapToGrid w:val="0"/>
        <w:spacing w:line="360" w:lineRule="auto"/>
        <w:ind w:right="40"/>
        <w:rPr>
          <w:rFonts w:ascii="宋体" w:hAnsi="宋体" w:eastAsia="宋体" w:cs="宋体"/>
          <w:color w:val="auto"/>
          <w:sz w:val="24"/>
          <w:highlight w:val="none"/>
        </w:rPr>
      </w:pPr>
      <w:r>
        <w:rPr>
          <w:rFonts w:hint="eastAsia" w:ascii="宋体" w:hAnsi="宋体" w:eastAsia="宋体" w:cs="宋体"/>
          <w:color w:val="auto"/>
          <w:sz w:val="24"/>
          <w:highlight w:val="none"/>
        </w:rPr>
        <w:t>动态的控制工程建设全过程，根据市场经济的发展形势，利用科学管理方法和先进管理手段，合理地确定项目各阶段的造价和有效地控制造价，以提高投资效益，不超过甲方限定的目标成本，包括且不限于总投资工程费投资控制；预算、过程审核、结算审核等精度须在甲方控制目标范围以内，</w:t>
      </w:r>
      <w:r>
        <w:rPr>
          <w:rFonts w:hint="eastAsia" w:ascii="宋体" w:hAnsi="宋体" w:eastAsia="宋体" w:cs="宋体"/>
          <w:color w:val="auto"/>
          <w:sz w:val="24"/>
          <w:highlight w:val="none"/>
          <w:lang w:val="en-US" w:eastAsia="zh-CN"/>
        </w:rPr>
        <w:t>估</w:t>
      </w:r>
      <w:r>
        <w:rPr>
          <w:rFonts w:hint="eastAsia" w:ascii="宋体" w:hAnsi="宋体" w:eastAsia="宋体" w:cs="宋体"/>
          <w:color w:val="auto"/>
          <w:sz w:val="24"/>
          <w:highlight w:val="none"/>
        </w:rPr>
        <w:t>算控制预算，预算控制结算；过程控制准确，杜绝出现进度款超付现象；保证项目按期、高质完成。</w:t>
      </w:r>
    </w:p>
    <w:p>
      <w:pPr>
        <w:keepNext/>
        <w:keepLines/>
        <w:numPr>
          <w:ilvl w:val="0"/>
          <w:numId w:val="1"/>
        </w:numPr>
        <w:spacing w:before="200" w:after="200"/>
        <w:outlineLvl w:val="2"/>
        <w:rPr>
          <w:rFonts w:ascii="宋体" w:hAnsi="宋体" w:eastAsia="宋体" w:cs="宋体"/>
          <w:b/>
          <w:color w:val="auto"/>
          <w:sz w:val="24"/>
          <w:highlight w:val="none"/>
        </w:rPr>
      </w:pPr>
      <w:bookmarkStart w:id="6" w:name="_Toc489865844"/>
      <w:r>
        <w:rPr>
          <w:rFonts w:hint="eastAsia" w:ascii="宋体" w:hAnsi="宋体" w:eastAsia="宋体" w:cs="宋体"/>
          <w:b/>
          <w:color w:val="auto"/>
          <w:sz w:val="24"/>
          <w:highlight w:val="none"/>
        </w:rPr>
        <w:t>服务期</w:t>
      </w:r>
      <w:bookmarkEnd w:id="6"/>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u w:val="single"/>
        </w:rPr>
        <w:t>从本项目全过程造价咨询服务合同签订生效之日起</w:t>
      </w:r>
      <w:r>
        <w:rPr>
          <w:rFonts w:hint="eastAsia" w:ascii="宋体" w:hAnsi="宋体" w:eastAsia="宋体" w:cs="宋体"/>
          <w:color w:val="auto"/>
          <w:sz w:val="24"/>
          <w:highlight w:val="none"/>
          <w:u w:val="single"/>
          <w:lang w:val="en-US" w:eastAsia="zh-CN"/>
        </w:rPr>
        <w:t>至</w:t>
      </w:r>
      <w:r>
        <w:rPr>
          <w:rFonts w:hint="eastAsia" w:ascii="宋体" w:hAnsi="宋体" w:eastAsia="宋体" w:cs="宋体"/>
          <w:color w:val="auto"/>
          <w:sz w:val="24"/>
          <w:highlight w:val="none"/>
          <w:u w:val="single"/>
        </w:rPr>
        <w:t>完成本建设项目竣工结算、财务决算并通过有权终审部门审核、审计。乙方提供咨询服务和成果的进度须满足工程进展和甲方对各项咨询工作的具体要求。</w:t>
      </w:r>
    </w:p>
    <w:p>
      <w:pPr>
        <w:keepNext/>
        <w:keepLines/>
        <w:numPr>
          <w:ilvl w:val="0"/>
          <w:numId w:val="1"/>
        </w:numPr>
        <w:spacing w:before="200" w:after="200"/>
        <w:outlineLvl w:val="2"/>
        <w:rPr>
          <w:rFonts w:ascii="宋体" w:hAnsi="宋体" w:eastAsia="宋体" w:cs="宋体"/>
          <w:b/>
          <w:color w:val="auto"/>
          <w:sz w:val="24"/>
          <w:highlight w:val="none"/>
        </w:rPr>
      </w:pPr>
      <w:bookmarkStart w:id="7" w:name="_Toc489865845"/>
      <w:bookmarkStart w:id="8" w:name="_Toc485394973"/>
      <w:r>
        <w:rPr>
          <w:rFonts w:hint="eastAsia" w:ascii="宋体" w:hAnsi="宋体" w:eastAsia="宋体" w:cs="宋体"/>
          <w:b/>
          <w:color w:val="auto"/>
          <w:sz w:val="24"/>
          <w:highlight w:val="none"/>
        </w:rPr>
        <w:t>合同价款</w:t>
      </w:r>
      <w:bookmarkEnd w:id="7"/>
    </w:p>
    <w:p>
      <w:pPr>
        <w:spacing w:line="360" w:lineRule="auto"/>
        <w:rPr>
          <w:rFonts w:ascii="宋体" w:hAnsi="宋体" w:eastAsia="宋体" w:cs="宋体"/>
          <w:color w:val="auto"/>
          <w:sz w:val="24"/>
          <w:highlight w:val="none"/>
        </w:rPr>
      </w:pPr>
      <w:r>
        <w:rPr>
          <w:rFonts w:hint="eastAsia" w:ascii="宋体" w:hAnsi="仿宋" w:eastAsia="宋体" w:cs="仿宋"/>
          <w:color w:val="auto"/>
          <w:sz w:val="24"/>
          <w:szCs w:val="32"/>
          <w:highlight w:val="none"/>
          <w:u w:val="single"/>
        </w:rPr>
        <w:t>1、</w:t>
      </w:r>
      <w:r>
        <w:rPr>
          <w:rFonts w:hint="eastAsia" w:ascii="宋体" w:hAnsi="宋体" w:eastAsia="宋体" w:cs="宋体"/>
          <w:color w:val="auto"/>
          <w:sz w:val="24"/>
          <w:highlight w:val="none"/>
        </w:rPr>
        <w:t>全过程造价咨询服务费暂定含税合同总价为（大写）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元），不含税价为</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元。中标费率为     %；全过程造价咨询服务中标费率=中标价/建安工程费21613.16万元*100%。</w:t>
      </w:r>
    </w:p>
    <w:p>
      <w:pPr>
        <w:spacing w:line="360" w:lineRule="auto"/>
        <w:rPr>
          <w:rFonts w:ascii="宋体" w:hAnsi="宋体" w:eastAsia="宋体" w:cs="Times New Roman"/>
          <w:color w:val="auto"/>
          <w:sz w:val="24"/>
          <w:highlight w:val="none"/>
          <w:u w:val="single"/>
        </w:rPr>
      </w:pPr>
      <w:bookmarkStart w:id="9" w:name="_Toc11064"/>
      <w:bookmarkStart w:id="10" w:name="_Toc29737"/>
      <w:bookmarkStart w:id="11" w:name="_Toc26189"/>
      <w:r>
        <w:rPr>
          <w:rFonts w:ascii="宋体" w:hAnsi="仿宋" w:eastAsia="宋体" w:cs="仿宋"/>
          <w:color w:val="auto"/>
          <w:sz w:val="24"/>
          <w:szCs w:val="32"/>
          <w:highlight w:val="none"/>
          <w:u w:val="single"/>
        </w:rPr>
        <w:t>本合同约定的价格为含税价价格（税率</w:t>
      </w:r>
      <w:r>
        <w:rPr>
          <w:rFonts w:hint="eastAsia" w:ascii="宋体" w:hAnsi="仿宋" w:eastAsia="宋体" w:cs="仿宋"/>
          <w:color w:val="auto"/>
          <w:sz w:val="24"/>
          <w:szCs w:val="32"/>
          <w:highlight w:val="none"/>
          <w:u w:val="single"/>
        </w:rPr>
        <w:t xml:space="preserve"> </w:t>
      </w:r>
      <w:r>
        <w:rPr>
          <w:rFonts w:ascii="宋体" w:hAnsi="仿宋" w:eastAsia="宋体" w:cs="仿宋"/>
          <w:color w:val="auto"/>
          <w:sz w:val="24"/>
          <w:szCs w:val="32"/>
          <w:highlight w:val="none"/>
          <w:u w:val="single"/>
        </w:rPr>
        <w:t xml:space="preserve"> %），合同履行期间国家税率调整或乙方开票的实际税率与前述税率不一致的，不含税价不变，价税合计按实际税率相应调整，以开具发票的时间为准</w:t>
      </w:r>
      <w:r>
        <w:rPr>
          <w:rFonts w:ascii="宋体" w:hAnsi="宋体" w:eastAsia="宋体" w:cs="Times New Roman"/>
          <w:color w:val="auto"/>
          <w:sz w:val="24"/>
          <w:highlight w:val="none"/>
          <w:u w:val="single"/>
        </w:rPr>
        <w:t>。</w:t>
      </w:r>
      <w:bookmarkEnd w:id="9"/>
      <w:bookmarkEnd w:id="10"/>
      <w:bookmarkEnd w:id="11"/>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该全过程造价咨询服务费为按本项目招标文件、合同条款、标准和技术规范等要求，完成本项目的全过程造价咨询服务的所有费用，包括但不限于派出主要造价咨询人员、现场服务人员及后勤保障人员、提供预结算软件服务、设备等完成约定期限及咨询范围工作的全部人力、物力费用以及技术资料费、现场管理费、企业管理费、利润和税金等合同所涉及的正常服务和附加服务费用等。</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全过程造价咨询服务费采用按实结算</w:t>
      </w:r>
      <w:bookmarkStart w:id="72" w:name="_GoBack"/>
      <w:bookmarkEnd w:id="72"/>
      <w:r>
        <w:rPr>
          <w:rFonts w:hint="eastAsia" w:ascii="宋体" w:hAnsi="宋体" w:eastAsia="宋体" w:cs="宋体"/>
          <w:color w:val="auto"/>
          <w:sz w:val="24"/>
          <w:highlight w:val="none"/>
        </w:rPr>
        <w:t>的承包方式</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以最终结算审定建筑安装工程费作为基数计算×</w:t>
      </w:r>
      <w:r>
        <w:rPr>
          <w:rFonts w:hint="eastAsia" w:ascii="宋体" w:hAnsi="宋体" w:eastAsia="宋体" w:cs="宋体"/>
          <w:color w:val="auto"/>
          <w:sz w:val="24"/>
          <w:highlight w:val="none"/>
          <w:lang w:val="en-US" w:eastAsia="zh-CN"/>
        </w:rPr>
        <w:t>中标费率</w:t>
      </w:r>
      <w:r>
        <w:rPr>
          <w:rFonts w:hint="eastAsia" w:ascii="宋体" w:hAnsi="宋体" w:eastAsia="宋体" w:cs="宋体"/>
          <w:color w:val="auto"/>
          <w:sz w:val="24"/>
          <w:highlight w:val="none"/>
        </w:rPr>
        <w:t>。乙方收取最后一笔款项前，应办理合同结算手续。乙方必须向甲方提供由乙方按核定付款金额开具的与合同内容一致并符合税务机关规定的合法、有效增值税专用发票，由于乙方提供的发票不规范、不合法引起税务问题的，乙方应承担赔偿责任，包括但不限于税款、附加费、滞纳金、罚款及相关损失。乙方不能及时提供符合甲方要求的合法发票，甲方有权顺延直至乙方提供后付款且无需承担任何责任。如给甲方造成严重损失的，致使合同无法继续履行等情况，甲方有权终止合同。</w:t>
      </w:r>
    </w:p>
    <w:bookmarkEnd w:id="8"/>
    <w:p>
      <w:pPr>
        <w:keepNext/>
        <w:keepLines/>
        <w:numPr>
          <w:ilvl w:val="0"/>
          <w:numId w:val="1"/>
        </w:numPr>
        <w:spacing w:before="200" w:after="200"/>
        <w:outlineLvl w:val="2"/>
        <w:rPr>
          <w:rFonts w:ascii="宋体" w:hAnsi="宋体" w:eastAsia="宋体" w:cs="宋体"/>
          <w:b/>
          <w:color w:val="auto"/>
          <w:sz w:val="24"/>
          <w:highlight w:val="none"/>
        </w:rPr>
      </w:pPr>
      <w:bookmarkStart w:id="12" w:name="_Toc489865846"/>
      <w:r>
        <w:rPr>
          <w:rFonts w:hint="eastAsia" w:ascii="宋体" w:hAnsi="宋体" w:eastAsia="宋体" w:cs="宋体"/>
          <w:b/>
          <w:color w:val="auto"/>
          <w:sz w:val="24"/>
          <w:highlight w:val="none"/>
        </w:rPr>
        <w:t>甲方代表、与乙方项目负责人</w:t>
      </w:r>
      <w:bookmarkEnd w:id="12"/>
    </w:p>
    <w:p>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甲方代表：</w:t>
      </w:r>
      <w:r>
        <w:rPr>
          <w:rFonts w:hint="eastAsia" w:ascii="宋体" w:hAnsi="宋体" w:eastAsia="宋体" w:cs="宋体"/>
          <w:color w:val="auto"/>
          <w:sz w:val="24"/>
          <w:highlight w:val="none"/>
          <w:u w:val="single"/>
        </w:rPr>
        <w:t xml:space="preserve">                                            </w:t>
      </w:r>
    </w:p>
    <w:p>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乙方项目负责人：</w:t>
      </w:r>
      <w:r>
        <w:rPr>
          <w:rFonts w:hint="eastAsia" w:ascii="宋体" w:hAnsi="宋体" w:eastAsia="宋体" w:cs="宋体"/>
          <w:color w:val="auto"/>
          <w:sz w:val="24"/>
          <w:highlight w:val="none"/>
          <w:u w:val="single"/>
        </w:rPr>
        <w:t xml:space="preserve">                                      </w:t>
      </w:r>
    </w:p>
    <w:p>
      <w:pPr>
        <w:spacing w:line="360" w:lineRule="auto"/>
        <w:rPr>
          <w:rFonts w:ascii="宋体" w:hAnsi="宋体" w:eastAsia="宋体" w:cs="宋体"/>
          <w:color w:val="auto"/>
          <w:sz w:val="24"/>
          <w:highlight w:val="none"/>
        </w:rPr>
      </w:pPr>
      <w:r>
        <w:rPr>
          <w:rFonts w:hint="eastAsia" w:ascii="宋体" w:hAnsi="宋体" w:eastAsia="宋体" w:cs="宋体"/>
          <w:color w:val="auto"/>
          <w:highlight w:val="none"/>
        </w:rPr>
        <w:t xml:space="preserve">     </w:t>
      </w:r>
    </w:p>
    <w:p>
      <w:pPr>
        <w:keepNext/>
        <w:keepLines/>
        <w:numPr>
          <w:ilvl w:val="0"/>
          <w:numId w:val="1"/>
        </w:numPr>
        <w:spacing w:before="200" w:after="200"/>
        <w:outlineLvl w:val="2"/>
        <w:rPr>
          <w:rFonts w:ascii="宋体" w:hAnsi="宋体" w:eastAsia="宋体" w:cs="宋体"/>
          <w:b/>
          <w:color w:val="auto"/>
          <w:sz w:val="24"/>
          <w:highlight w:val="none"/>
        </w:rPr>
      </w:pPr>
      <w:bookmarkStart w:id="13" w:name="_Toc489865847"/>
      <w:bookmarkStart w:id="14" w:name="_Toc485394983"/>
      <w:r>
        <w:rPr>
          <w:rFonts w:hint="eastAsia" w:ascii="宋体" w:hAnsi="宋体" w:eastAsia="宋体" w:cs="宋体"/>
          <w:b/>
          <w:color w:val="auto"/>
          <w:sz w:val="24"/>
          <w:highlight w:val="none"/>
        </w:rPr>
        <w:t>承诺</w:t>
      </w:r>
      <w:bookmarkEnd w:id="13"/>
      <w:r>
        <w:rPr>
          <w:rFonts w:hint="eastAsia" w:ascii="宋体" w:hAnsi="宋体" w:eastAsia="宋体" w:cs="宋体"/>
          <w:b/>
          <w:color w:val="auto"/>
          <w:sz w:val="24"/>
          <w:highlight w:val="none"/>
        </w:rPr>
        <w:t xml:space="preserve">  </w:t>
      </w:r>
    </w:p>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甲方向乙方承诺已阅读、理解并接受本合同所有条款，按照本合同约定履行本合同项下的全部义务。</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乙方向甲方承诺已阅读、理解并接受本合同所有条款，按照本合同约定履行本合同项下的全部义务。</w:t>
      </w:r>
    </w:p>
    <w:p>
      <w:pPr>
        <w:keepNext/>
        <w:keepLines/>
        <w:numPr>
          <w:ilvl w:val="0"/>
          <w:numId w:val="1"/>
        </w:numPr>
        <w:spacing w:before="200" w:after="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开户银行账号</w:t>
      </w:r>
    </w:p>
    <w:p>
      <w:pPr>
        <w:spacing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1、乙方签订本合同时使用的“开户银行名称、账户名称（简称户名）及账号”必须与技术投标书附表中所填写的“开户银行名称、账户名称（简称户名）及账号”一致、且账户不得是临时账户，合同签订后不得变更，否则甲方有权拒绝合同授予、有权停止工程款的拨付，所造成的一切后果由乙方承担。</w:t>
      </w:r>
    </w:p>
    <w:p>
      <w:pPr>
        <w:spacing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2、双方委托银行代收代付有关费用。乙方指定的有效银行账户如下：</w:t>
      </w:r>
    </w:p>
    <w:p>
      <w:pPr>
        <w:spacing w:line="360" w:lineRule="auto"/>
        <w:rPr>
          <w:rFonts w:ascii="宋体" w:hAnsi="宋体" w:eastAsia="宋体" w:cs="宋体"/>
          <w:b/>
          <w:bCs/>
          <w:color w:val="auto"/>
          <w:sz w:val="24"/>
          <w:highlight w:val="none"/>
        </w:rPr>
      </w:pPr>
      <w:r>
        <w:rPr>
          <w:rFonts w:hint="eastAsia" w:ascii="宋体" w:hAnsi="宋体" w:eastAsia="宋体" w:cs="宋体"/>
          <w:b/>
          <w:bCs/>
          <w:color w:val="auto"/>
          <w:sz w:val="24"/>
          <w:highlight w:val="none"/>
        </w:rPr>
        <w:t>账户全称：</w:t>
      </w:r>
      <w:r>
        <w:rPr>
          <w:rFonts w:hint="eastAsia" w:ascii="宋体" w:hAnsi="宋体" w:eastAsia="宋体" w:cs="宋体"/>
          <w:b/>
          <w:bCs/>
          <w:color w:val="auto"/>
          <w:sz w:val="24"/>
          <w:highlight w:val="none"/>
          <w:u w:val="single"/>
        </w:rPr>
        <w:t xml:space="preserve">                                              </w:t>
      </w:r>
    </w:p>
    <w:p>
      <w:pPr>
        <w:spacing w:line="360" w:lineRule="auto"/>
        <w:rPr>
          <w:rFonts w:ascii="宋体" w:hAnsi="宋体" w:eastAsia="宋体" w:cs="宋体"/>
          <w:bCs/>
          <w:color w:val="auto"/>
          <w:sz w:val="24"/>
          <w:highlight w:val="none"/>
        </w:rPr>
      </w:pPr>
      <w:r>
        <w:rPr>
          <w:rFonts w:hint="eastAsia" w:ascii="宋体" w:hAnsi="宋体" w:eastAsia="宋体" w:cs="宋体"/>
          <w:b/>
          <w:bCs/>
          <w:color w:val="auto"/>
          <w:sz w:val="24"/>
          <w:highlight w:val="none"/>
        </w:rPr>
        <w:t>开户银行：</w:t>
      </w:r>
      <w:r>
        <w:rPr>
          <w:rFonts w:hint="eastAsia" w:ascii="宋体" w:hAnsi="宋体" w:eastAsia="宋体" w:cs="宋体"/>
          <w:b/>
          <w:bCs/>
          <w:color w:val="auto"/>
          <w:sz w:val="24"/>
          <w:highlight w:val="none"/>
          <w:u w:val="single"/>
        </w:rPr>
        <w:t xml:space="preserve">                                              </w:t>
      </w:r>
    </w:p>
    <w:p>
      <w:pPr>
        <w:spacing w:line="360" w:lineRule="auto"/>
        <w:rPr>
          <w:rFonts w:ascii="宋体" w:hAnsi="宋体" w:eastAsia="宋体" w:cs="宋体"/>
          <w:b/>
          <w:bCs/>
          <w:color w:val="auto"/>
          <w:sz w:val="24"/>
          <w:highlight w:val="none"/>
          <w:u w:val="single" w:color="000000"/>
        </w:rPr>
      </w:pPr>
      <w:r>
        <w:rPr>
          <w:rFonts w:hint="eastAsia" w:ascii="宋体" w:hAnsi="宋体" w:eastAsia="宋体" w:cs="宋体"/>
          <w:b/>
          <w:bCs/>
          <w:color w:val="auto"/>
          <w:sz w:val="24"/>
          <w:highlight w:val="none"/>
        </w:rPr>
        <w:t>账户账号：</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rPr>
        <w:t xml:space="preserve">  </w:t>
      </w:r>
    </w:p>
    <w:p>
      <w:pPr>
        <w:spacing w:line="360" w:lineRule="auto"/>
        <w:rPr>
          <w:rFonts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甲方向上述账号汇出款项即视为甲方已履行付款义务，在协议履行过程中，因乙方账户原因（包括但不限于账号被注销、被冻结等）导致乙方无法收取款项的，由乙方承担相应后果。</w:t>
      </w:r>
    </w:p>
    <w:p>
      <w:pPr>
        <w:spacing w:line="360" w:lineRule="auto"/>
        <w:rPr>
          <w:rFonts w:ascii="宋体" w:hAnsi="宋体" w:eastAsia="宋体" w:cs="宋体"/>
          <w:snapToGrid w:val="0"/>
          <w:color w:val="auto"/>
          <w:highlight w:val="none"/>
        </w:rPr>
      </w:pPr>
      <w:r>
        <w:rPr>
          <w:rFonts w:hint="eastAsia" w:ascii="宋体" w:hAnsi="宋体" w:eastAsia="宋体" w:cs="宋体"/>
          <w:snapToGrid w:val="0"/>
          <w:color w:val="auto"/>
          <w:sz w:val="24"/>
          <w:highlight w:val="none"/>
        </w:rPr>
        <w:t>乙方开具等额合法有效发票并送达至甲方场所后，甲方履行付款义务，否则，甲方有权拒付且不承担任何责任。乙方不得因此延误咨询工作和履行本合同约定的其他义务。</w:t>
      </w:r>
      <w:bookmarkStart w:id="15" w:name="_Toc351203491"/>
    </w:p>
    <w:p>
      <w:pPr>
        <w:keepNext/>
        <w:keepLines/>
        <w:numPr>
          <w:ilvl w:val="0"/>
          <w:numId w:val="1"/>
        </w:numPr>
        <w:spacing w:before="200" w:after="200"/>
        <w:outlineLvl w:val="2"/>
        <w:rPr>
          <w:rFonts w:ascii="宋体" w:hAnsi="宋体" w:eastAsia="宋体" w:cs="宋体"/>
          <w:b/>
          <w:color w:val="auto"/>
          <w:sz w:val="24"/>
          <w:highlight w:val="none"/>
        </w:rPr>
      </w:pPr>
      <w:bookmarkStart w:id="16" w:name="_Toc489865849"/>
      <w:r>
        <w:rPr>
          <w:rFonts w:hint="eastAsia" w:ascii="宋体" w:hAnsi="宋体" w:eastAsia="宋体" w:cs="宋体"/>
          <w:b/>
          <w:color w:val="auto"/>
          <w:sz w:val="24"/>
          <w:highlight w:val="none"/>
        </w:rPr>
        <w:t>知识产权与保密条款</w:t>
      </w:r>
    </w:p>
    <w:p>
      <w:pPr>
        <w:spacing w:line="360" w:lineRule="auto"/>
        <w:rPr>
          <w:rFonts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1、本协议双方均应保护对方的知识产权，未经对方同意，任何一方均不得对对方的资料及文件擅自修改、复制或向合同双方外的第三人转让或用于本合同项目外的项目。本合同项下的资料的知识产权、素材及成果等均归属甲方所有。乙方承诺，在为甲方提供服务时，不得使用任何属于他人的技术秘密和商业秘密，亦不得实施可能侵犯他人知识产权等权益的行为。若甲方因乙方的上述行为而提供的成果等进行了确认、同意、接收，乙方不得以此为由要求甲方承担任何责任，一切后果均由乙方承担。给甲方造成损失的，甲方有权向乙方追偿。</w:t>
      </w:r>
    </w:p>
    <w:p>
      <w:pPr>
        <w:spacing w:line="360" w:lineRule="auto"/>
        <w:rPr>
          <w:rFonts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2、乙方应对因订立或履行本合同而了解、取得、接触到或完成的，与甲方有关的所有文件、材料及其他信息（无论这些信息是技术性的还是商业性的）严格保密。除非获得甲方的书面同意，不得自行使用或许可非相对方使用；也不得以任何方式向非相对方予以披露。</w:t>
      </w:r>
    </w:p>
    <w:p>
      <w:pPr>
        <w:spacing w:line="360" w:lineRule="auto"/>
        <w:rPr>
          <w:rFonts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3、下列各项内容不受上述规定限制：依照国家法律规定，应向有关政府部门披露信息；为履行本合同而需向非相对方披露信息且事先征得合同对方书面同意的；乙方从政府主管部门得知，经甲方确认已不再处于秘密状态，且对外披露不会造成对方经济损失的信息。</w:t>
      </w:r>
    </w:p>
    <w:p>
      <w:pPr>
        <w:spacing w:line="360" w:lineRule="auto"/>
        <w:rPr>
          <w:rFonts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4、若乙方违反上述约定，应按合同总额10%向甲方支付违约金，违约金不足以弥补甲方损失的，乙方还应赔偿损失。</w:t>
      </w:r>
    </w:p>
    <w:p>
      <w:pPr>
        <w:spacing w:line="360" w:lineRule="auto"/>
        <w:rPr>
          <w:rFonts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5、本条的约定不因本合同的解除、终止或无效而免除。</w:t>
      </w:r>
    </w:p>
    <w:p>
      <w:pPr>
        <w:keepNext/>
        <w:keepLines/>
        <w:numPr>
          <w:ilvl w:val="0"/>
          <w:numId w:val="1"/>
        </w:numPr>
        <w:spacing w:before="200" w:after="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补充协议</w:t>
      </w:r>
      <w:bookmarkEnd w:id="15"/>
      <w:bookmarkEnd w:id="16"/>
    </w:p>
    <w:p>
      <w:pPr>
        <w:adjustRightInd w:val="0"/>
        <w:snapToGrid w:val="0"/>
        <w:spacing w:line="360" w:lineRule="auto"/>
        <w:rPr>
          <w:rFonts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合同未尽事宜，合同当事人另行签订补充协议，补充协议是本合同的组成部分。</w:t>
      </w:r>
      <w:bookmarkEnd w:id="14"/>
    </w:p>
    <w:p>
      <w:pPr>
        <w:keepNext/>
        <w:keepLines/>
        <w:numPr>
          <w:ilvl w:val="0"/>
          <w:numId w:val="1"/>
        </w:numPr>
        <w:spacing w:before="200" w:after="200"/>
        <w:outlineLvl w:val="2"/>
        <w:rPr>
          <w:rFonts w:ascii="宋体" w:hAnsi="宋体" w:eastAsia="宋体" w:cs="宋体"/>
          <w:b/>
          <w:color w:val="auto"/>
          <w:sz w:val="24"/>
          <w:highlight w:val="none"/>
        </w:rPr>
      </w:pPr>
      <w:bookmarkStart w:id="17" w:name="_Toc489865853"/>
      <w:r>
        <w:rPr>
          <w:rFonts w:hint="eastAsia" w:ascii="宋体" w:hAnsi="宋体" w:eastAsia="宋体" w:cs="宋体"/>
          <w:b/>
          <w:color w:val="auto"/>
          <w:sz w:val="24"/>
          <w:highlight w:val="none"/>
        </w:rPr>
        <w:t>争议的解决方式</w:t>
      </w:r>
      <w:bookmarkEnd w:id="17"/>
    </w:p>
    <w:p>
      <w:pPr>
        <w:spacing w:line="360" w:lineRule="auto"/>
        <w:rPr>
          <w:rFonts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本合同在履行过程中的争议，双方可协商、调解，不成时按下列第</w:t>
      </w:r>
      <w:r>
        <w:rPr>
          <w:rFonts w:hint="eastAsia" w:ascii="宋体" w:hAnsi="宋体" w:eastAsia="宋体" w:cs="宋体"/>
          <w:snapToGrid w:val="0"/>
          <w:color w:val="auto"/>
          <w:sz w:val="24"/>
          <w:highlight w:val="none"/>
          <w:u w:val="single"/>
        </w:rPr>
        <w:t>（二）</w:t>
      </w:r>
      <w:r>
        <w:rPr>
          <w:rFonts w:hint="eastAsia" w:ascii="宋体" w:hAnsi="宋体" w:eastAsia="宋体" w:cs="宋体"/>
          <w:snapToGrid w:val="0"/>
          <w:color w:val="auto"/>
          <w:sz w:val="24"/>
          <w:highlight w:val="none"/>
        </w:rPr>
        <w:t>种方式解决：</w:t>
      </w:r>
    </w:p>
    <w:p>
      <w:pPr>
        <w:spacing w:line="360" w:lineRule="auto"/>
        <w:rPr>
          <w:rFonts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 xml:space="preserve">（一）提交中国广州仲裁委员会仲裁； </w:t>
      </w:r>
    </w:p>
    <w:p>
      <w:pPr>
        <w:spacing w:line="360" w:lineRule="auto"/>
        <w:rPr>
          <w:rFonts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（二）依法向</w:t>
      </w:r>
      <w:r>
        <w:rPr>
          <w:rFonts w:hint="eastAsia" w:ascii="宋体" w:hAnsi="宋体" w:eastAsia="宋体" w:cs="宋体"/>
          <w:snapToGrid w:val="0"/>
          <w:color w:val="auto"/>
          <w:sz w:val="24"/>
          <w:highlight w:val="none"/>
          <w:lang w:eastAsia="zh-CN"/>
        </w:rPr>
        <w:t>工程所在地</w:t>
      </w:r>
      <w:r>
        <w:rPr>
          <w:rFonts w:hint="eastAsia" w:ascii="宋体" w:hAnsi="宋体" w:eastAsia="宋体" w:cs="宋体"/>
          <w:snapToGrid w:val="0"/>
          <w:color w:val="auto"/>
          <w:sz w:val="24"/>
          <w:highlight w:val="none"/>
        </w:rPr>
        <w:t>人民法院起诉。</w:t>
      </w:r>
      <w:bookmarkStart w:id="18" w:name="_Toc485394986"/>
    </w:p>
    <w:bookmarkEnd w:id="18"/>
    <w:p>
      <w:pPr>
        <w:keepNext/>
        <w:keepLines/>
        <w:numPr>
          <w:ilvl w:val="0"/>
          <w:numId w:val="1"/>
        </w:numPr>
        <w:spacing w:before="200" w:after="200"/>
        <w:outlineLvl w:val="2"/>
        <w:rPr>
          <w:rFonts w:ascii="宋体" w:hAnsi="宋体" w:eastAsia="宋体" w:cs="宋体"/>
          <w:b/>
          <w:bCs/>
          <w:color w:val="auto"/>
          <w:sz w:val="24"/>
          <w:highlight w:val="none"/>
        </w:rPr>
      </w:pPr>
      <w:r>
        <w:rPr>
          <w:rFonts w:hint="eastAsia" w:ascii="宋体" w:hAnsi="宋体" w:eastAsia="宋体" w:cs="宋体"/>
          <w:b/>
          <w:bCs/>
          <w:color w:val="auto"/>
          <w:sz w:val="24"/>
          <w:highlight w:val="none"/>
        </w:rPr>
        <w:t>其他事项</w:t>
      </w:r>
    </w:p>
    <w:p>
      <w:pPr>
        <w:spacing w:line="360" w:lineRule="auto"/>
        <w:rPr>
          <w:rFonts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1、本合同项下任何一方向对方发出的通知、信件、数据电文等，应当发送至本合同签署页约定的地址、联系人和通信终端。任何一方当事人向对方所发出的信件，邮政特快专递交邮后的第4日视为送达</w:t>
      </w:r>
      <w:r>
        <w:rPr>
          <w:rFonts w:hint="eastAsia" w:ascii="宋体" w:hAnsi="宋体" w:eastAsia="宋体" w:cs="宋体"/>
          <w:snapToGrid w:val="0"/>
          <w:color w:val="auto"/>
          <w:sz w:val="24"/>
          <w:highlight w:val="none"/>
          <w:lang w:eastAsia="zh-CN"/>
        </w:rPr>
        <w:t>（</w:t>
      </w:r>
      <w:r>
        <w:rPr>
          <w:rFonts w:hint="eastAsia" w:ascii="宋体" w:hAnsi="宋体" w:eastAsia="宋体" w:cs="宋体"/>
          <w:snapToGrid w:val="0"/>
          <w:color w:val="auto"/>
          <w:sz w:val="24"/>
          <w:highlight w:val="none"/>
          <w:lang w:val="en-US" w:eastAsia="zh-CN"/>
        </w:rPr>
        <w:t>实际签收日期早于前述时间的，以实际签收日期为送达之日</w:t>
      </w:r>
      <w:r>
        <w:rPr>
          <w:rFonts w:hint="eastAsia" w:ascii="宋体" w:hAnsi="宋体" w:eastAsia="宋体" w:cs="宋体"/>
          <w:snapToGrid w:val="0"/>
          <w:color w:val="auto"/>
          <w:sz w:val="24"/>
          <w:highlight w:val="none"/>
          <w:lang w:eastAsia="zh-CN"/>
        </w:rPr>
        <w:t>）</w:t>
      </w:r>
      <w:r>
        <w:rPr>
          <w:rFonts w:hint="eastAsia" w:ascii="宋体" w:hAnsi="宋体" w:eastAsia="宋体" w:cs="宋体"/>
          <w:snapToGrid w:val="0"/>
          <w:color w:val="auto"/>
          <w:sz w:val="24"/>
          <w:highlight w:val="none"/>
        </w:rPr>
        <w:t>；发出的短信/传真/微信/电子邮件，自前述电子文件内容在发送方正确填写地址且未被系统退回的情况下，视为进入对方数据电文接收系统即视为送达。若送达日为非工作日,则视为在下一工作日送达。</w:t>
      </w:r>
    </w:p>
    <w:p>
      <w:pPr>
        <w:spacing w:line="360" w:lineRule="auto"/>
        <w:rPr>
          <w:rFonts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2、合同签署页约定的地址、联系人及电子通信终端亦为双方工作联系往来、法律文书及争议解决时人民法院和/或仲裁机构的法律文书送达地址，人民法院和/或仲裁机构的诉讼文书（含裁判文书）向任何合同任何一方当事人的上述地址和/或工商登记公示地址（居民身份证登记地址）送达的，视为有效送达。当事人对电子通信终端的联系送达适用于争议解决时的送达。</w:t>
      </w:r>
    </w:p>
    <w:p>
      <w:pPr>
        <w:spacing w:line="360" w:lineRule="auto"/>
        <w:rPr>
          <w:rFonts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3、一方当事人变更名称、地址、联系人或通信终端的，应当在变更后3个工作日内及时书面通知本合同其它主体，本合同其他主体实际收到变更通知前的送达仍为有效送达，电子送达与书面送达具有同等法律效力。</w:t>
      </w:r>
    </w:p>
    <w:p>
      <w:pPr>
        <w:keepNext/>
        <w:keepLines/>
        <w:spacing w:before="200" w:after="200"/>
        <w:outlineLvl w:val="1"/>
        <w:rPr>
          <w:rFonts w:ascii="宋体" w:hAnsi="宋体" w:eastAsia="宋体" w:cs="宋体"/>
          <w:b/>
          <w:bCs/>
          <w:color w:val="auto"/>
          <w:sz w:val="24"/>
          <w:highlight w:val="none"/>
        </w:rPr>
      </w:pPr>
      <w:bookmarkStart w:id="19" w:name="_Toc351203489"/>
      <w:bookmarkStart w:id="20" w:name="_Toc489865850"/>
      <w:r>
        <w:rPr>
          <w:rFonts w:hint="eastAsia" w:ascii="宋体" w:hAnsi="宋体" w:eastAsia="宋体" w:cs="宋体"/>
          <w:b/>
          <w:bCs/>
          <w:color w:val="auto"/>
          <w:sz w:val="24"/>
          <w:highlight w:val="none"/>
        </w:rPr>
        <w:t>十二、签订时间</w:t>
      </w:r>
      <w:bookmarkEnd w:id="19"/>
      <w:bookmarkEnd w:id="20"/>
    </w:p>
    <w:p>
      <w:pPr>
        <w:spacing w:line="360" w:lineRule="auto"/>
        <w:rPr>
          <w:rFonts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本合同于</w:t>
      </w:r>
      <w:r>
        <w:rPr>
          <w:rFonts w:hint="eastAsia" w:ascii="宋体" w:hAnsi="宋体" w:eastAsia="宋体" w:cs="宋体"/>
          <w:snapToGrid w:val="0"/>
          <w:color w:val="auto"/>
          <w:sz w:val="24"/>
          <w:highlight w:val="none"/>
          <w:u w:val="single"/>
        </w:rPr>
        <w:t>202</w:t>
      </w:r>
      <w:r>
        <w:rPr>
          <w:rFonts w:hint="eastAsia" w:ascii="宋体" w:hAnsi="宋体" w:eastAsia="宋体" w:cs="宋体"/>
          <w:snapToGrid w:val="0"/>
          <w:color w:val="auto"/>
          <w:sz w:val="24"/>
          <w:highlight w:val="none"/>
          <w:u w:val="single"/>
          <w:lang w:val="en-US" w:eastAsia="zh-CN"/>
        </w:rPr>
        <w:t>5</w:t>
      </w:r>
      <w:r>
        <w:rPr>
          <w:rFonts w:hint="eastAsia" w:ascii="宋体" w:hAnsi="宋体" w:eastAsia="宋体" w:cs="宋体"/>
          <w:snapToGrid w:val="0"/>
          <w:color w:val="auto"/>
          <w:sz w:val="24"/>
          <w:highlight w:val="none"/>
        </w:rPr>
        <w:t>年</w:t>
      </w:r>
      <w:r>
        <w:rPr>
          <w:rFonts w:hint="eastAsia" w:ascii="宋体" w:hAnsi="宋体" w:eastAsia="宋体" w:cs="宋体"/>
          <w:snapToGrid w:val="0"/>
          <w:color w:val="auto"/>
          <w:sz w:val="24"/>
          <w:highlight w:val="none"/>
          <w:u w:val="single"/>
        </w:rPr>
        <w:t xml:space="preserve">    </w:t>
      </w:r>
      <w:r>
        <w:rPr>
          <w:rFonts w:hint="eastAsia" w:ascii="宋体" w:hAnsi="宋体" w:eastAsia="宋体" w:cs="宋体"/>
          <w:snapToGrid w:val="0"/>
          <w:color w:val="auto"/>
          <w:sz w:val="24"/>
          <w:highlight w:val="none"/>
        </w:rPr>
        <w:t>月</w:t>
      </w:r>
      <w:r>
        <w:rPr>
          <w:rFonts w:hint="eastAsia" w:ascii="宋体" w:hAnsi="宋体" w:eastAsia="宋体" w:cs="宋体"/>
          <w:snapToGrid w:val="0"/>
          <w:color w:val="auto"/>
          <w:sz w:val="24"/>
          <w:highlight w:val="none"/>
          <w:u w:val="single"/>
        </w:rPr>
        <w:t xml:space="preserve">   </w:t>
      </w:r>
      <w:r>
        <w:rPr>
          <w:rFonts w:hint="eastAsia" w:ascii="宋体" w:hAnsi="宋体" w:eastAsia="宋体" w:cs="宋体"/>
          <w:snapToGrid w:val="0"/>
          <w:color w:val="auto"/>
          <w:sz w:val="24"/>
          <w:highlight w:val="none"/>
        </w:rPr>
        <w:t>日签订。</w:t>
      </w:r>
    </w:p>
    <w:p>
      <w:pPr>
        <w:keepNext/>
        <w:keepLines/>
        <w:spacing w:before="200" w:after="200"/>
        <w:outlineLvl w:val="1"/>
        <w:rPr>
          <w:rFonts w:ascii="宋体" w:hAnsi="宋体" w:eastAsia="宋体" w:cs="宋体"/>
          <w:b/>
          <w:bCs/>
          <w:color w:val="auto"/>
          <w:sz w:val="24"/>
          <w:highlight w:val="none"/>
        </w:rPr>
      </w:pPr>
      <w:bookmarkStart w:id="21" w:name="_Toc489865851"/>
      <w:bookmarkStart w:id="22" w:name="_Toc351203490"/>
      <w:r>
        <w:rPr>
          <w:rFonts w:hint="eastAsia" w:ascii="宋体" w:hAnsi="宋体" w:eastAsia="宋体" w:cs="宋体"/>
          <w:b/>
          <w:bCs/>
          <w:color w:val="auto"/>
          <w:sz w:val="24"/>
          <w:highlight w:val="none"/>
        </w:rPr>
        <w:t>十三、签订地点</w:t>
      </w:r>
      <w:bookmarkEnd w:id="21"/>
      <w:bookmarkEnd w:id="22"/>
    </w:p>
    <w:p>
      <w:pPr>
        <w:spacing w:line="360" w:lineRule="auto"/>
        <w:rPr>
          <w:rFonts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本合同在</w:t>
      </w:r>
      <w:r>
        <w:rPr>
          <w:rFonts w:hint="eastAsia" w:ascii="宋体" w:hAnsi="宋体" w:eastAsia="宋体" w:cs="宋体"/>
          <w:snapToGrid w:val="0"/>
          <w:color w:val="auto"/>
          <w:sz w:val="24"/>
          <w:highlight w:val="none"/>
          <w:u w:val="single"/>
        </w:rPr>
        <w:t xml:space="preserve"> 广州市 </w:t>
      </w:r>
      <w:r>
        <w:rPr>
          <w:rFonts w:hint="eastAsia" w:ascii="宋体" w:hAnsi="宋体" w:eastAsia="宋体" w:cs="宋体"/>
          <w:snapToGrid w:val="0"/>
          <w:color w:val="auto"/>
          <w:sz w:val="24"/>
          <w:highlight w:val="none"/>
        </w:rPr>
        <w:t>签订。</w:t>
      </w:r>
    </w:p>
    <w:p>
      <w:pPr>
        <w:rPr>
          <w:rFonts w:ascii="宋体" w:hAnsi="宋体" w:eastAsia="宋体" w:cs="宋体"/>
          <w:color w:val="auto"/>
          <w:highlight w:val="none"/>
        </w:rPr>
      </w:pPr>
    </w:p>
    <w:p>
      <w:pPr>
        <w:keepNext/>
        <w:keepLines/>
        <w:spacing w:before="200" w:after="200"/>
        <w:outlineLvl w:val="2"/>
        <w:rPr>
          <w:rFonts w:ascii="宋体" w:hAnsi="宋体" w:eastAsia="宋体" w:cs="宋体"/>
          <w:b/>
          <w:bCs/>
          <w:color w:val="auto"/>
          <w:sz w:val="24"/>
          <w:highlight w:val="none"/>
        </w:rPr>
      </w:pPr>
      <w:r>
        <w:rPr>
          <w:rFonts w:hint="eastAsia" w:ascii="宋体" w:hAnsi="宋体" w:eastAsia="宋体" w:cs="宋体"/>
          <w:b/>
          <w:bCs/>
          <w:color w:val="auto"/>
          <w:sz w:val="24"/>
          <w:highlight w:val="none"/>
        </w:rPr>
        <w:t>十四、合同生效</w:t>
      </w:r>
    </w:p>
    <w:p>
      <w:pPr>
        <w:adjustRightInd w:val="0"/>
        <w:snapToGrid w:val="0"/>
        <w:spacing w:line="360" w:lineRule="auto"/>
        <w:rPr>
          <w:rFonts w:ascii="宋体" w:hAnsi="宋体" w:eastAsia="宋体" w:cs="宋体"/>
          <w:color w:val="auto"/>
          <w:sz w:val="24"/>
          <w:highlight w:val="none"/>
        </w:rPr>
      </w:pPr>
      <w:r>
        <w:rPr>
          <w:rFonts w:hint="eastAsia" w:ascii="宋体" w:hAnsi="宋体" w:eastAsia="宋体" w:cs="宋体"/>
          <w:snapToGrid w:val="0"/>
          <w:color w:val="auto"/>
          <w:sz w:val="24"/>
          <w:highlight w:val="none"/>
        </w:rPr>
        <w:t>本合同经双方法定代表人或其授代表签字（或加盖印章）并加盖双方单位公章后生效。</w:t>
      </w:r>
    </w:p>
    <w:p>
      <w:pPr>
        <w:adjustRightInd w:val="0"/>
        <w:snapToGrid w:val="0"/>
        <w:spacing w:line="360" w:lineRule="auto"/>
        <w:rPr>
          <w:rFonts w:ascii="宋体" w:hAnsi="宋体" w:eastAsia="宋体" w:cs="宋体"/>
          <w:b/>
          <w:snapToGrid w:val="0"/>
          <w:color w:val="auto"/>
          <w:sz w:val="24"/>
          <w:highlight w:val="none"/>
        </w:rPr>
      </w:pPr>
      <w:r>
        <w:rPr>
          <w:rFonts w:hint="eastAsia" w:ascii="宋体" w:hAnsi="宋体" w:eastAsia="宋体" w:cs="宋体"/>
          <w:snapToGrid w:val="0"/>
          <w:color w:val="auto"/>
          <w:sz w:val="24"/>
          <w:highlight w:val="none"/>
        </w:rPr>
        <w:t>1、合同的份数：</w:t>
      </w:r>
      <w:r>
        <w:rPr>
          <w:rFonts w:hint="eastAsia" w:ascii="宋体" w:hAnsi="宋体" w:eastAsia="宋体" w:cs="宋体"/>
          <w:b/>
          <w:snapToGrid w:val="0"/>
          <w:color w:val="auto"/>
          <w:sz w:val="24"/>
          <w:highlight w:val="none"/>
        </w:rPr>
        <w:t>正本</w:t>
      </w:r>
      <w:r>
        <w:rPr>
          <w:rFonts w:hint="eastAsia" w:ascii="宋体" w:hAnsi="宋体" w:eastAsia="宋体" w:cs="宋体"/>
          <w:b/>
          <w:snapToGrid w:val="0"/>
          <w:color w:val="auto"/>
          <w:sz w:val="24"/>
          <w:highlight w:val="none"/>
          <w:u w:val="single"/>
        </w:rPr>
        <w:t xml:space="preserve">     </w:t>
      </w:r>
      <w:r>
        <w:rPr>
          <w:rFonts w:hint="eastAsia" w:ascii="宋体" w:hAnsi="宋体" w:eastAsia="宋体" w:cs="宋体"/>
          <w:b/>
          <w:snapToGrid w:val="0"/>
          <w:color w:val="auto"/>
          <w:sz w:val="24"/>
          <w:highlight w:val="none"/>
        </w:rPr>
        <w:t>份，副本</w:t>
      </w:r>
      <w:r>
        <w:rPr>
          <w:rFonts w:hint="eastAsia" w:ascii="宋体" w:hAnsi="宋体" w:eastAsia="宋体" w:cs="宋体"/>
          <w:b/>
          <w:snapToGrid w:val="0"/>
          <w:color w:val="auto"/>
          <w:sz w:val="24"/>
          <w:highlight w:val="none"/>
          <w:u w:val="single"/>
        </w:rPr>
        <w:t xml:space="preserve">       </w:t>
      </w:r>
      <w:r>
        <w:rPr>
          <w:rFonts w:hint="eastAsia" w:ascii="宋体" w:hAnsi="宋体" w:eastAsia="宋体" w:cs="宋体"/>
          <w:b/>
          <w:snapToGrid w:val="0"/>
          <w:color w:val="auto"/>
          <w:sz w:val="24"/>
          <w:highlight w:val="none"/>
        </w:rPr>
        <w:t>份。</w:t>
      </w:r>
    </w:p>
    <w:p>
      <w:pPr>
        <w:adjustRightInd w:val="0"/>
        <w:snapToGrid w:val="0"/>
        <w:spacing w:line="360" w:lineRule="auto"/>
        <w:rPr>
          <w:rFonts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其中：甲方正本</w:t>
      </w:r>
      <w:r>
        <w:rPr>
          <w:rFonts w:hint="eastAsia" w:ascii="宋体" w:hAnsi="宋体" w:eastAsia="宋体" w:cs="宋体"/>
          <w:snapToGrid w:val="0"/>
          <w:color w:val="auto"/>
          <w:sz w:val="24"/>
          <w:highlight w:val="none"/>
          <w:u w:val="single"/>
        </w:rPr>
        <w:t xml:space="preserve">   1   </w:t>
      </w:r>
      <w:r>
        <w:rPr>
          <w:rFonts w:hint="eastAsia" w:ascii="宋体" w:hAnsi="宋体" w:eastAsia="宋体" w:cs="宋体"/>
          <w:snapToGrid w:val="0"/>
          <w:color w:val="auto"/>
          <w:sz w:val="24"/>
          <w:highlight w:val="none"/>
        </w:rPr>
        <w:t>份，副本</w:t>
      </w:r>
      <w:r>
        <w:rPr>
          <w:rFonts w:hint="eastAsia" w:ascii="宋体" w:hAnsi="宋体" w:eastAsia="宋体" w:cs="宋体"/>
          <w:snapToGrid w:val="0"/>
          <w:color w:val="auto"/>
          <w:sz w:val="24"/>
          <w:highlight w:val="none"/>
          <w:u w:val="single"/>
        </w:rPr>
        <w:t xml:space="preserve">   3   </w:t>
      </w:r>
      <w:r>
        <w:rPr>
          <w:rFonts w:hint="eastAsia" w:ascii="宋体" w:hAnsi="宋体" w:eastAsia="宋体" w:cs="宋体"/>
          <w:snapToGrid w:val="0"/>
          <w:color w:val="auto"/>
          <w:sz w:val="24"/>
          <w:highlight w:val="none"/>
        </w:rPr>
        <w:t>份。</w:t>
      </w:r>
    </w:p>
    <w:p>
      <w:pPr>
        <w:adjustRightInd w:val="0"/>
        <w:snapToGrid w:val="0"/>
        <w:spacing w:line="360" w:lineRule="auto"/>
        <w:rPr>
          <w:rFonts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　　　乙方正本</w:t>
      </w:r>
      <w:r>
        <w:rPr>
          <w:rFonts w:hint="eastAsia" w:ascii="宋体" w:hAnsi="宋体" w:eastAsia="宋体" w:cs="宋体"/>
          <w:snapToGrid w:val="0"/>
          <w:color w:val="auto"/>
          <w:sz w:val="24"/>
          <w:highlight w:val="none"/>
          <w:u w:val="single"/>
        </w:rPr>
        <w:t xml:space="preserve">       </w:t>
      </w:r>
      <w:r>
        <w:rPr>
          <w:rFonts w:hint="eastAsia" w:ascii="宋体" w:hAnsi="宋体" w:eastAsia="宋体" w:cs="宋体"/>
          <w:snapToGrid w:val="0"/>
          <w:color w:val="auto"/>
          <w:sz w:val="24"/>
          <w:highlight w:val="none"/>
        </w:rPr>
        <w:t>份，副本</w:t>
      </w:r>
      <w:r>
        <w:rPr>
          <w:rFonts w:hint="eastAsia" w:ascii="宋体" w:hAnsi="宋体" w:eastAsia="宋体" w:cs="宋体"/>
          <w:snapToGrid w:val="0"/>
          <w:color w:val="auto"/>
          <w:sz w:val="24"/>
          <w:highlight w:val="none"/>
          <w:u w:val="single"/>
        </w:rPr>
        <w:t xml:space="preserve">       </w:t>
      </w:r>
      <w:r>
        <w:rPr>
          <w:rFonts w:hint="eastAsia" w:ascii="宋体" w:hAnsi="宋体" w:eastAsia="宋体" w:cs="宋体"/>
          <w:snapToGrid w:val="0"/>
          <w:color w:val="auto"/>
          <w:sz w:val="24"/>
          <w:highlight w:val="none"/>
        </w:rPr>
        <w:t>份。</w:t>
      </w:r>
    </w:p>
    <w:p>
      <w:pPr>
        <w:adjustRightInd w:val="0"/>
        <w:snapToGrid w:val="0"/>
        <w:spacing w:line="360" w:lineRule="auto"/>
        <w:jc w:val="left"/>
        <w:rPr>
          <w:rFonts w:ascii="宋体" w:hAnsi="宋体" w:eastAsia="宋体" w:cs="宋体"/>
          <w:color w:val="auto"/>
          <w:sz w:val="24"/>
          <w:highlight w:val="none"/>
        </w:rPr>
      </w:pPr>
      <w:r>
        <w:rPr>
          <w:rFonts w:hint="eastAsia" w:ascii="宋体" w:hAnsi="宋体" w:eastAsia="宋体" w:cs="宋体"/>
          <w:snapToGrid w:val="0"/>
          <w:color w:val="auto"/>
          <w:sz w:val="24"/>
          <w:highlight w:val="none"/>
        </w:rPr>
        <w:t>2、本合同正、副本具同等法律效律，当正、副本不一致时，以正本为准。</w:t>
      </w:r>
    </w:p>
    <w:p>
      <w:pPr>
        <w:adjustRightInd w:val="0"/>
        <w:snapToGrid w:val="0"/>
        <w:spacing w:line="360" w:lineRule="auto"/>
        <w:rPr>
          <w:rFonts w:ascii="宋体" w:hAnsi="宋体" w:eastAsia="宋体" w:cs="宋体"/>
          <w:color w:val="auto"/>
          <w:highlight w:val="none"/>
        </w:rPr>
        <w:sectPr>
          <w:footerReference r:id="rId9" w:type="even"/>
          <w:endnotePr>
            <w:numFmt w:val="decimal"/>
          </w:endnotePr>
          <w:pgSz w:w="11907" w:h="16840"/>
          <w:pgMar w:top="1440" w:right="1588" w:bottom="1440" w:left="1089" w:header="851" w:footer="907" w:gutter="113"/>
          <w:cols w:space="720" w:num="1"/>
          <w:docGrid w:linePitch="312" w:charSpace="0"/>
        </w:sectPr>
      </w:pPr>
      <w:r>
        <w:rPr>
          <w:rFonts w:hint="eastAsia" w:ascii="宋体" w:hAnsi="宋体" w:eastAsia="宋体" w:cs="宋体"/>
          <w:color w:val="auto"/>
          <w:sz w:val="24"/>
          <w:highlight w:val="none"/>
        </w:rPr>
        <w:t>(以下无正文）</w:t>
      </w:r>
    </w:p>
    <w:p>
      <w:pPr>
        <w:spacing w:line="360" w:lineRule="auto"/>
        <w:rPr>
          <w:rFonts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（本页为签署页）</w:t>
      </w:r>
    </w:p>
    <w:p>
      <w:pPr>
        <w:spacing w:line="360" w:lineRule="auto"/>
        <w:rPr>
          <w:rFonts w:ascii="宋体" w:hAnsi="宋体" w:eastAsia="宋体" w:cs="宋体"/>
          <w:snapToGrid w:val="0"/>
          <w:color w:val="auto"/>
          <w:sz w:val="24"/>
          <w:highlight w:val="none"/>
        </w:rPr>
      </w:pPr>
    </w:p>
    <w:p>
      <w:pPr>
        <w:spacing w:line="360" w:lineRule="auto"/>
        <w:rPr>
          <w:rFonts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甲方：</w:t>
      </w:r>
      <w:r>
        <w:rPr>
          <w:rFonts w:hint="eastAsia" w:ascii="宋体" w:hAnsi="宋体" w:eastAsia="宋体" w:cs="宋体"/>
          <w:color w:val="auto"/>
          <w:sz w:val="24"/>
          <w:highlight w:val="none"/>
          <w:lang w:eastAsia="zh-CN"/>
        </w:rPr>
        <w:t>广州广粮坊食品科技有限公司</w:t>
      </w:r>
      <w:r>
        <w:rPr>
          <w:rFonts w:hint="eastAsia" w:ascii="宋体" w:hAnsi="宋体" w:eastAsia="宋体" w:cs="宋体"/>
          <w:snapToGrid w:val="0"/>
          <w:color w:val="auto"/>
          <w:sz w:val="24"/>
          <w:highlight w:val="none"/>
        </w:rPr>
        <w:t>（公章）</w:t>
      </w:r>
    </w:p>
    <w:p>
      <w:pPr>
        <w:spacing w:line="360" w:lineRule="auto"/>
        <w:rPr>
          <w:rFonts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通讯地址：</w:t>
      </w:r>
    </w:p>
    <w:p>
      <w:pPr>
        <w:spacing w:line="360" w:lineRule="auto"/>
        <w:rPr>
          <w:rFonts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 xml:space="preserve">法定代表人：                          </w:t>
      </w:r>
    </w:p>
    <w:p>
      <w:pPr>
        <w:spacing w:line="360" w:lineRule="auto"/>
        <w:rPr>
          <w:rFonts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 xml:space="preserve">签约代表：      　                    </w:t>
      </w:r>
    </w:p>
    <w:p>
      <w:pPr>
        <w:spacing w:line="360" w:lineRule="auto"/>
        <w:rPr>
          <w:rFonts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 xml:space="preserve">电话：                             </w:t>
      </w:r>
    </w:p>
    <w:p>
      <w:pPr>
        <w:spacing w:line="360" w:lineRule="auto"/>
        <w:rPr>
          <w:rFonts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 xml:space="preserve">传真：                                 </w:t>
      </w:r>
    </w:p>
    <w:p>
      <w:pPr>
        <w:spacing w:line="360" w:lineRule="auto"/>
        <w:rPr>
          <w:rFonts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 xml:space="preserve">邮政编码：                            </w:t>
      </w:r>
    </w:p>
    <w:p>
      <w:pPr>
        <w:spacing w:line="360" w:lineRule="auto"/>
        <w:rPr>
          <w:rFonts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微信号：</w:t>
      </w:r>
    </w:p>
    <w:p>
      <w:pPr>
        <w:spacing w:line="360" w:lineRule="auto"/>
        <w:rPr>
          <w:rFonts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电子邮箱：</w:t>
      </w:r>
    </w:p>
    <w:p>
      <w:pPr>
        <w:spacing w:line="360" w:lineRule="auto"/>
        <w:rPr>
          <w:rFonts w:ascii="宋体" w:hAnsi="宋体" w:eastAsia="宋体" w:cs="宋体"/>
          <w:snapToGrid w:val="0"/>
          <w:color w:val="auto"/>
          <w:sz w:val="24"/>
          <w:highlight w:val="none"/>
        </w:rPr>
      </w:pPr>
    </w:p>
    <w:p>
      <w:pPr>
        <w:rPr>
          <w:rFonts w:ascii="宋体" w:hAnsi="宋体" w:eastAsia="宋体" w:cs="宋体"/>
          <w:color w:val="auto"/>
          <w:highlight w:val="none"/>
        </w:rPr>
      </w:pPr>
    </w:p>
    <w:p>
      <w:pPr>
        <w:spacing w:line="360" w:lineRule="auto"/>
        <w:rPr>
          <w:rFonts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乙方：                   （公章）</w:t>
      </w:r>
    </w:p>
    <w:p>
      <w:pPr>
        <w:spacing w:line="360" w:lineRule="auto"/>
        <w:rPr>
          <w:rFonts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通讯地址：</w:t>
      </w:r>
    </w:p>
    <w:p>
      <w:pPr>
        <w:spacing w:line="360" w:lineRule="auto"/>
        <w:rPr>
          <w:rFonts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法定代表人：</w:t>
      </w:r>
    </w:p>
    <w:p>
      <w:pPr>
        <w:spacing w:line="360" w:lineRule="auto"/>
        <w:rPr>
          <w:rFonts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签约代表：</w:t>
      </w:r>
    </w:p>
    <w:p>
      <w:pPr>
        <w:spacing w:line="360" w:lineRule="auto"/>
        <w:rPr>
          <w:rFonts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 xml:space="preserve">电话：    </w:t>
      </w:r>
    </w:p>
    <w:p>
      <w:pPr>
        <w:spacing w:line="360" w:lineRule="auto"/>
        <w:rPr>
          <w:rFonts w:ascii="宋体" w:hAnsi="宋体" w:eastAsia="宋体" w:cs="宋体"/>
          <w:color w:val="auto"/>
          <w:sz w:val="24"/>
          <w:highlight w:val="none"/>
        </w:rPr>
      </w:pPr>
      <w:r>
        <w:rPr>
          <w:rFonts w:hint="eastAsia" w:ascii="宋体" w:hAnsi="宋体" w:eastAsia="宋体" w:cs="宋体"/>
          <w:snapToGrid w:val="0"/>
          <w:color w:val="auto"/>
          <w:sz w:val="24"/>
          <w:highlight w:val="none"/>
        </w:rPr>
        <w:t>传真：</w:t>
      </w:r>
      <w:bookmarkStart w:id="23" w:name="_Toc489236605"/>
      <w:bookmarkStart w:id="24" w:name="_Toc489865855"/>
    </w:p>
    <w:p>
      <w:pPr>
        <w:spacing w:line="360" w:lineRule="auto"/>
        <w:rPr>
          <w:rFonts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邮政编码：</w:t>
      </w:r>
    </w:p>
    <w:p>
      <w:pPr>
        <w:spacing w:line="360" w:lineRule="auto"/>
        <w:rPr>
          <w:rFonts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微信号：</w:t>
      </w:r>
    </w:p>
    <w:p>
      <w:pPr>
        <w:rPr>
          <w:rFonts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电子邮箱：</w:t>
      </w:r>
    </w:p>
    <w:p>
      <w:pPr>
        <w:spacing w:before="180" w:after="180" w:line="360" w:lineRule="auto"/>
        <w:jc w:val="center"/>
        <w:outlineLvl w:val="0"/>
        <w:rPr>
          <w:rFonts w:ascii="宋体" w:hAnsi="宋体" w:eastAsia="宋体" w:cs="宋体"/>
          <w:color w:val="auto"/>
          <w:highlight w:val="none"/>
        </w:rPr>
      </w:pPr>
      <w:r>
        <w:rPr>
          <w:rFonts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 xml:space="preserve">第二部分  </w:t>
      </w:r>
      <w:bookmarkStart w:id="25" w:name="_Toc286998815"/>
      <w:bookmarkEnd w:id="25"/>
      <w:bookmarkStart w:id="26" w:name="_Toc286999642"/>
      <w:bookmarkEnd w:id="26"/>
      <w:bookmarkStart w:id="27" w:name="_Toc286998830"/>
      <w:bookmarkEnd w:id="27"/>
      <w:bookmarkStart w:id="28" w:name="_Toc286999627"/>
      <w:bookmarkEnd w:id="28"/>
      <w:bookmarkStart w:id="29" w:name="_Toc286998612"/>
      <w:bookmarkEnd w:id="29"/>
      <w:bookmarkStart w:id="30" w:name="_Toc286999530"/>
      <w:bookmarkEnd w:id="30"/>
      <w:bookmarkStart w:id="31" w:name="_Toc286998666"/>
      <w:bookmarkEnd w:id="31"/>
      <w:bookmarkStart w:id="32" w:name="_Toc286999545"/>
      <w:bookmarkEnd w:id="32"/>
      <w:r>
        <w:rPr>
          <w:rFonts w:hint="eastAsia" w:ascii="宋体" w:hAnsi="宋体" w:eastAsia="宋体" w:cs="宋体"/>
          <w:b/>
          <w:color w:val="auto"/>
          <w:sz w:val="28"/>
          <w:szCs w:val="28"/>
          <w:highlight w:val="none"/>
        </w:rPr>
        <w:t>合同</w:t>
      </w:r>
      <w:bookmarkEnd w:id="23"/>
      <w:r>
        <w:rPr>
          <w:rFonts w:hint="eastAsia" w:ascii="宋体" w:hAnsi="宋体" w:eastAsia="宋体" w:cs="宋体"/>
          <w:b/>
          <w:color w:val="auto"/>
          <w:sz w:val="28"/>
          <w:szCs w:val="28"/>
          <w:highlight w:val="none"/>
        </w:rPr>
        <w:t>通用条款</w:t>
      </w:r>
      <w:bookmarkEnd w:id="24"/>
    </w:p>
    <w:p>
      <w:pPr>
        <w:spacing w:before="156" w:after="156" w:line="360" w:lineRule="auto"/>
        <w:jc w:val="left"/>
        <w:outlineLvl w:val="1"/>
        <w:rPr>
          <w:rFonts w:ascii="宋体" w:hAnsi="宋体" w:eastAsia="宋体" w:cs="宋体"/>
          <w:b/>
          <w:color w:val="auto"/>
          <w:sz w:val="24"/>
          <w:highlight w:val="none"/>
        </w:rPr>
      </w:pPr>
      <w:bookmarkStart w:id="33" w:name="_Toc489865856"/>
      <w:bookmarkStart w:id="34" w:name="_Toc489236606"/>
      <w:r>
        <w:rPr>
          <w:rFonts w:hint="eastAsia" w:ascii="宋体" w:hAnsi="宋体" w:eastAsia="宋体" w:cs="宋体"/>
          <w:b/>
          <w:color w:val="auto"/>
          <w:sz w:val="24"/>
          <w:highlight w:val="none"/>
        </w:rPr>
        <w:t>一、一般约定</w:t>
      </w:r>
      <w:bookmarkEnd w:id="33"/>
      <w:bookmarkEnd w:id="34"/>
    </w:p>
    <w:p>
      <w:pPr>
        <w:spacing w:line="360" w:lineRule="auto"/>
        <w:rPr>
          <w:rFonts w:ascii="宋体" w:hAnsi="宋体" w:eastAsia="宋体" w:cs="宋体"/>
          <w:b/>
          <w:color w:val="auto"/>
          <w:sz w:val="24"/>
          <w:highlight w:val="none"/>
        </w:rPr>
      </w:pPr>
      <w:bookmarkStart w:id="35" w:name="_Toc489236607"/>
      <w:r>
        <w:rPr>
          <w:rFonts w:hint="eastAsia" w:ascii="宋体" w:hAnsi="宋体" w:eastAsia="宋体" w:cs="宋体"/>
          <w:b/>
          <w:color w:val="auto"/>
          <w:sz w:val="24"/>
          <w:highlight w:val="none"/>
        </w:rPr>
        <w:t>1.定义</w:t>
      </w:r>
      <w:bookmarkEnd w:id="35"/>
    </w:p>
    <w:p>
      <w:pPr>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在本合同（合同的定义见下述）中，凡出现下述词句，其表述应指本定义指明的含义，除非双方认可对其含义作出另外的解释：</w:t>
      </w:r>
    </w:p>
    <w:p>
      <w:pPr>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除根据上下文另有其意义外，组成本合同的全部文件中的下列名词和用语应具有本款所赋予的含义：</w:t>
      </w:r>
    </w:p>
    <w:p>
      <w:pPr>
        <w:tabs>
          <w:tab w:val="left" w:pos="0"/>
          <w:tab w:val="left" w:pos="567"/>
        </w:tabs>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1.1“工程”是指甲方委托实施全过程造价咨询服务的工程，本合同中指岭南集团食品产业基地项目的全过程造价咨询服务，包括</w:t>
      </w:r>
      <w:r>
        <w:rPr>
          <w:rFonts w:hint="eastAsia" w:ascii="宋体" w:hAnsi="宋体" w:eastAsia="宋体" w:cs="宋体"/>
          <w:color w:val="auto"/>
          <w:sz w:val="24"/>
          <w:highlight w:val="none"/>
          <w:u w:val="single"/>
        </w:rPr>
        <w:t>全过程造价咨询</w:t>
      </w:r>
      <w:r>
        <w:rPr>
          <w:rFonts w:hint="eastAsia" w:ascii="宋体" w:hAnsi="宋体" w:eastAsia="宋体" w:cs="宋体"/>
          <w:color w:val="auto"/>
          <w:sz w:val="24"/>
          <w:highlight w:val="none"/>
        </w:rPr>
        <w:t>等工作，即本合同第一部分第二条的内容。</w:t>
      </w:r>
    </w:p>
    <w:p>
      <w:pPr>
        <w:tabs>
          <w:tab w:val="left" w:pos="0"/>
          <w:tab w:val="left" w:pos="567"/>
        </w:tabs>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1.2“甲方”是指承担直接投资责任的、委托项目全过程造价咨询服务业务的一方，本合同中指</w:t>
      </w:r>
      <w:r>
        <w:rPr>
          <w:rFonts w:hint="eastAsia" w:ascii="宋体" w:hAnsi="宋体" w:eastAsia="宋体" w:cs="宋体"/>
          <w:color w:val="auto"/>
          <w:sz w:val="24"/>
          <w:highlight w:val="none"/>
          <w:u w:val="single"/>
          <w:lang w:eastAsia="zh-CN"/>
        </w:rPr>
        <w:t>广州广粮坊食品科技有限公司</w:t>
      </w:r>
      <w:r>
        <w:rPr>
          <w:rFonts w:hint="eastAsia" w:ascii="宋体" w:hAnsi="宋体" w:eastAsia="宋体" w:cs="宋体"/>
          <w:color w:val="auto"/>
          <w:sz w:val="24"/>
          <w:highlight w:val="none"/>
        </w:rPr>
        <w:t>或指其合法继承人和允许的受让人。</w:t>
      </w:r>
    </w:p>
    <w:p>
      <w:pPr>
        <w:tabs>
          <w:tab w:val="left" w:pos="0"/>
          <w:tab w:val="left" w:pos="567"/>
        </w:tabs>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1.3“甲方代表”是指由甲方的法定代表人书面授权，在授权范围内负责履行本合同、配合乙方开展咨询工作的负责人。</w:t>
      </w:r>
    </w:p>
    <w:p>
      <w:pPr>
        <w:tabs>
          <w:tab w:val="left" w:pos="0"/>
          <w:tab w:val="left" w:pos="567"/>
        </w:tabs>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1.4“乙方”是指承担全过程造价咨询服务的一方，本合同中指</w:t>
      </w:r>
      <w:r>
        <w:rPr>
          <w:rFonts w:hint="eastAsia" w:ascii="宋体" w:hAnsi="宋体" w:eastAsia="宋体" w:cs="宋体"/>
          <w:snapToGrid w:val="0"/>
          <w:color w:val="auto"/>
          <w:sz w:val="24"/>
          <w:highlight w:val="none"/>
          <w:u w:val="single"/>
        </w:rPr>
        <w:t xml:space="preserve"> </w:t>
      </w:r>
      <w:r>
        <w:rPr>
          <w:rFonts w:ascii="宋体" w:hAnsi="宋体" w:eastAsia="宋体" w:cs="宋体"/>
          <w:snapToGrid w:val="0"/>
          <w:color w:val="auto"/>
          <w:sz w:val="24"/>
          <w:highlight w:val="none"/>
          <w:u w:val="single"/>
        </w:rPr>
        <w:t xml:space="preserve"> </w:t>
      </w:r>
      <w:r>
        <w:rPr>
          <w:rFonts w:hint="eastAsia" w:ascii="宋体" w:hAnsi="宋体" w:eastAsia="宋体" w:cs="宋体"/>
          <w:snapToGrid w:val="0"/>
          <w:color w:val="auto"/>
          <w:sz w:val="24"/>
          <w:highlight w:val="none"/>
          <w:u w:val="single"/>
        </w:rPr>
        <w:t xml:space="preserve"> </w:t>
      </w:r>
      <w:r>
        <w:rPr>
          <w:rFonts w:hint="eastAsia" w:ascii="宋体" w:hAnsi="宋体" w:eastAsia="宋体" w:cs="宋体"/>
          <w:color w:val="auto"/>
          <w:sz w:val="24"/>
          <w:highlight w:val="none"/>
        </w:rPr>
        <w:t>，或指其合法继承人和允许的受让人。</w:t>
      </w:r>
    </w:p>
    <w:p>
      <w:pPr>
        <w:tabs>
          <w:tab w:val="left" w:pos="0"/>
          <w:tab w:val="left" w:pos="567"/>
        </w:tabs>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1.5“一方”是指甲方或乙方；“双方”是指甲方和乙方；“第三方”是指除甲方、乙方以外与工程建设有关的当事人。</w:t>
      </w:r>
    </w:p>
    <w:p>
      <w:pPr>
        <w:tabs>
          <w:tab w:val="left" w:pos="0"/>
          <w:tab w:val="left" w:pos="567"/>
        </w:tabs>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1.6“承包人”是指在工程范围内与甲方签订勘察、设计、施工等有关合同的当事人，及其合法的继承人。</w:t>
      </w:r>
    </w:p>
    <w:p>
      <w:pPr>
        <w:tabs>
          <w:tab w:val="left" w:pos="0"/>
          <w:tab w:val="left" w:pos="567"/>
        </w:tabs>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1.7施工单位：是依法取得相关资质等级证书并在资质等级范围内从事承揽工程的企业，包括施工总承包单位，施工专业承包单位。</w:t>
      </w:r>
    </w:p>
    <w:p>
      <w:pPr>
        <w:tabs>
          <w:tab w:val="left" w:pos="0"/>
          <w:tab w:val="left" w:pos="567"/>
        </w:tabs>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1.8“项目咨询团队”是指乙方指派负责履行本合同的团队，其团队成员为本合同的项目乙方成员。</w:t>
      </w:r>
    </w:p>
    <w:p>
      <w:pPr>
        <w:tabs>
          <w:tab w:val="left" w:pos="0"/>
          <w:tab w:val="left" w:pos="567"/>
        </w:tabs>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1.9 “项目总负责人”是指由乙方的法定代表人书面授权，在授权范围内负责履行本合同、主持项目咨询团队工作的负责人。</w:t>
      </w:r>
    </w:p>
    <w:p>
      <w:pPr>
        <w:tabs>
          <w:tab w:val="left" w:pos="0"/>
          <w:tab w:val="left" w:pos="567"/>
        </w:tabs>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1.1</w:t>
      </w:r>
      <w:r>
        <w:rPr>
          <w:rFonts w:ascii="宋体" w:hAnsi="宋体" w:eastAsia="宋体" w:cs="宋体"/>
          <w:color w:val="auto"/>
          <w:sz w:val="24"/>
          <w:highlight w:val="none"/>
        </w:rPr>
        <w:t>0</w:t>
      </w:r>
      <w:r>
        <w:rPr>
          <w:rFonts w:hint="eastAsia" w:ascii="宋体" w:hAnsi="宋体" w:eastAsia="宋体" w:cs="宋体"/>
          <w:color w:val="auto"/>
          <w:sz w:val="24"/>
          <w:highlight w:val="none"/>
        </w:rPr>
        <w:t>全过程造价咨询：指工程造价咨询企业接受委托，依据国家有关法律、法规和建设行政主管部门的有关规定，运用现代项目管理的方法，以工程造价管理为核心、合同管理为手段，对建设项目各个阶段、各个环节进行计价，协助建设单位进行建设投资的合理筹措与投入，控制投资风险，实现造价控制目标的智力服务活动。</w:t>
      </w:r>
    </w:p>
    <w:p>
      <w:pPr>
        <w:tabs>
          <w:tab w:val="left" w:pos="0"/>
          <w:tab w:val="left" w:pos="567"/>
        </w:tabs>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1.1</w:t>
      </w:r>
      <w:r>
        <w:rPr>
          <w:rFonts w:ascii="宋体" w:hAnsi="宋体" w:eastAsia="宋体" w:cs="宋体"/>
          <w:color w:val="auto"/>
          <w:sz w:val="24"/>
          <w:highlight w:val="none"/>
        </w:rPr>
        <w:t>1</w:t>
      </w:r>
      <w:r>
        <w:rPr>
          <w:rFonts w:hint="eastAsia" w:ascii="宋体" w:hAnsi="宋体" w:eastAsia="宋体" w:cs="宋体"/>
          <w:color w:val="auto"/>
          <w:sz w:val="24"/>
          <w:highlight w:val="none"/>
        </w:rPr>
        <w:t>“合同”是指甲方与乙方之间的协议，包括:“协议书”、双方认可的“工作计划”、“合同通用条款”、“合同专用条款”、项目招投标评标的相关文件及项目实施过程中共同签署的补充与修改文件等。</w:t>
      </w:r>
    </w:p>
    <w:p>
      <w:pPr>
        <w:tabs>
          <w:tab w:val="left" w:pos="0"/>
          <w:tab w:val="left" w:pos="567"/>
        </w:tabs>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1.1</w:t>
      </w:r>
      <w:r>
        <w:rPr>
          <w:rFonts w:ascii="宋体" w:hAnsi="宋体" w:eastAsia="宋体" w:cs="宋体"/>
          <w:color w:val="auto"/>
          <w:sz w:val="24"/>
          <w:highlight w:val="none"/>
        </w:rPr>
        <w:t>2</w:t>
      </w:r>
      <w:r>
        <w:rPr>
          <w:rFonts w:hint="eastAsia" w:ascii="宋体" w:hAnsi="宋体" w:eastAsia="宋体" w:cs="宋体"/>
          <w:color w:val="auto"/>
          <w:sz w:val="24"/>
          <w:highlight w:val="none"/>
        </w:rPr>
        <w:t>“工作计划”指根据“合同”记述甲方所要求的工作性质及工作内容所作的计划性文件和修改补充文件。</w:t>
      </w:r>
    </w:p>
    <w:p>
      <w:pPr>
        <w:tabs>
          <w:tab w:val="left" w:pos="0"/>
          <w:tab w:val="left" w:pos="567"/>
        </w:tabs>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1.1</w:t>
      </w:r>
      <w:r>
        <w:rPr>
          <w:rFonts w:ascii="宋体" w:hAnsi="宋体" w:eastAsia="宋体" w:cs="宋体"/>
          <w:color w:val="auto"/>
          <w:sz w:val="24"/>
          <w:highlight w:val="none"/>
        </w:rPr>
        <w:t>3</w:t>
      </w:r>
      <w:r>
        <w:rPr>
          <w:rFonts w:hint="eastAsia" w:ascii="宋体" w:hAnsi="宋体" w:eastAsia="宋体" w:cs="宋体"/>
          <w:color w:val="auto"/>
          <w:sz w:val="24"/>
          <w:highlight w:val="none"/>
        </w:rPr>
        <w:t>“日”是指任何一天零时至下一天零时的时间段。</w:t>
      </w:r>
    </w:p>
    <w:p>
      <w:pPr>
        <w:tabs>
          <w:tab w:val="left" w:pos="0"/>
          <w:tab w:val="left" w:pos="567"/>
        </w:tabs>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1.1</w:t>
      </w:r>
      <w:r>
        <w:rPr>
          <w:rFonts w:ascii="宋体" w:hAnsi="宋体" w:eastAsia="宋体" w:cs="宋体"/>
          <w:color w:val="auto"/>
          <w:sz w:val="24"/>
          <w:highlight w:val="none"/>
        </w:rPr>
        <w:t>4</w:t>
      </w:r>
      <w:r>
        <w:rPr>
          <w:rFonts w:hint="eastAsia" w:ascii="宋体" w:hAnsi="宋体" w:eastAsia="宋体" w:cs="宋体"/>
          <w:color w:val="auto"/>
          <w:sz w:val="24"/>
          <w:highlight w:val="none"/>
        </w:rPr>
        <w:t>“基准日期”：指投标截止之日前28天的日期。</w:t>
      </w:r>
    </w:p>
    <w:p>
      <w:pPr>
        <w:tabs>
          <w:tab w:val="left" w:pos="0"/>
          <w:tab w:val="left" w:pos="567"/>
        </w:tabs>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ascii="宋体" w:hAnsi="宋体" w:eastAsia="宋体" w:cs="宋体"/>
          <w:color w:val="auto"/>
          <w:sz w:val="24"/>
          <w:highlight w:val="none"/>
        </w:rPr>
        <w:t>15</w:t>
      </w:r>
      <w:r>
        <w:rPr>
          <w:rFonts w:hint="eastAsia" w:ascii="宋体" w:hAnsi="宋体" w:eastAsia="宋体" w:cs="宋体"/>
          <w:color w:val="auto"/>
          <w:sz w:val="24"/>
          <w:highlight w:val="none"/>
        </w:rPr>
        <w:t>“月”是根据公历从一个月份中任何一天开始到下一个月相应日期的前一天的时间段。</w:t>
      </w:r>
    </w:p>
    <w:p>
      <w:pPr>
        <w:tabs>
          <w:tab w:val="left" w:pos="0"/>
          <w:tab w:val="left" w:pos="567"/>
        </w:tabs>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ascii="宋体" w:hAnsi="宋体" w:eastAsia="宋体" w:cs="宋体"/>
          <w:color w:val="auto"/>
          <w:sz w:val="24"/>
          <w:highlight w:val="none"/>
        </w:rPr>
        <w:t>16</w:t>
      </w:r>
      <w:r>
        <w:rPr>
          <w:rFonts w:hint="eastAsia" w:ascii="宋体" w:hAnsi="宋体" w:eastAsia="宋体" w:cs="宋体"/>
          <w:color w:val="auto"/>
          <w:sz w:val="24"/>
          <w:highlight w:val="none"/>
        </w:rPr>
        <w:t>“季度”是根据公历从一个月份中任何一天开始到三个月后相应日期的前一天的时间段。</w:t>
      </w:r>
    </w:p>
    <w:p>
      <w:pPr>
        <w:tabs>
          <w:tab w:val="left" w:pos="0"/>
          <w:tab w:val="left" w:pos="567"/>
        </w:tabs>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ascii="宋体" w:hAnsi="宋体" w:eastAsia="宋体" w:cs="宋体"/>
          <w:color w:val="auto"/>
          <w:sz w:val="24"/>
          <w:highlight w:val="none"/>
        </w:rPr>
        <w:t>17</w:t>
      </w:r>
      <w:r>
        <w:rPr>
          <w:rFonts w:hint="eastAsia" w:ascii="宋体" w:hAnsi="宋体" w:eastAsia="宋体" w:cs="宋体"/>
          <w:color w:val="auto"/>
          <w:sz w:val="24"/>
          <w:highlight w:val="none"/>
        </w:rPr>
        <w:t>“酬金”是指乙方履行本合同义务，甲方按照本合同约定给付乙方的金额。</w:t>
      </w:r>
    </w:p>
    <w:p>
      <w:pPr>
        <w:tabs>
          <w:tab w:val="left" w:pos="0"/>
          <w:tab w:val="left" w:pos="567"/>
        </w:tabs>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ascii="宋体" w:hAnsi="宋体" w:eastAsia="宋体" w:cs="宋体"/>
          <w:color w:val="auto"/>
          <w:sz w:val="24"/>
          <w:highlight w:val="none"/>
        </w:rPr>
        <w:t>18</w:t>
      </w:r>
      <w:r>
        <w:rPr>
          <w:rFonts w:hint="eastAsia" w:ascii="宋体" w:hAnsi="宋体" w:eastAsia="宋体" w:cs="宋体"/>
          <w:color w:val="auto"/>
          <w:sz w:val="24"/>
          <w:highlight w:val="none"/>
        </w:rPr>
        <w:t>“正常工作酬金”是指在协议书中载明的，乙方完成正常工作，甲方应给付乙方的酬金。</w:t>
      </w:r>
    </w:p>
    <w:p>
      <w:pPr>
        <w:tabs>
          <w:tab w:val="left" w:pos="0"/>
          <w:tab w:val="left" w:pos="567"/>
        </w:tabs>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ascii="宋体" w:hAnsi="宋体" w:eastAsia="宋体" w:cs="宋体"/>
          <w:color w:val="auto"/>
          <w:sz w:val="24"/>
          <w:highlight w:val="none"/>
        </w:rPr>
        <w:t>19</w:t>
      </w:r>
      <w:r>
        <w:rPr>
          <w:rFonts w:hint="eastAsia" w:ascii="宋体" w:hAnsi="宋体" w:eastAsia="宋体" w:cs="宋体"/>
          <w:color w:val="auto"/>
          <w:sz w:val="24"/>
          <w:highlight w:val="none"/>
        </w:rPr>
        <w:t>“附加工作酬金”是指乙方完成附加工作，甲方应给付乙方的酬金。</w:t>
      </w:r>
    </w:p>
    <w:p>
      <w:pPr>
        <w:tabs>
          <w:tab w:val="left" w:pos="0"/>
          <w:tab w:val="left" w:pos="567"/>
        </w:tabs>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ascii="宋体" w:hAnsi="宋体" w:eastAsia="宋体" w:cs="宋体"/>
          <w:color w:val="auto"/>
          <w:sz w:val="24"/>
          <w:highlight w:val="none"/>
        </w:rPr>
        <w:t>20</w:t>
      </w:r>
      <w:r>
        <w:rPr>
          <w:rFonts w:hint="eastAsia" w:ascii="宋体" w:hAnsi="宋体" w:eastAsia="宋体" w:cs="宋体"/>
          <w:color w:val="auto"/>
          <w:sz w:val="24"/>
          <w:highlight w:val="none"/>
        </w:rPr>
        <w:t>“批准”指以书面形式批准的，包括对先行口头批准所作的随后书面确认。</w:t>
      </w:r>
    </w:p>
    <w:p>
      <w:pPr>
        <w:tabs>
          <w:tab w:val="left" w:pos="0"/>
          <w:tab w:val="left" w:pos="567"/>
        </w:tabs>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ascii="宋体" w:hAnsi="宋体" w:eastAsia="宋体" w:cs="宋体"/>
          <w:color w:val="auto"/>
          <w:sz w:val="24"/>
          <w:highlight w:val="none"/>
        </w:rPr>
        <w:t>21</w:t>
      </w:r>
      <w:r>
        <w:rPr>
          <w:rFonts w:hint="eastAsia" w:ascii="宋体" w:hAnsi="宋体" w:eastAsia="宋体" w:cs="宋体"/>
          <w:color w:val="auto"/>
          <w:sz w:val="24"/>
          <w:highlight w:val="none"/>
        </w:rPr>
        <w:t>“书面形式”指双方在履行合同过程中发生的各有关当事人或其授权代表按本合同的规定确认的手写、打字、复制、印刷的各种通知、任命书、委托书、证书、签证、备忘录、报告、报表、函件及会议纪要等各种有效文件。</w:t>
      </w:r>
    </w:p>
    <w:p>
      <w:pPr>
        <w:tabs>
          <w:tab w:val="left" w:pos="0"/>
          <w:tab w:val="left" w:pos="567"/>
        </w:tabs>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1.2</w:t>
      </w:r>
      <w:r>
        <w:rPr>
          <w:rFonts w:ascii="宋体" w:hAnsi="宋体" w:eastAsia="宋体" w:cs="宋体"/>
          <w:color w:val="auto"/>
          <w:sz w:val="24"/>
          <w:highlight w:val="none"/>
        </w:rPr>
        <w:t>2</w:t>
      </w:r>
      <w:r>
        <w:rPr>
          <w:rFonts w:hint="eastAsia" w:ascii="宋体" w:hAnsi="宋体" w:eastAsia="宋体" w:cs="宋体"/>
          <w:color w:val="auto"/>
          <w:sz w:val="24"/>
          <w:highlight w:val="none"/>
        </w:rPr>
        <w:t>“违约责任”指合同一方不履行合同义务或履行合同义务不符合约定所应承担的责任。</w:t>
      </w:r>
    </w:p>
    <w:p>
      <w:pPr>
        <w:tabs>
          <w:tab w:val="left" w:pos="0"/>
          <w:tab w:val="left" w:pos="567"/>
        </w:tabs>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1.2</w:t>
      </w:r>
      <w:r>
        <w:rPr>
          <w:rFonts w:ascii="宋体" w:hAnsi="宋体" w:eastAsia="宋体" w:cs="宋体"/>
          <w:color w:val="auto"/>
          <w:sz w:val="24"/>
          <w:highlight w:val="none"/>
        </w:rPr>
        <w:t>3</w:t>
      </w:r>
      <w:r>
        <w:rPr>
          <w:rFonts w:hint="eastAsia" w:ascii="宋体" w:hAnsi="宋体" w:eastAsia="宋体" w:cs="宋体"/>
          <w:color w:val="auto"/>
          <w:sz w:val="24"/>
          <w:highlight w:val="none"/>
        </w:rPr>
        <w:t>“索赔”指在合同履行过程中，对于并非自己的过错，而是应由对方承担责任的情况造成的实际损失，向对方提出经济赔偿或其他的要求。</w:t>
      </w:r>
    </w:p>
    <w:p>
      <w:pPr>
        <w:tabs>
          <w:tab w:val="left" w:pos="0"/>
          <w:tab w:val="left" w:pos="567"/>
        </w:tabs>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1.2</w:t>
      </w:r>
      <w:r>
        <w:rPr>
          <w:rFonts w:ascii="宋体" w:hAnsi="宋体" w:eastAsia="宋体" w:cs="宋体"/>
          <w:color w:val="auto"/>
          <w:sz w:val="24"/>
          <w:highlight w:val="none"/>
        </w:rPr>
        <w:t>4</w:t>
      </w:r>
      <w:r>
        <w:rPr>
          <w:rFonts w:hint="eastAsia" w:ascii="宋体" w:hAnsi="宋体" w:eastAsia="宋体" w:cs="宋体"/>
          <w:color w:val="auto"/>
          <w:sz w:val="24"/>
          <w:highlight w:val="none"/>
        </w:rPr>
        <w:t>“商定的补偿”是指第二部分中规定的根据合同应支付的额外款项。</w:t>
      </w:r>
    </w:p>
    <w:p>
      <w:pPr>
        <w:tabs>
          <w:tab w:val="left" w:pos="0"/>
          <w:tab w:val="left" w:pos="567"/>
        </w:tabs>
        <w:spacing w:before="156" w:after="156"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ascii="宋体" w:hAnsi="宋体" w:eastAsia="宋体" w:cs="宋体"/>
          <w:color w:val="auto"/>
          <w:sz w:val="24"/>
          <w:highlight w:val="none"/>
        </w:rPr>
        <w:t>25</w:t>
      </w:r>
      <w:r>
        <w:rPr>
          <w:rFonts w:hint="eastAsia" w:ascii="宋体" w:hAnsi="宋体" w:eastAsia="宋体" w:cs="宋体"/>
          <w:color w:val="auto"/>
          <w:sz w:val="24"/>
          <w:highlight w:val="none"/>
        </w:rPr>
        <w:t>“不可抗力”是指甲方和乙方在订立本合同时不可预见，在合同履行过程中不可避免并不能克服的自然灾害和社会性突发事件，如地震、海啸、瘟疫、水灾、骚乱、暴动、战争等情形。</w:t>
      </w:r>
    </w:p>
    <w:p>
      <w:pPr>
        <w:rPr>
          <w:rFonts w:ascii="宋体" w:hAnsi="宋体" w:eastAsia="宋体" w:cs="宋体"/>
          <w:b/>
          <w:color w:val="auto"/>
          <w:sz w:val="24"/>
          <w:highlight w:val="none"/>
        </w:rPr>
      </w:pPr>
      <w:bookmarkStart w:id="36" w:name="_Toc489236608"/>
      <w:r>
        <w:rPr>
          <w:rFonts w:hint="eastAsia" w:ascii="宋体" w:hAnsi="宋体" w:eastAsia="宋体" w:cs="宋体"/>
          <w:b/>
          <w:color w:val="auto"/>
          <w:sz w:val="24"/>
          <w:highlight w:val="none"/>
        </w:rPr>
        <w:t>2.语言、标准和法律</w:t>
      </w:r>
      <w:bookmarkEnd w:id="36"/>
    </w:p>
    <w:p>
      <w:pPr>
        <w:spacing w:before="156" w:after="156"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2.1本合同的书写、解释和说明，以汉语为主导语言。当不同语言文本发生不同解释时，以汉语合同文本为准。</w:t>
      </w:r>
    </w:p>
    <w:p>
      <w:pPr>
        <w:spacing w:before="156" w:after="156"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2.2本合同适用的法律是包括《中华人民共和国民法典》、《中华人民共和国建筑法》等在内的中华人民共和国的有关法律、行政法规，以及部门的有关规章，或工程所在地的有关地方性法规和规章。</w:t>
      </w:r>
    </w:p>
    <w:p>
      <w:pPr>
        <w:spacing w:before="156" w:after="156"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2.3中华人民共和国有关行政部门和工程所在地的合法的有关设计、施工及验收规范适用于本合同。</w:t>
      </w:r>
    </w:p>
    <w:p>
      <w:pPr>
        <w:spacing w:line="360" w:lineRule="auto"/>
        <w:rPr>
          <w:rFonts w:ascii="宋体" w:hAnsi="宋体" w:eastAsia="宋体" w:cs="宋体"/>
          <w:b/>
          <w:color w:val="auto"/>
          <w:sz w:val="24"/>
          <w:highlight w:val="none"/>
        </w:rPr>
      </w:pPr>
      <w:bookmarkStart w:id="37" w:name="_Toc489236609"/>
      <w:r>
        <w:rPr>
          <w:rFonts w:hint="eastAsia" w:ascii="宋体" w:hAnsi="宋体" w:eastAsia="宋体" w:cs="宋体"/>
          <w:b/>
          <w:color w:val="auto"/>
          <w:sz w:val="24"/>
          <w:highlight w:val="none"/>
        </w:rPr>
        <w:t>3.合同文件的优先顺序</w:t>
      </w:r>
      <w:bookmarkEnd w:id="37"/>
    </w:p>
    <w:p>
      <w:pPr>
        <w:adjustRightInd w:val="0"/>
        <w:snapToGrid w:val="0"/>
        <w:spacing w:line="360" w:lineRule="auto"/>
        <w:rPr>
          <w:rFonts w:ascii="宋体" w:hAnsi="宋体" w:eastAsia="宋体" w:cs="宋体"/>
          <w:bCs/>
          <w:snapToGrid w:val="0"/>
          <w:color w:val="auto"/>
          <w:sz w:val="24"/>
          <w:highlight w:val="none"/>
        </w:rPr>
      </w:pPr>
      <w:r>
        <w:rPr>
          <w:rFonts w:hint="eastAsia" w:ascii="宋体" w:hAnsi="宋体" w:eastAsia="宋体" w:cs="宋体"/>
          <w:bCs/>
          <w:snapToGrid w:val="0"/>
          <w:color w:val="auto"/>
          <w:sz w:val="24"/>
          <w:highlight w:val="none"/>
        </w:rPr>
        <w:t>下列文件应被认为是组成本合同的一部分，并互为补充和解释，如各文件存在冲突之处，以如下排列次序在前者优先适用：</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（1）履行本合同的相关补充协议；</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（2）协议书；</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（3）合同专用条款；</w:t>
      </w:r>
    </w:p>
    <w:p>
      <w:pPr>
        <w:spacing w:line="360" w:lineRule="auto"/>
        <w:rPr>
          <w:rFonts w:ascii="宋体" w:hAnsi="宋体" w:eastAsia="宋体" w:cs="宋体"/>
          <w:bCs/>
          <w:snapToGrid w:val="0"/>
          <w:color w:val="auto"/>
          <w:sz w:val="24"/>
          <w:highlight w:val="none"/>
        </w:rPr>
      </w:pPr>
      <w:r>
        <w:rPr>
          <w:rFonts w:hint="eastAsia" w:ascii="宋体" w:hAnsi="宋体" w:eastAsia="宋体" w:cs="宋体"/>
          <w:bCs/>
          <w:snapToGrid w:val="0"/>
          <w:color w:val="auto"/>
          <w:sz w:val="24"/>
          <w:highlight w:val="none"/>
        </w:rPr>
        <w:t>（4）合同通用条款；</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w:t>
      </w:r>
      <w:r>
        <w:rPr>
          <w:rFonts w:ascii="宋体" w:hAnsi="宋体" w:eastAsia="宋体" w:cs="宋体"/>
          <w:color w:val="auto"/>
          <w:sz w:val="24"/>
          <w:highlight w:val="none"/>
        </w:rPr>
        <w:t>5</w:t>
      </w:r>
      <w:r>
        <w:rPr>
          <w:rFonts w:hint="eastAsia" w:ascii="宋体" w:hAnsi="宋体" w:eastAsia="宋体" w:cs="宋体"/>
          <w:color w:val="auto"/>
          <w:sz w:val="24"/>
          <w:highlight w:val="none"/>
        </w:rPr>
        <w:t>）合同附录及附件</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w:t>
      </w:r>
      <w:r>
        <w:rPr>
          <w:rFonts w:ascii="宋体" w:hAnsi="宋体" w:eastAsia="宋体" w:cs="宋体"/>
          <w:color w:val="auto"/>
          <w:sz w:val="24"/>
          <w:highlight w:val="none"/>
        </w:rPr>
        <w:t>6</w:t>
      </w:r>
      <w:r>
        <w:rPr>
          <w:rFonts w:hint="eastAsia" w:ascii="宋体" w:hAnsi="宋体" w:eastAsia="宋体" w:cs="宋体"/>
          <w:color w:val="auto"/>
          <w:sz w:val="24"/>
          <w:highlight w:val="none"/>
        </w:rPr>
        <w:t>）甲方针对本项目管理的工作指引、各项制度、规定；</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w:t>
      </w:r>
      <w:r>
        <w:rPr>
          <w:rFonts w:ascii="宋体" w:hAnsi="宋体" w:eastAsia="宋体" w:cs="宋体"/>
          <w:color w:val="auto"/>
          <w:sz w:val="24"/>
          <w:highlight w:val="none"/>
        </w:rPr>
        <w:t>7</w:t>
      </w:r>
      <w:r>
        <w:rPr>
          <w:rFonts w:hint="eastAsia" w:ascii="宋体" w:hAnsi="宋体" w:eastAsia="宋体" w:cs="宋体"/>
          <w:color w:val="auto"/>
          <w:sz w:val="24"/>
          <w:highlight w:val="none"/>
        </w:rPr>
        <w:t xml:space="preserve">）中标通知书； </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w:t>
      </w:r>
      <w:r>
        <w:rPr>
          <w:rFonts w:ascii="宋体" w:hAnsi="宋体" w:eastAsia="宋体" w:cs="宋体"/>
          <w:color w:val="auto"/>
          <w:sz w:val="24"/>
          <w:highlight w:val="none"/>
        </w:rPr>
        <w:t>8</w:t>
      </w:r>
      <w:r>
        <w:rPr>
          <w:rFonts w:hint="eastAsia" w:ascii="宋体" w:hAnsi="宋体" w:eastAsia="宋体" w:cs="宋体"/>
          <w:color w:val="auto"/>
          <w:sz w:val="24"/>
          <w:highlight w:val="none"/>
        </w:rPr>
        <w:t>）招标文件及答疑；</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w:t>
      </w:r>
      <w:r>
        <w:rPr>
          <w:rFonts w:ascii="宋体" w:hAnsi="宋体" w:eastAsia="宋体" w:cs="宋体"/>
          <w:color w:val="auto"/>
          <w:sz w:val="24"/>
          <w:highlight w:val="none"/>
        </w:rPr>
        <w:t>9</w:t>
      </w:r>
      <w:r>
        <w:rPr>
          <w:rFonts w:hint="eastAsia" w:ascii="宋体" w:hAnsi="宋体" w:eastAsia="宋体" w:cs="宋体"/>
          <w:color w:val="auto"/>
          <w:sz w:val="24"/>
          <w:highlight w:val="none"/>
        </w:rPr>
        <w:t>）国家及广东省、项目所在市的标准、规范及有关技术文件；</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w:t>
      </w:r>
      <w:r>
        <w:rPr>
          <w:rFonts w:ascii="宋体" w:hAnsi="宋体" w:eastAsia="宋体" w:cs="宋体"/>
          <w:color w:val="auto"/>
          <w:sz w:val="24"/>
          <w:highlight w:val="none"/>
        </w:rPr>
        <w:t>10</w:t>
      </w:r>
      <w:r>
        <w:rPr>
          <w:rFonts w:hint="eastAsia" w:ascii="宋体" w:hAnsi="宋体" w:eastAsia="宋体" w:cs="宋体"/>
          <w:color w:val="auto"/>
          <w:sz w:val="24"/>
          <w:highlight w:val="none"/>
        </w:rPr>
        <w:t>）投标函及投标文件</w:t>
      </w:r>
      <w:r>
        <w:rPr>
          <w:rFonts w:hint="eastAsia" w:ascii="宋体" w:hAnsi="宋体" w:eastAsia="宋体" w:cs="宋体"/>
          <w:color w:val="auto"/>
          <w:sz w:val="24"/>
          <w:highlight w:val="none"/>
          <w:lang w:val="en-US" w:eastAsia="zh-CN"/>
        </w:rPr>
        <w:t>[本项文件的内容优于第（8）（9）项文件相关内容的，本项文件的相应内容优先适用]</w:t>
      </w:r>
      <w:r>
        <w:rPr>
          <w:rFonts w:hint="eastAsia" w:ascii="宋体" w:hAnsi="宋体" w:eastAsia="宋体" w:cs="宋体"/>
          <w:color w:val="auto"/>
          <w:sz w:val="24"/>
          <w:highlight w:val="none"/>
        </w:rPr>
        <w:t>。</w:t>
      </w:r>
    </w:p>
    <w:p>
      <w:pPr>
        <w:spacing w:before="156" w:after="156" w:line="360" w:lineRule="auto"/>
        <w:rPr>
          <w:rFonts w:ascii="宋体" w:hAnsi="宋体" w:eastAsia="宋体" w:cs="宋体"/>
          <w:color w:val="auto"/>
          <w:sz w:val="24"/>
          <w:highlight w:val="none"/>
        </w:rPr>
      </w:pPr>
      <w:r>
        <w:rPr>
          <w:rFonts w:hint="eastAsia" w:ascii="宋体" w:hAnsi="宋体" w:eastAsia="宋体" w:cs="宋体"/>
          <w:snapToGrid w:val="0"/>
          <w:color w:val="auto"/>
          <w:sz w:val="24"/>
          <w:highlight w:val="none"/>
        </w:rPr>
        <w:t xml:space="preserve"> 通过上述顺序解释仍无法明确的事项，由甲方与乙方协商解决；如协商不成，由甲方按照公平合理和有利于本工程建设的原则作出决定，如乙方对此决定不服的，应在接到甲方决定之日起三日内提出书面异议。如期满不提出书面异议的，视为同意甲方的决定。甲方收到乙方的书面异议后应作出进一步的决定。在甲方作出决定之前</w:t>
      </w:r>
      <w:r>
        <w:rPr>
          <w:rFonts w:hint="eastAsia" w:ascii="宋体" w:hAnsi="宋体" w:eastAsia="宋体" w:cs="宋体"/>
          <w:bCs/>
          <w:snapToGrid w:val="0"/>
          <w:color w:val="auto"/>
          <w:sz w:val="24"/>
          <w:highlight w:val="none"/>
        </w:rPr>
        <w:t>，乙方必须无条件先行执行甲方的决定。</w:t>
      </w:r>
    </w:p>
    <w:p>
      <w:pPr>
        <w:spacing w:line="360" w:lineRule="auto"/>
        <w:rPr>
          <w:rFonts w:ascii="宋体" w:hAnsi="宋体" w:eastAsia="宋体" w:cs="宋体"/>
          <w:b/>
          <w:color w:val="auto"/>
          <w:sz w:val="24"/>
          <w:highlight w:val="none"/>
        </w:rPr>
      </w:pPr>
      <w:bookmarkStart w:id="38" w:name="_Toc489236610"/>
      <w:r>
        <w:rPr>
          <w:rFonts w:hint="eastAsia" w:ascii="宋体" w:hAnsi="宋体" w:eastAsia="宋体" w:cs="宋体"/>
          <w:b/>
          <w:color w:val="auto"/>
          <w:sz w:val="24"/>
          <w:highlight w:val="none"/>
        </w:rPr>
        <w:t>4.文件的提供和照管</w:t>
      </w:r>
      <w:bookmarkEnd w:id="38"/>
    </w:p>
    <w:p>
      <w:pPr>
        <w:adjustRightInd w:val="0"/>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4.1乙方文件的提供</w:t>
      </w:r>
    </w:p>
    <w:p>
      <w:pPr>
        <w:adjustRightInd w:val="0"/>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乙方应在规定的期限内按照合同约定的数量向甲方提供乙方文件。合同约定乙方文件应批准的，甲方应当在合同约定的期限内批复。乙方的文件的提供和审查按工作指引执行。</w:t>
      </w:r>
    </w:p>
    <w:p>
      <w:pPr>
        <w:adjustRightInd w:val="0"/>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4.2甲方提供的文件</w:t>
      </w:r>
    </w:p>
    <w:p>
      <w:pPr>
        <w:adjustRightInd w:val="0"/>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按约定由甲方提供的文件，甲方应按约定的数量和期限交给乙方。</w:t>
      </w:r>
    </w:p>
    <w:p>
      <w:pPr>
        <w:adjustRightInd w:val="0"/>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4.3文件错误的通知</w:t>
      </w:r>
    </w:p>
    <w:p>
      <w:pPr>
        <w:adjustRightInd w:val="0"/>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任何一方发现了文件中存在的明显错误或疏忽，应及时通知另一方。</w:t>
      </w:r>
    </w:p>
    <w:p>
      <w:pPr>
        <w:adjustRightInd w:val="0"/>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4.4文件的照管</w:t>
      </w:r>
    </w:p>
    <w:p>
      <w:pPr>
        <w:adjustRightInd w:val="0"/>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乙方应在现场保留一份合同、甲方要求中列出的所有文件、乙方文件、变更以及其它根据合同收发的往来信函。甲方有权在任何合理的时间查阅和使用上述所有文件。</w:t>
      </w:r>
    </w:p>
    <w:p>
      <w:pPr>
        <w:spacing w:line="360" w:lineRule="auto"/>
        <w:rPr>
          <w:rFonts w:ascii="宋体" w:hAnsi="宋体" w:eastAsia="宋体" w:cs="宋体"/>
          <w:b/>
          <w:color w:val="auto"/>
          <w:sz w:val="24"/>
          <w:highlight w:val="none"/>
        </w:rPr>
      </w:pPr>
      <w:bookmarkStart w:id="39" w:name="_Toc489236611"/>
      <w:r>
        <w:rPr>
          <w:rFonts w:hint="eastAsia" w:ascii="宋体" w:hAnsi="宋体" w:eastAsia="宋体" w:cs="宋体"/>
          <w:b/>
          <w:color w:val="auto"/>
          <w:sz w:val="24"/>
          <w:highlight w:val="none"/>
        </w:rPr>
        <w:t>5.联络</w:t>
      </w:r>
      <w:bookmarkEnd w:id="39"/>
    </w:p>
    <w:p>
      <w:pPr>
        <w:adjustRightInd w:val="0"/>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5.1与合同有关的通知、批准、证明、证书、指示、要求、请求、同意、意见、确定和决定等，均应采用书面形式。</w:t>
      </w:r>
    </w:p>
    <w:p>
      <w:pPr>
        <w:adjustRightInd w:val="0"/>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5.2第5.1 项中的通知、批准、证明、证书、指示、要求、请求、同意、意见、确定和决定等来往函件，均应在合同约定的期限内送达指定的地点和指定的接收人，并办理签收手续。</w:t>
      </w:r>
    </w:p>
    <w:p>
      <w:pPr>
        <w:spacing w:line="360" w:lineRule="auto"/>
        <w:rPr>
          <w:rFonts w:ascii="宋体" w:hAnsi="宋体" w:eastAsia="宋体" w:cs="宋体"/>
          <w:b/>
          <w:color w:val="auto"/>
          <w:sz w:val="24"/>
          <w:highlight w:val="none"/>
        </w:rPr>
      </w:pPr>
      <w:bookmarkStart w:id="40" w:name="_Toc489236612"/>
      <w:r>
        <w:rPr>
          <w:rFonts w:hint="eastAsia" w:ascii="宋体" w:hAnsi="宋体" w:eastAsia="宋体" w:cs="宋体"/>
          <w:b/>
          <w:color w:val="auto"/>
          <w:sz w:val="24"/>
          <w:highlight w:val="none"/>
        </w:rPr>
        <w:t>6.转让</w:t>
      </w:r>
      <w:bookmarkEnd w:id="40"/>
      <w:r>
        <w:rPr>
          <w:rFonts w:hint="eastAsia" w:ascii="宋体" w:hAnsi="宋体" w:eastAsia="宋体" w:cs="宋体"/>
          <w:b/>
          <w:color w:val="auto"/>
          <w:sz w:val="24"/>
          <w:highlight w:val="none"/>
        </w:rPr>
        <w:t>和分包</w:t>
      </w:r>
    </w:p>
    <w:p>
      <w:pPr>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6.1除合同另有约定外，未经甲方同意，乙方不得将合同权利全部或部分转让给第三人，也不得全部或部分转让合同义务。</w:t>
      </w:r>
    </w:p>
    <w:p>
      <w:pPr>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6.2未经甲方事先批准，乙方不得将本合同的任何部分分包出去。</w:t>
      </w:r>
    </w:p>
    <w:p>
      <w:pPr>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6.3对于部分特殊的专项设计(非主体且专业性特别强的专业工程，如安防)工作，因行业特殊要求或甲方认为乙方不足以胜任本合同的部分设计工作时，甲方可与乙方共同选择具有相应资质的设计单位进行专业设计分包，并由乙方统一管理。相应的设计分包费用由乙方和分包人自行协商确定。乙方对分包人出具的一切设计成果负全责且自行承担分包涉及费用。甲方不负责分包设计费用。</w:t>
      </w:r>
    </w:p>
    <w:p>
      <w:pPr>
        <w:spacing w:line="360" w:lineRule="auto"/>
        <w:rPr>
          <w:rFonts w:ascii="宋体" w:hAnsi="宋体" w:eastAsia="宋体" w:cs="宋体"/>
          <w:b/>
          <w:color w:val="auto"/>
          <w:sz w:val="24"/>
          <w:highlight w:val="none"/>
        </w:rPr>
      </w:pPr>
      <w:bookmarkStart w:id="41" w:name="_Toc489236614"/>
      <w:r>
        <w:rPr>
          <w:rFonts w:hint="eastAsia" w:ascii="宋体" w:hAnsi="宋体" w:eastAsia="宋体" w:cs="宋体"/>
          <w:b/>
          <w:color w:val="auto"/>
          <w:sz w:val="24"/>
          <w:highlight w:val="none"/>
        </w:rPr>
        <w:t>7.化石、文物</w:t>
      </w:r>
      <w:bookmarkEnd w:id="41"/>
    </w:p>
    <w:p>
      <w:pPr>
        <w:adjustRightInd w:val="0"/>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7.1在施工场地发掘的所有文物、古迹以及具有地质研究或考古价值的其他遗迹、化石、钱币或物品属于国家所有。一旦发现上述文物，乙方应督促并要求承包人采取有效合理的保护措施，防止任何人员移动或损坏上述物品，并立即报告当地文物行政部门，同时通知甲方。甲方和乙方应按文物行政部门要求采取妥善保护措施，由此导致工期延误，工期可相应顺延。若同时产生增加的费用，由甲方承担。</w:t>
      </w:r>
    </w:p>
    <w:p>
      <w:pPr>
        <w:adjustRightInd w:val="0"/>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7.2乙方发现文物后不及时报告或隐瞒不报，致使文物丢失或损坏的，应赔偿损失，并承担相应的法律责任。</w:t>
      </w:r>
    </w:p>
    <w:p>
      <w:pPr>
        <w:spacing w:line="360" w:lineRule="auto"/>
        <w:rPr>
          <w:rFonts w:ascii="宋体" w:hAnsi="宋体" w:eastAsia="宋体" w:cs="宋体"/>
          <w:b/>
          <w:color w:val="auto"/>
          <w:sz w:val="24"/>
          <w:highlight w:val="none"/>
        </w:rPr>
      </w:pPr>
      <w:bookmarkStart w:id="42" w:name="_Toc489236616"/>
      <w:r>
        <w:rPr>
          <w:rFonts w:hint="eastAsia" w:ascii="宋体" w:hAnsi="宋体" w:eastAsia="宋体" w:cs="宋体"/>
          <w:b/>
          <w:color w:val="auto"/>
          <w:sz w:val="24"/>
          <w:highlight w:val="none"/>
        </w:rPr>
        <w:t>8.文件及信息的保密</w:t>
      </w:r>
      <w:bookmarkEnd w:id="42"/>
    </w:p>
    <w:p>
      <w:pPr>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未经对方同意，任何一方当事人不得将有关文件、技术秘密、需要保密的资料和信息泄露给他人或公开发表与引用。</w:t>
      </w:r>
    </w:p>
    <w:p>
      <w:pPr>
        <w:spacing w:line="360" w:lineRule="auto"/>
        <w:rPr>
          <w:rFonts w:ascii="宋体" w:hAnsi="宋体" w:eastAsia="宋体" w:cs="宋体"/>
          <w:b/>
          <w:color w:val="auto"/>
          <w:sz w:val="24"/>
          <w:highlight w:val="none"/>
        </w:rPr>
      </w:pPr>
      <w:bookmarkStart w:id="43" w:name="_Toc489236617"/>
      <w:r>
        <w:rPr>
          <w:rFonts w:hint="eastAsia" w:ascii="宋体" w:hAnsi="宋体" w:eastAsia="宋体" w:cs="宋体"/>
          <w:b/>
          <w:color w:val="auto"/>
          <w:sz w:val="24"/>
          <w:highlight w:val="none"/>
        </w:rPr>
        <w:t>9.甲方要求中的错误</w:t>
      </w:r>
      <w:bookmarkEnd w:id="43"/>
    </w:p>
    <w:p>
      <w:pPr>
        <w:adjustRightInd w:val="0"/>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9.1乙方应认真阅读、复核甲方要求，发现错误的，应及时书面通知甲方。对确实存在的错误，甲方坚持不作修改的，应承担由此导致乙方增加的费用或延误的工期。</w:t>
      </w:r>
    </w:p>
    <w:p>
      <w:pPr>
        <w:adjustRightInd w:val="0"/>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9.2乙方未发现甲方要求中存在错误的，乙方自行承担由此导致的费用增加或工期延误，但合同条款另有约定的除外。</w:t>
      </w:r>
    </w:p>
    <w:p>
      <w:pPr>
        <w:spacing w:line="360" w:lineRule="auto"/>
        <w:rPr>
          <w:rFonts w:ascii="宋体" w:hAnsi="宋体" w:eastAsia="宋体" w:cs="宋体"/>
          <w:b/>
          <w:color w:val="auto"/>
          <w:sz w:val="24"/>
          <w:highlight w:val="none"/>
        </w:rPr>
      </w:pPr>
      <w:bookmarkStart w:id="44" w:name="_Toc489236619"/>
      <w:r>
        <w:rPr>
          <w:rFonts w:hint="eastAsia" w:ascii="宋体" w:hAnsi="宋体" w:eastAsia="宋体" w:cs="宋体"/>
          <w:b/>
          <w:color w:val="auto"/>
          <w:sz w:val="24"/>
          <w:highlight w:val="none"/>
        </w:rPr>
        <w:t>10.合同变更、暂停与终止</w:t>
      </w:r>
      <w:bookmarkEnd w:id="44"/>
    </w:p>
    <w:p>
      <w:pPr>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10.1在本合同签订后，实际客观情况发生变化，使得乙方不能全部或部分进行造价咨询工作时，乙方应当立即通知甲方，该造价咨询工作的完成时间应予延长，只有在甲方通知中明确已构成全过程造价咨询服务工作暂停的情况下，才构成全过程造价咨询服务工作暂停。全过程造价咨询服务工作暂停后，当恢复执行全过程造价咨询服务工作时，应当增加经双方确认不超过 15 天的时间用于恢复执行全过程造价咨询服务工作。</w:t>
      </w:r>
    </w:p>
    <w:p>
      <w:pPr>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10.2乙方在应当获得全过程造价咨询服务各阶段费用之日起 30 天内，仍未收到甲方同意支付款项证明，而甲方又未对乙方提出任何书面意见时，或已暂停执行全过程造价咨询服务工作时限超过6个月仍没有得到甲方关于重新开始全过程造价咨询服务工作的通知，乙方可向甲方发出催告通知。如果催告通知发出后 14 天内未得到甲方答复，乙方可选择解除合同、取消部分全过程造价咨询服务工作，或自行暂停或继续暂停执行全部或部分全过程造价咨询服务工作。</w:t>
      </w:r>
    </w:p>
    <w:p>
      <w:pPr>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10.3在合同履行过程中，甲方发现乙方无法或无能力履行合同义务或服务成果质量不能满足甲方要求，则甲方有权要求乙方调换乙方人员，如仍然无法满足要求，则甲方有权要求乙方按合同暂定价格的10%向甲方支付违约金，并</w:t>
      </w:r>
      <w:r>
        <w:rPr>
          <w:rFonts w:hint="eastAsia" w:ascii="宋体" w:hAnsi="宋体" w:eastAsia="宋体" w:cs="宋体"/>
          <w:color w:val="auto"/>
          <w:sz w:val="24"/>
          <w:highlight w:val="none"/>
          <w:lang w:val="en-US" w:eastAsia="zh-CN"/>
        </w:rPr>
        <w:t>有权</w:t>
      </w:r>
      <w:r>
        <w:rPr>
          <w:rFonts w:hint="eastAsia" w:ascii="宋体" w:hAnsi="宋体" w:eastAsia="宋体" w:cs="宋体"/>
          <w:color w:val="auto"/>
          <w:sz w:val="24"/>
          <w:highlight w:val="none"/>
        </w:rPr>
        <w:t>单方面终止合同。若违约金不足以弥补损失的，乙方应当补足。</w:t>
      </w:r>
    </w:p>
    <w:p>
      <w:pPr>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10.4如果按照上述第10.1条、第10.2条及下述第12条约定暂停或终止合同，则甲方应按暂停或终止之日项目所处阶段及已取得的全过程造价咨询服务工作正式成果确认合同规定的服务费，并以此向甲方申请进行费用清算。</w:t>
      </w:r>
    </w:p>
    <w:p>
      <w:pPr>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10.5本合同于双方完全履行相应的合同义务并达到本合同目的后自动终止。合同终止后并不影响各方应有的权利和应承担的责任，双方仍应遵循诚实信用原则，继续履行本合同的通知、协助及保密等义务。</w:t>
      </w:r>
    </w:p>
    <w:p>
      <w:pPr>
        <w:spacing w:line="360" w:lineRule="auto"/>
        <w:rPr>
          <w:rFonts w:ascii="宋体" w:hAnsi="宋体" w:eastAsia="宋体" w:cs="宋体"/>
          <w:b/>
          <w:color w:val="auto"/>
          <w:sz w:val="24"/>
          <w:highlight w:val="none"/>
        </w:rPr>
      </w:pPr>
      <w:bookmarkStart w:id="45" w:name="_Toc489236620"/>
      <w:r>
        <w:rPr>
          <w:rFonts w:hint="eastAsia" w:ascii="宋体" w:hAnsi="宋体" w:eastAsia="宋体" w:cs="宋体"/>
          <w:b/>
          <w:color w:val="auto"/>
          <w:sz w:val="24"/>
          <w:highlight w:val="none"/>
        </w:rPr>
        <w:t>11.其他</w:t>
      </w:r>
      <w:bookmarkEnd w:id="45"/>
    </w:p>
    <w:p>
      <w:pPr>
        <w:adjustRightInd w:val="0"/>
        <w:snapToGrid w:val="0"/>
        <w:spacing w:line="360" w:lineRule="auto"/>
        <w:jc w:val="left"/>
        <w:rPr>
          <w:rFonts w:ascii="宋体" w:hAnsi="宋体" w:eastAsia="宋体" w:cs="宋体"/>
          <w:color w:val="auto"/>
          <w:highlight w:val="none"/>
        </w:rPr>
      </w:pPr>
      <w:r>
        <w:rPr>
          <w:rFonts w:hint="eastAsia" w:ascii="宋体" w:hAnsi="宋体" w:eastAsia="宋体" w:cs="宋体"/>
          <w:color w:val="auto"/>
          <w:sz w:val="24"/>
          <w:highlight w:val="none"/>
        </w:rPr>
        <w:t>11.1如一方的营业地址、电话、法定代表人等发生变更，应提前 7 天书面通知对方。</w:t>
      </w:r>
    </w:p>
    <w:p>
      <w:pPr>
        <w:adjustRightInd w:val="0"/>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11.2其他未尽事宜，按照中华人民共和国相关法律规定执行。</w:t>
      </w:r>
      <w:bookmarkStart w:id="46" w:name="_Toc489865857"/>
      <w:bookmarkStart w:id="47" w:name="_Toc489236622"/>
    </w:p>
    <w:bookmarkEnd w:id="46"/>
    <w:bookmarkEnd w:id="47"/>
    <w:p>
      <w:pPr>
        <w:spacing w:line="360" w:lineRule="auto"/>
        <w:rPr>
          <w:rFonts w:ascii="宋体" w:hAnsi="宋体" w:eastAsia="宋体" w:cs="宋体"/>
          <w:b/>
          <w:color w:val="auto"/>
          <w:sz w:val="24"/>
          <w:highlight w:val="none"/>
        </w:rPr>
      </w:pPr>
      <w:bookmarkStart w:id="48" w:name="_Toc489236629"/>
      <w:r>
        <w:rPr>
          <w:rFonts w:hint="eastAsia" w:ascii="宋体" w:hAnsi="宋体" w:eastAsia="宋体" w:cs="宋体"/>
          <w:b/>
          <w:color w:val="auto"/>
          <w:sz w:val="24"/>
          <w:highlight w:val="none"/>
        </w:rPr>
        <w:t>12.不可抗力</w:t>
      </w:r>
      <w:bookmarkEnd w:id="48"/>
    </w:p>
    <w:p>
      <w:pPr>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12.1如果出现无法限制的战争、动乱、罢工、闭厂、疫情、空中运行物体坠落和非任何一方造成的爆炸、火灾，以及暴风、雪、雷、地震、洪灾等自然灾害以及政府行为(以下称不可抗力)，诸如此类超出合理控制能力之外的情况，而妨碍任何一方执行合同义务，那么在上述事态持续期间，将暂停合同义务或终止合同义务的执行，并且受影响的一方不对由此而引起的任何延误负责。</w:t>
      </w:r>
    </w:p>
    <w:p>
      <w:pPr>
        <w:snapToGrid w:val="0"/>
        <w:spacing w:line="360" w:lineRule="auto"/>
        <w:jc w:val="left"/>
        <w:rPr>
          <w:rFonts w:ascii="宋体" w:hAnsi="宋体" w:eastAsia="宋体" w:cs="宋体"/>
          <w:b/>
          <w:color w:val="auto"/>
          <w:sz w:val="24"/>
          <w:highlight w:val="none"/>
        </w:rPr>
      </w:pPr>
      <w:r>
        <w:rPr>
          <w:rFonts w:hint="eastAsia" w:ascii="宋体" w:hAnsi="宋体" w:eastAsia="宋体" w:cs="宋体"/>
          <w:b/>
          <w:color w:val="auto"/>
          <w:sz w:val="24"/>
          <w:highlight w:val="none"/>
        </w:rPr>
        <w:t>13.人员保险</w:t>
      </w:r>
    </w:p>
    <w:p>
      <w:pPr>
        <w:spacing w:line="360" w:lineRule="auto"/>
        <w:rPr>
          <w:rFonts w:ascii="宋体" w:hAnsi="宋体" w:eastAsia="宋体" w:cs="宋体"/>
          <w:color w:val="auto"/>
          <w:kern w:val="1"/>
          <w:sz w:val="24"/>
          <w:highlight w:val="none"/>
        </w:rPr>
      </w:pPr>
      <w:r>
        <w:rPr>
          <w:rFonts w:hint="eastAsia" w:ascii="宋体" w:hAnsi="宋体" w:eastAsia="宋体" w:cs="宋体"/>
          <w:color w:val="auto"/>
          <w:kern w:val="1"/>
          <w:sz w:val="24"/>
          <w:highlight w:val="none"/>
        </w:rPr>
        <w:t>13.1保险：为保障本合同的顺利履行，甲方要求乙方购买工程的全过程</w:t>
      </w:r>
      <w:r>
        <w:rPr>
          <w:rFonts w:hint="eastAsia" w:ascii="宋体" w:hAnsi="宋体" w:eastAsia="宋体" w:cs="宋体"/>
          <w:color w:val="auto"/>
          <w:sz w:val="24"/>
          <w:highlight w:val="none"/>
        </w:rPr>
        <w:t>造价</w:t>
      </w:r>
      <w:r>
        <w:rPr>
          <w:rFonts w:hint="eastAsia" w:ascii="宋体" w:hAnsi="宋体" w:eastAsia="宋体" w:cs="宋体"/>
          <w:color w:val="auto"/>
          <w:kern w:val="1"/>
          <w:sz w:val="24"/>
          <w:highlight w:val="none"/>
        </w:rPr>
        <w:t>咨询责任年度险及工作人员意外险，确保乙方员工及工作人员在工作时间区域内如遭受意外伤害由商业保险进行理赔；除此以外，乙方还应办理其认为必要的各种保险；同时应当为全部驻场人员购买人身意外的相关险种。甲方不承担与此相关的任何费用及责任，合同签订后60日内，乙方须把购买的保险单报甲方备案，否则，甲方有权延期支付服务费。保险不理赔部分由乙方自行承担，甲方不承担任何责任。</w:t>
      </w:r>
    </w:p>
    <w:p>
      <w:pPr>
        <w:spacing w:line="360" w:lineRule="auto"/>
        <w:rPr>
          <w:rFonts w:ascii="宋体" w:hAnsi="宋体" w:eastAsia="宋体" w:cs="宋体"/>
          <w:color w:val="auto"/>
          <w:kern w:val="1"/>
          <w:sz w:val="24"/>
          <w:highlight w:val="none"/>
        </w:rPr>
      </w:pPr>
      <w:r>
        <w:rPr>
          <w:rFonts w:hint="eastAsia" w:ascii="宋体" w:hAnsi="宋体" w:eastAsia="宋体" w:cs="宋体"/>
          <w:color w:val="auto"/>
          <w:kern w:val="1"/>
          <w:sz w:val="24"/>
          <w:highlight w:val="none"/>
        </w:rPr>
        <w:t>13.2乙方未购买上述约定险种，经甲方催告后仍不购买的，甲方有权终止合同，因此造成的全部损失（包括但不限于重新招标损失、工期延误损失、甲方对第三方承担的违约责任及赔偿责任、为维权而支付的律师费、保全费、公告费等损失），由乙方承担，且甲方已支付的费用，乙方应当无条件退还。</w:t>
      </w:r>
    </w:p>
    <w:p>
      <w:pPr>
        <w:spacing w:line="360" w:lineRule="auto"/>
        <w:rPr>
          <w:rFonts w:ascii="宋体" w:hAnsi="宋体" w:eastAsia="宋体" w:cs="宋体"/>
          <w:b/>
          <w:bCs/>
          <w:color w:val="auto"/>
          <w:sz w:val="24"/>
          <w:highlight w:val="none"/>
          <w:lang w:val="zh-TW"/>
        </w:rPr>
      </w:pPr>
      <w:r>
        <w:rPr>
          <w:rFonts w:hint="eastAsia" w:ascii="宋体" w:hAnsi="宋体" w:eastAsia="宋体" w:cs="宋体"/>
          <w:b/>
          <w:bCs/>
          <w:color w:val="auto"/>
          <w:sz w:val="24"/>
          <w:highlight w:val="none"/>
        </w:rPr>
        <w:t>二、</w:t>
      </w:r>
      <w:r>
        <w:rPr>
          <w:rFonts w:hint="eastAsia" w:ascii="宋体" w:hAnsi="宋体" w:eastAsia="宋体" w:cs="宋体"/>
          <w:b/>
          <w:bCs/>
          <w:color w:val="auto"/>
          <w:sz w:val="24"/>
          <w:highlight w:val="none"/>
          <w:lang w:val="zh-TW"/>
        </w:rPr>
        <w:t>索赔</w:t>
      </w:r>
    </w:p>
    <w:p>
      <w:pPr>
        <w:adjustRightInd w:val="0"/>
        <w:snapToGrid w:val="0"/>
        <w:spacing w:line="360" w:lineRule="auto"/>
        <w:rPr>
          <w:rFonts w:ascii="宋体" w:hAnsi="宋体" w:eastAsia="宋体" w:cs="宋体"/>
          <w:b/>
          <w:bCs/>
          <w:color w:val="auto"/>
          <w:sz w:val="24"/>
          <w:highlight w:val="none"/>
        </w:rPr>
      </w:pPr>
      <w:r>
        <w:rPr>
          <w:rFonts w:hint="eastAsia" w:ascii="宋体" w:hAnsi="宋体" w:eastAsia="宋体" w:cs="宋体"/>
          <w:b/>
          <w:bCs/>
          <w:color w:val="auto"/>
          <w:sz w:val="24"/>
          <w:highlight w:val="none"/>
        </w:rPr>
        <w:t xml:space="preserve">14. </w:t>
      </w:r>
      <w:r>
        <w:rPr>
          <w:rFonts w:hint="eastAsia" w:ascii="宋体" w:hAnsi="宋体" w:eastAsia="宋体" w:cs="宋体"/>
          <w:b/>
          <w:bCs/>
          <w:color w:val="auto"/>
          <w:sz w:val="24"/>
          <w:highlight w:val="none"/>
          <w:lang w:val="zh-TW"/>
        </w:rPr>
        <w:t>乙方索赔的提出</w:t>
      </w:r>
    </w:p>
    <w:p>
      <w:pPr>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lang w:val="zh-TW"/>
        </w:rPr>
        <w:t>根据合同约定，乙方认为有权得到追加付款和（或）延长服务期的，应按以下程序向甲方提出索赔：</w:t>
      </w:r>
    </w:p>
    <w:p>
      <w:pPr>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lang w:val="zh-TW"/>
        </w:rPr>
        <w:t>（</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TW"/>
        </w:rPr>
        <w:t>）乙方应在知道或应当知道索赔事件发生后</w:t>
      </w:r>
      <w:r>
        <w:rPr>
          <w:rFonts w:hint="eastAsia" w:ascii="宋体" w:hAnsi="宋体" w:eastAsia="宋体" w:cs="宋体"/>
          <w:color w:val="auto"/>
          <w:sz w:val="24"/>
          <w:highlight w:val="none"/>
        </w:rPr>
        <w:t xml:space="preserve">28 </w:t>
      </w:r>
      <w:r>
        <w:rPr>
          <w:rFonts w:hint="eastAsia" w:ascii="宋体" w:hAnsi="宋体" w:eastAsia="宋体" w:cs="宋体"/>
          <w:color w:val="auto"/>
          <w:sz w:val="24"/>
          <w:highlight w:val="none"/>
          <w:lang w:val="zh-TW"/>
        </w:rPr>
        <w:t>天内，向甲方递交索赔意向通知书，并说明发生索赔事件的事由。乙方未在前述</w:t>
      </w:r>
      <w:r>
        <w:rPr>
          <w:rFonts w:hint="eastAsia" w:ascii="宋体" w:hAnsi="宋体" w:eastAsia="宋体" w:cs="宋体"/>
          <w:color w:val="auto"/>
          <w:sz w:val="24"/>
          <w:highlight w:val="none"/>
        </w:rPr>
        <w:t>28</w:t>
      </w:r>
      <w:r>
        <w:rPr>
          <w:rFonts w:hint="eastAsia" w:ascii="宋体" w:hAnsi="宋体" w:eastAsia="宋体" w:cs="宋体"/>
          <w:color w:val="auto"/>
          <w:sz w:val="24"/>
          <w:highlight w:val="none"/>
          <w:lang w:val="zh-TW"/>
        </w:rPr>
        <w:t>天内发出索赔意向通知书的，服务期不予顺延，且乙方无权获得追加付款；</w:t>
      </w:r>
    </w:p>
    <w:p>
      <w:pPr>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lang w:val="zh-TW"/>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TW"/>
        </w:rPr>
        <w:t>）乙方应在发出索赔意向通知书后</w:t>
      </w:r>
      <w:r>
        <w:rPr>
          <w:rFonts w:hint="eastAsia" w:ascii="宋体" w:hAnsi="宋体" w:eastAsia="宋体" w:cs="宋体"/>
          <w:color w:val="auto"/>
          <w:sz w:val="24"/>
          <w:highlight w:val="none"/>
        </w:rPr>
        <w:t>28</w:t>
      </w:r>
      <w:r>
        <w:rPr>
          <w:rFonts w:hint="eastAsia" w:ascii="宋体" w:hAnsi="宋体" w:eastAsia="宋体" w:cs="宋体"/>
          <w:color w:val="auto"/>
          <w:sz w:val="24"/>
          <w:highlight w:val="none"/>
          <w:lang w:val="zh-TW"/>
        </w:rPr>
        <w:t>天内，向甲方正式递交索赔通知书。索赔通知书应详细说明索赔理由以及要求追加的付款金额和（或）延长的服务期，并附必要的记录和证明材料；乙方未在前述28天内发出正式索赔通知书的，视为放弃索赔；</w:t>
      </w:r>
    </w:p>
    <w:p>
      <w:pPr>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lang w:val="zh-TW"/>
        </w:rPr>
        <w:t>（</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zh-TW"/>
        </w:rPr>
        <w:t>）索赔事件具有连续影响的，乙方应按合理时间间隔继续递交延续索赔通知，说明连续影响的实际情况和记录，列出累计的追加付款金额和（或）服务期延长天数；</w:t>
      </w:r>
    </w:p>
    <w:p>
      <w:pPr>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lang w:val="zh-TW"/>
        </w:rPr>
        <w:t>（</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zh-TW"/>
        </w:rPr>
        <w:t>）具有连续影响的索赔事件，在影响结束后的</w:t>
      </w:r>
      <w:r>
        <w:rPr>
          <w:rFonts w:hint="eastAsia" w:ascii="宋体" w:hAnsi="宋体" w:eastAsia="宋体" w:cs="宋体"/>
          <w:color w:val="auto"/>
          <w:sz w:val="24"/>
          <w:highlight w:val="none"/>
        </w:rPr>
        <w:t xml:space="preserve">28 </w:t>
      </w:r>
      <w:r>
        <w:rPr>
          <w:rFonts w:hint="eastAsia" w:ascii="宋体" w:hAnsi="宋体" w:eastAsia="宋体" w:cs="宋体"/>
          <w:color w:val="auto"/>
          <w:sz w:val="24"/>
          <w:highlight w:val="none"/>
          <w:lang w:val="zh-TW"/>
        </w:rPr>
        <w:t>天内，乙方应向甲方递交最终索赔通知书，说明最终要求索赔的追加付款金额和延长的服务期，并附必要的记录和证明材料。</w:t>
      </w:r>
    </w:p>
    <w:p>
      <w:pPr>
        <w:spacing w:line="360" w:lineRule="auto"/>
        <w:rPr>
          <w:rFonts w:ascii="宋体" w:hAnsi="宋体" w:eastAsia="宋体" w:cs="宋体"/>
          <w:b/>
          <w:bCs/>
          <w:color w:val="auto"/>
          <w:sz w:val="24"/>
          <w:highlight w:val="none"/>
        </w:rPr>
      </w:pPr>
      <w:r>
        <w:rPr>
          <w:rFonts w:hint="eastAsia" w:ascii="宋体" w:hAnsi="宋体" w:eastAsia="宋体" w:cs="宋体"/>
          <w:b/>
          <w:bCs/>
          <w:color w:val="auto"/>
          <w:sz w:val="24"/>
          <w:highlight w:val="none"/>
        </w:rPr>
        <w:t>15.</w:t>
      </w:r>
      <w:r>
        <w:rPr>
          <w:rFonts w:hint="eastAsia" w:ascii="宋体" w:hAnsi="宋体" w:eastAsia="宋体" w:cs="宋体"/>
          <w:b/>
          <w:bCs/>
          <w:color w:val="auto"/>
          <w:sz w:val="24"/>
          <w:highlight w:val="none"/>
          <w:lang w:val="zh-TW"/>
        </w:rPr>
        <w:t>乙方索赔处理程序</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lang w:val="zh-TW"/>
        </w:rPr>
        <w:t>（</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TW"/>
        </w:rPr>
        <w:t>）甲方收到乙方正式索赔通知书后，应及时审查，需要乙方提供进一步证明材料的，应</w:t>
      </w:r>
      <w:r>
        <w:rPr>
          <w:rFonts w:hint="eastAsia" w:ascii="宋体" w:hAnsi="宋体" w:eastAsia="宋体" w:cs="宋体"/>
          <w:color w:val="auto"/>
          <w:sz w:val="24"/>
          <w:highlight w:val="none"/>
        </w:rPr>
        <w:t>向乙方提出。甲方应在收到乙方正式索赔通知书</w:t>
      </w:r>
      <w:r>
        <w:rPr>
          <w:rFonts w:hint="eastAsia" w:ascii="宋体" w:hAnsi="宋体" w:eastAsia="宋体" w:cs="宋体"/>
          <w:color w:val="auto"/>
          <w:sz w:val="24"/>
          <w:highlight w:val="none"/>
          <w:lang w:val="zh-TW"/>
        </w:rPr>
        <w:t>或有关索赔的进一步证明材料</w:t>
      </w:r>
      <w:r>
        <w:rPr>
          <w:rFonts w:hint="eastAsia" w:ascii="宋体" w:hAnsi="宋体" w:eastAsia="宋体" w:cs="宋体"/>
          <w:color w:val="auto"/>
          <w:sz w:val="24"/>
          <w:highlight w:val="none"/>
          <w:lang w:val="en-US" w:eastAsia="zh-CN"/>
        </w:rPr>
        <w:t>并进行审查</w:t>
      </w:r>
      <w:r>
        <w:rPr>
          <w:rFonts w:hint="eastAsia" w:ascii="宋体" w:hAnsi="宋体" w:eastAsia="宋体" w:cs="宋体"/>
          <w:color w:val="auto"/>
          <w:sz w:val="24"/>
          <w:highlight w:val="none"/>
          <w:lang w:val="zh-TW"/>
        </w:rPr>
        <w:t>后，将索赔处理结果答复乙方。</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lang w:val="zh-TW"/>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TW"/>
        </w:rPr>
        <w:t>）乙方接受索赔处理结果的，甲方应在作出索赔处理结果答复后</w:t>
      </w:r>
      <w:r>
        <w:rPr>
          <w:rFonts w:hint="eastAsia" w:ascii="宋体" w:hAnsi="宋体" w:eastAsia="宋体" w:cs="宋体"/>
          <w:color w:val="auto"/>
          <w:sz w:val="24"/>
          <w:highlight w:val="none"/>
        </w:rPr>
        <w:t xml:space="preserve">28 </w:t>
      </w:r>
      <w:r>
        <w:rPr>
          <w:rFonts w:hint="eastAsia" w:ascii="宋体" w:hAnsi="宋体" w:eastAsia="宋体" w:cs="宋体"/>
          <w:color w:val="auto"/>
          <w:sz w:val="24"/>
          <w:highlight w:val="none"/>
          <w:lang w:val="zh-TW"/>
        </w:rPr>
        <w:t>天内完成赔付。乙方不接受索赔处理结果的，按</w:t>
      </w:r>
      <w:r>
        <w:rPr>
          <w:rFonts w:hint="eastAsia" w:ascii="宋体" w:hAnsi="宋体" w:eastAsia="宋体" w:cs="宋体"/>
          <w:color w:val="auto"/>
          <w:sz w:val="24"/>
          <w:highlight w:val="none"/>
        </w:rPr>
        <w:t>协议书</w:t>
      </w:r>
      <w:r>
        <w:rPr>
          <w:rFonts w:hint="eastAsia" w:ascii="宋体" w:hAnsi="宋体" w:eastAsia="宋体" w:cs="宋体"/>
          <w:color w:val="auto"/>
          <w:sz w:val="24"/>
          <w:highlight w:val="none"/>
          <w:lang w:val="zh-TW"/>
        </w:rPr>
        <w:t>第</w:t>
      </w: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val="zh-TW"/>
        </w:rPr>
        <w:t>条的约定执行。</w:t>
      </w:r>
    </w:p>
    <w:p>
      <w:pPr>
        <w:spacing w:line="360" w:lineRule="auto"/>
        <w:rPr>
          <w:rFonts w:ascii="宋体" w:hAnsi="宋体" w:eastAsia="宋体" w:cs="宋体"/>
          <w:b/>
          <w:bCs/>
          <w:color w:val="auto"/>
          <w:sz w:val="24"/>
          <w:highlight w:val="none"/>
        </w:rPr>
      </w:pPr>
      <w:r>
        <w:rPr>
          <w:rFonts w:hint="eastAsia" w:ascii="宋体" w:hAnsi="宋体" w:eastAsia="宋体" w:cs="宋体"/>
          <w:b/>
          <w:bCs/>
          <w:color w:val="auto"/>
          <w:sz w:val="24"/>
          <w:highlight w:val="none"/>
        </w:rPr>
        <w:t>16.</w:t>
      </w:r>
      <w:r>
        <w:rPr>
          <w:rFonts w:hint="eastAsia" w:ascii="宋体" w:hAnsi="宋体" w:eastAsia="宋体" w:cs="宋体"/>
          <w:b/>
          <w:bCs/>
          <w:color w:val="auto"/>
          <w:sz w:val="24"/>
          <w:highlight w:val="none"/>
          <w:lang w:val="zh-TW"/>
        </w:rPr>
        <w:t>甲方的索赔及处理</w:t>
      </w:r>
    </w:p>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16.1</w:t>
      </w:r>
      <w:r>
        <w:rPr>
          <w:rFonts w:hint="eastAsia" w:ascii="宋体" w:hAnsi="宋体" w:eastAsia="宋体" w:cs="宋体"/>
          <w:color w:val="auto"/>
          <w:sz w:val="24"/>
          <w:highlight w:val="none"/>
          <w:lang w:val="zh-TW"/>
        </w:rPr>
        <w:t xml:space="preserve"> 甲方应在知道或应当知道索赔事件发生后，向乙方发出索赔通知书，并说明甲方有权索赔的事项和依据。</w:t>
      </w:r>
    </w:p>
    <w:p>
      <w:pPr>
        <w:snapToGrid w:val="0"/>
        <w:spacing w:line="360" w:lineRule="auto"/>
        <w:rPr>
          <w:rFonts w:ascii="宋体" w:hAnsi="宋体" w:eastAsia="宋体" w:cs="宋体"/>
          <w:b/>
          <w:bCs/>
          <w:color w:val="auto"/>
          <w:sz w:val="24"/>
          <w:highlight w:val="none"/>
        </w:rPr>
      </w:pPr>
      <w:r>
        <w:rPr>
          <w:rFonts w:hint="eastAsia" w:ascii="宋体" w:hAnsi="宋体" w:eastAsia="宋体" w:cs="宋体"/>
          <w:color w:val="auto"/>
          <w:sz w:val="24"/>
          <w:highlight w:val="none"/>
        </w:rPr>
        <w:t>16.2</w:t>
      </w:r>
      <w:r>
        <w:rPr>
          <w:rFonts w:hint="eastAsia" w:ascii="宋体" w:hAnsi="宋体" w:eastAsia="宋体" w:cs="宋体"/>
          <w:color w:val="auto"/>
          <w:sz w:val="24"/>
          <w:highlight w:val="none"/>
          <w:lang w:val="zh-TW"/>
        </w:rPr>
        <w:t xml:space="preserve"> 乙方在接到甲方索赔通知书后</w:t>
      </w:r>
      <w:r>
        <w:rPr>
          <w:rFonts w:hint="eastAsia" w:ascii="宋体" w:hAnsi="宋体" w:eastAsia="宋体" w:cs="宋体"/>
          <w:color w:val="auto"/>
          <w:sz w:val="24"/>
          <w:highlight w:val="none"/>
        </w:rPr>
        <w:t>28日内</w:t>
      </w:r>
      <w:r>
        <w:rPr>
          <w:rFonts w:hint="eastAsia" w:ascii="宋体" w:hAnsi="宋体" w:eastAsia="宋体" w:cs="宋体"/>
          <w:color w:val="auto"/>
          <w:sz w:val="24"/>
          <w:highlight w:val="none"/>
          <w:lang w:val="zh-TW"/>
        </w:rPr>
        <w:t>到甲方指定银行帐户缴纳索赔金，否则，甲方有权在应付给乙方的款项中扣除相应款项。</w:t>
      </w:r>
    </w:p>
    <w:p>
      <w:pPr>
        <w:snapToGrid w:val="0"/>
        <w:spacing w:line="360" w:lineRule="auto"/>
        <w:rPr>
          <w:rFonts w:ascii="宋体" w:hAnsi="宋体" w:eastAsia="宋体" w:cs="宋体"/>
          <w:b/>
          <w:bCs/>
          <w:color w:val="auto"/>
          <w:sz w:val="24"/>
          <w:highlight w:val="none"/>
          <w:lang w:val="zh-TW"/>
        </w:rPr>
      </w:pPr>
      <w:r>
        <w:rPr>
          <w:rFonts w:hint="eastAsia" w:ascii="宋体" w:hAnsi="宋体" w:eastAsia="宋体" w:cs="宋体"/>
          <w:b/>
          <w:bCs/>
          <w:color w:val="auto"/>
          <w:sz w:val="24"/>
          <w:highlight w:val="none"/>
        </w:rPr>
        <w:t>17.</w:t>
      </w:r>
      <w:r>
        <w:rPr>
          <w:rFonts w:ascii="宋体" w:hAnsi="宋体" w:eastAsia="宋体" w:cs="宋体"/>
          <w:b/>
          <w:bCs/>
          <w:color w:val="auto"/>
          <w:sz w:val="24"/>
          <w:highlight w:val="none"/>
          <w:lang w:val="zh-TW"/>
        </w:rPr>
        <w:t>反商业贿赂条款</w:t>
      </w:r>
    </w:p>
    <w:p>
      <w:pPr>
        <w:adjustRightInd w:val="0"/>
        <w:snapToGrid w:val="0"/>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17.1双方均应严格遵守中国共产党的政策规定和国家有关法律法规及广东省委、省政府关于反商业贿赂和加强党风廉政建设的有关规定。</w:t>
      </w:r>
    </w:p>
    <w:p>
      <w:pPr>
        <w:adjustRightInd w:val="0"/>
        <w:snapToGrid w:val="0"/>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17.2双方同意建立健全反商业贿赂和廉政制度，开展相关教育，设立反商业贿赂和廉政告示牌，公布举报电话，监督并认真查处违法违纪行为。</w:t>
      </w:r>
    </w:p>
    <w:p>
      <w:pPr>
        <w:adjustRightInd w:val="0"/>
        <w:snapToGrid w:val="0"/>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17.3发现对方在业务活动中有违反商业贿赂和廉政规定的行为，一方有及时提醒对方纠正的权利和义务。</w:t>
      </w:r>
    </w:p>
    <w:p>
      <w:pPr>
        <w:adjustRightInd w:val="0"/>
        <w:snapToGrid w:val="0"/>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17.4乙方应配合甲方与代建项目所在地检察机关同步开展预防工程建设职务犯罪工作。</w:t>
      </w:r>
    </w:p>
    <w:p>
      <w:pPr>
        <w:adjustRightInd w:val="0"/>
        <w:snapToGrid w:val="0"/>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17.5除应遵守本章相应规定外，双方或其工作人员均应遵守以下规定：</w:t>
      </w:r>
    </w:p>
    <w:p>
      <w:pPr>
        <w:adjustRightInd w:val="0"/>
        <w:snapToGrid w:val="0"/>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（1）不得参加对方安排的超标准宴请和娱乐活动；</w:t>
      </w:r>
    </w:p>
    <w:p>
      <w:pPr>
        <w:adjustRightInd w:val="0"/>
        <w:snapToGrid w:val="0"/>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（2）不得接受对方提供的通讯工具、交通工具和高档办公用品等；</w:t>
      </w:r>
    </w:p>
    <w:p>
      <w:pPr>
        <w:adjustRightInd w:val="0"/>
        <w:snapToGrid w:val="0"/>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（3）不得要求或者接受对方为其住房装修、婚丧嫁娶活动、配偶子女的工作安排以及出国出境、旅游等提供方便等；</w:t>
      </w:r>
    </w:p>
    <w:p>
      <w:pPr>
        <w:adjustRightInd w:val="0"/>
        <w:snapToGrid w:val="0"/>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（4）不得从事与代建项目有关的材料设备供应、工程承包、劳务等活动，不得以配偶、子女名义从事上述活动；不得与有直接利益关系的单位就该项目的建设需要发生经济往来；</w:t>
      </w:r>
    </w:p>
    <w:p>
      <w:pPr>
        <w:adjustRightInd w:val="0"/>
        <w:snapToGrid w:val="0"/>
        <w:spacing w:line="360" w:lineRule="auto"/>
        <w:rPr>
          <w:rFonts w:ascii="宋体" w:hAnsi="宋体" w:eastAsia="宋体" w:cs="宋体"/>
          <w:color w:val="auto"/>
          <w:sz w:val="24"/>
          <w:szCs w:val="21"/>
          <w:highlight w:val="none"/>
          <w:lang w:val="zh-CN"/>
        </w:rPr>
      </w:pPr>
      <w:r>
        <w:rPr>
          <w:rFonts w:hint="eastAsia" w:ascii="宋体" w:hAnsi="宋体" w:eastAsia="宋体" w:cs="宋体"/>
          <w:color w:val="auto"/>
          <w:sz w:val="24"/>
          <w:highlight w:val="none"/>
          <w:lang w:val="zh-CN"/>
        </w:rPr>
        <w:t>（5）不得利用职权插手代建活动，不得以任何理由向对方推荐项目建设相关单位或推销材料，不得要求对方购买合同规定外的材料和设备。</w:t>
      </w:r>
    </w:p>
    <w:p>
      <w:pPr>
        <w:adjustRightInd w:val="0"/>
        <w:snapToGrid w:val="0"/>
        <w:spacing w:line="360" w:lineRule="auto"/>
        <w:rPr>
          <w:rFonts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lang w:val="zh-CN"/>
        </w:rPr>
        <w:t>17.6违反本章约定，除本合同已有约定外，应由有关部门依据有关规定给予党纪、政纪或组织处理；涉嫌犯罪的，移交司法机关追究刑事责任。</w:t>
      </w:r>
    </w:p>
    <w:p>
      <w:pPr>
        <w:snapToGrid w:val="0"/>
        <w:spacing w:line="360" w:lineRule="auto"/>
        <w:rPr>
          <w:rFonts w:ascii="宋体" w:hAnsi="宋体" w:eastAsia="宋体" w:cs="宋体"/>
          <w:b/>
          <w:bCs/>
          <w:color w:val="auto"/>
          <w:sz w:val="24"/>
          <w:highlight w:val="none"/>
          <w:lang w:val="zh-TW"/>
        </w:rPr>
      </w:pPr>
      <w:r>
        <w:rPr>
          <w:rFonts w:hint="eastAsia" w:ascii="宋体" w:hAnsi="宋体" w:eastAsia="宋体" w:cs="宋体"/>
          <w:b/>
          <w:bCs/>
          <w:color w:val="auto"/>
          <w:sz w:val="24"/>
          <w:highlight w:val="none"/>
        </w:rPr>
        <w:t>三、</w:t>
      </w:r>
      <w:r>
        <w:rPr>
          <w:rFonts w:hint="eastAsia" w:ascii="宋体" w:hAnsi="宋体" w:eastAsia="宋体" w:cs="宋体"/>
          <w:b/>
          <w:bCs/>
          <w:color w:val="auto"/>
          <w:sz w:val="24"/>
          <w:highlight w:val="none"/>
          <w:lang w:val="zh-TW"/>
        </w:rPr>
        <w:t>争议解决</w:t>
      </w:r>
    </w:p>
    <w:p>
      <w:pPr>
        <w:snapToGrid w:val="0"/>
        <w:spacing w:line="360" w:lineRule="auto"/>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t>18.协商</w:t>
      </w:r>
    </w:p>
    <w:p>
      <w:pPr>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双方应本着诚信原则协商解决彼此间的争议。</w:t>
      </w:r>
    </w:p>
    <w:p>
      <w:pPr>
        <w:snapToGrid w:val="0"/>
        <w:spacing w:line="360" w:lineRule="auto"/>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t>19.诉讼</w:t>
      </w:r>
    </w:p>
    <w:p>
      <w:pPr>
        <w:spacing w:before="156" w:after="156" w:line="360" w:lineRule="auto"/>
        <w:jc w:val="left"/>
        <w:outlineLvl w:val="1"/>
        <w:rPr>
          <w:rFonts w:ascii="宋体" w:hAnsi="宋体" w:eastAsia="宋体" w:cs="宋体"/>
          <w:b/>
          <w:color w:val="auto"/>
          <w:sz w:val="24"/>
          <w:highlight w:val="none"/>
        </w:rPr>
        <w:sectPr>
          <w:headerReference r:id="rId10" w:type="default"/>
          <w:footerReference r:id="rId11" w:type="default"/>
          <w:pgSz w:w="11906" w:h="16838"/>
          <w:pgMar w:top="1276" w:right="1134" w:bottom="1134" w:left="1418" w:header="851" w:footer="851" w:gutter="0"/>
          <w:cols w:space="720" w:num="1"/>
        </w:sectPr>
      </w:pPr>
      <w:r>
        <w:rPr>
          <w:rFonts w:hint="eastAsia" w:ascii="宋体" w:hAnsi="宋体" w:eastAsia="宋体" w:cs="宋体"/>
          <w:color w:val="auto"/>
          <w:sz w:val="24"/>
          <w:highlight w:val="none"/>
        </w:rPr>
        <w:t>如果双方不能在14天内或双方商定的其他时间内解决本合同争议，可以依据本合同的协议书的规定解决。</w:t>
      </w:r>
      <w:bookmarkStart w:id="49" w:name="_Toc489865861"/>
      <w:bookmarkStart w:id="50" w:name="_Toc485394990"/>
      <w:bookmarkStart w:id="51" w:name="_Toc489236634"/>
      <w:r>
        <w:rPr>
          <w:rFonts w:hint="eastAsia" w:ascii="宋体" w:hAnsi="宋体" w:eastAsia="宋体" w:cs="宋体"/>
          <w:b/>
          <w:color w:val="auto"/>
          <w:sz w:val="24"/>
          <w:highlight w:val="none"/>
        </w:rPr>
        <w:t xml:space="preserve">              </w:t>
      </w:r>
    </w:p>
    <w:bookmarkEnd w:id="49"/>
    <w:bookmarkEnd w:id="50"/>
    <w:bookmarkEnd w:id="51"/>
    <w:p>
      <w:pPr>
        <w:spacing w:before="180" w:after="180" w:line="360" w:lineRule="auto"/>
        <w:jc w:val="center"/>
        <w:outlineLvl w:val="0"/>
        <w:rPr>
          <w:rFonts w:ascii="宋体" w:hAnsi="宋体" w:eastAsia="宋体" w:cs="宋体"/>
          <w:b/>
          <w:color w:val="auto"/>
          <w:sz w:val="28"/>
          <w:szCs w:val="28"/>
          <w:highlight w:val="none"/>
        </w:rPr>
      </w:pPr>
      <w:bookmarkStart w:id="52" w:name="_Toc489865862"/>
      <w:bookmarkStart w:id="53" w:name="_Toc489236635"/>
      <w:r>
        <w:rPr>
          <w:rFonts w:hint="eastAsia" w:ascii="宋体" w:hAnsi="宋体" w:eastAsia="宋体" w:cs="宋体"/>
          <w:b/>
          <w:color w:val="auto"/>
          <w:sz w:val="28"/>
          <w:szCs w:val="28"/>
          <w:highlight w:val="none"/>
        </w:rPr>
        <w:t>第三部分 合同专用条款</w:t>
      </w:r>
    </w:p>
    <w:p>
      <w:pPr>
        <w:spacing w:before="156" w:after="156" w:line="360" w:lineRule="auto"/>
        <w:jc w:val="left"/>
        <w:outlineLvl w:val="1"/>
        <w:rPr>
          <w:rFonts w:ascii="宋体" w:hAnsi="宋体" w:eastAsia="宋体" w:cs="宋体"/>
          <w:b/>
          <w:color w:val="auto"/>
          <w:sz w:val="15"/>
          <w:szCs w:val="15"/>
          <w:highlight w:val="none"/>
        </w:rPr>
      </w:pPr>
      <w:r>
        <w:rPr>
          <w:rFonts w:hint="eastAsia" w:ascii="宋体" w:hAnsi="宋体" w:eastAsia="宋体" w:cs="宋体"/>
          <w:b/>
          <w:color w:val="auto"/>
          <w:sz w:val="24"/>
          <w:highlight w:val="none"/>
        </w:rPr>
        <w:t>一、 基本义务权利责任</w:t>
      </w:r>
    </w:p>
    <w:p>
      <w:pPr>
        <w:spacing w:before="156" w:after="156" w:line="360" w:lineRule="auto"/>
        <w:rPr>
          <w:rFonts w:ascii="宋体" w:hAnsi="宋体" w:eastAsia="宋体" w:cs="宋体"/>
          <w:b/>
          <w:bCs/>
          <w:color w:val="auto"/>
          <w:sz w:val="24"/>
          <w:highlight w:val="none"/>
        </w:rPr>
      </w:pPr>
      <w:r>
        <w:rPr>
          <w:rFonts w:hint="eastAsia" w:ascii="宋体" w:hAnsi="宋体" w:eastAsia="宋体" w:cs="宋体"/>
          <w:b/>
          <w:bCs/>
          <w:color w:val="auto"/>
          <w:sz w:val="24"/>
          <w:highlight w:val="none"/>
        </w:rPr>
        <w:t>1.甲方的义务</w:t>
      </w:r>
    </w:p>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1.1甲方应负责与本建设工程造价咨询业务有关的第三人的协调，为乙方工作提供外部条件。</w:t>
      </w:r>
    </w:p>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1.2甲方应当在约定的时间内，向乙方无偿提供与本项目咨询业务有关的所有基础资料。</w:t>
      </w:r>
    </w:p>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1.3甲方应当在约定的时间内就乙方书面提交并要求做出答复的事宜做出书面答复。乙方要求第三人提供有关资料时，甲方应负责转达及资料转送。</w:t>
      </w:r>
    </w:p>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1.4甲方应授权胜任本项目造价咨询业务的代表，负责与乙方联系。</w:t>
      </w:r>
    </w:p>
    <w:p>
      <w:pPr>
        <w:spacing w:before="156" w:after="156" w:line="360" w:lineRule="auto"/>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t>2.乙方的义务</w:t>
      </w:r>
    </w:p>
    <w:p>
      <w:pPr>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2.1向甲方提供与工程造价咨询业务有关的资料，包括工程造价咨询的相关业务范围的证明材料及承担本合同业务的专业人员名单、咨询服务工作计划等，并按本合同第一部分协议书中约定的范围实施咨询业务。</w:t>
      </w:r>
    </w:p>
    <w:p>
      <w:pPr>
        <w:tabs>
          <w:tab w:val="left" w:pos="851"/>
        </w:tabs>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2.2按有关规定和约定时间审核项目施工图预算、编制工程量清单、竣工结算、财务决算等。乙方提供的造价咨询服务质量应符合有关规定。</w:t>
      </w:r>
    </w:p>
    <w:p>
      <w:pPr>
        <w:tabs>
          <w:tab w:val="left" w:pos="851"/>
        </w:tabs>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2.3编制的工程造价文件属保密文件，乙方有防泄密义务，采取相应的保密措施，如有违反，需承担违约责任，且甲方有权单方解除合同。保密义务不因本合同的终止而消失。</w:t>
      </w:r>
    </w:p>
    <w:p>
      <w:pPr>
        <w:tabs>
          <w:tab w:val="left" w:pos="851"/>
        </w:tabs>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2.4 与相关单位进行造价文件的审核和对数。</w:t>
      </w:r>
    </w:p>
    <w:p>
      <w:pPr>
        <w:tabs>
          <w:tab w:val="left" w:pos="851"/>
        </w:tabs>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负责工程建设各项单位工程结算的审核，出具结算审核报告。</w:t>
      </w:r>
    </w:p>
    <w:p>
      <w:pPr>
        <w:tabs>
          <w:tab w:val="left" w:pos="851"/>
        </w:tabs>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未经甲方书面同意，乙方不得转让本合同部分或全部权利和义务。</w:t>
      </w:r>
    </w:p>
    <w:p>
      <w:pPr>
        <w:tabs>
          <w:tab w:val="left" w:pos="851"/>
        </w:tabs>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乙方须按本合同约定服务内容委派与造价咨询工作所需专业技能相匹配的专业团队和乙方造价人员。</w:t>
      </w:r>
    </w:p>
    <w:p>
      <w:pPr>
        <w:tabs>
          <w:tab w:val="left" w:pos="851"/>
        </w:tabs>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乙方负责本项目的工作人员必须是本单位专职人员，具有较高的业务素质和职业操守，能够保质保量的完成造价咨询任务及切实维护甲方的权益。</w:t>
      </w:r>
    </w:p>
    <w:p>
      <w:pPr>
        <w:tabs>
          <w:tab w:val="left" w:pos="851"/>
        </w:tabs>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乙方不得与其它单位串通，弄虚作假损害甲方利益。</w:t>
      </w:r>
    </w:p>
    <w:p>
      <w:pPr>
        <w:tabs>
          <w:tab w:val="left" w:pos="851"/>
        </w:tabs>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乙方保证造价咨询管理结果的公正性、真实性，不得少算、高估冒算。</w:t>
      </w:r>
    </w:p>
    <w:p>
      <w:pPr>
        <w:tabs>
          <w:tab w:val="left" w:pos="851"/>
        </w:tabs>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乙方应当履行全过程造价咨询合同中约定的义务，因乙方的单方过失造成的一切直接和间接经济损失，损失赔偿由双方协商，并依法追究乙方的法律责任。</w:t>
      </w:r>
    </w:p>
    <w:p>
      <w:pPr>
        <w:tabs>
          <w:tab w:val="left" w:pos="851"/>
        </w:tabs>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其他依法应当由乙方履行的义务。</w:t>
      </w:r>
    </w:p>
    <w:p>
      <w:pPr>
        <w:spacing w:before="156" w:after="156" w:line="360" w:lineRule="auto"/>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t>3.甲方的权利</w:t>
      </w:r>
    </w:p>
    <w:p>
      <w:pPr>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3.1 甲方有权向乙方询问工作进展情况及相关的内容。</w:t>
      </w:r>
    </w:p>
    <w:p>
      <w:pPr>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3.2甲方有权阐述对具体问题的意见和建议。</w:t>
      </w:r>
    </w:p>
    <w:p>
      <w:pPr>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3.3有权要求乙方更换不称职的工作人员，乙方不予更换或更换后仍不称职的，甲方有权终止合同，并要求乙方承担相应的赔偿责任；</w:t>
      </w:r>
    </w:p>
    <w:p>
      <w:pPr>
        <w:rPr>
          <w:rFonts w:ascii="Calibri" w:hAnsi="Calibri" w:eastAsia="宋体" w:cs="Times New Roman"/>
          <w:color w:val="auto"/>
          <w:highlight w:val="none"/>
        </w:rPr>
      </w:pPr>
    </w:p>
    <w:p>
      <w:pPr>
        <w:spacing w:before="156" w:after="156" w:line="360" w:lineRule="auto"/>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t>4.乙方的权利</w:t>
      </w:r>
    </w:p>
    <w:p>
      <w:pPr>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4.1完成咨询服务工作，获得相应咨询服务费的权利。</w:t>
      </w:r>
    </w:p>
    <w:p>
      <w:pPr>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4.2甲方在委托的建设工程造价咨询业务范围内，应授予乙方以下权利：</w:t>
      </w:r>
    </w:p>
    <w:p>
      <w:pPr>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4.2.1乙方在造价咨询过程中，如甲方提供的资料不明确时可向甲方提出书面报告。</w:t>
      </w:r>
    </w:p>
    <w:p>
      <w:pPr>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4.2.2乙方在造价咨询过程中，有权对第三人提出与本咨询业务有关的问题进行核对或查问。</w:t>
      </w:r>
    </w:p>
    <w:p>
      <w:pPr>
        <w:spacing w:before="156" w:after="156" w:line="360" w:lineRule="auto"/>
        <w:jc w:val="left"/>
        <w:outlineLvl w:val="1"/>
        <w:rPr>
          <w:rFonts w:ascii="宋体" w:hAnsi="宋体" w:eastAsia="宋体" w:cs="宋体"/>
          <w:b/>
          <w:color w:val="auto"/>
          <w:sz w:val="24"/>
          <w:highlight w:val="none"/>
        </w:rPr>
      </w:pPr>
      <w:r>
        <w:rPr>
          <w:rFonts w:hint="eastAsia" w:ascii="宋体" w:hAnsi="宋体" w:eastAsia="宋体" w:cs="宋体"/>
          <w:b/>
          <w:color w:val="auto"/>
          <w:sz w:val="24"/>
          <w:highlight w:val="none"/>
        </w:rPr>
        <w:t>二、专项条款</w:t>
      </w:r>
    </w:p>
    <w:p>
      <w:pPr>
        <w:spacing w:before="156" w:after="156" w:line="360" w:lineRule="auto"/>
        <w:jc w:val="left"/>
        <w:rPr>
          <w:rFonts w:ascii="宋体" w:hAnsi="宋体" w:eastAsia="宋体" w:cs="宋体"/>
          <w:color w:val="auto"/>
          <w:sz w:val="24"/>
          <w:highlight w:val="none"/>
        </w:rPr>
      </w:pPr>
      <w:r>
        <w:rPr>
          <w:rFonts w:hint="eastAsia" w:ascii="宋体" w:hAnsi="宋体" w:eastAsia="宋体" w:cs="宋体"/>
          <w:b/>
          <w:bCs/>
          <w:color w:val="auto"/>
          <w:sz w:val="24"/>
          <w:highlight w:val="none"/>
        </w:rPr>
        <w:t>5.本合同适用的法律、法规及工程造价计价办法和规定：</w:t>
      </w:r>
    </w:p>
    <w:p>
      <w:pPr>
        <w:spacing w:before="156" w:after="156"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按照国家、工程所在地省、市建设主管部门颁发的建设工程管理法律、法规、工程造价计价办法及其他相关文件。</w:t>
      </w:r>
    </w:p>
    <w:p>
      <w:pPr>
        <w:spacing w:before="156" w:after="156" w:line="360" w:lineRule="auto"/>
        <w:rPr>
          <w:rFonts w:ascii="宋体" w:hAnsi="宋体" w:eastAsia="宋体" w:cs="宋体"/>
          <w:b/>
          <w:bCs/>
          <w:color w:val="auto"/>
          <w:sz w:val="24"/>
          <w:highlight w:val="none"/>
        </w:rPr>
      </w:pPr>
      <w:r>
        <w:rPr>
          <w:rFonts w:hint="eastAsia" w:ascii="宋体" w:hAnsi="宋体" w:eastAsia="宋体" w:cs="宋体"/>
          <w:b/>
          <w:bCs/>
          <w:color w:val="auto"/>
          <w:sz w:val="24"/>
          <w:highlight w:val="none"/>
        </w:rPr>
        <w:t>6.业务范围</w:t>
      </w:r>
    </w:p>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本合同</w:t>
      </w:r>
      <w:r>
        <w:rPr>
          <w:rFonts w:hint="eastAsia" w:ascii="宋体" w:hAnsi="宋体" w:eastAsia="宋体" w:cs="宋体"/>
          <w:color w:val="auto"/>
          <w:sz w:val="24"/>
          <w:highlight w:val="none"/>
          <w:u w:val="single"/>
        </w:rPr>
        <w:t>全过程造价咨询服务范围</w:t>
      </w:r>
      <w:r>
        <w:rPr>
          <w:rFonts w:hint="eastAsia" w:ascii="宋体" w:hAnsi="宋体" w:eastAsia="宋体" w:cs="宋体"/>
          <w:color w:val="auto"/>
          <w:sz w:val="24"/>
          <w:highlight w:val="none"/>
        </w:rPr>
        <w:t>，包括但不限于以下内容：</w:t>
      </w:r>
    </w:p>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6.1</w:t>
      </w:r>
      <w:r>
        <w:rPr>
          <w:rFonts w:hint="eastAsia" w:ascii="宋体" w:hAnsi="宋体" w:eastAsia="宋体" w:cs="宋体"/>
          <w:color w:val="auto"/>
          <w:sz w:val="24"/>
          <w:highlight w:val="none"/>
          <w:lang w:val="en-US" w:eastAsia="zh-CN"/>
        </w:rPr>
        <w:t>设计</w:t>
      </w:r>
      <w:r>
        <w:rPr>
          <w:rFonts w:hint="eastAsia" w:ascii="宋体" w:hAnsi="宋体" w:eastAsia="宋体" w:cs="宋体"/>
          <w:color w:val="auto"/>
          <w:sz w:val="24"/>
          <w:highlight w:val="none"/>
        </w:rPr>
        <w:t>阶段：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负责审核并协助完成施工图预算评审。分析预算编制范围、编制依据是否齐全、合理，开项是否全面，有无漏项。审核预算的工程量计量是否满足施工设计图纸要求；材料设备价格是否符合地区的价格水平；设备规格、数量和配置满足图纸要求。工程建设其他费用是否符合国家、省市政府的相关部门收费标准，是否符合该项目的实际情况。技术经济指标与同类型工程指标相比，是否相接近。提供建筑材料、设备造价方面的选择意见，控制投资预算成本。在此阶段的工程造价咨询工作应当收到</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提供的项目工程设计文件之日起15天内完成。但不包括设计前的可研性报告、前期投资、项目评估等工程造价咨询业务。</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（2）负责根据批准的估算，配合</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确定工程项目的各专业工程和各阶段造价限额指标。</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（3）负责对设计中采用的主材、设备等提供市场信息，进行方案比较，提出优化建议。</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（4）参加设计方案论证会议、工程图纸会审、变更论证等专题会，提出造价专业意见。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（5）根据确定的设计方案配合委托人编制详细的工程成本预测和资金流量预测分析，以作为进度和成本控制的目标；随设计的深入定期分析工程成本、定期修正资金流量预测。</w:t>
      </w:r>
    </w:p>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（6）负责按</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要求编制清单计价模式等各类造价管理文件。</w:t>
      </w:r>
    </w:p>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施工阶段</w:t>
      </w:r>
    </w:p>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协助甲方制定现场造价管理的流程与管理办法，包括工程变更程序、工程款支付程序、材料调差管理办法等；负责编制与本项目相关的服务项目招标控制价文件；对服务项目进度款进行审核，并出具审核报告。</w:t>
      </w:r>
    </w:p>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2）负责施工过程造价控制，制定项目总体投资进度计划，审核工程款用款计划，审核已完成工程量与进度款，并出具进度款审核报告。根据每月实际进度与实际投资和计划投资作分析比较，分析成本偏差的原因和修正项目投资进度计划；</w:t>
      </w:r>
    </w:p>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（3）根据经验主动地、有预见性地提醒甲方节约费用，防范工期索赔，负责协助与第三方的合同索赔处理，向甲方提供专业评估意见及估算书，维护甲方的合法权益；</w:t>
      </w:r>
    </w:p>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4）协助甲方选择技术经济性最佳的方案，控制好技术设计和施工图设计的不合理变更，集中会审工程变更资料及费用，对合同中有关经济方面的条款正确理解和执行，按照合同变更价款的有关管理规定，对工程变更进行计量和计价；</w:t>
      </w:r>
    </w:p>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（5）参与有关工程造价及合同执行的工程会议及甲方要求的其它会议，协助甲方协调和承包单位经济关系以利工程顺利进行；</w:t>
      </w:r>
    </w:p>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（6）负责定期收集和整理有关设备材料的市场价格动态信息，对施工方案、材料选用提供成本控制建议，定期提交人工机械主材设备价格造价影响分析；</w:t>
      </w:r>
    </w:p>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（7）根据甲方的需要参与合同谈判、合同价款修正及调整的审核；</w:t>
      </w:r>
    </w:p>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（8）对施工单位提交的设计变更、签证等做审核，出具审核预算报告；</w:t>
      </w:r>
    </w:p>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（9）负责编制或审核每月项目建安费用资金计划，建立工程变更、扣款、支付、材料调差等相关台账，统计分析工程投资情况，定期向甲方汇报，为投资控制提供依据，确保工程总投资控制在合理范围内。</w:t>
      </w:r>
    </w:p>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（10）有计划有组织到施工现场巡视、取样、拍照和记录，掌握工程施工管理及项目进度动态信息。组织现场巡视的次数不能少于每月3次，乙方造价负责人参加现场巡视次数不能少于每月2次。</w:t>
      </w:r>
    </w:p>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11）负责建立合同台账、支付台账、变更台账（按变更原因分类）、签证台账、动态投资台账；负责每个月月底前提交投资控制报告，含项目整体结算价预估分析、动态成本（须与目标成本对比分析偏差原因及解决方案建议）等；</w:t>
      </w:r>
    </w:p>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（12）负责定期召开造价控制会议，负责每月底提交投资控制报告，含项目整体结算价预估分析、动态成本（须与目标成本对比分析偏差原因及解决方案建议）等；</w:t>
      </w:r>
    </w:p>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（13）负责定期收集和整理有关设备材料的市场价格动态信息，对施工方案、材料选用提供成本控制建议。每月底提交人工机械主材设备价格造价影响分析；</w:t>
      </w:r>
    </w:p>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（14）负责协助处理第三方的合同索赔处理，参加合同变更谈判，负责处理合同变更，维护甲方的合法权益。</w:t>
      </w:r>
    </w:p>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竣工结（决）算阶段</w:t>
      </w:r>
    </w:p>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（1）参与重要隐蔽工程、分部分项工程、单位工程和项目竣工验收</w:t>
      </w:r>
      <w:r>
        <w:rPr>
          <w:rFonts w:ascii="宋体" w:hAnsi="宋体" w:eastAsia="宋体" w:cs="宋体"/>
          <w:color w:val="auto"/>
          <w:sz w:val="24"/>
          <w:highlight w:val="none"/>
        </w:rPr>
        <w:t>等</w:t>
      </w:r>
      <w:r>
        <w:rPr>
          <w:rFonts w:hint="eastAsia" w:ascii="宋体" w:hAnsi="宋体" w:eastAsia="宋体" w:cs="宋体"/>
          <w:color w:val="auto"/>
          <w:sz w:val="24"/>
          <w:highlight w:val="none"/>
        </w:rPr>
        <w:t>工作。</w:t>
      </w:r>
    </w:p>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w:t>
      </w:r>
      <w:r>
        <w:rPr>
          <w:rFonts w:ascii="宋体" w:hAnsi="宋体" w:eastAsia="宋体" w:cs="宋体"/>
          <w:color w:val="auto"/>
          <w:sz w:val="24"/>
          <w:highlight w:val="none"/>
        </w:rPr>
        <w:t>2</w:t>
      </w:r>
      <w:r>
        <w:rPr>
          <w:rFonts w:hint="eastAsia" w:ascii="宋体" w:hAnsi="宋体" w:eastAsia="宋体" w:cs="宋体"/>
          <w:color w:val="auto"/>
          <w:sz w:val="24"/>
          <w:highlight w:val="none"/>
        </w:rPr>
        <w:t>）负责按甲方要求编制结算管理文件，开展过程(或分阶段）结算，完成工程结算审核工作，并与施工单位完成对数；</w:t>
      </w:r>
    </w:p>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w:t>
      </w:r>
      <w:r>
        <w:rPr>
          <w:rFonts w:ascii="宋体" w:hAnsi="宋体" w:eastAsia="宋体" w:cs="宋体"/>
          <w:color w:val="auto"/>
          <w:sz w:val="24"/>
          <w:highlight w:val="none"/>
        </w:rPr>
        <w:t>3</w:t>
      </w:r>
      <w:r>
        <w:rPr>
          <w:rFonts w:hint="eastAsia" w:ascii="宋体" w:hAnsi="宋体" w:eastAsia="宋体" w:cs="宋体"/>
          <w:color w:val="auto"/>
          <w:sz w:val="24"/>
          <w:highlight w:val="none"/>
        </w:rPr>
        <w:t xml:space="preserve">）协助收集和整理结算依据资料，收集有关工程费用方面的签证资料，核对单据并及时归档； </w:t>
      </w:r>
    </w:p>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w:t>
      </w:r>
      <w:r>
        <w:rPr>
          <w:rFonts w:ascii="宋体" w:hAnsi="宋体" w:eastAsia="宋体" w:cs="宋体"/>
          <w:color w:val="auto"/>
          <w:sz w:val="24"/>
          <w:highlight w:val="none"/>
        </w:rPr>
        <w:t>4</w:t>
      </w:r>
      <w:r>
        <w:rPr>
          <w:rFonts w:hint="eastAsia" w:ascii="宋体" w:hAnsi="宋体" w:eastAsia="宋体" w:cs="宋体"/>
          <w:color w:val="auto"/>
          <w:sz w:val="24"/>
          <w:highlight w:val="none"/>
        </w:rPr>
        <w:t>）依据有关规定审核结算（含施工、勘察和设计及其它服务类项目等费用），并形成正式的结算审核报告；负责工程结算初审工作，提交合同管理及执行情况的专题报告；</w:t>
      </w:r>
    </w:p>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w:t>
      </w:r>
      <w:r>
        <w:rPr>
          <w:rFonts w:ascii="宋体" w:hAnsi="宋体" w:eastAsia="宋体" w:cs="宋体"/>
          <w:color w:val="auto"/>
          <w:sz w:val="24"/>
          <w:highlight w:val="none"/>
        </w:rPr>
        <w:t>5</w:t>
      </w:r>
      <w:r>
        <w:rPr>
          <w:rFonts w:hint="eastAsia" w:ascii="宋体" w:hAnsi="宋体" w:eastAsia="宋体" w:cs="宋体"/>
          <w:color w:val="auto"/>
          <w:sz w:val="24"/>
          <w:highlight w:val="none"/>
        </w:rPr>
        <w:t>）协助甲方处理与乙方的有关结算纠纷；</w:t>
      </w:r>
    </w:p>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w:t>
      </w:r>
      <w:r>
        <w:rPr>
          <w:rFonts w:ascii="宋体" w:hAnsi="宋体" w:eastAsia="宋体" w:cs="宋体"/>
          <w:color w:val="auto"/>
          <w:sz w:val="24"/>
          <w:highlight w:val="none"/>
        </w:rPr>
        <w:t>6</w:t>
      </w:r>
      <w:r>
        <w:rPr>
          <w:rFonts w:hint="eastAsia" w:ascii="宋体" w:hAnsi="宋体" w:eastAsia="宋体" w:cs="宋体"/>
          <w:color w:val="auto"/>
          <w:sz w:val="24"/>
          <w:highlight w:val="none"/>
        </w:rPr>
        <w:t>）组织编制结算台账；</w:t>
      </w:r>
    </w:p>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w:t>
      </w:r>
      <w:r>
        <w:rPr>
          <w:rFonts w:ascii="宋体" w:hAnsi="宋体" w:eastAsia="宋体" w:cs="宋体"/>
          <w:color w:val="auto"/>
          <w:sz w:val="24"/>
          <w:highlight w:val="none"/>
        </w:rPr>
        <w:t>7</w:t>
      </w:r>
      <w:r>
        <w:rPr>
          <w:rFonts w:hint="eastAsia" w:ascii="宋体" w:hAnsi="宋体" w:eastAsia="宋体" w:cs="宋体"/>
          <w:color w:val="auto"/>
          <w:sz w:val="24"/>
          <w:highlight w:val="none"/>
        </w:rPr>
        <w:t>）结算后进行资料汇总、提交结算后评估分析，包括对项目及实施过程的描述、估算、预算、合同价及结算价进行比较，编制单体、各项各专业等工程建筑技术经济指标，对产生偏差的原因及投资控制的效果进行分析，提交合同管理及执行情况的专题报告。</w:t>
      </w:r>
    </w:p>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w:t>
      </w:r>
      <w:r>
        <w:rPr>
          <w:rFonts w:ascii="宋体" w:hAnsi="宋体" w:eastAsia="宋体" w:cs="宋体"/>
          <w:color w:val="auto"/>
          <w:sz w:val="24"/>
          <w:highlight w:val="none"/>
        </w:rPr>
        <w:t>8</w:t>
      </w:r>
      <w:r>
        <w:rPr>
          <w:rFonts w:hint="eastAsia" w:ascii="宋体" w:hAnsi="宋体" w:eastAsia="宋体" w:cs="宋体"/>
          <w:color w:val="auto"/>
          <w:sz w:val="24"/>
          <w:highlight w:val="none"/>
        </w:rPr>
        <w:t>）协助甲方完成竣工财务决算上报工作。</w:t>
      </w:r>
    </w:p>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其他</w:t>
      </w:r>
    </w:p>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（1）委派造价负责人或项目主要专业人员出席甲方召开的专业会议；</w:t>
      </w:r>
    </w:p>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（2）设置专职人员进行项目服务工作，以满足甲方的工作需要；</w:t>
      </w:r>
    </w:p>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（3）向甲方提出专业性建议并提供相关的服务，协助甲方解决与第三方的合同纠纷；</w:t>
      </w:r>
    </w:p>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（4）根据工程实际情况独立编制所有工程造价成果文件，并按工程进度、甲方要求及时上报；</w:t>
      </w:r>
    </w:p>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（5）协助甲方完成审计部门的审计，为项目造价纠纷提供法律支持；</w:t>
      </w:r>
    </w:p>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（6）协助甲方建立或完善项目全过程造价控制管理的体系和制度；</w:t>
      </w:r>
    </w:p>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7）在预算、合同价、结算等关键节点审核时，应及时合理安排能满足以上各关键节点的造价团队，专业配置齐全，确保在规定时间内完成相关审核工作，出具审核报告初稿；在提交造价咨询意见初稿至最后的工程造价咨询报告书期间，对甲方补充的资料须在规定时间内调整处理完毕。</w:t>
      </w:r>
    </w:p>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（8）项目推进过程中，协助甲方完成相关的专业评审工作（预算、变更、合同价、结算及其他内容等），评审的相关费用已包含在合同价款内。</w:t>
      </w:r>
    </w:p>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（9）合同管理：施工合同签订后协助甲方向参建单位就合同承包范围及其他相关合同约定的造价条款进行交底；协助甲方制定合同签订和实施计划；协助甲方进行合同管理并对有关合同上的问题提供专业意见；</w:t>
      </w:r>
    </w:p>
    <w:p>
      <w:pPr>
        <w:widowControl/>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10）索赔管理：协助甲方处理承包单位提出的费用与工期索赔问题，对收到的承包方的索赔报告进行审查分析，向甲方提供专业评估意见及估算书，按合同甲方可以反索赔的，收集反驳理由和证据，复核索赔值，起草并提出反索赔报告和费用清单，以保证甲方在有关工程合同上的利益；</w:t>
      </w:r>
    </w:p>
    <w:p>
      <w:pPr>
        <w:widowControl/>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11）动态成本管理：根据工程进度及现场实际情况，每月或季修改及更新工程成本报告(含计划成本、实际成本、对计划成本与实际成本的偏差进行分析)，分析成本超支或节省的原因，如设计变更、材料价格大幅度变动等，向甲方提供书面意见；</w:t>
      </w:r>
    </w:p>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12）台帐管理：根据甲方要求建立合同台账、支付台账、工程变更管理台账（按变更原因分类）、签证台账、索赔（反索赔）台账等；按甲方要求每个季度提交工程项目整体结算价预估分析、动态成本报表（须与目标成本对比分析偏差原因及解决方案）；定期向甲方汇报并提供造价成本控制差异分析报告及相关计算过程书面资料； </w:t>
      </w:r>
    </w:p>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（13）资料管理：施工过程中做好各类竣工结算资料的整理，定期报送甲方，以便竣工结算工作顺利开展和进行；</w:t>
      </w:r>
    </w:p>
    <w:p>
      <w:pPr>
        <w:snapToGrid w:val="0"/>
        <w:spacing w:line="360" w:lineRule="auto"/>
        <w:rPr>
          <w:rFonts w:ascii="仿宋" w:hAnsi="仿宋" w:eastAsia="仿宋" w:cs="仿宋"/>
          <w:color w:val="auto"/>
          <w:kern w:val="0"/>
          <w:sz w:val="24"/>
          <w:highlight w:val="none"/>
        </w:rPr>
      </w:pPr>
      <w:r>
        <w:rPr>
          <w:rFonts w:hint="eastAsia" w:ascii="宋体" w:hAnsi="宋体" w:eastAsia="宋体" w:cs="宋体"/>
          <w:color w:val="auto"/>
          <w:sz w:val="24"/>
          <w:highlight w:val="none"/>
        </w:rPr>
        <w:t>（14）配合甲方与政府主管部门、上级主管部门、审计机关等相关监督检查单位的沟通、汇报工作，包括但不限于如实完整提供相关资料和派员参加询问、沟通会等。</w:t>
      </w:r>
    </w:p>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（15）甲方安排的其他造价管理工作。 </w:t>
      </w:r>
    </w:p>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7.</w:t>
      </w:r>
      <w:bookmarkStart w:id="54" w:name="RANGE!A1:G22"/>
      <w:r>
        <w:rPr>
          <w:rFonts w:hint="eastAsia" w:ascii="宋体" w:hAnsi="宋体" w:eastAsia="宋体" w:cs="宋体"/>
          <w:color w:val="auto"/>
          <w:sz w:val="24"/>
          <w:highlight w:val="none"/>
        </w:rPr>
        <w:t>配合审计部门的工程造价审计工作等相关配合服务工作，配合财务工作。配合搜集和整理决算依据资料，完成整个项目投资控制管理建档工作；配合甲方与政府主管部门、上级主管部门、审计机关等相关监督检查的沟通、协调、汇报工作，必要时派员参加询问、沟通会等，协助甲方落实监督、检查、审计提出问题的整改。</w:t>
      </w:r>
    </w:p>
    <w:bookmarkEnd w:id="54"/>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8.在各造价咨询服务阶段，甲方应及时向乙方提供完整的图纸、乙方报审的支付申请、图纸会审记录、设计变更通知、签证单、联系单、施工组织技术方案、甲方供料种类、单价等有关工程技术资料与造价文件。</w:t>
      </w:r>
    </w:p>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9.甲方应在合理期限内对乙方书面提交并要求做出答复的事宜做出答复。</w:t>
      </w:r>
    </w:p>
    <w:p>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10.乙方在收到相关造价资料后，应按甲方的要求按时、按质、按量完成本合同约定范围内的造价咨询服务工作。本合同约定的相关专业技术人员原则上不得更换。乙方因特殊原因须更换的，须向甲方提供书面申请并附上更换人员的相关资质，经甲方同意后方可更换。</w:t>
      </w:r>
    </w:p>
    <w:p>
      <w:pPr>
        <w:spacing w:before="156" w:after="156" w:line="360" w:lineRule="auto"/>
        <w:rPr>
          <w:rFonts w:ascii="宋体" w:hAnsi="宋体" w:eastAsia="宋体" w:cs="宋体"/>
          <w:b/>
          <w:bCs/>
          <w:color w:val="auto"/>
          <w:sz w:val="24"/>
          <w:highlight w:val="none"/>
        </w:rPr>
      </w:pPr>
      <w:r>
        <w:rPr>
          <w:rFonts w:hint="eastAsia" w:ascii="宋体" w:hAnsi="宋体" w:eastAsia="宋体" w:cs="宋体"/>
          <w:b/>
          <w:bCs/>
          <w:color w:val="auto"/>
          <w:sz w:val="24"/>
          <w:highlight w:val="none"/>
        </w:rPr>
        <w:t>11.提交成果文件的时间要求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534"/>
        <w:gridCol w:w="995"/>
        <w:gridCol w:w="4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3" w:type="dxa"/>
            <w:vAlign w:val="center"/>
          </w:tcPr>
          <w:p>
            <w:pPr>
              <w:autoSpaceDE w:val="0"/>
              <w:autoSpaceDN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534" w:type="dxa"/>
            <w:vAlign w:val="center"/>
          </w:tcPr>
          <w:p>
            <w:pPr>
              <w:autoSpaceDE w:val="0"/>
              <w:autoSpaceDN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文件名称</w:t>
            </w:r>
          </w:p>
        </w:tc>
        <w:tc>
          <w:tcPr>
            <w:tcW w:w="995" w:type="dxa"/>
            <w:vAlign w:val="center"/>
          </w:tcPr>
          <w:p>
            <w:pPr>
              <w:autoSpaceDE w:val="0"/>
              <w:autoSpaceDN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数 量</w:t>
            </w:r>
          </w:p>
        </w:tc>
        <w:tc>
          <w:tcPr>
            <w:tcW w:w="4958" w:type="dxa"/>
            <w:vAlign w:val="center"/>
          </w:tcPr>
          <w:p>
            <w:pPr>
              <w:autoSpaceDE w:val="0"/>
              <w:autoSpaceDN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提交时间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3" w:type="dxa"/>
            <w:vMerge w:val="restart"/>
            <w:vAlign w:val="center"/>
          </w:tcPr>
          <w:p>
            <w:pPr>
              <w:autoSpaceDE w:val="0"/>
              <w:autoSpaceDN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534" w:type="dxa"/>
            <w:vMerge w:val="restart"/>
            <w:vAlign w:val="center"/>
          </w:tcPr>
          <w:p>
            <w:pPr>
              <w:autoSpaceDE w:val="0"/>
              <w:autoSpaceDN w:val="0"/>
              <w:rPr>
                <w:rFonts w:ascii="仿宋" w:hAnsi="仿宋" w:eastAsia="仿宋" w:cs="仿宋"/>
                <w:color w:val="auto"/>
                <w:sz w:val="24"/>
                <w:highlight w:val="none"/>
              </w:rPr>
            </w:pPr>
            <w:r>
              <w:rPr>
                <w:rFonts w:hint="eastAsia" w:ascii="仿宋" w:hAnsi="仿宋" w:eastAsia="仿宋" w:cs="仿宋"/>
                <w:color w:val="auto"/>
                <w:sz w:val="24"/>
                <w:highlight w:val="none"/>
              </w:rPr>
              <w:t>施工图预算审核报告</w:t>
            </w:r>
          </w:p>
        </w:tc>
        <w:tc>
          <w:tcPr>
            <w:tcW w:w="995" w:type="dxa"/>
            <w:tcBorders>
              <w:bottom w:val="nil"/>
            </w:tcBorders>
            <w:vAlign w:val="center"/>
          </w:tcPr>
          <w:p>
            <w:pPr>
              <w:autoSpaceDE w:val="0"/>
              <w:autoSpaceDN w:val="0"/>
              <w:jc w:val="center"/>
              <w:rPr>
                <w:rFonts w:ascii="仿宋" w:hAnsi="仿宋" w:eastAsia="仿宋" w:cs="仿宋"/>
                <w:color w:val="auto"/>
                <w:sz w:val="24"/>
                <w:highlight w:val="none"/>
              </w:rPr>
            </w:pPr>
          </w:p>
        </w:tc>
        <w:tc>
          <w:tcPr>
            <w:tcW w:w="4958" w:type="dxa"/>
            <w:vMerge w:val="restart"/>
            <w:vAlign w:val="center"/>
          </w:tcPr>
          <w:p>
            <w:pPr>
              <w:autoSpaceDE w:val="0"/>
              <w:autoSpaceDN w:val="0"/>
              <w:rPr>
                <w:rFonts w:ascii="仿宋" w:hAnsi="仿宋" w:eastAsia="仿宋" w:cs="仿宋"/>
                <w:color w:val="auto"/>
                <w:sz w:val="24"/>
                <w:highlight w:val="none"/>
              </w:rPr>
            </w:pPr>
            <w:r>
              <w:rPr>
                <w:rFonts w:hint="eastAsia" w:ascii="仿宋" w:hAnsi="仿宋" w:eastAsia="仿宋" w:cs="仿宋"/>
                <w:color w:val="auto"/>
                <w:sz w:val="24"/>
                <w:highlight w:val="none"/>
              </w:rPr>
              <w:t>接到施工图预算文件相关资料后25天内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3" w:type="dxa"/>
            <w:vMerge w:val="continue"/>
            <w:vAlign w:val="center"/>
          </w:tcPr>
          <w:p>
            <w:pPr>
              <w:autoSpaceDE w:val="0"/>
              <w:autoSpaceDN w:val="0"/>
              <w:jc w:val="center"/>
              <w:rPr>
                <w:rFonts w:ascii="仿宋" w:hAnsi="仿宋" w:eastAsia="仿宋" w:cs="仿宋"/>
                <w:color w:val="auto"/>
                <w:sz w:val="24"/>
                <w:highlight w:val="none"/>
              </w:rPr>
            </w:pPr>
          </w:p>
        </w:tc>
        <w:tc>
          <w:tcPr>
            <w:tcW w:w="2534" w:type="dxa"/>
            <w:vMerge w:val="continue"/>
            <w:vAlign w:val="center"/>
          </w:tcPr>
          <w:p>
            <w:pPr>
              <w:autoSpaceDE w:val="0"/>
              <w:autoSpaceDN w:val="0"/>
              <w:adjustRightInd w:val="0"/>
              <w:spacing w:line="400" w:lineRule="atLeast"/>
              <w:rPr>
                <w:rFonts w:ascii="仿宋" w:hAnsi="仿宋" w:eastAsia="仿宋" w:cs="仿宋"/>
                <w:color w:val="auto"/>
                <w:sz w:val="24"/>
                <w:highlight w:val="none"/>
              </w:rPr>
            </w:pPr>
          </w:p>
        </w:tc>
        <w:tc>
          <w:tcPr>
            <w:tcW w:w="995" w:type="dxa"/>
            <w:vMerge w:val="restart"/>
            <w:tcBorders>
              <w:top w:val="nil"/>
              <w:bottom w:val="nil"/>
            </w:tcBorders>
            <w:vAlign w:val="center"/>
          </w:tcPr>
          <w:p>
            <w:pPr>
              <w:autoSpaceDE w:val="0"/>
              <w:autoSpaceDN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根据甲方要求</w:t>
            </w:r>
          </w:p>
        </w:tc>
        <w:tc>
          <w:tcPr>
            <w:tcW w:w="4958" w:type="dxa"/>
            <w:vMerge w:val="continue"/>
            <w:vAlign w:val="center"/>
          </w:tcPr>
          <w:p>
            <w:pPr>
              <w:autoSpaceDE w:val="0"/>
              <w:autoSpaceDN w:val="0"/>
              <w:adjustRightInd w:val="0"/>
              <w:spacing w:line="400" w:lineRule="atLeast"/>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3" w:type="dxa"/>
            <w:vAlign w:val="center"/>
          </w:tcPr>
          <w:p>
            <w:pPr>
              <w:autoSpaceDE w:val="0"/>
              <w:autoSpaceDN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2534" w:type="dxa"/>
            <w:vAlign w:val="center"/>
          </w:tcPr>
          <w:p>
            <w:pPr>
              <w:autoSpaceDE w:val="0"/>
              <w:autoSpaceDN w:val="0"/>
              <w:rPr>
                <w:rFonts w:ascii="仿宋" w:hAnsi="仿宋" w:eastAsia="仿宋" w:cs="仿宋"/>
                <w:color w:val="auto"/>
                <w:sz w:val="24"/>
                <w:highlight w:val="none"/>
              </w:rPr>
            </w:pPr>
            <w:r>
              <w:rPr>
                <w:rFonts w:hint="eastAsia" w:ascii="仿宋" w:hAnsi="仿宋" w:eastAsia="仿宋" w:cs="仿宋"/>
                <w:color w:val="auto"/>
                <w:sz w:val="24"/>
                <w:highlight w:val="none"/>
              </w:rPr>
              <w:t>施工结算审核报告</w:t>
            </w:r>
          </w:p>
        </w:tc>
        <w:tc>
          <w:tcPr>
            <w:tcW w:w="995" w:type="dxa"/>
            <w:vMerge w:val="continue"/>
            <w:tcBorders>
              <w:top w:val="nil"/>
              <w:bottom w:val="nil"/>
            </w:tcBorders>
            <w:vAlign w:val="center"/>
          </w:tcPr>
          <w:p>
            <w:pPr>
              <w:autoSpaceDE w:val="0"/>
              <w:autoSpaceDN w:val="0"/>
              <w:jc w:val="center"/>
              <w:rPr>
                <w:rFonts w:ascii="仿宋" w:hAnsi="仿宋" w:eastAsia="仿宋" w:cs="仿宋"/>
                <w:color w:val="auto"/>
                <w:sz w:val="24"/>
                <w:highlight w:val="none"/>
              </w:rPr>
            </w:pPr>
          </w:p>
        </w:tc>
        <w:tc>
          <w:tcPr>
            <w:tcW w:w="4958" w:type="dxa"/>
            <w:vAlign w:val="center"/>
          </w:tcPr>
          <w:p>
            <w:pPr>
              <w:autoSpaceDE w:val="0"/>
              <w:autoSpaceDN w:val="0"/>
              <w:rPr>
                <w:rFonts w:ascii="仿宋" w:hAnsi="仿宋" w:eastAsia="仿宋" w:cs="仿宋"/>
                <w:color w:val="auto"/>
                <w:sz w:val="24"/>
                <w:highlight w:val="none"/>
              </w:rPr>
            </w:pPr>
            <w:r>
              <w:rPr>
                <w:rFonts w:hint="eastAsia" w:ascii="仿宋" w:hAnsi="仿宋" w:eastAsia="仿宋" w:cs="仿宋"/>
                <w:color w:val="auto"/>
                <w:sz w:val="24"/>
                <w:highlight w:val="none"/>
              </w:rPr>
              <w:t>接到施工图结算文件相关资料后30天内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93" w:type="dxa"/>
            <w:vAlign w:val="center"/>
          </w:tcPr>
          <w:p>
            <w:pPr>
              <w:autoSpaceDE w:val="0"/>
              <w:autoSpaceDN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2534" w:type="dxa"/>
            <w:vAlign w:val="center"/>
          </w:tcPr>
          <w:p>
            <w:pPr>
              <w:autoSpaceDE w:val="0"/>
              <w:autoSpaceDN w:val="0"/>
              <w:rPr>
                <w:rFonts w:ascii="仿宋" w:hAnsi="仿宋" w:eastAsia="仿宋" w:cs="仿宋"/>
                <w:color w:val="auto"/>
                <w:sz w:val="24"/>
                <w:highlight w:val="none"/>
              </w:rPr>
            </w:pPr>
            <w:r>
              <w:rPr>
                <w:rFonts w:hint="eastAsia" w:ascii="仿宋" w:hAnsi="仿宋" w:eastAsia="仿宋" w:cs="仿宋"/>
                <w:color w:val="auto"/>
                <w:sz w:val="24"/>
                <w:highlight w:val="none"/>
              </w:rPr>
              <w:t>进度款支付审核</w:t>
            </w:r>
          </w:p>
        </w:tc>
        <w:tc>
          <w:tcPr>
            <w:tcW w:w="995" w:type="dxa"/>
            <w:vMerge w:val="continue"/>
            <w:tcBorders>
              <w:top w:val="nil"/>
              <w:bottom w:val="nil"/>
            </w:tcBorders>
            <w:vAlign w:val="center"/>
          </w:tcPr>
          <w:p>
            <w:pPr>
              <w:autoSpaceDE w:val="0"/>
              <w:autoSpaceDN w:val="0"/>
              <w:jc w:val="center"/>
              <w:rPr>
                <w:rFonts w:ascii="仿宋" w:hAnsi="仿宋" w:eastAsia="仿宋" w:cs="仿宋"/>
                <w:color w:val="auto"/>
                <w:sz w:val="24"/>
                <w:highlight w:val="none"/>
              </w:rPr>
            </w:pPr>
          </w:p>
        </w:tc>
        <w:tc>
          <w:tcPr>
            <w:tcW w:w="4958" w:type="dxa"/>
            <w:vAlign w:val="center"/>
          </w:tcPr>
          <w:p>
            <w:pPr>
              <w:autoSpaceDE w:val="0"/>
              <w:autoSpaceDN w:val="0"/>
              <w:rPr>
                <w:rFonts w:ascii="仿宋" w:hAnsi="仿宋" w:eastAsia="仿宋" w:cs="仿宋"/>
                <w:color w:val="auto"/>
                <w:sz w:val="24"/>
                <w:highlight w:val="none"/>
              </w:rPr>
            </w:pPr>
            <w:r>
              <w:rPr>
                <w:rFonts w:hint="eastAsia" w:ascii="仿宋" w:hAnsi="仿宋" w:eastAsia="仿宋" w:cs="仿宋"/>
                <w:color w:val="auto"/>
                <w:sz w:val="24"/>
                <w:highlight w:val="none"/>
              </w:rPr>
              <w:t>接到进度款请款资料3天内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3" w:type="dxa"/>
            <w:vAlign w:val="center"/>
          </w:tcPr>
          <w:p>
            <w:pPr>
              <w:autoSpaceDE w:val="0"/>
              <w:autoSpaceDN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2534" w:type="dxa"/>
            <w:vAlign w:val="center"/>
          </w:tcPr>
          <w:p>
            <w:pPr>
              <w:autoSpaceDE w:val="0"/>
              <w:autoSpaceDN w:val="0"/>
              <w:rPr>
                <w:rFonts w:ascii="仿宋" w:hAnsi="仿宋" w:eastAsia="仿宋" w:cs="仿宋"/>
                <w:color w:val="auto"/>
                <w:sz w:val="24"/>
                <w:highlight w:val="none"/>
              </w:rPr>
            </w:pPr>
            <w:r>
              <w:rPr>
                <w:rFonts w:hint="eastAsia" w:ascii="仿宋" w:hAnsi="仿宋" w:eastAsia="仿宋" w:cs="仿宋"/>
                <w:color w:val="auto"/>
                <w:sz w:val="24"/>
                <w:highlight w:val="none"/>
              </w:rPr>
              <w:t>施工过程的工程变更和现场签证费用审核意见及工程进度款支付的复核工作</w:t>
            </w:r>
          </w:p>
        </w:tc>
        <w:tc>
          <w:tcPr>
            <w:tcW w:w="995" w:type="dxa"/>
            <w:vMerge w:val="continue"/>
            <w:tcBorders>
              <w:top w:val="nil"/>
              <w:bottom w:val="nil"/>
            </w:tcBorders>
            <w:vAlign w:val="center"/>
          </w:tcPr>
          <w:p>
            <w:pPr>
              <w:autoSpaceDE w:val="0"/>
              <w:autoSpaceDN w:val="0"/>
              <w:jc w:val="center"/>
              <w:rPr>
                <w:rFonts w:ascii="仿宋" w:hAnsi="仿宋" w:eastAsia="仿宋" w:cs="仿宋"/>
                <w:color w:val="auto"/>
                <w:sz w:val="24"/>
                <w:highlight w:val="none"/>
              </w:rPr>
            </w:pPr>
          </w:p>
        </w:tc>
        <w:tc>
          <w:tcPr>
            <w:tcW w:w="4958"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接到相关资料后3天内，或根据变更签证项金额大小以满足甲方的要求时间确定。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3" w:type="dxa"/>
            <w:vAlign w:val="center"/>
          </w:tcPr>
          <w:p>
            <w:pPr>
              <w:autoSpaceDE w:val="0"/>
              <w:autoSpaceDN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2534" w:type="dxa"/>
            <w:vAlign w:val="center"/>
          </w:tcPr>
          <w:p>
            <w:pPr>
              <w:autoSpaceDE w:val="0"/>
              <w:autoSpaceDN w:val="0"/>
              <w:rPr>
                <w:rFonts w:ascii="仿宋" w:hAnsi="仿宋" w:eastAsia="仿宋" w:cs="仿宋"/>
                <w:color w:val="auto"/>
                <w:sz w:val="24"/>
                <w:highlight w:val="none"/>
              </w:rPr>
            </w:pPr>
            <w:r>
              <w:rPr>
                <w:rFonts w:hint="eastAsia" w:ascii="仿宋" w:hAnsi="仿宋" w:eastAsia="仿宋" w:cs="仿宋"/>
                <w:color w:val="auto"/>
                <w:sz w:val="24"/>
                <w:highlight w:val="none"/>
              </w:rPr>
              <w:t>工程进度款资金使用计划</w:t>
            </w:r>
          </w:p>
        </w:tc>
        <w:tc>
          <w:tcPr>
            <w:tcW w:w="995" w:type="dxa"/>
            <w:vMerge w:val="continue"/>
            <w:tcBorders>
              <w:top w:val="nil"/>
              <w:bottom w:val="nil"/>
            </w:tcBorders>
            <w:vAlign w:val="center"/>
          </w:tcPr>
          <w:p>
            <w:pPr>
              <w:autoSpaceDE w:val="0"/>
              <w:autoSpaceDN w:val="0"/>
              <w:jc w:val="center"/>
              <w:rPr>
                <w:rFonts w:ascii="仿宋" w:hAnsi="仿宋" w:eastAsia="仿宋" w:cs="仿宋"/>
                <w:color w:val="auto"/>
                <w:sz w:val="24"/>
                <w:highlight w:val="none"/>
              </w:rPr>
            </w:pPr>
          </w:p>
        </w:tc>
        <w:tc>
          <w:tcPr>
            <w:tcW w:w="4958" w:type="dxa"/>
            <w:vAlign w:val="center"/>
          </w:tcPr>
          <w:p>
            <w:pPr>
              <w:autoSpaceDE w:val="0"/>
              <w:autoSpaceDN w:val="0"/>
              <w:rPr>
                <w:rFonts w:ascii="仿宋" w:hAnsi="仿宋" w:eastAsia="仿宋" w:cs="仿宋"/>
                <w:color w:val="auto"/>
                <w:sz w:val="24"/>
                <w:highlight w:val="none"/>
              </w:rPr>
            </w:pPr>
            <w:r>
              <w:rPr>
                <w:rFonts w:hint="eastAsia" w:ascii="仿宋" w:hAnsi="仿宋" w:eastAsia="仿宋" w:cs="仿宋"/>
                <w:color w:val="auto"/>
                <w:sz w:val="24"/>
                <w:highlight w:val="none"/>
              </w:rPr>
              <w:t>根据甲方要求时间；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3" w:type="dxa"/>
            <w:vAlign w:val="center"/>
          </w:tcPr>
          <w:p>
            <w:pPr>
              <w:autoSpaceDE w:val="0"/>
              <w:autoSpaceDN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2534" w:type="dxa"/>
            <w:vAlign w:val="center"/>
          </w:tcPr>
          <w:p>
            <w:pPr>
              <w:autoSpaceDE w:val="0"/>
              <w:autoSpaceDN w:val="0"/>
              <w:rPr>
                <w:rFonts w:ascii="仿宋" w:hAnsi="仿宋" w:eastAsia="仿宋" w:cs="仿宋"/>
                <w:color w:val="auto"/>
                <w:sz w:val="24"/>
                <w:highlight w:val="none"/>
              </w:rPr>
            </w:pPr>
            <w:r>
              <w:rPr>
                <w:rFonts w:hint="eastAsia" w:ascii="仿宋" w:hAnsi="仿宋" w:eastAsia="仿宋" w:cs="仿宋"/>
                <w:color w:val="auto"/>
                <w:sz w:val="24"/>
                <w:highlight w:val="none"/>
              </w:rPr>
              <w:t>合同台账、支付台账、变更签证台账等</w:t>
            </w:r>
          </w:p>
        </w:tc>
        <w:tc>
          <w:tcPr>
            <w:tcW w:w="995" w:type="dxa"/>
            <w:vMerge w:val="continue"/>
            <w:tcBorders>
              <w:top w:val="nil"/>
              <w:bottom w:val="nil"/>
            </w:tcBorders>
            <w:vAlign w:val="center"/>
          </w:tcPr>
          <w:p>
            <w:pPr>
              <w:autoSpaceDE w:val="0"/>
              <w:autoSpaceDN w:val="0"/>
              <w:jc w:val="center"/>
              <w:rPr>
                <w:rFonts w:ascii="仿宋" w:hAnsi="仿宋" w:eastAsia="仿宋" w:cs="仿宋"/>
                <w:color w:val="auto"/>
                <w:sz w:val="24"/>
                <w:highlight w:val="none"/>
              </w:rPr>
            </w:pPr>
          </w:p>
        </w:tc>
        <w:tc>
          <w:tcPr>
            <w:tcW w:w="4958" w:type="dxa"/>
            <w:vAlign w:val="center"/>
          </w:tcPr>
          <w:p>
            <w:pPr>
              <w:autoSpaceDE w:val="0"/>
              <w:autoSpaceDN w:val="0"/>
              <w:rPr>
                <w:rFonts w:ascii="仿宋" w:hAnsi="仿宋" w:eastAsia="仿宋" w:cs="仿宋"/>
                <w:color w:val="auto"/>
                <w:sz w:val="24"/>
                <w:highlight w:val="none"/>
              </w:rPr>
            </w:pPr>
            <w:r>
              <w:rPr>
                <w:rFonts w:hint="eastAsia" w:ascii="仿宋" w:hAnsi="仿宋" w:eastAsia="仿宋" w:cs="仿宋"/>
                <w:color w:val="auto"/>
                <w:sz w:val="24"/>
                <w:highlight w:val="none"/>
              </w:rPr>
              <w:t>每月月底更新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3" w:type="dxa"/>
            <w:vAlign w:val="center"/>
          </w:tcPr>
          <w:p>
            <w:pPr>
              <w:autoSpaceDE w:val="0"/>
              <w:autoSpaceDN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2534" w:type="dxa"/>
            <w:vAlign w:val="center"/>
          </w:tcPr>
          <w:p>
            <w:pPr>
              <w:autoSpaceDE w:val="0"/>
              <w:autoSpaceDN w:val="0"/>
              <w:rPr>
                <w:rFonts w:ascii="仿宋" w:hAnsi="仿宋" w:eastAsia="仿宋" w:cs="仿宋"/>
                <w:color w:val="auto"/>
                <w:sz w:val="24"/>
                <w:highlight w:val="none"/>
              </w:rPr>
            </w:pPr>
            <w:r>
              <w:rPr>
                <w:rFonts w:hint="eastAsia" w:ascii="仿宋" w:hAnsi="仿宋" w:eastAsia="仿宋" w:cs="仿宋"/>
                <w:color w:val="auto"/>
                <w:sz w:val="24"/>
                <w:highlight w:val="none"/>
              </w:rPr>
              <w:t>全过程造价咨询服务实施方案</w:t>
            </w:r>
          </w:p>
        </w:tc>
        <w:tc>
          <w:tcPr>
            <w:tcW w:w="995" w:type="dxa"/>
            <w:vMerge w:val="continue"/>
            <w:tcBorders>
              <w:top w:val="nil"/>
              <w:bottom w:val="nil"/>
            </w:tcBorders>
            <w:vAlign w:val="center"/>
          </w:tcPr>
          <w:p>
            <w:pPr>
              <w:autoSpaceDE w:val="0"/>
              <w:autoSpaceDN w:val="0"/>
              <w:jc w:val="center"/>
              <w:rPr>
                <w:rFonts w:ascii="仿宋" w:hAnsi="仿宋" w:eastAsia="仿宋" w:cs="仿宋"/>
                <w:color w:val="auto"/>
                <w:sz w:val="24"/>
                <w:highlight w:val="none"/>
              </w:rPr>
            </w:pPr>
          </w:p>
        </w:tc>
        <w:tc>
          <w:tcPr>
            <w:tcW w:w="4958" w:type="dxa"/>
            <w:vAlign w:val="center"/>
          </w:tcPr>
          <w:p>
            <w:pPr>
              <w:autoSpaceDE w:val="0"/>
              <w:autoSpaceDN w:val="0"/>
              <w:rPr>
                <w:rFonts w:ascii="仿宋" w:hAnsi="仿宋" w:eastAsia="仿宋" w:cs="仿宋"/>
                <w:color w:val="auto"/>
                <w:sz w:val="24"/>
                <w:highlight w:val="none"/>
              </w:rPr>
            </w:pPr>
            <w:r>
              <w:rPr>
                <w:rFonts w:hint="eastAsia" w:ascii="仿宋" w:hAnsi="仿宋" w:eastAsia="仿宋" w:cs="仿宋"/>
                <w:color w:val="auto"/>
                <w:sz w:val="24"/>
                <w:highlight w:val="none"/>
              </w:rPr>
              <w:t>合同生效后10天内提交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3" w:type="dxa"/>
            <w:vAlign w:val="center"/>
          </w:tcPr>
          <w:p>
            <w:pPr>
              <w:autoSpaceDE w:val="0"/>
              <w:autoSpaceDN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2534" w:type="dxa"/>
            <w:vAlign w:val="center"/>
          </w:tcPr>
          <w:p>
            <w:pPr>
              <w:autoSpaceDE w:val="0"/>
              <w:autoSpaceDN w:val="0"/>
              <w:rPr>
                <w:rFonts w:ascii="仿宋" w:hAnsi="仿宋" w:eastAsia="仿宋" w:cs="仿宋"/>
                <w:color w:val="auto"/>
                <w:sz w:val="24"/>
                <w:highlight w:val="none"/>
              </w:rPr>
            </w:pPr>
            <w:r>
              <w:rPr>
                <w:rFonts w:hint="eastAsia" w:ascii="仿宋" w:hAnsi="仿宋" w:eastAsia="仿宋" w:cs="仿宋"/>
                <w:color w:val="auto"/>
                <w:sz w:val="24"/>
                <w:highlight w:val="none"/>
              </w:rPr>
              <w:t>根据甲方需求所需要提交的造价咨询文件及合理化建议</w:t>
            </w:r>
          </w:p>
        </w:tc>
        <w:tc>
          <w:tcPr>
            <w:tcW w:w="995" w:type="dxa"/>
            <w:vMerge w:val="continue"/>
            <w:tcBorders>
              <w:top w:val="nil"/>
              <w:bottom w:val="nil"/>
            </w:tcBorders>
            <w:vAlign w:val="center"/>
          </w:tcPr>
          <w:p>
            <w:pPr>
              <w:autoSpaceDE w:val="0"/>
              <w:autoSpaceDN w:val="0"/>
              <w:jc w:val="center"/>
              <w:rPr>
                <w:rFonts w:ascii="仿宋" w:hAnsi="仿宋" w:eastAsia="仿宋" w:cs="仿宋"/>
                <w:color w:val="auto"/>
                <w:sz w:val="24"/>
                <w:highlight w:val="none"/>
              </w:rPr>
            </w:pPr>
          </w:p>
        </w:tc>
        <w:tc>
          <w:tcPr>
            <w:tcW w:w="4958" w:type="dxa"/>
            <w:vAlign w:val="center"/>
          </w:tcPr>
          <w:p>
            <w:pPr>
              <w:autoSpaceDE w:val="0"/>
              <w:autoSpaceDN w:val="0"/>
              <w:rPr>
                <w:rFonts w:ascii="仿宋" w:hAnsi="仿宋" w:eastAsia="仿宋" w:cs="仿宋"/>
                <w:color w:val="auto"/>
                <w:sz w:val="24"/>
                <w:highlight w:val="none"/>
              </w:rPr>
            </w:pPr>
            <w:r>
              <w:rPr>
                <w:rFonts w:hint="eastAsia" w:ascii="仿宋" w:hAnsi="仿宋" w:eastAsia="仿宋" w:cs="仿宋"/>
                <w:color w:val="auto"/>
                <w:sz w:val="24"/>
                <w:highlight w:val="none"/>
              </w:rPr>
              <w:t>根据甲方要求时间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3" w:type="dxa"/>
            <w:vAlign w:val="center"/>
          </w:tcPr>
          <w:p>
            <w:pPr>
              <w:autoSpaceDE w:val="0"/>
              <w:autoSpaceDN w:val="0"/>
              <w:adjustRightInd w:val="0"/>
              <w:spacing w:line="400" w:lineRule="atLeast"/>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c>
          <w:tcPr>
            <w:tcW w:w="8487" w:type="dxa"/>
            <w:gridSpan w:val="3"/>
            <w:vAlign w:val="center"/>
          </w:tcPr>
          <w:p>
            <w:pPr>
              <w:numPr>
                <w:ilvl w:val="0"/>
                <w:numId w:val="2"/>
              </w:numPr>
              <w:tabs>
                <w:tab w:val="left" w:pos="308"/>
              </w:tabs>
              <w:wordWrap w:val="0"/>
              <w:topLinePunct/>
              <w:autoSpaceDE w:val="0"/>
              <w:rPr>
                <w:rFonts w:ascii="仿宋" w:hAnsi="仿宋" w:eastAsia="仿宋" w:cs="仿宋"/>
                <w:color w:val="auto"/>
                <w:sz w:val="24"/>
                <w:highlight w:val="none"/>
              </w:rPr>
            </w:pPr>
            <w:r>
              <w:rPr>
                <w:rFonts w:hint="eastAsia" w:ascii="仿宋" w:hAnsi="仿宋" w:eastAsia="仿宋" w:cs="仿宋"/>
                <w:color w:val="auto"/>
                <w:sz w:val="24"/>
                <w:highlight w:val="none"/>
              </w:rPr>
              <w:t>所有文件规格均为A4，并同时提供电子文档光盘1套，电子文档为可编辑的WORD或EXCEL格式及专业造价软件计算电子版数据。</w:t>
            </w:r>
          </w:p>
          <w:p>
            <w:pPr>
              <w:numPr>
                <w:ilvl w:val="0"/>
                <w:numId w:val="2"/>
              </w:numPr>
              <w:tabs>
                <w:tab w:val="left" w:pos="308"/>
              </w:tabs>
              <w:wordWrap w:val="0"/>
              <w:topLinePunct/>
              <w:autoSpaceDE w:val="0"/>
              <w:rPr>
                <w:rFonts w:ascii="仿宋" w:hAnsi="仿宋" w:eastAsia="仿宋" w:cs="仿宋"/>
                <w:color w:val="auto"/>
                <w:sz w:val="24"/>
                <w:highlight w:val="none"/>
              </w:rPr>
            </w:pPr>
            <w:r>
              <w:rPr>
                <w:rFonts w:hint="eastAsia" w:ascii="仿宋" w:hAnsi="仿宋" w:eastAsia="仿宋" w:cs="仿宋"/>
                <w:color w:val="auto"/>
                <w:sz w:val="24"/>
                <w:highlight w:val="none"/>
              </w:rPr>
              <w:t>应同时提交另行装订的咨询文件附件，包括但不限于：各单位工程咨询文件的编制/校核/审核/审定记录；各单位工程算量计价文件电子版（不可重写光盘、标印主要咨询文件附件名称、时间，含编制、校核、审核、审定稿、与施工乙方对数的核对稿等，没有电子版的提供书写稿扫描件，但工程量汇总和计价、造价汇总等必须有电子版）；关于本次咨询文件形成依据、过程、询价反馈或市场价资料、暂估、预估及提请关注事项等其它说明。</w:t>
            </w:r>
          </w:p>
          <w:p>
            <w:pPr>
              <w:numPr>
                <w:ilvl w:val="0"/>
                <w:numId w:val="2"/>
              </w:numPr>
              <w:tabs>
                <w:tab w:val="left" w:pos="308"/>
              </w:tabs>
              <w:wordWrap w:val="0"/>
              <w:topLinePunct/>
              <w:autoSpaceDE w:val="0"/>
              <w:rPr>
                <w:rFonts w:ascii="仿宋" w:hAnsi="仿宋" w:eastAsia="仿宋" w:cs="仿宋"/>
                <w:color w:val="auto"/>
                <w:sz w:val="24"/>
                <w:highlight w:val="none"/>
              </w:rPr>
            </w:pPr>
            <w:r>
              <w:rPr>
                <w:rFonts w:hint="eastAsia" w:ascii="仿宋" w:hAnsi="仿宋" w:eastAsia="仿宋" w:cs="仿宋"/>
                <w:color w:val="auto"/>
                <w:sz w:val="24"/>
                <w:highlight w:val="none"/>
              </w:rPr>
              <w:t>工程预算应附项目综合单价分析表、主要材料数量及价格（参考价格）清单、主要设备数量及价格（参考价格）清单、产品品牌表（参考）。</w:t>
            </w:r>
          </w:p>
          <w:p>
            <w:pPr>
              <w:numPr>
                <w:ilvl w:val="0"/>
                <w:numId w:val="2"/>
              </w:numPr>
              <w:tabs>
                <w:tab w:val="left" w:pos="308"/>
              </w:tabs>
              <w:wordWrap w:val="0"/>
              <w:topLinePunct/>
              <w:autoSpaceDE w:val="0"/>
              <w:rPr>
                <w:rFonts w:ascii="仿宋" w:hAnsi="仿宋" w:eastAsia="仿宋" w:cs="仿宋"/>
                <w:color w:val="auto"/>
                <w:sz w:val="24"/>
                <w:highlight w:val="none"/>
              </w:rPr>
            </w:pPr>
            <w:r>
              <w:rPr>
                <w:rFonts w:hint="eastAsia" w:ascii="仿宋" w:hAnsi="仿宋" w:eastAsia="仿宋" w:cs="仿宋"/>
                <w:color w:val="auto"/>
                <w:sz w:val="24"/>
                <w:highlight w:val="none"/>
              </w:rPr>
              <w:t>提交成果文件的数量为暂定数，实际提供数量应按甲方的实际需要无条件提供。</w:t>
            </w:r>
          </w:p>
          <w:p>
            <w:pPr>
              <w:numPr>
                <w:ilvl w:val="0"/>
                <w:numId w:val="2"/>
              </w:numPr>
              <w:tabs>
                <w:tab w:val="left" w:pos="308"/>
              </w:tabs>
              <w:wordWrap w:val="0"/>
              <w:topLinePunct/>
              <w:autoSpaceDE w:val="0"/>
              <w:rPr>
                <w:rFonts w:ascii="仿宋" w:hAnsi="仿宋" w:eastAsia="仿宋" w:cs="仿宋"/>
                <w:color w:val="auto"/>
                <w:sz w:val="24"/>
                <w:highlight w:val="none"/>
              </w:rPr>
            </w:pPr>
            <w:r>
              <w:rPr>
                <w:rFonts w:hint="eastAsia" w:ascii="仿宋" w:hAnsi="仿宋" w:eastAsia="仿宋" w:cs="仿宋"/>
                <w:color w:val="auto"/>
                <w:sz w:val="24"/>
                <w:highlight w:val="none"/>
              </w:rPr>
              <w:t>以上时间皆为日历天。</w:t>
            </w:r>
          </w:p>
        </w:tc>
      </w:tr>
    </w:tbl>
    <w:p>
      <w:pPr>
        <w:spacing w:before="156" w:after="156" w:line="360" w:lineRule="auto"/>
        <w:rPr>
          <w:rFonts w:ascii="宋体" w:hAnsi="宋体" w:eastAsia="宋体" w:cs="宋体"/>
          <w:b/>
          <w:bCs/>
          <w:color w:val="auto"/>
          <w:sz w:val="24"/>
          <w:highlight w:val="none"/>
        </w:rPr>
      </w:pPr>
      <w:r>
        <w:rPr>
          <w:rFonts w:hint="eastAsia" w:ascii="宋体" w:hAnsi="宋体" w:eastAsia="宋体" w:cs="宋体"/>
          <w:b/>
          <w:bCs/>
          <w:color w:val="auto"/>
          <w:sz w:val="24"/>
          <w:highlight w:val="none"/>
        </w:rPr>
        <w:t>12.造价咨询服务费结算方式及支付方式：</w:t>
      </w:r>
    </w:p>
    <w:p>
      <w:pPr>
        <w:tabs>
          <w:tab w:val="left" w:pos="851"/>
        </w:tabs>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12.1本服务项目造价咨询服务费采用按实结算的承包方式，暂定合同价为</w:t>
      </w:r>
      <w:r>
        <w:rPr>
          <w:rFonts w:hint="eastAsia" w:ascii="宋体" w:hAnsi="宋体" w:eastAsia="宋体" w:cs="宋体"/>
          <w:color w:val="auto"/>
          <w:sz w:val="24"/>
          <w:highlight w:val="none"/>
          <w:u w:val="single"/>
        </w:rPr>
        <w:t>¥   元（大写：  ）</w:t>
      </w:r>
      <w:r>
        <w:rPr>
          <w:rFonts w:hint="eastAsia" w:ascii="宋体" w:hAnsi="宋体" w:eastAsia="宋体" w:cs="宋体"/>
          <w:color w:val="auto"/>
          <w:sz w:val="24"/>
          <w:highlight w:val="none"/>
        </w:rPr>
        <w:t>。</w:t>
      </w:r>
    </w:p>
    <w:p>
      <w:pPr>
        <w:tabs>
          <w:tab w:val="left" w:pos="851"/>
        </w:tabs>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12.2全过程造价咨询服务费采用按实结算的承包方式。造价咨询服务结算费用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以最终结算审定建筑安装工程费作为基数计算×</w:t>
      </w:r>
      <w:r>
        <w:rPr>
          <w:rFonts w:hint="eastAsia" w:ascii="宋体" w:hAnsi="宋体" w:eastAsia="宋体" w:cs="宋体"/>
          <w:color w:val="auto"/>
          <w:sz w:val="24"/>
          <w:highlight w:val="none"/>
          <w:lang w:val="en-US" w:eastAsia="zh-CN"/>
        </w:rPr>
        <w:t>中标费率</w:t>
      </w:r>
      <w:r>
        <w:rPr>
          <w:rFonts w:hint="eastAsia" w:ascii="宋体" w:hAnsi="宋体" w:eastAsia="宋体" w:cs="宋体"/>
          <w:color w:val="auto"/>
          <w:sz w:val="24"/>
          <w:highlight w:val="none"/>
        </w:rPr>
        <w:t>。</w:t>
      </w:r>
    </w:p>
    <w:p>
      <w:pPr>
        <w:tabs>
          <w:tab w:val="left" w:pos="851"/>
        </w:tabs>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12.3支付方式（付款时间以资金拨付部门批准为准）：</w:t>
      </w:r>
    </w:p>
    <w:p>
      <w:pPr>
        <w:snapToGri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（1）合同签订且提供</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见索即付</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履约保函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暂定</w:t>
      </w:r>
      <w:r>
        <w:rPr>
          <w:rFonts w:hint="eastAsia" w:ascii="宋体" w:hAnsi="宋体" w:eastAsia="宋体" w:cs="宋体"/>
          <w:color w:val="auto"/>
          <w:sz w:val="24"/>
          <w:highlight w:val="none"/>
          <w:lang w:val="en-US" w:eastAsia="zh-CN"/>
        </w:rPr>
        <w:t>合同价的10%</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见索即付</w:t>
      </w:r>
      <w:bookmarkStart w:id="55" w:name="OLE_LINK1"/>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预付款保函</w:t>
      </w:r>
      <w:bookmarkEnd w:id="55"/>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暂定</w:t>
      </w:r>
      <w:r>
        <w:rPr>
          <w:rFonts w:hint="eastAsia" w:ascii="宋体" w:hAnsi="宋体" w:eastAsia="宋体" w:cs="宋体"/>
          <w:color w:val="auto"/>
          <w:sz w:val="24"/>
          <w:highlight w:val="none"/>
          <w:lang w:val="en-US" w:eastAsia="zh-CN"/>
        </w:rPr>
        <w:t>合同价的10%</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后，甲方向乙方支付暂定合同价的 </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0％。</w:t>
      </w:r>
    </w:p>
    <w:p>
      <w:pPr>
        <w:snapToGrid w:val="0"/>
        <w:spacing w:line="360" w:lineRule="auto"/>
        <w:rPr>
          <w:rFonts w:hint="eastAsia" w:ascii="宋体" w:hAnsi="宋体" w:eastAsia="宋体" w:cs="宋体"/>
          <w:iCs/>
          <w:color w:val="auto"/>
          <w:sz w:val="24"/>
          <w:highlight w:val="none"/>
          <w:lang w:eastAsia="zh-CN"/>
        </w:rPr>
      </w:pPr>
      <w:r>
        <w:rPr>
          <w:rFonts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ascii="宋体" w:hAnsi="宋体" w:eastAsia="宋体" w:cs="宋体"/>
          <w:color w:val="auto"/>
          <w:sz w:val="24"/>
          <w:highlight w:val="none"/>
        </w:rPr>
        <w:t>）施工进度完成 30%，甲方向乙方支付</w:t>
      </w:r>
      <w:r>
        <w:rPr>
          <w:rFonts w:hint="eastAsia" w:ascii="宋体" w:hAnsi="宋体" w:eastAsia="宋体" w:cs="宋体"/>
          <w:color w:val="auto"/>
          <w:sz w:val="24"/>
          <w:highlight w:val="none"/>
        </w:rPr>
        <w:t>暂定合同价</w:t>
      </w:r>
      <w:r>
        <w:rPr>
          <w:rFonts w:ascii="宋体" w:hAnsi="宋体" w:eastAsia="宋体" w:cs="宋体"/>
          <w:color w:val="auto"/>
          <w:sz w:val="24"/>
          <w:highlight w:val="none"/>
        </w:rPr>
        <w:t>的</w:t>
      </w:r>
      <w:r>
        <w:rPr>
          <w:rFonts w:hint="eastAsia" w:ascii="宋体" w:hAnsi="宋体" w:eastAsia="宋体" w:cs="宋体"/>
          <w:color w:val="auto"/>
          <w:sz w:val="24"/>
          <w:highlight w:val="none"/>
          <w:lang w:val="en-US" w:eastAsia="zh-CN"/>
        </w:rPr>
        <w:t>15</w:t>
      </w:r>
      <w:r>
        <w:rPr>
          <w:rFonts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并退回</w:t>
      </w:r>
      <w:r>
        <w:rPr>
          <w:rFonts w:hint="eastAsia" w:ascii="宋体" w:hAnsi="宋体" w:eastAsia="宋体" w:cs="宋体"/>
          <w:color w:val="auto"/>
          <w:sz w:val="24"/>
          <w:highlight w:val="none"/>
        </w:rPr>
        <w:t>预付款保函。</w:t>
      </w:r>
    </w:p>
    <w:p>
      <w:pPr>
        <w:snapToGrid w:val="0"/>
        <w:spacing w:line="360" w:lineRule="auto"/>
        <w:rPr>
          <w:rFonts w:ascii="宋体" w:hAnsi="宋体" w:eastAsia="宋体" w:cs="宋体"/>
          <w:iCs/>
          <w:color w:val="auto"/>
          <w:sz w:val="24"/>
          <w:highlight w:val="none"/>
        </w:rPr>
      </w:pPr>
      <w:r>
        <w:rPr>
          <w:rFonts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ascii="宋体" w:hAnsi="宋体" w:eastAsia="宋体" w:cs="宋体"/>
          <w:color w:val="auto"/>
          <w:sz w:val="24"/>
          <w:highlight w:val="none"/>
        </w:rPr>
        <w:t>）施工进度完成 50%，甲方向乙方支付</w:t>
      </w:r>
      <w:r>
        <w:rPr>
          <w:rFonts w:hint="eastAsia" w:ascii="宋体" w:hAnsi="宋体" w:eastAsia="宋体" w:cs="宋体"/>
          <w:color w:val="auto"/>
          <w:sz w:val="24"/>
          <w:highlight w:val="none"/>
        </w:rPr>
        <w:t>暂定合同价</w:t>
      </w:r>
      <w:r>
        <w:rPr>
          <w:rFonts w:ascii="宋体" w:hAnsi="宋体" w:eastAsia="宋体" w:cs="宋体"/>
          <w:color w:val="auto"/>
          <w:sz w:val="24"/>
          <w:highlight w:val="none"/>
        </w:rPr>
        <w:t xml:space="preserve">的 </w:t>
      </w:r>
      <w:r>
        <w:rPr>
          <w:rFonts w:hint="eastAsia" w:ascii="宋体" w:hAnsi="宋体" w:eastAsia="宋体" w:cs="宋体"/>
          <w:color w:val="auto"/>
          <w:sz w:val="24"/>
          <w:highlight w:val="none"/>
          <w:lang w:val="en-US" w:eastAsia="zh-CN"/>
        </w:rPr>
        <w:t>2</w:t>
      </w:r>
      <w:r>
        <w:rPr>
          <w:rFonts w:ascii="宋体" w:hAnsi="宋体" w:eastAsia="宋体" w:cs="宋体"/>
          <w:color w:val="auto"/>
          <w:sz w:val="24"/>
          <w:highlight w:val="none"/>
        </w:rPr>
        <w:t>0%</w:t>
      </w:r>
      <w:r>
        <w:rPr>
          <w:rFonts w:hint="eastAsia" w:ascii="宋体" w:hAnsi="宋体" w:eastAsia="宋体" w:cs="宋体"/>
          <w:color w:val="auto"/>
          <w:sz w:val="24"/>
          <w:highlight w:val="none"/>
        </w:rPr>
        <w:t>。</w:t>
      </w:r>
    </w:p>
    <w:p>
      <w:pPr>
        <w:snapToGrid w:val="0"/>
        <w:spacing w:line="360" w:lineRule="auto"/>
        <w:rPr>
          <w:rFonts w:ascii="宋体" w:hAnsi="宋体" w:eastAsia="宋体" w:cs="宋体"/>
          <w:iCs/>
          <w:color w:val="auto"/>
          <w:sz w:val="24"/>
          <w:highlight w:val="none"/>
        </w:rPr>
      </w:pPr>
      <w:r>
        <w:rPr>
          <w:rFonts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ascii="宋体" w:hAnsi="宋体" w:eastAsia="宋体" w:cs="宋体"/>
          <w:color w:val="auto"/>
          <w:sz w:val="24"/>
          <w:highlight w:val="none"/>
        </w:rPr>
        <w:t>）施工进度完成 80%，甲方向乙方支付</w:t>
      </w:r>
      <w:r>
        <w:rPr>
          <w:rFonts w:hint="eastAsia" w:ascii="宋体" w:hAnsi="宋体" w:eastAsia="宋体" w:cs="宋体"/>
          <w:color w:val="auto"/>
          <w:sz w:val="24"/>
          <w:highlight w:val="none"/>
        </w:rPr>
        <w:t>暂定合同价</w:t>
      </w:r>
      <w:r>
        <w:rPr>
          <w:rFonts w:ascii="宋体" w:hAnsi="宋体" w:eastAsia="宋体" w:cs="宋体"/>
          <w:color w:val="auto"/>
          <w:sz w:val="24"/>
          <w:highlight w:val="none"/>
        </w:rPr>
        <w:t xml:space="preserve">的 </w:t>
      </w:r>
      <w:r>
        <w:rPr>
          <w:rFonts w:hint="eastAsia" w:ascii="宋体" w:hAnsi="宋体" w:eastAsia="宋体" w:cs="宋体"/>
          <w:color w:val="auto"/>
          <w:sz w:val="24"/>
          <w:highlight w:val="none"/>
          <w:lang w:val="en-US" w:eastAsia="zh-CN"/>
        </w:rPr>
        <w:t>2</w:t>
      </w:r>
      <w:r>
        <w:rPr>
          <w:rFonts w:ascii="宋体" w:hAnsi="宋体" w:eastAsia="宋体" w:cs="宋体"/>
          <w:color w:val="auto"/>
          <w:sz w:val="24"/>
          <w:highlight w:val="none"/>
        </w:rPr>
        <w:t>0%</w:t>
      </w:r>
      <w:r>
        <w:rPr>
          <w:rFonts w:hint="eastAsia" w:ascii="宋体" w:hAnsi="宋体" w:eastAsia="宋体" w:cs="宋体"/>
          <w:color w:val="auto"/>
          <w:sz w:val="24"/>
          <w:highlight w:val="none"/>
        </w:rPr>
        <w:t>。</w:t>
      </w:r>
    </w:p>
    <w:p>
      <w:pPr>
        <w:snapToGrid w:val="0"/>
        <w:spacing w:line="360" w:lineRule="auto"/>
        <w:rPr>
          <w:rFonts w:ascii="宋体" w:hAnsi="宋体" w:eastAsia="宋体" w:cs="宋体"/>
          <w:iCs/>
          <w:color w:val="auto"/>
          <w:sz w:val="24"/>
          <w:highlight w:val="none"/>
        </w:rPr>
      </w:pPr>
      <w:r>
        <w:rPr>
          <w:rFonts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ascii="宋体" w:hAnsi="宋体" w:eastAsia="宋体" w:cs="宋体"/>
          <w:color w:val="auto"/>
          <w:sz w:val="24"/>
          <w:highlight w:val="none"/>
        </w:rPr>
        <w:t>）通过竣工验收后，甲方向乙方支付</w:t>
      </w:r>
      <w:r>
        <w:rPr>
          <w:rFonts w:hint="eastAsia" w:ascii="宋体" w:hAnsi="宋体" w:eastAsia="宋体" w:cs="宋体"/>
          <w:color w:val="auto"/>
          <w:sz w:val="24"/>
          <w:highlight w:val="none"/>
        </w:rPr>
        <w:t>暂定合同价</w:t>
      </w:r>
      <w:r>
        <w:rPr>
          <w:rFonts w:ascii="宋体" w:hAnsi="宋体" w:eastAsia="宋体" w:cs="宋体"/>
          <w:color w:val="auto"/>
          <w:sz w:val="24"/>
          <w:highlight w:val="none"/>
        </w:rPr>
        <w:t>的</w:t>
      </w:r>
      <w:r>
        <w:rPr>
          <w:rFonts w:hint="eastAsia" w:ascii="宋体" w:hAnsi="宋体" w:eastAsia="宋体" w:cs="宋体"/>
          <w:color w:val="auto"/>
          <w:sz w:val="24"/>
          <w:highlight w:val="none"/>
          <w:lang w:val="en-US" w:eastAsia="zh-CN"/>
        </w:rPr>
        <w:t xml:space="preserve"> 20</w:t>
      </w:r>
      <w:r>
        <w:rPr>
          <w:rFonts w:ascii="宋体" w:hAnsi="宋体" w:eastAsia="宋体" w:cs="宋体"/>
          <w:color w:val="auto"/>
          <w:sz w:val="24"/>
          <w:highlight w:val="none"/>
        </w:rPr>
        <w:t>%</w:t>
      </w:r>
      <w:r>
        <w:rPr>
          <w:rFonts w:hint="eastAsia" w:ascii="宋体" w:hAnsi="宋体" w:eastAsia="宋体" w:cs="宋体"/>
          <w:color w:val="auto"/>
          <w:sz w:val="24"/>
          <w:highlight w:val="none"/>
        </w:rPr>
        <w:t>。</w:t>
      </w:r>
    </w:p>
    <w:p>
      <w:pPr>
        <w:snapToGrid w:val="0"/>
        <w:spacing w:line="360" w:lineRule="auto"/>
        <w:rPr>
          <w:rFonts w:ascii="宋体" w:hAnsi="宋体" w:eastAsia="宋体" w:cs="宋体"/>
          <w:iCs/>
          <w:color w:val="auto"/>
          <w:sz w:val="24"/>
          <w:highlight w:val="none"/>
        </w:rPr>
      </w:pPr>
      <w:r>
        <w:rPr>
          <w:rFonts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ascii="宋体" w:hAnsi="宋体" w:eastAsia="宋体" w:cs="宋体"/>
          <w:color w:val="auto"/>
          <w:sz w:val="24"/>
          <w:highlight w:val="none"/>
        </w:rPr>
        <w:t>）全过程造价咨询服务范围内所有合同完成结算评审且相应造价咨询</w:t>
      </w:r>
      <w:r>
        <w:rPr>
          <w:rFonts w:hint="eastAsia" w:ascii="宋体" w:hAnsi="宋体" w:eastAsia="宋体" w:cs="宋体"/>
          <w:color w:val="auto"/>
          <w:sz w:val="24"/>
          <w:highlight w:val="none"/>
        </w:rPr>
        <w:t>服务</w:t>
      </w:r>
      <w:r>
        <w:rPr>
          <w:rFonts w:ascii="宋体" w:hAnsi="宋体" w:eastAsia="宋体" w:cs="宋体"/>
          <w:color w:val="auto"/>
          <w:sz w:val="24"/>
          <w:highlight w:val="none"/>
        </w:rPr>
        <w:t>费结算价经甲方审定后，甲方向乙方支付至相应合同结算价的 97%</w:t>
      </w:r>
      <w:r>
        <w:rPr>
          <w:rFonts w:hint="eastAsia" w:ascii="宋体" w:hAnsi="宋体" w:eastAsia="宋体" w:cs="宋体"/>
          <w:color w:val="auto"/>
          <w:sz w:val="24"/>
          <w:highlight w:val="none"/>
        </w:rPr>
        <w:t>。</w:t>
      </w:r>
    </w:p>
    <w:p>
      <w:pPr>
        <w:snapToGrid w:val="0"/>
        <w:spacing w:line="360" w:lineRule="auto"/>
        <w:rPr>
          <w:rFonts w:ascii="宋体" w:hAnsi="宋体" w:eastAsia="宋体" w:cs="宋体"/>
          <w:iCs/>
          <w:color w:val="auto"/>
          <w:sz w:val="24"/>
          <w:highlight w:val="none"/>
        </w:rPr>
      </w:pPr>
      <w:r>
        <w:rPr>
          <w:rFonts w:ascii="宋体" w:hAnsi="宋体" w:eastAsia="宋体" w:cs="宋体"/>
          <w:color w:val="auto"/>
          <w:sz w:val="24"/>
          <w:highlight w:val="none"/>
        </w:rPr>
        <w:t xml:space="preserve">其中，第（2）项与第（3）、（4）项支付次序可根据项目实际进度进行调整。 </w:t>
      </w:r>
    </w:p>
    <w:p>
      <w:pPr>
        <w:snapToGrid w:val="0"/>
        <w:spacing w:line="360" w:lineRule="auto"/>
        <w:rPr>
          <w:rFonts w:ascii="宋体" w:hAnsi="宋体" w:eastAsia="宋体" w:cs="宋体"/>
          <w:iCs/>
          <w:color w:val="auto"/>
          <w:sz w:val="24"/>
          <w:highlight w:val="none"/>
        </w:rPr>
      </w:pPr>
      <w:r>
        <w:rPr>
          <w:rFonts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ascii="宋体" w:hAnsi="宋体" w:eastAsia="宋体" w:cs="宋体"/>
          <w:color w:val="auto"/>
          <w:sz w:val="24"/>
          <w:highlight w:val="none"/>
        </w:rPr>
        <w:t>）余下的 3%待乙方向甲方移交项目归档材料及完成项目结（决）算工作后支付</w:t>
      </w:r>
      <w:r>
        <w:rPr>
          <w:rFonts w:hint="eastAsia" w:ascii="宋体" w:hAnsi="宋体" w:eastAsia="宋体" w:cs="宋体"/>
          <w:color w:val="auto"/>
          <w:sz w:val="24"/>
          <w:highlight w:val="none"/>
        </w:rPr>
        <w:t>乙方</w:t>
      </w:r>
      <w:r>
        <w:rPr>
          <w:rFonts w:ascii="宋体" w:hAnsi="宋体" w:eastAsia="宋体" w:cs="宋体"/>
          <w:color w:val="auto"/>
          <w:sz w:val="24"/>
          <w:highlight w:val="none"/>
        </w:rPr>
        <w:t>。</w:t>
      </w:r>
    </w:p>
    <w:p>
      <w:pPr>
        <w:snapToGrid w:val="0"/>
        <w:spacing w:line="360" w:lineRule="auto"/>
        <w:rPr>
          <w:rFonts w:ascii="宋体" w:hAnsi="宋体" w:eastAsia="宋体" w:cs="宋体"/>
          <w:iCs/>
          <w:color w:val="auto"/>
          <w:sz w:val="24"/>
          <w:highlight w:val="none"/>
        </w:rPr>
      </w:pPr>
      <w:r>
        <w:rPr>
          <w:rFonts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ascii="宋体" w:hAnsi="宋体" w:eastAsia="宋体" w:cs="宋体"/>
          <w:color w:val="auto"/>
          <w:sz w:val="24"/>
          <w:highlight w:val="none"/>
        </w:rPr>
        <w:t>）本工程造价咨询</w:t>
      </w:r>
      <w:r>
        <w:rPr>
          <w:rFonts w:hint="eastAsia" w:ascii="宋体" w:hAnsi="宋体" w:eastAsia="宋体" w:cs="宋体"/>
          <w:color w:val="auto"/>
          <w:sz w:val="24"/>
          <w:highlight w:val="none"/>
        </w:rPr>
        <w:t>服务</w:t>
      </w:r>
      <w:r>
        <w:rPr>
          <w:rFonts w:ascii="宋体" w:hAnsi="宋体" w:eastAsia="宋体" w:cs="宋体"/>
          <w:color w:val="auto"/>
          <w:sz w:val="24"/>
          <w:highlight w:val="none"/>
        </w:rPr>
        <w:t>费不论任何情况均不计算利息。</w:t>
      </w:r>
    </w:p>
    <w:p>
      <w:pPr>
        <w:snapToGrid w:val="0"/>
        <w:spacing w:line="360" w:lineRule="auto"/>
        <w:rPr>
          <w:rFonts w:ascii="宋体" w:hAnsi="宋体" w:eastAsia="宋体" w:cs="宋体"/>
          <w:iCs/>
          <w:color w:val="auto"/>
          <w:sz w:val="24"/>
          <w:highlight w:val="none"/>
        </w:rPr>
      </w:pPr>
      <w:r>
        <w:rPr>
          <w:rFonts w:ascii="宋体" w:hAnsi="宋体" w:eastAsia="宋体" w:cs="宋体"/>
          <w:color w:val="auto"/>
          <w:sz w:val="24"/>
          <w:highlight w:val="none"/>
        </w:rPr>
        <w:t xml:space="preserve"> </w:t>
      </w:r>
      <w:r>
        <w:rPr>
          <w:rFonts w:hint="eastAsia" w:ascii="宋体" w:hAnsi="宋体" w:eastAsia="宋体" w:cs="宋体"/>
          <w:color w:val="auto"/>
          <w:sz w:val="24"/>
          <w:highlight w:val="none"/>
        </w:rPr>
        <w:t>12.4</w:t>
      </w:r>
      <w:r>
        <w:rPr>
          <w:rFonts w:ascii="宋体" w:hAnsi="宋体" w:eastAsia="宋体" w:cs="宋体"/>
          <w:color w:val="auto"/>
          <w:sz w:val="24"/>
          <w:highlight w:val="none"/>
        </w:rPr>
        <w:t xml:space="preserve">支付其它约定 </w:t>
      </w:r>
    </w:p>
    <w:p>
      <w:pPr>
        <w:snapToGrid w:val="0"/>
        <w:spacing w:line="360" w:lineRule="auto"/>
        <w:rPr>
          <w:rFonts w:ascii="宋体" w:hAnsi="宋体" w:eastAsia="宋体" w:cs="宋体"/>
          <w:iCs/>
          <w:color w:val="auto"/>
          <w:sz w:val="24"/>
          <w:highlight w:val="none"/>
        </w:rPr>
      </w:pPr>
      <w:r>
        <w:rPr>
          <w:rFonts w:ascii="宋体" w:hAnsi="宋体" w:eastAsia="宋体" w:cs="宋体"/>
          <w:color w:val="auto"/>
          <w:sz w:val="24"/>
          <w:highlight w:val="none"/>
        </w:rPr>
        <w:t>（1）全过程</w:t>
      </w:r>
      <w:r>
        <w:rPr>
          <w:rFonts w:hint="eastAsia" w:ascii="宋体" w:hAnsi="宋体" w:eastAsia="宋体" w:cs="宋体"/>
          <w:color w:val="auto"/>
          <w:sz w:val="24"/>
          <w:highlight w:val="none"/>
        </w:rPr>
        <w:t>造价咨询服务费</w:t>
      </w:r>
      <w:r>
        <w:rPr>
          <w:rFonts w:ascii="宋体" w:hAnsi="宋体" w:eastAsia="宋体" w:cs="宋体"/>
          <w:color w:val="auto"/>
          <w:sz w:val="24"/>
          <w:highlight w:val="none"/>
        </w:rPr>
        <w:t xml:space="preserve">中已包括了为实施和完成本合同约定全部工作所需的全部费用：企业成本、税金和利润（包括办公及检测仪器费、工资、加班费、食宿、通讯、交通及其后续保障等）。 </w:t>
      </w:r>
    </w:p>
    <w:p>
      <w:pPr>
        <w:snapToGrid w:val="0"/>
        <w:spacing w:line="360" w:lineRule="auto"/>
        <w:rPr>
          <w:rFonts w:ascii="宋体" w:hAnsi="宋体" w:eastAsia="宋体" w:cs="宋体"/>
          <w:iCs/>
          <w:color w:val="auto"/>
          <w:sz w:val="24"/>
          <w:highlight w:val="none"/>
        </w:rPr>
      </w:pPr>
      <w:r>
        <w:rPr>
          <w:rFonts w:ascii="宋体" w:hAnsi="宋体" w:eastAsia="宋体" w:cs="宋体"/>
          <w:color w:val="auto"/>
          <w:sz w:val="24"/>
          <w:highlight w:val="none"/>
        </w:rPr>
        <w:t>（2）在本合同约定的服务范围内，当工程量增加、或设计变更、或设计规模变化时，乙方工作的变化均应视为本合同约定的工作</w:t>
      </w:r>
      <w:r>
        <w:rPr>
          <w:rFonts w:hint="eastAsia" w:ascii="宋体" w:hAnsi="宋体" w:eastAsia="宋体" w:cs="宋体"/>
          <w:color w:val="auto"/>
          <w:sz w:val="24"/>
          <w:highlight w:val="none"/>
        </w:rPr>
        <w:t>，全过程造价咨询服务费价格不变</w:t>
      </w:r>
      <w:r>
        <w:rPr>
          <w:rFonts w:ascii="宋体" w:hAnsi="宋体" w:eastAsia="宋体" w:cs="宋体"/>
          <w:color w:val="auto"/>
          <w:sz w:val="24"/>
          <w:highlight w:val="none"/>
        </w:rPr>
        <w:t xml:space="preserve">。 </w:t>
      </w:r>
    </w:p>
    <w:p>
      <w:pPr>
        <w:snapToGrid w:val="0"/>
        <w:spacing w:line="360" w:lineRule="auto"/>
        <w:rPr>
          <w:rFonts w:ascii="宋体" w:hAnsi="宋体" w:eastAsia="宋体" w:cs="宋体"/>
          <w:iCs/>
          <w:color w:val="auto"/>
          <w:sz w:val="24"/>
          <w:highlight w:val="none"/>
        </w:rPr>
      </w:pPr>
      <w:r>
        <w:rPr>
          <w:rFonts w:ascii="宋体" w:hAnsi="宋体" w:eastAsia="宋体" w:cs="宋体"/>
          <w:color w:val="auto"/>
          <w:sz w:val="24"/>
          <w:highlight w:val="none"/>
        </w:rPr>
        <w:t>（3）在本合同约定的服务范围内，非因</w:t>
      </w:r>
      <w:r>
        <w:rPr>
          <w:rFonts w:hint="eastAsia" w:ascii="宋体" w:hAnsi="宋体" w:eastAsia="宋体" w:cs="宋体"/>
          <w:color w:val="auto"/>
          <w:sz w:val="24"/>
          <w:highlight w:val="none"/>
        </w:rPr>
        <w:t>乙方</w:t>
      </w:r>
      <w:r>
        <w:rPr>
          <w:rFonts w:ascii="宋体" w:hAnsi="宋体" w:eastAsia="宋体" w:cs="宋体"/>
          <w:color w:val="auto"/>
          <w:sz w:val="24"/>
          <w:highlight w:val="none"/>
        </w:rPr>
        <w:t>原因造成工程延期，致使服务期出现延长，乙方的责任期也应相应延长，本合同全过程</w:t>
      </w:r>
      <w:r>
        <w:rPr>
          <w:rFonts w:hint="eastAsia" w:ascii="宋体" w:hAnsi="宋体" w:eastAsia="宋体" w:cs="宋体"/>
          <w:color w:val="auto"/>
          <w:sz w:val="24"/>
          <w:highlight w:val="none"/>
        </w:rPr>
        <w:t>造价咨询服务费</w:t>
      </w:r>
      <w:r>
        <w:rPr>
          <w:rFonts w:ascii="宋体" w:hAnsi="宋体" w:eastAsia="宋体" w:cs="宋体"/>
          <w:color w:val="auto"/>
          <w:sz w:val="24"/>
          <w:highlight w:val="none"/>
        </w:rPr>
        <w:t>总额不因服务期限延长而调整，双方另有约定的除外。</w:t>
      </w:r>
    </w:p>
    <w:p>
      <w:pPr>
        <w:snapToGrid w:val="0"/>
        <w:spacing w:line="360" w:lineRule="auto"/>
        <w:rPr>
          <w:rFonts w:ascii="宋体" w:hAnsi="宋体" w:eastAsia="宋体" w:cs="宋体"/>
          <w:iCs/>
          <w:color w:val="auto"/>
          <w:sz w:val="24"/>
          <w:highlight w:val="none"/>
        </w:rPr>
      </w:pPr>
      <w:r>
        <w:rPr>
          <w:rFonts w:ascii="宋体" w:hAnsi="宋体" w:eastAsia="宋体" w:cs="宋体"/>
          <w:color w:val="auto"/>
          <w:sz w:val="24"/>
          <w:highlight w:val="none"/>
        </w:rPr>
        <w:t>（4）如在工程实施期间，因政策变化、规划调整等非乙方原因导致本合同发生重大变更或无法继续履行的，甲方有权经书面通知乙方后， 对合同工作内容进行调整或部分解除或解除本合同，乙方应积极配合甲方做好善后工作，并按乙方工作进展情况及合同支付节点支付相应费用，乙方不得要求额外的费用及任何形式的补偿。</w:t>
      </w:r>
    </w:p>
    <w:p>
      <w:pPr>
        <w:snapToGrid w:val="0"/>
        <w:spacing w:line="360" w:lineRule="auto"/>
        <w:rPr>
          <w:rFonts w:ascii="宋体" w:hAnsi="宋体" w:eastAsia="宋体" w:cs="宋体"/>
          <w:iCs/>
          <w:color w:val="auto"/>
          <w:sz w:val="24"/>
          <w:highlight w:val="none"/>
        </w:rPr>
      </w:pPr>
      <w:r>
        <w:rPr>
          <w:rFonts w:ascii="宋体" w:hAnsi="宋体" w:eastAsia="宋体" w:cs="宋体"/>
          <w:color w:val="auto"/>
          <w:sz w:val="24"/>
          <w:highlight w:val="none"/>
        </w:rPr>
        <w:t>（5）如在工程实施期间，因任何原因造成本合同工程中间停工而导致乙方必须二次或多次进出场，</w:t>
      </w:r>
      <w:r>
        <w:rPr>
          <w:rFonts w:hint="eastAsia" w:ascii="宋体" w:hAnsi="宋体" w:eastAsia="宋体" w:cs="宋体"/>
          <w:color w:val="auto"/>
          <w:sz w:val="24"/>
          <w:highlight w:val="none"/>
        </w:rPr>
        <w:t>全过程造价咨询服务费</w:t>
      </w:r>
      <w:r>
        <w:rPr>
          <w:rFonts w:ascii="宋体" w:hAnsi="宋体" w:eastAsia="宋体" w:cs="宋体"/>
          <w:color w:val="auto"/>
          <w:sz w:val="24"/>
          <w:highlight w:val="none"/>
        </w:rPr>
        <w:t>总额将不会因此而有所调整，相关费用亦已经包含在本合同</w:t>
      </w:r>
      <w:r>
        <w:rPr>
          <w:rFonts w:hint="eastAsia" w:ascii="宋体" w:hAnsi="宋体" w:eastAsia="宋体" w:cs="宋体"/>
          <w:color w:val="auto"/>
          <w:sz w:val="24"/>
          <w:highlight w:val="none"/>
        </w:rPr>
        <w:t>全过程造价咨询服务费</w:t>
      </w:r>
      <w:r>
        <w:rPr>
          <w:rFonts w:ascii="宋体" w:hAnsi="宋体" w:eastAsia="宋体" w:cs="宋体"/>
          <w:color w:val="auto"/>
          <w:sz w:val="24"/>
          <w:highlight w:val="none"/>
        </w:rPr>
        <w:t>之中。因工程中间停工而不退场的，乙方可与甲方协商减少驻场人员的数量，但本合同</w:t>
      </w:r>
      <w:r>
        <w:rPr>
          <w:rFonts w:hint="eastAsia" w:ascii="宋体" w:hAnsi="宋体" w:eastAsia="宋体" w:cs="宋体"/>
          <w:color w:val="auto"/>
          <w:sz w:val="24"/>
          <w:highlight w:val="none"/>
        </w:rPr>
        <w:t>全过程造价咨询服务费</w:t>
      </w:r>
      <w:r>
        <w:rPr>
          <w:rFonts w:ascii="宋体" w:hAnsi="宋体" w:eastAsia="宋体" w:cs="宋体"/>
          <w:color w:val="auto"/>
          <w:sz w:val="24"/>
          <w:highlight w:val="none"/>
        </w:rPr>
        <w:t>总额不作调整。</w:t>
      </w:r>
    </w:p>
    <w:p>
      <w:pPr>
        <w:snapToGrid w:val="0"/>
        <w:spacing w:line="360" w:lineRule="auto"/>
        <w:rPr>
          <w:rFonts w:ascii="宋体" w:hAnsi="宋体" w:eastAsia="宋体" w:cs="宋体"/>
          <w:iCs/>
          <w:color w:val="auto"/>
          <w:sz w:val="24"/>
          <w:highlight w:val="none"/>
        </w:rPr>
      </w:pPr>
      <w:r>
        <w:rPr>
          <w:rFonts w:ascii="宋体" w:hAnsi="宋体" w:eastAsia="宋体" w:cs="宋体"/>
          <w:color w:val="auto"/>
          <w:sz w:val="24"/>
          <w:highlight w:val="none"/>
        </w:rPr>
        <w:t>（6）乙方按合同约定承担违约金、赔偿金等费用，甲方均有权直接从向乙方支付的当期费用中直接扣除。</w:t>
      </w:r>
    </w:p>
    <w:p>
      <w:pPr>
        <w:snapToGrid w:val="0"/>
        <w:spacing w:line="360" w:lineRule="auto"/>
        <w:rPr>
          <w:rFonts w:ascii="宋体" w:hAnsi="宋体" w:eastAsia="宋体" w:cs="宋体"/>
          <w:iCs/>
          <w:color w:val="auto"/>
          <w:sz w:val="24"/>
          <w:highlight w:val="none"/>
        </w:rPr>
      </w:pPr>
      <w:r>
        <w:rPr>
          <w:rFonts w:ascii="宋体" w:hAnsi="宋体" w:eastAsia="宋体" w:cs="宋体"/>
          <w:color w:val="auto"/>
          <w:sz w:val="24"/>
          <w:highlight w:val="none"/>
        </w:rPr>
        <w:t>（7）每次支付前，应由乙方提交支付申请</w:t>
      </w:r>
      <w:r>
        <w:rPr>
          <w:rFonts w:hint="eastAsia" w:ascii="宋体" w:hAnsi="宋体" w:eastAsia="宋体" w:cs="宋体"/>
          <w:color w:val="auto"/>
          <w:sz w:val="24"/>
          <w:highlight w:val="none"/>
          <w:lang w:eastAsia="zh-CN"/>
        </w:rPr>
        <w:t>、</w:t>
      </w:r>
      <w:r>
        <w:rPr>
          <w:rFonts w:ascii="宋体" w:hAnsi="宋体" w:eastAsia="宋体" w:cs="宋体"/>
          <w:color w:val="auto"/>
          <w:sz w:val="24"/>
          <w:highlight w:val="none"/>
        </w:rPr>
        <w:t>等值、合法、有效的增值税发票。</w:t>
      </w:r>
    </w:p>
    <w:bookmarkEnd w:id="52"/>
    <w:bookmarkEnd w:id="53"/>
    <w:p>
      <w:pPr>
        <w:snapToGrid w:val="0"/>
        <w:spacing w:line="360" w:lineRule="auto"/>
        <w:rPr>
          <w:rFonts w:ascii="宋体" w:hAnsi="宋体" w:eastAsia="宋体" w:cs="宋体"/>
          <w:color w:val="auto"/>
          <w:highlight w:val="none"/>
        </w:rPr>
      </w:pPr>
      <w:bookmarkStart w:id="56" w:name="_Toc489865863"/>
      <w:r>
        <w:rPr>
          <w:rFonts w:hint="eastAsia" w:ascii="宋体" w:hAnsi="宋体" w:eastAsia="宋体" w:cs="宋体"/>
          <w:iCs/>
          <w:color w:val="auto"/>
          <w:sz w:val="24"/>
          <w:highlight w:val="none"/>
        </w:rPr>
        <w:t>12.5乙方如需外聘专家协助，聘请专家的费用由乙方承担。</w:t>
      </w:r>
      <w:bookmarkEnd w:id="56"/>
    </w:p>
    <w:p>
      <w:pPr>
        <w:spacing w:line="360" w:lineRule="auto"/>
        <w:rPr>
          <w:rFonts w:ascii="宋体" w:hAnsi="宋体" w:eastAsia="宋体" w:cs="宋体"/>
          <w:color w:val="auto"/>
          <w:kern w:val="1"/>
          <w:sz w:val="24"/>
          <w:highlight w:val="none"/>
        </w:rPr>
      </w:pPr>
      <w:r>
        <w:rPr>
          <w:rFonts w:hint="eastAsia" w:ascii="宋体" w:hAnsi="宋体" w:eastAsia="宋体" w:cs="宋体"/>
          <w:b/>
          <w:bCs/>
          <w:color w:val="auto"/>
          <w:sz w:val="24"/>
          <w:highlight w:val="none"/>
        </w:rPr>
        <w:t>13.违约责任</w:t>
      </w:r>
    </w:p>
    <w:p>
      <w:pPr>
        <w:spacing w:line="360" w:lineRule="auto"/>
        <w:rPr>
          <w:rFonts w:ascii="宋体" w:hAnsi="宋体" w:eastAsia="宋体" w:cs="宋体"/>
          <w:iCs/>
          <w:color w:val="auto"/>
          <w:sz w:val="24"/>
          <w:highlight w:val="none"/>
        </w:rPr>
      </w:pPr>
      <w:r>
        <w:rPr>
          <w:rFonts w:hint="eastAsia" w:ascii="宋体" w:hAnsi="宋体" w:eastAsia="宋体" w:cs="宋体"/>
          <w:iCs/>
          <w:color w:val="auto"/>
          <w:sz w:val="24"/>
          <w:highlight w:val="none"/>
        </w:rPr>
        <w:t>13.1因乙方的单方过失</w:t>
      </w:r>
      <w:r>
        <w:rPr>
          <w:rFonts w:hint="eastAsia" w:ascii="宋体" w:hAnsi="宋体" w:eastAsia="宋体" w:cs="宋体"/>
          <w:iCs/>
          <w:color w:val="auto"/>
          <w:sz w:val="24"/>
          <w:highlight w:val="none"/>
          <w:lang w:val="en-US" w:eastAsia="zh-CN"/>
        </w:rPr>
        <w:t>或其他原因</w:t>
      </w:r>
      <w:r>
        <w:rPr>
          <w:rFonts w:hint="eastAsia" w:ascii="宋体" w:hAnsi="宋体" w:eastAsia="宋体" w:cs="宋体"/>
          <w:iCs/>
          <w:color w:val="auto"/>
          <w:sz w:val="24"/>
          <w:highlight w:val="none"/>
        </w:rPr>
        <w:t>造成经乙方编或审的工程量清单出现单项工程量与实际工程量偏差超过20%，或漏项导致工程造价偏差超过</w:t>
      </w:r>
      <w:r>
        <w:rPr>
          <w:rFonts w:ascii="宋体" w:hAnsi="宋体" w:eastAsia="宋体" w:cs="宋体"/>
          <w:iCs/>
          <w:color w:val="auto"/>
          <w:sz w:val="24"/>
          <w:highlight w:val="none"/>
        </w:rPr>
        <w:t>10%</w:t>
      </w:r>
      <w:r>
        <w:rPr>
          <w:rFonts w:hint="eastAsia" w:ascii="宋体" w:hAnsi="宋体" w:eastAsia="宋体" w:cs="宋体"/>
          <w:iCs/>
          <w:color w:val="auto"/>
          <w:sz w:val="24"/>
          <w:highlight w:val="none"/>
        </w:rPr>
        <w:t>，甲方将扣罚乙方违约金人民币10000元/次，情节特别严重的（以甲方认定为准），甲方有权单方面部分解除合同或解除整体合同</w:t>
      </w:r>
      <w:r>
        <w:rPr>
          <w:rFonts w:hint="eastAsia" w:ascii="宋体" w:hAnsi="宋体" w:eastAsia="宋体" w:cs="宋体"/>
          <w:iCs/>
          <w:color w:val="auto"/>
          <w:sz w:val="24"/>
          <w:highlight w:val="none"/>
          <w:lang w:eastAsia="zh-CN"/>
        </w:rPr>
        <w:t>；</w:t>
      </w:r>
      <w:r>
        <w:rPr>
          <w:rFonts w:hint="eastAsia" w:ascii="宋体" w:hAnsi="宋体" w:eastAsia="宋体" w:cs="宋体"/>
          <w:iCs/>
          <w:color w:val="auto"/>
          <w:sz w:val="24"/>
          <w:highlight w:val="none"/>
          <w:lang w:val="en-US" w:eastAsia="zh-CN"/>
        </w:rPr>
        <w:t>违约金不足以赔偿甲方损失的，乙方应予补足</w:t>
      </w:r>
      <w:r>
        <w:rPr>
          <w:rFonts w:hint="eastAsia" w:ascii="宋体" w:hAnsi="宋体" w:eastAsia="宋体" w:cs="宋体"/>
          <w:iCs/>
          <w:color w:val="auto"/>
          <w:sz w:val="24"/>
          <w:highlight w:val="none"/>
        </w:rPr>
        <w:t>。</w:t>
      </w:r>
    </w:p>
    <w:p>
      <w:pPr>
        <w:spacing w:line="360" w:lineRule="auto"/>
        <w:rPr>
          <w:rFonts w:ascii="宋体" w:hAnsi="宋体" w:eastAsia="宋体" w:cs="宋体"/>
          <w:iCs/>
          <w:color w:val="auto"/>
          <w:sz w:val="24"/>
          <w:highlight w:val="none"/>
        </w:rPr>
      </w:pPr>
      <w:r>
        <w:rPr>
          <w:rFonts w:hint="eastAsia" w:ascii="宋体" w:hAnsi="宋体" w:eastAsia="宋体" w:cs="宋体"/>
          <w:iCs/>
          <w:color w:val="auto"/>
          <w:sz w:val="24"/>
          <w:highlight w:val="none"/>
        </w:rPr>
        <w:t>13.2乙方在造价咨询服务过程中，如有违反以下条款，甲方有权</w:t>
      </w:r>
      <w:r>
        <w:rPr>
          <w:rFonts w:hint="eastAsia" w:ascii="宋体" w:hAnsi="宋体" w:eastAsia="宋体" w:cs="宋体"/>
          <w:iCs/>
          <w:color w:val="auto"/>
          <w:sz w:val="24"/>
          <w:highlight w:val="none"/>
          <w:lang w:val="en-US" w:eastAsia="zh-CN"/>
        </w:rPr>
        <w:t>要求</w:t>
      </w:r>
      <w:r>
        <w:rPr>
          <w:rFonts w:hint="eastAsia" w:ascii="宋体" w:hAnsi="宋体" w:eastAsia="宋体" w:cs="宋体"/>
          <w:iCs/>
          <w:color w:val="auto"/>
          <w:sz w:val="24"/>
          <w:highlight w:val="none"/>
        </w:rPr>
        <w:t>乙方按照合同暂定价格的15%向甲方支付违约金</w:t>
      </w:r>
      <w:r>
        <w:rPr>
          <w:rFonts w:hint="eastAsia" w:ascii="宋体" w:hAnsi="宋体" w:eastAsia="宋体" w:cs="宋体"/>
          <w:iCs/>
          <w:color w:val="auto"/>
          <w:sz w:val="24"/>
          <w:highlight w:val="none"/>
          <w:lang w:eastAsia="zh-CN"/>
        </w:rPr>
        <w:t>，</w:t>
      </w:r>
      <w:r>
        <w:rPr>
          <w:rFonts w:hint="eastAsia" w:ascii="宋体" w:hAnsi="宋体" w:eastAsia="宋体" w:cs="宋体"/>
          <w:iCs/>
          <w:color w:val="auto"/>
          <w:sz w:val="24"/>
          <w:highlight w:val="none"/>
          <w:lang w:val="en-US" w:eastAsia="zh-CN"/>
        </w:rPr>
        <w:t>且甲方有权</w:t>
      </w:r>
      <w:r>
        <w:rPr>
          <w:rFonts w:hint="eastAsia" w:ascii="宋体" w:hAnsi="宋体" w:eastAsia="宋体" w:cs="宋体"/>
          <w:iCs/>
          <w:color w:val="auto"/>
          <w:sz w:val="24"/>
          <w:highlight w:val="none"/>
        </w:rPr>
        <w:t>单方面部分或者整体解除合同，违约金无法弥补甲方损失的，乙方还应赔偿损失。同时甲方对乙方进行诚信记录，限制乙方在甲方其他项目招标中的投标资格，并保留进一步向主管部门投诉及向乙方追诉法律责任的权利。</w:t>
      </w:r>
    </w:p>
    <w:p>
      <w:pPr>
        <w:spacing w:line="360" w:lineRule="auto"/>
        <w:rPr>
          <w:rFonts w:ascii="宋体" w:hAnsi="宋体" w:eastAsia="宋体" w:cs="宋体"/>
          <w:iCs/>
          <w:color w:val="auto"/>
          <w:sz w:val="24"/>
          <w:highlight w:val="none"/>
        </w:rPr>
      </w:pPr>
      <w:r>
        <w:rPr>
          <w:rFonts w:hint="eastAsia" w:ascii="宋体" w:hAnsi="宋体" w:eastAsia="宋体" w:cs="宋体"/>
          <w:iCs/>
          <w:color w:val="auto"/>
          <w:sz w:val="24"/>
          <w:highlight w:val="none"/>
        </w:rPr>
        <w:t>（1）乙方没有认真按图纸编制（审核）预算价、工程量清单，造成建设项目投资失控、建设工期延误的；</w:t>
      </w:r>
    </w:p>
    <w:p>
      <w:pPr>
        <w:spacing w:line="360" w:lineRule="auto"/>
        <w:rPr>
          <w:rFonts w:ascii="宋体" w:hAnsi="宋体" w:eastAsia="宋体" w:cs="宋体"/>
          <w:iCs/>
          <w:color w:val="auto"/>
          <w:sz w:val="24"/>
          <w:highlight w:val="none"/>
        </w:rPr>
      </w:pPr>
      <w:r>
        <w:rPr>
          <w:rFonts w:hint="eastAsia" w:ascii="宋体" w:hAnsi="宋体" w:eastAsia="宋体" w:cs="宋体"/>
          <w:iCs/>
          <w:color w:val="auto"/>
          <w:sz w:val="24"/>
          <w:highlight w:val="none"/>
        </w:rPr>
        <w:t>（2）乙方没有按施工合同及结算编制原则进行结算的，造成合同结算延误及影响资金支付、劳资纠纷的；</w:t>
      </w:r>
    </w:p>
    <w:p>
      <w:pPr>
        <w:spacing w:line="360" w:lineRule="auto"/>
        <w:rPr>
          <w:rFonts w:ascii="宋体" w:hAnsi="宋体" w:eastAsia="宋体" w:cs="宋体"/>
          <w:iCs/>
          <w:color w:val="auto"/>
          <w:sz w:val="24"/>
          <w:highlight w:val="none"/>
        </w:rPr>
      </w:pPr>
      <w:r>
        <w:rPr>
          <w:rFonts w:hint="eastAsia" w:ascii="宋体" w:hAnsi="宋体" w:eastAsia="宋体" w:cs="宋体"/>
          <w:iCs/>
          <w:color w:val="auto"/>
          <w:sz w:val="24"/>
          <w:highlight w:val="none"/>
        </w:rPr>
        <w:t>13.3乙方必须按国家、省、市有关规定进行造价咨询工作，认真、准确、及时出具咨询成果文件，因乙方的单方过失造成的经济损失，甲方有权向乙方追究法律责任并进行索赔。</w:t>
      </w:r>
    </w:p>
    <w:p>
      <w:pPr>
        <w:spacing w:line="360" w:lineRule="auto"/>
        <w:rPr>
          <w:rFonts w:ascii="宋体" w:hAnsi="宋体" w:eastAsia="宋体" w:cs="宋体"/>
          <w:iCs/>
          <w:color w:val="auto"/>
          <w:sz w:val="24"/>
          <w:highlight w:val="none"/>
        </w:rPr>
      </w:pPr>
      <w:r>
        <w:rPr>
          <w:rFonts w:hint="eastAsia" w:ascii="宋体" w:hAnsi="宋体" w:eastAsia="宋体" w:cs="宋体"/>
          <w:iCs/>
          <w:color w:val="auto"/>
          <w:sz w:val="24"/>
          <w:highlight w:val="none"/>
        </w:rPr>
        <w:t>13.4组织管理方面的违约责任</w:t>
      </w:r>
    </w:p>
    <w:p>
      <w:pPr>
        <w:spacing w:line="360" w:lineRule="auto"/>
        <w:rPr>
          <w:rFonts w:ascii="宋体" w:hAnsi="宋体" w:eastAsia="宋体" w:cs="宋体"/>
          <w:iCs/>
          <w:color w:val="auto"/>
          <w:sz w:val="24"/>
          <w:highlight w:val="none"/>
        </w:rPr>
      </w:pPr>
      <w:r>
        <w:rPr>
          <w:rFonts w:hint="eastAsia" w:ascii="宋体" w:hAnsi="宋体" w:eastAsia="宋体" w:cs="宋体"/>
          <w:iCs/>
          <w:color w:val="auto"/>
          <w:sz w:val="24"/>
          <w:highlight w:val="none"/>
        </w:rPr>
        <w:t>（1）乙方违反合同约定，不服从甲方的管理，对甲方的指令和书面通知公开或变相拒不执行的，须向甲方支付违约金人民币5000元／次；超过三次的，视为情节特别严重，甲方有权单方面部分解除合同或解除整体合同；</w:t>
      </w:r>
    </w:p>
    <w:p>
      <w:pPr>
        <w:spacing w:line="360" w:lineRule="auto"/>
        <w:rPr>
          <w:rFonts w:ascii="宋体" w:hAnsi="宋体" w:eastAsia="宋体" w:cs="宋体"/>
          <w:iCs/>
          <w:color w:val="auto"/>
          <w:sz w:val="24"/>
          <w:highlight w:val="none"/>
        </w:rPr>
      </w:pPr>
      <w:r>
        <w:rPr>
          <w:rFonts w:hint="eastAsia" w:ascii="宋体" w:hAnsi="宋体" w:eastAsia="宋体" w:cs="宋体"/>
          <w:iCs/>
          <w:color w:val="auto"/>
          <w:sz w:val="24"/>
          <w:highlight w:val="none"/>
        </w:rPr>
        <w:t>（2）乙方无合理原因或未经甲方书面同意，不遵守甲方在咨询服务期内所制订的各项制度、规定、咨询工作要求及咨询工作成果要求的，须向甲方支付违约金人民币5000元／次；超过</w:t>
      </w:r>
      <w:r>
        <w:rPr>
          <w:rFonts w:hint="eastAsia" w:ascii="宋体" w:hAnsi="宋体" w:eastAsia="宋体" w:cs="宋体"/>
          <w:iCs/>
          <w:color w:val="auto"/>
          <w:sz w:val="24"/>
          <w:highlight w:val="none"/>
          <w:lang w:eastAsia="zh-CN"/>
        </w:rPr>
        <w:t>【】</w:t>
      </w:r>
      <w:r>
        <w:rPr>
          <w:rFonts w:hint="eastAsia" w:ascii="宋体" w:hAnsi="宋体" w:eastAsia="宋体" w:cs="宋体"/>
          <w:iCs/>
          <w:color w:val="auto"/>
          <w:sz w:val="24"/>
          <w:highlight w:val="none"/>
        </w:rPr>
        <w:t>次的，视为情节特别严重，甲方有权单方面部分解除合同或解除整体合同；</w:t>
      </w:r>
    </w:p>
    <w:p>
      <w:pPr>
        <w:spacing w:line="360" w:lineRule="auto"/>
        <w:rPr>
          <w:rFonts w:ascii="宋体" w:hAnsi="宋体" w:eastAsia="宋体" w:cs="宋体"/>
          <w:iCs/>
          <w:color w:val="auto"/>
          <w:sz w:val="24"/>
          <w:highlight w:val="none"/>
        </w:rPr>
      </w:pPr>
      <w:r>
        <w:rPr>
          <w:rFonts w:hint="eastAsia" w:ascii="宋体" w:hAnsi="宋体" w:eastAsia="宋体" w:cs="宋体"/>
          <w:iCs/>
          <w:color w:val="auto"/>
          <w:sz w:val="24"/>
          <w:highlight w:val="none"/>
        </w:rPr>
        <w:t>（3）乙方不按合同约定投入投标承诺全职驻场的服务人员或不按甲方时限要求更换服务人员或未按本合同专用条件要求履行相应更换手续而擅自更换服务人员时，乙方除承担本合同约定的其他责任外，还须无条件按下表约定的金额向甲方支付违约金：</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241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314" w:type="dxa"/>
            <w:tcBorders>
              <w:bottom w:val="single" w:color="auto" w:sz="4" w:space="0"/>
            </w:tcBorders>
            <w:vAlign w:val="center"/>
          </w:tcPr>
          <w:p>
            <w:pPr>
              <w:rPr>
                <w:rFonts w:ascii="宋体" w:hAnsi="Calibri" w:eastAsia="宋体" w:cs="Times New Roman"/>
                <w:snapToGrid w:val="0"/>
                <w:color w:val="auto"/>
                <w:kern w:val="0"/>
                <w:szCs w:val="21"/>
                <w:highlight w:val="none"/>
              </w:rPr>
            </w:pPr>
            <w:r>
              <w:rPr>
                <w:rFonts w:hint="eastAsia" w:ascii="宋体" w:hAnsi="宋体" w:eastAsia="宋体" w:cs="宋体"/>
                <w:snapToGrid w:val="0"/>
                <w:color w:val="auto"/>
                <w:kern w:val="0"/>
                <w:szCs w:val="21"/>
                <w:highlight w:val="none"/>
              </w:rPr>
              <w:t>承诺项目</w:t>
            </w:r>
          </w:p>
        </w:tc>
        <w:tc>
          <w:tcPr>
            <w:tcW w:w="2410" w:type="dxa"/>
            <w:vAlign w:val="center"/>
          </w:tcPr>
          <w:p>
            <w:pPr>
              <w:rPr>
                <w:rFonts w:ascii="宋体" w:hAnsi="Calibri" w:eastAsia="宋体" w:cs="Times New Roman"/>
                <w:snapToGrid w:val="0"/>
                <w:color w:val="auto"/>
                <w:kern w:val="0"/>
                <w:szCs w:val="21"/>
                <w:highlight w:val="none"/>
              </w:rPr>
            </w:pPr>
            <w:r>
              <w:rPr>
                <w:rFonts w:hint="eastAsia" w:ascii="宋体" w:hAnsi="宋体" w:eastAsia="宋体" w:cs="宋体"/>
                <w:snapToGrid w:val="0"/>
                <w:color w:val="auto"/>
                <w:kern w:val="0"/>
                <w:szCs w:val="21"/>
                <w:highlight w:val="none"/>
              </w:rPr>
              <w:t>违约说明</w:t>
            </w:r>
          </w:p>
        </w:tc>
        <w:tc>
          <w:tcPr>
            <w:tcW w:w="2835" w:type="dxa"/>
            <w:vAlign w:val="center"/>
          </w:tcPr>
          <w:p>
            <w:pPr>
              <w:rPr>
                <w:rFonts w:ascii="宋体" w:hAnsi="Calibri" w:eastAsia="宋体" w:cs="Times New Roman"/>
                <w:snapToGrid w:val="0"/>
                <w:color w:val="auto"/>
                <w:kern w:val="0"/>
                <w:szCs w:val="21"/>
                <w:highlight w:val="none"/>
              </w:rPr>
            </w:pPr>
            <w:r>
              <w:rPr>
                <w:rFonts w:hint="eastAsia" w:ascii="宋体" w:hAnsi="宋体" w:eastAsia="宋体" w:cs="宋体"/>
                <w:snapToGrid w:val="0"/>
                <w:color w:val="auto"/>
                <w:kern w:val="0"/>
                <w:szCs w:val="21"/>
                <w:highlight w:val="none"/>
              </w:rPr>
              <w:t>乙方承诺的违约金额（元）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4"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snapToGrid w:val="0"/>
                <w:color w:val="auto"/>
                <w:kern w:val="0"/>
                <w:szCs w:val="21"/>
                <w:highlight w:val="none"/>
              </w:rPr>
            </w:pPr>
            <w:r>
              <w:rPr>
                <w:rFonts w:hint="eastAsia" w:ascii="宋体" w:hAnsi="宋体" w:eastAsia="宋体" w:cs="宋体"/>
                <w:snapToGrid w:val="0"/>
                <w:color w:val="auto"/>
                <w:kern w:val="0"/>
                <w:szCs w:val="21"/>
                <w:highlight w:val="none"/>
              </w:rPr>
              <w:t>项目组</w:t>
            </w:r>
          </w:p>
        </w:tc>
        <w:tc>
          <w:tcPr>
            <w:tcW w:w="2410" w:type="dxa"/>
            <w:tcBorders>
              <w:left w:val="single" w:color="auto" w:sz="4" w:space="0"/>
            </w:tcBorders>
            <w:vAlign w:val="center"/>
          </w:tcPr>
          <w:p>
            <w:pPr>
              <w:rPr>
                <w:rFonts w:ascii="宋体" w:hAnsi="Calibri" w:eastAsia="宋体" w:cs="Times New Roman"/>
                <w:snapToGrid w:val="0"/>
                <w:color w:val="auto"/>
                <w:kern w:val="0"/>
                <w:szCs w:val="21"/>
                <w:highlight w:val="none"/>
              </w:rPr>
            </w:pPr>
            <w:r>
              <w:rPr>
                <w:rFonts w:hint="eastAsia" w:ascii="宋体" w:hAnsi="宋体" w:eastAsia="宋体" w:cs="宋体"/>
                <w:snapToGrid w:val="0"/>
                <w:color w:val="auto"/>
                <w:kern w:val="0"/>
                <w:szCs w:val="21"/>
                <w:highlight w:val="none"/>
              </w:rPr>
              <w:t>项目负责人更换</w:t>
            </w:r>
          </w:p>
        </w:tc>
        <w:tc>
          <w:tcPr>
            <w:tcW w:w="2835" w:type="dxa"/>
            <w:vAlign w:val="center"/>
          </w:tcPr>
          <w:p>
            <w:pPr>
              <w:rPr>
                <w:rFonts w:ascii="宋体" w:hAnsi="Calibri" w:eastAsia="宋体" w:cs="Times New Roman"/>
                <w:snapToGrid w:val="0"/>
                <w:color w:val="auto"/>
                <w:kern w:val="0"/>
                <w:szCs w:val="21"/>
                <w:highlight w:val="none"/>
              </w:rPr>
            </w:pPr>
            <w:r>
              <w:rPr>
                <w:rFonts w:hint="eastAsia" w:ascii="宋体" w:hAnsi="宋体" w:eastAsia="宋体" w:cs="宋体"/>
                <w:snapToGrid w:val="0"/>
                <w:color w:val="auto"/>
                <w:kern w:val="0"/>
                <w:szCs w:val="21"/>
                <w:highlight w:val="none"/>
              </w:rPr>
              <w:t>咨询服务费暂定价格的3</w:t>
            </w:r>
            <w:r>
              <w:rPr>
                <w:rFonts w:ascii="宋体" w:hAnsi="宋体" w:eastAsia="宋体" w:cs="宋体"/>
                <w:snapToGrid w:val="0"/>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snapToGrid w:val="0"/>
                <w:color w:val="auto"/>
                <w:kern w:val="0"/>
                <w:szCs w:val="21"/>
                <w:highlight w:val="none"/>
              </w:rPr>
            </w:pPr>
          </w:p>
        </w:tc>
        <w:tc>
          <w:tcPr>
            <w:tcW w:w="2410" w:type="dxa"/>
            <w:tcBorders>
              <w:left w:val="single" w:color="auto" w:sz="4" w:space="0"/>
            </w:tcBorders>
            <w:vAlign w:val="center"/>
          </w:tcPr>
          <w:p>
            <w:pPr>
              <w:rPr>
                <w:rFonts w:ascii="宋体" w:hAnsi="Calibri" w:eastAsia="宋体" w:cs="Times New Roman"/>
                <w:snapToGrid w:val="0"/>
                <w:color w:val="auto"/>
                <w:kern w:val="0"/>
                <w:szCs w:val="21"/>
                <w:highlight w:val="none"/>
              </w:rPr>
            </w:pPr>
            <w:r>
              <w:rPr>
                <w:rFonts w:hint="eastAsia" w:ascii="宋体" w:hAnsi="宋体" w:eastAsia="宋体" w:cs="宋体"/>
                <w:snapToGrid w:val="0"/>
                <w:color w:val="auto"/>
                <w:kern w:val="0"/>
                <w:szCs w:val="21"/>
                <w:highlight w:val="none"/>
              </w:rPr>
              <w:t>专业负责人更换</w:t>
            </w:r>
          </w:p>
        </w:tc>
        <w:tc>
          <w:tcPr>
            <w:tcW w:w="2835" w:type="dxa"/>
            <w:vAlign w:val="center"/>
          </w:tcPr>
          <w:p>
            <w:pPr>
              <w:rPr>
                <w:rFonts w:ascii="宋体" w:hAnsi="Calibri" w:eastAsia="宋体" w:cs="Times New Roman"/>
                <w:snapToGrid w:val="0"/>
                <w:color w:val="auto"/>
                <w:kern w:val="0"/>
                <w:szCs w:val="21"/>
                <w:highlight w:val="none"/>
              </w:rPr>
            </w:pPr>
            <w:r>
              <w:rPr>
                <w:rFonts w:hint="eastAsia" w:ascii="宋体" w:hAnsi="宋体" w:eastAsia="宋体" w:cs="宋体"/>
                <w:snapToGrid w:val="0"/>
                <w:color w:val="auto"/>
                <w:kern w:val="0"/>
                <w:szCs w:val="21"/>
                <w:highlight w:val="none"/>
              </w:rPr>
              <w:t>咨询服务费暂定价格的2</w:t>
            </w:r>
            <w:r>
              <w:rPr>
                <w:rFonts w:ascii="宋体" w:hAnsi="宋体" w:eastAsia="宋体" w:cs="宋体"/>
                <w:snapToGrid w:val="0"/>
                <w:color w:val="auto"/>
                <w:kern w:val="0"/>
                <w:szCs w:val="21"/>
                <w:highlight w:val="none"/>
              </w:rPr>
              <w:t>%</w:t>
            </w:r>
          </w:p>
        </w:tc>
      </w:tr>
    </w:tbl>
    <w:p>
      <w:pPr>
        <w:spacing w:line="360" w:lineRule="auto"/>
        <w:rPr>
          <w:rFonts w:ascii="宋体" w:hAnsi="宋体" w:eastAsia="宋体" w:cs="宋体"/>
          <w:iCs/>
          <w:color w:val="auto"/>
          <w:sz w:val="24"/>
          <w:highlight w:val="none"/>
        </w:rPr>
      </w:pPr>
      <w:r>
        <w:rPr>
          <w:rFonts w:ascii="宋体" w:hAnsi="宋体" w:eastAsia="宋体" w:cs="宋体"/>
          <w:iCs/>
          <w:color w:val="auto"/>
          <w:sz w:val="24"/>
          <w:highlight w:val="none"/>
        </w:rPr>
        <w:t>注：</w:t>
      </w:r>
      <w:r>
        <w:rPr>
          <w:rFonts w:hint="eastAsia" w:ascii="宋体" w:hAnsi="宋体" w:eastAsia="宋体" w:cs="宋体"/>
          <w:iCs/>
          <w:color w:val="auto"/>
          <w:sz w:val="24"/>
          <w:highlight w:val="none"/>
        </w:rPr>
        <w:t>乙方擅自更换的服务人员不符合招标文件中要求的，甲方有权部分解除或整体解除合同。</w:t>
      </w:r>
    </w:p>
    <w:p>
      <w:pPr>
        <w:spacing w:line="360" w:lineRule="auto"/>
        <w:rPr>
          <w:rFonts w:ascii="宋体" w:hAnsi="宋体" w:eastAsia="宋体" w:cs="宋体"/>
          <w:iCs/>
          <w:color w:val="auto"/>
          <w:sz w:val="24"/>
          <w:highlight w:val="none"/>
        </w:rPr>
      </w:pPr>
      <w:r>
        <w:rPr>
          <w:rFonts w:hint="eastAsia" w:ascii="宋体" w:hAnsi="宋体" w:eastAsia="宋体" w:cs="宋体"/>
          <w:iCs/>
          <w:color w:val="auto"/>
          <w:sz w:val="24"/>
          <w:highlight w:val="none"/>
        </w:rPr>
        <w:t>（4）乙方的驻场专业负责人必须参加甲方主持的工程造价例会和其它要求的专题会议，除获得甲方批准外，每缺席1人次，须向甲方支付违约金人民币2000元／次；超过</w:t>
      </w:r>
      <w:r>
        <w:rPr>
          <w:rFonts w:hint="eastAsia" w:ascii="宋体" w:hAnsi="宋体" w:eastAsia="宋体" w:cs="宋体"/>
          <w:iCs/>
          <w:color w:val="auto"/>
          <w:sz w:val="24"/>
          <w:highlight w:val="none"/>
          <w:lang w:eastAsia="zh-CN"/>
        </w:rPr>
        <w:t>【】</w:t>
      </w:r>
      <w:r>
        <w:rPr>
          <w:rFonts w:hint="eastAsia" w:ascii="宋体" w:hAnsi="宋体" w:eastAsia="宋体" w:cs="宋体"/>
          <w:iCs/>
          <w:color w:val="auto"/>
          <w:sz w:val="24"/>
          <w:highlight w:val="none"/>
        </w:rPr>
        <w:t>次的，视为情节特别严重，甲方有权单方面部分解除合同或解除整体合同。</w:t>
      </w:r>
    </w:p>
    <w:p>
      <w:pPr>
        <w:spacing w:line="360" w:lineRule="auto"/>
        <w:rPr>
          <w:rFonts w:ascii="宋体" w:hAnsi="宋体" w:eastAsia="宋体" w:cs="宋体"/>
          <w:iCs/>
          <w:color w:val="auto"/>
          <w:sz w:val="24"/>
          <w:highlight w:val="none"/>
        </w:rPr>
      </w:pPr>
      <w:r>
        <w:rPr>
          <w:rFonts w:hint="eastAsia" w:ascii="宋体" w:hAnsi="宋体" w:eastAsia="宋体" w:cs="宋体"/>
          <w:iCs/>
          <w:color w:val="auto"/>
          <w:sz w:val="24"/>
          <w:highlight w:val="none"/>
        </w:rPr>
        <w:t>13.5其他方面违约责任</w:t>
      </w:r>
    </w:p>
    <w:p>
      <w:pPr>
        <w:spacing w:line="360" w:lineRule="auto"/>
        <w:rPr>
          <w:rFonts w:ascii="宋体" w:hAnsi="宋体" w:eastAsia="宋体" w:cs="宋体"/>
          <w:iCs/>
          <w:color w:val="auto"/>
          <w:sz w:val="24"/>
          <w:highlight w:val="none"/>
        </w:rPr>
      </w:pPr>
      <w:r>
        <w:rPr>
          <w:rFonts w:hint="eastAsia" w:ascii="宋体" w:hAnsi="宋体" w:eastAsia="宋体" w:cs="宋体"/>
          <w:iCs/>
          <w:color w:val="auto"/>
          <w:sz w:val="24"/>
          <w:highlight w:val="none"/>
        </w:rPr>
        <w:t>（1）乙方违反有关法律、法规和政策或工作失误，造成甲方损失，须向甲方支付违约金人民币5000元／次，违约金不足以弥补损失的，须补足。</w:t>
      </w:r>
    </w:p>
    <w:p>
      <w:pPr>
        <w:spacing w:line="360" w:lineRule="auto"/>
        <w:rPr>
          <w:rFonts w:ascii="宋体" w:hAnsi="宋体" w:eastAsia="宋体" w:cs="宋体"/>
          <w:iCs/>
          <w:color w:val="auto"/>
          <w:sz w:val="24"/>
          <w:highlight w:val="none"/>
        </w:rPr>
      </w:pPr>
      <w:r>
        <w:rPr>
          <w:rFonts w:hint="eastAsia" w:ascii="宋体" w:hAnsi="宋体" w:eastAsia="宋体" w:cs="宋体"/>
          <w:iCs/>
          <w:color w:val="auto"/>
          <w:sz w:val="24"/>
          <w:highlight w:val="none"/>
        </w:rPr>
        <w:t>（2）乙方通过提供虚假信息，误导或欺骗等方式，谋取非法利益的，经甲方查实的，须向甲方支付违约金人民币10000元／次，且谋取的非法利益应当返还；</w:t>
      </w:r>
    </w:p>
    <w:p>
      <w:pPr>
        <w:spacing w:line="360" w:lineRule="auto"/>
        <w:rPr>
          <w:rFonts w:ascii="宋体" w:hAnsi="宋体" w:eastAsia="宋体" w:cs="宋体"/>
          <w:iCs/>
          <w:color w:val="auto"/>
          <w:sz w:val="24"/>
          <w:highlight w:val="none"/>
        </w:rPr>
      </w:pPr>
      <w:r>
        <w:rPr>
          <w:rFonts w:hint="eastAsia" w:ascii="宋体" w:hAnsi="宋体" w:eastAsia="宋体" w:cs="宋体"/>
          <w:iCs/>
          <w:color w:val="auto"/>
          <w:sz w:val="24"/>
          <w:highlight w:val="none"/>
        </w:rPr>
        <w:t>（3）乙方未经甲方书面同意擅自将受托项目转委托给第三方的，向甲方支付违约金人民币20000元／次；</w:t>
      </w:r>
    </w:p>
    <w:p>
      <w:pPr>
        <w:spacing w:line="360" w:lineRule="auto"/>
        <w:rPr>
          <w:rFonts w:ascii="宋体" w:hAnsi="宋体" w:eastAsia="宋体" w:cs="宋体"/>
          <w:iCs/>
          <w:color w:val="auto"/>
          <w:sz w:val="24"/>
          <w:highlight w:val="none"/>
        </w:rPr>
      </w:pPr>
      <w:r>
        <w:rPr>
          <w:rFonts w:hint="eastAsia" w:ascii="宋体" w:hAnsi="宋体" w:eastAsia="宋体" w:cs="宋体"/>
          <w:iCs/>
          <w:color w:val="auto"/>
          <w:sz w:val="24"/>
          <w:highlight w:val="none"/>
        </w:rPr>
        <w:t>（4）乙方违反回避制度的，向甲方支付违约金人民币5000元／次；</w:t>
      </w:r>
    </w:p>
    <w:p>
      <w:pPr>
        <w:spacing w:line="360" w:lineRule="auto"/>
        <w:rPr>
          <w:rFonts w:ascii="宋体" w:hAnsi="宋体" w:eastAsia="宋体" w:cs="宋体"/>
          <w:iCs/>
          <w:color w:val="auto"/>
          <w:sz w:val="24"/>
          <w:highlight w:val="none"/>
        </w:rPr>
      </w:pPr>
      <w:r>
        <w:rPr>
          <w:rFonts w:hint="eastAsia" w:ascii="宋体" w:hAnsi="宋体" w:eastAsia="宋体" w:cs="宋体"/>
          <w:iCs/>
          <w:color w:val="auto"/>
          <w:sz w:val="24"/>
          <w:highlight w:val="none"/>
        </w:rPr>
        <w:t>（5）乙方拒绝接受甲方跟踪核查的，向甲方支付违约金人民币5000元／次；</w:t>
      </w:r>
    </w:p>
    <w:p>
      <w:pPr>
        <w:spacing w:line="360" w:lineRule="auto"/>
        <w:rPr>
          <w:rFonts w:ascii="宋体" w:hAnsi="宋体" w:eastAsia="宋体" w:cs="宋体"/>
          <w:iCs/>
          <w:color w:val="auto"/>
          <w:sz w:val="24"/>
          <w:highlight w:val="none"/>
        </w:rPr>
      </w:pPr>
      <w:r>
        <w:rPr>
          <w:rFonts w:hint="eastAsia" w:ascii="宋体" w:hAnsi="宋体" w:eastAsia="宋体" w:cs="宋体"/>
          <w:iCs/>
          <w:color w:val="auto"/>
          <w:sz w:val="24"/>
          <w:highlight w:val="none"/>
        </w:rPr>
        <w:t>（6）乙方不按要求保管甲方提供的相关资料的，向甲方支付违约金人民币5000元／次；</w:t>
      </w:r>
    </w:p>
    <w:p>
      <w:pPr>
        <w:spacing w:line="360" w:lineRule="auto"/>
        <w:rPr>
          <w:rFonts w:ascii="宋体" w:hAnsi="宋体" w:eastAsia="宋体" w:cs="宋体"/>
          <w:iCs/>
          <w:color w:val="auto"/>
          <w:sz w:val="24"/>
          <w:highlight w:val="none"/>
        </w:rPr>
      </w:pPr>
      <w:r>
        <w:rPr>
          <w:rFonts w:hint="eastAsia" w:ascii="宋体" w:hAnsi="宋体" w:eastAsia="宋体" w:cs="宋体"/>
          <w:iCs/>
          <w:color w:val="auto"/>
          <w:sz w:val="24"/>
          <w:highlight w:val="none"/>
        </w:rPr>
        <w:t>（</w:t>
      </w:r>
      <w:r>
        <w:rPr>
          <w:rFonts w:ascii="宋体" w:hAnsi="宋体" w:eastAsia="宋体" w:cs="宋体"/>
          <w:iCs/>
          <w:color w:val="auto"/>
          <w:sz w:val="24"/>
          <w:highlight w:val="none"/>
        </w:rPr>
        <w:t>7</w:t>
      </w:r>
      <w:r>
        <w:rPr>
          <w:rFonts w:hint="eastAsia" w:ascii="宋体" w:hAnsi="宋体" w:eastAsia="宋体" w:cs="宋体"/>
          <w:iCs/>
          <w:color w:val="auto"/>
          <w:sz w:val="24"/>
          <w:highlight w:val="none"/>
        </w:rPr>
        <w:t>）乙方向甲方提出赔偿要求不能成立时，则应补偿由于该赔偿或其他要求所导致甲方的各种费用的支出。</w:t>
      </w:r>
    </w:p>
    <w:p>
      <w:pPr>
        <w:spacing w:line="360" w:lineRule="auto"/>
        <w:rPr>
          <w:rFonts w:ascii="宋体" w:hAnsi="宋体" w:eastAsia="宋体" w:cs="宋体"/>
          <w:iCs/>
          <w:color w:val="auto"/>
          <w:sz w:val="24"/>
          <w:highlight w:val="none"/>
        </w:rPr>
      </w:pPr>
      <w:r>
        <w:rPr>
          <w:rFonts w:hint="eastAsia" w:ascii="宋体" w:hAnsi="宋体" w:eastAsia="宋体" w:cs="宋体"/>
          <w:iCs/>
          <w:color w:val="auto"/>
          <w:sz w:val="24"/>
          <w:highlight w:val="none"/>
        </w:rPr>
        <w:t>（8）乙方不能按合同约定提交成果文件的，每逾期一日，须向甲方支付违约金人民币2000元／次。</w:t>
      </w:r>
    </w:p>
    <w:p>
      <w:pPr>
        <w:spacing w:line="360" w:lineRule="auto"/>
        <w:rPr>
          <w:rFonts w:ascii="宋体" w:hAnsi="宋体" w:eastAsia="宋体" w:cs="宋体"/>
          <w:iCs/>
          <w:color w:val="auto"/>
          <w:sz w:val="24"/>
          <w:highlight w:val="none"/>
        </w:rPr>
      </w:pPr>
      <w:r>
        <w:rPr>
          <w:rFonts w:hint="eastAsia" w:ascii="宋体" w:hAnsi="宋体" w:eastAsia="宋体" w:cs="宋体"/>
          <w:iCs/>
          <w:color w:val="auto"/>
          <w:sz w:val="24"/>
          <w:highlight w:val="none"/>
        </w:rPr>
        <w:t>本条违约责任，乙方违约次数累计超过三次的（不限违约情形），甲方有权部分解除或整体解除合同。</w:t>
      </w:r>
    </w:p>
    <w:p>
      <w:pPr>
        <w:spacing w:line="360" w:lineRule="auto"/>
        <w:rPr>
          <w:rFonts w:hint="eastAsia" w:ascii="宋体" w:hAnsi="宋体" w:eastAsia="宋体" w:cs="宋体"/>
          <w:iCs/>
          <w:color w:val="auto"/>
          <w:sz w:val="24"/>
          <w:highlight w:val="none"/>
        </w:rPr>
      </w:pPr>
      <w:r>
        <w:rPr>
          <w:rFonts w:hint="eastAsia" w:ascii="宋体" w:hAnsi="宋体" w:eastAsia="宋体" w:cs="宋体"/>
          <w:iCs/>
          <w:color w:val="auto"/>
          <w:sz w:val="24"/>
          <w:highlight w:val="none"/>
        </w:rPr>
        <w:t>13.6本合同及本条款中约定甲方有权部分解除或整体解除合同的，合同部分或整体解除后，甲方无须再支付该部分或整体合同剩余价款，已支付的甲方可视情况要求乙方返还，无法界定费用返还标准的，以甲方出具的费用核算单为准。并且乙方应按照合同暂定价格的15%</w:t>
      </w:r>
      <w:r>
        <w:rPr>
          <w:rFonts w:hint="eastAsia" w:ascii="宋体" w:hAnsi="宋体" w:eastAsia="宋体" w:cs="宋体"/>
          <w:iCs/>
          <w:color w:val="auto"/>
          <w:sz w:val="24"/>
          <w:highlight w:val="none"/>
          <w:lang w:eastAsia="zh-CN"/>
        </w:rPr>
        <w:t>（</w:t>
      </w:r>
      <w:r>
        <w:rPr>
          <w:rFonts w:hint="eastAsia" w:ascii="宋体" w:hAnsi="宋体" w:eastAsia="宋体" w:cs="宋体"/>
          <w:iCs/>
          <w:color w:val="auto"/>
          <w:sz w:val="24"/>
          <w:highlight w:val="none"/>
          <w:lang w:val="en-US" w:eastAsia="zh-CN"/>
        </w:rPr>
        <w:t>如其他条款已约定违约金标准，则以标准较高者为准执行</w:t>
      </w:r>
      <w:r>
        <w:rPr>
          <w:rFonts w:hint="eastAsia" w:ascii="宋体" w:hAnsi="宋体" w:eastAsia="宋体" w:cs="宋体"/>
          <w:iCs/>
          <w:color w:val="auto"/>
          <w:sz w:val="24"/>
          <w:highlight w:val="none"/>
          <w:lang w:eastAsia="zh-CN"/>
        </w:rPr>
        <w:t>）</w:t>
      </w:r>
      <w:r>
        <w:rPr>
          <w:rFonts w:hint="eastAsia" w:ascii="宋体" w:hAnsi="宋体" w:eastAsia="宋体" w:cs="宋体"/>
          <w:iCs/>
          <w:color w:val="auto"/>
          <w:sz w:val="24"/>
          <w:highlight w:val="none"/>
        </w:rPr>
        <w:t>向甲方支付违约金，违约金不足以弥补甲方损失的，乙方还应赔偿损失。</w:t>
      </w:r>
    </w:p>
    <w:p>
      <w:pPr>
        <w:spacing w:line="360" w:lineRule="auto"/>
        <w:rPr>
          <w:rFonts w:hint="eastAsia" w:ascii="宋体" w:hAnsi="宋体" w:eastAsia="宋体" w:cs="宋体"/>
          <w:iCs/>
          <w:color w:val="auto"/>
          <w:sz w:val="24"/>
          <w:highlight w:val="none"/>
        </w:rPr>
      </w:pPr>
      <w:r>
        <w:rPr>
          <w:rFonts w:hint="eastAsia" w:ascii="宋体" w:hAnsi="宋体" w:eastAsia="宋体" w:cs="宋体"/>
          <w:iCs/>
          <w:color w:val="auto"/>
          <w:sz w:val="24"/>
          <w:highlight w:val="none"/>
        </w:rPr>
        <w:t>13.7本合同及本条款中约定的赔偿损失范围包括但不限于甲方向第三方承担的违约金及赔偿损失、</w:t>
      </w:r>
      <w:r>
        <w:rPr>
          <w:rFonts w:hint="eastAsia" w:ascii="宋体" w:hAnsi="宋体" w:eastAsia="宋体" w:cs="宋体"/>
          <w:iCs/>
          <w:color w:val="auto"/>
          <w:sz w:val="24"/>
          <w:highlight w:val="none"/>
          <w:lang w:val="en-US" w:eastAsia="zh-CN"/>
        </w:rPr>
        <w:t>支付的费用、滞纳金、补偿、罚款、甲方其他实际损失、</w:t>
      </w:r>
      <w:r>
        <w:rPr>
          <w:rFonts w:hint="eastAsia" w:ascii="宋体" w:hAnsi="宋体" w:eastAsia="宋体" w:cs="宋体"/>
          <w:iCs/>
          <w:color w:val="auto"/>
          <w:sz w:val="24"/>
          <w:highlight w:val="none"/>
        </w:rPr>
        <w:t>可获得的预期收益、比合理预期多支付的成本费用、工期延误损失、重新开展工作的成本费用、为维权而支付的律师费、保全费、公告费等损失。</w:t>
      </w:r>
    </w:p>
    <w:p>
      <w:pPr>
        <w:spacing w:line="360" w:lineRule="auto"/>
        <w:rPr>
          <w:rFonts w:hint="eastAsia" w:ascii="宋体" w:hAnsi="宋体" w:eastAsia="宋体" w:cs="宋体"/>
          <w:iCs/>
          <w:color w:val="auto"/>
          <w:sz w:val="24"/>
          <w:highlight w:val="none"/>
        </w:rPr>
      </w:pPr>
      <w:r>
        <w:rPr>
          <w:rFonts w:hint="eastAsia" w:ascii="宋体" w:hAnsi="宋体" w:eastAsia="宋体" w:cs="宋体"/>
          <w:iCs/>
          <w:color w:val="auto"/>
          <w:sz w:val="24"/>
          <w:highlight w:val="none"/>
        </w:rPr>
        <w:t>14.回避事项</w:t>
      </w:r>
    </w:p>
    <w:p>
      <w:pPr>
        <w:spacing w:line="360" w:lineRule="auto"/>
        <w:rPr>
          <w:rFonts w:hint="eastAsia" w:ascii="宋体" w:hAnsi="宋体" w:eastAsia="宋体" w:cs="宋体"/>
          <w:iCs/>
          <w:color w:val="auto"/>
          <w:kern w:val="2"/>
          <w:sz w:val="24"/>
          <w:highlight w:val="none"/>
        </w:rPr>
      </w:pPr>
      <w:r>
        <w:rPr>
          <w:rFonts w:hint="eastAsia" w:ascii="宋体" w:hAnsi="宋体" w:eastAsia="宋体" w:cs="宋体"/>
          <w:iCs/>
          <w:color w:val="auto"/>
          <w:sz w:val="24"/>
          <w:highlight w:val="none"/>
        </w:rPr>
        <w:t>若乙方与本合同约定项目（含设计、招标代理、监理、施工等）有其他利害关系，可能影响公正、公平的情形的，乙方应主动提供回避事项的证明文件交甲方。</w:t>
      </w:r>
    </w:p>
    <w:p>
      <w:pPr>
        <w:spacing w:line="360" w:lineRule="auto"/>
        <w:rPr>
          <w:rFonts w:ascii="宋体" w:hAnsi="宋体" w:eastAsia="宋体" w:cs="宋体"/>
          <w:color w:val="auto"/>
          <w:kern w:val="1"/>
          <w:sz w:val="24"/>
          <w:highlight w:val="none"/>
        </w:rPr>
      </w:pPr>
    </w:p>
    <w:p>
      <w:pPr>
        <w:tabs>
          <w:tab w:val="left" w:pos="5400"/>
        </w:tabs>
        <w:spacing w:line="360" w:lineRule="auto"/>
        <w:rPr>
          <w:rFonts w:ascii="宋体" w:hAnsi="宋体" w:eastAsia="宋体" w:cs="宋体"/>
          <w:color w:val="auto"/>
          <w:sz w:val="24"/>
          <w:highlight w:val="none"/>
        </w:rPr>
      </w:pPr>
      <w:bookmarkStart w:id="57" w:name="_Toc4504"/>
      <w:r>
        <w:rPr>
          <w:rFonts w:hint="eastAsia" w:ascii="宋体" w:hAnsi="宋体" w:eastAsia="宋体" w:cs="宋体"/>
          <w:color w:val="auto"/>
          <w:sz w:val="24"/>
          <w:highlight w:val="none"/>
        </w:rPr>
        <w:t xml:space="preserve">  </w:t>
      </w:r>
      <w:bookmarkEnd w:id="57"/>
      <w:bookmarkStart w:id="58" w:name="_Toc485394974"/>
      <w:bookmarkStart w:id="59" w:name="_Toc233794104"/>
      <w:r>
        <w:rPr>
          <w:rFonts w:hint="eastAsia" w:ascii="宋体" w:hAnsi="宋体" w:eastAsia="宋体" w:cs="宋体"/>
          <w:color w:val="auto"/>
          <w:sz w:val="24"/>
          <w:highlight w:val="none"/>
        </w:rPr>
        <w:t>（以下无正文）</w:t>
      </w:r>
    </w:p>
    <w:p>
      <w:pPr>
        <w:rPr>
          <w:rFonts w:ascii="宋体" w:hAnsi="宋体" w:eastAsia="宋体" w:cs="宋体"/>
          <w:color w:val="auto"/>
          <w:highlight w:val="none"/>
        </w:rPr>
      </w:pPr>
    </w:p>
    <w:p>
      <w:pPr>
        <w:rPr>
          <w:rFonts w:ascii="宋体" w:hAnsi="宋体" w:eastAsia="宋体" w:cs="宋体"/>
          <w:color w:val="auto"/>
          <w:highlight w:val="none"/>
        </w:rPr>
      </w:pPr>
    </w:p>
    <w:p>
      <w:pPr>
        <w:tabs>
          <w:tab w:val="left" w:pos="5400"/>
        </w:tabs>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附件：1.安全生产管理协议</w:t>
      </w:r>
    </w:p>
    <w:p>
      <w:pPr>
        <w:tabs>
          <w:tab w:val="left" w:pos="5400"/>
        </w:tabs>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2.建设工程项目廉洁协议书</w:t>
      </w:r>
    </w:p>
    <w:p>
      <w:pPr>
        <w:tabs>
          <w:tab w:val="left" w:pos="5400"/>
        </w:tabs>
        <w:spacing w:line="360" w:lineRule="auto"/>
        <w:rPr>
          <w:rFonts w:ascii="宋体" w:hAnsi="宋体" w:eastAsia="宋体" w:cs="宋体"/>
          <w:color w:val="auto"/>
          <w:sz w:val="24"/>
          <w:highlight w:val="none"/>
        </w:rPr>
      </w:pPr>
      <w:r>
        <w:rPr>
          <w:rFonts w:ascii="宋体" w:hAnsi="宋体" w:eastAsia="宋体" w:cs="宋体"/>
          <w:color w:val="auto"/>
          <w:sz w:val="24"/>
          <w:highlight w:val="none"/>
        </w:rPr>
        <w:t>3</w:t>
      </w:r>
      <w:r>
        <w:rPr>
          <w:rFonts w:hint="eastAsia" w:ascii="宋体" w:hAnsi="宋体" w:eastAsia="宋体" w:cs="宋体"/>
          <w:color w:val="auto"/>
          <w:sz w:val="24"/>
          <w:highlight w:val="none"/>
        </w:rPr>
        <w:t>.中标通知书</w:t>
      </w:r>
    </w:p>
    <w:p>
      <w:pPr>
        <w:tabs>
          <w:tab w:val="left" w:pos="5400"/>
        </w:tabs>
        <w:spacing w:line="360" w:lineRule="auto"/>
        <w:rPr>
          <w:rFonts w:ascii="宋体" w:hAnsi="宋体" w:eastAsia="宋体" w:cs="宋体"/>
          <w:color w:val="auto"/>
          <w:sz w:val="24"/>
          <w:highlight w:val="none"/>
        </w:rPr>
      </w:pPr>
      <w:r>
        <w:rPr>
          <w:rFonts w:ascii="宋体" w:hAnsi="宋体" w:eastAsia="宋体" w:cs="宋体"/>
          <w:color w:val="auto"/>
          <w:sz w:val="24"/>
          <w:highlight w:val="none"/>
        </w:rPr>
        <w:t>4</w:t>
      </w:r>
      <w:r>
        <w:rPr>
          <w:rFonts w:hint="eastAsia" w:ascii="宋体" w:hAnsi="宋体" w:eastAsia="宋体" w:cs="宋体"/>
          <w:color w:val="auto"/>
          <w:sz w:val="24"/>
          <w:highlight w:val="none"/>
        </w:rPr>
        <w:t>.全过程造价咨询服务人员架构表</w:t>
      </w:r>
    </w:p>
    <w:p>
      <w:pPr>
        <w:tabs>
          <w:tab w:val="left" w:pos="5400"/>
        </w:tabs>
        <w:spacing w:line="360" w:lineRule="auto"/>
        <w:rPr>
          <w:rFonts w:ascii="宋体" w:hAnsi="宋体" w:eastAsia="宋体" w:cs="宋体"/>
          <w:color w:val="auto"/>
          <w:sz w:val="24"/>
          <w:highlight w:val="none"/>
        </w:rPr>
      </w:pPr>
      <w:r>
        <w:rPr>
          <w:rFonts w:ascii="宋体" w:hAnsi="宋体" w:eastAsia="宋体" w:cs="宋体"/>
          <w:color w:val="auto"/>
          <w:sz w:val="24"/>
          <w:highlight w:val="none"/>
        </w:rPr>
        <w:t>5</w:t>
      </w:r>
      <w:r>
        <w:rPr>
          <w:rFonts w:hint="eastAsia" w:ascii="宋体" w:hAnsi="宋体" w:eastAsia="宋体" w:cs="宋体"/>
          <w:color w:val="auto"/>
          <w:sz w:val="24"/>
          <w:highlight w:val="none"/>
        </w:rPr>
        <w:t>.全过程造价咨询服务工作内容</w:t>
      </w:r>
    </w:p>
    <w:p>
      <w:pPr>
        <w:tabs>
          <w:tab w:val="left" w:pos="5400"/>
        </w:tabs>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履约保函</w:t>
      </w:r>
    </w:p>
    <w:p>
      <w:pPr>
        <w:tabs>
          <w:tab w:val="left" w:pos="5400"/>
        </w:tabs>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预付款保函</w:t>
      </w:r>
    </w:p>
    <w:p>
      <w:pPr>
        <w:tabs>
          <w:tab w:val="left" w:pos="5400"/>
        </w:tabs>
        <w:spacing w:line="360" w:lineRule="auto"/>
        <w:rPr>
          <w:rFonts w:ascii="宋体" w:hAnsi="宋体" w:eastAsia="宋体" w:cs="宋体"/>
          <w:color w:val="auto"/>
          <w:sz w:val="24"/>
          <w:highlight w:val="none"/>
        </w:rPr>
      </w:pPr>
      <w:r>
        <w:rPr>
          <w:rFonts w:ascii="宋体" w:hAnsi="宋体" w:eastAsia="宋体" w:cs="宋体"/>
          <w:color w:val="auto"/>
          <w:sz w:val="24"/>
          <w:highlight w:val="none"/>
        </w:rPr>
        <w:br w:type="page"/>
      </w:r>
    </w:p>
    <w:p>
      <w:pPr>
        <w:tabs>
          <w:tab w:val="left" w:pos="5400"/>
        </w:tabs>
        <w:spacing w:line="360" w:lineRule="auto"/>
        <w:jc w:val="left"/>
        <w:rPr>
          <w:rFonts w:ascii="宋体" w:hAnsi="宋体" w:eastAsia="宋体" w:cs="宋体"/>
          <w:b/>
          <w:bCs/>
          <w:color w:val="auto"/>
          <w:kern w:val="0"/>
          <w:sz w:val="32"/>
          <w:szCs w:val="32"/>
          <w:highlight w:val="none"/>
        </w:rPr>
      </w:pPr>
      <w:bookmarkStart w:id="60" w:name="_Hlk509845342"/>
      <w:bookmarkStart w:id="61" w:name="_Toc133913586"/>
      <w:r>
        <w:rPr>
          <w:rFonts w:hint="eastAsia" w:ascii="宋体" w:hAnsi="宋体" w:eastAsia="宋体" w:cs="宋体"/>
          <w:b/>
          <w:bCs/>
          <w:color w:val="auto"/>
          <w:kern w:val="0"/>
          <w:sz w:val="24"/>
          <w:szCs w:val="30"/>
          <w:highlight w:val="none"/>
        </w:rPr>
        <w:t>附件1：安全生产管理协议</w:t>
      </w:r>
    </w:p>
    <w:p>
      <w:pPr>
        <w:jc w:val="center"/>
        <w:rPr>
          <w:rFonts w:ascii="方正小标宋简体" w:hAnsi="Calibri" w:eastAsia="方正小标宋简体" w:cs="Times New Roman"/>
          <w:color w:val="auto"/>
          <w:sz w:val="44"/>
          <w:szCs w:val="44"/>
          <w:highlight w:val="none"/>
        </w:rPr>
      </w:pPr>
    </w:p>
    <w:p>
      <w:pPr>
        <w:jc w:val="center"/>
        <w:rPr>
          <w:rFonts w:ascii="方正小标宋简体" w:hAnsi="Calibri" w:eastAsia="方正小标宋简体" w:cs="Times New Roman"/>
          <w:color w:val="auto"/>
          <w:sz w:val="52"/>
          <w:szCs w:val="52"/>
          <w:highlight w:val="none"/>
        </w:rPr>
      </w:pPr>
      <w:r>
        <w:rPr>
          <w:rFonts w:hint="eastAsia" w:ascii="方正小标宋简体" w:hAnsi="Calibri" w:eastAsia="方正小标宋简体" w:cs="Times New Roman"/>
          <w:color w:val="auto"/>
          <w:sz w:val="52"/>
          <w:szCs w:val="52"/>
          <w:highlight w:val="none"/>
        </w:rPr>
        <w:t>安全生产管理协议</w:t>
      </w:r>
    </w:p>
    <w:p>
      <w:pPr>
        <w:spacing w:line="500" w:lineRule="exact"/>
        <w:rPr>
          <w:rFonts w:ascii="Calibri" w:hAnsi="Calibri" w:eastAsia="宋体" w:cs="Times New Roman"/>
          <w:bCs/>
          <w:color w:val="auto"/>
          <w:sz w:val="28"/>
          <w:highlight w:val="none"/>
        </w:rPr>
      </w:pPr>
    </w:p>
    <w:p>
      <w:pPr>
        <w:spacing w:line="500" w:lineRule="exact"/>
        <w:rPr>
          <w:rFonts w:ascii="Calibri" w:hAnsi="Calibri" w:eastAsia="宋体" w:cs="Times New Roman"/>
          <w:bCs/>
          <w:color w:val="auto"/>
          <w:sz w:val="28"/>
          <w:highlight w:val="none"/>
        </w:rPr>
      </w:pPr>
    </w:p>
    <w:p>
      <w:pPr>
        <w:spacing w:line="500" w:lineRule="exact"/>
        <w:rPr>
          <w:rFonts w:ascii="Calibri" w:hAnsi="Calibri" w:eastAsia="宋体" w:cs="Times New Roman"/>
          <w:bCs/>
          <w:color w:val="auto"/>
          <w:sz w:val="28"/>
          <w:highlight w:val="none"/>
        </w:rPr>
      </w:pPr>
    </w:p>
    <w:p>
      <w:pPr>
        <w:spacing w:line="500" w:lineRule="exact"/>
        <w:rPr>
          <w:rFonts w:ascii="Calibri" w:hAnsi="Calibri" w:eastAsia="宋体" w:cs="Times New Roman"/>
          <w:bCs/>
          <w:color w:val="auto"/>
          <w:sz w:val="28"/>
          <w:highlight w:val="none"/>
        </w:rPr>
      </w:pPr>
    </w:p>
    <w:p>
      <w:pPr>
        <w:spacing w:line="500" w:lineRule="exact"/>
        <w:rPr>
          <w:rFonts w:ascii="Calibri" w:hAnsi="Calibri" w:eastAsia="宋体" w:cs="Times New Roman"/>
          <w:bCs/>
          <w:color w:val="auto"/>
          <w:sz w:val="28"/>
          <w:highlight w:val="none"/>
        </w:rPr>
      </w:pPr>
    </w:p>
    <w:p>
      <w:pPr>
        <w:spacing w:line="500" w:lineRule="exact"/>
        <w:rPr>
          <w:rFonts w:ascii="Calibri" w:hAnsi="Calibri" w:eastAsia="宋体" w:cs="Times New Roman"/>
          <w:bCs/>
          <w:color w:val="auto"/>
          <w:sz w:val="28"/>
          <w:highlight w:val="none"/>
        </w:rPr>
      </w:pPr>
    </w:p>
    <w:p>
      <w:pPr>
        <w:spacing w:line="500" w:lineRule="exact"/>
        <w:rPr>
          <w:rFonts w:ascii="Calibri" w:hAnsi="Calibri" w:eastAsia="宋体" w:cs="Times New Roman"/>
          <w:bCs/>
          <w:color w:val="auto"/>
          <w:sz w:val="28"/>
          <w:highlight w:val="none"/>
          <w:u w:val="single"/>
        </w:rPr>
      </w:pPr>
      <w:r>
        <w:rPr>
          <w:rFonts w:hint="eastAsia" w:ascii="Calibri" w:hAnsi="Calibri" w:eastAsia="宋体" w:cs="Times New Roman"/>
          <w:bCs/>
          <w:color w:val="auto"/>
          <w:sz w:val="28"/>
          <w:highlight w:val="none"/>
        </w:rPr>
        <w:t>发包方（甲方）：</w:t>
      </w:r>
      <w:r>
        <w:rPr>
          <w:rFonts w:hint="eastAsia" w:ascii="Calibri" w:hAnsi="Calibri" w:eastAsia="宋体" w:cs="Times New Roman"/>
          <w:bCs/>
          <w:color w:val="auto"/>
          <w:sz w:val="28"/>
          <w:highlight w:val="none"/>
          <w:u w:val="single"/>
        </w:rPr>
        <w:t xml:space="preserve">                                  </w:t>
      </w:r>
    </w:p>
    <w:p>
      <w:pPr>
        <w:spacing w:line="500" w:lineRule="exact"/>
        <w:rPr>
          <w:rFonts w:ascii="Calibri" w:hAnsi="Calibri" w:eastAsia="宋体" w:cs="Times New Roman"/>
          <w:bCs/>
          <w:color w:val="auto"/>
          <w:sz w:val="28"/>
          <w:highlight w:val="none"/>
        </w:rPr>
      </w:pPr>
    </w:p>
    <w:p>
      <w:pPr>
        <w:spacing w:line="500" w:lineRule="exact"/>
        <w:rPr>
          <w:rFonts w:ascii="Calibri" w:hAnsi="Calibri" w:eastAsia="宋体" w:cs="Times New Roman"/>
          <w:bCs/>
          <w:color w:val="auto"/>
          <w:sz w:val="28"/>
          <w:highlight w:val="none"/>
          <w:u w:val="single"/>
        </w:rPr>
      </w:pPr>
      <w:r>
        <w:rPr>
          <w:rFonts w:hint="eastAsia" w:ascii="Calibri" w:hAnsi="Calibri" w:eastAsia="宋体" w:cs="Times New Roman"/>
          <w:bCs/>
          <w:color w:val="auto"/>
          <w:sz w:val="28"/>
          <w:highlight w:val="none"/>
        </w:rPr>
        <w:t>承包方（乙方）：</w:t>
      </w:r>
      <w:r>
        <w:rPr>
          <w:rFonts w:hint="eastAsia" w:ascii="Calibri" w:hAnsi="Calibri" w:eastAsia="宋体" w:cs="Times New Roman"/>
          <w:bCs/>
          <w:color w:val="auto"/>
          <w:sz w:val="28"/>
          <w:highlight w:val="none"/>
          <w:u w:val="single"/>
        </w:rPr>
        <w:t xml:space="preserve">                                  </w:t>
      </w:r>
    </w:p>
    <w:p>
      <w:pPr>
        <w:spacing w:line="500" w:lineRule="exact"/>
        <w:rPr>
          <w:rFonts w:ascii="Calibri" w:hAnsi="Calibri" w:eastAsia="宋体" w:cs="Times New Roman"/>
          <w:bCs/>
          <w:color w:val="auto"/>
          <w:sz w:val="28"/>
          <w:highlight w:val="none"/>
        </w:rPr>
      </w:pPr>
      <w:r>
        <w:rPr>
          <w:rFonts w:hint="eastAsia" w:ascii="Calibri" w:hAnsi="Calibri" w:eastAsia="宋体" w:cs="Times New Roman"/>
          <w:bCs/>
          <w:color w:val="auto"/>
          <w:sz w:val="28"/>
          <w:highlight w:val="none"/>
        </w:rPr>
        <w:t xml:space="preserve"> </w:t>
      </w:r>
    </w:p>
    <w:p>
      <w:pPr>
        <w:spacing w:line="500" w:lineRule="exact"/>
        <w:rPr>
          <w:rFonts w:ascii="Calibri" w:hAnsi="Calibri" w:eastAsia="宋体" w:cs="Times New Roman"/>
          <w:bCs/>
          <w:color w:val="auto"/>
          <w:sz w:val="28"/>
          <w:highlight w:val="none"/>
        </w:rPr>
      </w:pPr>
    </w:p>
    <w:p>
      <w:pPr>
        <w:spacing w:line="500" w:lineRule="exact"/>
        <w:rPr>
          <w:rFonts w:ascii="Calibri" w:hAnsi="Calibri" w:eastAsia="宋体" w:cs="Times New Roman"/>
          <w:bCs/>
          <w:color w:val="auto"/>
          <w:sz w:val="28"/>
          <w:highlight w:val="none"/>
        </w:rPr>
      </w:pPr>
    </w:p>
    <w:p>
      <w:pPr>
        <w:spacing w:line="500" w:lineRule="exact"/>
        <w:rPr>
          <w:rFonts w:ascii="Calibri" w:hAnsi="Calibri" w:eastAsia="宋体" w:cs="Times New Roman"/>
          <w:bCs/>
          <w:color w:val="auto"/>
          <w:sz w:val="28"/>
          <w:highlight w:val="none"/>
        </w:rPr>
      </w:pPr>
    </w:p>
    <w:p>
      <w:pPr>
        <w:spacing w:line="500" w:lineRule="exact"/>
        <w:rPr>
          <w:rFonts w:ascii="Calibri" w:hAnsi="Calibri" w:eastAsia="宋体" w:cs="Times New Roman"/>
          <w:bCs/>
          <w:color w:val="auto"/>
          <w:sz w:val="28"/>
          <w:highlight w:val="none"/>
        </w:rPr>
      </w:pPr>
    </w:p>
    <w:p>
      <w:pPr>
        <w:spacing w:line="500" w:lineRule="exact"/>
        <w:rPr>
          <w:rFonts w:ascii="Calibri" w:hAnsi="Calibri" w:eastAsia="宋体" w:cs="Times New Roman"/>
          <w:bCs/>
          <w:color w:val="auto"/>
          <w:sz w:val="28"/>
          <w:highlight w:val="none"/>
        </w:rPr>
      </w:pPr>
    </w:p>
    <w:p>
      <w:pPr>
        <w:spacing w:line="500" w:lineRule="exact"/>
        <w:rPr>
          <w:rFonts w:ascii="Calibri" w:hAnsi="Calibri" w:eastAsia="宋体" w:cs="Times New Roman"/>
          <w:bCs/>
          <w:color w:val="auto"/>
          <w:sz w:val="28"/>
          <w:highlight w:val="none"/>
        </w:rPr>
      </w:pPr>
      <w:r>
        <w:rPr>
          <w:rFonts w:hint="eastAsia" w:ascii="Calibri" w:hAnsi="Calibri" w:eastAsia="宋体" w:cs="Times New Roman"/>
          <w:bCs/>
          <w:color w:val="auto"/>
          <w:sz w:val="28"/>
          <w:highlight w:val="none"/>
        </w:rPr>
        <w:br w:type="page"/>
      </w:r>
      <w:r>
        <w:rPr>
          <w:rFonts w:hint="eastAsia" w:ascii="Calibri" w:hAnsi="Calibri" w:eastAsia="宋体" w:cs="Times New Roman"/>
          <w:bCs/>
          <w:color w:val="auto"/>
          <w:sz w:val="28"/>
          <w:highlight w:val="none"/>
        </w:rPr>
        <w:t>为贯彻“安全第一、预防为主、综合治理”的安全生产方针，切实做好粮食集团及下属单位的工程项目、特种设备维保、消防、空调设施维保、劳务外包和物业出租等项目的安全生产管理工作，做到“各司其职，各负其责”。经双方协商签订本协议。</w:t>
      </w:r>
    </w:p>
    <w:p>
      <w:pPr>
        <w:spacing w:line="500" w:lineRule="exact"/>
        <w:rPr>
          <w:rFonts w:ascii="宋体" w:hAnsi="宋体" w:eastAsia="宋体" w:cs="Times New Roman"/>
          <w:bCs/>
          <w:color w:val="auto"/>
          <w:sz w:val="28"/>
          <w:highlight w:val="none"/>
        </w:rPr>
      </w:pPr>
      <w:bookmarkStart w:id="62" w:name="_Toc26969"/>
      <w:bookmarkStart w:id="63" w:name="_Toc7864"/>
      <w:r>
        <w:rPr>
          <w:rFonts w:hint="eastAsia" w:ascii="黑体" w:hAnsi="黑体" w:eastAsia="黑体" w:cs="Times New Roman"/>
          <w:b/>
          <w:bCs/>
          <w:color w:val="auto"/>
          <w:sz w:val="28"/>
          <w:highlight w:val="none"/>
        </w:rPr>
        <w:t xml:space="preserve">第一条 </w:t>
      </w:r>
      <w:r>
        <w:rPr>
          <w:rFonts w:hint="eastAsia" w:ascii="宋体" w:hAnsi="宋体" w:eastAsia="宋体" w:cs="Times New Roman"/>
          <w:bCs/>
          <w:color w:val="auto"/>
          <w:sz w:val="28"/>
          <w:highlight w:val="none"/>
        </w:rPr>
        <w:t>本合同为</w:t>
      </w:r>
      <w:r>
        <w:rPr>
          <w:rFonts w:hint="eastAsia" w:ascii="宋体" w:hAnsi="宋体" w:eastAsia="宋体" w:cs="Times New Roman"/>
          <w:bCs/>
          <w:color w:val="auto"/>
          <w:sz w:val="28"/>
          <w:highlight w:val="none"/>
          <w:u w:val="single"/>
        </w:rPr>
        <w:t xml:space="preserve">                           合同</w:t>
      </w:r>
      <w:r>
        <w:rPr>
          <w:rFonts w:hint="eastAsia" w:ascii="宋体" w:hAnsi="宋体" w:eastAsia="宋体" w:cs="Times New Roman"/>
          <w:bCs/>
          <w:color w:val="auto"/>
          <w:sz w:val="28"/>
          <w:highlight w:val="none"/>
        </w:rPr>
        <w:t>及附件。</w:t>
      </w:r>
      <w:bookmarkEnd w:id="62"/>
      <w:bookmarkEnd w:id="63"/>
    </w:p>
    <w:p>
      <w:pPr>
        <w:spacing w:line="500" w:lineRule="exact"/>
        <w:rPr>
          <w:rFonts w:ascii="宋体" w:hAnsi="宋体" w:eastAsia="宋体" w:cs="Times New Roman"/>
          <w:bCs/>
          <w:color w:val="auto"/>
          <w:sz w:val="28"/>
          <w:highlight w:val="none"/>
        </w:rPr>
      </w:pPr>
      <w:r>
        <w:rPr>
          <w:rFonts w:hint="eastAsia" w:ascii="黑体" w:hAnsi="黑体" w:eastAsia="黑体" w:cs="Times New Roman"/>
          <w:b/>
          <w:bCs/>
          <w:color w:val="auto"/>
          <w:sz w:val="28"/>
          <w:highlight w:val="none"/>
        </w:rPr>
        <w:t>第二条</w:t>
      </w:r>
      <w:r>
        <w:rPr>
          <w:rFonts w:hint="eastAsia" w:ascii="宋体" w:hAnsi="宋体" w:eastAsia="宋体" w:cs="Times New Roman"/>
          <w:bCs/>
          <w:color w:val="auto"/>
          <w:sz w:val="28"/>
          <w:highlight w:val="none"/>
        </w:rPr>
        <w:t xml:space="preserve"> 甲、乙双方分别作为独立法人单位，必须遵守安全生产法律法规、标准和规范要求，建立健全本单位安全生产管理体系，切实加强安全生产管理工作。</w:t>
      </w:r>
    </w:p>
    <w:p>
      <w:pPr>
        <w:spacing w:line="500" w:lineRule="exact"/>
        <w:rPr>
          <w:rFonts w:ascii="Calibri" w:hAnsi="Calibri" w:eastAsia="宋体" w:cs="Times New Roman"/>
          <w:bCs/>
          <w:color w:val="auto"/>
          <w:sz w:val="28"/>
          <w:highlight w:val="none"/>
        </w:rPr>
      </w:pPr>
      <w:bookmarkStart w:id="64" w:name="_Toc315"/>
      <w:bookmarkStart w:id="65" w:name="_Toc9659"/>
      <w:r>
        <w:rPr>
          <w:rFonts w:hint="eastAsia" w:ascii="黑体" w:hAnsi="黑体" w:eastAsia="黑体" w:cs="Times New Roman"/>
          <w:b/>
          <w:bCs/>
          <w:color w:val="auto"/>
          <w:sz w:val="28"/>
          <w:highlight w:val="none"/>
        </w:rPr>
        <w:t xml:space="preserve">第三条 </w:t>
      </w:r>
      <w:r>
        <w:rPr>
          <w:rFonts w:hint="eastAsia" w:ascii="Calibri" w:hAnsi="Calibri" w:eastAsia="宋体" w:cs="Times New Roman"/>
          <w:bCs/>
          <w:color w:val="auto"/>
          <w:sz w:val="28"/>
          <w:highlight w:val="none"/>
        </w:rPr>
        <w:t>甲方安全责任</w:t>
      </w:r>
      <w:bookmarkEnd w:id="64"/>
      <w:bookmarkEnd w:id="65"/>
    </w:p>
    <w:p>
      <w:pPr>
        <w:numPr>
          <w:ilvl w:val="0"/>
          <w:numId w:val="3"/>
        </w:numPr>
        <w:spacing w:line="500" w:lineRule="exact"/>
        <w:ind w:firstLine="560"/>
        <w:rPr>
          <w:rFonts w:ascii="Calibri" w:hAnsi="Calibri" w:eastAsia="宋体" w:cs="Times New Roman"/>
          <w:bCs/>
          <w:color w:val="auto"/>
          <w:sz w:val="28"/>
          <w:highlight w:val="none"/>
        </w:rPr>
      </w:pPr>
      <w:r>
        <w:rPr>
          <w:rFonts w:hint="eastAsia" w:ascii="Calibri" w:hAnsi="Calibri" w:eastAsia="宋体" w:cs="Times New Roman"/>
          <w:bCs/>
          <w:color w:val="auto"/>
          <w:sz w:val="28"/>
          <w:highlight w:val="none"/>
        </w:rPr>
        <w:t>进场施工作业前对乙方人员（包括但不限于项目负责人、安全管理人员和作业人员）进行安全交底，其内容是：广州市粮食集团及下属企业有关安全生产的规章制度和操作规程；作业项目涉及的风险因素和应采取的安全防范措施；并应有完备的交底资料记录。</w:t>
      </w:r>
    </w:p>
    <w:p>
      <w:pPr>
        <w:numPr>
          <w:ilvl w:val="0"/>
          <w:numId w:val="4"/>
        </w:numPr>
        <w:spacing w:line="500" w:lineRule="exact"/>
        <w:ind w:firstLine="560"/>
        <w:rPr>
          <w:rFonts w:ascii="Calibri" w:hAnsi="Calibri" w:eastAsia="宋体" w:cs="Times New Roman"/>
          <w:bCs/>
          <w:color w:val="auto"/>
          <w:sz w:val="28"/>
          <w:highlight w:val="none"/>
        </w:rPr>
      </w:pPr>
      <w:r>
        <w:rPr>
          <w:rFonts w:hint="eastAsia" w:ascii="Calibri" w:hAnsi="Calibri" w:eastAsia="宋体" w:cs="Times New Roman"/>
          <w:bCs/>
          <w:color w:val="auto"/>
          <w:sz w:val="28"/>
          <w:highlight w:val="none"/>
        </w:rPr>
        <w:t>对乙方开展的危险作业（如在禁烟火的区域进行动火作业、高处作业、有限空间作业、临时用电作业等）进行审批许可，并协助监督乙方作业人员落实相应的安全防护措施和监护措施。</w:t>
      </w:r>
    </w:p>
    <w:p>
      <w:pPr>
        <w:numPr>
          <w:ilvl w:val="0"/>
          <w:numId w:val="5"/>
        </w:numPr>
        <w:spacing w:line="500" w:lineRule="exact"/>
        <w:ind w:firstLine="560"/>
        <w:rPr>
          <w:rFonts w:ascii="Calibri" w:hAnsi="Calibri" w:eastAsia="宋体" w:cs="Times New Roman"/>
          <w:bCs/>
          <w:color w:val="auto"/>
          <w:sz w:val="28"/>
          <w:highlight w:val="none"/>
        </w:rPr>
      </w:pPr>
      <w:r>
        <w:rPr>
          <w:rFonts w:hint="eastAsia" w:ascii="Calibri" w:hAnsi="Calibri" w:eastAsia="宋体" w:cs="Times New Roman"/>
          <w:bCs/>
          <w:color w:val="auto"/>
          <w:sz w:val="28"/>
          <w:highlight w:val="none"/>
        </w:rPr>
        <w:t>在有毒有害、易燃易爆、临边洞口、带电运行、机械运转的危险区域或设备设置安全警示标志。</w:t>
      </w:r>
    </w:p>
    <w:p>
      <w:pPr>
        <w:numPr>
          <w:ilvl w:val="0"/>
          <w:numId w:val="6"/>
        </w:numPr>
        <w:spacing w:line="500" w:lineRule="exact"/>
        <w:ind w:firstLine="560"/>
        <w:rPr>
          <w:rFonts w:ascii="Calibri" w:hAnsi="Calibri" w:eastAsia="宋体" w:cs="Times New Roman"/>
          <w:bCs/>
          <w:color w:val="auto"/>
          <w:sz w:val="28"/>
          <w:highlight w:val="none"/>
        </w:rPr>
      </w:pPr>
      <w:r>
        <w:rPr>
          <w:rFonts w:hint="eastAsia" w:ascii="Calibri" w:hAnsi="Calibri" w:eastAsia="宋体" w:cs="Times New Roman"/>
          <w:bCs/>
          <w:color w:val="auto"/>
          <w:sz w:val="28"/>
          <w:highlight w:val="none"/>
        </w:rPr>
        <w:t>监督检查乙方的安全施工作业情况，有权对违章作业人员进行制止和纠正，有权停止其施工作业至整改验收合格为止，并对不满足甲方安全管理要求的乙方人员提出更换。</w:t>
      </w:r>
    </w:p>
    <w:p>
      <w:pPr>
        <w:spacing w:line="500" w:lineRule="exact"/>
        <w:rPr>
          <w:rFonts w:ascii="Calibri" w:hAnsi="Calibri" w:eastAsia="宋体" w:cs="Times New Roman"/>
          <w:bCs/>
          <w:color w:val="auto"/>
          <w:sz w:val="28"/>
          <w:highlight w:val="none"/>
        </w:rPr>
      </w:pPr>
      <w:r>
        <w:rPr>
          <w:rFonts w:hint="eastAsia" w:ascii="Calibri" w:hAnsi="Calibri" w:eastAsia="宋体" w:cs="Times New Roman"/>
          <w:bCs/>
          <w:color w:val="auto"/>
          <w:sz w:val="28"/>
          <w:highlight w:val="none"/>
        </w:rPr>
        <w:t>（五）对乙方违反安全生产法律法规、标准、规范和甲方制度规程造成的甲方人员伤亡或财产损失时，有权按照有关法律法规提出索赔要求。</w:t>
      </w:r>
    </w:p>
    <w:p>
      <w:pPr>
        <w:spacing w:line="500" w:lineRule="exact"/>
        <w:rPr>
          <w:rFonts w:ascii="Calibri" w:hAnsi="Calibri" w:eastAsia="宋体" w:cs="Times New Roman"/>
          <w:bCs/>
          <w:color w:val="auto"/>
          <w:sz w:val="28"/>
          <w:highlight w:val="none"/>
        </w:rPr>
      </w:pPr>
      <w:bookmarkStart w:id="66" w:name="_Toc22836"/>
      <w:bookmarkStart w:id="67" w:name="_Toc32345"/>
      <w:r>
        <w:rPr>
          <w:rFonts w:hint="eastAsia" w:ascii="Calibri" w:hAnsi="Calibri" w:eastAsia="宋体" w:cs="Times New Roman"/>
          <w:b/>
          <w:color w:val="auto"/>
          <w:sz w:val="28"/>
          <w:highlight w:val="none"/>
        </w:rPr>
        <w:t>第四条</w:t>
      </w:r>
      <w:r>
        <w:rPr>
          <w:rFonts w:hint="eastAsia" w:ascii="Calibri" w:hAnsi="Calibri" w:eastAsia="宋体" w:cs="Times New Roman"/>
          <w:bCs/>
          <w:color w:val="auto"/>
          <w:sz w:val="28"/>
          <w:highlight w:val="none"/>
        </w:rPr>
        <w:t xml:space="preserve"> 乙方安全责任</w:t>
      </w:r>
      <w:bookmarkEnd w:id="66"/>
      <w:bookmarkEnd w:id="67"/>
    </w:p>
    <w:p>
      <w:pPr>
        <w:numPr>
          <w:ilvl w:val="0"/>
          <w:numId w:val="7"/>
        </w:numPr>
        <w:spacing w:line="500" w:lineRule="exact"/>
        <w:ind w:firstLine="640"/>
        <w:rPr>
          <w:rFonts w:ascii="Calibri" w:hAnsi="Calibri" w:eastAsia="宋体" w:cs="Times New Roman"/>
          <w:bCs/>
          <w:color w:val="auto"/>
          <w:sz w:val="32"/>
          <w:szCs w:val="32"/>
          <w:highlight w:val="none"/>
        </w:rPr>
      </w:pPr>
      <w:r>
        <w:rPr>
          <w:rFonts w:hint="eastAsia" w:ascii="Calibri" w:hAnsi="Calibri" w:eastAsia="宋体" w:cs="Times New Roman"/>
          <w:bCs/>
          <w:color w:val="auto"/>
          <w:sz w:val="32"/>
          <w:szCs w:val="32"/>
          <w:highlight w:val="none"/>
        </w:rPr>
        <w:t>安全负责人、安全管理人员、特种作业人员经过培训，持有效证件上岗。</w:t>
      </w:r>
    </w:p>
    <w:p>
      <w:pPr>
        <w:numPr>
          <w:ilvl w:val="0"/>
          <w:numId w:val="8"/>
        </w:numPr>
        <w:spacing w:line="500" w:lineRule="exact"/>
        <w:ind w:firstLine="560"/>
        <w:rPr>
          <w:rFonts w:ascii="Calibri" w:hAnsi="Calibri" w:eastAsia="宋体" w:cs="Times New Roman"/>
          <w:bCs/>
          <w:color w:val="auto"/>
          <w:sz w:val="28"/>
          <w:highlight w:val="none"/>
        </w:rPr>
      </w:pPr>
      <w:r>
        <w:rPr>
          <w:rFonts w:hint="eastAsia" w:ascii="Calibri" w:hAnsi="Calibri" w:eastAsia="宋体" w:cs="Times New Roman"/>
          <w:bCs/>
          <w:color w:val="auto"/>
          <w:sz w:val="28"/>
          <w:highlight w:val="none"/>
        </w:rPr>
        <w:t>指定</w:t>
      </w:r>
      <w:r>
        <w:rPr>
          <w:rFonts w:ascii="Calibri" w:hAnsi="Calibri" w:eastAsia="宋体" w:cs="Times New Roman"/>
          <w:bCs/>
          <w:color w:val="auto"/>
          <w:sz w:val="28"/>
          <w:highlight w:val="none"/>
          <w:u w:val="single"/>
        </w:rPr>
        <w:t xml:space="preserve"> </w:t>
      </w:r>
      <w:r>
        <w:rPr>
          <w:rFonts w:hint="eastAsia" w:ascii="Calibri" w:hAnsi="Calibri" w:eastAsia="宋体" w:cs="Times New Roman"/>
          <w:bCs/>
          <w:color w:val="auto"/>
          <w:sz w:val="28"/>
          <w:highlight w:val="none"/>
          <w:u w:val="single"/>
        </w:rPr>
        <w:t xml:space="preserve">     </w:t>
      </w:r>
      <w:r>
        <w:rPr>
          <w:rFonts w:ascii="Calibri" w:hAnsi="Calibri" w:eastAsia="宋体" w:cs="Times New Roman"/>
          <w:bCs/>
          <w:color w:val="auto"/>
          <w:sz w:val="28"/>
          <w:highlight w:val="none"/>
          <w:u w:val="single"/>
        </w:rPr>
        <w:t xml:space="preserve"> </w:t>
      </w:r>
      <w:r>
        <w:rPr>
          <w:rFonts w:hint="eastAsia" w:ascii="Calibri" w:hAnsi="Calibri" w:eastAsia="宋体" w:cs="Times New Roman"/>
          <w:bCs/>
          <w:color w:val="auto"/>
          <w:sz w:val="28"/>
          <w:highlight w:val="none"/>
        </w:rPr>
        <w:t>为该项目现场安全生产责任人，负责该项目的安全管理工作。</w:t>
      </w:r>
    </w:p>
    <w:p>
      <w:pPr>
        <w:numPr>
          <w:ilvl w:val="0"/>
          <w:numId w:val="9"/>
        </w:numPr>
        <w:spacing w:line="500" w:lineRule="exact"/>
        <w:ind w:firstLine="560"/>
        <w:rPr>
          <w:rFonts w:ascii="Calibri" w:hAnsi="Calibri" w:eastAsia="宋体" w:cs="Times New Roman"/>
          <w:bCs/>
          <w:color w:val="auto"/>
          <w:sz w:val="28"/>
          <w:highlight w:val="none"/>
        </w:rPr>
      </w:pPr>
      <w:r>
        <w:rPr>
          <w:rFonts w:hint="eastAsia" w:ascii="Calibri" w:hAnsi="Calibri" w:eastAsia="宋体" w:cs="Times New Roman"/>
          <w:bCs/>
          <w:color w:val="auto"/>
          <w:sz w:val="28"/>
          <w:highlight w:val="none"/>
        </w:rPr>
        <w:t>为本方作业人员签订合法的劳动合同，依法为作业人员办理工伤社会保险，作业过程中如有人员调整，必须书面通知甲方。</w:t>
      </w:r>
    </w:p>
    <w:p>
      <w:pPr>
        <w:numPr>
          <w:ilvl w:val="0"/>
          <w:numId w:val="10"/>
        </w:numPr>
        <w:spacing w:line="500" w:lineRule="exact"/>
        <w:ind w:firstLine="560"/>
        <w:rPr>
          <w:rFonts w:ascii="Calibri" w:hAnsi="Calibri" w:eastAsia="宋体" w:cs="Times New Roman"/>
          <w:bCs/>
          <w:color w:val="auto"/>
          <w:sz w:val="28"/>
          <w:highlight w:val="none"/>
        </w:rPr>
      </w:pPr>
      <w:r>
        <w:rPr>
          <w:rFonts w:hint="eastAsia" w:ascii="Calibri" w:hAnsi="Calibri" w:eastAsia="宋体" w:cs="Times New Roman"/>
          <w:bCs/>
          <w:color w:val="auto"/>
          <w:sz w:val="28"/>
          <w:highlight w:val="none"/>
        </w:rPr>
        <w:t>作业前将所有作业人员名单、特种作业人员名单和操作证复印件向甲方安全管理部门备案。</w:t>
      </w:r>
    </w:p>
    <w:p>
      <w:pPr>
        <w:numPr>
          <w:ilvl w:val="0"/>
          <w:numId w:val="11"/>
        </w:numPr>
        <w:spacing w:line="500" w:lineRule="exact"/>
        <w:ind w:firstLine="560"/>
        <w:rPr>
          <w:rFonts w:ascii="Calibri" w:hAnsi="Calibri" w:eastAsia="宋体" w:cs="Times New Roman"/>
          <w:bCs/>
          <w:color w:val="auto"/>
          <w:sz w:val="28"/>
          <w:highlight w:val="none"/>
        </w:rPr>
      </w:pPr>
      <w:r>
        <w:rPr>
          <w:rFonts w:hint="eastAsia" w:ascii="Calibri" w:hAnsi="Calibri" w:eastAsia="宋体" w:cs="Times New Roman"/>
          <w:bCs/>
          <w:color w:val="auto"/>
          <w:sz w:val="28"/>
          <w:highlight w:val="none"/>
        </w:rPr>
        <w:t>必须对本方人员进行安全教育培训，内容包括但不限于该项目存在的安全风险和防范措施，安全注意事项等，所有参与该项目的人员必须接受甲方的安全交底，不得安排未经安全教育和安全交底的人员进行作业。</w:t>
      </w:r>
    </w:p>
    <w:p>
      <w:pPr>
        <w:numPr>
          <w:ilvl w:val="0"/>
          <w:numId w:val="12"/>
        </w:numPr>
        <w:spacing w:line="500" w:lineRule="exact"/>
        <w:ind w:firstLine="560"/>
        <w:rPr>
          <w:rFonts w:ascii="Calibri" w:hAnsi="Calibri" w:eastAsia="宋体" w:cs="Times New Roman"/>
          <w:bCs/>
          <w:color w:val="auto"/>
          <w:sz w:val="28"/>
          <w:highlight w:val="none"/>
        </w:rPr>
      </w:pPr>
      <w:r>
        <w:rPr>
          <w:rFonts w:hint="eastAsia" w:ascii="Calibri" w:hAnsi="Calibri" w:eastAsia="宋体" w:cs="Times New Roman"/>
          <w:bCs/>
          <w:color w:val="auto"/>
          <w:sz w:val="28"/>
          <w:highlight w:val="none"/>
        </w:rPr>
        <w:t>严格遵守安全生产规章制度，自觉接受甲方单位的安全监督、管理和指导及纠违执罚，做好安全、文明施工作业。</w:t>
      </w:r>
    </w:p>
    <w:p>
      <w:pPr>
        <w:numPr>
          <w:ilvl w:val="0"/>
          <w:numId w:val="13"/>
        </w:numPr>
        <w:spacing w:line="500" w:lineRule="exact"/>
        <w:ind w:firstLine="560"/>
        <w:rPr>
          <w:rFonts w:ascii="Calibri" w:hAnsi="Calibri" w:eastAsia="宋体" w:cs="Times New Roman"/>
          <w:bCs/>
          <w:color w:val="auto"/>
          <w:sz w:val="28"/>
          <w:highlight w:val="none"/>
        </w:rPr>
      </w:pPr>
      <w:r>
        <w:rPr>
          <w:rFonts w:hint="eastAsia" w:ascii="Calibri" w:hAnsi="Calibri" w:eastAsia="宋体" w:cs="Times New Roman"/>
          <w:bCs/>
          <w:color w:val="auto"/>
          <w:sz w:val="28"/>
          <w:highlight w:val="none"/>
        </w:rPr>
        <w:t>对复杂和危险性较大的工程项目，应制订单独的安全技术方案和措施，经上级监管部门审批同意后方可作业。</w:t>
      </w:r>
    </w:p>
    <w:p>
      <w:pPr>
        <w:numPr>
          <w:ilvl w:val="0"/>
          <w:numId w:val="14"/>
        </w:numPr>
        <w:spacing w:line="500" w:lineRule="exact"/>
        <w:ind w:firstLine="560"/>
        <w:rPr>
          <w:rFonts w:ascii="Calibri" w:hAnsi="Calibri" w:eastAsia="宋体" w:cs="Times New Roman"/>
          <w:bCs/>
          <w:color w:val="auto"/>
          <w:sz w:val="28"/>
          <w:highlight w:val="none"/>
        </w:rPr>
      </w:pPr>
      <w:r>
        <w:rPr>
          <w:rFonts w:hint="eastAsia" w:ascii="Calibri" w:hAnsi="Calibri" w:eastAsia="宋体" w:cs="Times New Roman"/>
          <w:bCs/>
          <w:color w:val="auto"/>
          <w:sz w:val="28"/>
          <w:highlight w:val="none"/>
        </w:rPr>
        <w:t>如需使用甲方的机械、电器等设备、设施，必须经甲方同意，由熟悉该设备和具备相应操作资格证的人员进行操作，并对其安全防护措施负责和承担安全责任。</w:t>
      </w:r>
    </w:p>
    <w:p>
      <w:pPr>
        <w:numPr>
          <w:ilvl w:val="0"/>
          <w:numId w:val="15"/>
        </w:numPr>
        <w:spacing w:line="500" w:lineRule="exact"/>
        <w:ind w:firstLine="560"/>
        <w:rPr>
          <w:rFonts w:ascii="Calibri" w:hAnsi="Calibri" w:eastAsia="宋体" w:cs="Times New Roman"/>
          <w:bCs/>
          <w:color w:val="auto"/>
          <w:sz w:val="28"/>
          <w:highlight w:val="none"/>
        </w:rPr>
      </w:pPr>
      <w:r>
        <w:rPr>
          <w:rFonts w:hint="eastAsia" w:ascii="Calibri" w:hAnsi="Calibri" w:eastAsia="宋体" w:cs="Times New Roman"/>
          <w:bCs/>
          <w:color w:val="auto"/>
          <w:sz w:val="28"/>
          <w:highlight w:val="none"/>
        </w:rPr>
        <w:t>教育和监管本方人员在未经甲方允许，不得随意进入与该项目无关的区域或场所，不得触摸、启动机械、电器、开关等，否则因此而引起的事故或损失由乙方负全部责任。</w:t>
      </w:r>
    </w:p>
    <w:p>
      <w:pPr>
        <w:numPr>
          <w:ilvl w:val="0"/>
          <w:numId w:val="16"/>
        </w:numPr>
        <w:spacing w:line="500" w:lineRule="exact"/>
        <w:ind w:firstLine="560"/>
        <w:rPr>
          <w:rFonts w:ascii="Calibri" w:hAnsi="Calibri" w:eastAsia="宋体" w:cs="Times New Roman"/>
          <w:bCs/>
          <w:color w:val="auto"/>
          <w:sz w:val="28"/>
          <w:highlight w:val="none"/>
        </w:rPr>
      </w:pPr>
      <w:r>
        <w:rPr>
          <w:rFonts w:hint="eastAsia" w:ascii="Calibri" w:hAnsi="Calibri" w:eastAsia="宋体" w:cs="Times New Roman"/>
          <w:bCs/>
          <w:color w:val="auto"/>
          <w:sz w:val="28"/>
          <w:highlight w:val="none"/>
        </w:rPr>
        <w:t>不安排未经有关部门培训、考核的无证人员从事特殊工种作业。</w:t>
      </w:r>
    </w:p>
    <w:p>
      <w:pPr>
        <w:spacing w:line="500" w:lineRule="exact"/>
        <w:rPr>
          <w:rFonts w:ascii="Calibri" w:hAnsi="Calibri" w:eastAsia="宋体" w:cs="Times New Roman"/>
          <w:bCs/>
          <w:color w:val="auto"/>
          <w:sz w:val="28"/>
          <w:highlight w:val="none"/>
        </w:rPr>
      </w:pPr>
      <w:r>
        <w:rPr>
          <w:rFonts w:hint="eastAsia" w:ascii="Calibri" w:hAnsi="Calibri" w:eastAsia="宋体" w:cs="Times New Roman"/>
          <w:bCs/>
          <w:color w:val="auto"/>
          <w:sz w:val="28"/>
          <w:highlight w:val="none"/>
        </w:rPr>
        <w:t>（十一）对该项目的安全施工作业以及对参与该工程作业的本单位所使用的全部人员的安全负责，对由于本方安全责任不落实引发的生产安全责任事故负全部责任。</w:t>
      </w:r>
    </w:p>
    <w:p>
      <w:pPr>
        <w:spacing w:line="500" w:lineRule="exact"/>
        <w:rPr>
          <w:rFonts w:ascii="Calibri" w:hAnsi="Calibri" w:eastAsia="宋体" w:cs="Times New Roman"/>
          <w:bCs/>
          <w:color w:val="auto"/>
          <w:sz w:val="28"/>
          <w:highlight w:val="none"/>
        </w:rPr>
      </w:pPr>
      <w:r>
        <w:rPr>
          <w:rFonts w:hint="eastAsia" w:ascii="Calibri" w:hAnsi="Calibri" w:eastAsia="黑体" w:cs="Times New Roman"/>
          <w:bCs/>
          <w:color w:val="auto"/>
          <w:sz w:val="28"/>
          <w:highlight w:val="none"/>
        </w:rPr>
        <w:t xml:space="preserve">第五条 </w:t>
      </w:r>
      <w:r>
        <w:rPr>
          <w:rFonts w:hint="eastAsia" w:ascii="Calibri" w:hAnsi="Calibri" w:eastAsia="宋体" w:cs="Times New Roman"/>
          <w:bCs/>
          <w:color w:val="auto"/>
          <w:sz w:val="28"/>
          <w:highlight w:val="none"/>
        </w:rPr>
        <w:t>甲乙双方严格遵守本合同条款，履行各自的安全职责，确保安全、文明施工作业。</w:t>
      </w:r>
    </w:p>
    <w:p>
      <w:pPr>
        <w:spacing w:line="500" w:lineRule="exact"/>
        <w:rPr>
          <w:rFonts w:ascii="Calibri" w:hAnsi="Calibri" w:eastAsia="宋体" w:cs="Times New Roman"/>
          <w:b/>
          <w:color w:val="auto"/>
          <w:sz w:val="28"/>
          <w:highlight w:val="none"/>
        </w:rPr>
      </w:pPr>
      <w:bookmarkStart w:id="68" w:name="_Toc17887"/>
      <w:bookmarkStart w:id="69" w:name="_Toc31998"/>
      <w:r>
        <w:rPr>
          <w:rFonts w:hint="eastAsia" w:ascii="Calibri" w:hAnsi="Calibri" w:eastAsia="宋体" w:cs="Times New Roman"/>
          <w:b/>
          <w:color w:val="auto"/>
          <w:sz w:val="28"/>
          <w:highlight w:val="none"/>
        </w:rPr>
        <w:t xml:space="preserve">第六条 </w:t>
      </w:r>
      <w:r>
        <w:rPr>
          <w:rFonts w:hint="eastAsia" w:ascii="Calibri" w:hAnsi="Calibri" w:eastAsia="宋体" w:cs="Times New Roman"/>
          <w:bCs/>
          <w:color w:val="auto"/>
          <w:sz w:val="28"/>
          <w:highlight w:val="none"/>
        </w:rPr>
        <w:t>其他补充条款</w:t>
      </w:r>
      <w:bookmarkEnd w:id="68"/>
      <w:bookmarkEnd w:id="69"/>
    </w:p>
    <w:p>
      <w:pPr>
        <w:spacing w:line="500" w:lineRule="exact"/>
        <w:rPr>
          <w:rFonts w:ascii="Calibri" w:hAnsi="Calibri" w:eastAsia="宋体" w:cs="Times New Roman"/>
          <w:bCs/>
          <w:color w:val="auto"/>
          <w:sz w:val="28"/>
          <w:highlight w:val="none"/>
          <w:u w:val="single"/>
        </w:rPr>
      </w:pPr>
      <w:r>
        <w:rPr>
          <w:rFonts w:hint="eastAsia" w:ascii="Calibri" w:hAnsi="Calibri" w:eastAsia="宋体" w:cs="Times New Roman"/>
          <w:bCs/>
          <w:color w:val="auto"/>
          <w:sz w:val="28"/>
          <w:highlight w:val="none"/>
          <w:u w:val="single"/>
        </w:rPr>
        <w:t xml:space="preserve">                                                             </w:t>
      </w:r>
    </w:p>
    <w:p>
      <w:pPr>
        <w:spacing w:line="500" w:lineRule="exact"/>
        <w:rPr>
          <w:rFonts w:ascii="Calibri" w:hAnsi="Calibri" w:eastAsia="宋体" w:cs="Times New Roman"/>
          <w:bCs/>
          <w:color w:val="auto"/>
          <w:sz w:val="28"/>
          <w:highlight w:val="none"/>
          <w:u w:val="single"/>
        </w:rPr>
      </w:pPr>
      <w:r>
        <w:rPr>
          <w:rFonts w:hint="eastAsia" w:ascii="Calibri" w:hAnsi="Calibri" w:eastAsia="宋体" w:cs="Times New Roman"/>
          <w:bCs/>
          <w:color w:val="auto"/>
          <w:sz w:val="28"/>
          <w:highlight w:val="none"/>
          <w:u w:val="single"/>
        </w:rPr>
        <w:t xml:space="preserve">                                                             </w:t>
      </w:r>
    </w:p>
    <w:p>
      <w:pPr>
        <w:spacing w:line="500" w:lineRule="exact"/>
        <w:rPr>
          <w:rFonts w:ascii="Calibri" w:hAnsi="Calibri" w:eastAsia="宋体" w:cs="Times New Roman"/>
          <w:bCs/>
          <w:color w:val="auto"/>
          <w:sz w:val="28"/>
          <w:highlight w:val="none"/>
          <w:u w:val="single"/>
        </w:rPr>
      </w:pPr>
      <w:r>
        <w:rPr>
          <w:rFonts w:hint="eastAsia" w:ascii="Calibri" w:hAnsi="Calibri" w:eastAsia="宋体" w:cs="Times New Roman"/>
          <w:bCs/>
          <w:color w:val="auto"/>
          <w:sz w:val="28"/>
          <w:highlight w:val="none"/>
          <w:u w:val="single"/>
        </w:rPr>
        <w:t xml:space="preserve">                                                             </w:t>
      </w:r>
    </w:p>
    <w:p>
      <w:pPr>
        <w:spacing w:line="500" w:lineRule="exact"/>
        <w:rPr>
          <w:rFonts w:ascii="Calibri" w:hAnsi="Calibri" w:eastAsia="宋体" w:cs="Times New Roman"/>
          <w:bCs/>
          <w:color w:val="auto"/>
          <w:sz w:val="28"/>
          <w:highlight w:val="none"/>
          <w:u w:val="single"/>
        </w:rPr>
      </w:pPr>
      <w:r>
        <w:rPr>
          <w:rFonts w:hint="eastAsia" w:ascii="Calibri" w:hAnsi="Calibri" w:eastAsia="宋体" w:cs="Times New Roman"/>
          <w:bCs/>
          <w:color w:val="auto"/>
          <w:sz w:val="28"/>
          <w:highlight w:val="none"/>
          <w:u w:val="single"/>
        </w:rPr>
        <w:t xml:space="preserve">                                                             </w:t>
      </w:r>
    </w:p>
    <w:p>
      <w:pPr>
        <w:spacing w:line="500" w:lineRule="exact"/>
        <w:rPr>
          <w:rFonts w:ascii="Calibri" w:hAnsi="Calibri" w:eastAsia="宋体" w:cs="Times New Roman"/>
          <w:bCs/>
          <w:color w:val="auto"/>
          <w:sz w:val="28"/>
          <w:highlight w:val="none"/>
        </w:rPr>
      </w:pPr>
      <w:r>
        <w:rPr>
          <w:rFonts w:hint="eastAsia" w:ascii="Calibri" w:hAnsi="Calibri" w:eastAsia="黑体" w:cs="Times New Roman"/>
          <w:bCs/>
          <w:color w:val="auto"/>
          <w:sz w:val="28"/>
          <w:highlight w:val="none"/>
        </w:rPr>
        <w:t xml:space="preserve">第七条 </w:t>
      </w:r>
      <w:r>
        <w:rPr>
          <w:rFonts w:hint="eastAsia" w:ascii="Calibri" w:hAnsi="Calibri" w:eastAsia="宋体" w:cs="Times New Roman"/>
          <w:bCs/>
          <w:color w:val="auto"/>
          <w:sz w:val="28"/>
          <w:highlight w:val="none"/>
        </w:rPr>
        <w:t>本协议由甲、乙双方安全负责人签字，盖公章（或合同章）后生效，有效期至项目结束日期。</w:t>
      </w:r>
    </w:p>
    <w:p>
      <w:pPr>
        <w:spacing w:line="500" w:lineRule="exact"/>
        <w:rPr>
          <w:rFonts w:ascii="Calibri" w:hAnsi="Calibri" w:eastAsia="宋体" w:cs="Times New Roman"/>
          <w:bCs/>
          <w:color w:val="auto"/>
          <w:sz w:val="28"/>
          <w:highlight w:val="none"/>
        </w:rPr>
      </w:pPr>
    </w:p>
    <w:p>
      <w:pPr>
        <w:spacing w:line="500" w:lineRule="exact"/>
        <w:rPr>
          <w:rFonts w:ascii="Calibri" w:hAnsi="Calibri" w:eastAsia="宋体" w:cs="Times New Roman"/>
          <w:bCs/>
          <w:color w:val="auto"/>
          <w:sz w:val="28"/>
          <w:highlight w:val="none"/>
        </w:rPr>
      </w:pPr>
    </w:p>
    <w:p>
      <w:pPr>
        <w:spacing w:line="500" w:lineRule="exact"/>
        <w:rPr>
          <w:rFonts w:ascii="Calibri" w:hAnsi="Calibri" w:eastAsia="宋体" w:cs="Times New Roman"/>
          <w:bCs/>
          <w:color w:val="auto"/>
          <w:sz w:val="28"/>
          <w:highlight w:val="none"/>
        </w:rPr>
      </w:pPr>
      <w:r>
        <w:rPr>
          <w:rFonts w:hint="eastAsia" w:ascii="Calibri" w:hAnsi="Calibri" w:eastAsia="宋体" w:cs="Times New Roman"/>
          <w:bCs/>
          <w:color w:val="auto"/>
          <w:sz w:val="28"/>
          <w:highlight w:val="none"/>
        </w:rPr>
        <w:t>甲方（盖章）：                   乙方（盖章）：</w:t>
      </w:r>
    </w:p>
    <w:p>
      <w:pPr>
        <w:spacing w:line="500" w:lineRule="exact"/>
        <w:rPr>
          <w:rFonts w:ascii="Calibri" w:hAnsi="Calibri" w:eastAsia="宋体" w:cs="Times New Roman"/>
          <w:bCs/>
          <w:color w:val="auto"/>
          <w:sz w:val="28"/>
          <w:highlight w:val="none"/>
        </w:rPr>
      </w:pPr>
      <w:r>
        <w:rPr>
          <w:rFonts w:hint="eastAsia" w:ascii="Calibri" w:hAnsi="Calibri" w:eastAsia="宋体" w:cs="Times New Roman"/>
          <w:bCs/>
          <w:color w:val="auto"/>
          <w:sz w:val="28"/>
          <w:highlight w:val="none"/>
        </w:rPr>
        <w:t>安全负责人：                    安全负责人：</w:t>
      </w:r>
    </w:p>
    <w:p>
      <w:pPr>
        <w:spacing w:line="500" w:lineRule="exact"/>
        <w:rPr>
          <w:rFonts w:ascii="Calibri" w:hAnsi="Calibri" w:eastAsia="宋体" w:cs="Times New Roman"/>
          <w:bCs/>
          <w:color w:val="auto"/>
          <w:sz w:val="28"/>
          <w:highlight w:val="none"/>
        </w:rPr>
      </w:pPr>
    </w:p>
    <w:p>
      <w:pPr>
        <w:spacing w:line="360" w:lineRule="auto"/>
        <w:rPr>
          <w:rFonts w:ascii="Calibri" w:hAnsi="Calibri" w:eastAsia="仿宋_GB2312" w:cs="Times New Roman"/>
          <w:bCs/>
          <w:color w:val="auto"/>
          <w:sz w:val="24"/>
          <w:highlight w:val="none"/>
        </w:rPr>
      </w:pPr>
      <w:r>
        <w:rPr>
          <w:rFonts w:hint="eastAsia" w:ascii="Calibri" w:hAnsi="Calibri" w:eastAsia="宋体" w:cs="Times New Roman"/>
          <w:bCs/>
          <w:color w:val="auto"/>
          <w:sz w:val="28"/>
          <w:highlight w:val="none"/>
        </w:rPr>
        <w:t>年  月  日                          年  月  日</w:t>
      </w:r>
    </w:p>
    <w:p>
      <w:pPr>
        <w:rPr>
          <w:rFonts w:ascii="Calibri" w:hAnsi="Calibri" w:eastAsia="宋体" w:cs="Times New Roman"/>
          <w:color w:val="auto"/>
          <w:highlight w:val="none"/>
        </w:rPr>
      </w:pPr>
    </w:p>
    <w:p>
      <w:pPr>
        <w:tabs>
          <w:tab w:val="left" w:pos="5400"/>
        </w:tabs>
        <w:spacing w:line="360" w:lineRule="auto"/>
        <w:jc w:val="center"/>
        <w:rPr>
          <w:rFonts w:ascii="宋体" w:hAnsi="宋体" w:eastAsia="宋体" w:cs="宋体"/>
          <w:b/>
          <w:color w:val="auto"/>
          <w:sz w:val="32"/>
          <w:szCs w:val="32"/>
          <w:highlight w:val="none"/>
        </w:rPr>
      </w:pPr>
    </w:p>
    <w:p>
      <w:pPr>
        <w:tabs>
          <w:tab w:val="left" w:pos="5400"/>
        </w:tabs>
        <w:spacing w:line="360" w:lineRule="auto"/>
        <w:jc w:val="left"/>
        <w:rPr>
          <w:rFonts w:ascii="宋体" w:hAnsi="宋体" w:eastAsia="宋体" w:cs="宋体"/>
          <w:b/>
          <w:bCs/>
          <w:color w:val="auto"/>
          <w:kern w:val="0"/>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kern w:val="0"/>
          <w:sz w:val="24"/>
          <w:szCs w:val="30"/>
          <w:highlight w:val="none"/>
        </w:rPr>
        <w:t>附件</w:t>
      </w:r>
      <w:r>
        <w:rPr>
          <w:rFonts w:ascii="宋体" w:hAnsi="宋体" w:eastAsia="宋体" w:cs="宋体"/>
          <w:b/>
          <w:bCs/>
          <w:color w:val="auto"/>
          <w:kern w:val="0"/>
          <w:sz w:val="24"/>
          <w:szCs w:val="30"/>
          <w:highlight w:val="none"/>
        </w:rPr>
        <w:t>2</w:t>
      </w:r>
      <w:r>
        <w:rPr>
          <w:rFonts w:hint="eastAsia" w:ascii="宋体" w:hAnsi="宋体" w:eastAsia="宋体" w:cs="宋体"/>
          <w:b/>
          <w:bCs/>
          <w:color w:val="auto"/>
          <w:kern w:val="0"/>
          <w:sz w:val="24"/>
          <w:szCs w:val="30"/>
          <w:highlight w:val="none"/>
        </w:rPr>
        <w:t>：建设工程项目廉洁协议书</w:t>
      </w:r>
    </w:p>
    <w:p>
      <w:pPr>
        <w:spacing w:line="360" w:lineRule="auto"/>
        <w:jc w:val="center"/>
        <w:outlineLvl w:val="0"/>
        <w:rPr>
          <w:rFonts w:ascii="宋体" w:hAnsi="宋体" w:eastAsia="仿宋_GB2312" w:cs="宋体"/>
          <w:b/>
          <w:color w:val="auto"/>
          <w:sz w:val="52"/>
          <w:szCs w:val="52"/>
          <w:highlight w:val="none"/>
        </w:rPr>
      </w:pPr>
    </w:p>
    <w:p>
      <w:pPr>
        <w:spacing w:line="360" w:lineRule="auto"/>
        <w:jc w:val="center"/>
        <w:outlineLvl w:val="0"/>
        <w:rPr>
          <w:rFonts w:ascii="宋体" w:hAnsi="宋体" w:eastAsia="仿宋_GB2312" w:cs="宋体"/>
          <w:b/>
          <w:color w:val="auto"/>
          <w:sz w:val="52"/>
          <w:szCs w:val="52"/>
          <w:highlight w:val="none"/>
        </w:rPr>
      </w:pPr>
    </w:p>
    <w:p>
      <w:pPr>
        <w:spacing w:line="360" w:lineRule="auto"/>
        <w:jc w:val="center"/>
        <w:outlineLvl w:val="0"/>
        <w:rPr>
          <w:rFonts w:ascii="宋体" w:hAnsi="宋体" w:eastAsia="仿宋_GB2312" w:cs="宋体"/>
          <w:b/>
          <w:color w:val="auto"/>
          <w:sz w:val="52"/>
          <w:szCs w:val="52"/>
          <w:highlight w:val="none"/>
        </w:rPr>
      </w:pPr>
      <w:r>
        <w:rPr>
          <w:rFonts w:hint="eastAsia" w:ascii="宋体" w:hAnsi="宋体" w:eastAsia="仿宋_GB2312" w:cs="宋体"/>
          <w:b/>
          <w:color w:val="auto"/>
          <w:sz w:val="52"/>
          <w:szCs w:val="52"/>
          <w:highlight w:val="none"/>
        </w:rPr>
        <w:t>建设工程项目廉洁协议书</w:t>
      </w:r>
    </w:p>
    <w:p>
      <w:pPr>
        <w:rPr>
          <w:rFonts w:ascii="宋体" w:hAnsi="宋体" w:eastAsia="仿宋_GB2312" w:cs="宋体"/>
          <w:color w:val="auto"/>
          <w:highlight w:val="none"/>
        </w:rPr>
      </w:pPr>
    </w:p>
    <w:p>
      <w:pPr>
        <w:rPr>
          <w:rFonts w:ascii="宋体" w:hAnsi="宋体" w:eastAsia="仿宋_GB2312" w:cs="宋体"/>
          <w:color w:val="auto"/>
          <w:highlight w:val="none"/>
        </w:rPr>
      </w:pPr>
    </w:p>
    <w:p>
      <w:pPr>
        <w:rPr>
          <w:rFonts w:ascii="宋体" w:hAnsi="宋体" w:eastAsia="仿宋_GB2312" w:cs="宋体"/>
          <w:color w:val="auto"/>
          <w:highlight w:val="none"/>
        </w:rPr>
      </w:pPr>
    </w:p>
    <w:p>
      <w:pPr>
        <w:rPr>
          <w:rFonts w:ascii="宋体" w:hAnsi="宋体" w:eastAsia="仿宋_GB2312" w:cs="宋体"/>
          <w:color w:val="auto"/>
          <w:highlight w:val="none"/>
        </w:rPr>
      </w:pPr>
    </w:p>
    <w:p>
      <w:pPr>
        <w:rPr>
          <w:rFonts w:ascii="宋体" w:hAnsi="宋体" w:eastAsia="仿宋_GB2312" w:cs="宋体"/>
          <w:color w:val="auto"/>
          <w:highlight w:val="none"/>
        </w:rPr>
      </w:pPr>
    </w:p>
    <w:p>
      <w:pPr>
        <w:rPr>
          <w:rFonts w:ascii="宋体" w:hAnsi="宋体" w:eastAsia="仿宋_GB2312" w:cs="宋体"/>
          <w:color w:val="auto"/>
          <w:highlight w:val="none"/>
        </w:rPr>
      </w:pPr>
    </w:p>
    <w:p>
      <w:pPr>
        <w:rPr>
          <w:rFonts w:ascii="宋体" w:hAnsi="宋体" w:eastAsia="仿宋_GB2312" w:cs="宋体"/>
          <w:color w:val="auto"/>
          <w:highlight w:val="none"/>
        </w:rPr>
      </w:pPr>
    </w:p>
    <w:p>
      <w:pPr>
        <w:rPr>
          <w:rFonts w:ascii="宋体" w:hAnsi="宋体" w:eastAsia="仿宋_GB2312" w:cs="宋体"/>
          <w:color w:val="auto"/>
          <w:highlight w:val="none"/>
        </w:rPr>
      </w:pPr>
    </w:p>
    <w:p>
      <w:pPr>
        <w:rPr>
          <w:rFonts w:ascii="宋体" w:hAnsi="宋体" w:eastAsia="仿宋_GB2312" w:cs="宋体"/>
          <w:color w:val="auto"/>
          <w:highlight w:val="none"/>
        </w:rPr>
      </w:pPr>
    </w:p>
    <w:p>
      <w:pPr>
        <w:rPr>
          <w:rFonts w:ascii="宋体" w:hAnsi="宋体" w:eastAsia="仿宋_GB2312" w:cs="宋体"/>
          <w:color w:val="auto"/>
          <w:highlight w:val="none"/>
        </w:rPr>
      </w:pPr>
    </w:p>
    <w:p>
      <w:pPr>
        <w:rPr>
          <w:rFonts w:ascii="宋体" w:hAnsi="宋体" w:eastAsia="仿宋_GB2312" w:cs="宋体"/>
          <w:color w:val="auto"/>
          <w:highlight w:val="none"/>
        </w:rPr>
      </w:pPr>
    </w:p>
    <w:p>
      <w:pPr>
        <w:rPr>
          <w:rFonts w:ascii="宋体" w:hAnsi="宋体" w:eastAsia="仿宋_GB2312" w:cs="宋体"/>
          <w:color w:val="auto"/>
          <w:highlight w:val="none"/>
        </w:rPr>
      </w:pPr>
    </w:p>
    <w:p>
      <w:pPr>
        <w:rPr>
          <w:rFonts w:ascii="宋体" w:hAnsi="宋体" w:eastAsia="仿宋_GB2312" w:cs="宋体"/>
          <w:color w:val="auto"/>
          <w:highlight w:val="none"/>
        </w:rPr>
      </w:pPr>
    </w:p>
    <w:p>
      <w:pPr>
        <w:rPr>
          <w:rFonts w:ascii="宋体" w:hAnsi="宋体" w:eastAsia="仿宋_GB2312" w:cs="宋体"/>
          <w:color w:val="auto"/>
          <w:highlight w:val="none"/>
        </w:rPr>
      </w:pPr>
    </w:p>
    <w:p>
      <w:pPr>
        <w:rPr>
          <w:rFonts w:ascii="宋体" w:hAnsi="宋体" w:eastAsia="仿宋_GB2312" w:cs="宋体"/>
          <w:color w:val="auto"/>
          <w:highlight w:val="none"/>
        </w:rPr>
      </w:pPr>
    </w:p>
    <w:p>
      <w:pPr>
        <w:rPr>
          <w:rFonts w:ascii="宋体" w:hAnsi="宋体" w:eastAsia="仿宋_GB2312" w:cs="宋体"/>
          <w:color w:val="auto"/>
          <w:highlight w:val="none"/>
        </w:rPr>
      </w:pPr>
    </w:p>
    <w:p>
      <w:pPr>
        <w:rPr>
          <w:rFonts w:ascii="宋体" w:hAnsi="宋体" w:eastAsia="仿宋_GB2312" w:cs="宋体"/>
          <w:color w:val="auto"/>
          <w:highlight w:val="none"/>
        </w:rPr>
      </w:pPr>
    </w:p>
    <w:p>
      <w:pPr>
        <w:rPr>
          <w:rFonts w:ascii="宋体" w:hAnsi="宋体" w:eastAsia="仿宋_GB2312" w:cs="宋体"/>
          <w:color w:val="auto"/>
          <w:highlight w:val="none"/>
        </w:rPr>
      </w:pPr>
    </w:p>
    <w:p>
      <w:pPr>
        <w:tabs>
          <w:tab w:val="left" w:pos="7938"/>
        </w:tabs>
        <w:ind w:firstLine="850" w:firstLineChars="405"/>
        <w:rPr>
          <w:rFonts w:ascii="宋体" w:hAnsi="宋体" w:eastAsia="仿宋_GB2312" w:cs="宋体"/>
          <w:color w:val="auto"/>
          <w:highlight w:val="none"/>
        </w:rPr>
      </w:pPr>
      <w:r>
        <w:rPr>
          <w:rFonts w:hint="eastAsia" w:ascii="宋体" w:hAnsi="宋体" w:eastAsia="仿宋_GB2312" w:cs="宋体"/>
          <w:color w:val="auto"/>
          <w:highlight w:val="none"/>
        </w:rPr>
        <w:t xml:space="preserve">   </w:t>
      </w:r>
    </w:p>
    <w:p>
      <w:pPr>
        <w:adjustRightInd w:val="0"/>
        <w:snapToGrid w:val="0"/>
        <w:spacing w:line="480" w:lineRule="auto"/>
        <w:ind w:left="2807" w:leftChars="270" w:hanging="2240" w:hangingChars="700"/>
        <w:rPr>
          <w:rFonts w:ascii="宋体" w:hAnsi="宋体" w:eastAsia="仿宋_GB2312" w:cs="宋体"/>
          <w:color w:val="auto"/>
          <w:sz w:val="32"/>
          <w:szCs w:val="32"/>
          <w:highlight w:val="none"/>
          <w:u w:val="single"/>
        </w:rPr>
      </w:pPr>
      <w:r>
        <w:rPr>
          <w:rFonts w:hint="eastAsia" w:ascii="宋体" w:hAnsi="宋体" w:eastAsia="仿宋_GB2312" w:cs="宋体"/>
          <w:color w:val="auto"/>
          <w:sz w:val="32"/>
          <w:szCs w:val="32"/>
          <w:highlight w:val="none"/>
        </w:rPr>
        <w:t>工程项目名称：</w:t>
      </w:r>
      <w:r>
        <w:rPr>
          <w:rFonts w:hint="eastAsia" w:ascii="宋体" w:hAnsi="宋体" w:eastAsia="仿宋_GB2312" w:cs="宋体"/>
          <w:color w:val="auto"/>
          <w:sz w:val="32"/>
          <w:szCs w:val="32"/>
          <w:highlight w:val="none"/>
          <w:u w:val="single"/>
        </w:rPr>
        <w:t xml:space="preserve">                    </w:t>
      </w:r>
    </w:p>
    <w:p>
      <w:pPr>
        <w:adjustRightInd w:val="0"/>
        <w:snapToGrid w:val="0"/>
        <w:spacing w:line="480" w:lineRule="auto"/>
        <w:ind w:left="2807" w:leftChars="270" w:hanging="2240" w:hangingChars="700"/>
        <w:rPr>
          <w:rFonts w:ascii="宋体" w:hAnsi="宋体" w:eastAsia="仿宋_GB2312" w:cs="宋体"/>
          <w:color w:val="auto"/>
          <w:sz w:val="32"/>
          <w:szCs w:val="32"/>
          <w:highlight w:val="none"/>
          <w:u w:val="single"/>
        </w:rPr>
      </w:pPr>
      <w:r>
        <w:rPr>
          <w:rFonts w:hint="eastAsia" w:ascii="宋体" w:hAnsi="宋体" w:eastAsia="仿宋_GB2312" w:cs="宋体"/>
          <w:color w:val="auto"/>
          <w:sz w:val="32"/>
          <w:szCs w:val="32"/>
          <w:highlight w:val="none"/>
        </w:rPr>
        <w:t>工程项目地址：南沙区横沥镇广州市粮食储备加工中心南侧</w:t>
      </w:r>
    </w:p>
    <w:p>
      <w:pPr>
        <w:adjustRightInd w:val="0"/>
        <w:snapToGrid w:val="0"/>
        <w:spacing w:line="480" w:lineRule="auto"/>
        <w:ind w:firstLine="480" w:firstLineChars="150"/>
        <w:rPr>
          <w:rFonts w:ascii="宋体" w:hAnsi="宋体" w:eastAsia="仿宋_GB2312" w:cs="宋体"/>
          <w:color w:val="auto"/>
          <w:sz w:val="32"/>
          <w:szCs w:val="32"/>
          <w:highlight w:val="none"/>
          <w:u w:val="single"/>
        </w:rPr>
      </w:pPr>
      <w:r>
        <w:rPr>
          <w:rFonts w:hint="eastAsia" w:ascii="宋体" w:hAnsi="宋体" w:eastAsia="仿宋_GB2312" w:cs="宋体"/>
          <w:color w:val="auto"/>
          <w:sz w:val="32"/>
          <w:szCs w:val="32"/>
          <w:highlight w:val="none"/>
        </w:rPr>
        <w:t>甲方（发包人）：</w:t>
      </w:r>
      <w:r>
        <w:rPr>
          <w:rFonts w:hint="eastAsia" w:ascii="宋体" w:hAnsi="宋体" w:eastAsia="仿宋_GB2312" w:cs="宋体"/>
          <w:color w:val="auto"/>
          <w:sz w:val="32"/>
          <w:szCs w:val="32"/>
          <w:highlight w:val="none"/>
          <w:u w:val="single"/>
        </w:rPr>
        <w:t xml:space="preserve"> </w:t>
      </w:r>
      <w:r>
        <w:rPr>
          <w:rFonts w:hint="eastAsia" w:ascii="宋体" w:hAnsi="宋体" w:eastAsia="仿宋_GB2312" w:cs="宋体"/>
          <w:color w:val="auto"/>
          <w:sz w:val="32"/>
          <w:szCs w:val="32"/>
          <w:highlight w:val="none"/>
          <w:u w:val="single"/>
          <w:lang w:eastAsia="zh-CN"/>
        </w:rPr>
        <w:t>广州广粮坊食品科技有限公司</w:t>
      </w:r>
      <w:r>
        <w:rPr>
          <w:rFonts w:hint="eastAsia" w:ascii="宋体" w:hAnsi="宋体" w:eastAsia="仿宋_GB2312" w:cs="宋体"/>
          <w:color w:val="auto"/>
          <w:sz w:val="32"/>
          <w:szCs w:val="32"/>
          <w:highlight w:val="none"/>
          <w:u w:val="single"/>
        </w:rPr>
        <w:t xml:space="preserve">   </w:t>
      </w:r>
    </w:p>
    <w:p>
      <w:pPr>
        <w:adjustRightInd w:val="0"/>
        <w:snapToGrid w:val="0"/>
        <w:spacing w:line="480" w:lineRule="auto"/>
        <w:ind w:firstLine="480" w:firstLineChars="150"/>
        <w:rPr>
          <w:rFonts w:ascii="宋体" w:hAnsi="宋体" w:eastAsia="仿宋_GB2312" w:cs="宋体"/>
          <w:color w:val="auto"/>
          <w:sz w:val="32"/>
          <w:szCs w:val="32"/>
          <w:highlight w:val="none"/>
          <w:u w:val="single"/>
        </w:rPr>
      </w:pPr>
      <w:r>
        <w:rPr>
          <w:rFonts w:hint="eastAsia" w:ascii="宋体" w:hAnsi="宋体" w:eastAsia="仿宋_GB2312" w:cs="宋体"/>
          <w:color w:val="auto"/>
          <w:sz w:val="32"/>
          <w:szCs w:val="32"/>
          <w:highlight w:val="none"/>
        </w:rPr>
        <w:t>乙方（承包人）：</w:t>
      </w:r>
      <w:r>
        <w:rPr>
          <w:rFonts w:hint="eastAsia" w:ascii="宋体" w:hAnsi="宋体" w:eastAsia="仿宋_GB2312" w:cs="宋体"/>
          <w:color w:val="auto"/>
          <w:sz w:val="32"/>
          <w:szCs w:val="32"/>
          <w:highlight w:val="none"/>
          <w:u w:val="single"/>
        </w:rPr>
        <w:t xml:space="preserve">                              </w:t>
      </w:r>
    </w:p>
    <w:p>
      <w:pPr>
        <w:widowControl/>
        <w:jc w:val="left"/>
        <w:rPr>
          <w:rFonts w:ascii="宋体" w:hAnsi="宋体" w:eastAsia="仿宋_GB2312" w:cs="宋体"/>
          <w:color w:val="auto"/>
          <w:highlight w:val="none"/>
        </w:rPr>
      </w:pPr>
      <w:r>
        <w:rPr>
          <w:rFonts w:hint="eastAsia" w:ascii="宋体" w:hAnsi="宋体" w:eastAsia="仿宋_GB2312" w:cs="宋体"/>
          <w:color w:val="auto"/>
          <w:highlight w:val="none"/>
        </w:rPr>
        <w:br w:type="page"/>
      </w:r>
    </w:p>
    <w:p>
      <w:pPr>
        <w:adjustRightInd w:val="0"/>
        <w:snapToGrid w:val="0"/>
        <w:spacing w:line="560" w:lineRule="exact"/>
        <w:jc w:val="center"/>
        <w:rPr>
          <w:rFonts w:ascii="宋体" w:hAnsi="宋体" w:eastAsia="仿宋_GB2312" w:cs="宋体"/>
          <w:color w:val="auto"/>
          <w:sz w:val="44"/>
          <w:szCs w:val="44"/>
          <w:highlight w:val="none"/>
        </w:rPr>
      </w:pPr>
      <w:r>
        <w:rPr>
          <w:rFonts w:hint="eastAsia" w:ascii="宋体" w:hAnsi="宋体" w:eastAsia="仿宋_GB2312" w:cs="宋体"/>
          <w:color w:val="auto"/>
          <w:sz w:val="44"/>
          <w:szCs w:val="44"/>
          <w:highlight w:val="none"/>
        </w:rPr>
        <w:t>建设工程项目廉洁协议书</w:t>
      </w:r>
    </w:p>
    <w:p>
      <w:pPr>
        <w:adjustRightInd w:val="0"/>
        <w:snapToGrid w:val="0"/>
        <w:spacing w:line="560" w:lineRule="exact"/>
        <w:ind w:firstLine="880"/>
        <w:jc w:val="center"/>
        <w:rPr>
          <w:rFonts w:ascii="宋体" w:hAnsi="宋体" w:eastAsia="仿宋_GB2312" w:cs="宋体"/>
          <w:color w:val="auto"/>
          <w:sz w:val="44"/>
          <w:szCs w:val="44"/>
          <w:highlight w:val="none"/>
        </w:rPr>
      </w:pPr>
    </w:p>
    <w:p>
      <w:pPr>
        <w:adjustRightInd w:val="0"/>
        <w:snapToGrid w:val="0"/>
        <w:spacing w:line="560" w:lineRule="exact"/>
        <w:ind w:firstLine="640" w:firstLineChars="200"/>
        <w:jc w:val="left"/>
        <w:rPr>
          <w:rFonts w:ascii="宋体" w:hAnsi="宋体" w:eastAsia="仿宋_GB2312" w:cs="宋体"/>
          <w:color w:val="auto"/>
          <w:spacing w:val="8"/>
          <w:sz w:val="32"/>
          <w:szCs w:val="32"/>
          <w:highlight w:val="none"/>
        </w:rPr>
      </w:pPr>
      <w:r>
        <w:rPr>
          <w:rFonts w:hint="eastAsia" w:ascii="宋体" w:hAnsi="宋体" w:eastAsia="仿宋_GB2312" w:cs="宋体"/>
          <w:color w:val="auto"/>
          <w:sz w:val="32"/>
          <w:szCs w:val="32"/>
          <w:highlight w:val="none"/>
        </w:rPr>
        <w:t>为加强建设工程项目廉洁风险防控，促进承发包方规范履职，廉洁从业，保证“工程优质、人员优秀、资金安全”，有效实现投资目标，保护承发包双方权益，根据国家有关法律法规和中央、省、市纪委廉政建设有关规定</w:t>
      </w:r>
      <w:r>
        <w:rPr>
          <w:rFonts w:hint="eastAsia" w:ascii="宋体" w:hAnsi="宋体" w:eastAsia="仿宋_GB2312" w:cs="宋体"/>
          <w:color w:val="auto"/>
          <w:spacing w:val="-8"/>
          <w:sz w:val="32"/>
          <w:szCs w:val="32"/>
          <w:highlight w:val="none"/>
        </w:rPr>
        <w:t>，发包人（</w:t>
      </w:r>
      <w:r>
        <w:rPr>
          <w:rFonts w:hint="eastAsia" w:ascii="宋体" w:hAnsi="宋体" w:eastAsia="仿宋_GB2312" w:cs="宋体"/>
          <w:color w:val="auto"/>
          <w:sz w:val="32"/>
          <w:szCs w:val="32"/>
          <w:highlight w:val="none"/>
        </w:rPr>
        <w:t>甲方）</w:t>
      </w:r>
      <w:r>
        <w:rPr>
          <w:rFonts w:hint="eastAsia" w:ascii="宋体" w:hAnsi="宋体" w:eastAsia="仿宋_GB2312" w:cs="宋体"/>
          <w:color w:val="auto"/>
          <w:sz w:val="32"/>
          <w:szCs w:val="32"/>
          <w:highlight w:val="none"/>
          <w:u w:val="single"/>
          <w:lang w:eastAsia="zh-CN"/>
        </w:rPr>
        <w:t>广州广粮坊食品科技有限公司</w:t>
      </w:r>
      <w:r>
        <w:rPr>
          <w:rFonts w:hint="eastAsia" w:ascii="宋体" w:hAnsi="宋体" w:eastAsia="仿宋_GB2312" w:cs="宋体"/>
          <w:color w:val="auto"/>
          <w:sz w:val="32"/>
          <w:szCs w:val="32"/>
          <w:highlight w:val="none"/>
        </w:rPr>
        <w:t>与承包人（乙方）</w:t>
      </w:r>
      <w:r>
        <w:rPr>
          <w:rFonts w:hint="eastAsia" w:ascii="宋体" w:hAnsi="宋体" w:eastAsia="仿宋_GB2312" w:cs="宋体"/>
          <w:color w:val="auto"/>
          <w:sz w:val="32"/>
          <w:szCs w:val="32"/>
          <w:highlight w:val="none"/>
          <w:u w:val="single"/>
        </w:rPr>
        <w:t xml:space="preserve">      </w:t>
      </w:r>
      <w:r>
        <w:rPr>
          <w:rFonts w:hint="eastAsia" w:ascii="宋体" w:hAnsi="宋体" w:eastAsia="仿宋_GB2312" w:cs="宋体"/>
          <w:color w:val="auto"/>
          <w:sz w:val="32"/>
          <w:szCs w:val="32"/>
          <w:highlight w:val="none"/>
        </w:rPr>
        <w:t>就《</w:t>
      </w:r>
      <w:r>
        <w:rPr>
          <w:rFonts w:hint="eastAsia" w:ascii="仿宋_GB2312" w:hAnsi="Times New Roman" w:eastAsia="仿宋_GB2312" w:cs="Times New Roman"/>
          <w:color w:val="auto"/>
          <w:sz w:val="32"/>
          <w:szCs w:val="32"/>
          <w:highlight w:val="none"/>
          <w:u w:val="single"/>
        </w:rPr>
        <w:t xml:space="preserve">         </w:t>
      </w:r>
      <w:r>
        <w:rPr>
          <w:rFonts w:hint="eastAsia" w:ascii="宋体" w:hAnsi="宋体" w:eastAsia="仿宋_GB2312" w:cs="宋体"/>
          <w:color w:val="auto"/>
          <w:sz w:val="32"/>
          <w:szCs w:val="32"/>
          <w:highlight w:val="none"/>
        </w:rPr>
        <w:t>合同》订立本廉洁协议书，以资双方共同遵照执行。</w:t>
      </w:r>
    </w:p>
    <w:p>
      <w:pPr>
        <w:adjustRightInd w:val="0"/>
        <w:snapToGrid w:val="0"/>
        <w:spacing w:line="560" w:lineRule="exact"/>
        <w:rPr>
          <w:rFonts w:ascii="宋体" w:hAnsi="宋体" w:eastAsia="仿宋_GB2312" w:cs="宋体"/>
          <w:b/>
          <w:color w:val="auto"/>
          <w:sz w:val="32"/>
          <w:szCs w:val="32"/>
          <w:highlight w:val="none"/>
        </w:rPr>
      </w:pPr>
      <w:r>
        <w:rPr>
          <w:rFonts w:hint="eastAsia" w:ascii="宋体" w:hAnsi="宋体" w:eastAsia="仿宋_GB2312" w:cs="宋体"/>
          <w:color w:val="auto"/>
          <w:sz w:val="32"/>
          <w:szCs w:val="32"/>
          <w:highlight w:val="none"/>
        </w:rPr>
        <w:t xml:space="preserve">    </w:t>
      </w:r>
      <w:r>
        <w:rPr>
          <w:rFonts w:hint="eastAsia" w:ascii="宋体" w:hAnsi="宋体" w:eastAsia="仿宋_GB2312" w:cs="宋体"/>
          <w:b/>
          <w:color w:val="auto"/>
          <w:sz w:val="32"/>
          <w:szCs w:val="32"/>
          <w:highlight w:val="none"/>
        </w:rPr>
        <w:t>第一条  甲乙双方的权利和义务</w:t>
      </w:r>
    </w:p>
    <w:p>
      <w:pPr>
        <w:adjustRightInd w:val="0"/>
        <w:snapToGrid w:val="0"/>
        <w:spacing w:line="560" w:lineRule="exact"/>
        <w:rPr>
          <w:rFonts w:ascii="宋体" w:hAnsi="宋体" w:eastAsia="仿宋_GB2312" w:cs="宋体"/>
          <w:color w:val="auto"/>
          <w:sz w:val="32"/>
          <w:szCs w:val="32"/>
          <w:highlight w:val="none"/>
        </w:rPr>
      </w:pPr>
      <w:r>
        <w:rPr>
          <w:rFonts w:hint="eastAsia" w:ascii="宋体" w:hAnsi="宋体" w:eastAsia="仿宋_GB2312" w:cs="宋体"/>
          <w:color w:val="auto"/>
          <w:sz w:val="32"/>
          <w:szCs w:val="32"/>
          <w:highlight w:val="none"/>
        </w:rPr>
        <w:t xml:space="preserve">    （一）严格遵守国家关于市场准入、招标投标、工程建设、物资采购等市场经济活动的法律法规、政策以及廉洁建设规定。</w:t>
      </w:r>
    </w:p>
    <w:p>
      <w:pPr>
        <w:adjustRightInd w:val="0"/>
        <w:snapToGrid w:val="0"/>
        <w:spacing w:line="560" w:lineRule="exact"/>
        <w:ind w:firstLine="640" w:firstLineChars="200"/>
        <w:rPr>
          <w:rFonts w:ascii="宋体" w:hAnsi="宋体" w:eastAsia="仿宋_GB2312" w:cs="宋体"/>
          <w:color w:val="auto"/>
          <w:sz w:val="32"/>
          <w:szCs w:val="32"/>
          <w:highlight w:val="none"/>
        </w:rPr>
      </w:pPr>
      <w:r>
        <w:rPr>
          <w:rFonts w:hint="eastAsia" w:ascii="宋体" w:hAnsi="宋体" w:eastAsia="仿宋_GB2312" w:cs="宋体"/>
          <w:color w:val="auto"/>
          <w:sz w:val="32"/>
          <w:szCs w:val="32"/>
          <w:highlight w:val="none"/>
        </w:rPr>
        <w:t>（二）严格遵守招投标相关法律法规及甲方关于招投标的规定。前述合同签订后，双方严格执行合同文件，自觉履行合同约定的相关职责和义务。</w:t>
      </w:r>
    </w:p>
    <w:p>
      <w:pPr>
        <w:adjustRightInd w:val="0"/>
        <w:snapToGrid w:val="0"/>
        <w:spacing w:line="560" w:lineRule="exact"/>
        <w:rPr>
          <w:rFonts w:ascii="宋体" w:hAnsi="宋体" w:eastAsia="仿宋_GB2312" w:cs="宋体"/>
          <w:color w:val="auto"/>
          <w:sz w:val="32"/>
          <w:szCs w:val="32"/>
          <w:highlight w:val="none"/>
        </w:rPr>
      </w:pPr>
      <w:r>
        <w:rPr>
          <w:rFonts w:hint="eastAsia" w:ascii="宋体" w:hAnsi="宋体" w:eastAsia="仿宋_GB2312" w:cs="宋体"/>
          <w:color w:val="auto"/>
          <w:sz w:val="32"/>
          <w:szCs w:val="32"/>
          <w:highlight w:val="none"/>
        </w:rPr>
        <w:t xml:space="preserve">    （三）业务活动必须坚持公平、公开、公正、诚信、守信的原则，不得就前述合同中的质量、数量、价格、工程量和验收等条款进行私下商谈或者达成默契，不得为获取不正当利益达成私下协议，不得损害国家和集体利益。</w:t>
      </w:r>
    </w:p>
    <w:p>
      <w:pPr>
        <w:adjustRightInd w:val="0"/>
        <w:snapToGrid w:val="0"/>
        <w:spacing w:line="560" w:lineRule="exact"/>
        <w:rPr>
          <w:rFonts w:ascii="宋体" w:hAnsi="宋体" w:eastAsia="仿宋_GB2312" w:cs="宋体"/>
          <w:color w:val="auto"/>
          <w:sz w:val="32"/>
          <w:szCs w:val="32"/>
          <w:highlight w:val="none"/>
        </w:rPr>
      </w:pPr>
      <w:r>
        <w:rPr>
          <w:rFonts w:hint="eastAsia" w:ascii="宋体" w:hAnsi="宋体" w:eastAsia="仿宋_GB2312" w:cs="宋体"/>
          <w:color w:val="auto"/>
          <w:sz w:val="32"/>
          <w:szCs w:val="32"/>
          <w:highlight w:val="none"/>
        </w:rPr>
        <w:t xml:space="preserve">    （四）建立健全廉洁制度，开展廉洁教育，在工程施工现场设立廉洁信息公示栏，公布举报电话及监督方式。</w:t>
      </w:r>
    </w:p>
    <w:p>
      <w:pPr>
        <w:adjustRightInd w:val="0"/>
        <w:snapToGrid w:val="0"/>
        <w:spacing w:line="560" w:lineRule="exact"/>
        <w:ind w:firstLine="645"/>
        <w:rPr>
          <w:rFonts w:ascii="宋体" w:hAnsi="宋体" w:eastAsia="仿宋_GB2312" w:cs="宋体"/>
          <w:color w:val="auto"/>
          <w:sz w:val="32"/>
          <w:szCs w:val="32"/>
          <w:highlight w:val="none"/>
        </w:rPr>
      </w:pPr>
      <w:r>
        <w:rPr>
          <w:rFonts w:hint="eastAsia" w:ascii="宋体" w:hAnsi="宋体" w:eastAsia="仿宋_GB2312" w:cs="宋体"/>
          <w:color w:val="auto"/>
          <w:sz w:val="32"/>
          <w:szCs w:val="32"/>
          <w:highlight w:val="none"/>
        </w:rPr>
        <w:t>（五）发现对方在业务活动中有违反廉洁规定的行为或严重违反合同义务条款的行为，应及时提醒对方纠正。情节严重的，应向其上级相关部门反映和举报，相关部门处理的结果应及时向对方通报。</w:t>
      </w:r>
    </w:p>
    <w:p>
      <w:pPr>
        <w:spacing w:line="560" w:lineRule="exact"/>
        <w:ind w:firstLine="640" w:firstLineChars="200"/>
        <w:rPr>
          <w:rFonts w:ascii="宋体" w:hAnsi="宋体" w:eastAsia="仿宋_GB2312" w:cs="宋体"/>
          <w:color w:val="auto"/>
          <w:sz w:val="32"/>
          <w:szCs w:val="32"/>
          <w:highlight w:val="none"/>
        </w:rPr>
      </w:pPr>
      <w:r>
        <w:rPr>
          <w:rFonts w:hint="eastAsia" w:ascii="宋体" w:hAnsi="宋体" w:eastAsia="仿宋_GB2312" w:cs="宋体"/>
          <w:color w:val="auto"/>
          <w:sz w:val="32"/>
          <w:szCs w:val="32"/>
          <w:highlight w:val="none"/>
        </w:rPr>
        <w:t>（六）不得与相关权利方和利益方勾肩搭背，内外勾结，在本工程项目建设过程中非法牟利。</w:t>
      </w:r>
    </w:p>
    <w:p>
      <w:pPr>
        <w:adjustRightInd w:val="0"/>
        <w:snapToGrid w:val="0"/>
        <w:spacing w:line="560" w:lineRule="exact"/>
        <w:ind w:firstLine="640" w:firstLineChars="200"/>
        <w:rPr>
          <w:rFonts w:ascii="宋体" w:hAnsi="宋体" w:eastAsia="仿宋_GB2312" w:cs="宋体"/>
          <w:color w:val="auto"/>
          <w:sz w:val="32"/>
          <w:szCs w:val="32"/>
          <w:highlight w:val="none"/>
        </w:rPr>
      </w:pPr>
      <w:r>
        <w:rPr>
          <w:rFonts w:hint="eastAsia" w:ascii="宋体" w:hAnsi="宋体" w:eastAsia="仿宋_GB2312" w:cs="宋体"/>
          <w:color w:val="auto"/>
          <w:sz w:val="32"/>
          <w:szCs w:val="32"/>
          <w:highlight w:val="none"/>
        </w:rPr>
        <w:t>（七）不得通过说情、批示、打招呼、暗示或强迫命令等形式，干扰、妨碍本建设工程项目业务活动。</w:t>
      </w:r>
    </w:p>
    <w:p>
      <w:pPr>
        <w:adjustRightInd w:val="0"/>
        <w:snapToGrid w:val="0"/>
        <w:spacing w:line="560" w:lineRule="exact"/>
        <w:ind w:firstLine="640" w:firstLineChars="200"/>
        <w:rPr>
          <w:rFonts w:ascii="宋体" w:hAnsi="宋体" w:eastAsia="仿宋_GB2312" w:cs="宋体"/>
          <w:color w:val="auto"/>
          <w:sz w:val="32"/>
          <w:szCs w:val="32"/>
          <w:highlight w:val="none"/>
        </w:rPr>
      </w:pPr>
      <w:r>
        <w:rPr>
          <w:rFonts w:hint="eastAsia" w:ascii="宋体" w:hAnsi="宋体" w:eastAsia="仿宋_GB2312" w:cs="宋体"/>
          <w:color w:val="auto"/>
          <w:sz w:val="32"/>
          <w:szCs w:val="32"/>
          <w:highlight w:val="none"/>
        </w:rPr>
        <w:t>（八）不得干扰、妨碍查处本建设工程项目中的违规违纪违法行为。</w:t>
      </w:r>
    </w:p>
    <w:p>
      <w:pPr>
        <w:adjustRightInd w:val="0"/>
        <w:snapToGrid w:val="0"/>
        <w:spacing w:line="560" w:lineRule="exact"/>
        <w:rPr>
          <w:rFonts w:ascii="宋体" w:hAnsi="宋体" w:eastAsia="仿宋_GB2312" w:cs="宋体"/>
          <w:b/>
          <w:color w:val="auto"/>
          <w:sz w:val="32"/>
          <w:szCs w:val="32"/>
          <w:highlight w:val="none"/>
        </w:rPr>
      </w:pPr>
      <w:r>
        <w:rPr>
          <w:rFonts w:hint="eastAsia" w:ascii="宋体" w:hAnsi="宋体" w:eastAsia="仿宋_GB2312" w:cs="宋体"/>
          <w:color w:val="auto"/>
          <w:sz w:val="32"/>
          <w:szCs w:val="32"/>
          <w:highlight w:val="none"/>
        </w:rPr>
        <w:t xml:space="preserve">    </w:t>
      </w:r>
      <w:r>
        <w:rPr>
          <w:rFonts w:hint="eastAsia" w:ascii="宋体" w:hAnsi="宋体" w:eastAsia="仿宋_GB2312" w:cs="宋体"/>
          <w:b/>
          <w:color w:val="auto"/>
          <w:sz w:val="32"/>
          <w:szCs w:val="32"/>
          <w:highlight w:val="none"/>
        </w:rPr>
        <w:t>第二条  甲方的义务</w:t>
      </w:r>
    </w:p>
    <w:p>
      <w:pPr>
        <w:spacing w:line="560" w:lineRule="exact"/>
        <w:ind w:firstLine="640" w:firstLineChars="200"/>
        <w:rPr>
          <w:rFonts w:ascii="宋体" w:hAnsi="宋体" w:eastAsia="仿宋_GB2312" w:cs="宋体"/>
          <w:color w:val="auto"/>
          <w:sz w:val="32"/>
          <w:szCs w:val="32"/>
          <w:highlight w:val="none"/>
        </w:rPr>
      </w:pPr>
      <w:r>
        <w:rPr>
          <w:rFonts w:hint="eastAsia" w:ascii="宋体" w:hAnsi="宋体" w:eastAsia="仿宋_GB2312" w:cs="宋体"/>
          <w:color w:val="auto"/>
          <w:sz w:val="32"/>
          <w:szCs w:val="32"/>
          <w:highlight w:val="none"/>
        </w:rPr>
        <w:t>甲方及甲方领导人员和从事本建设工程项目的工作人员（以下简称“甲方相关人员”），在工程建设的事前、事中和事后都须遵守以下规定：</w:t>
      </w:r>
    </w:p>
    <w:p>
      <w:pPr>
        <w:spacing w:line="560" w:lineRule="exact"/>
        <w:ind w:firstLine="640" w:firstLineChars="200"/>
        <w:rPr>
          <w:rFonts w:ascii="宋体" w:hAnsi="宋体" w:eastAsia="仿宋_GB2312" w:cs="宋体"/>
          <w:color w:val="auto"/>
          <w:sz w:val="32"/>
          <w:szCs w:val="32"/>
          <w:highlight w:val="none"/>
        </w:rPr>
      </w:pPr>
      <w:r>
        <w:rPr>
          <w:rFonts w:hint="eastAsia" w:ascii="宋体" w:hAnsi="宋体" w:eastAsia="仿宋_GB2312" w:cs="宋体"/>
          <w:color w:val="auto"/>
          <w:sz w:val="32"/>
          <w:szCs w:val="32"/>
          <w:highlight w:val="none"/>
        </w:rPr>
        <w:t>（一）甲方及甲方相关人员应按照公平、公正、公开和诚实守信的原则开展工作，为乙方提供公平的竞争环境与平台；</w:t>
      </w:r>
    </w:p>
    <w:p>
      <w:pPr>
        <w:spacing w:line="560" w:lineRule="exact"/>
        <w:ind w:firstLine="640" w:firstLineChars="200"/>
        <w:rPr>
          <w:rFonts w:ascii="宋体" w:hAnsi="宋体" w:eastAsia="仿宋_GB2312" w:cs="宋体"/>
          <w:color w:val="auto"/>
          <w:sz w:val="32"/>
          <w:szCs w:val="32"/>
          <w:highlight w:val="none"/>
        </w:rPr>
      </w:pPr>
      <w:r>
        <w:rPr>
          <w:rFonts w:hint="eastAsia" w:ascii="宋体" w:hAnsi="宋体" w:eastAsia="仿宋_GB2312" w:cs="宋体"/>
          <w:color w:val="auto"/>
          <w:sz w:val="32"/>
          <w:szCs w:val="32"/>
          <w:highlight w:val="none"/>
        </w:rPr>
        <w:t>（二）甲方相关人员不得索要或接受与本工程建设有利益关系的单位及个人的礼品、礼金、红包、有价证券、支付凭证、纪念品、高档办公用品、土特产、通讯和交通工具、不动产、住房装修，或者宴请、外出旅游、消费娱乐等非正当利益；不得参与任何形式的赌博并通过赌博方式收受乙方财物；不得在乙方报销任何应由甲方及其相关人员支付的费用；</w:t>
      </w:r>
    </w:p>
    <w:p>
      <w:pPr>
        <w:spacing w:line="560" w:lineRule="exact"/>
        <w:ind w:firstLine="640" w:firstLineChars="200"/>
        <w:rPr>
          <w:rFonts w:ascii="宋体" w:hAnsi="宋体" w:eastAsia="仿宋_GB2312" w:cs="宋体"/>
          <w:color w:val="auto"/>
          <w:sz w:val="32"/>
          <w:szCs w:val="32"/>
          <w:highlight w:val="none"/>
        </w:rPr>
      </w:pPr>
      <w:r>
        <w:rPr>
          <w:rFonts w:hint="eastAsia" w:ascii="宋体" w:hAnsi="宋体" w:eastAsia="仿宋_GB2312" w:cs="宋体"/>
          <w:color w:val="auto"/>
          <w:sz w:val="32"/>
          <w:szCs w:val="32"/>
          <w:highlight w:val="none"/>
        </w:rPr>
        <w:t>（三）甲方相关人员不得借本工程建设之机，为父母、配偶、子女及其他特定关系人谋取不正当利益。不得要求或接受乙方为其操办婚丧喜庆事宜提供方便；不得在乙方或与乙方有股权关联的企业兼职，不得向乙方介绍家属或者亲友从事与甲方业务有关的经济活动；</w:t>
      </w:r>
    </w:p>
    <w:p>
      <w:pPr>
        <w:spacing w:line="560" w:lineRule="exact"/>
        <w:ind w:firstLine="640" w:firstLineChars="200"/>
        <w:rPr>
          <w:rFonts w:ascii="宋体" w:hAnsi="宋体" w:eastAsia="仿宋_GB2312" w:cs="宋体"/>
          <w:color w:val="auto"/>
          <w:sz w:val="32"/>
          <w:szCs w:val="32"/>
          <w:highlight w:val="none"/>
        </w:rPr>
      </w:pPr>
      <w:r>
        <w:rPr>
          <w:rFonts w:hint="eastAsia" w:ascii="宋体" w:hAnsi="宋体" w:eastAsia="仿宋_GB2312" w:cs="宋体"/>
          <w:color w:val="auto"/>
          <w:sz w:val="32"/>
          <w:szCs w:val="32"/>
          <w:highlight w:val="none"/>
        </w:rPr>
        <w:t>（四）甲方相关人员不得以明显低于市场的价格向乙方购买房屋、汽车等物品；不得以明显高于市场的价格向乙方出售房屋、汽车等物品；不得使用乙方提供的与工作无关的房屋、汽车等物品；不得以其他交易形式非法收受请托人财物；</w:t>
      </w:r>
    </w:p>
    <w:p>
      <w:pPr>
        <w:spacing w:line="560" w:lineRule="exact"/>
        <w:ind w:firstLine="640" w:firstLineChars="200"/>
        <w:contextualSpacing/>
        <w:rPr>
          <w:rFonts w:ascii="宋体" w:hAnsi="宋体" w:eastAsia="仿宋_GB2312" w:cs="宋体"/>
          <w:color w:val="auto"/>
          <w:sz w:val="32"/>
          <w:szCs w:val="32"/>
          <w:highlight w:val="none"/>
        </w:rPr>
      </w:pPr>
      <w:r>
        <w:rPr>
          <w:rFonts w:hint="eastAsia" w:ascii="宋体" w:hAnsi="宋体" w:eastAsia="仿宋_GB2312" w:cs="宋体"/>
          <w:color w:val="auto"/>
          <w:sz w:val="32"/>
          <w:szCs w:val="32"/>
          <w:highlight w:val="none"/>
        </w:rPr>
        <w:t>（五）甲方相关人员不得利用职务之便收受乙方以回扣、手续费、加班费、咨询费、劳务费、协调费、辛苦费等各种名义给予或赠送的钱物；不得接受乙方给予或赠送的干股或红利；</w:t>
      </w:r>
    </w:p>
    <w:p>
      <w:pPr>
        <w:spacing w:line="560" w:lineRule="exact"/>
        <w:ind w:firstLine="640" w:firstLineChars="200"/>
        <w:contextualSpacing/>
        <w:rPr>
          <w:rFonts w:ascii="宋体" w:hAnsi="宋体" w:eastAsia="仿宋_GB2312" w:cs="宋体"/>
          <w:color w:val="auto"/>
          <w:sz w:val="32"/>
          <w:szCs w:val="32"/>
          <w:highlight w:val="none"/>
        </w:rPr>
      </w:pPr>
      <w:r>
        <w:rPr>
          <w:rFonts w:hint="eastAsia" w:ascii="宋体" w:hAnsi="宋体" w:eastAsia="仿宋_GB2312" w:cs="宋体"/>
          <w:color w:val="auto"/>
          <w:sz w:val="32"/>
          <w:szCs w:val="32"/>
          <w:highlight w:val="none"/>
        </w:rPr>
        <w:t>（六）甲方相关人员不得安排其父母、配偶、子女及其他特定关系人从事与甲方有关的工程材料设备供应、工程分包、劳务等经济活动；</w:t>
      </w:r>
    </w:p>
    <w:p>
      <w:pPr>
        <w:spacing w:line="560" w:lineRule="exact"/>
        <w:ind w:firstLine="640" w:firstLineChars="200"/>
        <w:rPr>
          <w:rFonts w:ascii="宋体" w:hAnsi="宋体" w:eastAsia="仿宋_GB2312" w:cs="宋体"/>
          <w:color w:val="auto"/>
          <w:sz w:val="32"/>
          <w:szCs w:val="32"/>
          <w:highlight w:val="none"/>
        </w:rPr>
      </w:pPr>
      <w:r>
        <w:rPr>
          <w:rFonts w:hint="eastAsia" w:ascii="宋体" w:hAnsi="宋体" w:eastAsia="仿宋_GB2312" w:cs="宋体"/>
          <w:color w:val="auto"/>
          <w:sz w:val="32"/>
          <w:szCs w:val="32"/>
          <w:highlight w:val="none"/>
        </w:rPr>
        <w:t>（七）甲方相关人员不得利用职权从事各种有偿中介活动和安排施工队伍，不得以任何理由向承包人推荐分包单位或推销材料，不得要求承包人购买前述合同约定以外的材料和设备；</w:t>
      </w:r>
    </w:p>
    <w:p>
      <w:pPr>
        <w:spacing w:line="560" w:lineRule="exact"/>
        <w:ind w:firstLine="640" w:firstLineChars="200"/>
        <w:rPr>
          <w:rFonts w:ascii="宋体" w:hAnsi="宋体" w:eastAsia="仿宋_GB2312" w:cs="宋体"/>
          <w:color w:val="auto"/>
          <w:sz w:val="32"/>
          <w:szCs w:val="32"/>
          <w:highlight w:val="none"/>
        </w:rPr>
      </w:pPr>
      <w:r>
        <w:rPr>
          <w:rFonts w:hint="eastAsia" w:ascii="宋体" w:hAnsi="宋体" w:eastAsia="仿宋_GB2312" w:cs="宋体"/>
          <w:color w:val="auto"/>
          <w:sz w:val="32"/>
          <w:szCs w:val="32"/>
          <w:highlight w:val="none"/>
        </w:rPr>
        <w:t>（八）甲方及甲方相关人员不得违反国家法律法规党内规章制度及甲方内部的其他禁止性规定。</w:t>
      </w:r>
    </w:p>
    <w:p>
      <w:pPr>
        <w:spacing w:line="560" w:lineRule="exact"/>
        <w:ind w:firstLine="643" w:firstLineChars="200"/>
        <w:rPr>
          <w:rFonts w:ascii="宋体" w:hAnsi="宋体" w:eastAsia="仿宋_GB2312" w:cs="宋体"/>
          <w:b/>
          <w:color w:val="auto"/>
          <w:sz w:val="32"/>
          <w:szCs w:val="32"/>
          <w:highlight w:val="none"/>
        </w:rPr>
      </w:pPr>
      <w:r>
        <w:rPr>
          <w:rFonts w:hint="eastAsia" w:ascii="宋体" w:hAnsi="宋体" w:eastAsia="仿宋_GB2312" w:cs="宋体"/>
          <w:b/>
          <w:color w:val="auto"/>
          <w:sz w:val="32"/>
          <w:szCs w:val="32"/>
          <w:highlight w:val="none"/>
        </w:rPr>
        <w:t>第三条  乙方的义务</w:t>
      </w:r>
    </w:p>
    <w:p>
      <w:pPr>
        <w:adjustRightInd w:val="0"/>
        <w:snapToGrid w:val="0"/>
        <w:spacing w:line="560" w:lineRule="exact"/>
        <w:rPr>
          <w:rFonts w:ascii="宋体" w:hAnsi="宋体" w:eastAsia="仿宋_GB2312" w:cs="宋体"/>
          <w:color w:val="auto"/>
          <w:sz w:val="32"/>
          <w:szCs w:val="32"/>
          <w:highlight w:val="none"/>
        </w:rPr>
      </w:pPr>
      <w:r>
        <w:rPr>
          <w:rFonts w:hint="eastAsia" w:ascii="宋体" w:hAnsi="宋体" w:eastAsia="仿宋_GB2312" w:cs="宋体"/>
          <w:b/>
          <w:color w:val="auto"/>
          <w:sz w:val="32"/>
          <w:szCs w:val="32"/>
          <w:highlight w:val="none"/>
        </w:rPr>
        <w:t xml:space="preserve">    </w:t>
      </w:r>
      <w:r>
        <w:rPr>
          <w:rFonts w:hint="eastAsia" w:ascii="宋体" w:hAnsi="宋体" w:eastAsia="仿宋_GB2312" w:cs="宋体"/>
          <w:color w:val="auto"/>
          <w:sz w:val="32"/>
          <w:szCs w:val="32"/>
          <w:highlight w:val="none"/>
        </w:rPr>
        <w:t>乙方及其领导人员和该建设工程项目的工作人员（以下简称“乙方相关人员”）应与甲方及甲方相关人员保持正常的业务往来，严格执行法律法规规定，按照规定程序开展业务工作，在工程建设的事前、事中和事后都须遵守以下规定：</w:t>
      </w:r>
    </w:p>
    <w:p>
      <w:pPr>
        <w:adjustRightInd w:val="0"/>
        <w:snapToGrid w:val="0"/>
        <w:spacing w:line="560" w:lineRule="exact"/>
        <w:ind w:firstLine="630"/>
        <w:rPr>
          <w:rFonts w:ascii="宋体" w:hAnsi="宋体" w:eastAsia="仿宋_GB2312" w:cs="宋体"/>
          <w:color w:val="auto"/>
          <w:sz w:val="32"/>
          <w:szCs w:val="32"/>
          <w:highlight w:val="none"/>
        </w:rPr>
      </w:pPr>
      <w:r>
        <w:rPr>
          <w:rFonts w:hint="eastAsia" w:ascii="宋体" w:hAnsi="宋体" w:eastAsia="仿宋_GB2312" w:cs="宋体"/>
          <w:color w:val="auto"/>
          <w:sz w:val="32"/>
          <w:szCs w:val="32"/>
          <w:highlight w:val="none"/>
        </w:rPr>
        <w:t>（一）乙方及乙方相关人员不得在工程招投标阶段以违反国家法律法规、党章党纪规定的方式获取不正当利益；</w:t>
      </w:r>
    </w:p>
    <w:p>
      <w:pPr>
        <w:adjustRightInd w:val="0"/>
        <w:snapToGrid w:val="0"/>
        <w:spacing w:line="560" w:lineRule="exact"/>
        <w:ind w:firstLine="630"/>
        <w:rPr>
          <w:rFonts w:ascii="宋体" w:hAnsi="宋体" w:eastAsia="仿宋_GB2312" w:cs="宋体"/>
          <w:color w:val="auto"/>
          <w:sz w:val="32"/>
          <w:szCs w:val="32"/>
          <w:highlight w:val="none"/>
        </w:rPr>
      </w:pPr>
      <w:r>
        <w:rPr>
          <w:rFonts w:hint="eastAsia" w:ascii="宋体" w:hAnsi="宋体" w:eastAsia="仿宋_GB2312" w:cs="宋体"/>
          <w:color w:val="auto"/>
          <w:sz w:val="32"/>
          <w:szCs w:val="32"/>
          <w:highlight w:val="none"/>
        </w:rPr>
        <w:t>（二）乙方相关人员不得以任何理由向甲方及甲方相关人员行贿或馈赠礼金、有价证券、贵重礼品；不得以任何理由安排甲方及甲方相关人员参加可能影响相关业务公平、公开、公正、公平性的宴请及娱乐活动；不得以任何名义为甲方及甲方相关人员报销应由甲方单位或个人支付的任何费用；</w:t>
      </w:r>
    </w:p>
    <w:p>
      <w:pPr>
        <w:adjustRightInd w:val="0"/>
        <w:snapToGrid w:val="0"/>
        <w:spacing w:line="560" w:lineRule="exact"/>
        <w:ind w:firstLine="630"/>
        <w:rPr>
          <w:rFonts w:ascii="宋体" w:hAnsi="宋体" w:eastAsia="仿宋_GB2312" w:cs="宋体"/>
          <w:color w:val="auto"/>
          <w:sz w:val="32"/>
          <w:szCs w:val="32"/>
          <w:highlight w:val="none"/>
        </w:rPr>
      </w:pPr>
      <w:r>
        <w:rPr>
          <w:rFonts w:hint="eastAsia" w:ascii="宋体" w:hAnsi="宋体" w:eastAsia="仿宋_GB2312" w:cs="宋体"/>
          <w:color w:val="auto"/>
          <w:sz w:val="32"/>
          <w:szCs w:val="32"/>
          <w:highlight w:val="none"/>
        </w:rPr>
        <w:t>（三）乙方及乙方相关人员不得因前述合同履行向甲方、甲方相关人员及其亲属有输送利益的行为；</w:t>
      </w:r>
    </w:p>
    <w:p>
      <w:pPr>
        <w:adjustRightInd w:val="0"/>
        <w:snapToGrid w:val="0"/>
        <w:spacing w:line="560" w:lineRule="exact"/>
        <w:ind w:firstLine="630"/>
        <w:rPr>
          <w:rFonts w:ascii="宋体" w:hAnsi="宋体" w:eastAsia="仿宋_GB2312" w:cs="宋体"/>
          <w:color w:val="auto"/>
          <w:sz w:val="32"/>
          <w:szCs w:val="32"/>
          <w:highlight w:val="none"/>
        </w:rPr>
      </w:pPr>
      <w:r>
        <w:rPr>
          <w:rFonts w:hint="eastAsia" w:ascii="宋体" w:hAnsi="宋体" w:eastAsia="仿宋_GB2312" w:cs="宋体"/>
          <w:color w:val="auto"/>
          <w:sz w:val="32"/>
          <w:szCs w:val="32"/>
          <w:highlight w:val="none"/>
        </w:rPr>
        <w:t>（四）乙方及乙方相关人员不得为甲方、甲方相关人员及其亲属个人购置或提供通讯工具和高档办公用品等物品，也不得为甲方相关人员提供与工作无关的不动产、交通工具等；</w:t>
      </w:r>
    </w:p>
    <w:p>
      <w:pPr>
        <w:adjustRightInd w:val="0"/>
        <w:snapToGrid w:val="0"/>
        <w:spacing w:line="560" w:lineRule="exact"/>
        <w:ind w:firstLine="640" w:firstLineChars="200"/>
        <w:rPr>
          <w:rFonts w:ascii="宋体" w:hAnsi="宋体" w:eastAsia="仿宋_GB2312" w:cs="宋体"/>
          <w:color w:val="auto"/>
          <w:sz w:val="32"/>
          <w:szCs w:val="32"/>
          <w:highlight w:val="none"/>
        </w:rPr>
      </w:pPr>
      <w:r>
        <w:rPr>
          <w:rFonts w:hint="eastAsia" w:ascii="宋体" w:hAnsi="宋体" w:eastAsia="仿宋_GB2312" w:cs="宋体"/>
          <w:color w:val="auto"/>
          <w:sz w:val="32"/>
          <w:szCs w:val="32"/>
          <w:highlight w:val="none"/>
        </w:rPr>
        <w:t>（五）乙方及乙方相关人员不得以回扣、手续费、加班费、咨询费、劳务费、协调费、辛苦费等各种名义向甲方及甲方相关人员给予或赠送钱物；不得向甲方及甲方相关人员提供干股或红利；</w:t>
      </w:r>
    </w:p>
    <w:p>
      <w:pPr>
        <w:spacing w:line="560" w:lineRule="exact"/>
        <w:ind w:firstLine="640" w:firstLineChars="200"/>
        <w:contextualSpacing/>
        <w:rPr>
          <w:rFonts w:ascii="宋体" w:hAnsi="宋体" w:eastAsia="仿宋_GB2312" w:cs="宋体"/>
          <w:color w:val="auto"/>
          <w:sz w:val="32"/>
          <w:szCs w:val="32"/>
          <w:highlight w:val="none"/>
        </w:rPr>
      </w:pPr>
      <w:r>
        <w:rPr>
          <w:rFonts w:hint="eastAsia" w:ascii="宋体" w:hAnsi="宋体" w:eastAsia="仿宋_GB2312" w:cs="宋体"/>
          <w:color w:val="auto"/>
          <w:sz w:val="32"/>
          <w:szCs w:val="32"/>
          <w:highlight w:val="none"/>
        </w:rPr>
        <w:t>（六）乙方及乙方相关人员不得以谋取非正当利益为目的，擅自与甲方或甲方相关人员就与本建设工程项目有关的业务问题进行私下商谈或者达成利益默契；</w:t>
      </w:r>
    </w:p>
    <w:p>
      <w:pPr>
        <w:spacing w:line="560" w:lineRule="exact"/>
        <w:ind w:firstLine="640" w:firstLineChars="200"/>
        <w:contextualSpacing/>
        <w:rPr>
          <w:rFonts w:ascii="宋体" w:hAnsi="宋体" w:eastAsia="仿宋_GB2312" w:cs="宋体"/>
          <w:color w:val="auto"/>
          <w:sz w:val="32"/>
          <w:szCs w:val="32"/>
          <w:highlight w:val="none"/>
        </w:rPr>
      </w:pPr>
      <w:r>
        <w:rPr>
          <w:rFonts w:hint="eastAsia" w:ascii="宋体" w:hAnsi="宋体" w:eastAsia="仿宋_GB2312" w:cs="宋体"/>
          <w:color w:val="auto"/>
          <w:sz w:val="32"/>
          <w:szCs w:val="32"/>
          <w:highlight w:val="none"/>
        </w:rPr>
        <w:t>（七）乙方及乙方相关人员不得违反国家法律法规及党内规章制度的其他禁止性规定；</w:t>
      </w:r>
    </w:p>
    <w:p>
      <w:pPr>
        <w:adjustRightInd w:val="0"/>
        <w:snapToGrid w:val="0"/>
        <w:spacing w:line="560" w:lineRule="exact"/>
        <w:ind w:firstLine="640" w:firstLineChars="200"/>
        <w:rPr>
          <w:rFonts w:ascii="宋体" w:hAnsi="宋体" w:eastAsia="仿宋_GB2312" w:cs="宋体"/>
          <w:color w:val="auto"/>
          <w:sz w:val="32"/>
          <w:szCs w:val="32"/>
          <w:highlight w:val="none"/>
        </w:rPr>
      </w:pPr>
      <w:r>
        <w:rPr>
          <w:rFonts w:hint="eastAsia" w:ascii="宋体" w:hAnsi="宋体" w:eastAsia="仿宋_GB2312" w:cs="宋体"/>
          <w:color w:val="auto"/>
          <w:sz w:val="32"/>
          <w:szCs w:val="32"/>
          <w:highlight w:val="none"/>
        </w:rPr>
        <w:t>（八）乙方或乙方相关人员发现甲方相关人员有违反本廉洁协议书规定的，应向甲方举报。</w:t>
      </w:r>
    </w:p>
    <w:p>
      <w:pPr>
        <w:spacing w:line="560" w:lineRule="exact"/>
        <w:ind w:firstLine="643" w:firstLineChars="200"/>
        <w:rPr>
          <w:rFonts w:ascii="宋体" w:hAnsi="宋体" w:eastAsia="仿宋_GB2312" w:cs="宋体"/>
          <w:b/>
          <w:color w:val="auto"/>
          <w:sz w:val="32"/>
          <w:szCs w:val="32"/>
          <w:highlight w:val="none"/>
        </w:rPr>
      </w:pPr>
      <w:r>
        <w:rPr>
          <w:rFonts w:hint="eastAsia" w:ascii="宋体" w:hAnsi="宋体" w:eastAsia="仿宋_GB2312" w:cs="宋体"/>
          <w:b/>
          <w:color w:val="auto"/>
          <w:sz w:val="32"/>
          <w:szCs w:val="32"/>
          <w:highlight w:val="none"/>
        </w:rPr>
        <w:t>第四条  违约责任</w:t>
      </w:r>
    </w:p>
    <w:p>
      <w:pPr>
        <w:adjustRightInd w:val="0"/>
        <w:snapToGrid w:val="0"/>
        <w:spacing w:line="560" w:lineRule="exact"/>
        <w:rPr>
          <w:rFonts w:ascii="宋体" w:hAnsi="宋体" w:eastAsia="仿宋_GB2312" w:cs="宋体"/>
          <w:color w:val="auto"/>
          <w:sz w:val="32"/>
          <w:szCs w:val="32"/>
          <w:highlight w:val="none"/>
        </w:rPr>
      </w:pPr>
      <w:r>
        <w:rPr>
          <w:rFonts w:hint="eastAsia" w:ascii="宋体" w:hAnsi="宋体" w:eastAsia="仿宋_GB2312" w:cs="宋体"/>
          <w:color w:val="auto"/>
          <w:sz w:val="32"/>
          <w:szCs w:val="32"/>
          <w:highlight w:val="none"/>
        </w:rPr>
        <w:t xml:space="preserve">    （一）甲方及甲方相关人员违反本廉洁协议书第一、二条，按管理权限，依据有关规定给予党纪、政纪或组织处理；涉嫌犯罪的，移交司法机关追究刑事责任；给乙方造成经济损失的，应予以赔偿。</w:t>
      </w:r>
    </w:p>
    <w:p>
      <w:pPr>
        <w:adjustRightInd w:val="0"/>
        <w:snapToGrid w:val="0"/>
        <w:spacing w:line="560" w:lineRule="exact"/>
        <w:ind w:firstLine="640" w:firstLineChars="200"/>
        <w:rPr>
          <w:rFonts w:ascii="宋体" w:hAnsi="宋体" w:eastAsia="仿宋_GB2312" w:cs="宋体"/>
          <w:color w:val="auto"/>
          <w:sz w:val="32"/>
          <w:szCs w:val="32"/>
          <w:highlight w:val="none"/>
        </w:rPr>
      </w:pPr>
      <w:r>
        <w:rPr>
          <w:rFonts w:hint="eastAsia" w:ascii="宋体" w:hAnsi="宋体" w:eastAsia="仿宋_GB2312" w:cs="宋体"/>
          <w:color w:val="auto"/>
          <w:sz w:val="32"/>
          <w:szCs w:val="32"/>
          <w:highlight w:val="none"/>
        </w:rPr>
        <w:t>甲方举报投诉联系部门：广州岭南商旅投资集团有限公司纪检监察室，联系电话：86266672；广州市粮食集团有限责任公司纪委办公室，联系电话：83339110。</w:t>
      </w:r>
    </w:p>
    <w:p>
      <w:pPr>
        <w:adjustRightInd w:val="0"/>
        <w:snapToGrid w:val="0"/>
        <w:spacing w:line="560" w:lineRule="exact"/>
        <w:ind w:firstLine="640" w:firstLineChars="200"/>
        <w:rPr>
          <w:rFonts w:ascii="宋体" w:hAnsi="宋体" w:eastAsia="仿宋_GB2312" w:cs="宋体"/>
          <w:color w:val="auto"/>
          <w:sz w:val="32"/>
          <w:szCs w:val="32"/>
          <w:highlight w:val="none"/>
        </w:rPr>
      </w:pPr>
      <w:r>
        <w:rPr>
          <w:rFonts w:hint="eastAsia" w:ascii="宋体" w:hAnsi="宋体" w:eastAsia="仿宋_GB2312" w:cs="宋体"/>
          <w:color w:val="auto"/>
          <w:sz w:val="32"/>
          <w:szCs w:val="32"/>
          <w:highlight w:val="none"/>
        </w:rPr>
        <w:t>（二）乙方及乙方相关人员违反本廉洁协议书第一、三条，应全额返还用不正当手段获取的非法所得，并依据国家和甲方招投标有关规定给予处理，通过不正当手段中标或者签订合同的，甲方有权取消中标资格或解除合同，并追究乙方相应责任；给甲方造成经济损失的，乙方应予以赔偿；情节严重的，甲方可以建议建设行政主管部门给予乙方不得进入其主管工程建设市场的处罚；构成犯罪的，移交司法机关追究刑事责任。</w:t>
      </w:r>
    </w:p>
    <w:p>
      <w:pPr>
        <w:adjustRightInd w:val="0"/>
        <w:snapToGrid w:val="0"/>
        <w:spacing w:line="560" w:lineRule="exact"/>
        <w:ind w:firstLine="640" w:firstLineChars="200"/>
        <w:rPr>
          <w:rFonts w:ascii="宋体" w:hAnsi="宋体" w:eastAsia="仿宋_GB2312" w:cs="宋体"/>
          <w:color w:val="auto"/>
          <w:sz w:val="32"/>
          <w:szCs w:val="32"/>
          <w:highlight w:val="none"/>
        </w:rPr>
      </w:pPr>
      <w:r>
        <w:rPr>
          <w:rFonts w:hint="eastAsia" w:ascii="宋体" w:hAnsi="宋体" w:eastAsia="仿宋_GB2312" w:cs="宋体"/>
          <w:color w:val="auto"/>
          <w:sz w:val="32"/>
          <w:szCs w:val="32"/>
          <w:highlight w:val="none"/>
        </w:rPr>
        <w:t>（三）乙方及乙方相关人员违反本廉洁协议书第一、三条，甲方有权扣除乙方依据前述合同支付的全部履约保证金或要求乙方支付该合同总金额20%的违约金作为处罚。</w:t>
      </w:r>
    </w:p>
    <w:p>
      <w:pPr>
        <w:adjustRightInd w:val="0"/>
        <w:snapToGrid w:val="0"/>
        <w:spacing w:line="560" w:lineRule="exact"/>
        <w:rPr>
          <w:rFonts w:ascii="宋体" w:hAnsi="宋体" w:eastAsia="仿宋_GB2312" w:cs="宋体"/>
          <w:color w:val="auto"/>
          <w:sz w:val="32"/>
          <w:szCs w:val="32"/>
          <w:highlight w:val="none"/>
        </w:rPr>
      </w:pPr>
      <w:r>
        <w:rPr>
          <w:rFonts w:hint="eastAsia" w:ascii="宋体" w:hAnsi="宋体" w:eastAsia="仿宋_GB2312" w:cs="宋体"/>
          <w:color w:val="auto"/>
          <w:sz w:val="32"/>
          <w:szCs w:val="32"/>
          <w:highlight w:val="none"/>
        </w:rPr>
        <w:t xml:space="preserve">    </w:t>
      </w:r>
      <w:r>
        <w:rPr>
          <w:rFonts w:hint="eastAsia" w:ascii="宋体" w:hAnsi="宋体" w:eastAsia="仿宋_GB2312" w:cs="宋体"/>
          <w:b/>
          <w:color w:val="auto"/>
          <w:sz w:val="32"/>
          <w:szCs w:val="32"/>
          <w:highlight w:val="none"/>
        </w:rPr>
        <w:t>第五条</w:t>
      </w:r>
      <w:r>
        <w:rPr>
          <w:rFonts w:hint="eastAsia" w:ascii="宋体" w:hAnsi="宋体" w:eastAsia="仿宋_GB2312" w:cs="宋体"/>
          <w:color w:val="auto"/>
          <w:sz w:val="32"/>
          <w:szCs w:val="32"/>
          <w:highlight w:val="none"/>
        </w:rPr>
        <w:t xml:space="preserve">  本廉洁协议书由双方或双方上级单位负责监督。可由甲方或甲方上级单位的纪检监察部门约请乙方或乙方上级单位对本廉洁协议书履行情况进行检查。</w:t>
      </w:r>
    </w:p>
    <w:p>
      <w:pPr>
        <w:adjustRightInd w:val="0"/>
        <w:snapToGrid w:val="0"/>
        <w:spacing w:line="560" w:lineRule="exact"/>
        <w:ind w:firstLine="626" w:firstLineChars="195"/>
        <w:rPr>
          <w:rFonts w:ascii="宋体" w:hAnsi="宋体" w:eastAsia="仿宋_GB2312" w:cs="宋体"/>
          <w:color w:val="auto"/>
          <w:sz w:val="32"/>
          <w:szCs w:val="32"/>
          <w:highlight w:val="none"/>
        </w:rPr>
      </w:pPr>
      <w:r>
        <w:rPr>
          <w:rFonts w:hint="eastAsia" w:ascii="宋体" w:hAnsi="宋体" w:eastAsia="仿宋_GB2312" w:cs="宋体"/>
          <w:b/>
          <w:color w:val="auto"/>
          <w:sz w:val="32"/>
          <w:szCs w:val="32"/>
          <w:highlight w:val="none"/>
        </w:rPr>
        <w:t>第六条</w:t>
      </w:r>
      <w:r>
        <w:rPr>
          <w:rFonts w:hint="eastAsia" w:ascii="宋体" w:hAnsi="宋体" w:eastAsia="仿宋_GB2312" w:cs="宋体"/>
          <w:color w:val="auto"/>
          <w:sz w:val="32"/>
          <w:szCs w:val="32"/>
          <w:highlight w:val="none"/>
        </w:rPr>
        <w:t xml:space="preserve">  本协议作为前述合同的附件，并具有同等的法律效力，经合同双方签署立即生效。</w:t>
      </w:r>
    </w:p>
    <w:p>
      <w:pPr>
        <w:adjustRightInd w:val="0"/>
        <w:snapToGrid w:val="0"/>
        <w:spacing w:line="560" w:lineRule="exact"/>
        <w:ind w:firstLine="626" w:firstLineChars="195"/>
        <w:rPr>
          <w:rFonts w:ascii="宋体" w:hAnsi="宋体" w:eastAsia="仿宋_GB2312" w:cs="宋体"/>
          <w:color w:val="auto"/>
          <w:sz w:val="32"/>
          <w:szCs w:val="32"/>
          <w:highlight w:val="none"/>
        </w:rPr>
      </w:pPr>
      <w:r>
        <w:rPr>
          <w:rFonts w:hint="eastAsia" w:ascii="宋体" w:hAnsi="宋体" w:eastAsia="仿宋_GB2312" w:cs="宋体"/>
          <w:b/>
          <w:color w:val="auto"/>
          <w:sz w:val="32"/>
          <w:szCs w:val="32"/>
          <w:highlight w:val="none"/>
        </w:rPr>
        <w:t>第七条</w:t>
      </w:r>
      <w:r>
        <w:rPr>
          <w:rFonts w:hint="eastAsia" w:ascii="宋体" w:hAnsi="宋体" w:eastAsia="仿宋_GB2312" w:cs="宋体"/>
          <w:color w:val="auto"/>
          <w:sz w:val="32"/>
          <w:szCs w:val="32"/>
          <w:highlight w:val="none"/>
        </w:rPr>
        <w:t xml:space="preserve">  本协议一式两份，由甲乙双方各执一份。</w:t>
      </w:r>
    </w:p>
    <w:p>
      <w:pPr>
        <w:ind w:firstLine="643" w:firstLineChars="200"/>
        <w:rPr>
          <w:rFonts w:ascii="宋体" w:hAnsi="宋体" w:eastAsia="仿宋_GB2312" w:cs="宋体"/>
          <w:b/>
          <w:color w:val="auto"/>
          <w:sz w:val="32"/>
          <w:szCs w:val="32"/>
          <w:highlight w:val="none"/>
        </w:rPr>
      </w:pPr>
    </w:p>
    <w:p>
      <w:pPr>
        <w:ind w:firstLine="643" w:firstLineChars="200"/>
        <w:rPr>
          <w:rFonts w:ascii="宋体" w:hAnsi="宋体" w:eastAsia="仿宋_GB2312" w:cs="宋体"/>
          <w:b/>
          <w:color w:val="auto"/>
          <w:sz w:val="32"/>
          <w:szCs w:val="32"/>
          <w:highlight w:val="none"/>
        </w:rPr>
      </w:pPr>
      <w:r>
        <w:rPr>
          <w:rFonts w:hint="eastAsia" w:ascii="宋体" w:hAnsi="宋体" w:eastAsia="仿宋_GB2312" w:cs="宋体"/>
          <w:b/>
          <w:color w:val="auto"/>
          <w:sz w:val="32"/>
          <w:szCs w:val="32"/>
          <w:highlight w:val="none"/>
        </w:rPr>
        <w:t>甲乙双方确认在签订本廉洁协议书前已仔细阅读条款内容，甲乙双方对本廉洁协议书所产生的法律责任已清楚知悉并承诺遵守。</w:t>
      </w:r>
    </w:p>
    <w:p>
      <w:pPr>
        <w:keepNext/>
        <w:keepLines/>
        <w:spacing w:before="260" w:after="260" w:line="416" w:lineRule="auto"/>
        <w:outlineLvl w:val="1"/>
        <w:rPr>
          <w:rFonts w:ascii="Arial" w:hAnsi="Arial" w:eastAsia="仿宋_GB2312" w:cs="Times New Roman"/>
          <w:b/>
          <w:bCs/>
          <w:color w:val="auto"/>
          <w:sz w:val="32"/>
          <w:szCs w:val="32"/>
          <w:highlight w:val="none"/>
        </w:rPr>
      </w:pPr>
    </w:p>
    <w:p>
      <w:pPr>
        <w:ind w:firstLine="640" w:firstLineChars="200"/>
        <w:rPr>
          <w:rFonts w:ascii="宋体" w:hAnsi="宋体" w:eastAsia="宋体" w:cs="宋体"/>
          <w:color w:val="auto"/>
          <w:kern w:val="0"/>
          <w:sz w:val="32"/>
          <w:szCs w:val="32"/>
          <w:highlight w:val="none"/>
        </w:rPr>
      </w:pPr>
    </w:p>
    <w:tbl>
      <w:tblPr>
        <w:tblStyle w:val="9"/>
        <w:tblW w:w="8920" w:type="dxa"/>
        <w:tblInd w:w="0" w:type="dxa"/>
        <w:tblLayout w:type="fixed"/>
        <w:tblCellMar>
          <w:top w:w="0" w:type="dxa"/>
          <w:left w:w="108" w:type="dxa"/>
          <w:bottom w:w="0" w:type="dxa"/>
          <w:right w:w="108" w:type="dxa"/>
        </w:tblCellMar>
      </w:tblPr>
      <w:tblGrid>
        <w:gridCol w:w="4460"/>
        <w:gridCol w:w="4460"/>
      </w:tblGrid>
      <w:tr>
        <w:tblPrEx>
          <w:tblCellMar>
            <w:top w:w="0" w:type="dxa"/>
            <w:left w:w="108" w:type="dxa"/>
            <w:bottom w:w="0" w:type="dxa"/>
            <w:right w:w="108" w:type="dxa"/>
          </w:tblCellMar>
        </w:tblPrEx>
        <w:trPr>
          <w:trHeight w:val="714" w:hRule="atLeast"/>
        </w:trPr>
        <w:tc>
          <w:tcPr>
            <w:tcW w:w="4460" w:type="dxa"/>
          </w:tcPr>
          <w:p>
            <w:pPr>
              <w:snapToGrid w:val="0"/>
              <w:rPr>
                <w:rFonts w:ascii="宋体" w:hAnsi="宋体" w:eastAsia="仿宋_GB2312" w:cs="宋体"/>
                <w:color w:val="auto"/>
                <w:sz w:val="32"/>
                <w:szCs w:val="32"/>
                <w:highlight w:val="none"/>
              </w:rPr>
            </w:pPr>
            <w:r>
              <w:rPr>
                <w:rFonts w:hint="eastAsia" w:ascii="宋体" w:hAnsi="宋体" w:eastAsia="仿宋_GB2312" w:cs="宋体"/>
                <w:color w:val="auto"/>
                <w:sz w:val="32"/>
                <w:szCs w:val="32"/>
                <w:highlight w:val="none"/>
              </w:rPr>
              <w:t>甲  方（盖章）：</w:t>
            </w:r>
          </w:p>
        </w:tc>
        <w:tc>
          <w:tcPr>
            <w:tcW w:w="4460" w:type="dxa"/>
          </w:tcPr>
          <w:p>
            <w:pPr>
              <w:snapToGrid w:val="0"/>
              <w:rPr>
                <w:rFonts w:ascii="宋体" w:hAnsi="宋体" w:eastAsia="仿宋_GB2312" w:cs="宋体"/>
                <w:color w:val="auto"/>
                <w:sz w:val="32"/>
                <w:szCs w:val="32"/>
                <w:highlight w:val="none"/>
              </w:rPr>
            </w:pPr>
            <w:r>
              <w:rPr>
                <w:rFonts w:hint="eastAsia" w:ascii="宋体" w:hAnsi="宋体" w:eastAsia="仿宋_GB2312" w:cs="宋体"/>
                <w:color w:val="auto"/>
                <w:sz w:val="32"/>
                <w:szCs w:val="32"/>
                <w:highlight w:val="none"/>
              </w:rPr>
              <w:t>乙  方（盖章）：</w:t>
            </w:r>
          </w:p>
        </w:tc>
      </w:tr>
      <w:tr>
        <w:tblPrEx>
          <w:tblCellMar>
            <w:top w:w="0" w:type="dxa"/>
            <w:left w:w="108" w:type="dxa"/>
            <w:bottom w:w="0" w:type="dxa"/>
            <w:right w:w="108" w:type="dxa"/>
          </w:tblCellMar>
        </w:tblPrEx>
        <w:trPr>
          <w:trHeight w:val="1403" w:hRule="atLeast"/>
        </w:trPr>
        <w:tc>
          <w:tcPr>
            <w:tcW w:w="4460" w:type="dxa"/>
          </w:tcPr>
          <w:p>
            <w:pPr>
              <w:snapToGrid w:val="0"/>
              <w:rPr>
                <w:rFonts w:ascii="宋体" w:hAnsi="宋体" w:eastAsia="仿宋_GB2312" w:cs="宋体"/>
                <w:color w:val="auto"/>
                <w:sz w:val="32"/>
                <w:szCs w:val="32"/>
                <w:highlight w:val="none"/>
              </w:rPr>
            </w:pPr>
            <w:r>
              <w:rPr>
                <w:rFonts w:hint="eastAsia" w:ascii="宋体" w:hAnsi="宋体" w:eastAsia="仿宋_GB2312" w:cs="宋体"/>
                <w:color w:val="auto"/>
                <w:sz w:val="32"/>
                <w:szCs w:val="32"/>
                <w:highlight w:val="none"/>
              </w:rPr>
              <w:t>法定代表人签字：</w:t>
            </w:r>
          </w:p>
          <w:p>
            <w:pPr>
              <w:snapToGrid w:val="0"/>
              <w:rPr>
                <w:rFonts w:ascii="宋体" w:hAnsi="宋体" w:eastAsia="仿宋_GB2312" w:cs="宋体"/>
                <w:color w:val="auto"/>
                <w:sz w:val="32"/>
                <w:szCs w:val="32"/>
                <w:highlight w:val="none"/>
              </w:rPr>
            </w:pPr>
            <w:r>
              <w:rPr>
                <w:rFonts w:hint="eastAsia" w:ascii="宋体" w:hAnsi="宋体" w:eastAsia="仿宋_GB2312" w:cs="宋体"/>
                <w:color w:val="auto"/>
                <w:spacing w:val="-6"/>
                <w:sz w:val="32"/>
                <w:szCs w:val="32"/>
                <w:highlight w:val="none"/>
              </w:rPr>
              <w:t>（或）授权代表签字：</w:t>
            </w:r>
          </w:p>
        </w:tc>
        <w:tc>
          <w:tcPr>
            <w:tcW w:w="4460" w:type="dxa"/>
          </w:tcPr>
          <w:p>
            <w:pPr>
              <w:snapToGrid w:val="0"/>
              <w:rPr>
                <w:rFonts w:ascii="宋体" w:hAnsi="宋体" w:eastAsia="仿宋_GB2312" w:cs="宋体"/>
                <w:color w:val="auto"/>
                <w:sz w:val="32"/>
                <w:szCs w:val="32"/>
                <w:highlight w:val="none"/>
              </w:rPr>
            </w:pPr>
            <w:r>
              <w:rPr>
                <w:rFonts w:hint="eastAsia" w:ascii="宋体" w:hAnsi="宋体" w:eastAsia="仿宋_GB2312" w:cs="宋体"/>
                <w:color w:val="auto"/>
                <w:sz w:val="32"/>
                <w:szCs w:val="32"/>
                <w:highlight w:val="none"/>
              </w:rPr>
              <w:t>法定代表人签字：</w:t>
            </w:r>
          </w:p>
          <w:p>
            <w:pPr>
              <w:snapToGrid w:val="0"/>
              <w:rPr>
                <w:rFonts w:ascii="宋体" w:hAnsi="宋体" w:eastAsia="仿宋_GB2312" w:cs="宋体"/>
                <w:color w:val="auto"/>
                <w:sz w:val="32"/>
                <w:szCs w:val="32"/>
                <w:highlight w:val="none"/>
              </w:rPr>
            </w:pPr>
            <w:r>
              <w:rPr>
                <w:rFonts w:hint="eastAsia" w:ascii="宋体" w:hAnsi="宋体" w:eastAsia="仿宋_GB2312" w:cs="宋体"/>
                <w:color w:val="auto"/>
                <w:spacing w:val="-6"/>
                <w:sz w:val="32"/>
                <w:szCs w:val="32"/>
                <w:highlight w:val="none"/>
              </w:rPr>
              <w:t>（或）授权代表签字：</w:t>
            </w:r>
          </w:p>
        </w:tc>
      </w:tr>
      <w:tr>
        <w:tblPrEx>
          <w:tblCellMar>
            <w:top w:w="0" w:type="dxa"/>
            <w:left w:w="108" w:type="dxa"/>
            <w:bottom w:w="0" w:type="dxa"/>
            <w:right w:w="108" w:type="dxa"/>
          </w:tblCellMar>
        </w:tblPrEx>
        <w:trPr>
          <w:trHeight w:val="739" w:hRule="atLeast"/>
        </w:trPr>
        <w:tc>
          <w:tcPr>
            <w:tcW w:w="4460" w:type="dxa"/>
          </w:tcPr>
          <w:p>
            <w:pPr>
              <w:snapToGrid w:val="0"/>
              <w:rPr>
                <w:rFonts w:ascii="宋体" w:hAnsi="宋体" w:eastAsia="仿宋_GB2312" w:cs="宋体"/>
                <w:color w:val="auto"/>
                <w:sz w:val="32"/>
                <w:szCs w:val="32"/>
                <w:highlight w:val="none"/>
              </w:rPr>
            </w:pPr>
            <w:r>
              <w:rPr>
                <w:rFonts w:hint="eastAsia" w:ascii="宋体" w:hAnsi="宋体" w:eastAsia="仿宋_GB2312" w:cs="宋体"/>
                <w:color w:val="auto"/>
                <w:sz w:val="32"/>
                <w:szCs w:val="32"/>
                <w:highlight w:val="none"/>
              </w:rPr>
              <w:t xml:space="preserve">签字日期： </w:t>
            </w:r>
          </w:p>
        </w:tc>
        <w:tc>
          <w:tcPr>
            <w:tcW w:w="4460" w:type="dxa"/>
          </w:tcPr>
          <w:p>
            <w:pPr>
              <w:snapToGrid w:val="0"/>
              <w:rPr>
                <w:rFonts w:ascii="宋体" w:hAnsi="宋体" w:eastAsia="仿宋_GB2312" w:cs="宋体"/>
                <w:color w:val="auto"/>
                <w:sz w:val="32"/>
                <w:szCs w:val="32"/>
                <w:highlight w:val="none"/>
              </w:rPr>
            </w:pPr>
            <w:r>
              <w:rPr>
                <w:rFonts w:hint="eastAsia" w:ascii="宋体" w:hAnsi="宋体" w:eastAsia="仿宋_GB2312" w:cs="宋体"/>
                <w:color w:val="auto"/>
                <w:sz w:val="32"/>
                <w:szCs w:val="32"/>
                <w:highlight w:val="none"/>
              </w:rPr>
              <w:t>签字日期：</w:t>
            </w:r>
          </w:p>
        </w:tc>
      </w:tr>
    </w:tbl>
    <w:p>
      <w:pPr>
        <w:spacing w:after="120"/>
        <w:rPr>
          <w:rFonts w:ascii="宋体" w:hAnsi="宋体" w:eastAsia="宋体" w:cs="宋体"/>
          <w:b/>
          <w:bCs/>
          <w:color w:val="auto"/>
          <w:kern w:val="0"/>
          <w:sz w:val="24"/>
          <w:szCs w:val="30"/>
          <w:highlight w:val="none"/>
        </w:rPr>
      </w:pPr>
    </w:p>
    <w:p>
      <w:pPr>
        <w:widowControl/>
        <w:jc w:val="left"/>
        <w:rPr>
          <w:rFonts w:ascii="宋体" w:hAnsi="宋体" w:eastAsia="宋体" w:cs="宋体"/>
          <w:b/>
          <w:bCs/>
          <w:color w:val="auto"/>
          <w:kern w:val="0"/>
          <w:sz w:val="24"/>
          <w:szCs w:val="30"/>
          <w:highlight w:val="none"/>
        </w:rPr>
      </w:pPr>
      <w:r>
        <w:rPr>
          <w:rFonts w:ascii="宋体" w:hAnsi="宋体" w:eastAsia="宋体" w:cs="宋体"/>
          <w:b/>
          <w:bCs/>
          <w:color w:val="auto"/>
          <w:kern w:val="0"/>
          <w:sz w:val="24"/>
          <w:szCs w:val="30"/>
          <w:highlight w:val="none"/>
        </w:rPr>
        <w:br w:type="page"/>
      </w:r>
    </w:p>
    <w:p>
      <w:pPr>
        <w:spacing w:after="120"/>
        <w:rPr>
          <w:rFonts w:ascii="宋体" w:hAnsi="宋体" w:eastAsia="宋体" w:cs="宋体"/>
          <w:b/>
          <w:bCs/>
          <w:color w:val="auto"/>
          <w:kern w:val="0"/>
          <w:sz w:val="24"/>
          <w:szCs w:val="30"/>
          <w:highlight w:val="none"/>
        </w:rPr>
      </w:pPr>
      <w:r>
        <w:rPr>
          <w:rFonts w:hint="eastAsia" w:ascii="宋体" w:hAnsi="宋体" w:eastAsia="宋体" w:cs="宋体"/>
          <w:b/>
          <w:bCs/>
          <w:color w:val="auto"/>
          <w:kern w:val="0"/>
          <w:sz w:val="24"/>
          <w:szCs w:val="30"/>
          <w:highlight w:val="none"/>
        </w:rPr>
        <w:t>附件</w:t>
      </w:r>
      <w:r>
        <w:rPr>
          <w:rFonts w:ascii="宋体" w:hAnsi="宋体" w:eastAsia="宋体" w:cs="宋体"/>
          <w:b/>
          <w:bCs/>
          <w:color w:val="auto"/>
          <w:kern w:val="0"/>
          <w:sz w:val="24"/>
          <w:szCs w:val="30"/>
          <w:highlight w:val="none"/>
        </w:rPr>
        <w:t>3</w:t>
      </w:r>
      <w:r>
        <w:rPr>
          <w:rFonts w:hint="eastAsia" w:ascii="宋体" w:hAnsi="宋体" w:eastAsia="宋体" w:cs="宋体"/>
          <w:b/>
          <w:bCs/>
          <w:color w:val="auto"/>
          <w:kern w:val="0"/>
          <w:sz w:val="24"/>
          <w:szCs w:val="30"/>
          <w:highlight w:val="none"/>
        </w:rPr>
        <w:t>：</w:t>
      </w:r>
    </w:p>
    <w:p>
      <w:pPr>
        <w:tabs>
          <w:tab w:val="left" w:pos="5400"/>
        </w:tabs>
        <w:spacing w:line="360" w:lineRule="auto"/>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中标通知书</w:t>
      </w:r>
    </w:p>
    <w:p>
      <w:pPr>
        <w:widowControl/>
        <w:spacing w:before="100" w:beforeAutospacing="1" w:after="100" w:afterAutospacing="1" w:line="440" w:lineRule="atLeast"/>
        <w:jc w:val="center"/>
        <w:rPr>
          <w:rFonts w:ascii="宋体" w:hAnsi="宋体" w:eastAsia="宋体" w:cs="宋体"/>
          <w:color w:val="auto"/>
          <w:kern w:val="0"/>
          <w:sz w:val="30"/>
          <w:szCs w:val="30"/>
          <w:highlight w:val="none"/>
        </w:rPr>
      </w:pPr>
    </w:p>
    <w:p>
      <w:pPr>
        <w:widowControl/>
        <w:spacing w:before="100" w:beforeAutospacing="1" w:after="100" w:afterAutospacing="1" w:line="440" w:lineRule="atLeast"/>
        <w:jc w:val="center"/>
        <w:rPr>
          <w:rFonts w:ascii="宋体" w:hAnsi="宋体" w:eastAsia="宋体" w:cs="宋体"/>
          <w:color w:val="auto"/>
          <w:kern w:val="0"/>
          <w:sz w:val="30"/>
          <w:szCs w:val="30"/>
          <w:highlight w:val="none"/>
        </w:rPr>
      </w:pPr>
    </w:p>
    <w:p>
      <w:pPr>
        <w:widowControl/>
        <w:spacing w:before="100" w:beforeAutospacing="1" w:after="100" w:afterAutospacing="1" w:line="440" w:lineRule="atLeast"/>
        <w:jc w:val="center"/>
        <w:rPr>
          <w:rFonts w:ascii="宋体" w:hAnsi="宋体" w:eastAsia="宋体" w:cs="宋体"/>
          <w:color w:val="auto"/>
          <w:kern w:val="0"/>
          <w:sz w:val="30"/>
          <w:szCs w:val="30"/>
          <w:highlight w:val="none"/>
        </w:rPr>
      </w:pPr>
    </w:p>
    <w:p>
      <w:pPr>
        <w:widowControl/>
        <w:spacing w:before="100" w:beforeAutospacing="1" w:after="100" w:afterAutospacing="1" w:line="440" w:lineRule="atLeast"/>
        <w:jc w:val="center"/>
        <w:rPr>
          <w:rFonts w:ascii="宋体" w:hAnsi="宋体" w:eastAsia="宋体" w:cs="宋体"/>
          <w:color w:val="auto"/>
          <w:kern w:val="0"/>
          <w:sz w:val="30"/>
          <w:szCs w:val="30"/>
          <w:highlight w:val="none"/>
        </w:rPr>
      </w:pPr>
    </w:p>
    <w:p>
      <w:pPr>
        <w:widowControl/>
        <w:spacing w:before="100" w:beforeAutospacing="1" w:after="100" w:afterAutospacing="1" w:line="440" w:lineRule="atLeast"/>
        <w:jc w:val="center"/>
        <w:rPr>
          <w:rFonts w:ascii="宋体" w:hAnsi="宋体" w:eastAsia="宋体" w:cs="宋体"/>
          <w:color w:val="auto"/>
          <w:kern w:val="0"/>
          <w:sz w:val="30"/>
          <w:szCs w:val="30"/>
          <w:highlight w:val="none"/>
        </w:rPr>
      </w:pPr>
    </w:p>
    <w:p>
      <w:pPr>
        <w:widowControl/>
        <w:spacing w:before="100" w:beforeAutospacing="1" w:after="100" w:afterAutospacing="1" w:line="440" w:lineRule="atLeast"/>
        <w:jc w:val="center"/>
        <w:rPr>
          <w:rFonts w:ascii="宋体" w:hAnsi="宋体" w:eastAsia="宋体" w:cs="宋体"/>
          <w:color w:val="auto"/>
          <w:kern w:val="0"/>
          <w:sz w:val="30"/>
          <w:szCs w:val="30"/>
          <w:highlight w:val="none"/>
        </w:rPr>
      </w:pPr>
    </w:p>
    <w:p>
      <w:pPr>
        <w:widowControl/>
        <w:spacing w:before="100" w:beforeAutospacing="1" w:after="100" w:afterAutospacing="1" w:line="440" w:lineRule="atLeast"/>
        <w:jc w:val="center"/>
        <w:rPr>
          <w:rFonts w:ascii="宋体" w:hAnsi="宋体" w:eastAsia="宋体" w:cs="宋体"/>
          <w:color w:val="auto"/>
          <w:kern w:val="0"/>
          <w:sz w:val="30"/>
          <w:szCs w:val="30"/>
          <w:highlight w:val="none"/>
        </w:rPr>
      </w:pPr>
    </w:p>
    <w:p>
      <w:pPr>
        <w:widowControl/>
        <w:spacing w:before="100" w:beforeAutospacing="1" w:after="100" w:afterAutospacing="1" w:line="440" w:lineRule="atLeast"/>
        <w:jc w:val="center"/>
        <w:rPr>
          <w:rFonts w:ascii="宋体" w:hAnsi="宋体" w:eastAsia="宋体" w:cs="宋体"/>
          <w:color w:val="auto"/>
          <w:kern w:val="0"/>
          <w:sz w:val="30"/>
          <w:szCs w:val="30"/>
          <w:highlight w:val="none"/>
        </w:rPr>
      </w:pPr>
    </w:p>
    <w:p>
      <w:pPr>
        <w:widowControl/>
        <w:spacing w:before="100" w:beforeAutospacing="1" w:after="100" w:afterAutospacing="1" w:line="440" w:lineRule="atLeast"/>
        <w:jc w:val="center"/>
        <w:rPr>
          <w:rFonts w:ascii="宋体" w:hAnsi="宋体" w:eastAsia="宋体" w:cs="宋体"/>
          <w:color w:val="auto"/>
          <w:kern w:val="0"/>
          <w:sz w:val="30"/>
          <w:szCs w:val="30"/>
          <w:highlight w:val="none"/>
        </w:rPr>
      </w:pPr>
    </w:p>
    <w:p>
      <w:pPr>
        <w:widowControl/>
        <w:spacing w:before="100" w:beforeAutospacing="1" w:after="100" w:afterAutospacing="1" w:line="440" w:lineRule="atLeast"/>
        <w:jc w:val="center"/>
        <w:rPr>
          <w:rFonts w:ascii="宋体" w:hAnsi="宋体" w:eastAsia="宋体" w:cs="宋体"/>
          <w:color w:val="auto"/>
          <w:kern w:val="0"/>
          <w:sz w:val="30"/>
          <w:szCs w:val="30"/>
          <w:highlight w:val="none"/>
        </w:rPr>
      </w:pPr>
    </w:p>
    <w:p>
      <w:pPr>
        <w:widowControl/>
        <w:spacing w:before="100" w:beforeAutospacing="1" w:after="100" w:afterAutospacing="1" w:line="440" w:lineRule="atLeast"/>
        <w:jc w:val="center"/>
        <w:rPr>
          <w:rFonts w:ascii="宋体" w:hAnsi="宋体" w:eastAsia="宋体" w:cs="宋体"/>
          <w:color w:val="auto"/>
          <w:kern w:val="0"/>
          <w:sz w:val="30"/>
          <w:szCs w:val="30"/>
          <w:highlight w:val="none"/>
        </w:rPr>
      </w:pPr>
    </w:p>
    <w:p>
      <w:pPr>
        <w:widowControl/>
        <w:spacing w:before="100" w:beforeAutospacing="1" w:after="100" w:afterAutospacing="1" w:line="440" w:lineRule="atLeast"/>
        <w:jc w:val="center"/>
        <w:rPr>
          <w:rFonts w:ascii="宋体" w:hAnsi="宋体" w:eastAsia="宋体" w:cs="宋体"/>
          <w:color w:val="auto"/>
          <w:kern w:val="0"/>
          <w:sz w:val="30"/>
          <w:szCs w:val="30"/>
          <w:highlight w:val="none"/>
        </w:rPr>
      </w:pPr>
    </w:p>
    <w:p>
      <w:pPr>
        <w:widowControl/>
        <w:spacing w:before="100" w:beforeAutospacing="1" w:after="100" w:afterAutospacing="1" w:line="440" w:lineRule="atLeast"/>
        <w:jc w:val="center"/>
        <w:rPr>
          <w:rFonts w:ascii="宋体" w:hAnsi="宋体" w:eastAsia="宋体" w:cs="宋体"/>
          <w:color w:val="auto"/>
          <w:kern w:val="0"/>
          <w:sz w:val="30"/>
          <w:szCs w:val="30"/>
          <w:highlight w:val="none"/>
        </w:rPr>
      </w:pPr>
    </w:p>
    <w:p>
      <w:pPr>
        <w:widowControl/>
        <w:spacing w:before="100" w:beforeAutospacing="1" w:after="100" w:afterAutospacing="1" w:line="440" w:lineRule="atLeast"/>
        <w:jc w:val="center"/>
        <w:rPr>
          <w:rFonts w:ascii="宋体" w:hAnsi="宋体" w:eastAsia="宋体" w:cs="宋体"/>
          <w:color w:val="auto"/>
          <w:kern w:val="0"/>
          <w:sz w:val="30"/>
          <w:szCs w:val="30"/>
          <w:highlight w:val="none"/>
        </w:rPr>
      </w:pPr>
    </w:p>
    <w:p>
      <w:pPr>
        <w:widowControl/>
        <w:spacing w:before="100" w:beforeAutospacing="1" w:after="100" w:afterAutospacing="1" w:line="440" w:lineRule="atLeast"/>
        <w:jc w:val="center"/>
        <w:rPr>
          <w:rFonts w:ascii="宋体" w:hAnsi="宋体" w:eastAsia="宋体" w:cs="宋体"/>
          <w:color w:val="auto"/>
          <w:kern w:val="0"/>
          <w:sz w:val="30"/>
          <w:szCs w:val="30"/>
          <w:highlight w:val="none"/>
        </w:rPr>
      </w:pPr>
    </w:p>
    <w:p>
      <w:pPr>
        <w:widowControl/>
        <w:spacing w:before="100" w:beforeAutospacing="1" w:after="100" w:afterAutospacing="1" w:line="440" w:lineRule="atLeast"/>
        <w:jc w:val="center"/>
        <w:rPr>
          <w:rFonts w:ascii="宋体" w:hAnsi="宋体" w:eastAsia="宋体" w:cs="宋体"/>
          <w:color w:val="auto"/>
          <w:kern w:val="0"/>
          <w:sz w:val="30"/>
          <w:szCs w:val="30"/>
          <w:highlight w:val="none"/>
        </w:rPr>
      </w:pPr>
    </w:p>
    <w:p>
      <w:pPr>
        <w:widowControl/>
        <w:spacing w:before="100" w:beforeAutospacing="1" w:after="100" w:afterAutospacing="1" w:line="440" w:lineRule="atLeast"/>
        <w:jc w:val="center"/>
        <w:rPr>
          <w:rFonts w:ascii="宋体" w:hAnsi="宋体" w:eastAsia="宋体" w:cs="宋体"/>
          <w:color w:val="auto"/>
          <w:kern w:val="0"/>
          <w:sz w:val="30"/>
          <w:szCs w:val="30"/>
          <w:highlight w:val="none"/>
        </w:rPr>
      </w:pPr>
    </w:p>
    <w:p>
      <w:pPr>
        <w:tabs>
          <w:tab w:val="left" w:pos="5400"/>
        </w:tabs>
        <w:spacing w:line="360" w:lineRule="auto"/>
        <w:rPr>
          <w:rFonts w:ascii="宋体" w:hAnsi="宋体" w:eastAsia="宋体" w:cs="宋体"/>
          <w:b/>
          <w:bCs/>
          <w:color w:val="auto"/>
          <w:sz w:val="32"/>
          <w:szCs w:val="32"/>
          <w:highlight w:val="none"/>
        </w:rPr>
      </w:pPr>
      <w:r>
        <w:rPr>
          <w:rFonts w:hint="eastAsia" w:ascii="宋体" w:hAnsi="宋体" w:eastAsia="宋体" w:cs="宋体"/>
          <w:b/>
          <w:bCs/>
          <w:color w:val="auto"/>
          <w:kern w:val="0"/>
          <w:sz w:val="24"/>
          <w:szCs w:val="30"/>
          <w:highlight w:val="none"/>
        </w:rPr>
        <w:br w:type="page"/>
      </w:r>
      <w:r>
        <w:rPr>
          <w:rFonts w:hint="eastAsia" w:ascii="宋体" w:hAnsi="宋体" w:eastAsia="宋体" w:cs="宋体"/>
          <w:b/>
          <w:bCs/>
          <w:color w:val="auto"/>
          <w:kern w:val="0"/>
          <w:sz w:val="24"/>
          <w:szCs w:val="30"/>
          <w:highlight w:val="none"/>
        </w:rPr>
        <w:t>附件</w:t>
      </w:r>
      <w:r>
        <w:rPr>
          <w:rFonts w:ascii="宋体" w:hAnsi="宋体" w:eastAsia="宋体" w:cs="宋体"/>
          <w:b/>
          <w:bCs/>
          <w:color w:val="auto"/>
          <w:kern w:val="0"/>
          <w:sz w:val="24"/>
          <w:szCs w:val="30"/>
          <w:highlight w:val="none"/>
        </w:rPr>
        <w:t>4</w:t>
      </w:r>
      <w:r>
        <w:rPr>
          <w:rFonts w:hint="eastAsia" w:ascii="宋体" w:hAnsi="宋体" w:eastAsia="宋体" w:cs="宋体"/>
          <w:b/>
          <w:bCs/>
          <w:color w:val="auto"/>
          <w:kern w:val="0"/>
          <w:sz w:val="24"/>
          <w:szCs w:val="30"/>
          <w:highlight w:val="none"/>
        </w:rPr>
        <w:t>：</w:t>
      </w:r>
    </w:p>
    <w:p>
      <w:pPr>
        <w:tabs>
          <w:tab w:val="left" w:pos="5400"/>
        </w:tabs>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32"/>
          <w:szCs w:val="32"/>
          <w:highlight w:val="none"/>
        </w:rPr>
        <w:t>全过程造价咨询服务人员架构表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877"/>
        <w:gridCol w:w="1873"/>
        <w:gridCol w:w="1744"/>
        <w:gridCol w:w="2470"/>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19"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序号</w:t>
            </w:r>
          </w:p>
        </w:tc>
        <w:tc>
          <w:tcPr>
            <w:tcW w:w="877"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姓  名</w:t>
            </w:r>
          </w:p>
        </w:tc>
        <w:tc>
          <w:tcPr>
            <w:tcW w:w="1873"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在本项目的职责</w:t>
            </w:r>
          </w:p>
        </w:tc>
        <w:tc>
          <w:tcPr>
            <w:tcW w:w="1744"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执业/职业资格证</w:t>
            </w:r>
          </w:p>
        </w:tc>
        <w:tc>
          <w:tcPr>
            <w:tcW w:w="2470"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执业/职业资格证号</w:t>
            </w:r>
          </w:p>
        </w:tc>
        <w:tc>
          <w:tcPr>
            <w:tcW w:w="1643"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19" w:type="dxa"/>
            <w:vAlign w:val="center"/>
          </w:tcPr>
          <w:p>
            <w:pPr>
              <w:jc w:val="center"/>
              <w:rPr>
                <w:rFonts w:ascii="宋体" w:hAnsi="宋体" w:eastAsia="宋体" w:cs="宋体"/>
                <w:color w:val="auto"/>
                <w:highlight w:val="none"/>
              </w:rPr>
            </w:pPr>
          </w:p>
        </w:tc>
        <w:tc>
          <w:tcPr>
            <w:tcW w:w="877" w:type="dxa"/>
            <w:vAlign w:val="center"/>
          </w:tcPr>
          <w:p>
            <w:pPr>
              <w:rPr>
                <w:rFonts w:ascii="宋体" w:hAnsi="宋体" w:eastAsia="宋体" w:cs="宋体"/>
                <w:color w:val="auto"/>
                <w:highlight w:val="none"/>
              </w:rPr>
            </w:pPr>
          </w:p>
        </w:tc>
        <w:tc>
          <w:tcPr>
            <w:tcW w:w="1873" w:type="dxa"/>
            <w:vAlign w:val="center"/>
          </w:tcPr>
          <w:p>
            <w:pPr>
              <w:jc w:val="center"/>
              <w:rPr>
                <w:rFonts w:ascii="宋体" w:hAnsi="宋体" w:eastAsia="宋体" w:cs="宋体"/>
                <w:color w:val="auto"/>
                <w:highlight w:val="none"/>
              </w:rPr>
            </w:pPr>
          </w:p>
        </w:tc>
        <w:tc>
          <w:tcPr>
            <w:tcW w:w="1744" w:type="dxa"/>
            <w:vAlign w:val="center"/>
          </w:tcPr>
          <w:p>
            <w:pPr>
              <w:jc w:val="center"/>
              <w:rPr>
                <w:rFonts w:ascii="宋体" w:hAnsi="宋体" w:eastAsia="宋体" w:cs="宋体"/>
                <w:color w:val="auto"/>
                <w:highlight w:val="none"/>
              </w:rPr>
            </w:pPr>
          </w:p>
        </w:tc>
        <w:tc>
          <w:tcPr>
            <w:tcW w:w="2470" w:type="dxa"/>
            <w:vAlign w:val="center"/>
          </w:tcPr>
          <w:p>
            <w:pPr>
              <w:jc w:val="center"/>
              <w:rPr>
                <w:rFonts w:ascii="宋体" w:hAnsi="宋体" w:eastAsia="宋体" w:cs="宋体"/>
                <w:color w:val="auto"/>
                <w:highlight w:val="none"/>
              </w:rPr>
            </w:pPr>
          </w:p>
        </w:tc>
        <w:tc>
          <w:tcPr>
            <w:tcW w:w="1643" w:type="dxa"/>
            <w:vAlign w:val="center"/>
          </w:tcPr>
          <w:p>
            <w:pP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19" w:type="dxa"/>
            <w:vAlign w:val="center"/>
          </w:tcPr>
          <w:p>
            <w:pPr>
              <w:jc w:val="center"/>
              <w:rPr>
                <w:rFonts w:ascii="宋体" w:hAnsi="宋体" w:eastAsia="宋体" w:cs="宋体"/>
                <w:color w:val="auto"/>
                <w:highlight w:val="none"/>
              </w:rPr>
            </w:pPr>
          </w:p>
        </w:tc>
        <w:tc>
          <w:tcPr>
            <w:tcW w:w="877" w:type="dxa"/>
            <w:vAlign w:val="center"/>
          </w:tcPr>
          <w:p>
            <w:pPr>
              <w:rPr>
                <w:rFonts w:ascii="宋体" w:hAnsi="宋体" w:eastAsia="宋体" w:cs="宋体"/>
                <w:color w:val="auto"/>
                <w:highlight w:val="none"/>
              </w:rPr>
            </w:pPr>
          </w:p>
        </w:tc>
        <w:tc>
          <w:tcPr>
            <w:tcW w:w="1873" w:type="dxa"/>
            <w:vAlign w:val="center"/>
          </w:tcPr>
          <w:p>
            <w:pPr>
              <w:jc w:val="center"/>
              <w:rPr>
                <w:rFonts w:ascii="宋体" w:hAnsi="宋体" w:eastAsia="宋体" w:cs="宋体"/>
                <w:color w:val="auto"/>
                <w:highlight w:val="none"/>
              </w:rPr>
            </w:pPr>
          </w:p>
        </w:tc>
        <w:tc>
          <w:tcPr>
            <w:tcW w:w="1744" w:type="dxa"/>
            <w:vAlign w:val="center"/>
          </w:tcPr>
          <w:p>
            <w:pPr>
              <w:jc w:val="center"/>
              <w:rPr>
                <w:rFonts w:ascii="宋体" w:hAnsi="宋体" w:eastAsia="宋体" w:cs="宋体"/>
                <w:color w:val="auto"/>
                <w:highlight w:val="none"/>
              </w:rPr>
            </w:pPr>
          </w:p>
        </w:tc>
        <w:tc>
          <w:tcPr>
            <w:tcW w:w="2470" w:type="dxa"/>
            <w:vAlign w:val="center"/>
          </w:tcPr>
          <w:p>
            <w:pPr>
              <w:jc w:val="center"/>
              <w:rPr>
                <w:rFonts w:ascii="宋体" w:hAnsi="宋体" w:eastAsia="宋体" w:cs="宋体"/>
                <w:color w:val="auto"/>
                <w:highlight w:val="none"/>
              </w:rPr>
            </w:pPr>
          </w:p>
        </w:tc>
        <w:tc>
          <w:tcPr>
            <w:tcW w:w="1643" w:type="dxa"/>
            <w:vAlign w:val="center"/>
          </w:tcPr>
          <w:p>
            <w:pP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19" w:type="dxa"/>
            <w:vAlign w:val="center"/>
          </w:tcPr>
          <w:p>
            <w:pPr>
              <w:jc w:val="center"/>
              <w:rPr>
                <w:rFonts w:ascii="宋体" w:hAnsi="宋体" w:eastAsia="宋体" w:cs="宋体"/>
                <w:color w:val="auto"/>
                <w:highlight w:val="none"/>
              </w:rPr>
            </w:pPr>
          </w:p>
        </w:tc>
        <w:tc>
          <w:tcPr>
            <w:tcW w:w="877" w:type="dxa"/>
            <w:vAlign w:val="center"/>
          </w:tcPr>
          <w:p>
            <w:pPr>
              <w:rPr>
                <w:rFonts w:ascii="宋体" w:hAnsi="宋体" w:eastAsia="宋体" w:cs="宋体"/>
                <w:color w:val="auto"/>
                <w:highlight w:val="none"/>
              </w:rPr>
            </w:pPr>
          </w:p>
        </w:tc>
        <w:tc>
          <w:tcPr>
            <w:tcW w:w="1873" w:type="dxa"/>
            <w:vAlign w:val="center"/>
          </w:tcPr>
          <w:p>
            <w:pPr>
              <w:jc w:val="center"/>
              <w:rPr>
                <w:rFonts w:ascii="宋体" w:hAnsi="宋体" w:eastAsia="宋体" w:cs="宋体"/>
                <w:color w:val="auto"/>
                <w:highlight w:val="none"/>
              </w:rPr>
            </w:pPr>
          </w:p>
        </w:tc>
        <w:tc>
          <w:tcPr>
            <w:tcW w:w="1744" w:type="dxa"/>
            <w:vAlign w:val="center"/>
          </w:tcPr>
          <w:p>
            <w:pPr>
              <w:tabs>
                <w:tab w:val="left" w:pos="11160"/>
              </w:tabs>
              <w:jc w:val="center"/>
              <w:rPr>
                <w:rFonts w:ascii="宋体" w:hAnsi="宋体" w:eastAsia="宋体" w:cs="宋体"/>
                <w:color w:val="auto"/>
                <w:highlight w:val="none"/>
              </w:rPr>
            </w:pPr>
          </w:p>
        </w:tc>
        <w:tc>
          <w:tcPr>
            <w:tcW w:w="2470" w:type="dxa"/>
            <w:vAlign w:val="center"/>
          </w:tcPr>
          <w:p>
            <w:pPr>
              <w:jc w:val="center"/>
              <w:rPr>
                <w:rFonts w:ascii="宋体" w:hAnsi="宋体" w:eastAsia="宋体" w:cs="宋体"/>
                <w:color w:val="auto"/>
                <w:highlight w:val="none"/>
              </w:rPr>
            </w:pPr>
          </w:p>
        </w:tc>
        <w:tc>
          <w:tcPr>
            <w:tcW w:w="1643" w:type="dxa"/>
            <w:vAlign w:val="center"/>
          </w:tcPr>
          <w:p>
            <w:pP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19" w:type="dxa"/>
            <w:vAlign w:val="center"/>
          </w:tcPr>
          <w:p>
            <w:pPr>
              <w:jc w:val="center"/>
              <w:rPr>
                <w:rFonts w:ascii="宋体" w:hAnsi="宋体" w:eastAsia="宋体" w:cs="宋体"/>
                <w:color w:val="auto"/>
                <w:highlight w:val="none"/>
              </w:rPr>
            </w:pPr>
          </w:p>
        </w:tc>
        <w:tc>
          <w:tcPr>
            <w:tcW w:w="877" w:type="dxa"/>
            <w:vAlign w:val="center"/>
          </w:tcPr>
          <w:p>
            <w:pPr>
              <w:rPr>
                <w:rFonts w:ascii="宋体" w:hAnsi="宋体" w:eastAsia="宋体" w:cs="宋体"/>
                <w:color w:val="auto"/>
                <w:highlight w:val="none"/>
              </w:rPr>
            </w:pPr>
          </w:p>
        </w:tc>
        <w:tc>
          <w:tcPr>
            <w:tcW w:w="1873" w:type="dxa"/>
            <w:vAlign w:val="center"/>
          </w:tcPr>
          <w:p>
            <w:pPr>
              <w:jc w:val="center"/>
              <w:rPr>
                <w:rFonts w:ascii="宋体" w:hAnsi="宋体" w:eastAsia="宋体" w:cs="宋体"/>
                <w:color w:val="auto"/>
                <w:highlight w:val="none"/>
              </w:rPr>
            </w:pPr>
          </w:p>
        </w:tc>
        <w:tc>
          <w:tcPr>
            <w:tcW w:w="1744" w:type="dxa"/>
            <w:vAlign w:val="center"/>
          </w:tcPr>
          <w:p>
            <w:pPr>
              <w:jc w:val="center"/>
              <w:rPr>
                <w:rFonts w:ascii="宋体" w:hAnsi="宋体" w:eastAsia="宋体" w:cs="宋体"/>
                <w:color w:val="auto"/>
                <w:highlight w:val="none"/>
              </w:rPr>
            </w:pPr>
          </w:p>
        </w:tc>
        <w:tc>
          <w:tcPr>
            <w:tcW w:w="2470" w:type="dxa"/>
            <w:vAlign w:val="center"/>
          </w:tcPr>
          <w:p>
            <w:pPr>
              <w:jc w:val="center"/>
              <w:rPr>
                <w:rFonts w:ascii="宋体" w:hAnsi="宋体" w:eastAsia="宋体" w:cs="宋体"/>
                <w:color w:val="auto"/>
                <w:highlight w:val="none"/>
              </w:rPr>
            </w:pPr>
          </w:p>
        </w:tc>
        <w:tc>
          <w:tcPr>
            <w:tcW w:w="1643" w:type="dxa"/>
            <w:vAlign w:val="center"/>
          </w:tcPr>
          <w:p>
            <w:pP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19" w:type="dxa"/>
            <w:vAlign w:val="center"/>
          </w:tcPr>
          <w:p>
            <w:pPr>
              <w:jc w:val="center"/>
              <w:rPr>
                <w:rFonts w:ascii="宋体" w:hAnsi="宋体" w:eastAsia="宋体" w:cs="宋体"/>
                <w:color w:val="auto"/>
                <w:highlight w:val="none"/>
              </w:rPr>
            </w:pPr>
          </w:p>
        </w:tc>
        <w:tc>
          <w:tcPr>
            <w:tcW w:w="877" w:type="dxa"/>
            <w:vAlign w:val="center"/>
          </w:tcPr>
          <w:p>
            <w:pPr>
              <w:rPr>
                <w:rFonts w:ascii="宋体" w:hAnsi="宋体" w:eastAsia="宋体" w:cs="宋体"/>
                <w:color w:val="auto"/>
                <w:highlight w:val="none"/>
              </w:rPr>
            </w:pPr>
          </w:p>
        </w:tc>
        <w:tc>
          <w:tcPr>
            <w:tcW w:w="1873" w:type="dxa"/>
            <w:vAlign w:val="center"/>
          </w:tcPr>
          <w:p>
            <w:pPr>
              <w:jc w:val="center"/>
              <w:rPr>
                <w:rFonts w:ascii="宋体" w:hAnsi="宋体" w:eastAsia="宋体" w:cs="宋体"/>
                <w:color w:val="auto"/>
                <w:highlight w:val="none"/>
              </w:rPr>
            </w:pPr>
          </w:p>
        </w:tc>
        <w:tc>
          <w:tcPr>
            <w:tcW w:w="1744" w:type="dxa"/>
            <w:vAlign w:val="center"/>
          </w:tcPr>
          <w:p>
            <w:pPr>
              <w:jc w:val="center"/>
              <w:rPr>
                <w:rFonts w:ascii="宋体" w:hAnsi="宋体" w:eastAsia="宋体" w:cs="宋体"/>
                <w:color w:val="auto"/>
                <w:highlight w:val="none"/>
              </w:rPr>
            </w:pPr>
          </w:p>
        </w:tc>
        <w:tc>
          <w:tcPr>
            <w:tcW w:w="2470" w:type="dxa"/>
            <w:vAlign w:val="center"/>
          </w:tcPr>
          <w:p>
            <w:pPr>
              <w:jc w:val="center"/>
              <w:rPr>
                <w:rFonts w:ascii="宋体" w:hAnsi="宋体" w:eastAsia="宋体" w:cs="宋体"/>
                <w:color w:val="auto"/>
                <w:highlight w:val="none"/>
              </w:rPr>
            </w:pPr>
          </w:p>
        </w:tc>
        <w:tc>
          <w:tcPr>
            <w:tcW w:w="1643" w:type="dxa"/>
            <w:vAlign w:val="center"/>
          </w:tcPr>
          <w:p>
            <w:pP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19" w:type="dxa"/>
            <w:vAlign w:val="center"/>
          </w:tcPr>
          <w:p>
            <w:pPr>
              <w:jc w:val="center"/>
              <w:rPr>
                <w:rFonts w:ascii="宋体" w:hAnsi="宋体" w:eastAsia="宋体" w:cs="宋体"/>
                <w:color w:val="auto"/>
                <w:highlight w:val="none"/>
              </w:rPr>
            </w:pPr>
          </w:p>
        </w:tc>
        <w:tc>
          <w:tcPr>
            <w:tcW w:w="877" w:type="dxa"/>
            <w:vAlign w:val="center"/>
          </w:tcPr>
          <w:p>
            <w:pPr>
              <w:rPr>
                <w:rFonts w:ascii="宋体" w:hAnsi="宋体" w:eastAsia="宋体" w:cs="宋体"/>
                <w:color w:val="auto"/>
                <w:highlight w:val="none"/>
              </w:rPr>
            </w:pPr>
          </w:p>
        </w:tc>
        <w:tc>
          <w:tcPr>
            <w:tcW w:w="1873" w:type="dxa"/>
            <w:vAlign w:val="center"/>
          </w:tcPr>
          <w:p>
            <w:pPr>
              <w:jc w:val="center"/>
              <w:rPr>
                <w:rFonts w:ascii="宋体" w:hAnsi="宋体" w:eastAsia="宋体" w:cs="宋体"/>
                <w:color w:val="auto"/>
                <w:highlight w:val="none"/>
              </w:rPr>
            </w:pPr>
          </w:p>
        </w:tc>
        <w:tc>
          <w:tcPr>
            <w:tcW w:w="1744" w:type="dxa"/>
            <w:vAlign w:val="center"/>
          </w:tcPr>
          <w:p>
            <w:pPr>
              <w:jc w:val="center"/>
              <w:rPr>
                <w:rFonts w:ascii="宋体" w:hAnsi="宋体" w:eastAsia="宋体" w:cs="宋体"/>
                <w:color w:val="auto"/>
                <w:highlight w:val="none"/>
              </w:rPr>
            </w:pPr>
          </w:p>
        </w:tc>
        <w:tc>
          <w:tcPr>
            <w:tcW w:w="2470" w:type="dxa"/>
            <w:vAlign w:val="center"/>
          </w:tcPr>
          <w:p>
            <w:pPr>
              <w:jc w:val="center"/>
              <w:rPr>
                <w:rFonts w:ascii="宋体" w:hAnsi="宋体" w:eastAsia="宋体" w:cs="宋体"/>
                <w:color w:val="auto"/>
                <w:highlight w:val="none"/>
              </w:rPr>
            </w:pPr>
          </w:p>
        </w:tc>
        <w:tc>
          <w:tcPr>
            <w:tcW w:w="1643" w:type="dxa"/>
            <w:vAlign w:val="center"/>
          </w:tcPr>
          <w:p>
            <w:pP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19" w:type="dxa"/>
            <w:vAlign w:val="center"/>
          </w:tcPr>
          <w:p>
            <w:pPr>
              <w:jc w:val="center"/>
              <w:rPr>
                <w:rFonts w:ascii="宋体" w:hAnsi="宋体" w:eastAsia="宋体" w:cs="宋体"/>
                <w:color w:val="auto"/>
                <w:highlight w:val="none"/>
              </w:rPr>
            </w:pPr>
          </w:p>
        </w:tc>
        <w:tc>
          <w:tcPr>
            <w:tcW w:w="877" w:type="dxa"/>
            <w:vAlign w:val="center"/>
          </w:tcPr>
          <w:p>
            <w:pPr>
              <w:rPr>
                <w:rFonts w:ascii="宋体" w:hAnsi="宋体" w:eastAsia="宋体" w:cs="宋体"/>
                <w:color w:val="auto"/>
                <w:highlight w:val="none"/>
              </w:rPr>
            </w:pPr>
          </w:p>
        </w:tc>
        <w:tc>
          <w:tcPr>
            <w:tcW w:w="1873" w:type="dxa"/>
            <w:vAlign w:val="center"/>
          </w:tcPr>
          <w:p>
            <w:pPr>
              <w:jc w:val="center"/>
              <w:rPr>
                <w:rFonts w:ascii="宋体" w:hAnsi="宋体" w:eastAsia="宋体" w:cs="宋体"/>
                <w:color w:val="auto"/>
                <w:highlight w:val="none"/>
              </w:rPr>
            </w:pPr>
          </w:p>
        </w:tc>
        <w:tc>
          <w:tcPr>
            <w:tcW w:w="1744" w:type="dxa"/>
            <w:vAlign w:val="center"/>
          </w:tcPr>
          <w:p>
            <w:pPr>
              <w:tabs>
                <w:tab w:val="left" w:pos="11160"/>
              </w:tabs>
              <w:jc w:val="center"/>
              <w:rPr>
                <w:rFonts w:ascii="宋体" w:hAnsi="宋体" w:eastAsia="宋体" w:cs="宋体"/>
                <w:color w:val="auto"/>
                <w:highlight w:val="none"/>
              </w:rPr>
            </w:pPr>
          </w:p>
        </w:tc>
        <w:tc>
          <w:tcPr>
            <w:tcW w:w="2470" w:type="dxa"/>
            <w:vAlign w:val="center"/>
          </w:tcPr>
          <w:p>
            <w:pPr>
              <w:jc w:val="center"/>
              <w:rPr>
                <w:rFonts w:ascii="宋体" w:hAnsi="宋体" w:eastAsia="宋体" w:cs="宋体"/>
                <w:color w:val="auto"/>
                <w:highlight w:val="none"/>
              </w:rPr>
            </w:pPr>
          </w:p>
        </w:tc>
        <w:tc>
          <w:tcPr>
            <w:tcW w:w="1643" w:type="dxa"/>
            <w:vAlign w:val="center"/>
          </w:tcPr>
          <w:p>
            <w:pP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19" w:type="dxa"/>
            <w:vAlign w:val="center"/>
          </w:tcPr>
          <w:p>
            <w:pPr>
              <w:jc w:val="center"/>
              <w:rPr>
                <w:rFonts w:ascii="宋体" w:hAnsi="宋体" w:eastAsia="宋体" w:cs="宋体"/>
                <w:color w:val="auto"/>
                <w:highlight w:val="none"/>
              </w:rPr>
            </w:pPr>
          </w:p>
        </w:tc>
        <w:tc>
          <w:tcPr>
            <w:tcW w:w="877" w:type="dxa"/>
            <w:vAlign w:val="center"/>
          </w:tcPr>
          <w:p>
            <w:pPr>
              <w:rPr>
                <w:rFonts w:ascii="宋体" w:hAnsi="宋体" w:eastAsia="宋体" w:cs="宋体"/>
                <w:color w:val="auto"/>
                <w:highlight w:val="none"/>
              </w:rPr>
            </w:pPr>
          </w:p>
        </w:tc>
        <w:tc>
          <w:tcPr>
            <w:tcW w:w="1873" w:type="dxa"/>
            <w:vAlign w:val="center"/>
          </w:tcPr>
          <w:p>
            <w:pPr>
              <w:jc w:val="center"/>
              <w:rPr>
                <w:rFonts w:ascii="宋体" w:hAnsi="宋体" w:eastAsia="宋体" w:cs="宋体"/>
                <w:color w:val="auto"/>
                <w:highlight w:val="none"/>
              </w:rPr>
            </w:pPr>
          </w:p>
        </w:tc>
        <w:tc>
          <w:tcPr>
            <w:tcW w:w="1744" w:type="dxa"/>
            <w:vAlign w:val="center"/>
          </w:tcPr>
          <w:p>
            <w:pPr>
              <w:jc w:val="center"/>
              <w:rPr>
                <w:rFonts w:ascii="宋体" w:hAnsi="宋体" w:eastAsia="宋体" w:cs="宋体"/>
                <w:color w:val="auto"/>
                <w:highlight w:val="none"/>
              </w:rPr>
            </w:pPr>
          </w:p>
        </w:tc>
        <w:tc>
          <w:tcPr>
            <w:tcW w:w="2470" w:type="dxa"/>
            <w:vAlign w:val="center"/>
          </w:tcPr>
          <w:p>
            <w:pPr>
              <w:jc w:val="center"/>
              <w:rPr>
                <w:rFonts w:ascii="宋体" w:hAnsi="宋体" w:eastAsia="宋体" w:cs="宋体"/>
                <w:color w:val="auto"/>
                <w:highlight w:val="none"/>
              </w:rPr>
            </w:pPr>
          </w:p>
        </w:tc>
        <w:tc>
          <w:tcPr>
            <w:tcW w:w="1643" w:type="dxa"/>
            <w:vAlign w:val="center"/>
          </w:tcPr>
          <w:p>
            <w:pP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19" w:type="dxa"/>
            <w:vAlign w:val="center"/>
          </w:tcPr>
          <w:p>
            <w:pPr>
              <w:jc w:val="center"/>
              <w:rPr>
                <w:rFonts w:ascii="宋体" w:hAnsi="宋体" w:eastAsia="宋体" w:cs="宋体"/>
                <w:color w:val="auto"/>
                <w:highlight w:val="none"/>
              </w:rPr>
            </w:pPr>
          </w:p>
        </w:tc>
        <w:tc>
          <w:tcPr>
            <w:tcW w:w="877" w:type="dxa"/>
            <w:vAlign w:val="center"/>
          </w:tcPr>
          <w:p>
            <w:pPr>
              <w:rPr>
                <w:rFonts w:ascii="宋体" w:hAnsi="宋体" w:eastAsia="宋体" w:cs="宋体"/>
                <w:color w:val="auto"/>
                <w:highlight w:val="none"/>
              </w:rPr>
            </w:pPr>
          </w:p>
        </w:tc>
        <w:tc>
          <w:tcPr>
            <w:tcW w:w="1873" w:type="dxa"/>
            <w:vAlign w:val="center"/>
          </w:tcPr>
          <w:p>
            <w:pPr>
              <w:jc w:val="center"/>
              <w:rPr>
                <w:rFonts w:ascii="宋体" w:hAnsi="宋体" w:eastAsia="宋体" w:cs="宋体"/>
                <w:color w:val="auto"/>
                <w:highlight w:val="none"/>
              </w:rPr>
            </w:pPr>
          </w:p>
        </w:tc>
        <w:tc>
          <w:tcPr>
            <w:tcW w:w="1744" w:type="dxa"/>
            <w:vAlign w:val="center"/>
          </w:tcPr>
          <w:p>
            <w:pPr>
              <w:jc w:val="center"/>
              <w:rPr>
                <w:rFonts w:ascii="宋体" w:hAnsi="宋体" w:eastAsia="宋体" w:cs="宋体"/>
                <w:color w:val="auto"/>
                <w:highlight w:val="none"/>
              </w:rPr>
            </w:pPr>
          </w:p>
        </w:tc>
        <w:tc>
          <w:tcPr>
            <w:tcW w:w="2470" w:type="dxa"/>
            <w:vAlign w:val="center"/>
          </w:tcPr>
          <w:p>
            <w:pPr>
              <w:jc w:val="center"/>
              <w:rPr>
                <w:rFonts w:ascii="宋体" w:hAnsi="宋体" w:eastAsia="宋体" w:cs="宋体"/>
                <w:color w:val="auto"/>
                <w:highlight w:val="none"/>
              </w:rPr>
            </w:pPr>
          </w:p>
        </w:tc>
        <w:tc>
          <w:tcPr>
            <w:tcW w:w="1643" w:type="dxa"/>
            <w:vAlign w:val="center"/>
          </w:tcPr>
          <w:p>
            <w:pP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19" w:type="dxa"/>
            <w:vAlign w:val="center"/>
          </w:tcPr>
          <w:p>
            <w:pPr>
              <w:jc w:val="center"/>
              <w:rPr>
                <w:rFonts w:ascii="宋体" w:hAnsi="宋体" w:eastAsia="宋体" w:cs="宋体"/>
                <w:color w:val="auto"/>
                <w:highlight w:val="none"/>
              </w:rPr>
            </w:pPr>
          </w:p>
        </w:tc>
        <w:tc>
          <w:tcPr>
            <w:tcW w:w="877" w:type="dxa"/>
            <w:vAlign w:val="center"/>
          </w:tcPr>
          <w:p>
            <w:pPr>
              <w:rPr>
                <w:rFonts w:ascii="宋体" w:hAnsi="宋体" w:eastAsia="宋体" w:cs="宋体"/>
                <w:color w:val="auto"/>
                <w:highlight w:val="none"/>
              </w:rPr>
            </w:pPr>
          </w:p>
        </w:tc>
        <w:tc>
          <w:tcPr>
            <w:tcW w:w="1873" w:type="dxa"/>
            <w:vAlign w:val="center"/>
          </w:tcPr>
          <w:p>
            <w:pPr>
              <w:jc w:val="center"/>
              <w:rPr>
                <w:rFonts w:ascii="宋体" w:hAnsi="宋体" w:eastAsia="宋体" w:cs="宋体"/>
                <w:color w:val="auto"/>
                <w:highlight w:val="none"/>
              </w:rPr>
            </w:pPr>
          </w:p>
        </w:tc>
        <w:tc>
          <w:tcPr>
            <w:tcW w:w="1744" w:type="dxa"/>
            <w:vAlign w:val="center"/>
          </w:tcPr>
          <w:p>
            <w:pPr>
              <w:jc w:val="center"/>
              <w:rPr>
                <w:rFonts w:ascii="宋体" w:hAnsi="宋体" w:eastAsia="宋体" w:cs="宋体"/>
                <w:color w:val="auto"/>
                <w:highlight w:val="none"/>
              </w:rPr>
            </w:pPr>
          </w:p>
        </w:tc>
        <w:tc>
          <w:tcPr>
            <w:tcW w:w="2470" w:type="dxa"/>
            <w:vAlign w:val="center"/>
          </w:tcPr>
          <w:p>
            <w:pPr>
              <w:jc w:val="center"/>
              <w:rPr>
                <w:rFonts w:ascii="宋体" w:hAnsi="宋体" w:eastAsia="宋体" w:cs="宋体"/>
                <w:color w:val="auto"/>
                <w:highlight w:val="none"/>
              </w:rPr>
            </w:pPr>
          </w:p>
        </w:tc>
        <w:tc>
          <w:tcPr>
            <w:tcW w:w="1643" w:type="dxa"/>
            <w:vAlign w:val="center"/>
          </w:tcPr>
          <w:p>
            <w:pP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19" w:type="dxa"/>
            <w:vAlign w:val="center"/>
          </w:tcPr>
          <w:p>
            <w:pPr>
              <w:jc w:val="center"/>
              <w:rPr>
                <w:rFonts w:ascii="宋体" w:hAnsi="宋体" w:eastAsia="宋体" w:cs="宋体"/>
                <w:color w:val="auto"/>
                <w:szCs w:val="21"/>
                <w:highlight w:val="none"/>
              </w:rPr>
            </w:pPr>
          </w:p>
        </w:tc>
        <w:tc>
          <w:tcPr>
            <w:tcW w:w="877" w:type="dxa"/>
            <w:vAlign w:val="center"/>
          </w:tcPr>
          <w:p>
            <w:pPr>
              <w:rPr>
                <w:rFonts w:ascii="宋体" w:hAnsi="宋体" w:eastAsia="宋体" w:cs="宋体"/>
                <w:color w:val="auto"/>
                <w:szCs w:val="21"/>
                <w:highlight w:val="none"/>
              </w:rPr>
            </w:pPr>
          </w:p>
        </w:tc>
        <w:tc>
          <w:tcPr>
            <w:tcW w:w="1873" w:type="dxa"/>
            <w:vAlign w:val="center"/>
          </w:tcPr>
          <w:p>
            <w:pPr>
              <w:jc w:val="center"/>
              <w:rPr>
                <w:rFonts w:ascii="宋体" w:hAnsi="宋体" w:eastAsia="宋体" w:cs="宋体"/>
                <w:color w:val="auto"/>
                <w:highlight w:val="none"/>
              </w:rPr>
            </w:pPr>
          </w:p>
        </w:tc>
        <w:tc>
          <w:tcPr>
            <w:tcW w:w="1744" w:type="dxa"/>
            <w:vAlign w:val="center"/>
          </w:tcPr>
          <w:p>
            <w:pPr>
              <w:jc w:val="center"/>
              <w:rPr>
                <w:rFonts w:ascii="宋体" w:hAnsi="宋体" w:eastAsia="宋体" w:cs="宋体"/>
                <w:color w:val="auto"/>
                <w:highlight w:val="none"/>
              </w:rPr>
            </w:pPr>
          </w:p>
        </w:tc>
        <w:tc>
          <w:tcPr>
            <w:tcW w:w="2470" w:type="dxa"/>
            <w:vAlign w:val="center"/>
          </w:tcPr>
          <w:p>
            <w:pPr>
              <w:jc w:val="center"/>
              <w:rPr>
                <w:rFonts w:ascii="宋体" w:hAnsi="宋体" w:eastAsia="宋体" w:cs="宋体"/>
                <w:color w:val="auto"/>
                <w:highlight w:val="none"/>
              </w:rPr>
            </w:pPr>
          </w:p>
        </w:tc>
        <w:tc>
          <w:tcPr>
            <w:tcW w:w="1643" w:type="dxa"/>
            <w:vAlign w:val="center"/>
          </w:tcPr>
          <w:p>
            <w:pP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19" w:type="dxa"/>
            <w:vAlign w:val="center"/>
          </w:tcPr>
          <w:p>
            <w:pPr>
              <w:jc w:val="center"/>
              <w:rPr>
                <w:rFonts w:ascii="宋体" w:hAnsi="宋体" w:eastAsia="宋体" w:cs="宋体"/>
                <w:color w:val="auto"/>
                <w:szCs w:val="21"/>
                <w:highlight w:val="none"/>
              </w:rPr>
            </w:pPr>
          </w:p>
        </w:tc>
        <w:tc>
          <w:tcPr>
            <w:tcW w:w="877" w:type="dxa"/>
            <w:vAlign w:val="center"/>
          </w:tcPr>
          <w:p>
            <w:pPr>
              <w:rPr>
                <w:rFonts w:ascii="宋体" w:hAnsi="宋体" w:eastAsia="宋体" w:cs="宋体"/>
                <w:color w:val="auto"/>
                <w:szCs w:val="21"/>
                <w:highlight w:val="none"/>
              </w:rPr>
            </w:pPr>
          </w:p>
        </w:tc>
        <w:tc>
          <w:tcPr>
            <w:tcW w:w="1873" w:type="dxa"/>
            <w:vAlign w:val="center"/>
          </w:tcPr>
          <w:p>
            <w:pPr>
              <w:jc w:val="center"/>
              <w:rPr>
                <w:rFonts w:ascii="宋体" w:hAnsi="宋体" w:eastAsia="宋体" w:cs="宋体"/>
                <w:color w:val="auto"/>
                <w:highlight w:val="none"/>
              </w:rPr>
            </w:pPr>
          </w:p>
        </w:tc>
        <w:tc>
          <w:tcPr>
            <w:tcW w:w="1744" w:type="dxa"/>
            <w:vAlign w:val="center"/>
          </w:tcPr>
          <w:p>
            <w:pPr>
              <w:jc w:val="center"/>
              <w:rPr>
                <w:rFonts w:ascii="宋体" w:hAnsi="宋体" w:eastAsia="宋体" w:cs="宋体"/>
                <w:color w:val="auto"/>
                <w:highlight w:val="none"/>
              </w:rPr>
            </w:pPr>
          </w:p>
        </w:tc>
        <w:tc>
          <w:tcPr>
            <w:tcW w:w="2470" w:type="dxa"/>
            <w:vAlign w:val="center"/>
          </w:tcPr>
          <w:p>
            <w:pPr>
              <w:jc w:val="center"/>
              <w:rPr>
                <w:rFonts w:ascii="宋体" w:hAnsi="宋体" w:eastAsia="宋体" w:cs="宋体"/>
                <w:color w:val="auto"/>
                <w:highlight w:val="none"/>
              </w:rPr>
            </w:pPr>
          </w:p>
        </w:tc>
        <w:tc>
          <w:tcPr>
            <w:tcW w:w="1643" w:type="dxa"/>
            <w:vAlign w:val="center"/>
          </w:tcPr>
          <w:p>
            <w:pP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19" w:type="dxa"/>
            <w:vAlign w:val="center"/>
          </w:tcPr>
          <w:p>
            <w:pPr>
              <w:jc w:val="center"/>
              <w:rPr>
                <w:rFonts w:ascii="宋体" w:hAnsi="宋体" w:eastAsia="宋体" w:cs="宋体"/>
                <w:color w:val="auto"/>
                <w:szCs w:val="21"/>
                <w:highlight w:val="none"/>
              </w:rPr>
            </w:pPr>
          </w:p>
        </w:tc>
        <w:tc>
          <w:tcPr>
            <w:tcW w:w="877" w:type="dxa"/>
            <w:vAlign w:val="center"/>
          </w:tcPr>
          <w:p>
            <w:pPr>
              <w:rPr>
                <w:rFonts w:ascii="宋体" w:hAnsi="宋体" w:eastAsia="宋体" w:cs="宋体"/>
                <w:color w:val="auto"/>
                <w:szCs w:val="21"/>
                <w:highlight w:val="none"/>
              </w:rPr>
            </w:pPr>
          </w:p>
        </w:tc>
        <w:tc>
          <w:tcPr>
            <w:tcW w:w="1873" w:type="dxa"/>
            <w:vAlign w:val="center"/>
          </w:tcPr>
          <w:p>
            <w:pPr>
              <w:jc w:val="center"/>
              <w:rPr>
                <w:rFonts w:ascii="宋体" w:hAnsi="宋体" w:eastAsia="宋体" w:cs="宋体"/>
                <w:color w:val="auto"/>
                <w:highlight w:val="none"/>
              </w:rPr>
            </w:pPr>
          </w:p>
        </w:tc>
        <w:tc>
          <w:tcPr>
            <w:tcW w:w="1744" w:type="dxa"/>
            <w:vAlign w:val="center"/>
          </w:tcPr>
          <w:p>
            <w:pPr>
              <w:jc w:val="center"/>
              <w:rPr>
                <w:rFonts w:ascii="宋体" w:hAnsi="宋体" w:eastAsia="宋体" w:cs="宋体"/>
                <w:color w:val="auto"/>
                <w:highlight w:val="none"/>
              </w:rPr>
            </w:pPr>
          </w:p>
        </w:tc>
        <w:tc>
          <w:tcPr>
            <w:tcW w:w="2470" w:type="dxa"/>
            <w:vAlign w:val="center"/>
          </w:tcPr>
          <w:p>
            <w:pPr>
              <w:jc w:val="center"/>
              <w:rPr>
                <w:rFonts w:ascii="宋体" w:hAnsi="宋体" w:eastAsia="宋体" w:cs="宋体"/>
                <w:color w:val="auto"/>
                <w:highlight w:val="none"/>
              </w:rPr>
            </w:pPr>
          </w:p>
        </w:tc>
        <w:tc>
          <w:tcPr>
            <w:tcW w:w="1643" w:type="dxa"/>
            <w:vAlign w:val="center"/>
          </w:tcPr>
          <w:p>
            <w:pP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19" w:type="dxa"/>
            <w:vAlign w:val="center"/>
          </w:tcPr>
          <w:p>
            <w:pPr>
              <w:jc w:val="center"/>
              <w:rPr>
                <w:rFonts w:ascii="宋体" w:hAnsi="宋体" w:eastAsia="宋体" w:cs="宋体"/>
                <w:color w:val="auto"/>
                <w:szCs w:val="21"/>
                <w:highlight w:val="none"/>
              </w:rPr>
            </w:pPr>
          </w:p>
        </w:tc>
        <w:tc>
          <w:tcPr>
            <w:tcW w:w="877" w:type="dxa"/>
            <w:vAlign w:val="center"/>
          </w:tcPr>
          <w:p>
            <w:pPr>
              <w:rPr>
                <w:rFonts w:ascii="宋体" w:hAnsi="宋体" w:eastAsia="宋体" w:cs="宋体"/>
                <w:color w:val="auto"/>
                <w:szCs w:val="21"/>
                <w:highlight w:val="none"/>
              </w:rPr>
            </w:pPr>
          </w:p>
        </w:tc>
        <w:tc>
          <w:tcPr>
            <w:tcW w:w="1873" w:type="dxa"/>
            <w:vAlign w:val="center"/>
          </w:tcPr>
          <w:p>
            <w:pPr>
              <w:jc w:val="center"/>
              <w:rPr>
                <w:rFonts w:ascii="宋体" w:hAnsi="宋体" w:eastAsia="宋体" w:cs="宋体"/>
                <w:color w:val="auto"/>
                <w:highlight w:val="none"/>
              </w:rPr>
            </w:pPr>
          </w:p>
        </w:tc>
        <w:tc>
          <w:tcPr>
            <w:tcW w:w="1744" w:type="dxa"/>
            <w:vAlign w:val="center"/>
          </w:tcPr>
          <w:p>
            <w:pPr>
              <w:tabs>
                <w:tab w:val="left" w:pos="11160"/>
              </w:tabs>
              <w:jc w:val="center"/>
              <w:rPr>
                <w:rFonts w:ascii="宋体" w:hAnsi="宋体" w:eastAsia="宋体" w:cs="宋体"/>
                <w:color w:val="auto"/>
                <w:highlight w:val="none"/>
              </w:rPr>
            </w:pPr>
          </w:p>
        </w:tc>
        <w:tc>
          <w:tcPr>
            <w:tcW w:w="2470" w:type="dxa"/>
            <w:vAlign w:val="center"/>
          </w:tcPr>
          <w:p>
            <w:pPr>
              <w:jc w:val="center"/>
              <w:rPr>
                <w:rFonts w:ascii="宋体" w:hAnsi="宋体" w:eastAsia="宋体" w:cs="宋体"/>
                <w:color w:val="auto"/>
                <w:highlight w:val="none"/>
              </w:rPr>
            </w:pPr>
          </w:p>
        </w:tc>
        <w:tc>
          <w:tcPr>
            <w:tcW w:w="1643" w:type="dxa"/>
            <w:vAlign w:val="center"/>
          </w:tcPr>
          <w:p>
            <w:pP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19" w:type="dxa"/>
            <w:vAlign w:val="center"/>
          </w:tcPr>
          <w:p>
            <w:pPr>
              <w:jc w:val="center"/>
              <w:rPr>
                <w:rFonts w:ascii="宋体" w:hAnsi="宋体" w:eastAsia="宋体" w:cs="宋体"/>
                <w:color w:val="auto"/>
                <w:szCs w:val="21"/>
                <w:highlight w:val="none"/>
              </w:rPr>
            </w:pPr>
          </w:p>
        </w:tc>
        <w:tc>
          <w:tcPr>
            <w:tcW w:w="877" w:type="dxa"/>
            <w:vAlign w:val="center"/>
          </w:tcPr>
          <w:p>
            <w:pPr>
              <w:rPr>
                <w:rFonts w:ascii="宋体" w:hAnsi="宋体" w:eastAsia="宋体" w:cs="宋体"/>
                <w:b/>
                <w:color w:val="auto"/>
                <w:szCs w:val="21"/>
                <w:highlight w:val="none"/>
              </w:rPr>
            </w:pPr>
          </w:p>
        </w:tc>
        <w:tc>
          <w:tcPr>
            <w:tcW w:w="1873" w:type="dxa"/>
            <w:vAlign w:val="center"/>
          </w:tcPr>
          <w:p>
            <w:pPr>
              <w:jc w:val="center"/>
              <w:rPr>
                <w:rFonts w:ascii="宋体" w:hAnsi="宋体" w:eastAsia="宋体" w:cs="宋体"/>
                <w:color w:val="auto"/>
                <w:highlight w:val="none"/>
              </w:rPr>
            </w:pPr>
          </w:p>
        </w:tc>
        <w:tc>
          <w:tcPr>
            <w:tcW w:w="1744" w:type="dxa"/>
            <w:vAlign w:val="center"/>
          </w:tcPr>
          <w:p>
            <w:pPr>
              <w:tabs>
                <w:tab w:val="left" w:pos="11160"/>
              </w:tabs>
              <w:jc w:val="center"/>
              <w:rPr>
                <w:rFonts w:ascii="宋体" w:hAnsi="宋体" w:eastAsia="宋体" w:cs="宋体"/>
                <w:color w:val="auto"/>
                <w:highlight w:val="none"/>
              </w:rPr>
            </w:pPr>
          </w:p>
        </w:tc>
        <w:tc>
          <w:tcPr>
            <w:tcW w:w="2470" w:type="dxa"/>
            <w:vAlign w:val="center"/>
          </w:tcPr>
          <w:p>
            <w:pPr>
              <w:tabs>
                <w:tab w:val="left" w:pos="11160"/>
              </w:tabs>
              <w:jc w:val="center"/>
              <w:rPr>
                <w:rFonts w:ascii="宋体" w:hAnsi="宋体" w:eastAsia="宋体" w:cs="宋体"/>
                <w:color w:val="auto"/>
                <w:highlight w:val="none"/>
              </w:rPr>
            </w:pPr>
          </w:p>
        </w:tc>
        <w:tc>
          <w:tcPr>
            <w:tcW w:w="1643" w:type="dxa"/>
            <w:vAlign w:val="center"/>
          </w:tcPr>
          <w:p>
            <w:pP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19" w:type="dxa"/>
            <w:vAlign w:val="center"/>
          </w:tcPr>
          <w:p>
            <w:pPr>
              <w:jc w:val="center"/>
              <w:rPr>
                <w:rFonts w:ascii="宋体" w:hAnsi="宋体" w:eastAsia="宋体" w:cs="宋体"/>
                <w:color w:val="auto"/>
                <w:szCs w:val="21"/>
                <w:highlight w:val="none"/>
              </w:rPr>
            </w:pPr>
          </w:p>
        </w:tc>
        <w:tc>
          <w:tcPr>
            <w:tcW w:w="877" w:type="dxa"/>
            <w:vAlign w:val="center"/>
          </w:tcPr>
          <w:p>
            <w:pPr>
              <w:rPr>
                <w:rFonts w:ascii="宋体" w:hAnsi="宋体" w:eastAsia="宋体" w:cs="宋体"/>
                <w:color w:val="auto"/>
                <w:szCs w:val="21"/>
                <w:highlight w:val="none"/>
              </w:rPr>
            </w:pPr>
          </w:p>
        </w:tc>
        <w:tc>
          <w:tcPr>
            <w:tcW w:w="1873" w:type="dxa"/>
            <w:vAlign w:val="center"/>
          </w:tcPr>
          <w:p>
            <w:pPr>
              <w:jc w:val="center"/>
              <w:rPr>
                <w:rFonts w:ascii="宋体" w:hAnsi="宋体" w:eastAsia="宋体" w:cs="宋体"/>
                <w:color w:val="auto"/>
                <w:highlight w:val="none"/>
              </w:rPr>
            </w:pPr>
          </w:p>
        </w:tc>
        <w:tc>
          <w:tcPr>
            <w:tcW w:w="1744" w:type="dxa"/>
            <w:vAlign w:val="center"/>
          </w:tcPr>
          <w:p>
            <w:pPr>
              <w:tabs>
                <w:tab w:val="left" w:pos="11160"/>
              </w:tabs>
              <w:jc w:val="center"/>
              <w:rPr>
                <w:rFonts w:ascii="宋体" w:hAnsi="宋体" w:eastAsia="宋体" w:cs="宋体"/>
                <w:color w:val="auto"/>
                <w:highlight w:val="none"/>
              </w:rPr>
            </w:pPr>
          </w:p>
        </w:tc>
        <w:tc>
          <w:tcPr>
            <w:tcW w:w="2470" w:type="dxa"/>
            <w:vAlign w:val="center"/>
          </w:tcPr>
          <w:p>
            <w:pPr>
              <w:jc w:val="center"/>
              <w:rPr>
                <w:rFonts w:ascii="宋体" w:hAnsi="宋体" w:eastAsia="宋体" w:cs="宋体"/>
                <w:color w:val="auto"/>
                <w:highlight w:val="none"/>
              </w:rPr>
            </w:pPr>
          </w:p>
        </w:tc>
        <w:tc>
          <w:tcPr>
            <w:tcW w:w="1643" w:type="dxa"/>
            <w:vAlign w:val="center"/>
          </w:tcPr>
          <w:p>
            <w:pP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19" w:type="dxa"/>
            <w:vAlign w:val="center"/>
          </w:tcPr>
          <w:p>
            <w:pPr>
              <w:jc w:val="center"/>
              <w:rPr>
                <w:rFonts w:ascii="宋体" w:hAnsi="宋体" w:eastAsia="宋体" w:cs="宋体"/>
                <w:color w:val="auto"/>
                <w:szCs w:val="21"/>
                <w:highlight w:val="none"/>
              </w:rPr>
            </w:pPr>
          </w:p>
        </w:tc>
        <w:tc>
          <w:tcPr>
            <w:tcW w:w="877" w:type="dxa"/>
            <w:vAlign w:val="center"/>
          </w:tcPr>
          <w:p>
            <w:pPr>
              <w:rPr>
                <w:rFonts w:ascii="宋体" w:hAnsi="宋体" w:eastAsia="宋体" w:cs="宋体"/>
                <w:color w:val="auto"/>
                <w:szCs w:val="21"/>
                <w:highlight w:val="none"/>
              </w:rPr>
            </w:pPr>
          </w:p>
        </w:tc>
        <w:tc>
          <w:tcPr>
            <w:tcW w:w="1873" w:type="dxa"/>
            <w:vAlign w:val="center"/>
          </w:tcPr>
          <w:p>
            <w:pPr>
              <w:jc w:val="center"/>
              <w:rPr>
                <w:rFonts w:ascii="宋体" w:hAnsi="宋体" w:eastAsia="宋体" w:cs="宋体"/>
                <w:color w:val="auto"/>
                <w:highlight w:val="none"/>
              </w:rPr>
            </w:pPr>
          </w:p>
        </w:tc>
        <w:tc>
          <w:tcPr>
            <w:tcW w:w="1744" w:type="dxa"/>
            <w:vAlign w:val="center"/>
          </w:tcPr>
          <w:p>
            <w:pPr>
              <w:tabs>
                <w:tab w:val="left" w:pos="11160"/>
              </w:tabs>
              <w:jc w:val="center"/>
              <w:rPr>
                <w:rFonts w:ascii="宋体" w:hAnsi="宋体" w:eastAsia="宋体" w:cs="宋体"/>
                <w:color w:val="auto"/>
                <w:highlight w:val="none"/>
              </w:rPr>
            </w:pPr>
          </w:p>
        </w:tc>
        <w:tc>
          <w:tcPr>
            <w:tcW w:w="2470" w:type="dxa"/>
            <w:vAlign w:val="center"/>
          </w:tcPr>
          <w:p>
            <w:pPr>
              <w:jc w:val="center"/>
              <w:rPr>
                <w:rFonts w:ascii="宋体" w:hAnsi="宋体" w:eastAsia="宋体" w:cs="宋体"/>
                <w:color w:val="auto"/>
                <w:highlight w:val="none"/>
              </w:rPr>
            </w:pPr>
          </w:p>
        </w:tc>
        <w:tc>
          <w:tcPr>
            <w:tcW w:w="1643" w:type="dxa"/>
            <w:vAlign w:val="center"/>
          </w:tcPr>
          <w:p>
            <w:pPr>
              <w:rPr>
                <w:rFonts w:ascii="宋体" w:hAnsi="宋体" w:eastAsia="宋体" w:cs="宋体"/>
                <w:color w:val="auto"/>
                <w:highlight w:val="none"/>
              </w:rPr>
            </w:pPr>
          </w:p>
        </w:tc>
      </w:tr>
    </w:tbl>
    <w:p>
      <w:pPr>
        <w:tabs>
          <w:tab w:val="left" w:pos="5400"/>
        </w:tabs>
        <w:spacing w:line="360" w:lineRule="auto"/>
        <w:rPr>
          <w:rFonts w:ascii="宋体" w:hAnsi="宋体" w:eastAsia="宋体" w:cs="宋体"/>
          <w:color w:val="auto"/>
          <w:sz w:val="24"/>
          <w:highlight w:val="none"/>
        </w:rPr>
      </w:pPr>
    </w:p>
    <w:p>
      <w:pPr>
        <w:tabs>
          <w:tab w:val="left" w:pos="5400"/>
        </w:tabs>
        <w:spacing w:line="360" w:lineRule="auto"/>
        <w:rPr>
          <w:rFonts w:ascii="宋体" w:hAnsi="宋体" w:eastAsia="宋体" w:cs="宋体"/>
          <w:color w:val="auto"/>
          <w:sz w:val="24"/>
          <w:szCs w:val="21"/>
          <w:highlight w:val="none"/>
        </w:rPr>
      </w:pPr>
    </w:p>
    <w:p>
      <w:pPr>
        <w:tabs>
          <w:tab w:val="left" w:pos="5400"/>
        </w:tabs>
        <w:spacing w:line="360" w:lineRule="auto"/>
        <w:rPr>
          <w:rFonts w:ascii="宋体" w:hAnsi="宋体" w:eastAsia="宋体" w:cs="宋体"/>
          <w:color w:val="auto"/>
          <w:sz w:val="24"/>
          <w:highlight w:val="none"/>
        </w:rPr>
      </w:pPr>
    </w:p>
    <w:p>
      <w:pPr>
        <w:tabs>
          <w:tab w:val="left" w:pos="5400"/>
        </w:tabs>
        <w:spacing w:line="360" w:lineRule="auto"/>
        <w:rPr>
          <w:rFonts w:ascii="宋体" w:hAnsi="宋体" w:eastAsia="宋体" w:cs="宋体"/>
          <w:color w:val="auto"/>
          <w:sz w:val="24"/>
          <w:highlight w:val="none"/>
        </w:rPr>
        <w:sectPr>
          <w:endnotePr>
            <w:numFmt w:val="decimal"/>
          </w:endnotePr>
          <w:pgSz w:w="11907" w:h="16840"/>
          <w:pgMar w:top="1440" w:right="1588" w:bottom="1440" w:left="1089" w:header="851" w:footer="907" w:gutter="113"/>
          <w:cols w:space="720" w:num="1"/>
          <w:docGrid w:linePitch="312" w:charSpace="0"/>
        </w:sectPr>
      </w:pPr>
    </w:p>
    <w:bookmarkEnd w:id="60"/>
    <w:p>
      <w:pPr>
        <w:tabs>
          <w:tab w:val="left" w:pos="5400"/>
        </w:tabs>
        <w:spacing w:line="360" w:lineRule="auto"/>
        <w:rPr>
          <w:rFonts w:ascii="宋体" w:hAnsi="宋体" w:eastAsia="宋体" w:cs="宋体"/>
          <w:b/>
          <w:bCs/>
          <w:color w:val="auto"/>
          <w:kern w:val="0"/>
          <w:sz w:val="24"/>
          <w:szCs w:val="30"/>
          <w:highlight w:val="none"/>
        </w:rPr>
      </w:pPr>
      <w:r>
        <w:rPr>
          <w:rFonts w:hint="eastAsia" w:ascii="宋体" w:hAnsi="宋体" w:eastAsia="宋体" w:cs="宋体"/>
          <w:b/>
          <w:bCs/>
          <w:color w:val="auto"/>
          <w:kern w:val="0"/>
          <w:sz w:val="24"/>
          <w:szCs w:val="30"/>
          <w:highlight w:val="none"/>
        </w:rPr>
        <w:t>附件</w:t>
      </w:r>
      <w:r>
        <w:rPr>
          <w:rFonts w:ascii="宋体" w:hAnsi="宋体" w:eastAsia="宋体" w:cs="宋体"/>
          <w:b/>
          <w:bCs/>
          <w:color w:val="auto"/>
          <w:kern w:val="0"/>
          <w:sz w:val="24"/>
          <w:szCs w:val="30"/>
          <w:highlight w:val="none"/>
        </w:rPr>
        <w:t>5</w:t>
      </w:r>
      <w:r>
        <w:rPr>
          <w:rFonts w:hint="eastAsia" w:ascii="宋体" w:hAnsi="宋体" w:eastAsia="宋体" w:cs="宋体"/>
          <w:b/>
          <w:bCs/>
          <w:color w:val="auto"/>
          <w:kern w:val="0"/>
          <w:sz w:val="24"/>
          <w:szCs w:val="30"/>
          <w:highlight w:val="none"/>
        </w:rPr>
        <w:t>：</w:t>
      </w:r>
    </w:p>
    <w:p>
      <w:pPr>
        <w:tabs>
          <w:tab w:val="left" w:pos="5400"/>
        </w:tabs>
        <w:spacing w:line="360" w:lineRule="auto"/>
        <w:jc w:val="center"/>
        <w:rPr>
          <w:rFonts w:ascii="宋体" w:hAnsi="宋体" w:eastAsia="宋体" w:cs="宋体"/>
          <w:b/>
          <w:bCs/>
          <w:color w:val="auto"/>
          <w:kern w:val="0"/>
          <w:szCs w:val="21"/>
          <w:highlight w:val="none"/>
        </w:rPr>
      </w:pPr>
      <w:r>
        <w:rPr>
          <w:rFonts w:hint="eastAsia" w:ascii="宋体" w:hAnsi="宋体" w:eastAsia="宋体" w:cs="宋体"/>
          <w:b/>
          <w:color w:val="auto"/>
          <w:sz w:val="32"/>
          <w:szCs w:val="32"/>
          <w:highlight w:val="none"/>
        </w:rPr>
        <w:t>全过程造价咨询服务工作内容</w:t>
      </w:r>
    </w:p>
    <w:bookmarkEnd w:id="58"/>
    <w:bookmarkEnd w:id="59"/>
    <w:bookmarkEnd w:id="61"/>
    <w:tbl>
      <w:tblPr>
        <w:tblStyle w:val="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82"/>
        <w:gridCol w:w="7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blHeader/>
        </w:trPr>
        <w:tc>
          <w:tcPr>
            <w:tcW w:w="709" w:type="dxa"/>
            <w:vAlign w:val="center"/>
          </w:tcPr>
          <w:p>
            <w:pPr>
              <w:snapToGrid w:val="0"/>
              <w:jc w:val="center"/>
              <w:rPr>
                <w:rFonts w:ascii="Calibri" w:hAnsi="宋体" w:eastAsia="宋体" w:cs="宋体"/>
                <w:b/>
                <w:color w:val="auto"/>
                <w:szCs w:val="21"/>
                <w:highlight w:val="none"/>
              </w:rPr>
            </w:pPr>
            <w:r>
              <w:rPr>
                <w:rFonts w:hint="eastAsia" w:ascii="Calibri" w:hAnsi="宋体" w:eastAsia="宋体" w:cs="宋体"/>
                <w:b/>
                <w:color w:val="auto"/>
                <w:szCs w:val="21"/>
                <w:highlight w:val="none"/>
              </w:rPr>
              <w:t>序号</w:t>
            </w:r>
          </w:p>
        </w:tc>
        <w:tc>
          <w:tcPr>
            <w:tcW w:w="1182" w:type="dxa"/>
            <w:vAlign w:val="center"/>
          </w:tcPr>
          <w:p>
            <w:pPr>
              <w:snapToGrid w:val="0"/>
              <w:jc w:val="center"/>
              <w:rPr>
                <w:rFonts w:ascii="Calibri" w:hAnsi="宋体" w:eastAsia="宋体" w:cs="宋体"/>
                <w:b/>
                <w:color w:val="auto"/>
                <w:szCs w:val="21"/>
                <w:highlight w:val="none"/>
              </w:rPr>
            </w:pPr>
            <w:r>
              <w:rPr>
                <w:rFonts w:hint="eastAsia" w:ascii="Calibri" w:hAnsi="宋体" w:eastAsia="宋体" w:cs="宋体"/>
                <w:b/>
                <w:color w:val="auto"/>
                <w:szCs w:val="21"/>
                <w:highlight w:val="none"/>
              </w:rPr>
              <w:t>控制阶段</w:t>
            </w:r>
          </w:p>
        </w:tc>
        <w:tc>
          <w:tcPr>
            <w:tcW w:w="7715" w:type="dxa"/>
            <w:vAlign w:val="center"/>
          </w:tcPr>
          <w:p>
            <w:pPr>
              <w:snapToGrid w:val="0"/>
              <w:jc w:val="center"/>
              <w:rPr>
                <w:rFonts w:ascii="Calibri" w:hAnsi="宋体" w:eastAsia="宋体" w:cs="宋体"/>
                <w:b/>
                <w:color w:val="auto"/>
                <w:szCs w:val="21"/>
                <w:highlight w:val="none"/>
              </w:rPr>
            </w:pPr>
            <w:r>
              <w:rPr>
                <w:rFonts w:hint="eastAsia" w:ascii="Calibri" w:hAnsi="宋体" w:eastAsia="宋体" w:cs="宋体"/>
                <w:b/>
                <w:color w:val="auto"/>
                <w:szCs w:val="21"/>
                <w:highlight w:val="none"/>
              </w:rPr>
              <w:t>各阶段的造价控制工作内容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8" w:hRule="atLeast"/>
        </w:trPr>
        <w:tc>
          <w:tcPr>
            <w:tcW w:w="709" w:type="dxa"/>
            <w:vAlign w:val="center"/>
          </w:tcPr>
          <w:p>
            <w:pPr>
              <w:snapToGrid w:val="0"/>
              <w:jc w:val="center"/>
              <w:rPr>
                <w:rFonts w:ascii="Calibri" w:hAnsi="宋体" w:eastAsia="宋体" w:cs="宋体"/>
                <w:color w:val="auto"/>
                <w:sz w:val="20"/>
                <w:highlight w:val="none"/>
              </w:rPr>
            </w:pPr>
            <w:r>
              <w:rPr>
                <w:rFonts w:hint="eastAsia" w:ascii="Calibri" w:hAnsi="宋体" w:eastAsia="宋体" w:cs="宋体"/>
                <w:color w:val="auto"/>
                <w:sz w:val="20"/>
                <w:highlight w:val="none"/>
              </w:rPr>
              <w:t>1</w:t>
            </w:r>
          </w:p>
        </w:tc>
        <w:tc>
          <w:tcPr>
            <w:tcW w:w="1182" w:type="dxa"/>
            <w:vAlign w:val="center"/>
          </w:tcPr>
          <w:p>
            <w:pPr>
              <w:snapToGrid w:val="0"/>
              <w:jc w:val="center"/>
              <w:rPr>
                <w:rFonts w:ascii="Calibri" w:hAnsi="宋体" w:eastAsia="宋体" w:cs="宋体"/>
                <w:color w:val="auto"/>
                <w:sz w:val="20"/>
                <w:highlight w:val="none"/>
              </w:rPr>
            </w:pPr>
            <w:r>
              <w:rPr>
                <w:rFonts w:hint="eastAsia" w:ascii="Calibri" w:hAnsi="宋体" w:eastAsia="宋体" w:cs="宋体"/>
                <w:color w:val="auto"/>
                <w:sz w:val="20"/>
                <w:highlight w:val="none"/>
                <w:shd w:val="clear" w:color="auto" w:fill="FFFFFF"/>
              </w:rPr>
              <w:t>设计阶段</w:t>
            </w:r>
          </w:p>
        </w:tc>
        <w:tc>
          <w:tcPr>
            <w:tcW w:w="7715" w:type="dxa"/>
          </w:tcPr>
          <w:p>
            <w:pPr>
              <w:shd w:val="solid" w:color="FFFFFF" w:fill="auto"/>
              <w:tabs>
                <w:tab w:val="left" w:pos="312"/>
              </w:tabs>
              <w:autoSpaceDN w:val="0"/>
              <w:snapToGrid w:val="0"/>
              <w:rPr>
                <w:rFonts w:ascii="Calibri" w:hAnsi="宋体" w:eastAsia="宋体" w:cs="Times New Roman"/>
                <w:color w:val="auto"/>
                <w:sz w:val="20"/>
                <w:highlight w:val="none"/>
                <w:shd w:val="clear" w:color="auto" w:fill="FFFFFF"/>
              </w:rPr>
            </w:pPr>
            <w:r>
              <w:rPr>
                <w:rFonts w:hint="eastAsia" w:ascii="Calibri" w:hAnsi="宋体" w:eastAsia="宋体" w:cs="Times New Roman"/>
                <w:color w:val="auto"/>
                <w:sz w:val="20"/>
                <w:highlight w:val="none"/>
                <w:shd w:val="clear" w:color="auto" w:fill="FFFFFF"/>
              </w:rPr>
              <w:t>1</w:t>
            </w:r>
            <w:r>
              <w:rPr>
                <w:rFonts w:ascii="Calibri" w:hAnsi="宋体" w:eastAsia="宋体" w:cs="Times New Roman"/>
                <w:color w:val="auto"/>
                <w:sz w:val="20"/>
                <w:highlight w:val="none"/>
                <w:shd w:val="clear" w:color="auto" w:fill="FFFFFF"/>
              </w:rPr>
              <w:t>.负责</w:t>
            </w:r>
            <w:r>
              <w:rPr>
                <w:rFonts w:hint="eastAsia" w:ascii="Calibri" w:hAnsi="宋体" w:eastAsia="宋体" w:cs="Times New Roman"/>
                <w:color w:val="auto"/>
                <w:sz w:val="20"/>
                <w:highlight w:val="none"/>
                <w:shd w:val="clear" w:color="auto" w:fill="FFFFFF"/>
              </w:rPr>
              <w:t>审核并</w:t>
            </w:r>
            <w:r>
              <w:rPr>
                <w:rFonts w:ascii="Calibri" w:hAnsi="宋体" w:eastAsia="宋体" w:cs="Times New Roman"/>
                <w:color w:val="auto"/>
                <w:sz w:val="20"/>
                <w:highlight w:val="none"/>
                <w:shd w:val="clear" w:color="auto" w:fill="FFFFFF"/>
              </w:rPr>
              <w:t>协助完成</w:t>
            </w:r>
            <w:r>
              <w:rPr>
                <w:rFonts w:hint="eastAsia" w:ascii="Calibri" w:hAnsi="宋体" w:eastAsia="宋体" w:cs="Times New Roman"/>
                <w:color w:val="auto"/>
                <w:sz w:val="20"/>
                <w:highlight w:val="none"/>
                <w:shd w:val="clear" w:color="auto" w:fill="FFFFFF"/>
                <w:lang w:val="en-US" w:eastAsia="zh-CN"/>
              </w:rPr>
              <w:t>施工图预算</w:t>
            </w:r>
            <w:r>
              <w:rPr>
                <w:rFonts w:ascii="Calibri" w:hAnsi="宋体" w:eastAsia="宋体" w:cs="Times New Roman"/>
                <w:color w:val="auto"/>
                <w:sz w:val="20"/>
                <w:highlight w:val="none"/>
                <w:shd w:val="clear" w:color="auto" w:fill="FFFFFF"/>
              </w:rPr>
              <w:t>评审。</w:t>
            </w:r>
            <w:r>
              <w:rPr>
                <w:rFonts w:hint="eastAsia" w:ascii="Calibri" w:hAnsi="宋体" w:eastAsia="宋体" w:cs="Times New Roman"/>
                <w:color w:val="auto"/>
                <w:sz w:val="20"/>
                <w:highlight w:val="none"/>
                <w:shd w:val="clear" w:color="auto" w:fill="FFFFFF"/>
              </w:rPr>
              <w:t>分析</w:t>
            </w:r>
            <w:r>
              <w:rPr>
                <w:rFonts w:hint="eastAsia" w:ascii="Calibri" w:hAnsi="宋体" w:eastAsia="宋体" w:cs="Times New Roman"/>
                <w:color w:val="auto"/>
                <w:sz w:val="20"/>
                <w:highlight w:val="none"/>
                <w:shd w:val="clear" w:color="auto" w:fill="FFFFFF"/>
                <w:lang w:val="en-US" w:eastAsia="zh-CN"/>
              </w:rPr>
              <w:t>预</w:t>
            </w:r>
            <w:r>
              <w:rPr>
                <w:rFonts w:hint="eastAsia" w:ascii="Calibri" w:hAnsi="宋体" w:eastAsia="宋体" w:cs="Times New Roman"/>
                <w:color w:val="auto"/>
                <w:sz w:val="20"/>
                <w:highlight w:val="none"/>
                <w:shd w:val="clear" w:color="auto" w:fill="FFFFFF"/>
              </w:rPr>
              <w:t>算编制范围、编制依据是否齐全、合理，开项是否全面，有无漏项。审核</w:t>
            </w:r>
            <w:r>
              <w:rPr>
                <w:rFonts w:hint="eastAsia" w:ascii="Calibri" w:hAnsi="宋体" w:eastAsia="宋体" w:cs="Times New Roman"/>
                <w:color w:val="auto"/>
                <w:sz w:val="20"/>
                <w:highlight w:val="none"/>
                <w:shd w:val="clear" w:color="auto" w:fill="FFFFFF"/>
                <w:lang w:val="en-US" w:eastAsia="zh-CN"/>
              </w:rPr>
              <w:t>预</w:t>
            </w:r>
            <w:r>
              <w:rPr>
                <w:rFonts w:hint="eastAsia" w:ascii="Calibri" w:hAnsi="宋体" w:eastAsia="宋体" w:cs="Times New Roman"/>
                <w:color w:val="auto"/>
                <w:sz w:val="20"/>
                <w:highlight w:val="none"/>
                <w:shd w:val="clear" w:color="auto" w:fill="FFFFFF"/>
              </w:rPr>
              <w:t>算的工程量计量是否满足</w:t>
            </w:r>
            <w:r>
              <w:rPr>
                <w:rFonts w:hint="eastAsia" w:ascii="Calibri" w:hAnsi="宋体" w:eastAsia="宋体" w:cs="Times New Roman"/>
                <w:color w:val="auto"/>
                <w:sz w:val="20"/>
                <w:highlight w:val="none"/>
                <w:shd w:val="clear" w:color="auto" w:fill="FFFFFF"/>
                <w:lang w:val="en-US" w:eastAsia="zh-CN"/>
              </w:rPr>
              <w:t>施工</w:t>
            </w:r>
            <w:r>
              <w:rPr>
                <w:rFonts w:hint="eastAsia" w:ascii="Calibri" w:hAnsi="宋体" w:eastAsia="宋体" w:cs="Times New Roman"/>
                <w:color w:val="auto"/>
                <w:sz w:val="20"/>
                <w:highlight w:val="none"/>
                <w:shd w:val="clear" w:color="auto" w:fill="FFFFFF"/>
              </w:rPr>
              <w:t>设计图纸要求；材料设备价格是否符合地区的价格水平；设备规格、数量和配置满足图纸要求。工程建设其他费用是否符合国家、省市政府的相关部门收费标准，是否符合该项目的实际情况。技术经济指标与同类型工程指标相比，是否相接近。提供建筑材料、设备造价方面的选择意见，控制投资预算成本。在此阶段的工程造价咨询工作应当收到招标人提供的项目工程设计文件之日起15天内完成。但不包括设计前的可研性报告、前期投资、项目评估等工程造价咨询业务。</w:t>
            </w:r>
          </w:p>
          <w:p>
            <w:pPr>
              <w:shd w:val="solid" w:color="FFFFFF" w:fill="auto"/>
              <w:autoSpaceDN w:val="0"/>
              <w:snapToGrid w:val="0"/>
              <w:rPr>
                <w:rFonts w:ascii="Calibri" w:hAnsi="宋体" w:eastAsia="宋体" w:cs="Times New Roman"/>
                <w:color w:val="auto"/>
                <w:sz w:val="20"/>
                <w:highlight w:val="none"/>
                <w:shd w:val="clear" w:color="auto" w:fill="FFFFFF"/>
              </w:rPr>
            </w:pPr>
            <w:r>
              <w:rPr>
                <w:rFonts w:ascii="Calibri" w:hAnsi="宋体" w:eastAsia="宋体" w:cs="Times New Roman"/>
                <w:color w:val="auto"/>
                <w:sz w:val="20"/>
                <w:highlight w:val="none"/>
                <w:shd w:val="clear" w:color="auto" w:fill="FFFFFF"/>
              </w:rPr>
              <w:t>2.负责根据批准的</w:t>
            </w:r>
            <w:r>
              <w:rPr>
                <w:rFonts w:hint="eastAsia" w:ascii="Calibri" w:hAnsi="宋体" w:eastAsia="宋体" w:cs="Times New Roman"/>
                <w:color w:val="auto"/>
                <w:sz w:val="20"/>
                <w:highlight w:val="none"/>
                <w:shd w:val="clear" w:color="auto" w:fill="FFFFFF"/>
                <w:lang w:val="en-US" w:eastAsia="zh-CN"/>
              </w:rPr>
              <w:t>估算</w:t>
            </w:r>
            <w:r>
              <w:rPr>
                <w:rFonts w:ascii="Calibri" w:hAnsi="宋体" w:eastAsia="宋体" w:cs="Times New Roman"/>
                <w:color w:val="auto"/>
                <w:sz w:val="20"/>
                <w:highlight w:val="none"/>
                <w:shd w:val="clear" w:color="auto" w:fill="FFFFFF"/>
              </w:rPr>
              <w:t>，</w:t>
            </w:r>
            <w:r>
              <w:rPr>
                <w:rFonts w:hint="eastAsia" w:ascii="Calibri" w:hAnsi="宋体" w:eastAsia="宋体" w:cs="Times New Roman"/>
                <w:color w:val="auto"/>
                <w:sz w:val="20"/>
                <w:highlight w:val="none"/>
                <w:shd w:val="clear" w:color="auto" w:fill="FFFFFF"/>
              </w:rPr>
              <w:t>配合委托人确定</w:t>
            </w:r>
            <w:r>
              <w:rPr>
                <w:rFonts w:ascii="Calibri" w:hAnsi="宋体" w:eastAsia="宋体" w:cs="Times New Roman"/>
                <w:color w:val="auto"/>
                <w:sz w:val="20"/>
                <w:highlight w:val="none"/>
                <w:shd w:val="clear" w:color="auto" w:fill="FFFFFF"/>
              </w:rPr>
              <w:t>工程项目的各专业工程和各阶段造价限额指标。</w:t>
            </w:r>
          </w:p>
          <w:p>
            <w:pPr>
              <w:shd w:val="solid" w:color="FFFFFF" w:fill="auto"/>
              <w:autoSpaceDN w:val="0"/>
              <w:snapToGrid w:val="0"/>
              <w:rPr>
                <w:rFonts w:ascii="Calibri" w:hAnsi="宋体" w:eastAsia="宋体" w:cs="Times New Roman"/>
                <w:color w:val="auto"/>
                <w:sz w:val="20"/>
                <w:highlight w:val="none"/>
                <w:shd w:val="clear" w:color="auto" w:fill="FFFFFF"/>
              </w:rPr>
            </w:pPr>
            <w:r>
              <w:rPr>
                <w:rFonts w:ascii="Calibri" w:hAnsi="宋体" w:eastAsia="宋体" w:cs="Times New Roman"/>
                <w:color w:val="auto"/>
                <w:sz w:val="20"/>
                <w:highlight w:val="none"/>
                <w:shd w:val="clear" w:color="auto" w:fill="FFFFFF"/>
              </w:rPr>
              <w:t>3.负责对设计中采用的主材、设备等提供市场信息，进行方案比较，提出优化建议。</w:t>
            </w:r>
          </w:p>
          <w:p>
            <w:pPr>
              <w:shd w:val="solid" w:color="FFFFFF" w:fill="auto"/>
              <w:autoSpaceDN w:val="0"/>
              <w:snapToGrid w:val="0"/>
              <w:rPr>
                <w:rFonts w:ascii="Calibri" w:hAnsi="宋体" w:eastAsia="宋体" w:cs="Times New Roman"/>
                <w:color w:val="auto"/>
                <w:sz w:val="20"/>
                <w:highlight w:val="none"/>
                <w:shd w:val="clear" w:color="auto" w:fill="FFFFFF"/>
              </w:rPr>
            </w:pPr>
            <w:r>
              <w:rPr>
                <w:rFonts w:ascii="Calibri" w:hAnsi="宋体" w:eastAsia="宋体" w:cs="Times New Roman"/>
                <w:color w:val="auto"/>
                <w:sz w:val="20"/>
                <w:highlight w:val="none"/>
                <w:shd w:val="clear" w:color="auto" w:fill="FFFFFF"/>
              </w:rPr>
              <w:t>4.参加设计方案论证会议、工程图纸会审、变更论证等专题会，提出造价专业意见。</w:t>
            </w:r>
          </w:p>
          <w:p>
            <w:pPr>
              <w:shd w:val="solid" w:color="FFFFFF" w:fill="auto"/>
              <w:autoSpaceDN w:val="0"/>
              <w:snapToGrid w:val="0"/>
              <w:rPr>
                <w:rFonts w:ascii="Calibri" w:hAnsi="宋体" w:eastAsia="宋体" w:cs="Times New Roman"/>
                <w:color w:val="auto"/>
                <w:sz w:val="20"/>
                <w:highlight w:val="none"/>
                <w:shd w:val="clear" w:color="auto" w:fill="FFFFFF"/>
              </w:rPr>
            </w:pPr>
            <w:r>
              <w:rPr>
                <w:rFonts w:hint="eastAsia" w:ascii="Calibri" w:hAnsi="宋体" w:eastAsia="宋体" w:cs="Times New Roman"/>
                <w:color w:val="auto"/>
                <w:sz w:val="20"/>
                <w:highlight w:val="none"/>
                <w:shd w:val="clear" w:color="auto" w:fill="FFFFFF"/>
              </w:rPr>
              <w:t>5</w:t>
            </w:r>
            <w:r>
              <w:rPr>
                <w:rFonts w:ascii="Calibri" w:hAnsi="宋体" w:eastAsia="宋体" w:cs="Times New Roman"/>
                <w:color w:val="auto"/>
                <w:sz w:val="20"/>
                <w:highlight w:val="none"/>
                <w:shd w:val="clear" w:color="auto" w:fill="FFFFFF"/>
              </w:rPr>
              <w:t>.根据确定的设计方案</w:t>
            </w:r>
            <w:r>
              <w:rPr>
                <w:rFonts w:hint="eastAsia" w:ascii="Calibri" w:hAnsi="宋体" w:eastAsia="宋体" w:cs="Times New Roman"/>
                <w:color w:val="auto"/>
                <w:sz w:val="20"/>
                <w:highlight w:val="none"/>
                <w:shd w:val="clear" w:color="auto" w:fill="FFFFFF"/>
              </w:rPr>
              <w:t>配合委托人</w:t>
            </w:r>
            <w:r>
              <w:rPr>
                <w:rFonts w:ascii="Calibri" w:hAnsi="宋体" w:eastAsia="宋体" w:cs="Times New Roman"/>
                <w:color w:val="auto"/>
                <w:sz w:val="20"/>
                <w:highlight w:val="none"/>
                <w:shd w:val="clear" w:color="auto" w:fill="FFFFFF"/>
              </w:rPr>
              <w:t>编制详细的工程成本预测和资金流量预测分析，以作为进度和成本控制的目标；随设计的深入定期分析工程成本、定期修正资金流量预测。</w:t>
            </w:r>
          </w:p>
          <w:p>
            <w:pPr>
              <w:snapToGrid w:val="0"/>
              <w:rPr>
                <w:rFonts w:hint="eastAsia" w:ascii="Calibri" w:hAnsi="宋体" w:eastAsia="宋体" w:cs="Times New Roman"/>
                <w:color w:val="auto"/>
                <w:sz w:val="20"/>
                <w:highlight w:val="none"/>
                <w:shd w:val="clear" w:color="auto" w:fill="FFFFFF"/>
              </w:rPr>
            </w:pPr>
            <w:r>
              <w:rPr>
                <w:rFonts w:hint="eastAsia" w:ascii="Calibri" w:hAnsi="宋体" w:eastAsia="宋体" w:cs="Times New Roman"/>
                <w:color w:val="auto"/>
                <w:sz w:val="20"/>
                <w:highlight w:val="none"/>
                <w:shd w:val="clear" w:color="auto" w:fill="FFFFFF"/>
              </w:rPr>
              <w:t>6</w:t>
            </w:r>
            <w:r>
              <w:rPr>
                <w:rFonts w:ascii="Calibri" w:hAnsi="宋体" w:eastAsia="宋体" w:cs="Times New Roman"/>
                <w:color w:val="auto"/>
                <w:sz w:val="20"/>
                <w:highlight w:val="none"/>
                <w:shd w:val="clear" w:color="auto" w:fill="FFFFFF"/>
              </w:rPr>
              <w:t>.负责按委托人要求编制清单计价模式等各类造价管理文件。</w:t>
            </w:r>
          </w:p>
          <w:p>
            <w:pPr>
              <w:snapToGrid w:val="0"/>
              <w:rPr>
                <w:rFonts w:ascii="Calibri" w:hAnsi="宋体" w:eastAsia="宋体" w:cs="宋体"/>
                <w:color w:val="auto"/>
                <w:sz w:val="20"/>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napToGrid w:val="0"/>
              <w:jc w:val="center"/>
              <w:rPr>
                <w:rFonts w:hint="eastAsia" w:ascii="Calibri" w:hAnsi="宋体" w:eastAsia="宋体" w:cs="宋体"/>
                <w:color w:val="auto"/>
                <w:sz w:val="20"/>
                <w:highlight w:val="none"/>
                <w:lang w:eastAsia="zh-CN"/>
              </w:rPr>
            </w:pPr>
            <w:r>
              <w:rPr>
                <w:rFonts w:hint="eastAsia" w:ascii="Calibri" w:hAnsi="宋体" w:eastAsia="宋体" w:cs="宋体"/>
                <w:color w:val="auto"/>
                <w:sz w:val="20"/>
                <w:highlight w:val="none"/>
                <w:lang w:val="en-US" w:eastAsia="zh-CN"/>
              </w:rPr>
              <w:t>2</w:t>
            </w:r>
          </w:p>
        </w:tc>
        <w:tc>
          <w:tcPr>
            <w:tcW w:w="1182" w:type="dxa"/>
            <w:vAlign w:val="center"/>
          </w:tcPr>
          <w:p>
            <w:pPr>
              <w:snapToGrid w:val="0"/>
              <w:jc w:val="center"/>
              <w:rPr>
                <w:rFonts w:ascii="Calibri" w:hAnsi="宋体" w:eastAsia="宋体" w:cs="宋体"/>
                <w:color w:val="auto"/>
                <w:sz w:val="20"/>
                <w:highlight w:val="none"/>
                <w:shd w:val="clear" w:color="auto" w:fill="FFFFFF"/>
              </w:rPr>
            </w:pPr>
            <w:r>
              <w:rPr>
                <w:rFonts w:hint="eastAsia" w:ascii="Calibri" w:hAnsi="宋体" w:eastAsia="宋体" w:cs="宋体"/>
                <w:color w:val="auto"/>
                <w:sz w:val="20"/>
                <w:highlight w:val="none"/>
              </w:rPr>
              <w:t>施工阶段</w:t>
            </w:r>
          </w:p>
        </w:tc>
        <w:tc>
          <w:tcPr>
            <w:tcW w:w="7715" w:type="dxa"/>
            <w:vAlign w:val="center"/>
          </w:tcPr>
          <w:p>
            <w:pPr>
              <w:shd w:val="solid" w:color="FFFFFF" w:fill="auto"/>
              <w:snapToGrid w:val="0"/>
              <w:jc w:val="left"/>
              <w:rPr>
                <w:rFonts w:ascii="Calibri" w:hAnsi="宋体" w:eastAsia="宋体" w:cs="宋体"/>
                <w:color w:val="auto"/>
                <w:sz w:val="20"/>
                <w:highlight w:val="none"/>
              </w:rPr>
            </w:pPr>
            <w:r>
              <w:rPr>
                <w:rFonts w:hint="eastAsia" w:ascii="Calibri" w:hAnsi="宋体" w:eastAsia="宋体" w:cs="宋体"/>
                <w:color w:val="auto"/>
                <w:sz w:val="20"/>
                <w:highlight w:val="none"/>
              </w:rPr>
              <w:t>1.负责按委</w:t>
            </w:r>
            <w:r>
              <w:rPr>
                <w:rFonts w:ascii="Calibri" w:hAnsi="宋体" w:eastAsia="宋体" w:cs="Times New Roman"/>
                <w:color w:val="auto"/>
                <w:sz w:val="20"/>
                <w:highlight w:val="none"/>
                <w:shd w:val="clear" w:color="auto" w:fill="FFFFFF"/>
              </w:rPr>
              <w:t>托人</w:t>
            </w:r>
            <w:r>
              <w:rPr>
                <w:rFonts w:hint="eastAsia" w:ascii="Calibri" w:hAnsi="宋体" w:eastAsia="宋体" w:cs="宋体"/>
                <w:color w:val="auto"/>
                <w:sz w:val="20"/>
                <w:highlight w:val="none"/>
              </w:rPr>
              <w:t>要求编制各类造价管理文件，包括工程变更程序、工程款支付程序、建设工程竣工结（决）算书编制办法等</w:t>
            </w:r>
          </w:p>
          <w:p>
            <w:pPr>
              <w:shd w:val="solid" w:color="FFFFFF" w:fill="auto"/>
              <w:snapToGrid w:val="0"/>
              <w:jc w:val="left"/>
              <w:rPr>
                <w:rFonts w:ascii="Calibri" w:hAnsi="宋体" w:eastAsia="宋体" w:cs="Times New Roman"/>
                <w:color w:val="auto"/>
                <w:sz w:val="20"/>
                <w:highlight w:val="none"/>
                <w:shd w:val="clear" w:color="auto" w:fill="FFFFFF"/>
              </w:rPr>
            </w:pPr>
            <w:r>
              <w:rPr>
                <w:rFonts w:hint="eastAsia" w:ascii="Calibri" w:hAnsi="宋体" w:eastAsia="宋体" w:cs="宋体"/>
                <w:color w:val="auto"/>
                <w:sz w:val="20"/>
                <w:highlight w:val="none"/>
              </w:rPr>
              <w:t>2.</w:t>
            </w:r>
            <w:r>
              <w:rPr>
                <w:rFonts w:ascii="Calibri" w:hAnsi="宋体" w:eastAsia="宋体" w:cs="Times New Roman"/>
                <w:color w:val="auto"/>
                <w:sz w:val="20"/>
                <w:highlight w:val="none"/>
                <w:shd w:val="clear" w:color="auto" w:fill="FFFFFF"/>
              </w:rPr>
              <w:t>制定项目总体投资进度计划，根据实际进度与每月实际投资和计划投资作分析比较，分析成本超支的原因和修正项目投资进度计划。</w:t>
            </w:r>
          </w:p>
          <w:p>
            <w:pPr>
              <w:shd w:val="solid" w:color="FFFFFF" w:fill="auto"/>
              <w:snapToGrid w:val="0"/>
              <w:jc w:val="left"/>
              <w:rPr>
                <w:rFonts w:ascii="Calibri" w:hAnsi="宋体" w:eastAsia="宋体" w:cs="宋体"/>
                <w:color w:val="auto"/>
                <w:sz w:val="20"/>
                <w:highlight w:val="none"/>
              </w:rPr>
            </w:pPr>
            <w:r>
              <w:rPr>
                <w:rFonts w:hint="eastAsia" w:ascii="Calibri" w:hAnsi="宋体" w:eastAsia="宋体" w:cs="Times New Roman"/>
                <w:color w:val="auto"/>
                <w:sz w:val="20"/>
                <w:highlight w:val="none"/>
                <w:shd w:val="clear" w:color="auto" w:fill="FFFFFF"/>
              </w:rPr>
              <w:t>3.</w:t>
            </w:r>
            <w:r>
              <w:rPr>
                <w:rFonts w:ascii="Calibri" w:hAnsi="宋体" w:eastAsia="宋体" w:cs="Times New Roman"/>
                <w:color w:val="auto"/>
                <w:sz w:val="20"/>
                <w:highlight w:val="none"/>
                <w:shd w:val="clear" w:color="auto" w:fill="FFFFFF"/>
              </w:rPr>
              <w:t>负责施工过程造价控制（含方案及实施计划</w:t>
            </w:r>
            <w:r>
              <w:rPr>
                <w:rFonts w:hint="eastAsia" w:ascii="Calibri" w:hAnsi="宋体" w:eastAsia="宋体" w:cs="Times New Roman"/>
                <w:color w:val="auto"/>
                <w:sz w:val="20"/>
                <w:highlight w:val="none"/>
                <w:shd w:val="clear" w:color="auto" w:fill="FFFFFF"/>
              </w:rPr>
              <w:t>的审核</w:t>
            </w:r>
            <w:r>
              <w:rPr>
                <w:rFonts w:ascii="Calibri" w:hAnsi="宋体" w:eastAsia="宋体" w:cs="Times New Roman"/>
                <w:color w:val="auto"/>
                <w:sz w:val="20"/>
                <w:highlight w:val="none"/>
                <w:shd w:val="clear" w:color="auto" w:fill="FFFFFF"/>
              </w:rPr>
              <w:t>），审核工程量与进度款。</w:t>
            </w:r>
            <w:r>
              <w:rPr>
                <w:rFonts w:hint="eastAsia" w:ascii="Calibri" w:hAnsi="宋体" w:eastAsia="宋体" w:cs="Times New Roman"/>
                <w:color w:val="auto"/>
                <w:sz w:val="20"/>
                <w:highlight w:val="none"/>
                <w:shd w:val="clear" w:color="auto" w:fill="FFFFFF"/>
              </w:rPr>
              <w:t>包括且不限于</w:t>
            </w:r>
            <w:r>
              <w:rPr>
                <w:rFonts w:hint="eastAsia" w:ascii="Calibri" w:hAnsi="宋体" w:eastAsia="宋体" w:cs="宋体"/>
                <w:color w:val="auto"/>
                <w:sz w:val="20"/>
                <w:highlight w:val="none"/>
              </w:rPr>
              <w:t>审核各承包单位编制的施工图预算，分析主要工程量、分项（专项）工程造价指标的合理性、合规性，按时提交审核报告、调整意见及合理化建议；作为独立的一方，做好施工过程所产生的工程量和费用的审核工作，根据施工图纸及招、投标文件、施工合同，审核工程进度款、计算工程实物量、参与材料设备的询价、审核工程变更及签证等动态造价控制。</w:t>
            </w:r>
          </w:p>
          <w:p>
            <w:pPr>
              <w:shd w:val="solid" w:color="FFFFFF" w:fill="auto"/>
              <w:autoSpaceDN w:val="0"/>
              <w:snapToGrid w:val="0"/>
              <w:rPr>
                <w:rFonts w:ascii="Calibri" w:hAnsi="宋体" w:eastAsia="宋体" w:cs="Times New Roman"/>
                <w:color w:val="auto"/>
                <w:sz w:val="20"/>
                <w:highlight w:val="none"/>
                <w:shd w:val="clear" w:color="auto" w:fill="FFFFFF"/>
              </w:rPr>
            </w:pPr>
            <w:r>
              <w:rPr>
                <w:rFonts w:ascii="Calibri" w:hAnsi="宋体" w:eastAsia="宋体" w:cs="Times New Roman"/>
                <w:color w:val="auto"/>
                <w:sz w:val="20"/>
                <w:highlight w:val="none"/>
                <w:shd w:val="clear" w:color="auto" w:fill="FFFFFF"/>
              </w:rPr>
              <w:t>4. 负责协助</w:t>
            </w:r>
            <w:r>
              <w:rPr>
                <w:rFonts w:hint="eastAsia" w:ascii="Calibri" w:hAnsi="宋体" w:eastAsia="宋体" w:cs="Times New Roman"/>
                <w:color w:val="auto"/>
                <w:sz w:val="20"/>
                <w:highlight w:val="none"/>
                <w:shd w:val="clear" w:color="auto" w:fill="FFFFFF"/>
              </w:rPr>
              <w:t>委托人</w:t>
            </w:r>
            <w:r>
              <w:rPr>
                <w:rFonts w:ascii="Calibri" w:hAnsi="宋体" w:eastAsia="宋体" w:cs="Times New Roman"/>
                <w:color w:val="auto"/>
                <w:sz w:val="20"/>
                <w:highlight w:val="none"/>
                <w:shd w:val="clear" w:color="auto" w:fill="FFFFFF"/>
              </w:rPr>
              <w:t>的合同索赔处理，参加合同变更谈判，负责处理合同变更，维护</w:t>
            </w:r>
            <w:r>
              <w:rPr>
                <w:rFonts w:hint="eastAsia" w:ascii="Calibri" w:hAnsi="宋体" w:eastAsia="宋体" w:cs="Times New Roman"/>
                <w:color w:val="auto"/>
                <w:sz w:val="20"/>
                <w:highlight w:val="none"/>
                <w:shd w:val="clear" w:color="auto" w:fill="FFFFFF"/>
              </w:rPr>
              <w:t>招标人</w:t>
            </w:r>
            <w:r>
              <w:rPr>
                <w:rFonts w:ascii="Calibri" w:hAnsi="宋体" w:eastAsia="宋体" w:cs="Times New Roman"/>
                <w:color w:val="auto"/>
                <w:sz w:val="20"/>
                <w:highlight w:val="none"/>
                <w:shd w:val="clear" w:color="auto" w:fill="FFFFFF"/>
              </w:rPr>
              <w:t>的合法权益。</w:t>
            </w:r>
          </w:p>
          <w:p>
            <w:pPr>
              <w:shd w:val="solid" w:color="FFFFFF" w:fill="auto"/>
              <w:autoSpaceDN w:val="0"/>
              <w:snapToGrid w:val="0"/>
              <w:rPr>
                <w:rFonts w:ascii="Calibri" w:hAnsi="宋体" w:eastAsia="宋体" w:cs="Times New Roman"/>
                <w:color w:val="auto"/>
                <w:sz w:val="20"/>
                <w:highlight w:val="none"/>
                <w:shd w:val="clear" w:color="auto" w:fill="FFFFFF"/>
              </w:rPr>
            </w:pPr>
            <w:r>
              <w:rPr>
                <w:rFonts w:ascii="Calibri" w:hAnsi="宋体" w:eastAsia="宋体" w:cs="Times New Roman"/>
                <w:color w:val="auto"/>
                <w:sz w:val="20"/>
                <w:highlight w:val="none"/>
                <w:shd w:val="clear" w:color="auto" w:fill="FFFFFF"/>
              </w:rPr>
              <w:t>5.负责建立支付台账、工程变更管理台账、动态投资台账，负责每个季度提交工程结算价预估分析。</w:t>
            </w:r>
          </w:p>
          <w:p>
            <w:pPr>
              <w:shd w:val="solid" w:color="FFFFFF" w:fill="auto"/>
              <w:autoSpaceDN w:val="0"/>
              <w:snapToGrid w:val="0"/>
              <w:rPr>
                <w:rFonts w:ascii="Calibri" w:hAnsi="宋体" w:eastAsia="宋体" w:cs="Times New Roman"/>
                <w:color w:val="auto"/>
                <w:sz w:val="20"/>
                <w:highlight w:val="none"/>
                <w:shd w:val="clear" w:color="auto" w:fill="FFFFFF"/>
              </w:rPr>
            </w:pPr>
            <w:r>
              <w:rPr>
                <w:rFonts w:ascii="Calibri" w:hAnsi="宋体" w:eastAsia="宋体" w:cs="Times New Roman"/>
                <w:color w:val="auto"/>
                <w:sz w:val="20"/>
                <w:highlight w:val="none"/>
                <w:shd w:val="clear" w:color="auto" w:fill="FFFFFF"/>
              </w:rPr>
              <w:t>6.负责定期召开造价控制会议，集中会审现场签证、工程变更的工程量和造价</w:t>
            </w:r>
            <w:r>
              <w:rPr>
                <w:rFonts w:hint="eastAsia" w:ascii="Calibri" w:hAnsi="宋体" w:eastAsia="宋体" w:cs="Times New Roman"/>
                <w:color w:val="auto"/>
                <w:sz w:val="20"/>
                <w:highlight w:val="none"/>
                <w:shd w:val="clear" w:color="auto" w:fill="FFFFFF"/>
              </w:rPr>
              <w:t>（包括变更费用估算、预算、结算的编制和审核）</w:t>
            </w:r>
            <w:r>
              <w:rPr>
                <w:rFonts w:ascii="Calibri" w:hAnsi="宋体" w:eastAsia="宋体" w:cs="Times New Roman"/>
                <w:color w:val="auto"/>
                <w:sz w:val="20"/>
                <w:highlight w:val="none"/>
                <w:shd w:val="clear" w:color="auto" w:fill="FFFFFF"/>
              </w:rPr>
              <w:t>，确认变更价款。负责每月提交工程变更（包括：图纸会审、图纸修改、工程洽商等）对造价影响分析，及成本控制报告。</w:t>
            </w:r>
          </w:p>
          <w:p>
            <w:pPr>
              <w:shd w:val="solid" w:color="FFFFFF" w:fill="auto"/>
              <w:snapToGrid w:val="0"/>
              <w:jc w:val="left"/>
              <w:rPr>
                <w:rFonts w:ascii="Calibri" w:hAnsi="宋体" w:eastAsia="宋体" w:cs="宋体"/>
                <w:color w:val="auto"/>
                <w:sz w:val="20"/>
                <w:highlight w:val="none"/>
                <w:shd w:val="clear" w:color="auto" w:fill="FFFFFF"/>
              </w:rPr>
            </w:pPr>
            <w:r>
              <w:rPr>
                <w:rFonts w:ascii="Calibri" w:hAnsi="宋体" w:eastAsia="宋体" w:cs="Times New Roman"/>
                <w:color w:val="auto"/>
                <w:sz w:val="20"/>
                <w:highlight w:val="none"/>
                <w:shd w:val="clear" w:color="auto" w:fill="FFFFFF"/>
              </w:rPr>
              <w:t>7.负责定期收集和整理有关设备材料的市场价格动态信息，对施工方案、材料选用提供成本控制建议。每月提交人工</w:t>
            </w:r>
            <w:r>
              <w:rPr>
                <w:rFonts w:hint="eastAsia" w:ascii="Calibri" w:hAnsi="宋体" w:eastAsia="宋体" w:cs="Times New Roman"/>
                <w:color w:val="auto"/>
                <w:sz w:val="20"/>
                <w:highlight w:val="none"/>
                <w:shd w:val="clear" w:color="auto" w:fill="FFFFFF"/>
              </w:rPr>
              <w:t>、</w:t>
            </w:r>
            <w:r>
              <w:rPr>
                <w:rFonts w:ascii="Calibri" w:hAnsi="宋体" w:eastAsia="宋体" w:cs="Times New Roman"/>
                <w:color w:val="auto"/>
                <w:sz w:val="20"/>
                <w:highlight w:val="none"/>
                <w:shd w:val="clear" w:color="auto" w:fill="FFFFFF"/>
              </w:rPr>
              <w:t>机械</w:t>
            </w:r>
            <w:r>
              <w:rPr>
                <w:rFonts w:hint="eastAsia" w:ascii="Calibri" w:hAnsi="宋体" w:eastAsia="宋体" w:cs="Times New Roman"/>
                <w:color w:val="auto"/>
                <w:sz w:val="20"/>
                <w:highlight w:val="none"/>
                <w:shd w:val="clear" w:color="auto" w:fill="FFFFFF"/>
              </w:rPr>
              <w:t>、</w:t>
            </w:r>
            <w:r>
              <w:rPr>
                <w:rFonts w:ascii="Calibri" w:hAnsi="宋体" w:eastAsia="宋体" w:cs="Times New Roman"/>
                <w:color w:val="auto"/>
                <w:sz w:val="20"/>
                <w:highlight w:val="none"/>
                <w:shd w:val="clear" w:color="auto" w:fill="FFFFFF"/>
              </w:rPr>
              <w:t>主材设备价格造价影响分析</w:t>
            </w:r>
            <w:r>
              <w:rPr>
                <w:rFonts w:hint="eastAsia" w:ascii="Calibri" w:hAnsi="宋体" w:eastAsia="宋体" w:cs="Times New Roman"/>
                <w:color w:val="auto"/>
                <w:sz w:val="20"/>
                <w:highlight w:val="none"/>
                <w:shd w:val="clear" w:color="auto" w:fill="FFFFFF"/>
              </w:rPr>
              <w:t>等造价管理文件</w:t>
            </w:r>
            <w:r>
              <w:rPr>
                <w:rFonts w:ascii="Calibri" w:hAnsi="宋体" w:eastAsia="宋体" w:cs="Times New Roman"/>
                <w:color w:val="auto"/>
                <w:sz w:val="20"/>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napToGrid w:val="0"/>
              <w:jc w:val="center"/>
              <w:rPr>
                <w:rFonts w:hint="eastAsia" w:ascii="Calibri" w:hAnsi="宋体" w:eastAsia="宋体" w:cs="宋体"/>
                <w:color w:val="auto"/>
                <w:sz w:val="20"/>
                <w:highlight w:val="none"/>
                <w:lang w:eastAsia="zh-CN"/>
              </w:rPr>
            </w:pPr>
            <w:r>
              <w:rPr>
                <w:rFonts w:hint="eastAsia" w:ascii="Calibri" w:hAnsi="宋体" w:eastAsia="宋体" w:cs="宋体"/>
                <w:color w:val="auto"/>
                <w:sz w:val="20"/>
                <w:highlight w:val="none"/>
                <w:lang w:val="en-US" w:eastAsia="zh-CN"/>
              </w:rPr>
              <w:t>3</w:t>
            </w:r>
          </w:p>
        </w:tc>
        <w:tc>
          <w:tcPr>
            <w:tcW w:w="1182" w:type="dxa"/>
            <w:vAlign w:val="center"/>
          </w:tcPr>
          <w:p>
            <w:pPr>
              <w:snapToGrid w:val="0"/>
              <w:jc w:val="center"/>
              <w:rPr>
                <w:rFonts w:ascii="Calibri" w:hAnsi="宋体" w:eastAsia="宋体" w:cs="宋体"/>
                <w:color w:val="auto"/>
                <w:sz w:val="20"/>
                <w:highlight w:val="none"/>
              </w:rPr>
            </w:pPr>
            <w:r>
              <w:rPr>
                <w:rFonts w:hint="eastAsia" w:ascii="Calibri" w:hAnsi="宋体" w:eastAsia="宋体" w:cs="宋体"/>
                <w:color w:val="auto"/>
                <w:sz w:val="20"/>
                <w:highlight w:val="none"/>
              </w:rPr>
              <w:t>工程结（决）算阶段</w:t>
            </w:r>
          </w:p>
        </w:tc>
        <w:tc>
          <w:tcPr>
            <w:tcW w:w="7715" w:type="dxa"/>
            <w:vAlign w:val="center"/>
          </w:tcPr>
          <w:p>
            <w:pPr>
              <w:shd w:val="solid" w:color="FFFFFF" w:fill="auto"/>
              <w:autoSpaceDN w:val="0"/>
              <w:snapToGrid w:val="0"/>
              <w:rPr>
                <w:rFonts w:ascii="Calibri" w:hAnsi="宋体" w:eastAsia="宋体" w:cs="Times New Roman"/>
                <w:color w:val="auto"/>
                <w:sz w:val="20"/>
                <w:highlight w:val="none"/>
                <w:shd w:val="clear" w:color="auto" w:fill="FFFFFF"/>
              </w:rPr>
            </w:pPr>
            <w:r>
              <w:rPr>
                <w:rFonts w:ascii="Calibri" w:hAnsi="宋体" w:eastAsia="宋体" w:cs="Times New Roman"/>
                <w:color w:val="auto"/>
                <w:sz w:val="20"/>
                <w:highlight w:val="none"/>
                <w:shd w:val="clear" w:color="auto" w:fill="FFFFFF"/>
              </w:rPr>
              <w:t>1. 负责按</w:t>
            </w:r>
            <w:r>
              <w:rPr>
                <w:rFonts w:hint="eastAsia" w:ascii="Calibri" w:hAnsi="宋体" w:eastAsia="宋体" w:cs="Times New Roman"/>
                <w:color w:val="auto"/>
                <w:sz w:val="20"/>
                <w:highlight w:val="none"/>
                <w:shd w:val="clear" w:color="auto" w:fill="FFFFFF"/>
              </w:rPr>
              <w:t>委托人</w:t>
            </w:r>
            <w:r>
              <w:rPr>
                <w:rFonts w:ascii="Calibri" w:hAnsi="宋体" w:eastAsia="宋体" w:cs="Times New Roman"/>
                <w:color w:val="auto"/>
                <w:sz w:val="20"/>
                <w:highlight w:val="none"/>
                <w:shd w:val="clear" w:color="auto" w:fill="FFFFFF"/>
              </w:rPr>
              <w:t>要求编制结算管理文件，配合</w:t>
            </w:r>
            <w:r>
              <w:rPr>
                <w:rFonts w:hint="eastAsia" w:ascii="Calibri" w:hAnsi="宋体" w:eastAsia="宋体" w:cs="Times New Roman"/>
                <w:color w:val="auto"/>
                <w:sz w:val="20"/>
                <w:highlight w:val="none"/>
                <w:shd w:val="clear" w:color="auto" w:fill="FFFFFF"/>
              </w:rPr>
              <w:t>委托人</w:t>
            </w:r>
            <w:r>
              <w:rPr>
                <w:rFonts w:ascii="Calibri" w:hAnsi="宋体" w:eastAsia="宋体" w:cs="Times New Roman"/>
                <w:color w:val="auto"/>
                <w:sz w:val="20"/>
                <w:highlight w:val="none"/>
                <w:shd w:val="clear" w:color="auto" w:fill="FFFFFF"/>
              </w:rPr>
              <w:t>开展过程结算。</w:t>
            </w:r>
          </w:p>
          <w:p>
            <w:pPr>
              <w:shd w:val="solid" w:color="FFFFFF" w:fill="auto"/>
              <w:autoSpaceDN w:val="0"/>
              <w:snapToGrid w:val="0"/>
              <w:rPr>
                <w:rFonts w:ascii="Calibri" w:hAnsi="宋体" w:eastAsia="宋体" w:cs="Times New Roman"/>
                <w:color w:val="auto"/>
                <w:sz w:val="20"/>
                <w:highlight w:val="none"/>
                <w:shd w:val="clear" w:color="auto" w:fill="FFFFFF"/>
              </w:rPr>
            </w:pPr>
            <w:r>
              <w:rPr>
                <w:rFonts w:ascii="Calibri" w:hAnsi="宋体" w:eastAsia="宋体" w:cs="Times New Roman"/>
                <w:color w:val="auto"/>
                <w:sz w:val="20"/>
                <w:highlight w:val="none"/>
                <w:shd w:val="clear" w:color="auto" w:fill="FFFFFF"/>
              </w:rPr>
              <w:t>2.负责收集和整理结算依据资料，收集有关工程费用方面的签证资料，核对单据并及时归档。</w:t>
            </w:r>
          </w:p>
          <w:p>
            <w:pPr>
              <w:rPr>
                <w:rFonts w:ascii="Calibri" w:hAnsi="宋体" w:eastAsia="宋体" w:cs="宋体"/>
                <w:color w:val="auto"/>
                <w:sz w:val="20"/>
                <w:highlight w:val="none"/>
              </w:rPr>
            </w:pPr>
            <w:r>
              <w:rPr>
                <w:rFonts w:ascii="Calibri" w:hAnsi="宋体" w:eastAsia="宋体" w:cs="Times New Roman"/>
                <w:color w:val="auto"/>
                <w:sz w:val="20"/>
                <w:highlight w:val="none"/>
                <w:shd w:val="clear" w:color="auto" w:fill="FFFFFF"/>
              </w:rPr>
              <w:t>3. 负责</w:t>
            </w:r>
            <w:r>
              <w:rPr>
                <w:rFonts w:hint="eastAsia" w:ascii="Calibri" w:hAnsi="宋体" w:eastAsia="宋体" w:cs="宋体"/>
                <w:color w:val="auto"/>
                <w:sz w:val="20"/>
                <w:highlight w:val="none"/>
              </w:rPr>
              <w:t>各项工程（服务）</w:t>
            </w:r>
            <w:r>
              <w:rPr>
                <w:rFonts w:ascii="Calibri" w:hAnsi="宋体" w:eastAsia="宋体" w:cs="Times New Roman"/>
                <w:color w:val="auto"/>
                <w:sz w:val="20"/>
                <w:highlight w:val="none"/>
                <w:shd w:val="clear" w:color="auto" w:fill="FFFFFF"/>
              </w:rPr>
              <w:t>结算</w:t>
            </w:r>
            <w:r>
              <w:rPr>
                <w:rFonts w:hint="eastAsia" w:ascii="Calibri" w:hAnsi="宋体" w:eastAsia="宋体" w:cs="Times New Roman"/>
                <w:color w:val="auto"/>
                <w:sz w:val="20"/>
                <w:highlight w:val="none"/>
                <w:shd w:val="clear" w:color="auto" w:fill="FFFFFF"/>
              </w:rPr>
              <w:t>审核</w:t>
            </w:r>
            <w:r>
              <w:rPr>
                <w:rFonts w:ascii="Calibri" w:hAnsi="宋体" w:eastAsia="宋体" w:cs="Times New Roman"/>
                <w:color w:val="auto"/>
                <w:sz w:val="20"/>
                <w:highlight w:val="none"/>
                <w:shd w:val="clear" w:color="auto" w:fill="FFFFFF"/>
              </w:rPr>
              <w:t>工作，提交合同管理及执行情况的专题报告。</w:t>
            </w:r>
            <w:r>
              <w:rPr>
                <w:rFonts w:hint="eastAsia" w:ascii="Calibri" w:hAnsi="宋体" w:eastAsia="宋体" w:cs="宋体"/>
                <w:color w:val="auto"/>
                <w:sz w:val="20"/>
                <w:highlight w:val="none"/>
              </w:rPr>
              <w:t>协助政府相关部门的审核工作，编制建设工程竣工结（决）算报告。</w:t>
            </w:r>
          </w:p>
          <w:p>
            <w:pPr>
              <w:shd w:val="solid" w:color="FFFFFF" w:fill="auto"/>
              <w:autoSpaceDN w:val="0"/>
              <w:snapToGrid w:val="0"/>
              <w:rPr>
                <w:rFonts w:ascii="Calibri" w:hAnsi="宋体" w:eastAsia="宋体" w:cs="Times New Roman"/>
                <w:color w:val="auto"/>
                <w:sz w:val="20"/>
                <w:highlight w:val="none"/>
                <w:shd w:val="clear" w:color="auto" w:fill="FFFFFF"/>
              </w:rPr>
            </w:pPr>
            <w:r>
              <w:rPr>
                <w:rFonts w:ascii="Calibri" w:hAnsi="宋体" w:eastAsia="宋体" w:cs="Times New Roman"/>
                <w:color w:val="auto"/>
                <w:sz w:val="20"/>
                <w:highlight w:val="none"/>
                <w:shd w:val="clear" w:color="auto" w:fill="FFFFFF"/>
              </w:rPr>
              <w:t>4. 审核其他费用，出具</w:t>
            </w:r>
            <w:r>
              <w:rPr>
                <w:rFonts w:hint="eastAsia" w:ascii="Calibri" w:hAnsi="宋体" w:eastAsia="宋体" w:cs="Times New Roman"/>
                <w:color w:val="auto"/>
                <w:sz w:val="20"/>
                <w:highlight w:val="none"/>
                <w:shd w:val="clear" w:color="auto" w:fill="FFFFFF"/>
              </w:rPr>
              <w:t>审核</w:t>
            </w:r>
            <w:r>
              <w:rPr>
                <w:rFonts w:ascii="Calibri" w:hAnsi="宋体" w:eastAsia="宋体" w:cs="Times New Roman"/>
                <w:color w:val="auto"/>
                <w:sz w:val="20"/>
                <w:highlight w:val="none"/>
                <w:shd w:val="clear" w:color="auto" w:fill="FFFFFF"/>
              </w:rPr>
              <w:t>报告。</w:t>
            </w:r>
          </w:p>
          <w:p>
            <w:pPr>
              <w:shd w:val="solid" w:color="FFFFFF" w:fill="auto"/>
              <w:autoSpaceDN w:val="0"/>
              <w:snapToGrid w:val="0"/>
              <w:rPr>
                <w:rFonts w:ascii="Calibri" w:hAnsi="宋体" w:eastAsia="宋体" w:cs="Times New Roman"/>
                <w:color w:val="auto"/>
                <w:sz w:val="20"/>
                <w:highlight w:val="none"/>
                <w:shd w:val="clear" w:color="auto" w:fill="FFFFFF"/>
              </w:rPr>
            </w:pPr>
            <w:r>
              <w:rPr>
                <w:rFonts w:ascii="Calibri" w:hAnsi="宋体" w:eastAsia="宋体" w:cs="Times New Roman"/>
                <w:color w:val="auto"/>
                <w:sz w:val="20"/>
                <w:highlight w:val="none"/>
                <w:shd w:val="clear" w:color="auto" w:fill="FFFFFF"/>
              </w:rPr>
              <w:t>5.</w:t>
            </w:r>
            <w:r>
              <w:rPr>
                <w:rFonts w:hint="eastAsia" w:ascii="Calibri" w:hAnsi="宋体" w:eastAsia="宋体" w:cs="Times New Roman"/>
                <w:color w:val="auto"/>
                <w:sz w:val="20"/>
                <w:highlight w:val="none"/>
                <w:shd w:val="clear" w:color="auto" w:fill="FFFFFF"/>
              </w:rPr>
              <w:t>在</w:t>
            </w:r>
            <w:r>
              <w:rPr>
                <w:rFonts w:ascii="Calibri" w:hAnsi="宋体" w:eastAsia="宋体" w:cs="Times New Roman"/>
                <w:color w:val="auto"/>
                <w:sz w:val="20"/>
                <w:highlight w:val="none"/>
              </w:rPr>
              <w:t>委托人</w:t>
            </w:r>
            <w:r>
              <w:rPr>
                <w:rFonts w:hint="eastAsia" w:ascii="Calibri" w:hAnsi="宋体" w:eastAsia="宋体" w:cs="Times New Roman"/>
                <w:color w:val="auto"/>
                <w:sz w:val="20"/>
                <w:highlight w:val="none"/>
                <w:shd w:val="clear" w:color="auto" w:fill="FFFFFF"/>
              </w:rPr>
              <w:t>的统筹协调下，会同</w:t>
            </w:r>
            <w:r>
              <w:rPr>
                <w:rFonts w:ascii="Calibri" w:hAnsi="宋体" w:eastAsia="宋体" w:cs="Times New Roman"/>
                <w:color w:val="auto"/>
                <w:sz w:val="20"/>
                <w:highlight w:val="none"/>
                <w:shd w:val="clear" w:color="auto" w:fill="FFFFFF"/>
              </w:rPr>
              <w:t>监理单位建立结算台账。</w:t>
            </w:r>
          </w:p>
          <w:p>
            <w:pPr>
              <w:rPr>
                <w:rFonts w:ascii="Calibri" w:hAnsi="宋体" w:eastAsia="宋体" w:cs="宋体"/>
                <w:color w:val="auto"/>
                <w:sz w:val="20"/>
                <w:highlight w:val="none"/>
              </w:rPr>
            </w:pPr>
            <w:r>
              <w:rPr>
                <w:rFonts w:hint="eastAsia" w:ascii="Calibri" w:hAnsi="宋体" w:eastAsia="宋体" w:cs="Times New Roman"/>
                <w:color w:val="auto"/>
                <w:sz w:val="20"/>
                <w:highlight w:val="none"/>
                <w:shd w:val="clear" w:color="auto" w:fill="FFFFFF"/>
              </w:rPr>
              <w:t>6、配合委托人完成工程决算。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hd w:val="solid" w:color="FFFFFF" w:fill="auto"/>
              <w:autoSpaceDN w:val="0"/>
              <w:snapToGrid w:val="0"/>
              <w:jc w:val="center"/>
              <w:rPr>
                <w:rFonts w:hint="eastAsia" w:ascii="Calibri" w:hAnsi="宋体" w:eastAsia="宋体" w:cs="宋体"/>
                <w:color w:val="auto"/>
                <w:sz w:val="20"/>
                <w:highlight w:val="none"/>
                <w:lang w:eastAsia="zh-CN"/>
              </w:rPr>
            </w:pPr>
            <w:r>
              <w:rPr>
                <w:rFonts w:hint="eastAsia" w:ascii="Calibri" w:hAnsi="宋体" w:eastAsia="宋体" w:cs="Times New Roman"/>
                <w:color w:val="auto"/>
                <w:sz w:val="20"/>
                <w:highlight w:val="none"/>
                <w:shd w:val="clear" w:color="auto" w:fill="FFFFFF"/>
                <w:lang w:val="en-US" w:eastAsia="zh-CN"/>
              </w:rPr>
              <w:t>4</w:t>
            </w:r>
          </w:p>
        </w:tc>
        <w:tc>
          <w:tcPr>
            <w:tcW w:w="1182" w:type="dxa"/>
            <w:vAlign w:val="center"/>
          </w:tcPr>
          <w:p>
            <w:pPr>
              <w:shd w:val="solid" w:color="FFFFFF" w:fill="auto"/>
              <w:autoSpaceDN w:val="0"/>
              <w:snapToGrid w:val="0"/>
              <w:rPr>
                <w:rFonts w:ascii="Calibri" w:hAnsi="宋体" w:eastAsia="宋体" w:cs="宋体"/>
                <w:color w:val="auto"/>
                <w:sz w:val="20"/>
                <w:highlight w:val="none"/>
              </w:rPr>
            </w:pPr>
            <w:r>
              <w:rPr>
                <w:rFonts w:ascii="Calibri" w:hAnsi="宋体" w:eastAsia="宋体" w:cs="Times New Roman"/>
                <w:color w:val="auto"/>
                <w:sz w:val="20"/>
                <w:highlight w:val="none"/>
                <w:shd w:val="clear" w:color="auto" w:fill="FFFFFF"/>
              </w:rPr>
              <w:t>其他</w:t>
            </w:r>
          </w:p>
        </w:tc>
        <w:tc>
          <w:tcPr>
            <w:tcW w:w="7715" w:type="dxa"/>
            <w:vAlign w:val="center"/>
          </w:tcPr>
          <w:p>
            <w:pPr>
              <w:snapToGrid w:val="0"/>
              <w:jc w:val="left"/>
              <w:rPr>
                <w:rFonts w:ascii="Calibri" w:hAnsi="宋体" w:eastAsia="宋体" w:cs="Times New Roman"/>
                <w:color w:val="auto"/>
                <w:sz w:val="20"/>
                <w:highlight w:val="none"/>
              </w:rPr>
            </w:pPr>
            <w:r>
              <w:rPr>
                <w:rFonts w:ascii="Calibri" w:hAnsi="宋体" w:eastAsia="宋体" w:cs="Times New Roman"/>
                <w:color w:val="auto"/>
                <w:sz w:val="20"/>
                <w:highlight w:val="none"/>
              </w:rPr>
              <w:t>1.负责组织相关造价控制评审会议，包括邀请相应的经济专家。</w:t>
            </w:r>
          </w:p>
          <w:p>
            <w:pPr>
              <w:snapToGrid w:val="0"/>
              <w:jc w:val="left"/>
              <w:rPr>
                <w:rFonts w:ascii="Calibri" w:hAnsi="宋体" w:eastAsia="宋体" w:cs="Times New Roman"/>
                <w:color w:val="auto"/>
                <w:sz w:val="20"/>
                <w:highlight w:val="none"/>
              </w:rPr>
            </w:pPr>
            <w:r>
              <w:rPr>
                <w:rFonts w:ascii="Calibri" w:hAnsi="宋体" w:eastAsia="宋体" w:cs="Times New Roman"/>
                <w:color w:val="auto"/>
                <w:sz w:val="20"/>
                <w:highlight w:val="none"/>
              </w:rPr>
              <w:t>2.视情况邀请高级经济顾问对造价问题进行咨询把关。</w:t>
            </w:r>
          </w:p>
          <w:p>
            <w:pPr>
              <w:snapToGrid w:val="0"/>
              <w:jc w:val="left"/>
              <w:rPr>
                <w:rFonts w:ascii="Calibri" w:hAnsi="宋体" w:eastAsia="宋体" w:cs="Times New Roman"/>
                <w:color w:val="auto"/>
                <w:sz w:val="20"/>
                <w:highlight w:val="none"/>
              </w:rPr>
            </w:pPr>
            <w:r>
              <w:rPr>
                <w:rFonts w:ascii="Calibri" w:hAnsi="宋体" w:eastAsia="宋体" w:cs="Times New Roman"/>
                <w:color w:val="auto"/>
                <w:sz w:val="20"/>
                <w:highlight w:val="none"/>
              </w:rPr>
              <w:t>3.</w:t>
            </w:r>
            <w:r>
              <w:rPr>
                <w:rFonts w:hint="eastAsia" w:ascii="Calibri" w:hAnsi="宋体" w:eastAsia="宋体" w:cs="Times New Roman"/>
                <w:color w:val="auto"/>
                <w:sz w:val="20"/>
                <w:highlight w:val="none"/>
              </w:rPr>
              <w:t>委托人</w:t>
            </w:r>
            <w:r>
              <w:rPr>
                <w:rFonts w:ascii="Calibri" w:hAnsi="宋体" w:eastAsia="宋体" w:cs="Times New Roman"/>
                <w:color w:val="auto"/>
                <w:sz w:val="20"/>
                <w:highlight w:val="none"/>
              </w:rPr>
              <w:t>安排的其他造价管理工作。</w:t>
            </w:r>
          </w:p>
          <w:p>
            <w:pPr>
              <w:snapToGrid w:val="0"/>
              <w:jc w:val="left"/>
              <w:rPr>
                <w:rFonts w:ascii="Calibri" w:hAnsi="宋体" w:eastAsia="宋体" w:cs="宋体"/>
                <w:color w:val="auto"/>
                <w:sz w:val="20"/>
                <w:highlight w:val="none"/>
              </w:rPr>
            </w:pPr>
            <w:r>
              <w:rPr>
                <w:rFonts w:hint="eastAsia" w:ascii="Calibri" w:hAnsi="宋体" w:eastAsia="宋体" w:cs="Times New Roman"/>
                <w:color w:val="auto"/>
                <w:sz w:val="20"/>
                <w:highlight w:val="none"/>
              </w:rPr>
              <w:t>4.委托人自行采购的设备、材料、服务等，投标人应全程参与询价、比质比价、审价、结算等相关工作；对厂家资料进行收集及整理。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9606" w:type="dxa"/>
            <w:gridSpan w:val="3"/>
            <w:vAlign w:val="center"/>
          </w:tcPr>
          <w:p>
            <w:pPr>
              <w:snapToGrid w:val="0"/>
              <w:jc w:val="left"/>
              <w:rPr>
                <w:rFonts w:ascii="Calibri" w:hAnsi="宋体" w:eastAsia="宋体" w:cs="宋体"/>
                <w:color w:val="auto"/>
                <w:sz w:val="20"/>
                <w:highlight w:val="none"/>
                <w:shd w:val="clear" w:color="auto" w:fill="FFFFFF"/>
              </w:rPr>
            </w:pPr>
            <w:r>
              <w:rPr>
                <w:rFonts w:hint="eastAsia" w:ascii="Calibri" w:hAnsi="宋体" w:eastAsia="宋体" w:cs="宋体"/>
                <w:color w:val="auto"/>
                <w:sz w:val="20"/>
                <w:highlight w:val="none"/>
                <w:shd w:val="clear" w:color="auto" w:fill="FFFFFF"/>
              </w:rPr>
              <w:t>备注：1.驻场人员要求：受托人拟派本项目服务人员至少为</w:t>
            </w:r>
            <w:r>
              <w:rPr>
                <w:rFonts w:hint="eastAsia" w:ascii="Calibri" w:hAnsi="宋体" w:eastAsia="宋体" w:cs="宋体"/>
                <w:color w:val="auto"/>
                <w:sz w:val="20"/>
                <w:highlight w:val="none"/>
                <w:shd w:val="clear" w:color="auto" w:fill="FFFFFF"/>
                <w:lang w:val="en-US" w:eastAsia="zh-CN"/>
              </w:rPr>
              <w:t>2</w:t>
            </w:r>
            <w:r>
              <w:rPr>
                <w:rFonts w:hint="eastAsia" w:ascii="Calibri" w:hAnsi="宋体" w:eastAsia="宋体" w:cs="宋体"/>
                <w:color w:val="auto"/>
                <w:sz w:val="20"/>
                <w:highlight w:val="none"/>
                <w:shd w:val="clear" w:color="auto" w:fill="FFFFFF"/>
              </w:rPr>
              <w:t>名，其中注册造价工程师不少于</w:t>
            </w:r>
            <w:r>
              <w:rPr>
                <w:rFonts w:hint="eastAsia" w:ascii="Calibri" w:hAnsi="宋体" w:eastAsia="宋体" w:cs="宋体"/>
                <w:color w:val="auto"/>
                <w:sz w:val="20"/>
                <w:highlight w:val="none"/>
                <w:shd w:val="clear" w:color="auto" w:fill="FFFFFF"/>
                <w:lang w:val="en-US" w:eastAsia="zh-CN"/>
              </w:rPr>
              <w:t>1</w:t>
            </w:r>
            <w:r>
              <w:rPr>
                <w:rFonts w:hint="eastAsia" w:ascii="Calibri" w:hAnsi="宋体" w:eastAsia="宋体" w:cs="宋体"/>
                <w:color w:val="auto"/>
                <w:sz w:val="20"/>
                <w:highlight w:val="none"/>
                <w:shd w:val="clear" w:color="auto" w:fill="FFFFFF"/>
              </w:rPr>
              <w:t>名，人员按专业要求分阶段驻现场，并保证长期有</w:t>
            </w:r>
            <w:r>
              <w:rPr>
                <w:rFonts w:hint="eastAsia" w:ascii="Calibri" w:hAnsi="宋体" w:eastAsia="宋体" w:cs="宋体"/>
                <w:color w:val="auto"/>
                <w:sz w:val="20"/>
                <w:highlight w:val="none"/>
                <w:shd w:val="clear" w:color="auto" w:fill="FFFFFF"/>
                <w:lang w:val="en-US" w:eastAsia="zh-CN"/>
              </w:rPr>
              <w:t>1</w:t>
            </w:r>
            <w:r>
              <w:rPr>
                <w:rFonts w:hint="eastAsia" w:ascii="Calibri" w:hAnsi="宋体" w:eastAsia="宋体" w:cs="宋体"/>
                <w:color w:val="auto"/>
                <w:sz w:val="20"/>
                <w:highlight w:val="none"/>
                <w:shd w:val="clear" w:color="auto" w:fill="FFFFFF"/>
              </w:rPr>
              <w:t>名预算工程师驻现场；项目负责人、技术负责人根据招标人要求及项目需要参加与造价有关的重要会议并提出专业意见。</w:t>
            </w:r>
          </w:p>
          <w:p>
            <w:pPr>
              <w:snapToGrid w:val="0"/>
              <w:jc w:val="left"/>
              <w:rPr>
                <w:rFonts w:ascii="Calibri" w:hAnsi="宋体" w:eastAsia="宋体" w:cs="宋体"/>
                <w:color w:val="auto"/>
                <w:sz w:val="20"/>
                <w:highlight w:val="none"/>
                <w:shd w:val="clear" w:color="auto" w:fill="FFFFFF"/>
              </w:rPr>
            </w:pPr>
            <w:r>
              <w:rPr>
                <w:rFonts w:hint="eastAsia" w:ascii="Calibri" w:hAnsi="宋体" w:eastAsia="宋体" w:cs="宋体"/>
                <w:color w:val="auto"/>
                <w:sz w:val="20"/>
                <w:highlight w:val="none"/>
                <w:shd w:val="clear" w:color="auto" w:fill="FFFFFF"/>
              </w:rPr>
              <w:t>2.</w:t>
            </w:r>
            <w:r>
              <w:rPr>
                <w:rFonts w:hint="eastAsia" w:ascii="Calibri" w:hAnsi="宋体" w:eastAsia="宋体" w:cs="Times New Roman"/>
                <w:color w:val="auto"/>
                <w:sz w:val="20"/>
                <w:highlight w:val="none"/>
                <w:shd w:val="clear" w:color="auto" w:fill="FFFFFF"/>
              </w:rPr>
              <w:t xml:space="preserve"> 驻场人员工作要求：服从委托人管理和工作分配。具体详见招标文件要求。</w:t>
            </w:r>
          </w:p>
        </w:tc>
      </w:tr>
    </w:tbl>
    <w:p>
      <w:pPr>
        <w:rPr>
          <w:rFonts w:ascii="宋体" w:hAnsi="宋体" w:eastAsia="宋体" w:cs="宋体"/>
          <w:color w:val="auto"/>
          <w:sz w:val="24"/>
          <w:szCs w:val="21"/>
          <w:highlight w:val="none"/>
        </w:rPr>
      </w:pPr>
    </w:p>
    <w:p>
      <w:pPr>
        <w:rPr>
          <w:rFonts w:ascii="Calibri" w:hAnsi="Calibri" w:eastAsia="宋体" w:cs="Times New Roman"/>
          <w:color w:val="auto"/>
          <w:highlight w:val="none"/>
        </w:rPr>
      </w:pPr>
    </w:p>
    <w:p>
      <w:pPr>
        <w:rPr>
          <w:color w:val="auto"/>
          <w:highlight w:val="none"/>
        </w:rPr>
      </w:pPr>
    </w:p>
    <w:p>
      <w:pPr>
        <w:spacing w:before="0" w:beforeLines="-2147483648" w:after="0" w:afterLines="-2147483648" w:line="240" w:lineRule="auto"/>
        <w:outlineLvl w:val="9"/>
        <w:rPr>
          <w:rFonts w:hint="eastAsia" w:ascii="仿宋" w:hAnsi="仿宋" w:eastAsia="仿宋" w:cs="仿宋"/>
          <w:b/>
          <w:bCs/>
          <w:color w:val="auto"/>
          <w:highlight w:val="none"/>
        </w:rPr>
      </w:pPr>
      <w:bookmarkStart w:id="70" w:name="_Toc47694462"/>
      <w:r>
        <w:rPr>
          <w:rFonts w:hint="eastAsia" w:ascii="仿宋" w:hAnsi="仿宋" w:eastAsia="仿宋" w:cs="仿宋"/>
          <w:b/>
          <w:bCs/>
          <w:color w:val="auto"/>
          <w:highlight w:val="none"/>
        </w:rPr>
        <w:br w:type="page"/>
      </w:r>
    </w:p>
    <w:p>
      <w:pPr>
        <w:spacing w:before="312" w:beforeLines="100" w:after="312" w:afterLines="100" w:line="360" w:lineRule="auto"/>
        <w:outlineLvl w:val="1"/>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rPr>
        <w:t>附件</w:t>
      </w:r>
      <w:r>
        <w:rPr>
          <w:rFonts w:hint="eastAsia" w:ascii="仿宋" w:hAnsi="仿宋" w:eastAsia="仿宋" w:cs="仿宋"/>
          <w:b/>
          <w:bCs/>
          <w:color w:val="auto"/>
          <w:highlight w:val="none"/>
          <w:lang w:val="en-US" w:eastAsia="zh-CN"/>
        </w:rPr>
        <w:t>6</w:t>
      </w:r>
    </w:p>
    <w:bookmarkEnd w:id="70"/>
    <w:p>
      <w:pPr>
        <w:jc w:val="center"/>
        <w:rPr>
          <w:rFonts w:ascii="宋体" w:hAnsi="宋体" w:eastAsia="宋体" w:cs="宋体"/>
          <w:color w:val="auto"/>
          <w:sz w:val="44"/>
          <w:highlight w:val="none"/>
        </w:rPr>
      </w:pPr>
      <w:r>
        <w:rPr>
          <w:rFonts w:hint="eastAsia" w:ascii="宋体" w:hAnsi="宋体" w:eastAsia="宋体" w:cs="宋体"/>
          <w:color w:val="auto"/>
          <w:sz w:val="44"/>
          <w:highlight w:val="none"/>
        </w:rPr>
        <w:t xml:space="preserve"> 履约银行保函</w:t>
      </w:r>
    </w:p>
    <w:p>
      <w:pPr>
        <w:spacing w:line="288" w:lineRule="auto"/>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保函编号：</w:t>
      </w:r>
    </w:p>
    <w:p>
      <w:pPr>
        <w:spacing w:line="288" w:lineRule="auto"/>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开立日期：202</w:t>
      </w:r>
      <w:r>
        <w:rPr>
          <w:rFonts w:hint="eastAsia" w:ascii="宋体" w:hAnsi="宋体" w:eastAsia="宋体" w:cs="宋体"/>
          <w:color w:val="auto"/>
          <w:sz w:val="24"/>
          <w:szCs w:val="20"/>
          <w:highlight w:val="none"/>
          <w:lang w:val="en-US" w:eastAsia="zh-CN"/>
        </w:rPr>
        <w:t>5</w:t>
      </w:r>
      <w:r>
        <w:rPr>
          <w:rFonts w:hint="eastAsia" w:ascii="宋体" w:hAnsi="宋体" w:eastAsia="宋体" w:cs="宋体"/>
          <w:color w:val="auto"/>
          <w:sz w:val="24"/>
          <w:szCs w:val="20"/>
          <w:highlight w:val="none"/>
        </w:rPr>
        <w:t>年  月  日</w:t>
      </w:r>
    </w:p>
    <w:p>
      <w:pPr>
        <w:spacing w:line="288" w:lineRule="auto"/>
        <w:ind w:firstLine="480" w:firstLineChars="200"/>
        <w:rPr>
          <w:rFonts w:ascii="宋体" w:hAnsi="宋体" w:eastAsia="宋体" w:cs="宋体"/>
          <w:color w:val="auto"/>
          <w:sz w:val="24"/>
          <w:szCs w:val="20"/>
          <w:highlight w:val="none"/>
        </w:rPr>
      </w:pPr>
    </w:p>
    <w:p>
      <w:pPr>
        <w:spacing w:line="288" w:lineRule="auto"/>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致：  </w:t>
      </w:r>
    </w:p>
    <w:p>
      <w:pPr>
        <w:spacing w:line="288" w:lineRule="auto"/>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地址： </w:t>
      </w:r>
    </w:p>
    <w:p>
      <w:pPr>
        <w:spacing w:line="288" w:lineRule="auto"/>
        <w:ind w:firstLine="480" w:firstLineChars="200"/>
        <w:jc w:val="left"/>
        <w:rPr>
          <w:rFonts w:ascii="宋体" w:hAnsi="宋体" w:eastAsia="宋体" w:cs="宋体"/>
          <w:color w:val="auto"/>
          <w:sz w:val="24"/>
          <w:highlight w:val="none"/>
        </w:rPr>
      </w:pPr>
    </w:p>
    <w:p>
      <w:pPr>
        <w:spacing w:line="288" w:lineRule="auto"/>
        <w:ind w:firstLine="480" w:firstLineChars="200"/>
        <w:jc w:val="left"/>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鉴于  公司，地址：（以下简称“申请人”）已与    （以下简称“业主”）签订</w:t>
      </w:r>
      <w:bookmarkStart w:id="71" w:name="_Hlk107996710"/>
      <w:r>
        <w:rPr>
          <w:rFonts w:hint="eastAsia" w:ascii="宋体" w:hAnsi="宋体" w:eastAsia="宋体" w:cs="宋体"/>
          <w:color w:val="auto"/>
          <w:sz w:val="24"/>
          <w:szCs w:val="20"/>
          <w:highlight w:val="none"/>
        </w:rPr>
        <w:t>了</w:t>
      </w:r>
      <w:bookmarkEnd w:id="71"/>
      <w:r>
        <w:rPr>
          <w:rFonts w:hint="eastAsia" w:ascii="宋体" w:hAnsi="宋体" w:eastAsia="宋体" w:cs="宋体"/>
          <w:color w:val="auto"/>
          <w:sz w:val="24"/>
          <w:szCs w:val="20"/>
          <w:highlight w:val="none"/>
        </w:rPr>
        <w:t xml:space="preserve">   （合同编号：   ）（以下简称“合同”）。为保证申请人全面、及时履行合同规定，（以下简称“我行”），同意出具银行保函为申请人担保，累计担保金额最高为人民币元（小写： ）。</w:t>
      </w:r>
    </w:p>
    <w:p>
      <w:pPr>
        <w:spacing w:line="288" w:lineRule="auto"/>
        <w:ind w:firstLine="480" w:firstLineChars="200"/>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本保函的义务是：我行在收到业主要求索赔的书面通知后的五个工作日内，在上述担保金额的全额内向业主支付任何数额的款项，无须业主出具证明或陈述理由。</w:t>
      </w:r>
    </w:p>
    <w:p>
      <w:pPr>
        <w:spacing w:line="288" w:lineRule="auto"/>
        <w:ind w:firstLine="480" w:firstLineChars="200"/>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我行放弃业主应先向申请人索要上述款项再向本行提出要求的权利。我行同意业主直接向我行行使索赔权。</w:t>
      </w:r>
    </w:p>
    <w:p>
      <w:pPr>
        <w:spacing w:line="288" w:lineRule="auto"/>
        <w:ind w:firstLine="480" w:firstLineChars="200"/>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我行还同意，在业主和申请人签订合同后，其项下的工程或合同文件发生任何变化、补充或修改，我行承担本保函的责任不改变，且上述变化、补充或修改也无须通知我行。</w:t>
      </w:r>
    </w:p>
    <w:p>
      <w:pPr>
        <w:spacing w:line="288" w:lineRule="auto"/>
        <w:ind w:left="425"/>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本保函不可撤销、不可转让，以     为唯一受益人。</w:t>
      </w:r>
    </w:p>
    <w:p>
      <w:pPr>
        <w:spacing w:line="288" w:lineRule="auto"/>
        <w:ind w:firstLine="480" w:firstLineChars="200"/>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我行保证具备出具银行保函的资格和条件，本保函自我行加盖公章之日起生效。按合同规定办妥验收合格手续，并办完本合同项下的财务结算之日起30天后或担保金额支付完毕后失效，以日期先到者为准，但有效期最迟不晚于    年  月  日。业主有权提前终止或解除本保函。</w:t>
      </w:r>
    </w:p>
    <w:p>
      <w:pPr>
        <w:spacing w:line="288" w:lineRule="auto"/>
        <w:ind w:firstLine="480" w:firstLineChars="200"/>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本保函项下的纠纷，若协商不能解决，应提交合同项目工程所在地人民法院诉讼解决。</w:t>
      </w:r>
    </w:p>
    <w:p>
      <w:pPr>
        <w:spacing w:line="288" w:lineRule="auto"/>
        <w:ind w:firstLine="480" w:firstLineChars="200"/>
        <w:rPr>
          <w:rFonts w:ascii="宋体" w:hAnsi="宋体" w:eastAsia="宋体" w:cs="宋体"/>
          <w:color w:val="auto"/>
          <w:sz w:val="24"/>
          <w:szCs w:val="20"/>
          <w:highlight w:val="none"/>
        </w:rPr>
      </w:pPr>
    </w:p>
    <w:p>
      <w:pPr>
        <w:spacing w:line="288" w:lineRule="auto"/>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担保银行（盖章）：</w:t>
      </w:r>
    </w:p>
    <w:p>
      <w:pPr>
        <w:spacing w:line="288" w:lineRule="auto"/>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担保银行法定代表人或其授权委托代理人（签字或盖章）：</w:t>
      </w:r>
    </w:p>
    <w:p>
      <w:pPr>
        <w:spacing w:line="288" w:lineRule="auto"/>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联系地址：</w:t>
      </w:r>
    </w:p>
    <w:p>
      <w:pPr>
        <w:spacing w:line="288" w:lineRule="auto"/>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电话：</w:t>
      </w:r>
    </w:p>
    <w:p>
      <w:pPr>
        <w:tabs>
          <w:tab w:val="left" w:pos="360"/>
        </w:tabs>
        <w:spacing w:line="288" w:lineRule="auto"/>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日期：</w:t>
      </w:r>
    </w:p>
    <w:p>
      <w:pPr>
        <w:rPr>
          <w:rFonts w:ascii="宋体" w:hAnsi="宋体" w:eastAsia="宋体" w:cs="宋体"/>
          <w:color w:val="auto"/>
          <w:sz w:val="24"/>
          <w:highlight w:val="none"/>
        </w:rPr>
      </w:pPr>
      <w:r>
        <w:rPr>
          <w:rFonts w:ascii="宋体" w:hAnsi="宋体" w:eastAsia="宋体" w:cs="宋体"/>
          <w:color w:val="auto"/>
          <w:sz w:val="24"/>
          <w:highlight w:val="none"/>
        </w:rPr>
        <w:br w:type="page"/>
      </w:r>
    </w:p>
    <w:p>
      <w:pPr>
        <w:spacing w:before="312" w:beforeLines="100" w:after="312" w:afterLines="100" w:line="360" w:lineRule="auto"/>
        <w:outlineLvl w:val="1"/>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rPr>
        <w:t>附件</w:t>
      </w:r>
      <w:r>
        <w:rPr>
          <w:rFonts w:hint="eastAsia" w:ascii="仿宋" w:hAnsi="仿宋" w:eastAsia="仿宋" w:cs="仿宋"/>
          <w:b/>
          <w:bCs/>
          <w:color w:val="auto"/>
          <w:highlight w:val="none"/>
          <w:lang w:val="en-US" w:eastAsia="zh-CN"/>
        </w:rPr>
        <w:t>7</w:t>
      </w:r>
    </w:p>
    <w:p>
      <w:pPr>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预付款保函模板</w:t>
      </w:r>
    </w:p>
    <w:p>
      <w:pPr>
        <w:rPr>
          <w:color w:val="auto"/>
          <w:highlight w:val="none"/>
        </w:rPr>
      </w:pPr>
    </w:p>
    <w:p>
      <w:pPr>
        <w:rPr>
          <w:rFonts w:ascii="仿宋" w:hAnsi="仿宋" w:eastAsia="仿宋"/>
          <w:color w:val="auto"/>
          <w:sz w:val="24"/>
          <w:highlight w:val="none"/>
        </w:rPr>
      </w:pPr>
      <w:r>
        <w:rPr>
          <w:rFonts w:hint="eastAsia" w:ascii="仿宋" w:hAnsi="仿宋" w:eastAsia="仿宋"/>
          <w:color w:val="auto"/>
          <w:sz w:val="24"/>
          <w:highlight w:val="none"/>
        </w:rPr>
        <w:t>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（受益人）</w:t>
      </w:r>
    </w:p>
    <w:p>
      <w:pPr>
        <w:rPr>
          <w:rFonts w:ascii="仿宋" w:hAnsi="仿宋" w:eastAsia="仿宋"/>
          <w:color w:val="auto"/>
          <w:sz w:val="24"/>
          <w:highlight w:val="none"/>
        </w:rPr>
      </w:pPr>
    </w:p>
    <w:p>
      <w:pPr>
        <w:ind w:firstLine="240" w:firstLineChars="100"/>
        <w:rPr>
          <w:rFonts w:ascii="仿宋" w:hAnsi="仿宋" w:eastAsia="仿宋"/>
          <w:color w:val="auto"/>
          <w:sz w:val="24"/>
          <w:highlight w:val="none"/>
        </w:rPr>
      </w:pPr>
      <w:r>
        <w:rPr>
          <w:rFonts w:hint="eastAsia" w:ascii="仿宋" w:hAnsi="仿宋" w:eastAsia="仿宋"/>
          <w:color w:val="auto"/>
          <w:sz w:val="24"/>
          <w:highlight w:val="none"/>
        </w:rPr>
        <w:t>鉴于</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（以下简称“委托人”）与你方于</w:t>
      </w:r>
      <w:r>
        <w:rPr>
          <w:rFonts w:hint="eastAsia" w:ascii="仿宋" w:hAnsi="仿宋" w:eastAsia="仿宋"/>
          <w:color w:val="auto"/>
          <w:sz w:val="24"/>
          <w:highlight w:val="none"/>
          <w:u w:val="single"/>
        </w:rPr>
        <w:t xml:space="preserve">   年  月  日</w:t>
      </w:r>
      <w:r>
        <w:rPr>
          <w:rFonts w:hint="eastAsia" w:ascii="仿宋" w:hAnsi="仿宋" w:eastAsia="仿宋"/>
          <w:color w:val="auto"/>
          <w:sz w:val="24"/>
          <w:highlight w:val="none"/>
        </w:rPr>
        <w:t>签订了</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（以下简称“合同”），你方将按上述基础交易合同约定向委托人支付预付款人民币</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元（大写：</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）。我行接受委托人的申请，特此开立以你方为受益人的最高金额为人民币</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（大写：</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）（以下称“保函金额”）的保函。</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一、本保函为不可撤销、见索即付的独立保函。</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二、在本保函的有效期内，如委托人违反上述基础交易合同约定的义务而未向你方退还预付款，我行将在收到你方提交的符合下述要求的索赔通知书后</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日内，以上述保函金额为限向你方支付相应款项。</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（一）索赔通知书须写明请求付款的金额，并声明该款项并未由委托人或其代理人直接或间接地支付给你方；</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（二）索赔通知书应由你方法定代表人签字并加盖公章；</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（三）索赔通知书必须于本保函有效期截止日前送达我行。</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三、合同的任何修改、变更、解释或不可执行都不能削弱或免除我行按本保函应承担的义务。</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本保函金额将随我行已向你方支付的金额而自动作相应递减。</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四、本保函未经我行书面同意不得转让。</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五、本保函自签发之日起生效，有效期至</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止。在上述期限内若累计赔偿额达到前述保函金额，本保函提前失效。本保函到期后，无论保函原件是否退回我行，皆告失效。</w:t>
      </w:r>
    </w:p>
    <w:p>
      <w:pPr>
        <w:spacing w:line="400" w:lineRule="exact"/>
        <w:ind w:firstLine="540" w:firstLineChars="225"/>
        <w:rPr>
          <w:color w:val="auto"/>
          <w:sz w:val="24"/>
          <w:highlight w:val="none"/>
        </w:rPr>
      </w:pPr>
      <w:r>
        <w:rPr>
          <w:rFonts w:ascii="宋体" w:hAnsi="宋体"/>
          <w:color w:val="auto"/>
          <w:sz w:val="24"/>
          <w:highlight w:val="none"/>
        </w:rPr>
        <w:t xml:space="preserve"> </w:t>
      </w:r>
    </w:p>
    <w:p>
      <w:pPr>
        <w:spacing w:line="560" w:lineRule="exact"/>
        <w:ind w:firstLine="482" w:firstLineChars="200"/>
        <w:rPr>
          <w:rFonts w:ascii="宋体" w:hAnsi="宋体"/>
          <w:color w:val="auto"/>
          <w:sz w:val="24"/>
          <w:highlight w:val="none"/>
        </w:rPr>
      </w:pPr>
      <w:r>
        <w:rPr>
          <w:rFonts w:hint="eastAsia" w:ascii="宋体" w:hAnsi="宋体"/>
          <w:b/>
          <w:color w:val="auto"/>
          <w:sz w:val="24"/>
          <w:highlight w:val="none"/>
        </w:rPr>
        <w:t>备注：</w:t>
      </w:r>
      <w:r>
        <w:rPr>
          <w:rFonts w:hint="eastAsia" w:ascii="宋体" w:hAnsi="宋体"/>
          <w:color w:val="auto"/>
          <w:sz w:val="24"/>
          <w:highlight w:val="none"/>
        </w:rPr>
        <w:t>本预付款担保格式必须采用经发包人认可的银行保函格式，但相关内容不得违背合同文件约定的实质性内容。</w:t>
      </w:r>
    </w:p>
    <w:p>
      <w:pPr>
        <w:pStyle w:val="8"/>
        <w:rPr>
          <w:color w:val="auto"/>
          <w:highlight w:val="none"/>
        </w:rPr>
      </w:pPr>
    </w:p>
    <w:p>
      <w:pPr>
        <w:rPr>
          <w:rFonts w:ascii="宋体" w:hAnsi="宋体" w:eastAsia="宋体" w:cs="宋体"/>
          <w:color w:val="auto"/>
          <w:sz w:val="24"/>
          <w:highlight w:val="none"/>
        </w:rPr>
      </w:pPr>
    </w:p>
    <w:p>
      <w:pPr>
        <w:rPr>
          <w:rFonts w:hint="eastAsia" w:eastAsiaTheme="minorEastAsia"/>
          <w:color w:val="auto"/>
          <w:highlight w:val="none"/>
          <w:lang w:val="en-US" w:eastAsia="zh-CN"/>
        </w:rPr>
      </w:pPr>
      <w:r>
        <w:rPr>
          <w:rFonts w:hint="eastAsia"/>
          <w:color w:val="auto"/>
          <w:highlight w:val="none"/>
          <w:lang w:val="en-US" w:eastAsia="zh-CN"/>
        </w:rPr>
        <w:t xml:space="preserve">   </w:t>
      </w:r>
    </w:p>
    <w:p>
      <w:pPr>
        <w:rPr>
          <w:rFonts w:hint="eastAsia" w:eastAsiaTheme="minorEastAsia"/>
          <w:color w:val="auto"/>
          <w:highlight w:val="none"/>
          <w:lang w:val="en-US" w:eastAsia="zh-CN"/>
        </w:rPr>
      </w:pPr>
      <w:r>
        <w:rPr>
          <w:rFonts w:hint="eastAsia"/>
          <w:color w:val="auto"/>
          <w:highlight w:val="non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lang w:val="en-US"/>
                            </w:rPr>
                            <w:t>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LW7l30AAAAAIBAAAPAAAAAAAAAAEAIAAAACIAAABk&#10;cnMvZG93bnJldi54bWxQSwECFAAUAAAACACHTuJA8Tde2A4CAAAPBAAADgAAAAAAAAABACAAAAAf&#10;AQAAZHJzL2Uyb0RvYy54bWxQSwUGAAAAAAYABgBZAQAAnwU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lang w:val="en-US"/>
                      </w:rP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28</w:t>
    </w:r>
    <w:r>
      <w:fldChar w:fldCharType="end"/>
    </w:r>
  </w:p>
  <w:p>
    <w:pPr>
      <w:pStyle w:val="6"/>
      <w:framePr w:wrap="around" w:vAnchor="text" w:hAnchor="margin" w:xAlign="center" w:y="1"/>
      <w:rPr>
        <w:rStyle w:val="11"/>
      </w:rPr>
    </w:pP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30226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205" cy="302260"/>
                      </a:xfrm>
                      <a:prstGeom prst="rect">
                        <a:avLst/>
                      </a:prstGeom>
                      <a:noFill/>
                      <a:ln>
                        <a:noFill/>
                      </a:ln>
                      <a:effectLst/>
                    </wps:spPr>
                    <wps:txbx>
                      <w:txbxContent>
                        <w:p>
                          <w:pPr>
                            <w:pStyle w:val="6"/>
                            <w:rPr>
                              <w:rStyle w:val="11"/>
                            </w:rPr>
                          </w:pPr>
                          <w:r>
                            <w:fldChar w:fldCharType="begin"/>
                          </w:r>
                          <w:r>
                            <w:rPr>
                              <w:rStyle w:val="11"/>
                            </w:rPr>
                            <w:instrText xml:space="preserve">PAGE  </w:instrText>
                          </w:r>
                          <w:r>
                            <w:fldChar w:fldCharType="separate"/>
                          </w:r>
                          <w:r>
                            <w:rPr>
                              <w:rStyle w:val="11"/>
                            </w:rPr>
                            <w:t>41</w:t>
                          </w:r>
                          <w:r>
                            <w:fldChar w:fldCharType="end"/>
                          </w:r>
                        </w:p>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3.8pt;width:9.15pt;mso-position-horizontal:center;mso-position-horizontal-relative:margin;mso-wrap-style:none;z-index:251660288;mso-width-relative:page;mso-height-relative:page;" filled="f" stroked="f" coordsize="21600,21600" o:gfxdata="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zw/VTRAAAAAwEAAA8AAAAAAAAAAQAgAAAAIgAAAGRy&#10;cy9kb3ducmV2LnhtbFBLAQIUABQAAAAIAIdO4kCLLVArDAIAABAEAAAOAAAAAAAAAAEAIAAAACAB&#10;AABkcnMvZTJvRG9jLnhtbFBLBQYAAAAABgAGAFkBAACeBQAAAAA=&#10;">
              <v:fill on="f" focussize="0,0"/>
              <v:stroke on="f"/>
              <v:imagedata o:title=""/>
              <o:lock v:ext="edit" aspectratio="f"/>
              <v:textbox inset="0mm,0mm,0mm,0mm" style="mso-fit-shape-to-text:t;">
                <w:txbxContent>
                  <w:p>
                    <w:pPr>
                      <w:pStyle w:val="6"/>
                      <w:rPr>
                        <w:rStyle w:val="11"/>
                      </w:rPr>
                    </w:pPr>
                    <w:r>
                      <w:fldChar w:fldCharType="begin"/>
                    </w:r>
                    <w:r>
                      <w:rPr>
                        <w:rStyle w:val="11"/>
                      </w:rPr>
                      <w:instrText xml:space="preserve">PAGE  </w:instrText>
                    </w:r>
                    <w:r>
                      <w:fldChar w:fldCharType="separate"/>
                    </w:r>
                    <w:r>
                      <w:rPr>
                        <w:rStyle w:val="11"/>
                      </w:rPr>
                      <w:t>41</w:t>
                    </w:r>
                    <w:r>
                      <w:fldChar w:fldCharType="end"/>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napToGrid w:val="0"/>
      <w:jc w:val="lef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679DA"/>
    <w:multiLevelType w:val="singleLevel"/>
    <w:tmpl w:val="BB6679DA"/>
    <w:lvl w:ilvl="0" w:tentative="0">
      <w:start w:val="8"/>
      <w:numFmt w:val="chineseCounting"/>
      <w:suff w:val="nothing"/>
      <w:lvlText w:val="（%1）"/>
      <w:lvlJc w:val="left"/>
      <w:rPr>
        <w:rFonts w:hint="eastAsia"/>
      </w:rPr>
    </w:lvl>
  </w:abstractNum>
  <w:abstractNum w:abstractNumId="1">
    <w:nsid w:val="BB87D4CD"/>
    <w:multiLevelType w:val="singleLevel"/>
    <w:tmpl w:val="BB87D4CD"/>
    <w:lvl w:ilvl="0" w:tentative="0">
      <w:start w:val="4"/>
      <w:numFmt w:val="chineseCounting"/>
      <w:suff w:val="nothing"/>
      <w:lvlText w:val="（%1）"/>
      <w:lvlJc w:val="left"/>
      <w:rPr>
        <w:rFonts w:hint="eastAsia"/>
      </w:rPr>
    </w:lvl>
  </w:abstractNum>
  <w:abstractNum w:abstractNumId="2">
    <w:nsid w:val="C057CBE7"/>
    <w:multiLevelType w:val="singleLevel"/>
    <w:tmpl w:val="C057CBE7"/>
    <w:lvl w:ilvl="0" w:tentative="0">
      <w:start w:val="6"/>
      <w:numFmt w:val="chineseCounting"/>
      <w:suff w:val="nothing"/>
      <w:lvlText w:val="（%1）"/>
      <w:lvlJc w:val="left"/>
      <w:rPr>
        <w:rFonts w:hint="eastAsia"/>
      </w:rPr>
    </w:lvl>
  </w:abstractNum>
  <w:abstractNum w:abstractNumId="3">
    <w:nsid w:val="CA794EAD"/>
    <w:multiLevelType w:val="singleLevel"/>
    <w:tmpl w:val="CA794EAD"/>
    <w:lvl w:ilvl="0" w:tentative="0">
      <w:start w:val="5"/>
      <w:numFmt w:val="chineseCounting"/>
      <w:suff w:val="nothing"/>
      <w:lvlText w:val="（%1）"/>
      <w:lvlJc w:val="left"/>
      <w:rPr>
        <w:rFonts w:hint="eastAsia"/>
      </w:rPr>
    </w:lvl>
  </w:abstractNum>
  <w:abstractNum w:abstractNumId="4">
    <w:nsid w:val="CDD3752D"/>
    <w:multiLevelType w:val="singleLevel"/>
    <w:tmpl w:val="CDD3752D"/>
    <w:lvl w:ilvl="0" w:tentative="0">
      <w:start w:val="1"/>
      <w:numFmt w:val="chineseCounting"/>
      <w:suff w:val="nothing"/>
      <w:lvlText w:val="（%1）"/>
      <w:lvlJc w:val="left"/>
      <w:rPr>
        <w:rFonts w:hint="eastAsia"/>
      </w:rPr>
    </w:lvl>
  </w:abstractNum>
  <w:abstractNum w:abstractNumId="5">
    <w:nsid w:val="D0B655E7"/>
    <w:multiLevelType w:val="singleLevel"/>
    <w:tmpl w:val="D0B655E7"/>
    <w:lvl w:ilvl="0" w:tentative="0">
      <w:start w:val="9"/>
      <w:numFmt w:val="chineseCounting"/>
      <w:suff w:val="nothing"/>
      <w:lvlText w:val="（%1）"/>
      <w:lvlJc w:val="left"/>
      <w:rPr>
        <w:rFonts w:hint="eastAsia"/>
      </w:rPr>
    </w:lvl>
  </w:abstractNum>
  <w:abstractNum w:abstractNumId="6">
    <w:nsid w:val="02040919"/>
    <w:multiLevelType w:val="multilevel"/>
    <w:tmpl w:val="02040919"/>
    <w:lvl w:ilvl="0" w:tentative="0">
      <w:start w:val="1"/>
      <w:numFmt w:val="decimal"/>
      <w:lvlText w:val="%1."/>
      <w:lvlJc w:val="left"/>
      <w:pPr>
        <w:ind w:left="360" w:hanging="360"/>
      </w:pPr>
      <w:rPr>
        <w:rFonts w:hint="default"/>
      </w:rPr>
    </w:lvl>
    <w:lvl w:ilvl="1" w:tentative="0">
      <w:start w:val="2"/>
      <w:numFmt w:val="decimal"/>
      <w:lvlText w:val="（%2）"/>
      <w:lvlJc w:val="left"/>
      <w:pPr>
        <w:tabs>
          <w:tab w:val="left" w:pos="1140"/>
        </w:tabs>
        <w:ind w:left="1140" w:hanging="720"/>
      </w:pPr>
      <w:rPr>
        <w:rFonts w:hint="default" w:ascii="Times New Roman" w:hAnsi="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2CACDB"/>
    <w:multiLevelType w:val="singleLevel"/>
    <w:tmpl w:val="372CACDB"/>
    <w:lvl w:ilvl="0" w:tentative="0">
      <w:start w:val="3"/>
      <w:numFmt w:val="chineseCounting"/>
      <w:suff w:val="nothing"/>
      <w:lvlText w:val="（%1）"/>
      <w:lvlJc w:val="left"/>
      <w:rPr>
        <w:rFonts w:hint="eastAsia"/>
      </w:rPr>
    </w:lvl>
  </w:abstractNum>
  <w:abstractNum w:abstractNumId="8">
    <w:nsid w:val="4BED0845"/>
    <w:multiLevelType w:val="singleLevel"/>
    <w:tmpl w:val="4BED0845"/>
    <w:lvl w:ilvl="0" w:tentative="0">
      <w:start w:val="2"/>
      <w:numFmt w:val="chineseCounting"/>
      <w:suff w:val="nothing"/>
      <w:lvlText w:val="（%1）"/>
      <w:lvlJc w:val="left"/>
      <w:rPr>
        <w:rFonts w:hint="eastAsia"/>
      </w:rPr>
    </w:lvl>
  </w:abstractNum>
  <w:abstractNum w:abstractNumId="9">
    <w:nsid w:val="4D807D1B"/>
    <w:multiLevelType w:val="singleLevel"/>
    <w:tmpl w:val="4D807D1B"/>
    <w:lvl w:ilvl="0" w:tentative="0">
      <w:start w:val="1"/>
      <w:numFmt w:val="chineseCounting"/>
      <w:suff w:val="nothing"/>
      <w:lvlText w:val="（%1）"/>
      <w:lvlJc w:val="left"/>
      <w:rPr>
        <w:rFonts w:hint="eastAsia"/>
      </w:rPr>
    </w:lvl>
  </w:abstractNum>
  <w:abstractNum w:abstractNumId="10">
    <w:nsid w:val="568E0FED"/>
    <w:multiLevelType w:val="singleLevel"/>
    <w:tmpl w:val="568E0FED"/>
    <w:lvl w:ilvl="0" w:tentative="0">
      <w:start w:val="7"/>
      <w:numFmt w:val="chineseCounting"/>
      <w:suff w:val="nothing"/>
      <w:lvlText w:val="（%1）"/>
      <w:lvlJc w:val="left"/>
      <w:rPr>
        <w:rFonts w:hint="eastAsia"/>
      </w:rPr>
    </w:lvl>
  </w:abstractNum>
  <w:abstractNum w:abstractNumId="11">
    <w:nsid w:val="59812FEE"/>
    <w:multiLevelType w:val="singleLevel"/>
    <w:tmpl w:val="59812FEE"/>
    <w:lvl w:ilvl="0" w:tentative="0">
      <w:start w:val="2"/>
      <w:numFmt w:val="chineseCounting"/>
      <w:suff w:val="nothing"/>
      <w:lvlText w:val="%1、"/>
      <w:lvlJc w:val="left"/>
      <w:rPr>
        <w:b/>
        <w:sz w:val="24"/>
        <w:szCs w:val="24"/>
        <w:lang w:val="en-US"/>
      </w:rPr>
    </w:lvl>
  </w:abstractNum>
  <w:abstractNum w:abstractNumId="12">
    <w:nsid w:val="5F9F6778"/>
    <w:multiLevelType w:val="singleLevel"/>
    <w:tmpl w:val="5F9F6778"/>
    <w:lvl w:ilvl="0" w:tentative="0">
      <w:start w:val="10"/>
      <w:numFmt w:val="chineseCounting"/>
      <w:suff w:val="nothing"/>
      <w:lvlText w:val="（%1）"/>
      <w:lvlJc w:val="left"/>
      <w:rPr>
        <w:rFonts w:hint="eastAsia"/>
      </w:rPr>
    </w:lvl>
  </w:abstractNum>
  <w:abstractNum w:abstractNumId="13">
    <w:nsid w:val="61D5740A"/>
    <w:multiLevelType w:val="singleLevel"/>
    <w:tmpl w:val="61D5740A"/>
    <w:lvl w:ilvl="0" w:tentative="0">
      <w:start w:val="2"/>
      <w:numFmt w:val="chineseCounting"/>
      <w:suff w:val="nothing"/>
      <w:lvlText w:val="（%1）"/>
      <w:lvlJc w:val="left"/>
      <w:rPr>
        <w:rFonts w:hint="eastAsia"/>
      </w:rPr>
    </w:lvl>
  </w:abstractNum>
  <w:abstractNum w:abstractNumId="14">
    <w:nsid w:val="7B9577BD"/>
    <w:multiLevelType w:val="singleLevel"/>
    <w:tmpl w:val="7B9577BD"/>
    <w:lvl w:ilvl="0" w:tentative="0">
      <w:start w:val="4"/>
      <w:numFmt w:val="chineseCounting"/>
      <w:suff w:val="nothing"/>
      <w:lvlText w:val="（%1）"/>
      <w:lvlJc w:val="left"/>
      <w:rPr>
        <w:rFonts w:hint="eastAsia"/>
      </w:rPr>
    </w:lvl>
  </w:abstractNum>
  <w:abstractNum w:abstractNumId="15">
    <w:nsid w:val="7EAC8F23"/>
    <w:multiLevelType w:val="singleLevel"/>
    <w:tmpl w:val="7EAC8F23"/>
    <w:lvl w:ilvl="0" w:tentative="0">
      <w:start w:val="3"/>
      <w:numFmt w:val="chineseCounting"/>
      <w:suff w:val="nothing"/>
      <w:lvlText w:val="（%1）"/>
      <w:lvlJc w:val="left"/>
      <w:rPr>
        <w:rFonts w:hint="eastAsia"/>
      </w:rPr>
    </w:lvl>
  </w:abstractNum>
  <w:num w:numId="1">
    <w:abstractNumId w:val="11"/>
  </w:num>
  <w:num w:numId="2">
    <w:abstractNumId w:val="6"/>
  </w:num>
  <w:num w:numId="3">
    <w:abstractNumId w:val="4"/>
  </w:num>
  <w:num w:numId="4">
    <w:abstractNumId w:val="8"/>
  </w:num>
  <w:num w:numId="5">
    <w:abstractNumId w:val="7"/>
  </w:num>
  <w:num w:numId="6">
    <w:abstractNumId w:val="1"/>
  </w:num>
  <w:num w:numId="7">
    <w:abstractNumId w:val="9"/>
  </w:num>
  <w:num w:numId="8">
    <w:abstractNumId w:val="13"/>
  </w:num>
  <w:num w:numId="9">
    <w:abstractNumId w:val="15"/>
  </w:num>
  <w:num w:numId="10">
    <w:abstractNumId w:val="14"/>
  </w:num>
  <w:num w:numId="11">
    <w:abstractNumId w:val="3"/>
  </w:num>
  <w:num w:numId="12">
    <w:abstractNumId w:val="2"/>
  </w:num>
  <w:num w:numId="13">
    <w:abstractNumId w:val="10"/>
  </w:num>
  <w:num w:numId="14">
    <w:abstractNumId w:val="0"/>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NDg4NDVhZGM3NjI5YjcxNDBlNzdkY2JmZjU2YzQifQ=="/>
    <w:docVar w:name="KGWebUrl" w:val="http://10.168.30.10:7890/easoa/PositionServlet"/>
  </w:docVars>
  <w:rsids>
    <w:rsidRoot w:val="00000000"/>
    <w:rsid w:val="280A6540"/>
    <w:rsid w:val="304340E1"/>
    <w:rsid w:val="349353B3"/>
    <w:rsid w:val="3B550104"/>
    <w:rsid w:val="4EE95E85"/>
    <w:rsid w:val="53806A8B"/>
    <w:rsid w:val="58F57CD5"/>
    <w:rsid w:val="5FA863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next w:val="4"/>
    <w:qFormat/>
    <w:uiPriority w:val="99"/>
    <w:pPr>
      <w:widowControl/>
      <w:ind w:firstLine="630"/>
      <w:jc w:val="left"/>
    </w:pPr>
    <w:rPr>
      <w:rFonts w:ascii="宋体" w:hAnsi="Times New Roman" w:eastAsia="宋体" w:cs="Times New Roman"/>
      <w:kern w:val="0"/>
      <w:sz w:val="20"/>
      <w:szCs w:val="20"/>
      <w:lang w:eastAsia="en-US"/>
    </w:rPr>
  </w:style>
  <w:style w:type="paragraph" w:styleId="4">
    <w:name w:val="Body Text Indent 2"/>
    <w:basedOn w:val="1"/>
    <w:next w:val="5"/>
    <w:qFormat/>
    <w:uiPriority w:val="99"/>
    <w:pPr>
      <w:widowControl/>
      <w:tabs>
        <w:tab w:val="left" w:pos="4970"/>
      </w:tabs>
      <w:spacing w:line="360" w:lineRule="auto"/>
      <w:ind w:firstLine="480" w:firstLineChars="200"/>
      <w:jc w:val="left"/>
    </w:pPr>
    <w:rPr>
      <w:rFonts w:ascii="Times New Roman" w:hAnsi="Times New Roman" w:eastAsia="宋体" w:cs="Times New Roman"/>
      <w:kern w:val="0"/>
      <w:sz w:val="24"/>
      <w:lang w:eastAsia="en-US"/>
    </w:rPr>
  </w:style>
  <w:style w:type="paragraph" w:customStyle="1" w:styleId="5">
    <w:name w:val="目录 71"/>
    <w:basedOn w:val="1"/>
    <w:next w:val="1"/>
    <w:qFormat/>
    <w:uiPriority w:val="0"/>
    <w:pPr>
      <w:ind w:left="2520"/>
    </w:pPr>
    <w:rPr>
      <w:rFonts w:ascii="Calibri" w:hAnsi="宋体" w:cs="宋体"/>
      <w:kern w:val="0"/>
      <w:szCs w:val="20"/>
    </w:rPr>
  </w:style>
  <w:style w:type="paragraph" w:styleId="6">
    <w:name w:val="footer"/>
    <w:basedOn w:val="1"/>
    <w:qFormat/>
    <w:uiPriority w:val="99"/>
    <w:pPr>
      <w:tabs>
        <w:tab w:val="center" w:pos="4153"/>
        <w:tab w:val="right" w:pos="8306"/>
      </w:tabs>
      <w:snapToGrid w:val="0"/>
      <w:jc w:val="left"/>
    </w:pPr>
    <w:rPr>
      <w:rFonts w:ascii="Calibri" w:hAnsi="Calibri" w:eastAsia="宋体" w:cs="Times New Roman"/>
      <w:kern w:val="0"/>
      <w:sz w:val="18"/>
      <w:szCs w:val="18"/>
      <w:lang w:val="zh-CN"/>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kern w:val="0"/>
      <w:sz w:val="18"/>
      <w:szCs w:val="18"/>
      <w:lang w:val="zh-CN"/>
    </w:rPr>
  </w:style>
  <w:style w:type="paragraph" w:styleId="8">
    <w:name w:val="Body Text First Indent 2"/>
    <w:basedOn w:val="3"/>
    <w:qFormat/>
    <w:uiPriority w:val="0"/>
    <w:pPr>
      <w:adjustRightInd w:val="0"/>
      <w:spacing w:line="360" w:lineRule="auto"/>
      <w:ind w:firstLine="420"/>
      <w:textAlignment w:val="baseline"/>
    </w:pPr>
    <w:rPr>
      <w:rFonts w:eastAsia="等线"/>
      <w:color w:val="000000"/>
    </w:rPr>
  </w:style>
  <w:style w:type="character" w:styleId="11">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24308</Words>
  <Characters>24845</Characters>
  <Lines>0</Lines>
  <Paragraphs>0</Paragraphs>
  <TotalTime>1</TotalTime>
  <ScaleCrop>false</ScaleCrop>
  <LinksUpToDate>false</LinksUpToDate>
  <CharactersWithSpaces>26687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wo</dc:creator>
  <cp:lastModifiedBy>张</cp:lastModifiedBy>
  <cp:lastPrinted>2025-07-07T06:33:00Z</cp:lastPrinted>
  <dcterms:modified xsi:type="dcterms:W3CDTF">2025-07-14T08:57:26Z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TemplateDocerSaveRecord">
    <vt:lpwstr>eyJoZGlkIjoiMjJiODExYjAwZTI3NjUzN2RmYmFiZDQxNWQ4ZjgzZjgiLCJ1c2VySWQiOiIxNTA2MzI5MTA1In0=</vt:lpwstr>
  </property>
  <property fmtid="{D5CDD505-2E9C-101B-9397-08002B2CF9AE}" pid="4" name="ICV">
    <vt:lpwstr>4442364B12454CAEA40C27A9617507C6_13</vt:lpwstr>
  </property>
</Properties>
</file>