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sz w:val="48"/>
          <w:szCs w:val="48"/>
          <w:highlight w:val="none"/>
          <w:lang w:eastAsia="zh-CN"/>
        </w:rPr>
      </w:pPr>
      <w:r>
        <w:rPr>
          <w:rFonts w:hint="eastAsia" w:hAnsi="宋体"/>
          <w:b/>
          <w:bCs/>
          <w:sz w:val="48"/>
          <w:szCs w:val="48"/>
          <w:highlight w:val="none"/>
          <w:lang w:eastAsia="zh-CN"/>
        </w:rPr>
        <w:t>岭南集团食品产业基地项目</w:t>
      </w:r>
    </w:p>
    <w:p>
      <w:pPr>
        <w:spacing w:line="360" w:lineRule="auto"/>
        <w:jc w:val="center"/>
        <w:rPr>
          <w:rFonts w:hint="eastAsia" w:hAnsi="宋体" w:eastAsiaTheme="minorEastAsia"/>
          <w:b/>
          <w:bCs/>
          <w:sz w:val="48"/>
          <w:szCs w:val="48"/>
          <w:highlight w:val="none"/>
          <w:lang w:eastAsia="zh-CN"/>
        </w:rPr>
      </w:pPr>
      <w:r>
        <w:rPr>
          <w:rFonts w:hint="eastAsia" w:hAnsi="宋体"/>
          <w:b/>
          <w:bCs/>
          <w:sz w:val="48"/>
          <w:szCs w:val="48"/>
          <w:highlight w:val="none"/>
          <w:lang w:eastAsia="zh-CN"/>
        </w:rPr>
        <w:t>全过程造价咨询服务</w:t>
      </w:r>
    </w:p>
    <w:p>
      <w:pPr>
        <w:jc w:val="center"/>
        <w:rPr>
          <w:rFonts w:hAnsi="宋体"/>
          <w:sz w:val="28"/>
          <w:szCs w:val="28"/>
          <w:highlight w:val="none"/>
        </w:rPr>
      </w:pPr>
    </w:p>
    <w:p>
      <w:pPr>
        <w:rPr>
          <w:rFonts w:hAnsi="宋体"/>
          <w:highlight w:val="none"/>
        </w:rPr>
      </w:pPr>
    </w:p>
    <w:p>
      <w:pPr>
        <w:pStyle w:val="5"/>
        <w:ind w:firstLine="680"/>
        <w:rPr>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69" w:lineRule="exact"/>
        <w:ind w:firstLine="480"/>
        <w:rPr>
          <w:rFonts w:hAnsi="宋体"/>
          <w:highlight w:val="none"/>
        </w:rPr>
      </w:pPr>
    </w:p>
    <w:p>
      <w:pPr>
        <w:jc w:val="center"/>
        <w:rPr>
          <w:rFonts w:hAnsi="宋体"/>
          <w:b/>
          <w:bCs/>
          <w:sz w:val="96"/>
          <w:szCs w:val="96"/>
          <w:highlight w:val="none"/>
        </w:rPr>
      </w:pPr>
      <w:r>
        <w:rPr>
          <w:rFonts w:hAnsi="宋体"/>
          <w:b/>
          <w:bCs/>
          <w:sz w:val="96"/>
          <w:szCs w:val="96"/>
          <w:highlight w:val="none"/>
        </w:rPr>
        <w:t>招 标 文 件</w:t>
      </w:r>
    </w:p>
    <w:p>
      <w:pPr>
        <w:ind w:firstLine="602"/>
        <w:jc w:val="center"/>
        <w:rPr>
          <w:rFonts w:hAnsi="宋体"/>
          <w:b/>
          <w:bCs/>
          <w:sz w:val="30"/>
          <w:szCs w:val="30"/>
          <w:highlight w:val="none"/>
        </w:rPr>
      </w:pPr>
    </w:p>
    <w:p>
      <w:pPr>
        <w:pStyle w:val="5"/>
        <w:ind w:firstLine="602"/>
        <w:rPr>
          <w:rFonts w:hAnsi="宋体"/>
          <w:b/>
          <w:bCs/>
          <w:sz w:val="30"/>
          <w:szCs w:val="30"/>
          <w:highlight w:val="none"/>
        </w:rPr>
      </w:pPr>
    </w:p>
    <w:p>
      <w:pPr>
        <w:pStyle w:val="5"/>
        <w:ind w:firstLine="602"/>
        <w:rPr>
          <w:rFonts w:hAnsi="宋体"/>
          <w:b/>
          <w:bCs/>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ind w:firstLine="600"/>
        <w:rPr>
          <w:rFonts w:hAnsi="宋体"/>
          <w:sz w:val="30"/>
          <w:szCs w:val="30"/>
          <w:highlight w:val="none"/>
        </w:rPr>
      </w:pPr>
    </w:p>
    <w:p>
      <w:pPr>
        <w:spacing w:line="360" w:lineRule="auto"/>
        <w:ind w:firstLine="1205" w:firstLineChars="400"/>
        <w:rPr>
          <w:rFonts w:hint="eastAsia" w:asciiTheme="minorEastAsia" w:hAnsiTheme="minorEastAsia" w:eastAsiaTheme="minorEastAsia" w:cstheme="minorEastAsia"/>
          <w:b/>
          <w:bCs/>
          <w:sz w:val="30"/>
          <w:szCs w:val="30"/>
          <w:highlight w:val="none"/>
          <w:u w:val="single"/>
          <w:lang w:eastAsia="zh-CN"/>
        </w:rPr>
      </w:pPr>
      <w:r>
        <w:rPr>
          <w:rFonts w:hint="eastAsia" w:asciiTheme="minorEastAsia" w:hAnsiTheme="minorEastAsia" w:eastAsiaTheme="minorEastAsia" w:cstheme="minorEastAsia"/>
          <w:b/>
          <w:bCs/>
          <w:sz w:val="30"/>
          <w:szCs w:val="30"/>
          <w:highlight w:val="none"/>
        </w:rPr>
        <w:t>招标人：</w:t>
      </w:r>
      <w:r>
        <w:rPr>
          <w:rFonts w:hint="eastAsia" w:asciiTheme="minorEastAsia" w:hAnsiTheme="minorEastAsia" w:eastAsiaTheme="minorEastAsia" w:cstheme="minorEastAsia"/>
          <w:b/>
          <w:bCs/>
          <w:sz w:val="30"/>
          <w:szCs w:val="30"/>
          <w:highlight w:val="none"/>
          <w:u w:val="single"/>
          <w:lang w:eastAsia="zh-CN"/>
        </w:rPr>
        <w:t>广州广粮坊食品科技有限公司</w:t>
      </w:r>
    </w:p>
    <w:p>
      <w:pPr>
        <w:spacing w:line="360" w:lineRule="auto"/>
        <w:ind w:firstLine="1205" w:firstLineChars="400"/>
        <w:rPr>
          <w:rFonts w:hint="eastAsia" w:asciiTheme="minorEastAsia" w:hAnsiTheme="minorEastAsia" w:eastAsiaTheme="minorEastAsia" w:cstheme="minorEastAsia"/>
          <w:b/>
          <w:bCs/>
          <w:sz w:val="30"/>
          <w:szCs w:val="30"/>
          <w:highlight w:val="none"/>
          <w:u w:val="single"/>
          <w:lang w:eastAsia="zh-CN"/>
        </w:rPr>
      </w:pPr>
      <w:r>
        <w:rPr>
          <w:rFonts w:hint="eastAsia" w:asciiTheme="minorEastAsia" w:hAnsiTheme="minorEastAsia" w:eastAsiaTheme="minorEastAsia" w:cstheme="minorEastAsia"/>
          <w:b/>
          <w:bCs/>
          <w:sz w:val="30"/>
          <w:szCs w:val="30"/>
          <w:highlight w:val="none"/>
        </w:rPr>
        <w:t>招标代理机构：</w:t>
      </w:r>
      <w:r>
        <w:rPr>
          <w:rFonts w:hint="eastAsia" w:asciiTheme="minorEastAsia" w:hAnsiTheme="minorEastAsia" w:eastAsiaTheme="minorEastAsia" w:cstheme="minorEastAsia"/>
          <w:b/>
          <w:bCs/>
          <w:sz w:val="30"/>
          <w:szCs w:val="30"/>
          <w:highlight w:val="none"/>
          <w:u w:val="single"/>
          <w:lang w:eastAsia="zh-CN"/>
        </w:rPr>
        <w:t>广州市国际工程咨询有限公司</w:t>
      </w:r>
    </w:p>
    <w:p>
      <w:pPr>
        <w:spacing w:line="360" w:lineRule="auto"/>
        <w:ind w:firstLine="1205" w:firstLineChars="40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日        期：</w:t>
      </w:r>
      <w:r>
        <w:rPr>
          <w:rFonts w:hint="eastAsia" w:asciiTheme="minorEastAsia" w:hAnsiTheme="minorEastAsia" w:eastAsiaTheme="minorEastAsia" w:cstheme="minorEastAsia"/>
          <w:b/>
          <w:bCs/>
          <w:sz w:val="30"/>
          <w:szCs w:val="30"/>
          <w:highlight w:val="none"/>
          <w:u w:val="single"/>
        </w:rPr>
        <w:t>202</w:t>
      </w:r>
      <w:r>
        <w:rPr>
          <w:rFonts w:hint="eastAsia" w:asciiTheme="minorEastAsia" w:hAnsiTheme="minorEastAsia" w:eastAsiaTheme="minorEastAsia" w:cstheme="minorEastAsia"/>
          <w:b/>
          <w:bCs/>
          <w:sz w:val="30"/>
          <w:szCs w:val="30"/>
          <w:highlight w:val="none"/>
          <w:u w:val="single"/>
          <w:lang w:val="en-US" w:eastAsia="zh-CN"/>
        </w:rPr>
        <w:t>5</w:t>
      </w:r>
      <w:r>
        <w:rPr>
          <w:rFonts w:hint="eastAsia" w:asciiTheme="minorEastAsia" w:hAnsiTheme="minorEastAsia" w:eastAsiaTheme="minorEastAsia" w:cstheme="minorEastAsia"/>
          <w:b/>
          <w:bCs/>
          <w:sz w:val="30"/>
          <w:szCs w:val="30"/>
          <w:highlight w:val="none"/>
        </w:rPr>
        <w:t>年</w:t>
      </w:r>
      <w:r>
        <w:rPr>
          <w:rFonts w:hint="eastAsia" w:asciiTheme="minorEastAsia" w:hAnsiTheme="minorEastAsia" w:eastAsiaTheme="minorEastAsia" w:cstheme="minorEastAsia"/>
          <w:b/>
          <w:bCs/>
          <w:sz w:val="30"/>
          <w:szCs w:val="30"/>
          <w:highlight w:val="none"/>
          <w:u w:val="single"/>
        </w:rPr>
        <w:t xml:space="preserve"> </w:t>
      </w:r>
      <w:r>
        <w:rPr>
          <w:rFonts w:hint="eastAsia" w:asciiTheme="minorEastAsia" w:hAnsiTheme="minorEastAsia" w:cstheme="minorEastAsia"/>
          <w:b/>
          <w:bCs/>
          <w:sz w:val="30"/>
          <w:szCs w:val="30"/>
          <w:highlight w:val="none"/>
          <w:u w:val="single"/>
          <w:lang w:val="en-US" w:eastAsia="zh-CN"/>
        </w:rPr>
        <w:t>7</w:t>
      </w:r>
      <w:r>
        <w:rPr>
          <w:rFonts w:hint="eastAsia" w:asciiTheme="minorEastAsia" w:hAnsiTheme="minorEastAsia" w:eastAsiaTheme="minorEastAsia" w:cstheme="minorEastAsia"/>
          <w:b/>
          <w:bCs/>
          <w:sz w:val="30"/>
          <w:szCs w:val="30"/>
          <w:highlight w:val="none"/>
        </w:rPr>
        <w:t>月</w:t>
      </w:r>
    </w:p>
    <w:p>
      <w:pPr>
        <w:widowControl/>
        <w:jc w:val="left"/>
        <w:rPr>
          <w:rFonts w:hAnsi="宋体" w:cs="宋体"/>
          <w:b/>
          <w:sz w:val="32"/>
          <w:szCs w:val="32"/>
          <w:highlight w:val="none"/>
        </w:rPr>
      </w:pPr>
      <w:r>
        <w:rPr>
          <w:rFonts w:hAnsi="宋体" w:cs="宋体"/>
          <w:b/>
          <w:sz w:val="32"/>
          <w:szCs w:val="32"/>
          <w:highlight w:val="none"/>
        </w:rPr>
        <w:br w:type="page"/>
      </w:r>
    </w:p>
    <w:p>
      <w:pPr>
        <w:keepNext/>
        <w:keepLines/>
        <w:spacing w:line="360" w:lineRule="auto"/>
        <w:jc w:val="center"/>
        <w:outlineLvl w:val="0"/>
        <w:rPr>
          <w:rFonts w:ascii="Times New Roman" w:hAnsi="Times New Roman" w:eastAsia="宋体" w:cs="Times New Roman"/>
          <w:b/>
          <w:kern w:val="44"/>
          <w:sz w:val="44"/>
          <w:szCs w:val="20"/>
          <w:highlight w:val="none"/>
        </w:rPr>
      </w:pPr>
      <w:bookmarkStart w:id="0" w:name="_Toc35513422"/>
      <w:bookmarkStart w:id="1" w:name="_Toc69983606"/>
      <w:bookmarkStart w:id="2" w:name="_Toc22558"/>
      <w:r>
        <w:rPr>
          <w:rFonts w:hint="eastAsia" w:ascii="Times New Roman" w:hAnsi="Times New Roman" w:eastAsia="宋体" w:cs="Times New Roman"/>
          <w:b/>
          <w:kern w:val="44"/>
          <w:sz w:val="44"/>
          <w:szCs w:val="20"/>
          <w:highlight w:val="none"/>
        </w:rPr>
        <w:t>重要提示</w:t>
      </w:r>
      <w:bookmarkEnd w:id="0"/>
      <w:bookmarkEnd w:id="1"/>
      <w:bookmarkEnd w:id="2"/>
    </w:p>
    <w:p>
      <w:pPr>
        <w:widowControl/>
        <w:spacing w:line="360" w:lineRule="auto"/>
        <w:ind w:firstLine="537" w:firstLineChars="224"/>
        <w:jc w:val="center"/>
        <w:rPr>
          <w:rFonts w:ascii="宋体" w:hAnsi="宋体" w:eastAsia="宋体" w:cs="Times New Roman"/>
          <w:bCs/>
          <w:kern w:val="0"/>
          <w:sz w:val="24"/>
          <w:szCs w:val="20"/>
          <w:highlight w:val="none"/>
        </w:rPr>
      </w:pPr>
    </w:p>
    <w:p>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本项目实施电子招投标，投标人应先认真阅读广州交易集团有限公司（广州公共资源交易中心）网站发布的最新版操作指引。。</w:t>
      </w:r>
    </w:p>
    <w:p>
      <w:pPr>
        <w:ind w:firstLine="1285" w:firstLineChars="400"/>
        <w:rPr>
          <w:rFonts w:hAnsi="宋体" w:cs="宋体"/>
          <w:b/>
          <w:sz w:val="32"/>
          <w:szCs w:val="32"/>
          <w:highlight w:val="none"/>
        </w:rPr>
      </w:pPr>
    </w:p>
    <w:p>
      <w:pPr>
        <w:spacing w:line="292" w:lineRule="exact"/>
        <w:ind w:left="840" w:firstLine="480"/>
        <w:rPr>
          <w:rFonts w:hAnsi="宋体"/>
          <w:highlight w:val="none"/>
        </w:rPr>
        <w:sectPr>
          <w:footerReference r:id="rId6" w:type="first"/>
          <w:footerReference r:id="rId4" w:type="default"/>
          <w:headerReference r:id="rId3" w:type="even"/>
          <w:footerReference r:id="rId5" w:type="even"/>
          <w:pgSz w:w="12240" w:h="15840"/>
          <w:pgMar w:top="1417" w:right="1417" w:bottom="1417" w:left="1417" w:header="1134" w:footer="1134" w:gutter="0"/>
          <w:pgNumType w:start="0"/>
          <w:cols w:space="720" w:num="1"/>
          <w:rtlGutter w:val="1"/>
          <w:docGrid w:linePitch="360" w:charSpace="0"/>
        </w:sectPr>
      </w:pPr>
    </w:p>
    <w:p>
      <w:pPr>
        <w:pStyle w:val="2"/>
        <w:keepNext/>
        <w:keepLines/>
        <w:pageBreakBefore w:val="0"/>
        <w:widowControl/>
        <w:kinsoku/>
        <w:wordWrap/>
        <w:overflowPunct/>
        <w:topLinePunct w:val="0"/>
        <w:autoSpaceDE/>
        <w:autoSpaceDN/>
        <w:bidi w:val="0"/>
        <w:adjustRightInd/>
        <w:snapToGrid/>
        <w:ind w:firstLine="0" w:firstLineChars="0"/>
        <w:jc w:val="center"/>
        <w:textAlignment w:val="auto"/>
        <w:rPr>
          <w:highlight w:val="none"/>
        </w:rPr>
      </w:pPr>
      <w:bookmarkStart w:id="3" w:name="page4"/>
      <w:bookmarkEnd w:id="3"/>
      <w:bookmarkStart w:id="4" w:name="page3"/>
      <w:bookmarkEnd w:id="4"/>
      <w:bookmarkStart w:id="5" w:name="_Toc35513423"/>
      <w:bookmarkStart w:id="6" w:name="_Toc20214"/>
      <w:bookmarkStart w:id="7" w:name="_Toc16363"/>
      <w:bookmarkStart w:id="8" w:name="_Toc17035"/>
      <w:bookmarkStart w:id="9" w:name="_Toc69983607"/>
      <w:bookmarkStart w:id="10" w:name="_Toc32675"/>
      <w:bookmarkStart w:id="11" w:name="_Toc263"/>
      <w:bookmarkStart w:id="12" w:name="_Toc9405"/>
      <w:bookmarkStart w:id="13" w:name="_Toc157"/>
      <w:bookmarkStart w:id="14" w:name="_Toc15058"/>
      <w:r>
        <w:rPr>
          <w:rFonts w:hint="eastAsia"/>
          <w:highlight w:val="none"/>
          <w:lang w:val="zh-CN"/>
        </w:rPr>
        <w:t>目录</w:t>
      </w:r>
      <w:bookmarkEnd w:id="5"/>
      <w:bookmarkEnd w:id="6"/>
      <w:bookmarkEnd w:id="7"/>
      <w:bookmarkEnd w:id="8"/>
      <w:bookmarkEnd w:id="9"/>
      <w:bookmarkEnd w:id="10"/>
      <w:bookmarkEnd w:id="11"/>
      <w:bookmarkEnd w:id="12"/>
      <w:bookmarkEnd w:id="13"/>
      <w:bookmarkEnd w:id="14"/>
    </w:p>
    <w:p>
      <w:pPr>
        <w:pStyle w:val="13"/>
        <w:tabs>
          <w:tab w:val="right" w:leader="dot" w:pos="8646"/>
        </w:tabs>
        <w:ind w:firstLine="0" w:firstLineChars="0"/>
      </w:pPr>
      <w:r>
        <w:rPr>
          <w:rFonts w:hAnsi="宋体"/>
          <w:b/>
          <w:sz w:val="28"/>
          <w:szCs w:val="28"/>
          <w:highlight w:val="none"/>
        </w:rPr>
        <w:fldChar w:fldCharType="begin"/>
      </w:r>
      <w:r>
        <w:rPr>
          <w:rFonts w:hAnsi="宋体"/>
          <w:b/>
          <w:sz w:val="28"/>
          <w:szCs w:val="28"/>
          <w:highlight w:val="none"/>
        </w:rPr>
        <w:instrText xml:space="preserve">TOC \o "1-1" \h \u </w:instrText>
      </w:r>
      <w:r>
        <w:rPr>
          <w:rFonts w:hAnsi="宋体"/>
          <w:b/>
          <w:sz w:val="28"/>
          <w:szCs w:val="28"/>
          <w:highlight w:val="none"/>
        </w:rPr>
        <w:fldChar w:fldCharType="separate"/>
      </w:r>
    </w:p>
    <w:p>
      <w:pPr>
        <w:pStyle w:val="13"/>
        <w:tabs>
          <w:tab w:val="right" w:leader="dot" w:pos="8646"/>
        </w:tabs>
      </w:pPr>
      <w:r>
        <w:rPr>
          <w:rFonts w:hAnsi="宋体"/>
          <w:szCs w:val="28"/>
          <w:highlight w:val="none"/>
        </w:rPr>
        <w:fldChar w:fldCharType="begin"/>
      </w:r>
      <w:r>
        <w:rPr>
          <w:rFonts w:hAnsi="宋体"/>
          <w:szCs w:val="28"/>
          <w:highlight w:val="none"/>
        </w:rPr>
        <w:instrText xml:space="preserve"> HYPERLINK \l _Toc315 </w:instrText>
      </w:r>
      <w:r>
        <w:rPr>
          <w:rFonts w:hAnsi="宋体"/>
          <w:szCs w:val="28"/>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_Toc315 \h </w:instrText>
      </w:r>
      <w:r>
        <w:fldChar w:fldCharType="separate"/>
      </w:r>
      <w:r>
        <w:t>2</w:t>
      </w:r>
      <w:r>
        <w:fldChar w:fldCharType="end"/>
      </w:r>
      <w:r>
        <w:rPr>
          <w:rFonts w:hAnsi="宋体"/>
          <w:szCs w:val="28"/>
          <w:highlight w:val="none"/>
        </w:rPr>
        <w:fldChar w:fldCharType="end"/>
      </w:r>
    </w:p>
    <w:p>
      <w:pPr>
        <w:pStyle w:val="13"/>
        <w:tabs>
          <w:tab w:val="right" w:leader="dot" w:pos="8646"/>
        </w:tabs>
        <w:ind w:firstLine="480" w:firstLineChars="200"/>
      </w:pPr>
      <w:r>
        <w:rPr>
          <w:rFonts w:hAnsi="宋体"/>
          <w:szCs w:val="28"/>
          <w:highlight w:val="none"/>
        </w:rPr>
        <w:fldChar w:fldCharType="begin"/>
      </w:r>
      <w:r>
        <w:rPr>
          <w:rFonts w:hAnsi="宋体"/>
          <w:szCs w:val="28"/>
          <w:highlight w:val="none"/>
        </w:rPr>
        <w:instrText xml:space="preserve"> HYPERLINK \l _Toc28701 </w:instrText>
      </w:r>
      <w:r>
        <w:rPr>
          <w:rFonts w:hAnsi="宋体"/>
          <w:szCs w:val="28"/>
          <w:highlight w:val="none"/>
        </w:rPr>
        <w:fldChar w:fldCharType="separate"/>
      </w:r>
      <w:r>
        <w:rPr>
          <w:rFonts w:hint="eastAsia" w:ascii="Times New Roman" w:hAnsi="Times New Roman" w:eastAsia="宋体" w:cs="Times New Roman"/>
          <w:highlight w:val="none"/>
        </w:rPr>
        <w:t>第二章 投标人须知</w:t>
      </w:r>
      <w:r>
        <w:tab/>
      </w:r>
      <w:r>
        <w:fldChar w:fldCharType="begin"/>
      </w:r>
      <w:r>
        <w:instrText xml:space="preserve"> PAGEREF _Toc28701 \h </w:instrText>
      </w:r>
      <w:r>
        <w:fldChar w:fldCharType="separate"/>
      </w:r>
      <w:r>
        <w:t>3</w:t>
      </w:r>
      <w:r>
        <w:fldChar w:fldCharType="end"/>
      </w:r>
      <w:r>
        <w:rPr>
          <w:rFonts w:hAnsi="宋体"/>
          <w:szCs w:val="28"/>
          <w:highlight w:val="none"/>
        </w:rPr>
        <w:fldChar w:fldCharType="end"/>
      </w:r>
    </w:p>
    <w:p>
      <w:pPr>
        <w:pStyle w:val="13"/>
        <w:tabs>
          <w:tab w:val="right" w:leader="dot" w:pos="8646"/>
        </w:tabs>
      </w:pPr>
      <w:r>
        <w:rPr>
          <w:rFonts w:hAnsi="宋体"/>
          <w:szCs w:val="28"/>
          <w:highlight w:val="none"/>
        </w:rPr>
        <w:fldChar w:fldCharType="begin"/>
      </w:r>
      <w:r>
        <w:rPr>
          <w:rFonts w:hAnsi="宋体"/>
          <w:szCs w:val="28"/>
          <w:highlight w:val="none"/>
        </w:rPr>
        <w:instrText xml:space="preserve"> HYPERLINK \l _Toc7491 </w:instrText>
      </w:r>
      <w:r>
        <w:rPr>
          <w:rFonts w:hAnsi="宋体"/>
          <w:szCs w:val="28"/>
          <w:highlight w:val="none"/>
        </w:rPr>
        <w:fldChar w:fldCharType="separate"/>
      </w:r>
      <w:r>
        <w:rPr>
          <w:rFonts w:hAnsi="宋体"/>
          <w:highlight w:val="none"/>
        </w:rPr>
        <w:t>第三章 评标办法（综合评估法）</w:t>
      </w:r>
      <w:r>
        <w:tab/>
      </w:r>
      <w:r>
        <w:fldChar w:fldCharType="begin"/>
      </w:r>
      <w:r>
        <w:instrText xml:space="preserve"> PAGEREF _Toc7491 \h </w:instrText>
      </w:r>
      <w:r>
        <w:fldChar w:fldCharType="separate"/>
      </w:r>
      <w:r>
        <w:t>27</w:t>
      </w:r>
      <w:r>
        <w:fldChar w:fldCharType="end"/>
      </w:r>
      <w:r>
        <w:rPr>
          <w:rFonts w:hAnsi="宋体"/>
          <w:szCs w:val="28"/>
          <w:highlight w:val="none"/>
        </w:rPr>
        <w:fldChar w:fldCharType="end"/>
      </w:r>
    </w:p>
    <w:p>
      <w:pPr>
        <w:pStyle w:val="13"/>
        <w:tabs>
          <w:tab w:val="right" w:leader="dot" w:pos="8646"/>
        </w:tabs>
      </w:pPr>
      <w:r>
        <w:rPr>
          <w:rFonts w:hAnsi="宋体"/>
          <w:szCs w:val="28"/>
          <w:highlight w:val="none"/>
        </w:rPr>
        <w:fldChar w:fldCharType="begin"/>
      </w:r>
      <w:r>
        <w:rPr>
          <w:rFonts w:hAnsi="宋体"/>
          <w:szCs w:val="28"/>
          <w:highlight w:val="none"/>
        </w:rPr>
        <w:instrText xml:space="preserve"> HYPERLINK \l _Toc19874 </w:instrText>
      </w:r>
      <w:r>
        <w:rPr>
          <w:rFonts w:hAnsi="宋体"/>
          <w:szCs w:val="28"/>
          <w:highlight w:val="none"/>
        </w:rPr>
        <w:fldChar w:fldCharType="separate"/>
      </w:r>
      <w:r>
        <w:rPr>
          <w:rFonts w:hAnsi="宋体"/>
          <w:highlight w:val="none"/>
        </w:rPr>
        <w:t>第四章 合同条款及格式</w:t>
      </w:r>
      <w:r>
        <w:tab/>
      </w:r>
      <w:r>
        <w:fldChar w:fldCharType="begin"/>
      </w:r>
      <w:r>
        <w:instrText xml:space="preserve"> PAGEREF _Toc19874 \h </w:instrText>
      </w:r>
      <w:r>
        <w:fldChar w:fldCharType="separate"/>
      </w:r>
      <w:r>
        <w:t>38</w:t>
      </w:r>
      <w:r>
        <w:fldChar w:fldCharType="end"/>
      </w:r>
      <w:r>
        <w:rPr>
          <w:rFonts w:hAnsi="宋体"/>
          <w:szCs w:val="28"/>
          <w:highlight w:val="none"/>
        </w:rPr>
        <w:fldChar w:fldCharType="end"/>
      </w:r>
    </w:p>
    <w:p>
      <w:pPr>
        <w:pStyle w:val="13"/>
        <w:tabs>
          <w:tab w:val="right" w:leader="dot" w:pos="8646"/>
        </w:tabs>
      </w:pPr>
      <w:r>
        <w:rPr>
          <w:rFonts w:hAnsi="宋体"/>
          <w:szCs w:val="28"/>
          <w:highlight w:val="none"/>
        </w:rPr>
        <w:fldChar w:fldCharType="begin"/>
      </w:r>
      <w:r>
        <w:rPr>
          <w:rFonts w:hAnsi="宋体"/>
          <w:szCs w:val="28"/>
          <w:highlight w:val="none"/>
        </w:rPr>
        <w:instrText xml:space="preserve"> HYPERLINK \l _Toc5958 </w:instrText>
      </w:r>
      <w:r>
        <w:rPr>
          <w:rFonts w:hAnsi="宋体"/>
          <w:szCs w:val="28"/>
          <w:highlight w:val="none"/>
        </w:rPr>
        <w:fldChar w:fldCharType="separate"/>
      </w:r>
      <w:r>
        <w:rPr>
          <w:rFonts w:hAnsi="宋体"/>
          <w:highlight w:val="none"/>
        </w:rPr>
        <w:t>第五章 委托人要求</w:t>
      </w:r>
      <w:r>
        <w:tab/>
      </w:r>
      <w:r>
        <w:fldChar w:fldCharType="begin"/>
      </w:r>
      <w:r>
        <w:instrText xml:space="preserve"> PAGEREF _Toc5958 \h </w:instrText>
      </w:r>
      <w:r>
        <w:fldChar w:fldCharType="separate"/>
      </w:r>
      <w:r>
        <w:t>39</w:t>
      </w:r>
      <w:r>
        <w:fldChar w:fldCharType="end"/>
      </w:r>
      <w:r>
        <w:rPr>
          <w:rFonts w:hAnsi="宋体"/>
          <w:szCs w:val="28"/>
          <w:highlight w:val="none"/>
        </w:rPr>
        <w:fldChar w:fldCharType="end"/>
      </w:r>
    </w:p>
    <w:p>
      <w:pPr>
        <w:pStyle w:val="13"/>
        <w:tabs>
          <w:tab w:val="right" w:leader="dot" w:pos="8646"/>
        </w:tabs>
      </w:pPr>
      <w:r>
        <w:rPr>
          <w:rFonts w:hAnsi="宋体"/>
          <w:szCs w:val="28"/>
          <w:highlight w:val="none"/>
        </w:rPr>
        <w:fldChar w:fldCharType="begin"/>
      </w:r>
      <w:r>
        <w:rPr>
          <w:rFonts w:hAnsi="宋体"/>
          <w:szCs w:val="28"/>
          <w:highlight w:val="none"/>
        </w:rPr>
        <w:instrText xml:space="preserve"> HYPERLINK \l _Toc20165 </w:instrText>
      </w:r>
      <w:r>
        <w:rPr>
          <w:rFonts w:hAnsi="宋体"/>
          <w:szCs w:val="28"/>
          <w:highlight w:val="none"/>
        </w:rPr>
        <w:fldChar w:fldCharType="separate"/>
      </w:r>
      <w:r>
        <w:rPr>
          <w:rFonts w:hAnsi="宋体"/>
          <w:highlight w:val="none"/>
        </w:rPr>
        <w:t>第六章 投标文件格式</w:t>
      </w:r>
      <w:r>
        <w:tab/>
      </w:r>
      <w:r>
        <w:fldChar w:fldCharType="begin"/>
      </w:r>
      <w:r>
        <w:instrText xml:space="preserve"> PAGEREF _Toc20165 \h </w:instrText>
      </w:r>
      <w:r>
        <w:fldChar w:fldCharType="separate"/>
      </w:r>
      <w:r>
        <w:t>42</w:t>
      </w:r>
      <w:r>
        <w:fldChar w:fldCharType="end"/>
      </w:r>
      <w:r>
        <w:rPr>
          <w:rFonts w:hAnsi="宋体"/>
          <w:szCs w:val="28"/>
          <w:highlight w:val="none"/>
        </w:rPr>
        <w:fldChar w:fldCharType="end"/>
      </w:r>
    </w:p>
    <w:p>
      <w:pPr>
        <w:ind w:firstLine="562"/>
        <w:rPr>
          <w:rFonts w:hAnsi="宋体"/>
          <w:sz w:val="28"/>
          <w:szCs w:val="28"/>
          <w:highlight w:val="none"/>
        </w:rPr>
      </w:pPr>
      <w:r>
        <w:rPr>
          <w:rFonts w:hAnsi="宋体"/>
          <w:szCs w:val="28"/>
          <w:highlight w:val="none"/>
        </w:rPr>
        <w:fldChar w:fldCharType="end"/>
      </w:r>
    </w:p>
    <w:p>
      <w:pPr>
        <w:pStyle w:val="13"/>
        <w:tabs>
          <w:tab w:val="left" w:pos="5244"/>
          <w:tab w:val="right" w:leader="dot" w:pos="8630"/>
        </w:tabs>
        <w:spacing w:line="480" w:lineRule="auto"/>
        <w:ind w:firstLine="480"/>
        <w:jc w:val="left"/>
        <w:rPr>
          <w:rFonts w:hAnsi="宋体"/>
          <w:highlight w:val="none"/>
        </w:rPr>
      </w:pPr>
      <w:r>
        <w:rPr>
          <w:rFonts w:hAnsi="宋体"/>
          <w:highlight w:val="none"/>
        </w:rPr>
        <w:tab/>
      </w:r>
    </w:p>
    <w:p>
      <w:pPr>
        <w:tabs>
          <w:tab w:val="left" w:leader="dot" w:pos="8760"/>
        </w:tabs>
        <w:ind w:left="780" w:firstLine="420"/>
        <w:rPr>
          <w:rFonts w:hAnsi="宋体"/>
          <w:highlight w:val="none"/>
        </w:rPr>
        <w:sectPr>
          <w:footerReference r:id="rId7" w:type="default"/>
          <w:pgSz w:w="12240" w:h="15840"/>
          <w:pgMar w:top="1440" w:right="1797" w:bottom="1440" w:left="1797" w:header="1134" w:footer="1134" w:gutter="0"/>
          <w:pgNumType w:start="1"/>
          <w:cols w:space="720" w:num="1"/>
          <w:titlePg/>
          <w:docGrid w:linePitch="360" w:charSpace="0"/>
        </w:sectPr>
      </w:pPr>
    </w:p>
    <w:p>
      <w:pPr>
        <w:spacing w:line="10" w:lineRule="exact"/>
        <w:ind w:firstLine="480"/>
        <w:rPr>
          <w:rFonts w:hAnsi="宋体"/>
          <w:highlight w:val="none"/>
        </w:rPr>
      </w:pPr>
      <w:bookmarkStart w:id="15" w:name="page10"/>
      <w:bookmarkEnd w:id="15"/>
      <w:bookmarkStart w:id="16" w:name="page9"/>
      <w:bookmarkEnd w:id="16"/>
    </w:p>
    <w:p>
      <w:pPr>
        <w:pStyle w:val="2"/>
        <w:keepNext/>
        <w:keepLines/>
        <w:pageBreakBefore w:val="0"/>
        <w:widowControl/>
        <w:kinsoku/>
        <w:wordWrap/>
        <w:overflowPunct/>
        <w:topLinePunct w:val="0"/>
        <w:autoSpaceDE/>
        <w:autoSpaceDN/>
        <w:bidi w:val="0"/>
        <w:adjustRightInd/>
        <w:snapToGrid/>
        <w:ind w:firstLine="0" w:firstLineChars="0"/>
        <w:jc w:val="center"/>
        <w:textAlignment w:val="auto"/>
        <w:rPr>
          <w:highlight w:val="none"/>
        </w:rPr>
      </w:pPr>
      <w:bookmarkStart w:id="17" w:name="_Toc69983609"/>
      <w:bookmarkStart w:id="18" w:name="_Toc13265"/>
      <w:bookmarkStart w:id="19" w:name="_Toc27917"/>
      <w:bookmarkStart w:id="20" w:name="_Toc13321"/>
      <w:bookmarkStart w:id="21" w:name="_Toc2705"/>
      <w:bookmarkStart w:id="22" w:name="_Toc315"/>
      <w:bookmarkStart w:id="23" w:name="_Toc27412"/>
      <w:bookmarkStart w:id="24" w:name="_Toc28184"/>
      <w:bookmarkStart w:id="25" w:name="_Toc14709204"/>
      <w:r>
        <w:rPr>
          <w:rFonts w:hint="eastAsia"/>
          <w:highlight w:val="none"/>
        </w:rPr>
        <w:t>第一章</w:t>
      </w:r>
      <w:r>
        <w:rPr>
          <w:highlight w:val="none"/>
        </w:rPr>
        <w:t xml:space="preserve"> </w:t>
      </w:r>
      <w:r>
        <w:rPr>
          <w:rFonts w:hint="eastAsia"/>
          <w:highlight w:val="none"/>
        </w:rPr>
        <w:t>招标公告</w:t>
      </w:r>
      <w:bookmarkEnd w:id="17"/>
      <w:bookmarkEnd w:id="18"/>
      <w:bookmarkEnd w:id="19"/>
      <w:bookmarkEnd w:id="20"/>
      <w:bookmarkEnd w:id="21"/>
      <w:bookmarkEnd w:id="22"/>
      <w:bookmarkEnd w:id="23"/>
      <w:bookmarkEnd w:id="24"/>
      <w:bookmarkEnd w:id="25"/>
    </w:p>
    <w:p>
      <w:pPr>
        <w:ind w:firstLine="480"/>
        <w:rPr>
          <w:rFonts w:hAnsi="宋体"/>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Ansi="宋体"/>
          <w:b/>
          <w:spacing w:val="-20"/>
          <w:sz w:val="32"/>
          <w:szCs w:val="32"/>
          <w:highlight w:val="none"/>
          <w:u w:val="single"/>
        </w:rPr>
      </w:pPr>
      <w:r>
        <w:rPr>
          <w:rFonts w:hint="eastAsia" w:hAnsi="宋体"/>
          <w:b/>
          <w:spacing w:val="-20"/>
          <w:sz w:val="32"/>
          <w:szCs w:val="32"/>
          <w:highlight w:val="none"/>
          <w:u w:val="single"/>
        </w:rPr>
        <w:t>（另册）</w:t>
      </w:r>
    </w:p>
    <w:p>
      <w:pPr>
        <w:pStyle w:val="2"/>
        <w:ind w:firstLine="0" w:firstLineChars="0"/>
        <w:jc w:val="center"/>
        <w:rPr>
          <w:rFonts w:hint="eastAsia" w:ascii="Times New Roman" w:hAnsi="Times New Roman" w:eastAsia="宋体" w:cs="Times New Roman"/>
          <w:highlight w:val="none"/>
        </w:rPr>
      </w:pPr>
      <w:bookmarkStart w:id="26" w:name="page15"/>
      <w:bookmarkEnd w:id="26"/>
      <w:bookmarkStart w:id="27" w:name="page14"/>
      <w:bookmarkEnd w:id="27"/>
      <w:bookmarkStart w:id="28" w:name="page12"/>
      <w:bookmarkEnd w:id="28"/>
      <w:bookmarkStart w:id="29" w:name="page16"/>
      <w:bookmarkEnd w:id="29"/>
      <w:bookmarkStart w:id="30" w:name="_Toc14709205"/>
      <w:bookmarkStart w:id="31" w:name="_Toc7855"/>
      <w:bookmarkStart w:id="32" w:name="_Toc12707"/>
      <w:bookmarkStart w:id="33" w:name="_Toc10310"/>
      <w:bookmarkStart w:id="34" w:name="_Toc290"/>
      <w:r>
        <w:rPr>
          <w:highlight w:val="none"/>
        </w:rPr>
        <w:br w:type="page"/>
      </w:r>
      <w:bookmarkStart w:id="35" w:name="_Toc69983610"/>
      <w:bookmarkStart w:id="36" w:name="_Toc20444"/>
      <w:bookmarkStart w:id="37" w:name="_Toc28383"/>
      <w:bookmarkStart w:id="38" w:name="_Toc28701"/>
      <w:r>
        <w:rPr>
          <w:rFonts w:hint="eastAsia" w:ascii="Times New Roman" w:hAnsi="Times New Roman" w:eastAsia="宋体" w:cs="Times New Roman"/>
          <w:highlight w:val="none"/>
        </w:rPr>
        <w:t>第二章 投标人须知</w:t>
      </w:r>
      <w:bookmarkEnd w:id="30"/>
      <w:bookmarkEnd w:id="31"/>
      <w:bookmarkEnd w:id="32"/>
      <w:bookmarkEnd w:id="33"/>
      <w:bookmarkEnd w:id="34"/>
      <w:bookmarkEnd w:id="35"/>
      <w:bookmarkEnd w:id="36"/>
      <w:bookmarkEnd w:id="37"/>
      <w:bookmarkEnd w:id="38"/>
    </w:p>
    <w:p>
      <w:pPr>
        <w:pStyle w:val="2"/>
        <w:ind w:firstLine="0" w:firstLineChars="0"/>
        <w:jc w:val="center"/>
        <w:rPr>
          <w:sz w:val="36"/>
          <w:szCs w:val="16"/>
          <w:highlight w:val="none"/>
        </w:rPr>
      </w:pPr>
      <w:bookmarkStart w:id="39" w:name="_Toc5784"/>
      <w:bookmarkStart w:id="40" w:name="_Toc29718"/>
      <w:bookmarkStart w:id="41" w:name="_Toc69983611"/>
      <w:bookmarkStart w:id="42" w:name="_Toc35513427"/>
      <w:bookmarkStart w:id="43" w:name="_Toc11515"/>
      <w:r>
        <w:rPr>
          <w:rFonts w:hint="eastAsia"/>
          <w:sz w:val="36"/>
          <w:szCs w:val="16"/>
          <w:highlight w:val="none"/>
        </w:rPr>
        <w:t>投标人须知前附表</w:t>
      </w:r>
      <w:bookmarkEnd w:id="39"/>
      <w:bookmarkEnd w:id="40"/>
      <w:bookmarkEnd w:id="41"/>
      <w:bookmarkEnd w:id="42"/>
      <w:bookmarkEnd w:id="43"/>
    </w:p>
    <w:tbl>
      <w:tblPr>
        <w:tblStyle w:val="14"/>
        <w:tblW w:w="9397"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235"/>
        <w:gridCol w:w="2208"/>
        <w:gridCol w:w="59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5" w:hRule="atLeast"/>
          <w:tblHeader/>
        </w:trPr>
        <w:tc>
          <w:tcPr>
            <w:tcW w:w="1235" w:type="dxa"/>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208" w:type="dxa"/>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5954" w:type="dxa"/>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77"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1.1.2</w:t>
            </w:r>
          </w:p>
        </w:tc>
        <w:tc>
          <w:tcPr>
            <w:tcW w:w="2208" w:type="dxa"/>
            <w:vAlign w:val="center"/>
          </w:tcPr>
          <w:p>
            <w:pPr>
              <w:spacing w:line="360" w:lineRule="auto"/>
              <w:ind w:left="105" w:leftChars="50" w:right="105" w:rightChars="50"/>
              <w:jc w:val="left"/>
              <w:rPr>
                <w:rFonts w:hint="eastAsia" w:ascii="宋体" w:hAnsi="宋体" w:eastAsia="宋体" w:cs="宋体"/>
                <w:w w:val="98"/>
                <w:sz w:val="21"/>
                <w:szCs w:val="21"/>
                <w:highlight w:val="none"/>
              </w:rPr>
            </w:pPr>
            <w:r>
              <w:rPr>
                <w:rFonts w:hint="eastAsia" w:ascii="宋体" w:hAnsi="宋体" w:eastAsia="宋体" w:cs="宋体"/>
                <w:sz w:val="21"/>
                <w:szCs w:val="21"/>
                <w:highlight w:val="none"/>
              </w:rPr>
              <w:t>招标人</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广州广粮坊食品科技有限公司</w:t>
            </w:r>
          </w:p>
          <w:p>
            <w:pPr>
              <w:spacing w:line="360" w:lineRule="auto"/>
              <w:ind w:left="105" w:leftChars="50" w:right="105" w:rightChars="5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地址：广州市南沙区横沥镇冯马路6号（自编1栋）</w:t>
            </w:r>
          </w:p>
          <w:p>
            <w:pPr>
              <w:spacing w:line="360" w:lineRule="auto"/>
              <w:ind w:left="105" w:leftChars="50" w:right="105" w:rightChars="5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联系人：孙工</w:t>
            </w:r>
          </w:p>
          <w:p>
            <w:pPr>
              <w:spacing w:line="360" w:lineRule="auto"/>
              <w:ind w:left="105" w:leftChars="50" w:right="105" w:rightChars="5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电话：020-83197621</w:t>
            </w:r>
            <w:r>
              <w:rPr>
                <w:rFonts w:hint="eastAsia" w:ascii="宋体" w:hAnsi="宋体" w:eastAsia="宋体" w:cs="宋体"/>
                <w:sz w:val="21"/>
                <w:szCs w:val="21"/>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0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广州市国际工程咨询有限公司</w:t>
            </w:r>
          </w:p>
          <w:p>
            <w:pPr>
              <w:spacing w:line="360" w:lineRule="auto"/>
              <w:ind w:left="105" w:leftChars="50" w:right="105" w:rightChars="5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lang w:eastAsia="zh-CN"/>
              </w:rPr>
              <w:t>广州市越秀区寺右新马路111号五羊新城广场8楼</w:t>
            </w:r>
          </w:p>
          <w:p>
            <w:pPr>
              <w:spacing w:line="360" w:lineRule="auto"/>
              <w:ind w:left="105" w:leftChars="50" w:right="105" w:rightChars="5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lang w:eastAsia="zh-CN"/>
              </w:rPr>
              <w:t>洪工、张工</w:t>
            </w:r>
          </w:p>
          <w:p>
            <w:pPr>
              <w:spacing w:line="360" w:lineRule="auto"/>
              <w:ind w:left="105" w:leftChars="50" w:right="105" w:rightChars="5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lang w:eastAsia="zh-CN"/>
              </w:rPr>
              <w:t>020-87386919转538、508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1.1.4</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招标项目名称</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eastAsia="zh-CN"/>
              </w:rPr>
              <w:t>岭南集团食品产业基地项目全过程造价咨询服务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1.1.5</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项目建设地点</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1.1.6</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项目建设规模</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1.1.7</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工程项目施工预计开工日期和建设周期</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工程开工日期以开工令为准</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1.1.8</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建筑安装工程费/工程概算</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1.2.1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资金来源及比例</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1.2.2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1.3.1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4"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1.3.2</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全过程造价咨询服务期限</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4"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1.3.3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合格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1.4.1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投标人资质条件、能力、信誉</w:t>
            </w:r>
          </w:p>
        </w:tc>
        <w:tc>
          <w:tcPr>
            <w:tcW w:w="5954" w:type="dxa"/>
            <w:vAlign w:val="center"/>
          </w:tcPr>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（1）资质要求：</w:t>
            </w:r>
            <w:r>
              <w:rPr>
                <w:rFonts w:hint="eastAsia" w:ascii="宋体" w:hAnsi="宋体" w:eastAsia="宋体" w:cs="宋体"/>
                <w:sz w:val="21"/>
                <w:szCs w:val="21"/>
                <w:highlight w:val="none"/>
                <w:u w:val="single"/>
              </w:rPr>
              <w:t>见招标公告投标人资格要求。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（2）财务要求：/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（3）业绩要求：/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（4）信誉要求：/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（5）项目负责人要求：</w:t>
            </w:r>
            <w:r>
              <w:rPr>
                <w:rFonts w:hint="eastAsia" w:ascii="宋体" w:hAnsi="宋体" w:eastAsia="宋体" w:cs="宋体"/>
                <w:sz w:val="21"/>
                <w:szCs w:val="21"/>
                <w:highlight w:val="none"/>
                <w:u w:val="single"/>
              </w:rPr>
              <w:t>见招标公告投标人资格要求。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（6）其他主要人员要求：/</w:t>
            </w:r>
          </w:p>
          <w:p>
            <w:pPr>
              <w:adjustRightInd w:val="0"/>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（7）试验检测仪器设备要求：</w:t>
            </w:r>
            <w:r>
              <w:rPr>
                <w:rFonts w:hint="eastAsia" w:ascii="宋体" w:hAnsi="宋体" w:eastAsia="宋体" w:cs="宋体"/>
                <w:sz w:val="21"/>
                <w:szCs w:val="21"/>
                <w:highlight w:val="none"/>
                <w:u w:val="single"/>
              </w:rPr>
              <w:t>/。</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（8）其他要求：</w:t>
            </w:r>
            <w:r>
              <w:rPr>
                <w:rFonts w:hint="eastAsia" w:ascii="宋体" w:hAnsi="宋体" w:eastAsia="宋体" w:cs="宋体"/>
                <w:sz w:val="21"/>
                <w:szCs w:val="21"/>
                <w:highlight w:val="none"/>
                <w:u w:val="single"/>
              </w:rPr>
              <w:t>见招标公告投标人资格要求。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5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lang w:bidi="ar"/>
              </w:rPr>
              <w:t>1.4.2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是否接受联合体投标</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lang w:bidi="ar"/>
              </w:rPr>
              <w:t>不接受</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□接受，应满足下列要求：</w:t>
            </w:r>
            <w:r>
              <w:rPr>
                <w:rFonts w:hint="eastAsia" w:ascii="宋体" w:hAnsi="宋体" w:eastAsia="宋体" w:cs="宋体"/>
                <w:sz w:val="21"/>
                <w:szCs w:val="21"/>
                <w:highlight w:val="none"/>
                <w:u w:val="single"/>
                <w:lang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lang w:bidi="ar"/>
              </w:rPr>
              <w:t>1.4.3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投标人不得存在的其他情形</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8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lang w:bidi="ar"/>
              </w:rPr>
            </w:pPr>
            <w:r>
              <w:rPr>
                <w:rFonts w:hint="eastAsia" w:ascii="宋体" w:hAnsi="宋体" w:eastAsia="宋体" w:cs="宋体"/>
                <w:w w:val="99"/>
                <w:sz w:val="21"/>
                <w:szCs w:val="21"/>
                <w:highlight w:val="none"/>
                <w:lang w:bidi="ar"/>
              </w:rPr>
              <w:t>1.9.1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踏勘现场</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u w:val="single"/>
                <w:lang w:bidi="ar"/>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lang w:bidi="ar"/>
              </w:rPr>
              <w:t>不组织</w:t>
            </w:r>
            <w:r>
              <w:rPr>
                <w:rFonts w:hint="eastAsia" w:ascii="宋体" w:hAnsi="宋体" w:eastAsia="宋体" w:cs="宋体"/>
                <w:sz w:val="21"/>
                <w:szCs w:val="21"/>
                <w:highlight w:val="none"/>
                <w:u w:val="single"/>
                <w:lang w:bidi="ar"/>
              </w:rPr>
              <w:t>，由投标人自行踏勘。</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□组织，踏勘时间：</w:t>
            </w:r>
            <w:r>
              <w:rPr>
                <w:rFonts w:hint="eastAsia" w:ascii="宋体" w:hAnsi="宋体" w:eastAsia="宋体" w:cs="宋体"/>
                <w:sz w:val="21"/>
                <w:szCs w:val="21"/>
                <w:highlight w:val="none"/>
              </w:rPr>
              <w:t xml:space="preserve"> </w:t>
            </w:r>
          </w:p>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踏勘集中地点： </w:t>
            </w:r>
          </w:p>
          <w:p>
            <w:pPr>
              <w:spacing w:line="360" w:lineRule="auto"/>
              <w:ind w:left="105" w:leftChars="50" w:right="105" w:rightChars="50"/>
              <w:jc w:val="left"/>
              <w:rPr>
                <w:rFonts w:hint="eastAsia" w:ascii="宋体" w:hAnsi="宋体" w:eastAsia="宋体" w:cs="宋体"/>
                <w:sz w:val="21"/>
                <w:szCs w:val="21"/>
                <w:highlight w:val="none"/>
                <w:u w:val="single"/>
                <w:lang w:bidi="ar"/>
              </w:rPr>
            </w:pPr>
            <w:r>
              <w:rPr>
                <w:rFonts w:hint="eastAsia" w:ascii="宋体" w:hAnsi="宋体" w:eastAsia="宋体" w:cs="宋体"/>
                <w:b/>
                <w:sz w:val="21"/>
                <w:szCs w:val="21"/>
                <w:highlight w:val="none"/>
              </w:rPr>
              <w:t>■</w:t>
            </w:r>
            <w:r>
              <w:rPr>
                <w:rFonts w:hint="eastAsia" w:ascii="宋体" w:hAnsi="宋体" w:eastAsia="宋体" w:cs="宋体"/>
                <w:b/>
                <w:bCs/>
                <w:sz w:val="21"/>
                <w:szCs w:val="21"/>
                <w:highlight w:val="none"/>
                <w:u w:val="single"/>
                <w:lang w:bidi="ar"/>
              </w:rPr>
              <w:t>补充说明如下：</w:t>
            </w:r>
          </w:p>
          <w:p>
            <w:pPr>
              <w:spacing w:line="360" w:lineRule="auto"/>
              <w:ind w:left="105" w:leftChars="50" w:right="105" w:rightChars="50"/>
              <w:jc w:val="left"/>
              <w:rPr>
                <w:rFonts w:hint="eastAsia" w:ascii="宋体" w:hAnsi="宋体" w:eastAsia="宋体" w:cs="宋体"/>
                <w:sz w:val="21"/>
                <w:szCs w:val="21"/>
                <w:highlight w:val="none"/>
                <w:u w:val="single"/>
                <w:lang w:bidi="ar"/>
              </w:rPr>
            </w:pPr>
            <w:r>
              <w:rPr>
                <w:rFonts w:hint="eastAsia" w:ascii="宋体" w:hAnsi="宋体" w:eastAsia="宋体" w:cs="宋体"/>
                <w:sz w:val="21"/>
                <w:szCs w:val="21"/>
                <w:highlight w:val="none"/>
                <w:u w:val="single"/>
                <w:lang w:bidi="ar"/>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spacing w:line="360" w:lineRule="auto"/>
              <w:ind w:left="105" w:leftChars="50" w:right="105" w:rightChars="50"/>
              <w:jc w:val="left"/>
              <w:rPr>
                <w:rFonts w:hint="eastAsia" w:ascii="宋体" w:hAnsi="宋体" w:eastAsia="宋体" w:cs="宋体"/>
                <w:sz w:val="21"/>
                <w:szCs w:val="21"/>
                <w:highlight w:val="none"/>
                <w:u w:val="single"/>
                <w:lang w:bidi="ar"/>
              </w:rPr>
            </w:pPr>
            <w:r>
              <w:rPr>
                <w:rFonts w:hint="eastAsia" w:ascii="宋体" w:hAnsi="宋体" w:eastAsia="宋体" w:cs="宋体"/>
                <w:sz w:val="21"/>
                <w:szCs w:val="21"/>
                <w:highlight w:val="none"/>
                <w:u w:val="single"/>
                <w:lang w:bidi="ar"/>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spacing w:line="360" w:lineRule="auto"/>
              <w:ind w:left="105" w:leftChars="50" w:right="105" w:rightChars="50"/>
              <w:jc w:val="left"/>
              <w:rPr>
                <w:rFonts w:hint="eastAsia" w:ascii="宋体" w:hAnsi="宋体" w:eastAsia="宋体" w:cs="宋体"/>
                <w:sz w:val="21"/>
                <w:szCs w:val="21"/>
                <w:highlight w:val="none"/>
                <w:u w:val="single"/>
                <w:lang w:bidi="ar"/>
              </w:rPr>
            </w:pPr>
            <w:r>
              <w:rPr>
                <w:rFonts w:hint="eastAsia" w:ascii="宋体" w:hAnsi="宋体" w:eastAsia="宋体" w:cs="宋体"/>
                <w:sz w:val="21"/>
                <w:szCs w:val="21"/>
                <w:highlight w:val="none"/>
                <w:u w:val="single"/>
                <w:lang w:bidi="ar"/>
              </w:rPr>
              <w:t>（3）由招标人前期提供的资料和数据，在现场考察中只是为了使投标人能够利用招标人现有的资料。招标人对投标人由此而作出的推论、解释和结论概不负责。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lang w:bidi="ar"/>
              </w:rPr>
            </w:pPr>
            <w:r>
              <w:rPr>
                <w:rFonts w:hint="eastAsia" w:ascii="宋体" w:hAnsi="宋体" w:eastAsia="宋体" w:cs="宋体"/>
                <w:w w:val="98"/>
                <w:sz w:val="21"/>
                <w:szCs w:val="21"/>
                <w:highlight w:val="none"/>
                <w:lang w:bidi="ar"/>
              </w:rPr>
              <w:t>1.10.1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投标预备会</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lang w:bidi="ar"/>
              </w:rPr>
              <w:t>不召开</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□召开，召开时间：</w:t>
            </w:r>
            <w:r>
              <w:rPr>
                <w:rFonts w:hint="eastAsia" w:ascii="宋体" w:hAnsi="宋体" w:eastAsia="宋体" w:cs="宋体"/>
                <w:sz w:val="21"/>
                <w:szCs w:val="21"/>
                <w:highlight w:val="none"/>
              </w:rPr>
              <w:t xml:space="preserve"> </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召开地点：</w:t>
            </w:r>
            <w:r>
              <w:rPr>
                <w:rFonts w:hint="eastAsia" w:ascii="宋体" w:hAnsi="宋体" w:eastAsia="宋体" w:cs="宋体"/>
                <w:sz w:val="21"/>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lang w:bidi="ar"/>
              </w:rPr>
            </w:pPr>
            <w:r>
              <w:rPr>
                <w:rFonts w:hint="eastAsia" w:ascii="宋体" w:hAnsi="宋体" w:eastAsia="宋体" w:cs="宋体"/>
                <w:w w:val="98"/>
                <w:sz w:val="21"/>
                <w:szCs w:val="21"/>
                <w:highlight w:val="none"/>
                <w:lang w:bidi="ar"/>
              </w:rPr>
              <w:t>1.10.2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投标人在投标预备会前提出问题</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本项目不召开投标预备会</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lang w:bidi="ar"/>
              </w:rPr>
            </w:pPr>
            <w:r>
              <w:rPr>
                <w:rFonts w:hint="eastAsia" w:ascii="宋体" w:hAnsi="宋体" w:eastAsia="宋体" w:cs="宋体"/>
                <w:w w:val="98"/>
                <w:sz w:val="21"/>
                <w:szCs w:val="21"/>
                <w:highlight w:val="none"/>
                <w:lang w:bidi="ar"/>
              </w:rPr>
              <w:t>1.10.3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招标文件澄清发出的形式</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（此为投标预备会的答疑澄清）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3"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lang w:bidi="ar"/>
              </w:rPr>
            </w:pPr>
            <w:r>
              <w:rPr>
                <w:rFonts w:hint="eastAsia" w:ascii="宋体" w:hAnsi="宋体" w:eastAsia="宋体" w:cs="宋体"/>
                <w:w w:val="98"/>
                <w:sz w:val="21"/>
                <w:szCs w:val="21"/>
                <w:highlight w:val="none"/>
                <w:lang w:bidi="ar"/>
              </w:rPr>
              <w:t>1.12.1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实质性要求和条件</w:t>
            </w:r>
          </w:p>
        </w:tc>
        <w:tc>
          <w:tcPr>
            <w:tcW w:w="5954" w:type="dxa"/>
            <w:vAlign w:val="center"/>
          </w:tcPr>
          <w:p>
            <w:pPr>
              <w:pStyle w:val="16"/>
              <w:snapToGrid w:val="0"/>
              <w:spacing w:line="360" w:lineRule="auto"/>
              <w:ind w:left="105" w:leftChars="50" w:right="105" w:rightChars="50" w:firstLine="0" w:firstLineChars="0"/>
              <w:jc w:val="left"/>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eastAsia="zh-CN" w:bidi="ar"/>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68"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8"/>
                <w:sz w:val="21"/>
                <w:szCs w:val="21"/>
                <w:highlight w:val="none"/>
              </w:rPr>
              <w:t>1.12.3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偏差</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不允许</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允许，偏差范围：/</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偏差幅度：/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60" w:hRule="atLeast"/>
        </w:trPr>
        <w:tc>
          <w:tcPr>
            <w:tcW w:w="1235" w:type="dxa"/>
            <w:vAlign w:val="center"/>
          </w:tcPr>
          <w:p>
            <w:pPr>
              <w:spacing w:line="360" w:lineRule="auto"/>
              <w:ind w:left="105" w:leftChars="50" w:right="105" w:rightChars="50"/>
              <w:jc w:val="left"/>
              <w:rPr>
                <w:rFonts w:hint="eastAsia" w:ascii="宋体" w:hAnsi="宋体" w:eastAsia="宋体" w:cs="宋体"/>
                <w:w w:val="98"/>
                <w:sz w:val="21"/>
                <w:szCs w:val="21"/>
                <w:highlight w:val="none"/>
              </w:rPr>
            </w:pPr>
            <w:r>
              <w:rPr>
                <w:rFonts w:hint="eastAsia" w:ascii="宋体" w:hAnsi="宋体" w:eastAsia="宋体" w:cs="宋体"/>
                <w:w w:val="98"/>
                <w:sz w:val="21"/>
                <w:szCs w:val="21"/>
                <w:highlight w:val="none"/>
                <w:lang w:bidi="ar"/>
              </w:rPr>
              <w:t>2.1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构成招标文件的其他资料</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答疑纪要、澄清文件等。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10"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9"/>
                <w:sz w:val="21"/>
                <w:szCs w:val="21"/>
                <w:highlight w:val="none"/>
              </w:rPr>
              <w:t>2.2.1</w:t>
            </w:r>
          </w:p>
        </w:tc>
        <w:tc>
          <w:tcPr>
            <w:tcW w:w="2208"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投标人要求澄清招标文件</w:t>
            </w:r>
          </w:p>
        </w:tc>
        <w:tc>
          <w:tcPr>
            <w:tcW w:w="5954" w:type="dxa"/>
            <w:tcBorders>
              <w:top w:val="single" w:color="auto" w:sz="8" w:space="0"/>
              <w:left w:val="single" w:color="auto" w:sz="8" w:space="0"/>
              <w:bottom w:val="single" w:color="auto" w:sz="8" w:space="0"/>
              <w:right w:val="single" w:color="auto" w:sz="12"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时间</w:t>
            </w:r>
            <w:r>
              <w:rPr>
                <w:rFonts w:hint="eastAsia" w:ascii="宋体" w:hAnsi="宋体" w:eastAsia="宋体" w:cs="宋体"/>
                <w:sz w:val="21"/>
                <w:szCs w:val="21"/>
                <w:highlight w:val="none"/>
              </w:rPr>
              <w:t>：递交投标文件截止日期18天前提出</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形式：</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1、投标人的疑问通过</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数字交易平台提交。</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具体要求</w:t>
            </w:r>
            <w:r>
              <w:rPr>
                <w:rFonts w:hint="eastAsia" w:ascii="宋体" w:hAnsi="宋体" w:eastAsia="宋体" w:cs="宋体"/>
                <w:sz w:val="21"/>
                <w:szCs w:val="21"/>
                <w:highlight w:val="none"/>
              </w:rPr>
              <w:t>：操作详见</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网站发布的</w:t>
            </w:r>
            <w:r>
              <w:rPr>
                <w:rFonts w:hint="eastAsia" w:ascii="宋体" w:hAnsi="宋体" w:eastAsia="宋体" w:cs="宋体"/>
                <w:sz w:val="21"/>
                <w:szCs w:val="21"/>
                <w:highlight w:val="none"/>
                <w:lang w:eastAsia="zh-CN"/>
              </w:rPr>
              <w:t>《建设工程全流程电子化项目操作指南》</w:t>
            </w:r>
            <w:r>
              <w:rPr>
                <w:rFonts w:hint="eastAsia" w:ascii="宋体" w:hAnsi="宋体" w:eastAsia="宋体" w:cs="宋体"/>
                <w:sz w:val="21"/>
                <w:szCs w:val="21"/>
                <w:highlight w:val="none"/>
              </w:rPr>
              <w:t>。提问一律不得署名。</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网上答疑的操作指南为</w:t>
            </w:r>
            <w:r>
              <w:rPr>
                <w:rFonts w:hint="eastAsia" w:ascii="宋体" w:hAnsi="宋体" w:eastAsia="宋体" w:cs="宋体"/>
                <w:sz w:val="21"/>
                <w:szCs w:val="21"/>
                <w:highlight w:val="none"/>
              </w:rPr>
              <w:t>：投标人登录交易中心数字交易平台，进入“建设工程”专区→进入“网上答疑”专区→通过项目编号或项目名称找到所需的项目→在上述的答疑时间内点击“提问”→提出问题(提问一律不得署名)以及查看所有的问题。</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2、投标人应在投标截止时间18天前停止质疑。招标人应在投标截止时间15天前解答投标人对招标文件提出的疑问，形成答疑纪要，在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网站项目答疑专区发布。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lang w:bidi="ar"/>
              </w:rPr>
              <w:t>2.2.2</w:t>
            </w:r>
          </w:p>
        </w:tc>
        <w:tc>
          <w:tcPr>
            <w:tcW w:w="2208"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招标文件澄清发出的形式</w:t>
            </w:r>
          </w:p>
        </w:tc>
        <w:tc>
          <w:tcPr>
            <w:tcW w:w="5954" w:type="dxa"/>
            <w:tcBorders>
              <w:top w:val="single" w:color="auto" w:sz="8" w:space="0"/>
              <w:left w:val="single" w:color="auto" w:sz="8" w:space="0"/>
              <w:bottom w:val="single" w:color="auto" w:sz="8" w:space="0"/>
              <w:right w:val="single" w:color="auto" w:sz="12"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在递交投标文件截止时间15天前；在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网站通过项目答疑专区网上公开发布。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1235" w:type="dxa"/>
            <w:vMerge w:val="restart"/>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9"/>
                <w:sz w:val="21"/>
                <w:szCs w:val="21"/>
                <w:highlight w:val="none"/>
              </w:rPr>
              <w:t>2.2.3</w:t>
            </w:r>
          </w:p>
        </w:tc>
        <w:tc>
          <w:tcPr>
            <w:tcW w:w="2208" w:type="dxa"/>
            <w:vMerge w:val="restart"/>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投标人确认收到招标文件澄清</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时间：发送即视作收到。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79" w:hRule="atLeast"/>
        </w:trPr>
        <w:tc>
          <w:tcPr>
            <w:tcW w:w="1235" w:type="dxa"/>
            <w:vMerge w:val="continue"/>
            <w:vAlign w:val="center"/>
          </w:tcPr>
          <w:p>
            <w:pPr>
              <w:spacing w:line="360" w:lineRule="auto"/>
              <w:ind w:left="105" w:leftChars="50" w:right="105" w:rightChars="50"/>
              <w:jc w:val="left"/>
              <w:rPr>
                <w:rFonts w:hint="eastAsia" w:ascii="宋体" w:hAnsi="宋体" w:eastAsia="宋体" w:cs="宋体"/>
                <w:sz w:val="21"/>
                <w:szCs w:val="21"/>
                <w:highlight w:val="none"/>
              </w:rPr>
            </w:pPr>
          </w:p>
        </w:tc>
        <w:tc>
          <w:tcPr>
            <w:tcW w:w="2208" w:type="dxa"/>
            <w:vMerge w:val="continue"/>
            <w:vAlign w:val="center"/>
          </w:tcPr>
          <w:p>
            <w:pPr>
              <w:spacing w:line="360" w:lineRule="auto"/>
              <w:ind w:left="105" w:leftChars="50" w:right="105" w:rightChars="50"/>
              <w:jc w:val="left"/>
              <w:rPr>
                <w:rFonts w:hint="eastAsia" w:ascii="宋体" w:hAnsi="宋体" w:eastAsia="宋体" w:cs="宋体"/>
                <w:sz w:val="21"/>
                <w:szCs w:val="21"/>
                <w:highlight w:val="none"/>
              </w:rPr>
            </w:pP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形式：招标文件澄清（招标答疑纪要）一经在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网站发布，视作已发放给所有投标人。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0"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9"/>
                <w:sz w:val="21"/>
                <w:szCs w:val="21"/>
                <w:highlight w:val="none"/>
              </w:rPr>
              <w:t>2.3.1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招标文件修改发出的形式</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以补充公告或项目答疑澄清的方式在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1235" w:type="dxa"/>
            <w:vMerge w:val="restart"/>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2.3.2</w:t>
            </w:r>
          </w:p>
        </w:tc>
        <w:tc>
          <w:tcPr>
            <w:tcW w:w="2208" w:type="dxa"/>
            <w:vMerge w:val="restart"/>
            <w:vAlign w:val="center"/>
          </w:tcPr>
          <w:p>
            <w:pPr>
              <w:spacing w:line="360" w:lineRule="auto"/>
              <w:ind w:left="105" w:leftChars="50" w:right="105" w:rightChars="5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rPr>
              <w:t>投标人确认收到招标文件修改</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时间：发出即视作收到。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8" w:hRule="atLeast"/>
        </w:trPr>
        <w:tc>
          <w:tcPr>
            <w:tcW w:w="1235" w:type="dxa"/>
            <w:vMerge w:val="continue"/>
            <w:vAlign w:val="center"/>
          </w:tcPr>
          <w:p>
            <w:pPr>
              <w:spacing w:line="360" w:lineRule="auto"/>
              <w:ind w:left="105" w:leftChars="50" w:right="105" w:rightChars="50"/>
              <w:jc w:val="left"/>
              <w:rPr>
                <w:rFonts w:hint="eastAsia" w:ascii="宋体" w:hAnsi="宋体" w:eastAsia="宋体" w:cs="宋体"/>
                <w:w w:val="99"/>
                <w:sz w:val="21"/>
                <w:szCs w:val="21"/>
                <w:highlight w:val="none"/>
              </w:rPr>
            </w:pPr>
          </w:p>
        </w:tc>
        <w:tc>
          <w:tcPr>
            <w:tcW w:w="2208" w:type="dxa"/>
            <w:vMerge w:val="continue"/>
            <w:vAlign w:val="center"/>
          </w:tcPr>
          <w:p>
            <w:pPr>
              <w:spacing w:line="360" w:lineRule="auto"/>
              <w:ind w:left="105" w:leftChars="50" w:right="105" w:rightChars="50"/>
              <w:jc w:val="left"/>
              <w:rPr>
                <w:rFonts w:hint="eastAsia" w:ascii="宋体" w:hAnsi="宋体" w:eastAsia="宋体" w:cs="宋体"/>
                <w:sz w:val="21"/>
                <w:szCs w:val="21"/>
                <w:highlight w:val="none"/>
                <w:lang w:bidi="ar"/>
              </w:rPr>
            </w:pP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形式：招标文件修改一经在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9"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3.1.1</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构成投标文件的其他资料</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满足项目评审需要。具体内容要求按投标文件格式填写。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7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3.2.1</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增值税税金的计算方法</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75"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3.2.3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5954" w:type="dxa"/>
            <w:vAlign w:val="center"/>
          </w:tcPr>
          <w:p>
            <w:pPr>
              <w:spacing w:line="360" w:lineRule="auto"/>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由投标人根据招标文件要求以及企业自身情况填报投标报价和费率；结算按照合同相关约定执行。</w:t>
            </w:r>
          </w:p>
          <w:p>
            <w:pPr>
              <w:spacing w:line="360" w:lineRule="auto"/>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全过程造价咨询服务费率=投标报价/建安工程费21613.16万元*100%。费率以百分数进行表示，小数点后保留两位数字，第三位小数四舍五入。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427"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3.2.4</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最高投标限价</w:t>
            </w:r>
          </w:p>
        </w:tc>
        <w:tc>
          <w:tcPr>
            <w:tcW w:w="5954" w:type="dxa"/>
            <w:vAlign w:val="center"/>
          </w:tcPr>
          <w:p>
            <w:pPr>
              <w:spacing w:line="360" w:lineRule="auto"/>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无</w:t>
            </w:r>
          </w:p>
          <w:p>
            <w:pPr>
              <w:spacing w:line="360" w:lineRule="auto"/>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highlight w:val="none"/>
              </w:rPr>
              <w:t>■有，详见招标公告。</w:t>
            </w:r>
          </w:p>
          <w:p>
            <w:pPr>
              <w:pStyle w:val="1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投标文件中投标报价总价超过最高投标限价总价、任何一个单项投标报价超过相应最高投标限价的报价均为无效标。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02" w:hRule="atLeast"/>
        </w:trPr>
        <w:tc>
          <w:tcPr>
            <w:tcW w:w="1235" w:type="dxa"/>
            <w:vAlign w:val="center"/>
          </w:tcPr>
          <w:p>
            <w:pPr>
              <w:spacing w:line="360" w:lineRule="auto"/>
              <w:ind w:left="105" w:leftChars="50" w:right="105" w:rightChars="50"/>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3.2.5</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投标报价的其他要求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投标人必须详细审阅全部招标文件及招标相关资料,充分考虑职责和义务,全面地理解招标文件对投标报价的要求,并按招标人提出的条件及内容进行报价。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02" w:hRule="atLeast"/>
        </w:trPr>
        <w:tc>
          <w:tcPr>
            <w:tcW w:w="1235" w:type="dxa"/>
            <w:vAlign w:val="bottom"/>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3.3.1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9"/>
                <w:sz w:val="21"/>
                <w:szCs w:val="21"/>
                <w:highlight w:val="none"/>
                <w:u w:val="single"/>
              </w:rPr>
              <w:t xml:space="preserve"> 90</w:t>
            </w:r>
            <w:r>
              <w:rPr>
                <w:rFonts w:hint="eastAsia" w:ascii="宋体" w:hAnsi="宋体" w:eastAsia="宋体" w:cs="宋体"/>
                <w:sz w:val="21"/>
                <w:szCs w:val="21"/>
                <w:highlight w:val="none"/>
              </w:rPr>
              <w:t>日历天（从投标截止之日计起）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4"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3.4.1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5954" w:type="dxa"/>
            <w:vAlign w:val="center"/>
          </w:tcPr>
          <w:p>
            <w:pPr>
              <w:pStyle w:val="7"/>
              <w:topLinePunct/>
              <w:spacing w:line="360" w:lineRule="auto"/>
              <w:ind w:left="105" w:leftChars="50" w:right="105" w:rightChars="5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是否要求投标人递交投标保证金：</w:t>
            </w:r>
          </w:p>
          <w:p>
            <w:pPr>
              <w:pStyle w:val="7"/>
              <w:topLinePunct/>
              <w:spacing w:line="360" w:lineRule="auto"/>
              <w:ind w:left="105" w:leftChars="50" w:right="105" w:rightChars="50" w:firstLine="0" w:firstLineChars="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不要求递交投标保证金。</w:t>
            </w:r>
          </w:p>
          <w:p>
            <w:pPr>
              <w:pStyle w:val="7"/>
              <w:topLinePunct/>
              <w:spacing w:line="360" w:lineRule="auto"/>
              <w:ind w:left="105" w:leftChars="50" w:right="105" w:rightChars="5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要求递交投标保证金。</w:t>
            </w:r>
          </w:p>
          <w:p>
            <w:pPr>
              <w:pStyle w:val="7"/>
              <w:topLinePunct/>
              <w:snapToGrid w:val="0"/>
              <w:spacing w:line="360" w:lineRule="auto"/>
              <w:ind w:left="105" w:leftChars="50" w:right="105" w:rightChars="5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具体要求：</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85" w:hRule="atLeast"/>
        </w:trPr>
        <w:tc>
          <w:tcPr>
            <w:tcW w:w="1235" w:type="dxa"/>
            <w:vAlign w:val="center"/>
          </w:tcPr>
          <w:p>
            <w:pPr>
              <w:spacing w:line="360" w:lineRule="auto"/>
              <w:ind w:left="105" w:leftChars="50" w:right="105" w:rightChars="50"/>
              <w:jc w:val="left"/>
              <w:rPr>
                <w:rFonts w:hint="eastAsia" w:ascii="宋体" w:hAnsi="宋体" w:eastAsia="宋体" w:cs="宋体"/>
                <w:w w:val="98"/>
                <w:sz w:val="21"/>
                <w:szCs w:val="21"/>
                <w:highlight w:val="none"/>
              </w:rPr>
            </w:pPr>
            <w:r>
              <w:rPr>
                <w:rFonts w:hint="eastAsia" w:ascii="宋体" w:hAnsi="宋体" w:eastAsia="宋体" w:cs="宋体"/>
                <w:w w:val="98"/>
                <w:sz w:val="21"/>
                <w:szCs w:val="21"/>
                <w:highlight w:val="none"/>
              </w:rPr>
              <w:t>3.5</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资格审查资料的特殊要求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无</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有，具体要求：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3.5.2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w w:val="99"/>
                <w:sz w:val="21"/>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4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3.5.3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近年完成的类似项目情况的时间要求</w:t>
            </w:r>
          </w:p>
        </w:tc>
        <w:tc>
          <w:tcPr>
            <w:tcW w:w="5954" w:type="dxa"/>
            <w:vAlign w:val="center"/>
          </w:tcPr>
          <w:p>
            <w:pPr>
              <w:spacing w:line="360" w:lineRule="auto"/>
              <w:ind w:left="105" w:leftChars="50" w:right="105" w:rightChars="50"/>
              <w:jc w:val="left"/>
              <w:rPr>
                <w:rFonts w:hint="eastAsia" w:ascii="宋体" w:hAnsi="宋体" w:eastAsia="宋体" w:cs="宋体"/>
                <w:w w:val="95"/>
                <w:sz w:val="21"/>
                <w:szCs w:val="21"/>
                <w:highlight w:val="none"/>
              </w:rPr>
            </w:pP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年</w:t>
            </w: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月</w:t>
            </w: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日</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至</w:t>
            </w: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年</w:t>
            </w: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月</w:t>
            </w:r>
            <w:r>
              <w:rPr>
                <w:rFonts w:hint="eastAsia" w:ascii="宋体" w:hAnsi="宋体" w:eastAsia="宋体" w:cs="宋体"/>
                <w:w w:val="99"/>
                <w:sz w:val="21"/>
                <w:szCs w:val="21"/>
                <w:highlight w:val="none"/>
                <w:u w:val="single"/>
              </w:rPr>
              <w:t xml:space="preserve">   /  </w:t>
            </w:r>
            <w:r>
              <w:rPr>
                <w:rFonts w:hint="eastAsia" w:ascii="宋体" w:hAnsi="宋体" w:eastAsia="宋体" w:cs="宋体"/>
                <w:sz w:val="21"/>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71"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3.6.1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不允许</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40"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3.7.3（B）</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投标文件所附证书证件要求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Times New Roman"/>
                <w:sz w:val="21"/>
                <w:szCs w:val="21"/>
                <w:highlight w:val="none"/>
              </w:rPr>
              <w:t>投标文件所附</w:t>
            </w:r>
            <w:r>
              <w:rPr>
                <w:rFonts w:ascii="Times New Roman"/>
                <w:sz w:val="21"/>
                <w:szCs w:val="21"/>
                <w:highlight w:val="none"/>
              </w:rPr>
              <w:t>证书证件需为原件</w:t>
            </w:r>
            <w:r>
              <w:rPr>
                <w:rFonts w:hint="eastAsia" w:ascii="Times New Roman"/>
                <w:sz w:val="21"/>
                <w:szCs w:val="21"/>
                <w:highlight w:val="none"/>
              </w:rPr>
              <w:t>彩色</w:t>
            </w:r>
            <w:r>
              <w:rPr>
                <w:rFonts w:ascii="Times New Roman"/>
                <w:sz w:val="21"/>
                <w:szCs w:val="21"/>
                <w:highlight w:val="none"/>
              </w:rPr>
              <w:t>扫描件。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2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3.7.3（B）</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投标文件签字或盖章要求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暂不实施关于采用个人数字证书和加盖个人电子印章的要求。取消在招标文件中采用个人数字证书和加盖个人电子印章要求，投标文件中需法定代表人、代理人签字或加盖电子印章的，可手签后扫描上传或加盖个人电子印章，此项不做要求，但投标文件需按招标文件要求加盖单位电子印章。相关操作详见附件</w:t>
            </w:r>
            <w:r>
              <w:rPr>
                <w:rFonts w:hint="eastAsia" w:ascii="宋体" w:hAnsi="宋体" w:eastAsia="宋体" w:cs="宋体"/>
                <w:sz w:val="21"/>
                <w:szCs w:val="21"/>
                <w:highlight w:val="none"/>
                <w:u w:val="single"/>
                <w:lang w:eastAsia="zh-CN"/>
              </w:rPr>
              <w:t>《建设工程全流程电子化项目操作指南》</w:t>
            </w:r>
            <w:r>
              <w:rPr>
                <w:rFonts w:hint="eastAsia" w:ascii="宋体" w:hAnsi="宋体" w:eastAsia="宋体" w:cs="宋体"/>
                <w:sz w:val="21"/>
                <w:szCs w:val="21"/>
                <w:highlight w:val="none"/>
                <w:u w:val="single"/>
              </w:rPr>
              <w:t>，以广州公共资源交易中心最新发布为准。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28"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4.1.1（B）</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投标文件加密要求</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1.网上递交的电子投标文件须进行加密。具体操作详见</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网站发布的</w:t>
            </w:r>
            <w:r>
              <w:rPr>
                <w:rFonts w:hAnsi="宋体"/>
                <w:b/>
                <w:bCs/>
                <w:szCs w:val="21"/>
                <w:highlight w:val="none"/>
              </w:rPr>
              <w:t>《</w:t>
            </w:r>
            <w:r>
              <w:rPr>
                <w:rFonts w:hint="eastAsia" w:hAnsi="宋体"/>
                <w:b/>
                <w:szCs w:val="21"/>
                <w:highlight w:val="none"/>
              </w:rPr>
              <w:t>建设工程全流程电子化项目操作指南</w:t>
            </w:r>
            <w:r>
              <w:rPr>
                <w:rFonts w:hAnsi="宋体"/>
                <w:b/>
                <w:bCs/>
                <w:szCs w:val="21"/>
                <w:highlight w:val="none"/>
              </w:rPr>
              <w:t>》</w:t>
            </w:r>
            <w:r>
              <w:rPr>
                <w:rFonts w:hint="eastAsia" w:ascii="宋体" w:hAnsi="宋体" w:eastAsia="宋体" w:cs="宋体"/>
                <w:sz w:val="21"/>
                <w:szCs w:val="21"/>
                <w:highlight w:val="none"/>
              </w:rPr>
              <w:t>。</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2.未按要求密封的投标文件，招标人将予以拒收。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7"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4.1.2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封套上应载明的信息</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如有提交投标文件光盘备用，封套上应注明如下信息：</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招标人名称：</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（项目名称）招标项目投标文件</w:t>
            </w:r>
          </w:p>
          <w:p>
            <w:pPr>
              <w:spacing w:line="360" w:lineRule="auto"/>
              <w:ind w:left="105" w:leftChars="50" w:right="105" w:rightChars="5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招标项目编号：</w:t>
            </w:r>
            <w:r>
              <w:rPr>
                <w:rFonts w:hint="eastAsia" w:ascii="宋体" w:hAnsi="宋体" w:eastAsia="宋体" w:cs="宋体"/>
                <w:sz w:val="21"/>
                <w:szCs w:val="21"/>
                <w:highlight w:val="none"/>
                <w:u w:val="single"/>
              </w:rPr>
              <w:t xml:space="preserve">            </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时前不得开启（按投标截止时间）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6"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4.2.1</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投标截止时间</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分（北京时间）</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0" w:hRule="atLeast"/>
        </w:trPr>
        <w:tc>
          <w:tcPr>
            <w:tcW w:w="1235" w:type="dxa"/>
            <w:vAlign w:val="center"/>
          </w:tcPr>
          <w:p>
            <w:pPr>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4.2.2</w:t>
            </w:r>
          </w:p>
        </w:tc>
        <w:tc>
          <w:tcPr>
            <w:tcW w:w="2208" w:type="dxa"/>
            <w:vAlign w:val="center"/>
          </w:tcPr>
          <w:p>
            <w:pPr>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递交电子投标文件交易平台</w:t>
            </w:r>
          </w:p>
        </w:tc>
        <w:tc>
          <w:tcPr>
            <w:tcW w:w="5954" w:type="dxa"/>
            <w:vAlign w:val="center"/>
          </w:tcPr>
          <w:p>
            <w:pPr>
              <w:snapToGrid w:val="0"/>
              <w:spacing w:line="360" w:lineRule="auto"/>
              <w:ind w:left="105" w:leftChars="50" w:right="105" w:rightChars="5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1.递交方式：网上递交投标文件 </w:t>
            </w:r>
          </w:p>
          <w:p>
            <w:pPr>
              <w:snapToGrid w:val="0"/>
              <w:spacing w:line="360" w:lineRule="auto"/>
              <w:ind w:left="105" w:leftChars="50" w:right="105" w:rightChars="5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2.交易平台：</w:t>
            </w:r>
            <w:r>
              <w:rPr>
                <w:rFonts w:hint="eastAsia" w:ascii="宋体" w:hAnsi="宋体" w:eastAsia="宋体" w:cs="宋体"/>
                <w:sz w:val="21"/>
                <w:szCs w:val="21"/>
                <w:highlight w:val="none"/>
                <w:u w:val="single"/>
                <w:lang w:eastAsia="zh-CN"/>
              </w:rPr>
              <w:t>广州交易集团有限公司（广州公共资源交易中心）</w:t>
            </w:r>
            <w:r>
              <w:rPr>
                <w:rFonts w:hint="eastAsia" w:ascii="宋体" w:hAnsi="宋体" w:eastAsia="宋体" w:cs="宋体"/>
                <w:sz w:val="21"/>
                <w:szCs w:val="21"/>
                <w:highlight w:val="none"/>
                <w:u w:val="single"/>
              </w:rPr>
              <w:t>网站。</w:t>
            </w:r>
          </w:p>
          <w:p>
            <w:pPr>
              <w:snapToGrid w:val="0"/>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3.上述时间是否有改变，请密切留意招标答疑纪要的相关信息。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80"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4.2.3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投标文件是否退还</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否</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是，退还时间：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开标时间和地点</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开标时间：同投标截止时间</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开标室（详见</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网站信息）</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电子招投标项目开标时，投标人代表有权出席开标会，也可以自主决定不参加开标会，若投标人代表对开标过程提出异议，该投标人代表须同时出示本人身份证原件。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1" w:hRule="atLeast"/>
        </w:trPr>
        <w:tc>
          <w:tcPr>
            <w:tcW w:w="1235" w:type="dxa"/>
            <w:vAlign w:val="center"/>
          </w:tcPr>
          <w:p>
            <w:pPr>
              <w:spacing w:line="360" w:lineRule="auto"/>
              <w:ind w:left="105" w:leftChars="50" w:right="105" w:rightChars="50"/>
              <w:jc w:val="left"/>
              <w:rPr>
                <w:rFonts w:hint="eastAsia" w:ascii="宋体" w:hAnsi="宋体" w:eastAsia="宋体" w:cs="宋体"/>
                <w:w w:val="77"/>
                <w:sz w:val="21"/>
                <w:szCs w:val="21"/>
                <w:highlight w:val="none"/>
              </w:rPr>
            </w:pPr>
            <w:r>
              <w:rPr>
                <w:rFonts w:hint="eastAsia" w:ascii="宋体" w:hAnsi="宋体" w:eastAsia="宋体" w:cs="宋体"/>
                <w:w w:val="77"/>
                <w:sz w:val="21"/>
                <w:szCs w:val="21"/>
                <w:highlight w:val="none"/>
              </w:rPr>
              <w:t>5.2（4）</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电子招投标项目开标按下列程序进行：</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5.2.1主持人按下列程序进行开标：</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（1）宣布开标纪律；</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（2）公布在投标截止时间前递交投标文件的投标人名称；</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（3）宣布开标人、唱标人、记录人、监标人等有关人员姓名；</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（4）投标人通过电子招标投标交易平台对已递交的电子投标文件进行解密，公布招标项目名称、投标人名称、投标报价、服务期限及其他内容，并记录在案；</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（5）投标人代表、招标人代表、监标人、记录人等有关人员在开标记录上签字确认；若有关人员不签字的，不影响开标程序；</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（6）开标结束。</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pPr>
              <w:spacing w:line="360" w:lineRule="auto"/>
              <w:ind w:left="105" w:leftChars="50" w:right="105" w:rightChars="5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5.2.3开标时，两个（含两个）以上的投标人加密打包投标文件电脑机器特征码一致的，不参与下一程序，并由评标委员会否决其投标。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1"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6.1.1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评标由招标人依法组建的评标委员会负责。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7"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6.3.2</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评标委员会推荐中标候选人的人数</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推荐中标候选人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1235" w:type="dxa"/>
            <w:vAlign w:val="center"/>
          </w:tcPr>
          <w:p>
            <w:pPr>
              <w:spacing w:line="360" w:lineRule="auto"/>
              <w:ind w:left="105" w:leftChars="50" w:right="105" w:rightChars="50"/>
              <w:jc w:val="left"/>
              <w:rPr>
                <w:rFonts w:hint="eastAsia" w:ascii="宋体" w:hAnsi="宋体" w:eastAsia="宋体" w:cs="宋体"/>
                <w:w w:val="98"/>
                <w:sz w:val="21"/>
                <w:szCs w:val="21"/>
                <w:highlight w:val="none"/>
              </w:rPr>
            </w:pPr>
            <w:r>
              <w:rPr>
                <w:rFonts w:hint="eastAsia" w:ascii="宋体" w:hAnsi="宋体" w:eastAsia="宋体" w:cs="宋体"/>
                <w:w w:val="98"/>
                <w:sz w:val="21"/>
                <w:szCs w:val="21"/>
                <w:highlight w:val="none"/>
              </w:rPr>
              <w:t>7.1</w:t>
            </w:r>
          </w:p>
        </w:tc>
        <w:tc>
          <w:tcPr>
            <w:tcW w:w="2208"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中标候选人公示媒介</w:t>
            </w:r>
          </w:p>
        </w:tc>
        <w:tc>
          <w:tcPr>
            <w:tcW w:w="5954" w:type="dxa"/>
            <w:tcBorders>
              <w:top w:val="single" w:color="auto" w:sz="8" w:space="0"/>
              <w:left w:val="single" w:color="auto" w:sz="8" w:space="0"/>
              <w:bottom w:val="single" w:color="auto" w:sz="8" w:space="0"/>
              <w:right w:val="single" w:color="auto" w:sz="12"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公示媒介：</w:t>
            </w:r>
            <w:r>
              <w:rPr>
                <w:rFonts w:hint="eastAsia" w:ascii="宋体" w:hAnsi="宋体" w:eastAsia="宋体" w:cs="宋体"/>
                <w:sz w:val="21"/>
                <w:szCs w:val="21"/>
                <w:highlight w:val="none"/>
                <w:u w:val="single"/>
                <w:lang w:eastAsia="zh-CN"/>
              </w:rPr>
              <w:t>广州交易集团有限公司（广州公共资源交易中心）</w:t>
            </w:r>
            <w:r>
              <w:rPr>
                <w:rFonts w:hint="eastAsia" w:ascii="宋体" w:hAnsi="宋体" w:eastAsia="宋体" w:cs="宋体"/>
                <w:sz w:val="21"/>
                <w:szCs w:val="21"/>
                <w:highlight w:val="none"/>
                <w:u w:val="single"/>
              </w:rPr>
              <w:t>网站、中国招标投标公共服务平台、广东省招标投标监管网、广州国企阳光采购信息发布平台</w:t>
            </w:r>
            <w:r>
              <w:rPr>
                <w:rFonts w:hint="eastAsia" w:ascii="宋体" w:hAnsi="宋体" w:eastAsia="宋体" w:cs="宋体"/>
                <w:sz w:val="21"/>
                <w:szCs w:val="21"/>
                <w:highlight w:val="none"/>
              </w:rPr>
              <w:t>。</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公示期限：</w:t>
            </w:r>
            <w:r>
              <w:rPr>
                <w:rFonts w:hint="eastAsia" w:ascii="宋体" w:hAnsi="宋体" w:eastAsia="宋体" w:cs="宋体"/>
                <w:sz w:val="21"/>
                <w:szCs w:val="21"/>
                <w:highlight w:val="none"/>
                <w:u w:val="single"/>
              </w:rPr>
              <w:t xml:space="preserve">  </w:t>
            </w:r>
            <w:r>
              <w:rPr>
                <w:rFonts w:hint="eastAsia" w:ascii="宋体" w:hAnsi="宋体" w:eastAsia="宋体" w:cs="宋体"/>
                <w:w w:val="98"/>
                <w:sz w:val="21"/>
                <w:szCs w:val="21"/>
                <w:highlight w:val="none"/>
                <w:u w:val="single"/>
              </w:rPr>
              <w:t xml:space="preserve">3  </w:t>
            </w:r>
            <w:r>
              <w:rPr>
                <w:rFonts w:hint="eastAsia" w:ascii="宋体" w:hAnsi="宋体" w:eastAsia="宋体" w:cs="宋体"/>
                <w:sz w:val="21"/>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10" w:hRule="atLeast"/>
        </w:trPr>
        <w:tc>
          <w:tcPr>
            <w:tcW w:w="1235" w:type="dxa"/>
            <w:vAlign w:val="center"/>
          </w:tcPr>
          <w:p>
            <w:pPr>
              <w:spacing w:line="360" w:lineRule="auto"/>
              <w:ind w:left="105" w:leftChars="50" w:right="105" w:rightChars="50"/>
              <w:jc w:val="left"/>
              <w:rPr>
                <w:rFonts w:hint="eastAsia" w:ascii="宋体" w:hAnsi="宋体" w:eastAsia="宋体" w:cs="宋体"/>
                <w:w w:val="98"/>
                <w:sz w:val="21"/>
                <w:szCs w:val="21"/>
                <w:highlight w:val="none"/>
              </w:rPr>
            </w:pPr>
            <w:r>
              <w:rPr>
                <w:rFonts w:hint="eastAsia" w:ascii="宋体" w:hAnsi="宋体" w:eastAsia="宋体" w:cs="宋体"/>
                <w:w w:val="98"/>
                <w:sz w:val="21"/>
                <w:szCs w:val="21"/>
                <w:highlight w:val="none"/>
              </w:rPr>
              <w:t>7.4</w:t>
            </w:r>
          </w:p>
        </w:tc>
        <w:tc>
          <w:tcPr>
            <w:tcW w:w="2208"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sz w:val="21"/>
                <w:szCs w:val="21"/>
                <w:highlight w:val="none"/>
              </w:rPr>
              <w:t>是否授权评标委员会确定中标人</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是</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否，评标委员会推荐前3名中标候选人。</w:t>
            </w:r>
          </w:p>
          <w:p>
            <w:pPr>
              <w:spacing w:line="360" w:lineRule="auto"/>
              <w:ind w:left="105" w:leftChars="50" w:right="105" w:rightChars="5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补充说明：</w:t>
            </w:r>
          </w:p>
          <w:p>
            <w:pPr>
              <w:spacing w:line="360" w:lineRule="auto"/>
              <w:ind w:right="105" w:rightChars="50"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84" w:hRule="atLeast"/>
        </w:trPr>
        <w:tc>
          <w:tcPr>
            <w:tcW w:w="1235" w:type="dxa"/>
            <w:vAlign w:val="center"/>
          </w:tcPr>
          <w:p>
            <w:pPr>
              <w:spacing w:line="360" w:lineRule="auto"/>
              <w:ind w:left="105" w:leftChars="50" w:right="105" w:rightChars="50"/>
              <w:jc w:val="left"/>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7.6.1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5954"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是否要求中标人提交履约保证金： </w:t>
            </w:r>
          </w:p>
          <w:p>
            <w:pPr>
              <w:pStyle w:val="7"/>
              <w:topLinePunct/>
              <w:spacing w:line="360" w:lineRule="auto"/>
              <w:ind w:right="107" w:rightChars="51"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要求。履约保证金的形式：</w:t>
            </w:r>
            <w:r>
              <w:rPr>
                <w:rFonts w:hint="eastAsia" w:ascii="宋体" w:hAnsi="宋体" w:eastAsia="宋体" w:cs="宋体"/>
                <w:sz w:val="21"/>
                <w:szCs w:val="21"/>
                <w:highlight w:val="none"/>
                <w:u w:val="single"/>
              </w:rPr>
              <w:t>银行保函</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的金额：中标价款的10%，须在中国境内银行开具的无条件、不可撤销、见索即付的保函。履约保函到期但本项目未工程结算的，无论何种原因，投标人承诺无条件续保，如履约保函到期不提供续保则承担一般违约责任。</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1" w:hRule="atLeast"/>
        </w:trPr>
        <w:tc>
          <w:tcPr>
            <w:tcW w:w="1235" w:type="dxa"/>
            <w:vAlign w:val="center"/>
          </w:tcPr>
          <w:p>
            <w:pPr>
              <w:spacing w:line="360" w:lineRule="auto"/>
              <w:ind w:left="105" w:leftChars="50" w:right="105" w:rightChars="50"/>
              <w:jc w:val="left"/>
              <w:rPr>
                <w:rFonts w:hint="eastAsia" w:ascii="宋体" w:hAnsi="宋体" w:eastAsia="宋体" w:cs="宋体"/>
                <w:w w:val="94"/>
                <w:sz w:val="21"/>
                <w:szCs w:val="21"/>
                <w:highlight w:val="none"/>
              </w:rPr>
            </w:pPr>
            <w:r>
              <w:rPr>
                <w:rFonts w:hint="eastAsia" w:ascii="宋体" w:hAnsi="宋体" w:eastAsia="宋体" w:cs="宋体"/>
                <w:w w:val="94"/>
                <w:sz w:val="21"/>
                <w:szCs w:val="21"/>
                <w:highlight w:val="none"/>
              </w:rPr>
              <w:t>9</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是否采用电子招标投标</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rPr>
              <w:t>否</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是，具体要求：</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1、具体操作详见附件</w:t>
            </w:r>
            <w:r>
              <w:rPr>
                <w:rFonts w:hint="eastAsia" w:ascii="宋体" w:hAnsi="宋体" w:eastAsia="宋体" w:cs="宋体"/>
                <w:b/>
                <w:bCs/>
                <w:sz w:val="21"/>
                <w:szCs w:val="21"/>
                <w:highlight w:val="none"/>
                <w:lang w:eastAsia="zh-CN"/>
              </w:rPr>
              <w:t>《建设工程全流程电子化项目操作指南》</w:t>
            </w:r>
            <w:r>
              <w:rPr>
                <w:rFonts w:hint="eastAsia" w:ascii="宋体" w:hAnsi="宋体" w:eastAsia="宋体" w:cs="宋体"/>
                <w:sz w:val="21"/>
                <w:szCs w:val="21"/>
                <w:highlight w:val="none"/>
              </w:rPr>
              <w:t>。</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2.提交投标文件光盘备用</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投标人可按</w:t>
            </w:r>
            <w:r>
              <w:rPr>
                <w:rFonts w:hint="eastAsia" w:ascii="宋体" w:hAnsi="宋体" w:eastAsia="宋体" w:cs="宋体"/>
                <w:b/>
                <w:sz w:val="21"/>
                <w:szCs w:val="21"/>
                <w:highlight w:val="none"/>
                <w:lang w:eastAsia="zh-CN"/>
              </w:rPr>
              <w:t>《建设工程全流程电子化项目操作指南》</w:t>
            </w:r>
            <w:r>
              <w:rPr>
                <w:rFonts w:hint="eastAsia" w:ascii="宋体" w:hAnsi="宋体" w:eastAsia="宋体" w:cs="宋体"/>
                <w:sz w:val="21"/>
                <w:szCs w:val="21"/>
                <w:highlight w:val="none"/>
              </w:rPr>
              <w:t>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3.补救方案</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（1）投标文件解密失败的补救方案：</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（2）评标时突发情况的补救方案</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若遇不可抗力发生（如：网络瘫痪、服务器损坏、交易系统故障短期无法恢复等因素），由评标委员会开启递交的全部投标文件光盘，并按光盘内容进行评审。</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（3）除发生上述情况外，开标评标均以投标人通过交易平台网上递交的电子投标文件为准。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8"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其他内容</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8"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10.1</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特别提示</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投标人在本项目招标人的工程项目中存在下列行为的，将被拒绝</w:t>
            </w:r>
            <w:r>
              <w:rPr>
                <w:rFonts w:hint="eastAsia" w:ascii="宋体" w:hAnsi="宋体" w:eastAsia="宋体" w:cs="宋体"/>
                <w:sz w:val="21"/>
                <w:szCs w:val="21"/>
                <w:highlight w:val="none"/>
                <w:u w:val="single"/>
              </w:rPr>
              <w:t>一年内</w:t>
            </w:r>
            <w:r>
              <w:rPr>
                <w:rFonts w:hint="eastAsia" w:ascii="宋体" w:hAnsi="宋体" w:eastAsia="宋体" w:cs="宋体"/>
                <w:sz w:val="21"/>
                <w:szCs w:val="21"/>
                <w:highlight w:val="none"/>
              </w:rPr>
              <w:t>参与我单位后续工程投标。（注：拒绝投标时限由招标人视严重程度确定，最低十二个月起，自招标人发出通知之日起计）：</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（1）将中标工程转包或者违法分包的；</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（2）在中标工程中不执行质量、安全生产相关规定的，造成质量或安全事故的；</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（3）存在围标或串标情形的；</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（4）存在弄虚作假骗取中标情形的； </w:t>
            </w:r>
          </w:p>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（5）存在因过错行为被生效法律文书认定承担违约或侵权责任的。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67"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招标失败的情形</w:t>
            </w:r>
          </w:p>
        </w:tc>
        <w:tc>
          <w:tcPr>
            <w:tcW w:w="5954" w:type="dxa"/>
            <w:vAlign w:val="center"/>
          </w:tcPr>
          <w:p>
            <w:pPr>
              <w:spacing w:line="360" w:lineRule="auto"/>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highlight w:val="none"/>
              </w:rPr>
              <w:t>本项目采用资格后审方式，满足资格审查合格条件或通过初步评审的投标人不足3名时为招标失败。招标人分析招标失败原因，修正招标方案，报有关管理部门核准后，重新组织招标。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67"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10.3</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第一中标候选人放弃中标资格情形</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10.4</w:t>
            </w:r>
          </w:p>
        </w:tc>
        <w:tc>
          <w:tcPr>
            <w:tcW w:w="2208" w:type="dxa"/>
            <w:tcBorders>
              <w:top w:val="single" w:color="auto" w:sz="8" w:space="0"/>
              <w:left w:val="single" w:color="auto" w:sz="8" w:space="0"/>
              <w:bottom w:val="single" w:color="auto" w:sz="8" w:space="0"/>
              <w:right w:val="single" w:color="auto" w:sz="8"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中标候选人公示要求</w:t>
            </w:r>
          </w:p>
        </w:tc>
        <w:tc>
          <w:tcPr>
            <w:tcW w:w="5954" w:type="dxa"/>
            <w:tcBorders>
              <w:top w:val="single" w:color="auto" w:sz="8" w:space="0"/>
              <w:left w:val="single" w:color="auto" w:sz="8" w:space="0"/>
              <w:bottom w:val="single" w:color="auto" w:sz="8" w:space="0"/>
              <w:right w:val="single" w:color="auto" w:sz="12" w:space="0"/>
            </w:tcBorders>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在产生中标候选人后，招标人将中标候选人的投标文件商务部分的电子版（报价清单、方案等涉及商业秘密的内容除外）在</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网站公开。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1235"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10.5</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风险提示</w:t>
            </w:r>
          </w:p>
        </w:tc>
        <w:tc>
          <w:tcPr>
            <w:tcW w:w="5954" w:type="dxa"/>
            <w:vAlign w:val="bottom"/>
          </w:tcPr>
          <w:p>
            <w:pPr>
              <w:spacing w:line="360" w:lineRule="auto"/>
              <w:ind w:left="105" w:leftChars="50"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规划实施的具体情况，如遇该项目的投资规模、结构形式、项目名称或者造价等发生调整（或变更，或增减），也可能会新增或减少、甚至取消部分子项工程或全部取消，投标人应充分理解此风险并无条件接受，不得拒绝，且费用不作增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1235" w:type="dxa"/>
            <w:vAlign w:val="center"/>
          </w:tcPr>
          <w:p>
            <w:pPr>
              <w:spacing w:line="360" w:lineRule="auto"/>
              <w:ind w:left="105" w:leftChars="50"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10.6</w:t>
            </w:r>
          </w:p>
        </w:tc>
        <w:tc>
          <w:tcPr>
            <w:tcW w:w="2208" w:type="dxa"/>
            <w:vAlign w:val="center"/>
          </w:tcPr>
          <w:p>
            <w:pPr>
              <w:spacing w:line="360" w:lineRule="auto"/>
              <w:ind w:left="105" w:leftChars="50" w:right="105" w:rightChars="5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费用承担</w:t>
            </w:r>
          </w:p>
        </w:tc>
        <w:tc>
          <w:tcPr>
            <w:tcW w:w="5954" w:type="dxa"/>
            <w:vAlign w:val="center"/>
          </w:tcPr>
          <w:p>
            <w:pPr>
              <w:numPr>
                <w:ilvl w:val="0"/>
                <w:numId w:val="1"/>
              </w:numPr>
              <w:spacing w:line="360" w:lineRule="auto"/>
            </w:pPr>
            <w:r>
              <w:rPr>
                <w:rFonts w:hint="eastAsia" w:ascii="宋体" w:hAnsi="宋体" w:cs="宋体"/>
                <w:szCs w:val="21"/>
              </w:rPr>
              <w:t>中标人按相关规定</w:t>
            </w:r>
            <w:r>
              <w:rPr>
                <w:rFonts w:hint="eastAsia" w:ascii="宋体" w:hAnsi="宋体" w:cs="宋体"/>
                <w:szCs w:val="21"/>
                <w:lang w:val="en-US" w:eastAsia="zh-CN"/>
              </w:rPr>
              <w:t>缴纳</w:t>
            </w:r>
            <w:r>
              <w:rPr>
                <w:rFonts w:hint="eastAsia" w:ascii="宋体" w:hAnsi="宋体" w:cs="宋体"/>
                <w:szCs w:val="21"/>
              </w:rPr>
              <w:t>交易服务费，交易服务费的金额为中标总金额的0.9‰，其费用由中标人自行支付，招标人不另行支付。</w:t>
            </w:r>
          </w:p>
          <w:p>
            <w:pPr>
              <w:spacing w:line="360" w:lineRule="auto"/>
              <w:ind w:left="0" w:leftChars="0" w:right="105" w:rightChars="50"/>
              <w:jc w:val="left"/>
              <w:rPr>
                <w:rFonts w:hint="eastAsia" w:ascii="宋体" w:hAnsi="宋体" w:eastAsia="宋体" w:cs="宋体"/>
                <w:sz w:val="21"/>
                <w:szCs w:val="21"/>
                <w:highlight w:val="none"/>
                <w:lang w:val="en-US" w:eastAsia="zh-CN"/>
              </w:rPr>
            </w:pPr>
            <w:r>
              <w:rPr>
                <w:rFonts w:hint="eastAsia" w:ascii="宋体" w:hAnsi="宋体" w:cs="宋体"/>
                <w:szCs w:val="21"/>
                <w:lang w:val="en-US" w:eastAsia="zh-CN"/>
              </w:rPr>
              <w:t>2、</w:t>
            </w:r>
            <w:r>
              <w:rPr>
                <w:rFonts w:hint="eastAsia" w:ascii="宋体" w:hAnsi="宋体" w:cs="宋体" w:eastAsiaTheme="minorEastAsia"/>
                <w:b w:val="0"/>
                <w:bCs w:val="0"/>
                <w:sz w:val="21"/>
                <w:szCs w:val="21"/>
                <w:lang w:val="en-US" w:eastAsia="zh-CN"/>
              </w:rPr>
              <w:t>本项目招标代理费由</w:t>
            </w:r>
            <w:r>
              <w:rPr>
                <w:rFonts w:hint="eastAsia" w:ascii="宋体" w:hAnsi="宋体" w:cs="宋体" w:eastAsiaTheme="minorEastAsia"/>
                <w:b w:val="0"/>
                <w:bCs w:val="0"/>
                <w:sz w:val="21"/>
                <w:szCs w:val="21"/>
              </w:rPr>
              <w:t>招标人支付。</w:t>
            </w:r>
          </w:p>
        </w:tc>
      </w:tr>
    </w:tbl>
    <w:p>
      <w:pPr>
        <w:pStyle w:val="3"/>
        <w:spacing w:line="360" w:lineRule="auto"/>
        <w:rPr>
          <w:rFonts w:hint="eastAsia" w:ascii="宋体" w:hAnsi="宋体" w:eastAsia="宋体" w:cs="宋体"/>
          <w:highlight w:val="none"/>
        </w:rPr>
      </w:pPr>
      <w:bookmarkStart w:id="44" w:name="page21"/>
      <w:bookmarkEnd w:id="44"/>
      <w:r>
        <w:rPr>
          <w:highlight w:val="none"/>
        </w:rPr>
        <w:br w:type="page"/>
      </w:r>
      <w:bookmarkStart w:id="45" w:name="_Toc69983612"/>
      <w:bookmarkStart w:id="46" w:name="_Toc35513428"/>
      <w:r>
        <w:rPr>
          <w:rFonts w:hint="eastAsia" w:ascii="宋体" w:hAnsi="宋体" w:eastAsia="宋体" w:cs="宋体"/>
          <w:highlight w:val="none"/>
        </w:rPr>
        <w:t>1.总则</w:t>
      </w:r>
      <w:bookmarkEnd w:id="45"/>
      <w:bookmarkEnd w:id="46"/>
    </w:p>
    <w:p>
      <w:pPr>
        <w:pStyle w:val="4"/>
        <w:spacing w:line="360" w:lineRule="auto"/>
        <w:ind w:firstLine="482"/>
        <w:rPr>
          <w:rFonts w:hint="eastAsia" w:ascii="宋体" w:hAnsi="宋体" w:eastAsia="宋体" w:cs="宋体"/>
          <w:highlight w:val="none"/>
        </w:rPr>
      </w:pPr>
      <w:bookmarkStart w:id="47" w:name="_Toc35513429"/>
      <w:bookmarkStart w:id="48" w:name="_Toc69983613"/>
      <w:r>
        <w:rPr>
          <w:rFonts w:hint="eastAsia" w:ascii="宋体" w:hAnsi="宋体" w:eastAsia="宋体" w:cs="宋体"/>
          <w:highlight w:val="none"/>
        </w:rPr>
        <w:t>1.1 招标项目概况</w:t>
      </w:r>
      <w:bookmarkEnd w:id="47"/>
      <w:bookmarkEnd w:id="48"/>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1.1.1 根据《中华人民共和国招标投标法》、《中华人民共和国招标投标法实施条例》等有关法律、法规和规章的规定，本招标项目已具备招标条件，现对该项目进行招标。</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1.1.2 招标人：见投标人须知前附表。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1.1.3 招标代理机构：见投标人须知前附表。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1.1.4 招标项目名称：见投标人须知前附表。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1.1.5 项目建设地点：见投标人须知前附表。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1.1.6 项目建设规模：见投标人须知前附表。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1.1.7 工程项目施工预计开工日期和建设周期：见投标人须知前附表。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1.1.8 建筑安装工程费/工程概算：见投标人须知前附表。</w:t>
      </w:r>
    </w:p>
    <w:p>
      <w:pPr>
        <w:pStyle w:val="4"/>
        <w:spacing w:line="360" w:lineRule="auto"/>
        <w:ind w:firstLine="482"/>
        <w:rPr>
          <w:rFonts w:hint="eastAsia" w:ascii="宋体" w:hAnsi="宋体" w:eastAsia="宋体" w:cs="宋体"/>
          <w:highlight w:val="none"/>
        </w:rPr>
      </w:pPr>
      <w:bookmarkStart w:id="49" w:name="_Toc69983614"/>
      <w:bookmarkStart w:id="50" w:name="_Toc35513430"/>
      <w:r>
        <w:rPr>
          <w:rFonts w:hint="eastAsia" w:ascii="宋体" w:hAnsi="宋体" w:eastAsia="宋体" w:cs="宋体"/>
          <w:highlight w:val="none"/>
        </w:rPr>
        <w:t>1.2 招标项目的资金来源和落实情况</w:t>
      </w:r>
      <w:bookmarkEnd w:id="49"/>
      <w:bookmarkEnd w:id="50"/>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1.2.1 资金来源及比例：见投标人须知前附表。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1.2.2 资金落实情况：见投标人须知前附表。</w:t>
      </w:r>
    </w:p>
    <w:p>
      <w:pPr>
        <w:pStyle w:val="4"/>
        <w:spacing w:line="360" w:lineRule="auto"/>
        <w:ind w:firstLine="482"/>
        <w:rPr>
          <w:rFonts w:hint="eastAsia" w:ascii="宋体" w:hAnsi="宋体" w:eastAsia="宋体" w:cs="宋体"/>
          <w:highlight w:val="none"/>
        </w:rPr>
      </w:pPr>
      <w:bookmarkStart w:id="51" w:name="_Toc35513431"/>
      <w:bookmarkStart w:id="52" w:name="_Toc69983615"/>
      <w:r>
        <w:rPr>
          <w:rFonts w:hint="eastAsia" w:ascii="宋体" w:hAnsi="宋体" w:eastAsia="宋体" w:cs="宋体"/>
          <w:highlight w:val="none"/>
        </w:rPr>
        <w:t>1.3 招标范围、服务期限和质量标准</w:t>
      </w:r>
      <w:bookmarkEnd w:id="51"/>
      <w:bookmarkEnd w:id="52"/>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1.3.1 招标范围：见投标人须知前附表。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1.3.2服务期限：见投标人须知前附表。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1.3.3 质量标准：见投标人须知前附表。</w:t>
      </w:r>
    </w:p>
    <w:p>
      <w:pPr>
        <w:pStyle w:val="4"/>
        <w:spacing w:line="360" w:lineRule="auto"/>
        <w:ind w:firstLine="482"/>
        <w:rPr>
          <w:rFonts w:hint="eastAsia" w:ascii="宋体" w:hAnsi="宋体" w:eastAsia="宋体" w:cs="宋体"/>
          <w:highlight w:val="none"/>
        </w:rPr>
      </w:pPr>
      <w:bookmarkStart w:id="53" w:name="_Toc35513432"/>
      <w:bookmarkStart w:id="54" w:name="_Toc69983616"/>
      <w:r>
        <w:rPr>
          <w:rFonts w:hint="eastAsia" w:ascii="宋体" w:hAnsi="宋体" w:eastAsia="宋体" w:cs="宋体"/>
          <w:highlight w:val="none"/>
        </w:rPr>
        <w:t>1.4 投标人资格要求</w:t>
      </w:r>
      <w:bookmarkEnd w:id="53"/>
      <w:bookmarkEnd w:id="5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1.4.1 投标人应具备承担本招标项目资质条件、能力和信誉：</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（1）资质要求：见投标人须知前附表；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（2）财务要求：见投标人须知前附表；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（3）业绩要求：见投标人须知前附表；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（4）信誉要求：见投标人须知前附表；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（5）项目负责人要求：见投标人须知前</w:t>
      </w:r>
      <w:bookmarkStart w:id="55" w:name="page22"/>
      <w:bookmarkEnd w:id="55"/>
      <w:r>
        <w:rPr>
          <w:rFonts w:hint="eastAsia" w:ascii="宋体" w:hAnsi="宋体" w:eastAsia="宋体" w:cs="宋体"/>
          <w:highlight w:val="none"/>
        </w:rPr>
        <w:t>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（6）其他主要人员要求：见投标人须知前附表。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（7）试验检测仪器设备要求：见投标人须知前附表。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（8）其他要求：见投标人须知前附表。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需要提交的相关证明材料见本章第 3.5 款的规定。</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1.4.2 投标人须知前附表规定接受联合体投标的，联合体除应符合本章第 1.4.1 项和投标人须知前附表的要求外，还应遵守以下规定：</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（1）联合体各方应按招标文件提供的格式签订联合体协议书，明确联合体牵头人和各方权利义务，并承诺就中标项目向招标人承担连带责任；</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（2）由同一专业的单位组成的联合体，按照资质等级较低的单位确定资质等级；</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（3）联合体各方不得再以自己名义单独或参加其他联合体在本招标项目中投标，否则各相关投标均无效。</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1.4.3 投标人不得存在下列情形之一：</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（1）为招标人不具有独立法人资格的附属机构（单位）；</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（2）与招标人存在利害关系且可能影响招标公正性；</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（3）与本招标项目的其他投标人为同一个单位负责人；</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（4）与本招标项目的其他投标人存在控股、管理关系；</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（5）为本招标项目的招标代理机构；</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（6）与本招标项目招标代理机构同为一个法定代表人；</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（7）与本招标项目的招标代理机构存在控股或参股关系；</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（8）与本招标项目的施工承包人以及建筑材料、建筑构配件和设备供应商有隶属关系或者其他利害关系；</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（9）被依法暂停或者取消投标资格；</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（10）被责令停产停业、暂扣或者吊销许可证、暂扣或者吊销执照；</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（11）进入清算程序，或被宣告破产，或其他丧失履约能力的情形；</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（12）在最近三年内发生重大工程质量问题（以相关行业主管部门的行政处罚决定或司法机关出具的有关法律文书为准）；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（13）被工商行政管理机关在全国企业信用信息公示系统中列入严重违法失信企业名单；</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（14）被最高人民法院在“信用中国”网站（www.creditchina.gov.cn）或各级信用信息共享平台中列入失信被执行人名单；</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（15）法律法规或投标人须知前附表规定的其他情形。</w:t>
      </w:r>
    </w:p>
    <w:p>
      <w:pPr>
        <w:pStyle w:val="4"/>
        <w:spacing w:line="360" w:lineRule="auto"/>
        <w:ind w:firstLine="482"/>
        <w:rPr>
          <w:rFonts w:hint="eastAsia" w:ascii="宋体" w:hAnsi="宋体" w:eastAsia="宋体" w:cs="宋体"/>
          <w:highlight w:val="none"/>
        </w:rPr>
      </w:pPr>
      <w:bookmarkStart w:id="56" w:name="_Toc69983617"/>
      <w:bookmarkStart w:id="57" w:name="_Toc35513433"/>
      <w:r>
        <w:rPr>
          <w:rFonts w:hint="eastAsia" w:ascii="宋体" w:hAnsi="宋体" w:eastAsia="宋体" w:cs="宋体"/>
          <w:highlight w:val="none"/>
        </w:rPr>
        <w:t>1.5 费用承担</w:t>
      </w:r>
      <w:bookmarkEnd w:id="56"/>
      <w:bookmarkEnd w:id="5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投标人准备和参加投标活动发生的费用自理。</w:t>
      </w:r>
    </w:p>
    <w:p>
      <w:pPr>
        <w:pStyle w:val="4"/>
        <w:spacing w:line="360" w:lineRule="auto"/>
        <w:ind w:firstLine="482"/>
        <w:rPr>
          <w:rFonts w:hint="eastAsia" w:ascii="宋体" w:hAnsi="宋体" w:eastAsia="宋体" w:cs="宋体"/>
          <w:highlight w:val="none"/>
        </w:rPr>
      </w:pPr>
      <w:bookmarkStart w:id="58" w:name="_Toc69983618"/>
      <w:bookmarkStart w:id="59" w:name="_Toc35513434"/>
      <w:r>
        <w:rPr>
          <w:rFonts w:hint="eastAsia" w:ascii="宋体" w:hAnsi="宋体" w:eastAsia="宋体" w:cs="宋体"/>
          <w:highlight w:val="none"/>
        </w:rPr>
        <w:t>1.6 保密</w:t>
      </w:r>
      <w:bookmarkEnd w:id="58"/>
      <w:bookmarkEnd w:id="59"/>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参与招标投标活动的各方应对招标文件和投标文件中的商业和技术等秘密保密，否则应承担相应的法律责任。</w:t>
      </w:r>
    </w:p>
    <w:p>
      <w:pPr>
        <w:pStyle w:val="4"/>
        <w:spacing w:line="360" w:lineRule="auto"/>
        <w:ind w:firstLine="482"/>
        <w:rPr>
          <w:rFonts w:hint="eastAsia" w:ascii="宋体" w:hAnsi="宋体" w:eastAsia="宋体" w:cs="宋体"/>
          <w:highlight w:val="none"/>
        </w:rPr>
      </w:pPr>
      <w:bookmarkStart w:id="60" w:name="_Toc35513435"/>
      <w:bookmarkStart w:id="61" w:name="_Toc69983619"/>
      <w:r>
        <w:rPr>
          <w:rFonts w:hint="eastAsia" w:ascii="宋体" w:hAnsi="宋体" w:eastAsia="宋体" w:cs="宋体"/>
          <w:highlight w:val="none"/>
        </w:rPr>
        <w:t>1.7 语言文字</w:t>
      </w:r>
      <w:bookmarkEnd w:id="60"/>
      <w:bookmarkEnd w:id="61"/>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招标投标文件使用的语言文字为中文。专用术语使用外文的，应附有中文注释。</w:t>
      </w:r>
    </w:p>
    <w:p>
      <w:pPr>
        <w:pStyle w:val="4"/>
        <w:spacing w:line="360" w:lineRule="auto"/>
        <w:ind w:firstLine="482"/>
        <w:rPr>
          <w:rFonts w:hint="eastAsia" w:ascii="宋体" w:hAnsi="宋体" w:eastAsia="宋体" w:cs="宋体"/>
          <w:highlight w:val="none"/>
        </w:rPr>
      </w:pPr>
      <w:bookmarkStart w:id="62" w:name="_Toc69983620"/>
      <w:bookmarkStart w:id="63" w:name="_Toc35513436"/>
      <w:r>
        <w:rPr>
          <w:rFonts w:hint="eastAsia" w:ascii="宋体" w:hAnsi="宋体" w:eastAsia="宋体" w:cs="宋体"/>
          <w:highlight w:val="none"/>
        </w:rPr>
        <w:t>1.8 计量单位</w:t>
      </w:r>
      <w:bookmarkEnd w:id="62"/>
      <w:bookmarkEnd w:id="63"/>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pPr>
        <w:pStyle w:val="4"/>
        <w:spacing w:line="360" w:lineRule="auto"/>
        <w:ind w:firstLine="482"/>
        <w:rPr>
          <w:rFonts w:hint="eastAsia" w:ascii="宋体" w:hAnsi="宋体" w:eastAsia="宋体" w:cs="宋体"/>
          <w:highlight w:val="none"/>
        </w:rPr>
      </w:pPr>
      <w:bookmarkStart w:id="64" w:name="_Toc35513437"/>
      <w:bookmarkStart w:id="65" w:name="_Toc69983621"/>
      <w:r>
        <w:rPr>
          <w:rFonts w:hint="eastAsia" w:ascii="宋体" w:hAnsi="宋体" w:eastAsia="宋体" w:cs="宋体"/>
          <w:highlight w:val="none"/>
        </w:rPr>
        <w:t>1.9 踏勘现场</w:t>
      </w:r>
      <w:bookmarkEnd w:id="64"/>
      <w:bookmarkEnd w:id="65"/>
    </w:p>
    <w:p>
      <w:pPr>
        <w:spacing w:line="360" w:lineRule="auto"/>
        <w:ind w:firstLine="480"/>
        <w:rPr>
          <w:rFonts w:hint="eastAsia" w:ascii="宋体" w:hAnsi="宋体" w:eastAsia="宋体" w:cs="宋体"/>
          <w:strike w:val="0"/>
          <w:highlight w:val="none"/>
        </w:rPr>
      </w:pPr>
      <w:r>
        <w:rPr>
          <w:rFonts w:hint="eastAsia" w:ascii="宋体" w:hAnsi="宋体" w:eastAsia="宋体" w:cs="宋体"/>
          <w:strike w:val="0"/>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1.9.2 投标人踏勘现场发生的费用自理。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1.9.3 除招标人的原因外，投标人自行负责在踏勘现场中所发生的人员伤亡和财产损失。</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1.9.4 招标人在踏勘现场中介绍的工程场地和相关的周边环境情况，供投标人在编制投标文件时参考，招标人不对投标人据此作出的判断和决策负责。</w:t>
      </w:r>
    </w:p>
    <w:p>
      <w:pPr>
        <w:pStyle w:val="4"/>
        <w:spacing w:line="360" w:lineRule="auto"/>
        <w:ind w:firstLine="482"/>
        <w:rPr>
          <w:rFonts w:hint="eastAsia" w:ascii="宋体" w:hAnsi="宋体" w:eastAsia="宋体" w:cs="宋体"/>
          <w:strike w:val="0"/>
          <w:highlight w:val="none"/>
        </w:rPr>
      </w:pPr>
      <w:bookmarkStart w:id="66" w:name="_Toc69983622"/>
      <w:bookmarkStart w:id="67" w:name="_Toc35513438"/>
      <w:r>
        <w:rPr>
          <w:rFonts w:hint="eastAsia" w:ascii="宋体" w:hAnsi="宋体" w:eastAsia="宋体" w:cs="宋体"/>
          <w:strike w:val="0"/>
          <w:highlight w:val="none"/>
        </w:rPr>
        <w:t>1.10 投标预备会</w:t>
      </w:r>
      <w:bookmarkEnd w:id="66"/>
      <w:bookmarkEnd w:id="67"/>
    </w:p>
    <w:p>
      <w:pPr>
        <w:spacing w:line="360" w:lineRule="auto"/>
        <w:ind w:firstLine="480"/>
        <w:rPr>
          <w:rFonts w:hint="eastAsia" w:ascii="宋体" w:hAnsi="宋体" w:eastAsia="宋体" w:cs="宋体"/>
          <w:strike w:val="0"/>
          <w:highlight w:val="none"/>
        </w:rPr>
      </w:pPr>
      <w:r>
        <w:rPr>
          <w:rFonts w:hint="eastAsia" w:ascii="宋体" w:hAnsi="宋体" w:eastAsia="宋体" w:cs="宋体"/>
          <w:strike w:val="0"/>
          <w:highlight w:val="none"/>
        </w:rPr>
        <w:t>1.10.1 投标人须知前附表规定召开投标预备会的，招标人按投标人须知前附表规定的时间和地点召开投标预备会，澄清投标人提出的问题。</w:t>
      </w:r>
    </w:p>
    <w:p>
      <w:pPr>
        <w:spacing w:line="360" w:lineRule="auto"/>
        <w:ind w:firstLine="480"/>
        <w:rPr>
          <w:rFonts w:hint="eastAsia" w:ascii="宋体" w:hAnsi="宋体" w:eastAsia="宋体" w:cs="宋体"/>
          <w:strike w:val="0"/>
          <w:highlight w:val="none"/>
        </w:rPr>
      </w:pPr>
      <w:r>
        <w:rPr>
          <w:rFonts w:hint="eastAsia" w:ascii="宋体" w:hAnsi="宋体" w:eastAsia="宋体" w:cs="宋体"/>
          <w:strike w:val="0"/>
          <w:highlight w:val="none"/>
        </w:rPr>
        <w:t>1.10.2 投标人应按投标人须知前附表规定的时间和形式将提出的问题送达招标人，以便招标人在会议期间澄清。</w:t>
      </w:r>
    </w:p>
    <w:p>
      <w:pPr>
        <w:spacing w:line="360" w:lineRule="auto"/>
        <w:ind w:firstLine="480"/>
        <w:rPr>
          <w:rFonts w:hint="eastAsia" w:ascii="宋体" w:hAnsi="宋体" w:eastAsia="宋体" w:cs="宋体"/>
          <w:strike w:val="0"/>
          <w:highlight w:val="none"/>
        </w:rPr>
      </w:pPr>
      <w:r>
        <w:rPr>
          <w:rFonts w:hint="eastAsia" w:ascii="宋体" w:hAnsi="宋体" w:eastAsia="宋体" w:cs="宋体"/>
          <w:strike w:val="0"/>
          <w:highlight w:val="none"/>
        </w:rPr>
        <w:t>1.10.3 投标预备会后，招标人将对投标人所提问题的澄清，以投标人须知前附表规定的形式通知所有购买招标文件的投标人。该澄清内容为招标文件的组成</w:t>
      </w:r>
      <w:bookmarkStart w:id="68" w:name="page24"/>
      <w:bookmarkEnd w:id="68"/>
      <w:r>
        <w:rPr>
          <w:rFonts w:hint="eastAsia" w:ascii="宋体" w:hAnsi="宋体" w:eastAsia="宋体" w:cs="宋体"/>
          <w:strike w:val="0"/>
          <w:highlight w:val="none"/>
        </w:rPr>
        <w:t>部分。</w:t>
      </w:r>
    </w:p>
    <w:p>
      <w:pPr>
        <w:pStyle w:val="4"/>
        <w:spacing w:line="360" w:lineRule="auto"/>
        <w:ind w:firstLine="482"/>
        <w:rPr>
          <w:rFonts w:hint="eastAsia" w:ascii="宋体" w:hAnsi="宋体" w:eastAsia="宋体" w:cs="宋体"/>
          <w:highlight w:val="none"/>
        </w:rPr>
      </w:pPr>
      <w:bookmarkStart w:id="69" w:name="_Toc69983623"/>
      <w:bookmarkStart w:id="70" w:name="_Toc35513440"/>
      <w:r>
        <w:rPr>
          <w:rFonts w:hint="eastAsia" w:ascii="宋体" w:hAnsi="宋体" w:eastAsia="宋体" w:cs="宋体"/>
          <w:highlight w:val="none"/>
        </w:rPr>
        <w:t>1.11 响应和偏差</w:t>
      </w:r>
      <w:bookmarkEnd w:id="69"/>
      <w:bookmarkEnd w:id="70"/>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1.11.1 投标文件应当对招标文件的实质性要求和条件作出满足性或更有利于招标人的响应，否则，投标人的投标将被否决。实质性要求和条件见投标人须知前附表。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1.11.2 投标人应根据招标文件的要求提供投标</w:t>
      </w:r>
      <w:r>
        <w:rPr>
          <w:rFonts w:hint="eastAsia" w:ascii="宋体" w:hAnsi="宋体" w:eastAsia="宋体" w:cs="宋体"/>
          <w:highlight w:val="none"/>
          <w:u w:val="single"/>
        </w:rPr>
        <w:t>服务技术方案</w:t>
      </w:r>
      <w:r>
        <w:rPr>
          <w:rFonts w:hint="eastAsia" w:ascii="宋体" w:hAnsi="宋体" w:eastAsia="宋体" w:cs="宋体"/>
          <w:highlight w:val="none"/>
        </w:rPr>
        <w:t>等内容以对招标文件作出响应。</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1.11.3 投标人须知前附表允许投标文件偏离招标文件某些要求的，偏差应当符合招标文件规定的偏差范围和幅度。</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71" w:name="_Toc69983624"/>
      <w:bookmarkStart w:id="72" w:name="_Toc35513441"/>
      <w:r>
        <w:rPr>
          <w:rFonts w:hint="eastAsia" w:ascii="宋体" w:hAnsi="宋体" w:eastAsia="宋体" w:cs="宋体"/>
          <w:highlight w:val="none"/>
        </w:rPr>
        <w:t>2.招标文件</w:t>
      </w:r>
      <w:bookmarkEnd w:id="71"/>
      <w:bookmarkEnd w:id="72"/>
    </w:p>
    <w:p>
      <w:pPr>
        <w:pStyle w:val="4"/>
        <w:spacing w:line="360" w:lineRule="auto"/>
        <w:ind w:firstLine="482"/>
        <w:rPr>
          <w:rFonts w:hint="eastAsia" w:ascii="宋体" w:hAnsi="宋体" w:eastAsia="宋体" w:cs="宋体"/>
          <w:highlight w:val="none"/>
        </w:rPr>
      </w:pPr>
      <w:bookmarkStart w:id="73" w:name="_Toc35513442"/>
      <w:bookmarkStart w:id="74" w:name="_Toc69983625"/>
      <w:r>
        <w:rPr>
          <w:rFonts w:hint="eastAsia" w:ascii="宋体" w:hAnsi="宋体" w:eastAsia="宋体" w:cs="宋体"/>
          <w:highlight w:val="none"/>
        </w:rPr>
        <w:t>2.1 招标文件的组成</w:t>
      </w:r>
      <w:bookmarkEnd w:id="73"/>
      <w:bookmarkEnd w:id="7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本招标文件包括：</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（1）招标公告；</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（2）投标人须知；</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（3）评标办法；</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（4）合同条款及格式；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（5）委托人要求；</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（6）投标文件格式；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根据本章第 2.2 款和第 2.3 款对招标文件所作的澄清、修改，构成招标文件的组成部分。</w:t>
      </w:r>
    </w:p>
    <w:p>
      <w:pPr>
        <w:pStyle w:val="4"/>
        <w:spacing w:line="360" w:lineRule="auto"/>
        <w:ind w:firstLine="482"/>
        <w:rPr>
          <w:rFonts w:hint="eastAsia" w:ascii="宋体" w:hAnsi="宋体" w:eastAsia="宋体" w:cs="宋体"/>
          <w:highlight w:val="none"/>
        </w:rPr>
      </w:pPr>
      <w:bookmarkStart w:id="75" w:name="_Toc35513443"/>
      <w:bookmarkStart w:id="76" w:name="_Toc69983626"/>
      <w:r>
        <w:rPr>
          <w:rFonts w:hint="eastAsia" w:ascii="宋体" w:hAnsi="宋体" w:eastAsia="宋体" w:cs="宋体"/>
          <w:highlight w:val="none"/>
        </w:rPr>
        <w:t>2.2 招标文件的澄清</w:t>
      </w:r>
      <w:bookmarkEnd w:id="75"/>
      <w:bookmarkEnd w:id="76"/>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2.2.2 招标文件的澄清以投标人须知前附表规定的形式发给所有投标人，但不指明澄清问题的来源。澄清发出的时间距本章第 4.2.1 项规定的投标截止时间不足 15 日的，并且澄清内容可能影响投标文件编制的，将相应延长投标截止时间。</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2.2.3 投标人在收到澄清后，应按投标人须知前附表规定的时间和形式通知招标人，确认已收到该澄清。</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2.2.4 除非招标人认为确有必要答复，否则，招标人有权拒绝回复投标人在本章第 2.2.1 项规定的时间后的任何澄清要求。</w:t>
      </w:r>
    </w:p>
    <w:p>
      <w:pPr>
        <w:pStyle w:val="4"/>
        <w:spacing w:line="360" w:lineRule="auto"/>
        <w:ind w:firstLine="482"/>
        <w:rPr>
          <w:rFonts w:hint="eastAsia" w:ascii="宋体" w:hAnsi="宋体" w:eastAsia="宋体" w:cs="宋体"/>
          <w:highlight w:val="none"/>
        </w:rPr>
      </w:pPr>
      <w:bookmarkStart w:id="77" w:name="_Toc35513444"/>
      <w:bookmarkStart w:id="78" w:name="_Toc69983627"/>
      <w:r>
        <w:rPr>
          <w:rFonts w:hint="eastAsia" w:ascii="宋体" w:hAnsi="宋体" w:eastAsia="宋体" w:cs="宋体"/>
          <w:highlight w:val="none"/>
        </w:rPr>
        <w:t>2.3 招标文件的修改</w:t>
      </w:r>
      <w:bookmarkEnd w:id="77"/>
      <w:bookmarkEnd w:id="78"/>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 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 2.3.2 </w:t>
      </w:r>
      <w:r>
        <w:rPr>
          <w:rFonts w:hint="eastAsia" w:ascii="宋体" w:hAnsi="宋体" w:eastAsia="宋体" w:cs="宋体"/>
          <w:highlight w:val="none"/>
          <w:u w:val="single"/>
        </w:rPr>
        <w:t>招标文件的澄清或修改在</w:t>
      </w:r>
      <w:r>
        <w:rPr>
          <w:rFonts w:hint="eastAsia" w:ascii="宋体" w:hAnsi="宋体" w:eastAsia="宋体" w:cs="宋体"/>
          <w:highlight w:val="none"/>
          <w:u w:val="single"/>
          <w:lang w:eastAsia="zh-CN"/>
        </w:rPr>
        <w:t>广州交易集团有限公司（广州公共资源交易中心）</w:t>
      </w:r>
      <w:r>
        <w:rPr>
          <w:rFonts w:hint="eastAsia" w:ascii="宋体" w:hAnsi="宋体" w:eastAsia="宋体" w:cs="宋体"/>
          <w:highlight w:val="none"/>
          <w:u w:val="single"/>
        </w:rPr>
        <w:t>网站发布。招标文件的澄清或修改一经在</w:t>
      </w:r>
      <w:r>
        <w:rPr>
          <w:rFonts w:hint="eastAsia" w:ascii="宋体" w:hAnsi="宋体" w:eastAsia="宋体" w:cs="宋体"/>
          <w:highlight w:val="none"/>
          <w:u w:val="single"/>
          <w:lang w:eastAsia="zh-CN"/>
        </w:rPr>
        <w:t>广州交易集团有限公司（广州公共资源交易中心）</w:t>
      </w:r>
      <w:r>
        <w:rPr>
          <w:rFonts w:hint="eastAsia" w:ascii="宋体" w:hAnsi="宋体" w:eastAsia="宋体" w:cs="宋体"/>
          <w:highlight w:val="none"/>
          <w:u w:val="single"/>
        </w:rPr>
        <w:t>网站发布，视作已发放给所有投标人。</w:t>
      </w:r>
    </w:p>
    <w:p>
      <w:pPr>
        <w:pStyle w:val="4"/>
        <w:spacing w:line="360" w:lineRule="auto"/>
        <w:ind w:firstLine="482"/>
        <w:rPr>
          <w:rFonts w:hint="eastAsia" w:ascii="宋体" w:hAnsi="宋体" w:eastAsia="宋体" w:cs="宋体"/>
          <w:highlight w:val="none"/>
        </w:rPr>
      </w:pPr>
      <w:bookmarkStart w:id="79" w:name="_Toc35513445"/>
      <w:bookmarkStart w:id="80" w:name="_Toc69983628"/>
      <w:r>
        <w:rPr>
          <w:rFonts w:hint="eastAsia" w:ascii="宋体" w:hAnsi="宋体" w:eastAsia="宋体" w:cs="宋体"/>
          <w:highlight w:val="none"/>
        </w:rPr>
        <w:t>2.4 招标文件的异议</w:t>
      </w:r>
      <w:bookmarkEnd w:id="79"/>
      <w:bookmarkEnd w:id="80"/>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投标人或者其他利害关系人对招标文件有异议的，应当在投标截止时间 10 日前以书面形式提出。招标人将在收到异议之日起 3 日内作出答复；作出答复前，将暂停招标投标活动。</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81" w:name="_Toc69983629"/>
      <w:bookmarkStart w:id="82" w:name="_Toc35513446"/>
      <w:r>
        <w:rPr>
          <w:rFonts w:hint="eastAsia" w:ascii="宋体" w:hAnsi="宋体" w:eastAsia="宋体" w:cs="宋体"/>
          <w:highlight w:val="none"/>
        </w:rPr>
        <w:t>3.投标文件</w:t>
      </w:r>
      <w:bookmarkEnd w:id="81"/>
      <w:bookmarkEnd w:id="82"/>
    </w:p>
    <w:p>
      <w:pPr>
        <w:pStyle w:val="4"/>
        <w:spacing w:line="360" w:lineRule="auto"/>
        <w:ind w:firstLine="482"/>
        <w:rPr>
          <w:rFonts w:hint="eastAsia" w:ascii="宋体" w:hAnsi="宋体" w:eastAsia="宋体" w:cs="宋体"/>
          <w:highlight w:val="none"/>
        </w:rPr>
      </w:pPr>
      <w:bookmarkStart w:id="83" w:name="_Toc35513447"/>
      <w:bookmarkStart w:id="84" w:name="_Toc69983630"/>
      <w:r>
        <w:rPr>
          <w:rFonts w:hint="eastAsia" w:ascii="宋体" w:hAnsi="宋体" w:eastAsia="宋体" w:cs="宋体"/>
          <w:highlight w:val="none"/>
        </w:rPr>
        <w:t>3.1 投标文件的组成</w:t>
      </w:r>
      <w:bookmarkEnd w:id="83"/>
      <w:bookmarkEnd w:id="84"/>
      <w:r>
        <w:rPr>
          <w:rFonts w:hint="eastAsia" w:ascii="宋体" w:hAnsi="宋体" w:eastAsia="宋体" w:cs="宋体"/>
          <w:highlight w:val="none"/>
        </w:rPr>
        <w:t xml:space="preserve"> </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3.1.1 投标文件应包括下列内容：</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（1）投标函及投标函附录；</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（2）法定代表人身份证明或授权委托书；</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（3）投标报价表；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（4）响应合同条款承诺函</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（5）资格审查资料；</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（6）全过程造价咨询实施方案；</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（7）其他资料。</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投标人在评标过程中作出的符合法律法规和招标文件规定</w:t>
      </w:r>
      <w:bookmarkStart w:id="85" w:name="page26"/>
      <w:bookmarkEnd w:id="85"/>
      <w:r>
        <w:rPr>
          <w:rFonts w:hint="eastAsia" w:ascii="宋体" w:hAnsi="宋体" w:eastAsia="宋体" w:cs="宋体"/>
          <w:highlight w:val="none"/>
        </w:rPr>
        <w:t>的澄清确认，构成投标文件的组成部分。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3.1.2 </w:t>
      </w:r>
      <w:r>
        <w:rPr>
          <w:rFonts w:hint="eastAsia" w:ascii="宋体" w:hAnsi="宋体" w:eastAsia="宋体" w:cs="宋体"/>
          <w:highlight w:val="none"/>
          <w:u w:val="single"/>
        </w:rPr>
        <w:t>投标人须知前附表规定不接受联合体投标</w:t>
      </w:r>
      <w:r>
        <w:rPr>
          <w:rFonts w:hint="eastAsia" w:ascii="宋体" w:hAnsi="宋体" w:eastAsia="宋体" w:cs="宋体"/>
          <w:highlight w:val="none"/>
        </w:rPr>
        <w:t>。</w:t>
      </w:r>
    </w:p>
    <w:p>
      <w:pPr>
        <w:pStyle w:val="4"/>
        <w:spacing w:line="360" w:lineRule="auto"/>
        <w:ind w:firstLine="482"/>
        <w:rPr>
          <w:rFonts w:hint="eastAsia" w:ascii="宋体" w:hAnsi="宋体" w:eastAsia="宋体" w:cs="宋体"/>
          <w:highlight w:val="none"/>
        </w:rPr>
      </w:pPr>
      <w:bookmarkStart w:id="86" w:name="_Toc69983631"/>
      <w:bookmarkStart w:id="87" w:name="_Toc35513448"/>
      <w:r>
        <w:rPr>
          <w:rFonts w:hint="eastAsia" w:ascii="宋体" w:hAnsi="宋体" w:eastAsia="宋体" w:cs="宋体"/>
          <w:highlight w:val="none"/>
        </w:rPr>
        <w:t>3.2 投标报价</w:t>
      </w:r>
      <w:bookmarkEnd w:id="86"/>
      <w:bookmarkEnd w:id="8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3.2.1 投标报价应包括国家规定的增值税税金，除投标人须知前表另有规定外，增值税税金按一般计税方法计算。投标人应按第六章“投标文件格式”的要求在投标函中在投标报价表中进行报价。</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3.2.2 投标人应充分了解该项目的总体情况以及影响投标报价的其他要素。</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3.2.3 本项目的报价方式见投标人须知前附表。投标人在投标截止时间前修改投标函中的投标报价总额，同时修改投标文件“投标报价表”中的相应报价。此修改须符合本章第 4.3 款的有关要求。 </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3.2.4 招标人设有最高投标限价的，投标人的投标报价不得超过最高投标限价，最高投标限价在投标人须知前附表中载明。</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3.2.5 投标报价的其他要求见投标人须知前附表。</w:t>
      </w:r>
    </w:p>
    <w:p>
      <w:pPr>
        <w:pStyle w:val="4"/>
        <w:spacing w:line="360" w:lineRule="auto"/>
        <w:ind w:firstLine="482"/>
        <w:rPr>
          <w:rFonts w:hint="eastAsia" w:ascii="宋体" w:hAnsi="宋体" w:eastAsia="宋体" w:cs="宋体"/>
          <w:highlight w:val="none"/>
        </w:rPr>
      </w:pPr>
      <w:bookmarkStart w:id="88" w:name="_Toc35513449"/>
      <w:bookmarkStart w:id="89" w:name="_Toc69983632"/>
      <w:r>
        <w:rPr>
          <w:rFonts w:hint="eastAsia" w:ascii="宋体" w:hAnsi="宋体" w:eastAsia="宋体" w:cs="宋体"/>
          <w:highlight w:val="none"/>
        </w:rPr>
        <w:t>3.3 投标有效期</w:t>
      </w:r>
      <w:bookmarkEnd w:id="88"/>
      <w:bookmarkEnd w:id="89"/>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3.3.1 除投标人须知前附表另有规定外，投标有效期为 90 天。</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3.3.2 在投标有效期内，投标人撤销投标文件的，应承担招标文件和法律规定的责任。</w:t>
      </w:r>
    </w:p>
    <w:p>
      <w:pPr>
        <w:pStyle w:val="4"/>
        <w:spacing w:line="360" w:lineRule="auto"/>
        <w:ind w:firstLine="482"/>
        <w:rPr>
          <w:rFonts w:hint="eastAsia" w:ascii="宋体" w:hAnsi="宋体" w:eastAsia="宋体" w:cs="宋体"/>
          <w:highlight w:val="none"/>
        </w:rPr>
      </w:pPr>
      <w:bookmarkStart w:id="90" w:name="_Toc69983633"/>
      <w:r>
        <w:rPr>
          <w:rFonts w:hint="eastAsia" w:ascii="宋体" w:hAnsi="宋体" w:eastAsia="宋体" w:cs="宋体"/>
          <w:highlight w:val="none"/>
        </w:rPr>
        <w:t>3.4 投标保证金</w:t>
      </w:r>
      <w:bookmarkEnd w:id="90"/>
    </w:p>
    <w:p>
      <w:pPr>
        <w:pStyle w:val="1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pPr>
        <w:pStyle w:val="4"/>
        <w:spacing w:line="360" w:lineRule="auto"/>
        <w:ind w:firstLine="482"/>
        <w:rPr>
          <w:rFonts w:hint="eastAsia" w:ascii="宋体" w:hAnsi="宋体" w:eastAsia="宋体" w:cs="宋体"/>
          <w:highlight w:val="none"/>
        </w:rPr>
      </w:pPr>
      <w:bookmarkStart w:id="91" w:name="_Toc69983634"/>
      <w:bookmarkStart w:id="92" w:name="_Toc35513450"/>
      <w:r>
        <w:rPr>
          <w:rFonts w:hint="eastAsia" w:ascii="宋体" w:hAnsi="宋体" w:eastAsia="宋体" w:cs="宋体"/>
          <w:highlight w:val="none"/>
        </w:rPr>
        <w:t>3.5 资格审查资料（适用于未进行资格预审的）</w:t>
      </w:r>
      <w:bookmarkEnd w:id="91"/>
      <w:bookmarkEnd w:id="92"/>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除投标人须知前附表另有规定外，投标人应按下列规定提供资格审查资料，以证明其满足本章第 1.4 款规定的资质、财务、业绩、信誉等要求。</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3.5.1 “投标人基本情况表”应附投标人营业执照和组织机构代码证（按照“三证合一”或“五证合一”登记制度进行登记的，可仅供营业执照扫描件）、投标人资质证书副本等材料。</w:t>
      </w:r>
    </w:p>
    <w:p>
      <w:pPr>
        <w:spacing w:line="360" w:lineRule="auto"/>
        <w:ind w:firstLine="480"/>
        <w:rPr>
          <w:rFonts w:hint="default" w:ascii="宋体" w:hAnsi="宋体" w:eastAsia="宋体" w:cs="宋体"/>
          <w:highlight w:val="none"/>
          <w:lang w:val="en-US" w:eastAsia="zh-CN"/>
        </w:rPr>
      </w:pPr>
      <w:r>
        <w:rPr>
          <w:rFonts w:hint="eastAsia" w:ascii="宋体" w:hAnsi="宋体" w:eastAsia="宋体" w:cs="宋体"/>
          <w:highlight w:val="none"/>
          <w:lang w:val="en-US" w:eastAsia="zh-CN"/>
        </w:rPr>
        <w:t>3.5.2详见招标公告“3.投标人资格要求”。</w:t>
      </w:r>
    </w:p>
    <w:p>
      <w:pPr>
        <w:pStyle w:val="4"/>
        <w:spacing w:line="360" w:lineRule="auto"/>
        <w:ind w:firstLine="482"/>
        <w:rPr>
          <w:rFonts w:hint="eastAsia" w:ascii="宋体" w:hAnsi="宋体" w:eastAsia="宋体" w:cs="宋体"/>
          <w:highlight w:val="none"/>
        </w:rPr>
      </w:pPr>
      <w:bookmarkStart w:id="93" w:name="_Toc35513451"/>
      <w:bookmarkStart w:id="94" w:name="_Toc69983635"/>
      <w:r>
        <w:rPr>
          <w:rFonts w:hint="eastAsia" w:ascii="宋体" w:hAnsi="宋体" w:eastAsia="宋体" w:cs="宋体"/>
          <w:highlight w:val="none"/>
        </w:rPr>
        <w:t>3.6 备选投标方案</w:t>
      </w:r>
      <w:bookmarkEnd w:id="93"/>
      <w:bookmarkEnd w:id="9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3.6.1 除投标人须知前附表规定允许外，投标人不得递交备选投标方案，否则其投标将被否决。</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3.6.3 投标人提供两个或两个以上投标报价，或者在投标文件中提供一个报价，但同时提供两个或两个以上服务方案的，视为提供备选方案。</w:t>
      </w:r>
    </w:p>
    <w:p>
      <w:pPr>
        <w:pStyle w:val="4"/>
        <w:spacing w:line="360" w:lineRule="auto"/>
        <w:ind w:firstLine="482"/>
        <w:rPr>
          <w:rFonts w:hint="eastAsia" w:ascii="宋体" w:hAnsi="宋体" w:eastAsia="宋体" w:cs="宋体"/>
          <w:highlight w:val="none"/>
        </w:rPr>
      </w:pPr>
      <w:bookmarkStart w:id="95" w:name="_Toc69983636"/>
      <w:bookmarkStart w:id="96" w:name="_Toc35513452"/>
      <w:r>
        <w:rPr>
          <w:rFonts w:hint="eastAsia" w:ascii="宋体" w:hAnsi="宋体" w:eastAsia="宋体" w:cs="宋体"/>
          <w:highlight w:val="none"/>
        </w:rPr>
        <w:t>3.7 投标文件的编制</w:t>
      </w:r>
      <w:bookmarkEnd w:id="95"/>
      <w:bookmarkEnd w:id="96"/>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3.7.2 投标文件应当对招标文件有关该项目服务期限、投标有效期、委托人要求、招标范围等实质性内容作出响应。</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97" w:name="_Toc69983637"/>
      <w:bookmarkStart w:id="98" w:name="_Toc35513453"/>
      <w:r>
        <w:rPr>
          <w:rFonts w:hint="eastAsia" w:ascii="宋体" w:hAnsi="宋体" w:eastAsia="宋体" w:cs="宋体"/>
          <w:highlight w:val="none"/>
        </w:rPr>
        <w:t>4.投标</w:t>
      </w:r>
      <w:bookmarkEnd w:id="97"/>
      <w:bookmarkEnd w:id="98"/>
    </w:p>
    <w:p>
      <w:pPr>
        <w:spacing w:line="360" w:lineRule="auto"/>
        <w:ind w:firstLine="480"/>
        <w:rPr>
          <w:rFonts w:hint="eastAsia" w:ascii="宋体" w:hAnsi="宋体" w:eastAsia="宋体" w:cs="宋体"/>
          <w:b/>
          <w:bCs/>
          <w:kern w:val="0"/>
          <w:sz w:val="24"/>
          <w:highlight w:val="none"/>
        </w:rPr>
      </w:pPr>
      <w:bookmarkStart w:id="99" w:name="_Toc69983638"/>
      <w:bookmarkStart w:id="100" w:name="_Toc35513454"/>
      <w:r>
        <w:rPr>
          <w:rFonts w:hint="eastAsia" w:ascii="宋体" w:hAnsi="宋体" w:eastAsia="宋体" w:cs="宋体"/>
          <w:b/>
          <w:bCs/>
          <w:kern w:val="0"/>
          <w:sz w:val="24"/>
          <w:highlight w:val="none"/>
        </w:rPr>
        <w:t>4.1 投标文件的密封和标记</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4.1.1投标人应当按照招标文件和电子招标投标交易平台的要求加密投标文件，具体要求见投标人须知前附表。</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4.1.2 投标文件封套上应写明的内容见投标人须知前附表。</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4.1.3 未按本章第 4.1.1 项要求密封的投标文件，招标人将予以拒收。</w:t>
      </w:r>
    </w:p>
    <w:p>
      <w:pPr>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4.2 投标文件的递交</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4.2.1 投标人应在投标人须知前附表规定的投标截止时间前递交投标文件。</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4.2.2 投标人通过下载招标文件的电子招标投标交易平台递交电子投标文件。</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4.2.3 除投标人须知前附表另有规定外，投标人所递交的投标文件不予退还。</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4.2.4 投标人完成电子投标文件上传后，电子招标投标交易平台即时向投标人发出递交回执通知。递交时间以递交回执通知载明的传输完成时间为准。</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4.2.5 逾期送达的投标文件，电子招标投标交易平台将予以拒收。</w:t>
      </w:r>
    </w:p>
    <w:p>
      <w:pPr>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4.3 投标文件的修改与撤回</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4.3.1 在本章第 4.2.1 项规定的投标截止时间前，投标人可以修改或撤回已递交的投标文件，但应以书面形式通知招标人。</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4.3.2投标人修改或撤回已递交投标文件的通知，应按照本章第 3.7.3项的要求加盖电子印章。电子招标投标交易平台收到通知后，即时向投标人发出确认回执通知。</w:t>
      </w:r>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4.3.4 修改的内容为投标文件的组成部分。修改的投标文件应按照本章第 3 条、第 4 条的规定进行编制、密封、标记和递交，并标明“修改”字样。</w:t>
      </w:r>
      <w:bookmarkEnd w:id="99"/>
      <w:bookmarkEnd w:id="100"/>
    </w:p>
    <w:p>
      <w:pPr>
        <w:pStyle w:val="3"/>
        <w:spacing w:line="360" w:lineRule="auto"/>
        <w:rPr>
          <w:rFonts w:hint="eastAsia" w:ascii="宋体" w:hAnsi="宋体" w:eastAsia="宋体" w:cs="宋体"/>
          <w:highlight w:val="none"/>
        </w:rPr>
      </w:pPr>
      <w:bookmarkStart w:id="101" w:name="_Toc69983641"/>
      <w:bookmarkStart w:id="102" w:name="_Toc35513457"/>
      <w:r>
        <w:rPr>
          <w:rFonts w:hint="eastAsia" w:ascii="宋体" w:hAnsi="宋体" w:eastAsia="宋体" w:cs="宋体"/>
          <w:highlight w:val="none"/>
        </w:rPr>
        <w:t>5.开标</w:t>
      </w:r>
      <w:bookmarkEnd w:id="101"/>
      <w:bookmarkEnd w:id="102"/>
    </w:p>
    <w:p>
      <w:pPr>
        <w:pStyle w:val="4"/>
        <w:spacing w:line="360" w:lineRule="auto"/>
        <w:ind w:firstLine="482"/>
        <w:rPr>
          <w:rFonts w:hint="eastAsia" w:ascii="宋体" w:hAnsi="宋体" w:eastAsia="宋体" w:cs="宋体"/>
          <w:highlight w:val="none"/>
        </w:rPr>
      </w:pPr>
      <w:bookmarkStart w:id="103" w:name="_Toc69983642"/>
      <w:bookmarkStart w:id="104" w:name="_Toc35513458"/>
      <w:r>
        <w:rPr>
          <w:rFonts w:hint="eastAsia" w:ascii="宋体" w:hAnsi="宋体" w:eastAsia="宋体" w:cs="宋体"/>
          <w:highlight w:val="none"/>
        </w:rPr>
        <w:t>5.1 开标时间和地点</w:t>
      </w:r>
      <w:bookmarkEnd w:id="103"/>
      <w:bookmarkEnd w:id="104"/>
    </w:p>
    <w:p>
      <w:pPr>
        <w:spacing w:line="360" w:lineRule="auto"/>
        <w:ind w:firstLine="48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招标人在本章第 4.2.1 项规定的投标截止时间（开标时间）,通过电子招标投标交易平台公开开标，开标时，投标人代表有权出席开标会，也可以自主决定不参加开标会，若投标人代表对开标过程提出异议，该投标人代表须同时出示本人身份证原件。</w:t>
      </w:r>
    </w:p>
    <w:p>
      <w:pPr>
        <w:pStyle w:val="4"/>
        <w:spacing w:line="360" w:lineRule="auto"/>
        <w:ind w:firstLine="482"/>
        <w:rPr>
          <w:rFonts w:hint="eastAsia" w:ascii="宋体" w:hAnsi="宋体" w:eastAsia="宋体" w:cs="宋体"/>
          <w:highlight w:val="none"/>
        </w:rPr>
      </w:pPr>
      <w:bookmarkStart w:id="105" w:name="_Toc35513459"/>
      <w:bookmarkStart w:id="106" w:name="_Toc69983643"/>
      <w:r>
        <w:rPr>
          <w:rFonts w:hint="eastAsia" w:ascii="宋体" w:hAnsi="宋体" w:eastAsia="宋体" w:cs="宋体"/>
          <w:highlight w:val="none"/>
        </w:rPr>
        <w:t>5.2 开标程序</w:t>
      </w:r>
      <w:bookmarkEnd w:id="105"/>
      <w:bookmarkEnd w:id="106"/>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主持人按下列程序进行开标：</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（1）宣布开标纪律；</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（2）公布在投标截止时间前递交投标文件的投标人名称；</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（3）宣布开标人、唱标人、记录人、监标人等有关人员姓名；</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（4）投标人通过电子招标投标交易平台对已递交的电子投标文件进行解密，公布招</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标项目名称、投标人名称、投标报价、服务期限及其他内容，并记录在案；</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（5））投标人代表、招标人代表、监标人、记录人等有关人员使用本人的电子印章在开标记录上签字确认；</w:t>
      </w:r>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（6）开标结束。</w:t>
      </w:r>
    </w:p>
    <w:p>
      <w:pPr>
        <w:pStyle w:val="4"/>
        <w:spacing w:line="360" w:lineRule="auto"/>
        <w:ind w:firstLine="482"/>
        <w:rPr>
          <w:rFonts w:hint="eastAsia" w:ascii="宋体" w:hAnsi="宋体" w:eastAsia="宋体" w:cs="宋体"/>
          <w:highlight w:val="none"/>
        </w:rPr>
      </w:pPr>
      <w:bookmarkStart w:id="107" w:name="_Toc35513460"/>
      <w:bookmarkStart w:id="108" w:name="_Toc69983644"/>
      <w:r>
        <w:rPr>
          <w:rFonts w:hint="eastAsia" w:ascii="宋体" w:hAnsi="宋体" w:eastAsia="宋体" w:cs="宋体"/>
          <w:highlight w:val="none"/>
        </w:rPr>
        <w:t>5.3 开标异议</w:t>
      </w:r>
      <w:bookmarkEnd w:id="107"/>
      <w:bookmarkEnd w:id="108"/>
    </w:p>
    <w:p>
      <w:pPr>
        <w:spacing w:line="360" w:lineRule="auto"/>
        <w:ind w:firstLine="48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投标人对开标有异议的，应当在开标现场提出，招标人当场作出答复，并制作记录。</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09" w:name="_Toc69983645"/>
      <w:bookmarkStart w:id="110" w:name="_Toc35513461"/>
      <w:r>
        <w:rPr>
          <w:rFonts w:hint="eastAsia" w:ascii="宋体" w:hAnsi="宋体" w:eastAsia="宋体" w:cs="宋体"/>
          <w:highlight w:val="none"/>
        </w:rPr>
        <w:t>6.评标</w:t>
      </w:r>
      <w:bookmarkEnd w:id="109"/>
      <w:bookmarkEnd w:id="110"/>
    </w:p>
    <w:p>
      <w:pPr>
        <w:pStyle w:val="4"/>
        <w:spacing w:line="360" w:lineRule="auto"/>
        <w:ind w:firstLine="482"/>
        <w:rPr>
          <w:rFonts w:hint="eastAsia" w:ascii="宋体" w:hAnsi="宋体" w:eastAsia="宋体" w:cs="宋体"/>
          <w:highlight w:val="none"/>
        </w:rPr>
      </w:pPr>
      <w:bookmarkStart w:id="111" w:name="_Toc35513462"/>
      <w:bookmarkStart w:id="112" w:name="_Toc69983646"/>
      <w:r>
        <w:rPr>
          <w:rFonts w:hint="eastAsia" w:ascii="宋体" w:hAnsi="宋体" w:eastAsia="宋体" w:cs="宋体"/>
          <w:highlight w:val="none"/>
        </w:rPr>
        <w:t>6.1 评标委员会</w:t>
      </w:r>
      <w:bookmarkEnd w:id="111"/>
      <w:bookmarkEnd w:id="112"/>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6.1.2 评标委员会成员有下列情形之一的，应当回避：</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（1）投标人或投标人主要负责人的近亲属；</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（2）项目主管部门或者行政监督部门的人员；</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（3）与投标人有经济利益关系，可能影响对投标公正评审的；</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（4）曾因在招标、评标以及其他与招标投标有关活动中从事违法行为而受过行政处罚或刑事处罚的；</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（5）与投标人有其他利害关系。</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360" w:lineRule="auto"/>
        <w:ind w:firstLine="482"/>
        <w:rPr>
          <w:rFonts w:hint="eastAsia" w:ascii="宋体" w:hAnsi="宋体" w:eastAsia="宋体" w:cs="宋体"/>
          <w:highlight w:val="none"/>
        </w:rPr>
      </w:pPr>
      <w:bookmarkStart w:id="113" w:name="_Toc69983647"/>
      <w:bookmarkStart w:id="114" w:name="_Toc35513463"/>
      <w:r>
        <w:rPr>
          <w:rFonts w:hint="eastAsia" w:ascii="宋体" w:hAnsi="宋体" w:eastAsia="宋体" w:cs="宋体"/>
          <w:highlight w:val="none"/>
        </w:rPr>
        <w:t>6.2 评标原则</w:t>
      </w:r>
      <w:bookmarkEnd w:id="113"/>
      <w:bookmarkEnd w:id="11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评</w:t>
      </w:r>
      <w:bookmarkStart w:id="115" w:name="page32"/>
      <w:bookmarkEnd w:id="115"/>
      <w:r>
        <w:rPr>
          <w:rFonts w:hint="eastAsia" w:ascii="宋体" w:hAnsi="宋体" w:eastAsia="宋体" w:cs="宋体"/>
          <w:highlight w:val="none"/>
        </w:rPr>
        <w:t>标活动遵循公平、公正、科学和择优的原则。</w:t>
      </w:r>
    </w:p>
    <w:p>
      <w:pPr>
        <w:pStyle w:val="4"/>
        <w:spacing w:line="360" w:lineRule="auto"/>
        <w:ind w:firstLine="482"/>
        <w:rPr>
          <w:rFonts w:hint="eastAsia" w:ascii="宋体" w:hAnsi="宋体" w:eastAsia="宋体" w:cs="宋体"/>
          <w:highlight w:val="none"/>
        </w:rPr>
      </w:pPr>
      <w:bookmarkStart w:id="116" w:name="_Toc69983648"/>
      <w:bookmarkStart w:id="117" w:name="_Toc35513464"/>
      <w:r>
        <w:rPr>
          <w:rFonts w:hint="eastAsia" w:ascii="宋体" w:hAnsi="宋体" w:eastAsia="宋体" w:cs="宋体"/>
          <w:highlight w:val="none"/>
        </w:rPr>
        <w:t>6.3 评标</w:t>
      </w:r>
      <w:bookmarkEnd w:id="116"/>
      <w:bookmarkEnd w:id="11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6.3.2 评标完成后，评标委员会应当向招标人提交书面评标报告和中标候选人名单。评标委员会推荐中标候选人的人数见投标人须知前附表。</w:t>
      </w:r>
    </w:p>
    <w:p>
      <w:pPr>
        <w:spacing w:line="360" w:lineRule="auto"/>
        <w:ind w:firstLine="319" w:firstLineChars="152"/>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18" w:name="_Toc69983649"/>
      <w:bookmarkStart w:id="119" w:name="_Toc35513465"/>
      <w:r>
        <w:rPr>
          <w:rFonts w:hint="eastAsia" w:ascii="宋体" w:hAnsi="宋体" w:eastAsia="宋体" w:cs="宋体"/>
          <w:highlight w:val="none"/>
        </w:rPr>
        <w:t>7.合同授予</w:t>
      </w:r>
      <w:bookmarkEnd w:id="118"/>
      <w:bookmarkEnd w:id="119"/>
    </w:p>
    <w:p>
      <w:pPr>
        <w:pStyle w:val="4"/>
        <w:spacing w:line="360" w:lineRule="auto"/>
        <w:ind w:firstLine="482"/>
        <w:rPr>
          <w:rFonts w:hint="eastAsia" w:ascii="宋体" w:hAnsi="宋体" w:eastAsia="宋体" w:cs="宋体"/>
          <w:highlight w:val="none"/>
        </w:rPr>
      </w:pPr>
      <w:bookmarkStart w:id="120" w:name="_Toc35513466"/>
      <w:bookmarkStart w:id="121" w:name="_Toc69983650"/>
      <w:r>
        <w:rPr>
          <w:rFonts w:hint="eastAsia" w:ascii="宋体" w:hAnsi="宋体" w:eastAsia="宋体" w:cs="宋体"/>
          <w:highlight w:val="none"/>
        </w:rPr>
        <w:t>7.1 中标候选人公示</w:t>
      </w:r>
      <w:bookmarkEnd w:id="120"/>
      <w:bookmarkEnd w:id="121"/>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招标人在收到评标报告之日起</w:t>
      </w:r>
      <w:r>
        <w:rPr>
          <w:rFonts w:hint="eastAsia" w:ascii="宋体" w:hAnsi="宋体" w:eastAsia="宋体" w:cs="宋体"/>
          <w:bCs/>
          <w:highlight w:val="none"/>
        </w:rPr>
        <w:t>3日内</w:t>
      </w:r>
      <w:r>
        <w:rPr>
          <w:rFonts w:hint="eastAsia" w:ascii="宋体" w:hAnsi="宋体" w:eastAsia="宋体" w:cs="宋体"/>
          <w:highlight w:val="none"/>
        </w:rPr>
        <w:t>，按照投标人须知前附表规定的公示媒介和期限公示中标候选人，公示期</w:t>
      </w:r>
      <w:r>
        <w:rPr>
          <w:rFonts w:hint="eastAsia" w:ascii="宋体" w:hAnsi="宋体" w:eastAsia="宋体" w:cs="宋体"/>
          <w:bCs/>
          <w:highlight w:val="none"/>
        </w:rPr>
        <w:t>不得少于3日</w:t>
      </w:r>
      <w:r>
        <w:rPr>
          <w:rFonts w:hint="eastAsia" w:ascii="宋体" w:hAnsi="宋体" w:eastAsia="宋体" w:cs="宋体"/>
          <w:highlight w:val="none"/>
        </w:rPr>
        <w:t>。</w:t>
      </w:r>
    </w:p>
    <w:p>
      <w:pPr>
        <w:pStyle w:val="4"/>
        <w:spacing w:line="360" w:lineRule="auto"/>
        <w:ind w:firstLine="482"/>
        <w:rPr>
          <w:rFonts w:hint="eastAsia" w:ascii="宋体" w:hAnsi="宋体" w:eastAsia="宋体" w:cs="宋体"/>
          <w:highlight w:val="none"/>
        </w:rPr>
      </w:pPr>
      <w:bookmarkStart w:id="122" w:name="_Toc69983651"/>
      <w:bookmarkStart w:id="123" w:name="_Toc35513467"/>
      <w:r>
        <w:rPr>
          <w:rFonts w:hint="eastAsia" w:ascii="宋体" w:hAnsi="宋体" w:eastAsia="宋体" w:cs="宋体"/>
          <w:highlight w:val="none"/>
        </w:rPr>
        <w:t>7.2 评标结果异议</w:t>
      </w:r>
      <w:bookmarkEnd w:id="122"/>
      <w:bookmarkEnd w:id="123"/>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投标人或者其他利害关系人对评标结果有异议的，应当在中标候选人公示期间提出。招标人将在收到异议之日起 3 日内作出答复；作出答复前，将暂停招标投标活动。</w:t>
      </w:r>
    </w:p>
    <w:p>
      <w:pPr>
        <w:pStyle w:val="4"/>
        <w:spacing w:line="360" w:lineRule="auto"/>
        <w:ind w:firstLine="482"/>
        <w:rPr>
          <w:rFonts w:hint="eastAsia" w:ascii="宋体" w:hAnsi="宋体" w:eastAsia="宋体" w:cs="宋体"/>
          <w:highlight w:val="none"/>
        </w:rPr>
      </w:pPr>
      <w:bookmarkStart w:id="124" w:name="_Toc69983652"/>
      <w:bookmarkStart w:id="125" w:name="_Toc35513468"/>
      <w:r>
        <w:rPr>
          <w:rFonts w:hint="eastAsia" w:ascii="宋体" w:hAnsi="宋体" w:eastAsia="宋体" w:cs="宋体"/>
          <w:highlight w:val="none"/>
        </w:rPr>
        <w:t>7.3 中标候选人履约能力审查</w:t>
      </w:r>
      <w:bookmarkEnd w:id="124"/>
      <w:bookmarkEnd w:id="125"/>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360" w:lineRule="auto"/>
        <w:ind w:firstLine="482"/>
        <w:rPr>
          <w:rFonts w:hint="eastAsia" w:ascii="宋体" w:hAnsi="宋体" w:eastAsia="宋体" w:cs="宋体"/>
          <w:highlight w:val="none"/>
        </w:rPr>
      </w:pPr>
      <w:bookmarkStart w:id="126" w:name="_Toc35513469"/>
      <w:bookmarkStart w:id="127" w:name="_Toc69983653"/>
      <w:r>
        <w:rPr>
          <w:rFonts w:hint="eastAsia" w:ascii="宋体" w:hAnsi="宋体" w:eastAsia="宋体" w:cs="宋体"/>
          <w:highlight w:val="none"/>
        </w:rPr>
        <w:t>7.4 定标</w:t>
      </w:r>
      <w:bookmarkEnd w:id="126"/>
      <w:bookmarkEnd w:id="12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按照投标人须知前附表的规定，招标人或招标人授权的评标委员会依法确定中标人。</w:t>
      </w:r>
    </w:p>
    <w:p>
      <w:pPr>
        <w:pStyle w:val="4"/>
        <w:spacing w:line="360" w:lineRule="auto"/>
        <w:ind w:firstLine="482"/>
        <w:rPr>
          <w:rFonts w:hint="eastAsia" w:ascii="宋体" w:hAnsi="宋体" w:eastAsia="宋体" w:cs="宋体"/>
          <w:highlight w:val="none"/>
        </w:rPr>
      </w:pPr>
      <w:bookmarkStart w:id="128" w:name="_Toc35513470"/>
      <w:bookmarkStart w:id="129" w:name="_Toc69983654"/>
      <w:r>
        <w:rPr>
          <w:rFonts w:hint="eastAsia" w:ascii="宋体" w:hAnsi="宋体" w:eastAsia="宋体" w:cs="宋体"/>
          <w:highlight w:val="none"/>
        </w:rPr>
        <w:t>7.5 中标通知</w:t>
      </w:r>
      <w:bookmarkEnd w:id="128"/>
      <w:bookmarkEnd w:id="129"/>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在本章第 3.3 款规定的投标有效期内，招标人以书面形式向中标人发出中标通知书，同时将中标结果通知未中标的投标人。</w:t>
      </w:r>
    </w:p>
    <w:p>
      <w:pPr>
        <w:pStyle w:val="4"/>
        <w:spacing w:line="360" w:lineRule="auto"/>
        <w:ind w:firstLine="482"/>
        <w:rPr>
          <w:rFonts w:hint="eastAsia" w:ascii="宋体" w:hAnsi="宋体" w:eastAsia="宋体" w:cs="宋体"/>
          <w:highlight w:val="none"/>
        </w:rPr>
      </w:pPr>
      <w:bookmarkStart w:id="130" w:name="_Toc69983655"/>
      <w:bookmarkStart w:id="131" w:name="_Toc35513471"/>
      <w:r>
        <w:rPr>
          <w:rFonts w:hint="eastAsia" w:ascii="宋体" w:hAnsi="宋体" w:eastAsia="宋体" w:cs="宋体"/>
          <w:highlight w:val="none"/>
        </w:rPr>
        <w:t>7.6 履约保证金</w:t>
      </w:r>
      <w:bookmarkEnd w:id="130"/>
      <w:bookmarkEnd w:id="131"/>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7.6.1 在签订合同前，中标人应按投标人须知</w:t>
      </w:r>
      <w:bookmarkStart w:id="132" w:name="page33"/>
      <w:bookmarkEnd w:id="132"/>
      <w:r>
        <w:rPr>
          <w:rFonts w:hint="eastAsia" w:ascii="宋体" w:hAnsi="宋体" w:eastAsia="宋体" w:cs="宋体"/>
          <w:highlight w:val="none"/>
        </w:rPr>
        <w:t>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highlight w:val="none"/>
          <w:u w:val="single"/>
        </w:rPr>
        <w:t xml:space="preserve"> 10 </w:t>
      </w:r>
      <w:r>
        <w:rPr>
          <w:rFonts w:hint="eastAsia" w:ascii="宋体" w:hAnsi="宋体" w:eastAsia="宋体" w:cs="宋体"/>
          <w:highlight w:val="none"/>
        </w:rPr>
        <w:t>%。</w:t>
      </w:r>
    </w:p>
    <w:p>
      <w:pPr>
        <w:pStyle w:val="4"/>
        <w:spacing w:line="360" w:lineRule="auto"/>
        <w:ind w:firstLine="482"/>
        <w:rPr>
          <w:rFonts w:hint="eastAsia" w:ascii="宋体" w:hAnsi="宋体" w:eastAsia="宋体" w:cs="宋体"/>
          <w:highlight w:val="none"/>
        </w:rPr>
      </w:pPr>
      <w:bookmarkStart w:id="133" w:name="_Toc69983656"/>
      <w:bookmarkStart w:id="134" w:name="_Toc35513472"/>
      <w:r>
        <w:rPr>
          <w:rFonts w:hint="eastAsia" w:ascii="宋体" w:hAnsi="宋体" w:eastAsia="宋体" w:cs="宋体"/>
          <w:highlight w:val="none"/>
        </w:rPr>
        <w:t>7.7 签订合同</w:t>
      </w:r>
      <w:bookmarkEnd w:id="133"/>
      <w:bookmarkEnd w:id="13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7.7.1 招标人和中标人应当在中标通知书发出之日起30日内，根据招标文件和中标人的投标文件订立书面合同。中标人无正当理由拒签合同，在签订合同时向招标人提出附加条件招标人有权取消其中标资格，中标人还应当予以赔偿。</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7.7.2 发出中标通知书后，招标人无正当理由拒签合同，或者在签订合同时向中标人提出附加条件的，给中标人造成损失的，还应当赔偿损失。</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7.7.3 联合体中标的，联合体各方应当共同与招标人签订合同，就中标项目向招标人承担连带责任。</w:t>
      </w:r>
    </w:p>
    <w:p>
      <w:pPr>
        <w:spacing w:line="360" w:lineRule="auto"/>
        <w:ind w:firstLine="319" w:firstLineChars="152"/>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35" w:name="_Toc35513473"/>
      <w:bookmarkStart w:id="136" w:name="_Toc69983657"/>
      <w:r>
        <w:rPr>
          <w:rFonts w:hint="eastAsia" w:ascii="宋体" w:hAnsi="宋体" w:eastAsia="宋体" w:cs="宋体"/>
          <w:highlight w:val="none"/>
        </w:rPr>
        <w:t>8.纪律和监督</w:t>
      </w:r>
      <w:bookmarkEnd w:id="135"/>
      <w:bookmarkEnd w:id="136"/>
    </w:p>
    <w:p>
      <w:pPr>
        <w:pStyle w:val="4"/>
        <w:spacing w:line="360" w:lineRule="auto"/>
        <w:ind w:firstLine="482"/>
        <w:rPr>
          <w:rFonts w:hint="eastAsia" w:ascii="宋体" w:hAnsi="宋体" w:eastAsia="宋体" w:cs="宋体"/>
          <w:highlight w:val="none"/>
        </w:rPr>
      </w:pPr>
      <w:bookmarkStart w:id="137" w:name="_Toc35513474"/>
      <w:bookmarkStart w:id="138" w:name="_Toc69983658"/>
      <w:r>
        <w:rPr>
          <w:rFonts w:hint="eastAsia" w:ascii="宋体" w:hAnsi="宋体" w:eastAsia="宋体" w:cs="宋体"/>
          <w:highlight w:val="none"/>
        </w:rPr>
        <w:t>8.1 对招标人的纪律要求</w:t>
      </w:r>
      <w:bookmarkEnd w:id="137"/>
      <w:bookmarkEnd w:id="138"/>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招标人不得泄露招标投标活动中应当保密的情况和资料，不得与投标人串通损害国家利益、社会公共利益或者他人合法权益。</w:t>
      </w:r>
    </w:p>
    <w:p>
      <w:pPr>
        <w:pStyle w:val="4"/>
        <w:spacing w:line="360" w:lineRule="auto"/>
        <w:ind w:firstLine="482"/>
        <w:rPr>
          <w:rFonts w:hint="eastAsia" w:ascii="宋体" w:hAnsi="宋体" w:eastAsia="宋体" w:cs="宋体"/>
          <w:highlight w:val="none"/>
        </w:rPr>
      </w:pPr>
      <w:bookmarkStart w:id="139" w:name="_Toc69983659"/>
      <w:bookmarkStart w:id="140" w:name="_Toc35513475"/>
      <w:r>
        <w:rPr>
          <w:rFonts w:hint="eastAsia" w:ascii="宋体" w:hAnsi="宋体" w:eastAsia="宋体" w:cs="宋体"/>
          <w:highlight w:val="none"/>
        </w:rPr>
        <w:t>8.2 对投标人的纪律要求</w:t>
      </w:r>
      <w:bookmarkEnd w:id="139"/>
      <w:bookmarkEnd w:id="140"/>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360" w:lineRule="auto"/>
        <w:ind w:firstLine="482"/>
        <w:rPr>
          <w:rFonts w:hint="eastAsia" w:ascii="宋体" w:hAnsi="宋体" w:eastAsia="宋体" w:cs="宋体"/>
          <w:highlight w:val="none"/>
        </w:rPr>
      </w:pPr>
      <w:bookmarkStart w:id="141" w:name="_Toc35513476"/>
      <w:bookmarkStart w:id="142" w:name="_Toc69983660"/>
      <w:r>
        <w:rPr>
          <w:rFonts w:hint="eastAsia" w:ascii="宋体" w:hAnsi="宋体" w:eastAsia="宋体" w:cs="宋体"/>
          <w:highlight w:val="none"/>
        </w:rPr>
        <w:t>8.3 对评标委员会成员的纪律要求</w:t>
      </w:r>
      <w:bookmarkEnd w:id="141"/>
      <w:bookmarkEnd w:id="142"/>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w:t>
      </w:r>
      <w:bookmarkStart w:id="143" w:name="page34"/>
      <w:bookmarkEnd w:id="143"/>
      <w:r>
        <w:rPr>
          <w:rFonts w:hint="eastAsia" w:ascii="宋体" w:hAnsi="宋体" w:eastAsia="宋体" w:cs="宋体"/>
          <w:highlight w:val="none"/>
        </w:rPr>
        <w:t>擅离职守，影响评标程序正常进行，不得使用第三章“评标办法”没有规定的评审因素和标准进行评标。</w:t>
      </w:r>
    </w:p>
    <w:p>
      <w:pPr>
        <w:pStyle w:val="4"/>
        <w:spacing w:line="360" w:lineRule="auto"/>
        <w:ind w:firstLine="482"/>
        <w:rPr>
          <w:rFonts w:hint="eastAsia" w:ascii="宋体" w:hAnsi="宋体" w:eastAsia="宋体" w:cs="宋体"/>
          <w:highlight w:val="none"/>
        </w:rPr>
      </w:pPr>
      <w:bookmarkStart w:id="144" w:name="_Toc69983661"/>
      <w:bookmarkStart w:id="145" w:name="_Toc35513477"/>
      <w:r>
        <w:rPr>
          <w:rFonts w:hint="eastAsia" w:ascii="宋体" w:hAnsi="宋体" w:eastAsia="宋体" w:cs="宋体"/>
          <w:highlight w:val="none"/>
        </w:rPr>
        <w:t>8.4 对与评标活动有关的工作人员的纪律要求</w:t>
      </w:r>
      <w:bookmarkEnd w:id="144"/>
      <w:bookmarkEnd w:id="145"/>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spacing w:line="360" w:lineRule="auto"/>
        <w:ind w:firstLine="482"/>
        <w:rPr>
          <w:rFonts w:hint="eastAsia" w:ascii="宋体" w:hAnsi="宋体" w:eastAsia="宋体" w:cs="宋体"/>
          <w:highlight w:val="none"/>
        </w:rPr>
      </w:pPr>
      <w:bookmarkStart w:id="146" w:name="_Toc69983662"/>
      <w:bookmarkStart w:id="147" w:name="_Toc35513478"/>
      <w:r>
        <w:rPr>
          <w:rFonts w:hint="eastAsia" w:ascii="宋体" w:hAnsi="宋体" w:eastAsia="宋体" w:cs="宋体"/>
          <w:highlight w:val="none"/>
        </w:rPr>
        <w:t>8.5 投诉</w:t>
      </w:r>
      <w:bookmarkEnd w:id="146"/>
      <w:bookmarkEnd w:id="14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8.5.2 投标人或者其他利害关系人对招标文件、开标和评标结果提出投诉的，应当按照投标人须知第 2.4 款、第 5.3 款和第 7.2 款的规定先向招标人提出异议。异议答复期间不计算在第8.5.1项规定的期限内。</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48" w:name="_Toc35513479"/>
      <w:bookmarkStart w:id="149" w:name="_Toc69983663"/>
      <w:r>
        <w:rPr>
          <w:rFonts w:hint="eastAsia" w:ascii="宋体" w:hAnsi="宋体" w:eastAsia="宋体" w:cs="宋体"/>
          <w:highlight w:val="none"/>
        </w:rPr>
        <w:t>9.是否采用电子招标投标</w:t>
      </w:r>
      <w:bookmarkEnd w:id="148"/>
      <w:bookmarkEnd w:id="149"/>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本招标项目是否采用电子招标投标方式，见投标人须知前附表。</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50" w:name="_Toc69983664"/>
      <w:bookmarkStart w:id="151" w:name="_Toc35513480"/>
      <w:r>
        <w:rPr>
          <w:rFonts w:hint="eastAsia" w:ascii="宋体" w:hAnsi="宋体" w:eastAsia="宋体" w:cs="宋体"/>
          <w:highlight w:val="none"/>
        </w:rPr>
        <w:t>10. 需要补充的其他内容</w:t>
      </w:r>
      <w:bookmarkEnd w:id="150"/>
      <w:bookmarkEnd w:id="151"/>
    </w:p>
    <w:p>
      <w:pPr>
        <w:spacing w:line="360" w:lineRule="auto"/>
        <w:ind w:firstLine="480"/>
        <w:rPr>
          <w:rFonts w:hint="eastAsia" w:ascii="宋体" w:hAnsi="宋体" w:eastAsia="宋体" w:cs="宋体"/>
          <w:highlight w:val="none"/>
        </w:rPr>
      </w:pPr>
      <w:bookmarkStart w:id="152" w:name="page35"/>
      <w:bookmarkEnd w:id="152"/>
      <w:r>
        <w:rPr>
          <w:rFonts w:hint="eastAsia" w:ascii="宋体" w:hAnsi="宋体" w:eastAsia="宋体" w:cs="宋体"/>
          <w:highlight w:val="none"/>
        </w:rPr>
        <w:t>要补充的其他内容：见投标人须知前附表。</w:t>
      </w:r>
    </w:p>
    <w:p>
      <w:pPr>
        <w:pStyle w:val="3"/>
        <w:rPr>
          <w:highlight w:val="none"/>
        </w:rPr>
      </w:pPr>
      <w:r>
        <w:rPr>
          <w:b w:val="0"/>
          <w:sz w:val="28"/>
          <w:highlight w:val="none"/>
        </w:rPr>
        <w:br w:type="page"/>
      </w:r>
      <w:bookmarkStart w:id="153" w:name="_Toc534882199"/>
      <w:bookmarkStart w:id="154" w:name="_Toc21827"/>
      <w:bookmarkStart w:id="155" w:name="_Toc19884"/>
      <w:bookmarkStart w:id="156" w:name="_Toc69983665"/>
      <w:bookmarkStart w:id="157" w:name="_Toc35513481"/>
      <w:bookmarkStart w:id="158" w:name="_Toc26773"/>
      <w:r>
        <w:rPr>
          <w:rFonts w:hint="eastAsia"/>
          <w:highlight w:val="none"/>
        </w:rPr>
        <w:t>附件一：开标记录表</w:t>
      </w:r>
      <w:bookmarkEnd w:id="153"/>
      <w:bookmarkEnd w:id="154"/>
      <w:bookmarkEnd w:id="155"/>
      <w:bookmarkEnd w:id="156"/>
      <w:bookmarkEnd w:id="157"/>
      <w:bookmarkEnd w:id="158"/>
    </w:p>
    <w:p>
      <w:pPr>
        <w:ind w:firstLine="643"/>
        <w:jc w:val="center"/>
        <w:rPr>
          <w:rFonts w:hAnsi="宋体"/>
          <w:b/>
          <w:sz w:val="32"/>
          <w:szCs w:val="32"/>
          <w:highlight w:val="none"/>
        </w:rPr>
      </w:pPr>
      <w:r>
        <w:rPr>
          <w:rFonts w:hint="eastAsia" w:hAnsi="宋体"/>
          <w:b/>
          <w:sz w:val="32"/>
          <w:szCs w:val="32"/>
          <w:highlight w:val="none"/>
        </w:rPr>
        <w:t>开标记录表</w:t>
      </w:r>
    </w:p>
    <w:p>
      <w:pPr>
        <w:jc w:val="left"/>
        <w:rPr>
          <w:rFonts w:hAnsi="宋体"/>
          <w:highlight w:val="none"/>
        </w:rPr>
      </w:pPr>
      <w:r>
        <w:rPr>
          <w:rFonts w:hint="eastAsia" w:hAnsi="宋体"/>
          <w:highlight w:val="none"/>
        </w:rPr>
        <w:t>开标时间：</w:t>
      </w:r>
      <w:r>
        <w:rPr>
          <w:rFonts w:hAnsi="宋体"/>
          <w:highlight w:val="none"/>
          <w:u w:val="single"/>
        </w:rPr>
        <w:t xml:space="preserve">         </w:t>
      </w:r>
      <w:r>
        <w:rPr>
          <w:rFonts w:hint="eastAsia" w:hAnsi="宋体"/>
          <w:highlight w:val="none"/>
        </w:rPr>
        <w:t>年</w:t>
      </w:r>
      <w:r>
        <w:rPr>
          <w:rFonts w:hAnsi="宋体"/>
          <w:highlight w:val="none"/>
          <w:u w:val="single"/>
        </w:rPr>
        <w:t xml:space="preserve">         </w:t>
      </w:r>
      <w:r>
        <w:rPr>
          <w:rFonts w:hint="eastAsia" w:hAnsi="宋体"/>
          <w:highlight w:val="none"/>
        </w:rPr>
        <w:t>月</w:t>
      </w:r>
      <w:r>
        <w:rPr>
          <w:rFonts w:hAnsi="宋体"/>
          <w:highlight w:val="none"/>
          <w:u w:val="single"/>
        </w:rPr>
        <w:t xml:space="preserve">         </w:t>
      </w:r>
      <w:r>
        <w:rPr>
          <w:rFonts w:hint="eastAsia" w:hAnsi="宋体"/>
          <w:highlight w:val="none"/>
        </w:rPr>
        <w:t>日</w:t>
      </w:r>
      <w:r>
        <w:rPr>
          <w:rFonts w:hAnsi="宋体"/>
          <w:highlight w:val="none"/>
          <w:u w:val="single"/>
        </w:rPr>
        <w:t xml:space="preserve">         </w:t>
      </w:r>
      <w:r>
        <w:rPr>
          <w:rFonts w:hint="eastAsia" w:hAnsi="宋体"/>
          <w:highlight w:val="none"/>
        </w:rPr>
        <w:t>时</w:t>
      </w:r>
      <w:r>
        <w:rPr>
          <w:rFonts w:hAnsi="宋体"/>
          <w:highlight w:val="none"/>
          <w:u w:val="single"/>
        </w:rPr>
        <w:t xml:space="preserve">         </w:t>
      </w:r>
      <w:r>
        <w:rPr>
          <w:rFonts w:hint="eastAsia" w:hAnsi="宋体"/>
          <w:highlight w:val="none"/>
        </w:rPr>
        <w:t>分</w:t>
      </w:r>
    </w:p>
    <w:tbl>
      <w:tblPr>
        <w:tblStyle w:val="14"/>
        <w:tblW w:w="95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898"/>
        <w:gridCol w:w="1417"/>
        <w:gridCol w:w="1119"/>
        <w:gridCol w:w="1276"/>
        <w:gridCol w:w="1207"/>
        <w:gridCol w:w="968"/>
        <w:gridCol w:w="11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vAlign w:val="center"/>
          </w:tcPr>
          <w:p>
            <w:pPr>
              <w:adjustRightInd w:val="0"/>
              <w:snapToGrid w:val="0"/>
              <w:jc w:val="center"/>
              <w:rPr>
                <w:rFonts w:hAnsi="宋体" w:cs="宋体"/>
                <w:szCs w:val="21"/>
                <w:highlight w:val="none"/>
              </w:rPr>
            </w:pPr>
            <w:r>
              <w:rPr>
                <w:rFonts w:hint="eastAsia" w:hAnsi="宋体" w:cs="宋体"/>
                <w:szCs w:val="21"/>
                <w:highlight w:val="none"/>
              </w:rPr>
              <w:t>序号</w:t>
            </w:r>
          </w:p>
        </w:tc>
        <w:tc>
          <w:tcPr>
            <w:tcW w:w="898" w:type="dxa"/>
            <w:vAlign w:val="center"/>
          </w:tcPr>
          <w:p>
            <w:pPr>
              <w:adjustRightInd w:val="0"/>
              <w:snapToGrid w:val="0"/>
              <w:jc w:val="center"/>
              <w:rPr>
                <w:rFonts w:hAnsi="宋体" w:cs="宋体"/>
                <w:szCs w:val="21"/>
                <w:highlight w:val="none"/>
              </w:rPr>
            </w:pPr>
            <w:r>
              <w:rPr>
                <w:rFonts w:hint="eastAsia" w:hAnsi="宋体" w:cs="宋体"/>
                <w:szCs w:val="21"/>
                <w:highlight w:val="none"/>
              </w:rPr>
              <w:t>投标人</w:t>
            </w:r>
          </w:p>
        </w:tc>
        <w:tc>
          <w:tcPr>
            <w:tcW w:w="1417" w:type="dxa"/>
            <w:vAlign w:val="center"/>
          </w:tcPr>
          <w:p>
            <w:pPr>
              <w:adjustRightInd w:val="0"/>
              <w:snapToGrid w:val="0"/>
              <w:jc w:val="center"/>
              <w:rPr>
                <w:rFonts w:hAnsi="宋体" w:cs="宋体"/>
                <w:szCs w:val="21"/>
                <w:highlight w:val="none"/>
              </w:rPr>
            </w:pPr>
            <w:r>
              <w:rPr>
                <w:rFonts w:hint="eastAsia" w:hAnsi="宋体" w:cs="宋体"/>
                <w:szCs w:val="21"/>
                <w:highlight w:val="none"/>
              </w:rPr>
              <w:t>投标文件递交</w:t>
            </w:r>
          </w:p>
        </w:tc>
        <w:tc>
          <w:tcPr>
            <w:tcW w:w="1119" w:type="dxa"/>
            <w:vAlign w:val="center"/>
          </w:tcPr>
          <w:p>
            <w:pPr>
              <w:adjustRightInd w:val="0"/>
              <w:snapToGrid w:val="0"/>
              <w:jc w:val="center"/>
              <w:rPr>
                <w:rFonts w:hAnsi="宋体" w:cs="宋体"/>
                <w:szCs w:val="21"/>
                <w:highlight w:val="none"/>
              </w:rPr>
            </w:pPr>
            <w:r>
              <w:rPr>
                <w:rFonts w:hint="eastAsia" w:hAnsi="宋体" w:cs="宋体"/>
                <w:szCs w:val="21"/>
                <w:highlight w:val="none"/>
              </w:rPr>
              <w:t>解密情况</w:t>
            </w:r>
          </w:p>
        </w:tc>
        <w:tc>
          <w:tcPr>
            <w:tcW w:w="1276" w:type="dxa"/>
            <w:vAlign w:val="center"/>
          </w:tcPr>
          <w:p>
            <w:pPr>
              <w:adjustRightInd w:val="0"/>
              <w:snapToGrid w:val="0"/>
              <w:jc w:val="center"/>
              <w:rPr>
                <w:rFonts w:hAnsi="宋体" w:cs="宋体"/>
                <w:szCs w:val="21"/>
                <w:highlight w:val="none"/>
              </w:rPr>
            </w:pPr>
            <w:r>
              <w:rPr>
                <w:rFonts w:hint="eastAsia" w:hAnsi="宋体" w:cs="宋体"/>
                <w:szCs w:val="21"/>
                <w:highlight w:val="none"/>
              </w:rPr>
              <w:t>投标报价</w:t>
            </w:r>
          </w:p>
          <w:p>
            <w:pPr>
              <w:adjustRightInd w:val="0"/>
              <w:snapToGrid w:val="0"/>
              <w:jc w:val="center"/>
              <w:rPr>
                <w:rFonts w:hAnsi="宋体" w:cs="宋体"/>
                <w:szCs w:val="21"/>
                <w:highlight w:val="none"/>
              </w:rPr>
            </w:pPr>
            <w:r>
              <w:rPr>
                <w:rFonts w:hint="eastAsia" w:hAnsi="宋体" w:cs="宋体"/>
                <w:szCs w:val="21"/>
                <w:highlight w:val="none"/>
              </w:rPr>
              <w:t>（元）</w:t>
            </w:r>
          </w:p>
        </w:tc>
        <w:tc>
          <w:tcPr>
            <w:tcW w:w="1207" w:type="dxa"/>
            <w:vAlign w:val="center"/>
          </w:tcPr>
          <w:p>
            <w:pPr>
              <w:adjustRightInd w:val="0"/>
              <w:snapToGrid w:val="0"/>
              <w:jc w:val="center"/>
              <w:rPr>
                <w:rFonts w:hAnsi="宋体" w:cs="宋体"/>
                <w:szCs w:val="21"/>
                <w:highlight w:val="none"/>
              </w:rPr>
            </w:pPr>
            <w:r>
              <w:rPr>
                <w:rFonts w:hint="eastAsia" w:hAnsi="宋体" w:cs="宋体"/>
                <w:szCs w:val="21"/>
                <w:highlight w:val="none"/>
              </w:rPr>
              <w:t>项目负责人</w:t>
            </w:r>
          </w:p>
        </w:tc>
        <w:tc>
          <w:tcPr>
            <w:tcW w:w="968" w:type="dxa"/>
            <w:vAlign w:val="center"/>
          </w:tcPr>
          <w:p>
            <w:pPr>
              <w:adjustRightInd w:val="0"/>
              <w:snapToGrid w:val="0"/>
              <w:jc w:val="center"/>
              <w:rPr>
                <w:rFonts w:hAnsi="宋体" w:cs="宋体"/>
                <w:szCs w:val="21"/>
                <w:highlight w:val="none"/>
              </w:rPr>
            </w:pPr>
            <w:r>
              <w:rPr>
                <w:rFonts w:hint="eastAsia" w:hAnsi="宋体" w:cs="宋体"/>
                <w:szCs w:val="21"/>
                <w:highlight w:val="none"/>
              </w:rPr>
              <w:t>服务期限</w:t>
            </w:r>
          </w:p>
        </w:tc>
        <w:tc>
          <w:tcPr>
            <w:tcW w:w="1100" w:type="dxa"/>
            <w:vAlign w:val="center"/>
          </w:tcPr>
          <w:p>
            <w:pPr>
              <w:adjustRightInd w:val="0"/>
              <w:snapToGrid w:val="0"/>
              <w:jc w:val="center"/>
              <w:rPr>
                <w:rFonts w:hAnsi="宋体" w:cs="宋体"/>
                <w:szCs w:val="21"/>
                <w:highlight w:val="none"/>
              </w:rPr>
            </w:pPr>
            <w:r>
              <w:rPr>
                <w:rFonts w:hint="eastAsia" w:hAnsi="宋体" w:cs="宋体"/>
                <w:szCs w:val="21"/>
                <w:highlight w:val="none"/>
              </w:rPr>
              <w:t>备注</w:t>
            </w:r>
          </w:p>
        </w:tc>
        <w:tc>
          <w:tcPr>
            <w:tcW w:w="860" w:type="dxa"/>
            <w:vAlign w:val="center"/>
          </w:tcPr>
          <w:p>
            <w:pPr>
              <w:adjustRightInd w:val="0"/>
              <w:snapToGrid w:val="0"/>
              <w:jc w:val="center"/>
              <w:rPr>
                <w:rFonts w:hAnsi="宋体" w:cs="宋体"/>
                <w:szCs w:val="21"/>
                <w:highlight w:val="none"/>
              </w:rPr>
            </w:pPr>
            <w:r>
              <w:rPr>
                <w:rFonts w:hint="eastAsia" w:hAnsi="宋体" w:cs="宋体"/>
                <w:szCs w:val="21"/>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62" w:type="dxa"/>
          </w:tcPr>
          <w:p>
            <w:pPr>
              <w:adjustRightInd w:val="0"/>
              <w:snapToGrid w:val="0"/>
              <w:ind w:firstLine="420"/>
              <w:rPr>
                <w:rFonts w:hAnsi="宋体" w:cs="宋体"/>
                <w:szCs w:val="21"/>
                <w:highlight w:val="none"/>
              </w:rPr>
            </w:pPr>
          </w:p>
        </w:tc>
        <w:tc>
          <w:tcPr>
            <w:tcW w:w="898" w:type="dxa"/>
          </w:tcPr>
          <w:p>
            <w:pPr>
              <w:adjustRightInd w:val="0"/>
              <w:snapToGrid w:val="0"/>
              <w:ind w:firstLine="420"/>
              <w:rPr>
                <w:rFonts w:hAnsi="宋体" w:cs="宋体"/>
                <w:szCs w:val="21"/>
                <w:highlight w:val="none"/>
              </w:rPr>
            </w:pPr>
          </w:p>
        </w:tc>
        <w:tc>
          <w:tcPr>
            <w:tcW w:w="1417" w:type="dxa"/>
          </w:tcPr>
          <w:p>
            <w:pPr>
              <w:adjustRightInd w:val="0"/>
              <w:snapToGrid w:val="0"/>
              <w:ind w:firstLine="420"/>
              <w:rPr>
                <w:rFonts w:hAnsi="宋体" w:cs="宋体"/>
                <w:szCs w:val="21"/>
                <w:highlight w:val="none"/>
              </w:rPr>
            </w:pP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2977" w:type="dxa"/>
            <w:gridSpan w:val="3"/>
          </w:tcPr>
          <w:p>
            <w:pPr>
              <w:adjustRightInd w:val="0"/>
              <w:snapToGrid w:val="0"/>
              <w:ind w:firstLine="420"/>
              <w:rPr>
                <w:rFonts w:hAnsi="宋体" w:cs="宋体"/>
                <w:szCs w:val="21"/>
                <w:highlight w:val="none"/>
              </w:rPr>
            </w:pPr>
            <w:r>
              <w:rPr>
                <w:rFonts w:hint="eastAsia" w:hAnsi="宋体" w:cs="宋体"/>
                <w:szCs w:val="21"/>
                <w:highlight w:val="none"/>
              </w:rPr>
              <w:t>最高投标限价：</w:t>
            </w:r>
          </w:p>
        </w:tc>
        <w:tc>
          <w:tcPr>
            <w:tcW w:w="1119" w:type="dxa"/>
          </w:tcPr>
          <w:p>
            <w:pPr>
              <w:adjustRightInd w:val="0"/>
              <w:snapToGrid w:val="0"/>
              <w:ind w:firstLine="420"/>
              <w:rPr>
                <w:rFonts w:hAnsi="宋体" w:cs="宋体"/>
                <w:szCs w:val="21"/>
                <w:highlight w:val="none"/>
              </w:rPr>
            </w:pPr>
          </w:p>
        </w:tc>
        <w:tc>
          <w:tcPr>
            <w:tcW w:w="1276" w:type="dxa"/>
          </w:tcPr>
          <w:p>
            <w:pPr>
              <w:adjustRightInd w:val="0"/>
              <w:snapToGrid w:val="0"/>
              <w:ind w:firstLine="420"/>
              <w:rPr>
                <w:rFonts w:hAnsi="宋体" w:cs="宋体"/>
                <w:szCs w:val="21"/>
                <w:highlight w:val="none"/>
              </w:rPr>
            </w:pPr>
          </w:p>
        </w:tc>
        <w:tc>
          <w:tcPr>
            <w:tcW w:w="1207" w:type="dxa"/>
          </w:tcPr>
          <w:p>
            <w:pPr>
              <w:adjustRightInd w:val="0"/>
              <w:snapToGrid w:val="0"/>
              <w:ind w:firstLine="420"/>
              <w:rPr>
                <w:rFonts w:hAnsi="宋体" w:cs="宋体"/>
                <w:szCs w:val="21"/>
                <w:highlight w:val="none"/>
              </w:rPr>
            </w:pPr>
          </w:p>
        </w:tc>
        <w:tc>
          <w:tcPr>
            <w:tcW w:w="968" w:type="dxa"/>
          </w:tcPr>
          <w:p>
            <w:pPr>
              <w:adjustRightInd w:val="0"/>
              <w:snapToGrid w:val="0"/>
              <w:ind w:firstLine="420"/>
              <w:rPr>
                <w:rFonts w:hAnsi="宋体" w:cs="宋体"/>
                <w:szCs w:val="21"/>
                <w:highlight w:val="none"/>
              </w:rPr>
            </w:pPr>
          </w:p>
        </w:tc>
        <w:tc>
          <w:tcPr>
            <w:tcW w:w="1100" w:type="dxa"/>
          </w:tcPr>
          <w:p>
            <w:pPr>
              <w:adjustRightInd w:val="0"/>
              <w:snapToGrid w:val="0"/>
              <w:ind w:firstLine="420"/>
              <w:rPr>
                <w:rFonts w:hAnsi="宋体" w:cs="宋体"/>
                <w:szCs w:val="21"/>
                <w:highlight w:val="none"/>
              </w:rPr>
            </w:pPr>
          </w:p>
        </w:tc>
        <w:tc>
          <w:tcPr>
            <w:tcW w:w="860" w:type="dxa"/>
          </w:tcPr>
          <w:p>
            <w:pPr>
              <w:adjustRightInd w:val="0"/>
              <w:snapToGrid w:val="0"/>
              <w:ind w:firstLine="420"/>
              <w:rPr>
                <w:rFonts w:hAnsi="宋体" w:cs="宋体"/>
                <w:szCs w:val="21"/>
                <w:highlight w:val="none"/>
              </w:rPr>
            </w:pPr>
          </w:p>
        </w:tc>
      </w:tr>
    </w:tbl>
    <w:p>
      <w:pPr>
        <w:ind w:firstLine="480"/>
        <w:rPr>
          <w:rFonts w:hAnsi="宋体"/>
          <w:highlight w:val="none"/>
        </w:rPr>
      </w:pPr>
    </w:p>
    <w:p>
      <w:pPr>
        <w:ind w:firstLine="480"/>
        <w:rPr>
          <w:rFonts w:hAnsi="宋体"/>
          <w:highlight w:val="none"/>
        </w:rPr>
      </w:pPr>
      <w:r>
        <w:rPr>
          <w:rFonts w:hint="eastAsia" w:hAnsi="宋体"/>
          <w:highlight w:val="none"/>
        </w:rPr>
        <w:t>招标人代表：</w:t>
      </w:r>
      <w:r>
        <w:rPr>
          <w:rFonts w:hAnsi="宋体"/>
          <w:highlight w:val="none"/>
          <w:u w:val="single"/>
        </w:rPr>
        <w:t xml:space="preserve">          </w:t>
      </w:r>
      <w:r>
        <w:rPr>
          <w:rFonts w:hAnsi="宋体"/>
          <w:highlight w:val="none"/>
        </w:rPr>
        <w:t xml:space="preserve">         记录人：</w:t>
      </w:r>
      <w:r>
        <w:rPr>
          <w:rFonts w:hAnsi="宋体"/>
          <w:highlight w:val="none"/>
          <w:u w:val="single"/>
        </w:rPr>
        <w:t xml:space="preserve">          </w:t>
      </w:r>
      <w:r>
        <w:rPr>
          <w:rFonts w:hAnsi="宋体"/>
          <w:highlight w:val="none"/>
        </w:rPr>
        <w:t xml:space="preserve">         监标人：</w:t>
      </w:r>
      <w:r>
        <w:rPr>
          <w:rFonts w:hAnsi="宋体"/>
          <w:highlight w:val="none"/>
          <w:u w:val="single"/>
        </w:rPr>
        <w:t xml:space="preserve">          </w:t>
      </w:r>
    </w:p>
    <w:p>
      <w:pPr>
        <w:ind w:firstLine="480"/>
        <w:jc w:val="right"/>
        <w:rPr>
          <w:rFonts w:hAnsi="宋体"/>
          <w:highlight w:val="none"/>
        </w:rPr>
      </w:pPr>
      <w:r>
        <w:rPr>
          <w:rFonts w:hAnsi="宋体"/>
          <w:highlight w:val="none"/>
          <w:u w:val="single"/>
        </w:rPr>
        <w:t xml:space="preserve">        </w:t>
      </w:r>
      <w:r>
        <w:rPr>
          <w:rFonts w:hint="eastAsia" w:hAnsi="宋体"/>
          <w:highlight w:val="none"/>
        </w:rPr>
        <w:t>年</w:t>
      </w:r>
      <w:r>
        <w:rPr>
          <w:rFonts w:hAnsi="宋体"/>
          <w:highlight w:val="none"/>
          <w:u w:val="single"/>
        </w:rPr>
        <w:t xml:space="preserve">        </w:t>
      </w:r>
      <w:r>
        <w:rPr>
          <w:rFonts w:hint="eastAsia" w:hAnsi="宋体"/>
          <w:highlight w:val="none"/>
        </w:rPr>
        <w:t>月</w:t>
      </w:r>
      <w:r>
        <w:rPr>
          <w:rFonts w:hAnsi="宋体"/>
          <w:highlight w:val="none"/>
          <w:u w:val="single"/>
        </w:rPr>
        <w:t xml:space="preserve">        </w:t>
      </w:r>
      <w:r>
        <w:rPr>
          <w:rFonts w:hint="eastAsia" w:hAnsi="宋体"/>
          <w:highlight w:val="none"/>
        </w:rPr>
        <w:t>日</w:t>
      </w:r>
    </w:p>
    <w:p>
      <w:pPr>
        <w:pStyle w:val="3"/>
        <w:rPr>
          <w:highlight w:val="none"/>
        </w:rPr>
      </w:pPr>
      <w:bookmarkStart w:id="159" w:name="_Toc17155"/>
      <w:bookmarkStart w:id="160" w:name="_Toc19316"/>
      <w:bookmarkStart w:id="161" w:name="_Toc534882200"/>
      <w:bookmarkStart w:id="162" w:name="_Toc14184"/>
      <w:r>
        <w:rPr>
          <w:rFonts w:hint="eastAsia"/>
          <w:highlight w:val="none"/>
          <w:u w:val="single"/>
        </w:rPr>
        <w:t>本表仅供参考，具体以开标时</w:t>
      </w:r>
      <w:r>
        <w:rPr>
          <w:rFonts w:hint="eastAsia"/>
          <w:highlight w:val="none"/>
          <w:u w:val="single"/>
          <w:lang w:eastAsia="zh-CN"/>
        </w:rPr>
        <w:t>广州交易集团有限公司（广州公共资源交易中心）</w:t>
      </w:r>
      <w:r>
        <w:rPr>
          <w:rFonts w:hint="eastAsia"/>
          <w:highlight w:val="none"/>
          <w:u w:val="single"/>
        </w:rPr>
        <w:t>系统的开标记录表为准</w:t>
      </w:r>
      <w:r>
        <w:rPr>
          <w:rFonts w:hint="eastAsia"/>
          <w:highlight w:val="none"/>
        </w:rPr>
        <w:t>。</w:t>
      </w:r>
      <w:r>
        <w:rPr>
          <w:highlight w:val="none"/>
        </w:rPr>
        <w:br w:type="page"/>
      </w:r>
    </w:p>
    <w:p>
      <w:pPr>
        <w:pStyle w:val="3"/>
        <w:rPr>
          <w:highlight w:val="none"/>
        </w:rPr>
      </w:pPr>
      <w:bookmarkStart w:id="163" w:name="_Toc35513482"/>
      <w:bookmarkStart w:id="164" w:name="_Toc69983666"/>
      <w:r>
        <w:rPr>
          <w:rFonts w:hint="eastAsia"/>
          <w:highlight w:val="none"/>
        </w:rPr>
        <w:t>附件二：问题澄清通知</w:t>
      </w:r>
      <w:bookmarkEnd w:id="159"/>
      <w:bookmarkEnd w:id="160"/>
      <w:bookmarkEnd w:id="161"/>
      <w:bookmarkEnd w:id="162"/>
      <w:bookmarkEnd w:id="163"/>
      <w:bookmarkEnd w:id="164"/>
    </w:p>
    <w:p>
      <w:pPr>
        <w:ind w:firstLine="643"/>
        <w:jc w:val="center"/>
        <w:rPr>
          <w:rFonts w:hAnsi="宋体"/>
          <w:b/>
          <w:sz w:val="32"/>
          <w:szCs w:val="32"/>
          <w:highlight w:val="none"/>
        </w:rPr>
      </w:pPr>
      <w:r>
        <w:rPr>
          <w:rFonts w:hint="eastAsia" w:hAnsi="宋体"/>
          <w:b/>
          <w:sz w:val="32"/>
          <w:szCs w:val="32"/>
          <w:highlight w:val="none"/>
        </w:rPr>
        <w:t>问题澄清通知</w:t>
      </w:r>
    </w:p>
    <w:p>
      <w:pPr>
        <w:ind w:firstLine="480"/>
        <w:jc w:val="center"/>
        <w:rPr>
          <w:rFonts w:hAnsi="宋体"/>
          <w:highlight w:val="none"/>
        </w:rPr>
      </w:pPr>
      <w:r>
        <w:rPr>
          <w:rFonts w:hint="eastAsia" w:hAnsi="宋体"/>
          <w:highlight w:val="none"/>
        </w:rPr>
        <w:t>（编号：</w:t>
      </w:r>
      <w:r>
        <w:rPr>
          <w:rFonts w:hAnsi="宋体"/>
          <w:highlight w:val="none"/>
          <w:u w:val="single"/>
        </w:rPr>
        <w:t xml:space="preserve">              </w:t>
      </w:r>
      <w:r>
        <w:rPr>
          <w:rFonts w:hint="eastAsia" w:hAnsi="宋体"/>
          <w:highlight w:val="none"/>
        </w:rPr>
        <w:t>）</w:t>
      </w:r>
    </w:p>
    <w:p>
      <w:pPr>
        <w:ind w:firstLine="480"/>
        <w:rPr>
          <w:rFonts w:hAnsi="宋体"/>
          <w:highlight w:val="none"/>
        </w:rPr>
      </w:pP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（投标人名称）：</w:t>
      </w:r>
    </w:p>
    <w:p>
      <w:pPr>
        <w:spacing w:line="360" w:lineRule="auto"/>
        <w:ind w:firstLine="480"/>
        <w:rPr>
          <w:rFonts w:hint="eastAsia" w:ascii="宋体" w:hAnsi="宋体" w:eastAsia="宋体" w:cs="宋体"/>
          <w:sz w:val="21"/>
          <w:szCs w:val="21"/>
          <w:highlight w:val="none"/>
        </w:rPr>
      </w:pP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评标委员会对你方的投标文件进行了仔细的审查，现需你方对下列问题以书面形式予以澄清、说明或补正：</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spacing w:line="360" w:lineRule="auto"/>
        <w:ind w:firstLine="480"/>
        <w:rPr>
          <w:rFonts w:hint="eastAsia" w:ascii="宋体" w:hAnsi="宋体" w:eastAsia="宋体" w:cs="宋体"/>
          <w:sz w:val="21"/>
          <w:szCs w:val="21"/>
          <w:highlight w:val="none"/>
        </w:rPr>
      </w:pPr>
    </w:p>
    <w:p>
      <w:pPr>
        <w:spacing w:line="360" w:lineRule="auto"/>
        <w:ind w:firstLine="420" w:firstLineChars="200"/>
        <w:rPr>
          <w:rFonts w:hAnsi="宋体"/>
          <w:highlight w:val="none"/>
        </w:rPr>
      </w:pPr>
      <w:r>
        <w:rPr>
          <w:rFonts w:hint="eastAsia" w:hAnsi="宋体"/>
          <w:highlight w:val="none"/>
        </w:rPr>
        <w:t>请将上述问题的澄清、说明或补正于</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r>
        <w:rPr>
          <w:rFonts w:hint="eastAsia" w:hAnsi="宋体"/>
          <w:highlight w:val="none"/>
          <w:u w:val="single"/>
        </w:rPr>
        <w:t xml:space="preserve">       </w:t>
      </w:r>
      <w:r>
        <w:rPr>
          <w:rFonts w:hint="eastAsia" w:hAnsi="宋体"/>
          <w:highlight w:val="none"/>
        </w:rPr>
        <w:t>时前递交至</w:t>
      </w:r>
    </w:p>
    <w:p>
      <w:pPr>
        <w:spacing w:line="360" w:lineRule="auto"/>
        <w:ind w:firstLine="480"/>
        <w:rPr>
          <w:rFonts w:hint="eastAsia" w:ascii="宋体" w:hAnsi="宋体" w:eastAsia="宋体" w:cs="宋体"/>
          <w:sz w:val="21"/>
          <w:szCs w:val="21"/>
          <w:highlight w:val="none"/>
        </w:rPr>
      </w:pPr>
      <w:r>
        <w:rPr>
          <w:rFonts w:hint="eastAsia" w:hAnsi="宋体"/>
          <w:highlight w:val="none"/>
          <w:u w:val="single"/>
        </w:rPr>
        <w:t xml:space="preserve">                       </w:t>
      </w:r>
      <w:r>
        <w:rPr>
          <w:rFonts w:hint="eastAsia" w:hAnsi="宋体"/>
          <w:highlight w:val="none"/>
        </w:rPr>
        <w:t>（详细地址）或传真至</w:t>
      </w:r>
      <w:r>
        <w:rPr>
          <w:rFonts w:hint="eastAsia" w:hAnsi="宋体"/>
          <w:highlight w:val="none"/>
          <w:u w:val="single"/>
        </w:rPr>
        <w:t xml:space="preserve">                </w:t>
      </w:r>
      <w:r>
        <w:rPr>
          <w:rFonts w:hint="eastAsia" w:hAnsi="宋体"/>
          <w:highlight w:val="none"/>
        </w:rPr>
        <w:t>（传真号码）或通过下载招标文件的电子招标交易平台上传。采用传真方式的，应在</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r>
        <w:rPr>
          <w:rFonts w:hint="eastAsia" w:hAnsi="宋体"/>
          <w:highlight w:val="none"/>
          <w:u w:val="single"/>
        </w:rPr>
        <w:t xml:space="preserve">  </w:t>
      </w:r>
      <w:r>
        <w:rPr>
          <w:rFonts w:hint="eastAsia" w:hAnsi="宋体"/>
          <w:highlight w:val="none"/>
        </w:rPr>
        <w:t>时前将原件递交至</w:t>
      </w:r>
      <w:r>
        <w:rPr>
          <w:rFonts w:hint="eastAsia" w:hAnsi="宋体"/>
          <w:highlight w:val="none"/>
          <w:u w:val="single"/>
        </w:rPr>
        <w:t xml:space="preserve">         </w:t>
      </w:r>
      <w:r>
        <w:rPr>
          <w:rFonts w:hint="eastAsia" w:hAnsi="宋体"/>
          <w:highlight w:val="none"/>
        </w:rPr>
        <w:t>（详细地址）。</w:t>
      </w:r>
    </w:p>
    <w:p>
      <w:pPr>
        <w:spacing w:line="360" w:lineRule="auto"/>
        <w:ind w:firstLine="480"/>
        <w:rPr>
          <w:rFonts w:hint="eastAsia" w:ascii="宋体" w:hAnsi="宋体" w:eastAsia="宋体" w:cs="宋体"/>
          <w:sz w:val="21"/>
          <w:szCs w:val="21"/>
          <w:highlight w:val="none"/>
        </w:rPr>
      </w:pPr>
    </w:p>
    <w:p>
      <w:pPr>
        <w:spacing w:line="360" w:lineRule="auto"/>
        <w:ind w:firstLine="480"/>
        <w:rPr>
          <w:rFonts w:hint="eastAsia" w:ascii="宋体" w:hAnsi="宋体" w:eastAsia="宋体" w:cs="宋体"/>
          <w:sz w:val="21"/>
          <w:szCs w:val="21"/>
          <w:highlight w:val="none"/>
        </w:rPr>
      </w:pPr>
    </w:p>
    <w:p>
      <w:pPr>
        <w:spacing w:line="360" w:lineRule="auto"/>
        <w:ind w:firstLine="480"/>
        <w:rPr>
          <w:rFonts w:hint="eastAsia" w:ascii="宋体" w:hAnsi="宋体" w:eastAsia="宋体" w:cs="宋体"/>
          <w:sz w:val="21"/>
          <w:szCs w:val="21"/>
          <w:highlight w:val="none"/>
        </w:rPr>
      </w:pPr>
    </w:p>
    <w:p>
      <w:pPr>
        <w:spacing w:line="360" w:lineRule="auto"/>
        <w:ind w:firstLine="480"/>
        <w:rPr>
          <w:rFonts w:hint="eastAsia" w:ascii="宋体" w:hAnsi="宋体" w:eastAsia="宋体" w:cs="宋体"/>
          <w:sz w:val="21"/>
          <w:szCs w:val="21"/>
          <w:highlight w:val="none"/>
        </w:rPr>
      </w:pPr>
    </w:p>
    <w:p>
      <w:pPr>
        <w:spacing w:line="360" w:lineRule="auto"/>
        <w:ind w:firstLine="1470" w:firstLineChars="7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评标委员会授权的招标人或招标代理机构：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（签字或盖章）</w:t>
      </w:r>
    </w:p>
    <w:p>
      <w:pPr>
        <w:spacing w:line="360" w:lineRule="auto"/>
        <w:ind w:firstLine="4725" w:firstLineChars="225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360" w:lineRule="auto"/>
        <w:ind w:left="499" w:firstLine="420"/>
        <w:rPr>
          <w:rFonts w:hint="eastAsia" w:ascii="宋体" w:hAnsi="宋体" w:eastAsia="宋体" w:cs="宋体"/>
          <w:sz w:val="21"/>
          <w:szCs w:val="21"/>
          <w:highlight w:val="none"/>
        </w:rPr>
      </w:pPr>
    </w:p>
    <w:p>
      <w:pPr>
        <w:spacing w:line="360" w:lineRule="auto"/>
        <w:ind w:left="499" w:firstLine="562"/>
        <w:rPr>
          <w:rFonts w:hint="eastAsia" w:ascii="宋体" w:hAnsi="宋体" w:eastAsia="宋体" w:cs="宋体"/>
          <w:b/>
          <w:sz w:val="21"/>
          <w:szCs w:val="21"/>
          <w:highlight w:val="none"/>
        </w:rPr>
      </w:pPr>
      <w:r>
        <w:rPr>
          <w:rFonts w:hint="eastAsia" w:ascii="宋体" w:hAnsi="宋体" w:eastAsia="宋体" w:cs="宋体"/>
          <w:sz w:val="21"/>
          <w:szCs w:val="21"/>
          <w:highlight w:val="none"/>
        </w:rPr>
        <w:t>（注：或按</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格式）</w:t>
      </w:r>
    </w:p>
    <w:p>
      <w:pPr>
        <w:pStyle w:val="3"/>
        <w:rPr>
          <w:highlight w:val="none"/>
        </w:rPr>
      </w:pPr>
      <w:bookmarkStart w:id="165" w:name="_Toc31127"/>
      <w:bookmarkStart w:id="166" w:name="_Toc14969"/>
      <w:bookmarkStart w:id="167" w:name="_Toc15674"/>
      <w:bookmarkStart w:id="168" w:name="_Toc534882201"/>
      <w:r>
        <w:rPr>
          <w:highlight w:val="none"/>
        </w:rPr>
        <w:br w:type="page"/>
      </w:r>
      <w:bookmarkStart w:id="169" w:name="_Toc35513483"/>
      <w:bookmarkStart w:id="170" w:name="_Toc69983667"/>
      <w:r>
        <w:rPr>
          <w:rFonts w:hint="eastAsia"/>
          <w:highlight w:val="none"/>
        </w:rPr>
        <w:t>附件三：问题的澄清</w:t>
      </w:r>
      <w:bookmarkEnd w:id="165"/>
      <w:bookmarkEnd w:id="166"/>
      <w:bookmarkEnd w:id="167"/>
      <w:bookmarkEnd w:id="168"/>
      <w:bookmarkEnd w:id="169"/>
      <w:bookmarkEnd w:id="170"/>
    </w:p>
    <w:p>
      <w:pPr>
        <w:ind w:firstLine="643"/>
        <w:jc w:val="center"/>
        <w:rPr>
          <w:rFonts w:hAnsi="宋体"/>
          <w:b/>
          <w:sz w:val="32"/>
          <w:szCs w:val="32"/>
          <w:highlight w:val="none"/>
        </w:rPr>
      </w:pPr>
      <w:r>
        <w:rPr>
          <w:rFonts w:hint="eastAsia" w:hAnsi="宋体"/>
          <w:b/>
          <w:sz w:val="32"/>
          <w:szCs w:val="32"/>
          <w:highlight w:val="none"/>
        </w:rPr>
        <w:t>问题的澄清</w:t>
      </w:r>
    </w:p>
    <w:p>
      <w:pPr>
        <w:ind w:firstLine="480"/>
        <w:jc w:val="center"/>
        <w:rPr>
          <w:rFonts w:hAnsi="宋体"/>
          <w:highlight w:val="none"/>
        </w:rPr>
      </w:pPr>
      <w:r>
        <w:rPr>
          <w:rFonts w:hint="eastAsia" w:hAnsi="宋体"/>
          <w:highlight w:val="none"/>
        </w:rPr>
        <w:t>（编号：</w:t>
      </w:r>
      <w:r>
        <w:rPr>
          <w:rFonts w:hAnsi="宋体"/>
          <w:highlight w:val="none"/>
          <w:u w:val="single"/>
        </w:rPr>
        <w:t xml:space="preserve">              </w:t>
      </w:r>
      <w:r>
        <w:rPr>
          <w:rFonts w:hint="eastAsia" w:hAnsi="宋体"/>
          <w:highlight w:val="none"/>
        </w:rPr>
        <w:t>）</w:t>
      </w:r>
    </w:p>
    <w:p>
      <w:pPr>
        <w:ind w:firstLine="480"/>
        <w:rPr>
          <w:rFonts w:hAnsi="宋体"/>
          <w:highlight w:val="none"/>
        </w:rPr>
      </w:pP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评标委员会：</w:t>
      </w:r>
    </w:p>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问题澄清通知（编号：</w:t>
      </w:r>
      <w:r>
        <w:rPr>
          <w:rFonts w:hint="eastAsia" w:ascii="宋体" w:hAnsi="宋体" w:eastAsia="宋体" w:cs="宋体"/>
          <w:highlight w:val="none"/>
          <w:u w:val="single"/>
        </w:rPr>
        <w:t xml:space="preserve">             </w:t>
      </w:r>
      <w:r>
        <w:rPr>
          <w:rFonts w:hint="eastAsia" w:ascii="宋体" w:hAnsi="宋体" w:eastAsia="宋体" w:cs="宋体"/>
          <w:highlight w:val="none"/>
        </w:rPr>
        <w:t>）已收悉，现澄清、说明或补正如下：</w:t>
      </w:r>
    </w:p>
    <w:p>
      <w:pPr>
        <w:spacing w:line="360" w:lineRule="auto"/>
        <w:ind w:firstLine="840" w:firstLineChars="400"/>
        <w:rPr>
          <w:rFonts w:hint="eastAsia" w:ascii="宋体" w:hAnsi="宋体" w:eastAsia="宋体" w:cs="宋体"/>
          <w:highlight w:val="none"/>
        </w:rPr>
      </w:pPr>
      <w:r>
        <w:rPr>
          <w:rFonts w:hint="eastAsia" w:ascii="宋体" w:hAnsi="宋体" w:eastAsia="宋体" w:cs="宋体"/>
          <w:highlight w:val="none"/>
        </w:rPr>
        <w:t>1.</w:t>
      </w:r>
    </w:p>
    <w:p>
      <w:pPr>
        <w:spacing w:line="360" w:lineRule="auto"/>
        <w:ind w:firstLine="840" w:firstLineChars="400"/>
        <w:rPr>
          <w:rFonts w:hint="eastAsia" w:ascii="宋体" w:hAnsi="宋体" w:eastAsia="宋体" w:cs="宋体"/>
          <w:highlight w:val="none"/>
        </w:rPr>
      </w:pPr>
      <w:r>
        <w:rPr>
          <w:rFonts w:hint="eastAsia" w:ascii="宋体" w:hAnsi="宋体" w:eastAsia="宋体" w:cs="宋体"/>
          <w:highlight w:val="none"/>
        </w:rPr>
        <w:t>2.</w:t>
      </w:r>
    </w:p>
    <w:p>
      <w:pPr>
        <w:spacing w:line="360" w:lineRule="auto"/>
        <w:ind w:firstLine="840" w:firstLineChars="400"/>
        <w:rPr>
          <w:rFonts w:hint="eastAsia" w:ascii="宋体" w:hAnsi="宋体" w:eastAsia="宋体" w:cs="宋体"/>
          <w:highlight w:val="none"/>
        </w:rPr>
      </w:pPr>
      <w:r>
        <w:rPr>
          <w:rFonts w:hint="eastAsia" w:ascii="宋体" w:hAnsi="宋体" w:eastAsia="宋体" w:cs="宋体"/>
          <w:highlight w:val="none"/>
        </w:rPr>
        <w:t>.....</w:t>
      </w:r>
    </w:p>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上述问题澄清、说明或补正，不改变我方投标文件的实质性内容，构成我方投标文件的组成部分。</w:t>
      </w:r>
    </w:p>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p>
    <w:p>
      <w:pPr>
        <w:spacing w:line="360" w:lineRule="auto"/>
        <w:ind w:firstLine="480"/>
        <w:rPr>
          <w:rFonts w:hint="eastAsia" w:ascii="宋体" w:hAnsi="宋体" w:eastAsia="宋体" w:cs="宋体"/>
          <w:highlight w:val="none"/>
        </w:rPr>
      </w:pPr>
    </w:p>
    <w:p>
      <w:pPr>
        <w:spacing w:line="360" w:lineRule="auto"/>
        <w:ind w:left="3" w:firstLine="2730" w:firstLineChars="1300"/>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pPr>
        <w:spacing w:line="360" w:lineRule="auto"/>
        <w:ind w:left="3" w:firstLine="2730" w:firstLineChars="1300"/>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pPr>
        <w:spacing w:line="360" w:lineRule="auto"/>
        <w:ind w:firstLine="4725" w:firstLineChars="22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（注：或按</w:t>
      </w:r>
      <w:r>
        <w:rPr>
          <w:rFonts w:hint="eastAsia" w:ascii="宋体" w:hAnsi="宋体" w:eastAsia="宋体" w:cs="宋体"/>
          <w:szCs w:val="21"/>
          <w:highlight w:val="none"/>
          <w:lang w:eastAsia="zh-CN"/>
        </w:rPr>
        <w:t>广州交易集团有限公司（广州公共资源交易中心）</w:t>
      </w:r>
      <w:r>
        <w:rPr>
          <w:rFonts w:hint="eastAsia" w:ascii="宋体" w:hAnsi="宋体" w:eastAsia="宋体" w:cs="宋体"/>
          <w:szCs w:val="21"/>
          <w:highlight w:val="none"/>
        </w:rPr>
        <w:t>格式）</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keepNext/>
        <w:keepLines/>
        <w:spacing w:line="360" w:lineRule="auto"/>
        <w:outlineLvl w:val="1"/>
        <w:rPr>
          <w:rFonts w:ascii="宋体" w:hAnsi="Cambria" w:eastAsia="宋体" w:cs="Times New Roman"/>
          <w:b/>
          <w:bCs/>
          <w:kern w:val="0"/>
          <w:sz w:val="24"/>
          <w:szCs w:val="32"/>
          <w:highlight w:val="none"/>
        </w:rPr>
      </w:pPr>
      <w:bookmarkStart w:id="171" w:name="_Toc69983668"/>
      <w:bookmarkStart w:id="172" w:name="_Toc35513484"/>
      <w:r>
        <w:rPr>
          <w:rFonts w:hint="eastAsia" w:ascii="宋体" w:hAnsi="Cambria" w:eastAsia="宋体" w:cs="Times New Roman"/>
          <w:b/>
          <w:bCs/>
          <w:kern w:val="0"/>
          <w:sz w:val="24"/>
          <w:szCs w:val="32"/>
          <w:highlight w:val="none"/>
        </w:rPr>
        <w:t>附件四：中标通知书</w:t>
      </w:r>
      <w:bookmarkEnd w:id="171"/>
      <w:bookmarkEnd w:id="172"/>
    </w:p>
    <w:p>
      <w:pPr>
        <w:widowControl/>
        <w:spacing w:line="320" w:lineRule="exact"/>
        <w:ind w:left="499" w:firstLine="560" w:firstLineChars="200"/>
        <w:rPr>
          <w:rFonts w:ascii="宋体" w:hAnsi="宋体" w:eastAsia="宋体" w:cs="Times New Roman"/>
          <w:kern w:val="0"/>
          <w:sz w:val="28"/>
          <w:szCs w:val="20"/>
          <w:highlight w:val="none"/>
        </w:rPr>
      </w:pPr>
    </w:p>
    <w:p>
      <w:pPr>
        <w:widowControl/>
        <w:spacing w:line="320" w:lineRule="exact"/>
        <w:ind w:left="499" w:firstLine="560" w:firstLineChars="200"/>
        <w:rPr>
          <w:rFonts w:ascii="宋体" w:hAnsi="宋体" w:eastAsia="宋体" w:cs="Times New Roman"/>
          <w:kern w:val="0"/>
          <w:sz w:val="28"/>
          <w:szCs w:val="20"/>
          <w:highlight w:val="none"/>
        </w:rPr>
      </w:pPr>
    </w:p>
    <w:p>
      <w:pPr>
        <w:widowControl/>
        <w:spacing w:line="320" w:lineRule="exact"/>
        <w:ind w:left="499" w:firstLine="420" w:firstLineChars="20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（按</w:t>
      </w:r>
      <w:r>
        <w:rPr>
          <w:rFonts w:hint="eastAsia" w:ascii="宋体" w:hAnsi="宋体" w:eastAsia="宋体" w:cs="Times New Roman"/>
          <w:kern w:val="0"/>
          <w:sz w:val="21"/>
          <w:szCs w:val="21"/>
          <w:highlight w:val="none"/>
          <w:lang w:eastAsia="zh-CN"/>
        </w:rPr>
        <w:t>广州交易集团有限公司（广州公共资源交易中心）</w:t>
      </w:r>
      <w:r>
        <w:rPr>
          <w:rFonts w:hint="eastAsia" w:ascii="宋体" w:hAnsi="宋体" w:eastAsia="宋体" w:cs="Times New Roman"/>
          <w:kern w:val="0"/>
          <w:sz w:val="21"/>
          <w:szCs w:val="21"/>
          <w:highlight w:val="none"/>
        </w:rPr>
        <w:t>中标通知书格式）</w:t>
      </w:r>
    </w:p>
    <w:p>
      <w:pPr>
        <w:widowControl/>
        <w:spacing w:line="360" w:lineRule="auto"/>
        <w:ind w:firstLine="420" w:firstLineChars="200"/>
        <w:rPr>
          <w:rFonts w:ascii="宋体" w:hAnsi="宋体" w:eastAsia="宋体" w:cs="Times New Roman"/>
          <w:kern w:val="0"/>
          <w:sz w:val="21"/>
          <w:szCs w:val="21"/>
          <w:highlight w:val="none"/>
        </w:rPr>
      </w:pPr>
    </w:p>
    <w:p>
      <w:pPr>
        <w:widowControl/>
        <w:spacing w:line="200" w:lineRule="exact"/>
        <w:ind w:firstLine="480" w:firstLineChars="200"/>
        <w:rPr>
          <w:rFonts w:ascii="宋体" w:hAnsi="宋体" w:eastAsia="宋体" w:cs="Times New Roman"/>
          <w:kern w:val="0"/>
          <w:sz w:val="24"/>
          <w:szCs w:val="20"/>
          <w:highlight w:val="none"/>
        </w:rPr>
      </w:pPr>
    </w:p>
    <w:p>
      <w:pPr>
        <w:widowControl/>
        <w:spacing w:line="200" w:lineRule="exact"/>
        <w:ind w:firstLine="480" w:firstLineChars="200"/>
        <w:rPr>
          <w:rFonts w:ascii="宋体" w:hAnsi="宋体" w:eastAsia="宋体" w:cs="Times New Roman"/>
          <w:kern w:val="0"/>
          <w:sz w:val="24"/>
          <w:szCs w:val="20"/>
          <w:highlight w:val="none"/>
        </w:rPr>
      </w:pPr>
    </w:p>
    <w:p>
      <w:pPr>
        <w:widowControl/>
        <w:spacing w:line="200" w:lineRule="exact"/>
        <w:ind w:firstLine="480" w:firstLineChars="200"/>
        <w:rPr>
          <w:rFonts w:ascii="宋体" w:hAnsi="宋体" w:eastAsia="宋体" w:cs="Times New Roman"/>
          <w:kern w:val="0"/>
          <w:sz w:val="24"/>
          <w:szCs w:val="20"/>
          <w:highlight w:val="none"/>
        </w:rPr>
      </w:pPr>
      <w:bookmarkStart w:id="173" w:name="page39"/>
      <w:bookmarkEnd w:id="173"/>
    </w:p>
    <w:p>
      <w:pPr>
        <w:jc w:val="left"/>
        <w:rPr>
          <w:rFonts w:hAnsi="宋体"/>
          <w:szCs w:val="21"/>
          <w:highlight w:val="none"/>
        </w:rPr>
      </w:pPr>
    </w:p>
    <w:p>
      <w:pPr>
        <w:bidi w:val="0"/>
        <w:rPr>
          <w:highlight w:val="none"/>
        </w:rPr>
      </w:pPr>
      <w:r>
        <w:rPr>
          <w:highlight w:val="none"/>
        </w:rPr>
        <w:br w:type="page"/>
      </w:r>
      <w:bookmarkStart w:id="174" w:name="_Toc69983669"/>
    </w:p>
    <w:p>
      <w:pPr>
        <w:spacing w:line="360" w:lineRule="auto"/>
        <w:ind w:firstLine="199" w:firstLineChars="45"/>
        <w:jc w:val="center"/>
        <w:outlineLvl w:val="0"/>
        <w:rPr>
          <w:rFonts w:hAnsi="宋体"/>
          <w:b/>
          <w:sz w:val="44"/>
          <w:highlight w:val="none"/>
        </w:rPr>
      </w:pPr>
      <w:bookmarkStart w:id="175" w:name="_Toc7491"/>
      <w:bookmarkStart w:id="176" w:name="_Toc11853"/>
      <w:bookmarkStart w:id="177" w:name="_Toc27760"/>
      <w:r>
        <w:rPr>
          <w:rFonts w:hAnsi="宋体"/>
          <w:b/>
          <w:sz w:val="44"/>
          <w:highlight w:val="none"/>
        </w:rPr>
        <w:t>第三章 评标办法（综合评估法）</w:t>
      </w:r>
      <w:bookmarkEnd w:id="174"/>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1"/>
        <w:rPr>
          <w:rFonts w:hAnsi="宋体"/>
          <w:b/>
          <w:sz w:val="32"/>
          <w:highlight w:val="none"/>
        </w:rPr>
      </w:pPr>
      <w:bookmarkStart w:id="178" w:name="_Toc69983671"/>
      <w:bookmarkStart w:id="179" w:name="_Toc35513487"/>
      <w:r>
        <w:rPr>
          <w:rFonts w:hAnsi="宋体"/>
          <w:b/>
          <w:sz w:val="32"/>
          <w:highlight w:val="none"/>
        </w:rPr>
        <w:t>评标办法前附表</w:t>
      </w:r>
    </w:p>
    <w:tbl>
      <w:tblPr>
        <w:tblStyle w:val="14"/>
        <w:tblW w:w="93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38"/>
        <w:gridCol w:w="1140"/>
        <w:gridCol w:w="1451"/>
        <w:gridCol w:w="58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1" w:hRule="atLeast"/>
          <w:jc w:val="center"/>
        </w:trPr>
        <w:tc>
          <w:tcPr>
            <w:tcW w:w="2078" w:type="dxa"/>
            <w:gridSpan w:val="2"/>
            <w:tcBorders>
              <w:top w:val="single" w:color="auto" w:sz="8" w:space="0"/>
              <w:left w:val="single" w:color="auto" w:sz="8" w:space="0"/>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451" w:type="dxa"/>
            <w:tcBorders>
              <w:top w:val="single" w:color="auto" w:sz="8" w:space="0"/>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b/>
                <w:w w:val="99"/>
                <w:sz w:val="21"/>
                <w:szCs w:val="21"/>
                <w:highlight w:val="none"/>
              </w:rPr>
            </w:pPr>
            <w:r>
              <w:rPr>
                <w:rFonts w:hint="eastAsia" w:ascii="宋体" w:hAnsi="宋体" w:eastAsia="宋体" w:cs="宋体"/>
                <w:b/>
                <w:w w:val="99"/>
                <w:sz w:val="21"/>
                <w:szCs w:val="21"/>
                <w:highlight w:val="none"/>
              </w:rPr>
              <w:t>评审因素</w:t>
            </w:r>
          </w:p>
        </w:tc>
        <w:tc>
          <w:tcPr>
            <w:tcW w:w="5847" w:type="dxa"/>
            <w:tcBorders>
              <w:top w:val="single" w:color="auto" w:sz="8" w:space="0"/>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6" w:hRule="atLeast"/>
          <w:jc w:val="center"/>
        </w:trPr>
        <w:tc>
          <w:tcPr>
            <w:tcW w:w="938" w:type="dxa"/>
            <w:tcBorders>
              <w:left w:val="single" w:color="auto" w:sz="8"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w w:val="94"/>
                <w:sz w:val="21"/>
                <w:szCs w:val="21"/>
                <w:highlight w:val="none"/>
              </w:rPr>
            </w:pPr>
            <w:r>
              <w:rPr>
                <w:rFonts w:hint="eastAsia" w:ascii="宋体" w:hAnsi="宋体" w:eastAsia="宋体" w:cs="宋体"/>
                <w:w w:val="94"/>
                <w:sz w:val="21"/>
                <w:szCs w:val="21"/>
                <w:highlight w:val="none"/>
              </w:rPr>
              <w:t>1</w:t>
            </w:r>
          </w:p>
        </w:tc>
        <w:tc>
          <w:tcPr>
            <w:tcW w:w="1140"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sz w:val="21"/>
                <w:szCs w:val="21"/>
                <w:highlight w:val="none"/>
              </w:rPr>
              <w:t>评标方法</w:t>
            </w: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中标候选人排序方法</w:t>
            </w:r>
          </w:p>
        </w:tc>
        <w:tc>
          <w:tcPr>
            <w:tcW w:w="5847" w:type="dxa"/>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总分相等时，以投标总报价低的优先；投标总报价也相等的，以服务方案得分高的优先；如服务方案得分也相等，由评标委员会采用记名投票方式，以得票多的优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jc w:val="center"/>
        </w:trPr>
        <w:tc>
          <w:tcPr>
            <w:tcW w:w="938" w:type="dxa"/>
            <w:vMerge w:val="restart"/>
            <w:tcBorders>
              <w:left w:val="single" w:color="auto" w:sz="8"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w w:val="99"/>
                <w:sz w:val="21"/>
                <w:szCs w:val="21"/>
                <w:highlight w:val="none"/>
              </w:rPr>
              <w:t>2.1.1</w:t>
            </w:r>
          </w:p>
        </w:tc>
        <w:tc>
          <w:tcPr>
            <w:tcW w:w="1140" w:type="dxa"/>
            <w:vMerge w:val="restart"/>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形式评审</w:t>
            </w:r>
          </w:p>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sz w:val="21"/>
                <w:szCs w:val="21"/>
                <w:highlight w:val="none"/>
              </w:rPr>
              <w:t>标准</w:t>
            </w: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p>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与营业执照或事业单位法人证书、资质证书一致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投标函及投标函附录签字盖章</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投标文件格式</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符合第六章“投标文件格式”的规定。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联合体投标人</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本项目不接受联合体投标。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备选投标方案</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除招标文件明确允许提交备选投标方案外，投标人不得提交备选投标方案。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投标人机器码</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投标人与本项目其他投标人加密打包投标文件电脑特征码一致的（以</w:t>
            </w:r>
            <w:r>
              <w:rPr>
                <w:rFonts w:hint="eastAsia" w:ascii="宋体" w:hAnsi="宋体" w:eastAsia="宋体" w:cs="宋体"/>
                <w:sz w:val="21"/>
                <w:szCs w:val="21"/>
                <w:highlight w:val="none"/>
                <w:lang w:eastAsia="zh-CN"/>
              </w:rPr>
              <w:t>广州交易集团有限公司（广州公共资源交易中心）</w:t>
            </w:r>
            <w:r>
              <w:rPr>
                <w:rFonts w:hint="eastAsia" w:ascii="宋体" w:hAnsi="宋体" w:eastAsia="宋体" w:cs="宋体"/>
                <w:sz w:val="21"/>
                <w:szCs w:val="21"/>
                <w:highlight w:val="none"/>
              </w:rPr>
              <w:t>评标系统的检索信息为准）将被否决。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1" w:hRule="atLeast"/>
          <w:jc w:val="center"/>
        </w:trPr>
        <w:tc>
          <w:tcPr>
            <w:tcW w:w="938" w:type="dxa"/>
            <w:vMerge w:val="restart"/>
            <w:tcBorders>
              <w:left w:val="single" w:color="auto" w:sz="8" w:space="0"/>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2.1.2</w:t>
            </w:r>
          </w:p>
        </w:tc>
        <w:tc>
          <w:tcPr>
            <w:tcW w:w="1140" w:type="dxa"/>
            <w:vMerge w:val="restart"/>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p>
            <w:pPr>
              <w:adjustRightInd w:val="0"/>
              <w:snapToGrid w:val="0"/>
              <w:spacing w:line="360" w:lineRule="auto"/>
              <w:ind w:left="42" w:leftChars="20" w:right="42" w:rightChars="20"/>
              <w:rPr>
                <w:rFonts w:hint="eastAsia" w:ascii="宋体" w:hAnsi="宋体" w:eastAsia="宋体" w:cs="宋体"/>
                <w:w w:val="99"/>
                <w:sz w:val="21"/>
                <w:szCs w:val="21"/>
                <w:highlight w:val="none"/>
              </w:rPr>
            </w:pPr>
            <w:r>
              <w:rPr>
                <w:rFonts w:hint="eastAsia" w:ascii="宋体" w:hAnsi="宋体" w:eastAsia="宋体" w:cs="宋体"/>
                <w:sz w:val="21"/>
                <w:szCs w:val="21"/>
                <w:highlight w:val="none"/>
              </w:rPr>
              <w:t>标准</w:t>
            </w:r>
          </w:p>
        </w:tc>
        <w:tc>
          <w:tcPr>
            <w:tcW w:w="1451" w:type="dxa"/>
            <w:tcBorders>
              <w:right w:val="single" w:color="auto" w:sz="8" w:space="0"/>
            </w:tcBorders>
            <w:vAlign w:val="bottom"/>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营业执照或事业单位法人证书和组织机构代码证</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3.5.1 项规定</w:t>
            </w:r>
            <w:r>
              <w:rPr>
                <w:rFonts w:hint="eastAsia" w:ascii="宋体" w:hAnsi="宋体" w:eastAsia="宋体" w:cs="宋体"/>
                <w:sz w:val="21"/>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7" w:hRule="atLeast"/>
          <w:jc w:val="center"/>
        </w:trPr>
        <w:tc>
          <w:tcPr>
            <w:tcW w:w="938" w:type="dxa"/>
            <w:vMerge w:val="continue"/>
            <w:tcBorders>
              <w:left w:val="single" w:color="auto" w:sz="8" w:space="0"/>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right w:val="single" w:color="auto" w:sz="8"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5847" w:type="dxa"/>
            <w:tcBorders>
              <w:right w:val="single" w:color="auto" w:sz="8" w:space="0"/>
            </w:tcBorders>
            <w:vAlign w:val="center"/>
          </w:tcPr>
          <w:p>
            <w:pPr>
              <w:adjustRightInd w:val="0"/>
              <w:snapToGrid w:val="0"/>
              <w:spacing w:line="360" w:lineRule="auto"/>
              <w:ind w:left="42" w:leftChars="20" w:right="42" w:rightChars="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1.4.1 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938"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5847" w:type="dxa"/>
            <w:tcBorders>
              <w:top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1.4.1 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938"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联合体投标人</w:t>
            </w:r>
          </w:p>
        </w:tc>
        <w:tc>
          <w:tcPr>
            <w:tcW w:w="5847" w:type="dxa"/>
            <w:tcBorders>
              <w:top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1.4.2 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938"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left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不存在禁止投标的情形</w:t>
            </w:r>
          </w:p>
        </w:tc>
        <w:tc>
          <w:tcPr>
            <w:tcW w:w="5847" w:type="dxa"/>
            <w:tcBorders>
              <w:top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不存在第二章“投标人须知”第 1.4.3 项规定的任何一种情形以《投标人声明》为</w:t>
            </w:r>
            <w:r>
              <w:rPr>
                <w:rFonts w:hint="eastAsia" w:ascii="宋体" w:hAnsi="宋体" w:eastAsia="宋体" w:cs="宋体"/>
                <w:sz w:val="21"/>
                <w:szCs w:val="21"/>
                <w:highlight w:val="none"/>
                <w:lang w:val="en-US" w:eastAsia="zh-CN"/>
              </w:rPr>
              <w:t>评审依据。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2.1.3</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响应性评</w:t>
            </w:r>
          </w:p>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审标准</w:t>
            </w: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5847" w:type="dxa"/>
            <w:tcBorders>
              <w:top w:val="single" w:color="auto" w:sz="4" w:space="0"/>
              <w:left w:val="single" w:color="000000" w:sz="4" w:space="0"/>
              <w:bottom w:val="single" w:color="000000" w:sz="4" w:space="0"/>
              <w:right w:val="single" w:color="auto"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3.2 款规定</w:t>
            </w:r>
            <w:r>
              <w:rPr>
                <w:rFonts w:hint="eastAsia" w:ascii="宋体" w:hAnsi="宋体" w:eastAsia="宋体" w:cs="宋体"/>
                <w:sz w:val="21"/>
                <w:szCs w:val="21"/>
                <w:highlight w:val="none"/>
                <w:u w:val="single"/>
              </w:rPr>
              <w:t>，对同一招标项目没有出现两个或以上的投标报价，且修正无依据；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投标内容</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1.3.1 项规定</w:t>
            </w:r>
            <w:r>
              <w:rPr>
                <w:rFonts w:hint="eastAsia" w:ascii="宋体" w:hAnsi="宋体" w:eastAsia="宋体" w:cs="宋体"/>
                <w:sz w:val="21"/>
                <w:szCs w:val="21"/>
                <w:highlight w:val="none"/>
                <w:u w:val="single"/>
              </w:rPr>
              <w:t>，投标文件按规定的格式填写，内容齐全或关键字迹清晰、容易辩认；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1.3.2 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1.3.3 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w w:val="99"/>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符合第二章“投标人须知”第 3.3.1 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sz w:val="21"/>
                <w:szCs w:val="21"/>
                <w:highlight w:val="none"/>
              </w:rPr>
              <w:t>串通投标情形</w:t>
            </w:r>
          </w:p>
        </w:tc>
        <w:tc>
          <w:tcPr>
            <w:tcW w:w="58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投标人之间存在《广东省实施&lt;中华人民共和国招标投标法&gt;》第十六条所禁止的情形的；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jc w:val="center"/>
              <w:rPr>
                <w:rFonts w:hint="eastAsia" w:ascii="宋体" w:hAnsi="宋体" w:eastAsia="宋体" w:cs="宋体"/>
                <w:b/>
                <w:w w:val="98"/>
                <w:sz w:val="21"/>
                <w:szCs w:val="21"/>
                <w:highlight w:val="none"/>
              </w:rPr>
            </w:pPr>
            <w:r>
              <w:rPr>
                <w:rFonts w:hint="eastAsia" w:ascii="宋体" w:hAnsi="宋体" w:eastAsia="宋体" w:cs="宋体"/>
                <w:b/>
                <w:w w:val="98"/>
                <w:sz w:val="21"/>
                <w:szCs w:val="21"/>
                <w:highlight w:val="none"/>
              </w:rPr>
              <w:t>条款号</w:t>
            </w:r>
          </w:p>
        </w:tc>
        <w:tc>
          <w:tcPr>
            <w:tcW w:w="1451"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jc w:val="center"/>
              <w:rPr>
                <w:rFonts w:hint="eastAsia" w:ascii="宋体" w:hAnsi="宋体" w:eastAsia="宋体" w:cs="宋体"/>
                <w:b/>
                <w:w w:val="99"/>
                <w:sz w:val="21"/>
                <w:szCs w:val="21"/>
                <w:highlight w:val="none"/>
              </w:rPr>
            </w:pPr>
            <w:r>
              <w:rPr>
                <w:rFonts w:hint="eastAsia" w:ascii="宋体" w:hAnsi="宋体" w:eastAsia="宋体" w:cs="宋体"/>
                <w:b/>
                <w:w w:val="99"/>
                <w:sz w:val="21"/>
                <w:szCs w:val="21"/>
                <w:highlight w:val="none"/>
              </w:rPr>
              <w:t>条款内容</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jc w:val="center"/>
              <w:rPr>
                <w:rFonts w:hint="eastAsia" w:ascii="宋体" w:hAnsi="宋体" w:eastAsia="宋体" w:cs="宋体"/>
                <w:b/>
                <w:w w:val="99"/>
                <w:sz w:val="21"/>
                <w:szCs w:val="21"/>
                <w:highlight w:val="none"/>
              </w:rPr>
            </w:pPr>
            <w:r>
              <w:rPr>
                <w:rFonts w:hint="eastAsia" w:ascii="宋体" w:hAnsi="宋体" w:eastAsia="宋体" w:cs="宋体"/>
                <w:b/>
                <w:w w:val="99"/>
                <w:sz w:val="21"/>
                <w:szCs w:val="21"/>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4" w:hRule="atLeast"/>
          <w:jc w:val="center"/>
        </w:trPr>
        <w:tc>
          <w:tcPr>
            <w:tcW w:w="2078" w:type="dxa"/>
            <w:gridSpan w:val="2"/>
            <w:tcBorders>
              <w:left w:val="single" w:color="auto" w:sz="8" w:space="0"/>
              <w:bottom w:val="single" w:color="000000" w:sz="4" w:space="0"/>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2.2.1</w:t>
            </w:r>
          </w:p>
        </w:tc>
        <w:tc>
          <w:tcPr>
            <w:tcW w:w="1451" w:type="dxa"/>
            <w:tcBorders>
              <w:right w:val="single" w:color="auto" w:sz="8"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 100 分)</w:t>
            </w:r>
          </w:p>
        </w:tc>
        <w:tc>
          <w:tcPr>
            <w:tcW w:w="5847" w:type="dxa"/>
            <w:tcBorders>
              <w:right w:val="single" w:color="auto" w:sz="8" w:space="0"/>
            </w:tcBorders>
            <w:vAlign w:val="center"/>
          </w:tcPr>
          <w:p>
            <w:pPr>
              <w:adjustRightInd w:val="0"/>
              <w:snapToGrid w:val="0"/>
              <w:spacing w:line="360" w:lineRule="auto"/>
              <w:ind w:left="42" w:leftChars="20" w:right="42" w:rightChars="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商务部分：</w:t>
            </w:r>
            <w:r>
              <w:rPr>
                <w:rFonts w:hint="eastAsia" w:ascii="宋体" w:hAnsi="宋体" w:eastAsia="宋体" w:cs="宋体"/>
                <w:sz w:val="21"/>
                <w:szCs w:val="21"/>
                <w:highlight w:val="none"/>
                <w:u w:val="single"/>
                <w:lang w:val="en-US" w:eastAsia="zh-CN"/>
              </w:rPr>
              <w:t>50</w:t>
            </w:r>
            <w:r>
              <w:rPr>
                <w:rFonts w:hint="eastAsia" w:ascii="宋体" w:hAnsi="宋体" w:eastAsia="宋体" w:cs="宋体"/>
                <w:sz w:val="21"/>
                <w:szCs w:val="21"/>
                <w:highlight w:val="none"/>
                <w:u w:val="single"/>
              </w:rPr>
              <w:t xml:space="preserve"> 分</w:t>
            </w:r>
          </w:p>
          <w:p>
            <w:pPr>
              <w:adjustRightInd w:val="0"/>
              <w:snapToGrid w:val="0"/>
              <w:spacing w:line="360" w:lineRule="auto"/>
              <w:ind w:left="42" w:leftChars="20" w:right="42" w:rightChars="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技术部分</w:t>
            </w:r>
            <w:r>
              <w:rPr>
                <w:rFonts w:hint="eastAsia" w:ascii="宋体" w:hAnsi="宋体" w:eastAsia="宋体" w:cs="宋体"/>
                <w:w w:val="99"/>
                <w:sz w:val="21"/>
                <w:szCs w:val="21"/>
                <w:highlight w:val="none"/>
                <w:u w:val="single"/>
              </w:rPr>
              <w:t>：</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分</w:t>
            </w:r>
          </w:p>
          <w:p>
            <w:pPr>
              <w:adjustRightInd w:val="0"/>
              <w:snapToGrid w:val="0"/>
              <w:spacing w:line="360" w:lineRule="auto"/>
              <w:ind w:left="42" w:leftChars="20" w:right="42" w:rightChars="2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投标报价：</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分</w:t>
            </w:r>
          </w:p>
          <w:p>
            <w:pPr>
              <w:rPr>
                <w:rFonts w:hint="eastAsia" w:ascii="宋体" w:hAnsi="宋体" w:cs="宋体"/>
                <w:color w:val="auto"/>
                <w:highlight w:val="none"/>
                <w:u w:val="single"/>
              </w:rPr>
            </w:pPr>
            <w:r>
              <w:rPr>
                <w:rFonts w:hint="eastAsia" w:ascii="宋体" w:hAnsi="宋体" w:cs="宋体"/>
                <w:color w:val="auto"/>
                <w:highlight w:val="none"/>
                <w:u w:val="single"/>
              </w:rPr>
              <w:t>4、</w:t>
            </w:r>
            <w:bookmarkStart w:id="180" w:name="OLE_LINK2"/>
            <w:r>
              <w:rPr>
                <w:rFonts w:hint="eastAsia" w:ascii="宋体" w:hAnsi="宋体" w:cs="宋体"/>
                <w:color w:val="auto"/>
                <w:highlight w:val="none"/>
                <w:u w:val="single"/>
              </w:rPr>
              <w:t>其他评分因素</w:t>
            </w:r>
            <w:bookmarkEnd w:id="180"/>
            <w:r>
              <w:rPr>
                <w:rFonts w:hint="eastAsia" w:ascii="宋体" w:hAnsi="宋体" w:cs="宋体"/>
                <w:color w:val="auto"/>
                <w:highlight w:val="none"/>
                <w:u w:val="single"/>
              </w:rPr>
              <w:t>（诚信综合评价）：</w:t>
            </w:r>
            <w:r>
              <w:rPr>
                <w:rFonts w:hint="eastAsia" w:ascii="宋体" w:hAnsi="宋体" w:cs="宋体"/>
                <w:color w:val="auto"/>
                <w:highlight w:val="none"/>
                <w:u w:val="single"/>
                <w:lang w:val="en-US" w:eastAsia="zh-CN"/>
              </w:rPr>
              <w:t>5分</w:t>
            </w:r>
          </w:p>
          <w:p>
            <w:pPr>
              <w:pStyle w:val="10"/>
              <w:ind w:firstLine="0" w:firstLineChars="0"/>
              <w:rPr>
                <w:rFonts w:hint="eastAsia"/>
              </w:rPr>
            </w:pPr>
          </w:p>
          <w:p>
            <w:pPr>
              <w:numPr>
                <w:ilvl w:val="255"/>
                <w:numId w:val="0"/>
              </w:num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注：1）投标人总得分=综合得分（A+B+C+D)。</w:t>
            </w:r>
          </w:p>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color w:val="auto"/>
                <w:szCs w:val="21"/>
                <w:highlight w:val="none"/>
                <w:lang w:eastAsia="zh-CN"/>
              </w:rPr>
              <w:t>2）投标报价的计算以含税的总报价作为评审价。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3"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2.2.2</w:t>
            </w: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当通过初步评审在位于[最高投标限价×</w:t>
            </w:r>
            <w:r>
              <w:rPr>
                <w:rFonts w:hint="eastAsia" w:ascii="宋体" w:hAnsi="宋体" w:eastAsia="宋体" w:cs="宋体"/>
                <w:sz w:val="21"/>
                <w:szCs w:val="21"/>
                <w:highlight w:val="none"/>
                <w:lang w:val="en-US" w:eastAsia="zh-CN"/>
              </w:rPr>
              <w:t xml:space="preserve">90 </w:t>
            </w:r>
            <w:r>
              <w:rPr>
                <w:rFonts w:hint="eastAsia" w:ascii="宋体" w:hAnsi="宋体" w:eastAsia="宋体" w:cs="宋体"/>
                <w:sz w:val="21"/>
                <w:szCs w:val="21"/>
                <w:highlight w:val="none"/>
              </w:rPr>
              <w:t>%，最高投标限价]区间的投标价中的有效投标人大于或等于5名时，所有入围的有效投标价中去掉一个最高价和一个最低价，取余下有效投标价的算术平均值的作为评标参考价。当通过初步评审在位于[最高投标限价×90%，最高投标限价]区间的投标价中的有效投标人小于5名时，取所有入围的有效投标价的算术平均值的作为评标参考价。若当通过初步评审没有投标价位于[最高投标限价×90%，最高投标限价]区间的有效投标人，取最高投标限价×90%作为评标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7"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w w:val="99"/>
                <w:sz w:val="21"/>
                <w:szCs w:val="21"/>
                <w:highlight w:val="none"/>
              </w:rPr>
            </w:pPr>
            <w:r>
              <w:rPr>
                <w:rFonts w:hint="eastAsia" w:ascii="宋体" w:hAnsi="宋体" w:eastAsia="宋体" w:cs="宋体"/>
                <w:w w:val="99"/>
                <w:sz w:val="21"/>
                <w:szCs w:val="21"/>
                <w:highlight w:val="none"/>
              </w:rPr>
              <w:t>2.2.3</w:t>
            </w:r>
          </w:p>
        </w:tc>
        <w:tc>
          <w:tcPr>
            <w:tcW w:w="14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2" w:leftChars="20" w:right="42" w:rightChars="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投标报价的偏差率计算公式</w:t>
            </w:r>
          </w:p>
        </w:tc>
        <w:tc>
          <w:tcPr>
            <w:tcW w:w="584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偏差率=100% × ︱（有效投标报价 -评标基准价）︱/评标基准价</w:t>
            </w:r>
          </w:p>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color w:val="auto"/>
                <w:highlight w:val="none"/>
                <w:u w:val="single"/>
              </w:rPr>
              <w:t>（偏差率出现小数点时，保留小数点后2位，第三位小数四舍五入）。</w:t>
            </w:r>
          </w:p>
          <w:p>
            <w:pPr>
              <w:adjustRightInd w:val="0"/>
              <w:snapToGrid w:val="0"/>
              <w:spacing w:line="360" w:lineRule="auto"/>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注：有效投标报价为通过初步评审经算术错误修正后的核准报价（投标总报价）。</w:t>
            </w:r>
          </w:p>
        </w:tc>
      </w:tr>
    </w:tbl>
    <w:p>
      <w:pPr>
        <w:keepNext w:val="0"/>
        <w:keepLines w:val="0"/>
        <w:pageBreakBefore w:val="0"/>
        <w:widowControl w:val="0"/>
        <w:kinsoku/>
        <w:wordWrap/>
        <w:overflowPunct/>
        <w:topLinePunct w:val="0"/>
        <w:autoSpaceDE/>
        <w:autoSpaceDN/>
        <w:bidi w:val="0"/>
        <w:adjustRightInd/>
        <w:snapToGrid/>
        <w:ind w:firstLine="0"/>
        <w:jc w:val="center"/>
        <w:textAlignment w:val="auto"/>
        <w:outlineLvl w:val="1"/>
        <w:rPr>
          <w:rFonts w:hAnsi="宋体"/>
          <w:b/>
          <w:sz w:val="28"/>
          <w:szCs w:val="28"/>
          <w:highlight w:val="none"/>
        </w:rPr>
      </w:pPr>
      <w:r>
        <w:rPr>
          <w:rFonts w:hAnsi="宋体"/>
          <w:highlight w:val="none"/>
        </w:rPr>
        <w:br w:type="page"/>
      </w:r>
      <w:r>
        <w:rPr>
          <w:rFonts w:hint="eastAsia" w:hAnsi="宋体"/>
          <w:b/>
          <w:sz w:val="28"/>
          <w:szCs w:val="28"/>
          <w:highlight w:val="none"/>
        </w:rPr>
        <w:t>综合评分表</w:t>
      </w:r>
    </w:p>
    <w:tbl>
      <w:tblPr>
        <w:tblStyle w:val="14"/>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65"/>
        <w:gridCol w:w="1590"/>
        <w:gridCol w:w="5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89" w:type="dxa"/>
            <w:gridSpan w:val="2"/>
          </w:tcPr>
          <w:p>
            <w:pPr>
              <w:kinsoku w:val="0"/>
              <w:overflowPunct w:val="0"/>
              <w:adjustRightInd w:val="0"/>
              <w:snapToGrid w:val="0"/>
              <w:spacing w:line="360" w:lineRule="auto"/>
              <w:ind w:left="19"/>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条款号</w:t>
            </w:r>
          </w:p>
        </w:tc>
        <w:tc>
          <w:tcPr>
            <w:tcW w:w="1590" w:type="dxa"/>
          </w:tcPr>
          <w:p>
            <w:pPr>
              <w:kinsoku w:val="0"/>
              <w:overflowPunct w:val="0"/>
              <w:adjustRightInd w:val="0"/>
              <w:snapToGrid w:val="0"/>
              <w:spacing w:line="360" w:lineRule="auto"/>
              <w:ind w:left="42" w:leftChars="20" w:right="42" w:rightChars="20"/>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评分因素</w:t>
            </w:r>
          </w:p>
        </w:tc>
        <w:tc>
          <w:tcPr>
            <w:tcW w:w="5889" w:type="dxa"/>
          </w:tcPr>
          <w:p>
            <w:pPr>
              <w:kinsoku w:val="0"/>
              <w:overflowPunct w:val="0"/>
              <w:adjustRightInd w:val="0"/>
              <w:snapToGrid w:val="0"/>
              <w:spacing w:line="360" w:lineRule="auto"/>
              <w:ind w:left="42" w:leftChars="20" w:right="42" w:rightChars="20"/>
              <w:jc w:val="center"/>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4" w:hRule="atLeast"/>
          <w:jc w:val="center"/>
        </w:trPr>
        <w:tc>
          <w:tcPr>
            <w:tcW w:w="824" w:type="dxa"/>
            <w:vMerge w:val="restart"/>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w:t>
            </w:r>
            <w:r>
              <w:rPr>
                <w:rFonts w:hint="eastAsia" w:ascii="宋体" w:hAnsi="宋体" w:eastAsia="宋体" w:cs="宋体"/>
                <w:color w:val="auto"/>
                <w:sz w:val="21"/>
                <w:szCs w:val="21"/>
                <w:highlight w:val="none"/>
                <w:lang w:eastAsia="en-US"/>
              </w:rPr>
              <w:t>1）</w:t>
            </w:r>
          </w:p>
        </w:tc>
        <w:tc>
          <w:tcPr>
            <w:tcW w:w="1065" w:type="dxa"/>
            <w:vMerge w:val="restart"/>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 评分</w:t>
            </w:r>
            <w:r>
              <w:rPr>
                <w:rFonts w:hint="eastAsia" w:ascii="宋体" w:hAnsi="宋体" w:eastAsia="宋体" w:cs="宋体"/>
                <w:color w:val="auto"/>
                <w:spacing w:val="-3"/>
                <w:sz w:val="21"/>
                <w:szCs w:val="21"/>
                <w:highlight w:val="none"/>
              </w:rPr>
              <w:t>标</w:t>
            </w:r>
            <w:r>
              <w:rPr>
                <w:rFonts w:hint="eastAsia" w:ascii="宋体" w:hAnsi="宋体" w:eastAsia="宋体" w:cs="宋体"/>
                <w:color w:val="auto"/>
                <w:sz w:val="21"/>
                <w:szCs w:val="21"/>
                <w:highlight w:val="none"/>
              </w:rPr>
              <w:t>准</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159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w:t>
            </w:r>
          </w:p>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889" w:type="dxa"/>
            <w:vAlign w:val="center"/>
          </w:tcPr>
          <w:p>
            <w:pPr>
              <w:spacing w:line="240" w:lineRule="auto"/>
              <w:ind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投标人同时具备质量管理体系认证、职业健康安全管理体系认证、环境管理体系认证、信息安全管理体系认证、供应商综合实力评价认证、</w:t>
            </w:r>
            <w:r>
              <w:rPr>
                <w:rFonts w:hint="eastAsia" w:ascii="宋体" w:hAnsi="宋体" w:eastAsia="宋体" w:cs="宋体"/>
                <w:b w:val="0"/>
                <w:bCs w:val="0"/>
                <w:color w:val="auto"/>
                <w:szCs w:val="21"/>
                <w:highlight w:val="none"/>
              </w:rPr>
              <w:t>企业诚信管理体系认证</w:t>
            </w:r>
            <w:r>
              <w:rPr>
                <w:rFonts w:hint="eastAsia" w:ascii="宋体" w:hAnsi="宋体" w:eastAsia="宋体" w:cs="宋体"/>
                <w:i w:val="0"/>
                <w:iCs w:val="0"/>
                <w:color w:val="auto"/>
                <w:szCs w:val="21"/>
                <w:highlight w:val="none"/>
              </w:rPr>
              <w:t>证书且在有效期内的，得</w:t>
            </w:r>
            <w:r>
              <w:rPr>
                <w:rFonts w:hint="eastAsia" w:ascii="宋体" w:hAnsi="宋体" w:eastAsia="宋体" w:cs="宋体"/>
                <w:i w:val="0"/>
                <w:iCs w:val="0"/>
                <w:color w:val="auto"/>
                <w:szCs w:val="21"/>
                <w:highlight w:val="none"/>
                <w:lang w:val="en-US" w:eastAsia="zh-CN"/>
              </w:rPr>
              <w:t>3</w:t>
            </w:r>
            <w:r>
              <w:rPr>
                <w:rFonts w:hint="eastAsia" w:ascii="宋体" w:hAnsi="宋体" w:eastAsia="宋体" w:cs="宋体"/>
                <w:i w:val="0"/>
                <w:iCs w:val="0"/>
                <w:color w:val="auto"/>
                <w:szCs w:val="21"/>
                <w:highlight w:val="none"/>
              </w:rPr>
              <w:t>分；具备上述其中</w:t>
            </w:r>
            <w:r>
              <w:rPr>
                <w:rFonts w:hint="eastAsia" w:ascii="宋体" w:hAnsi="宋体" w:eastAsia="宋体" w:cs="宋体"/>
                <w:i w:val="0"/>
                <w:iCs w:val="0"/>
                <w:color w:val="auto"/>
                <w:szCs w:val="21"/>
                <w:highlight w:val="none"/>
                <w:lang w:val="en-US" w:eastAsia="zh-CN"/>
              </w:rPr>
              <w:t>五</w:t>
            </w:r>
            <w:r>
              <w:rPr>
                <w:rFonts w:hint="eastAsia" w:ascii="宋体" w:hAnsi="宋体" w:eastAsia="宋体" w:cs="宋体"/>
                <w:i w:val="0"/>
                <w:iCs w:val="0"/>
                <w:color w:val="auto"/>
                <w:szCs w:val="21"/>
                <w:highlight w:val="none"/>
              </w:rPr>
              <w:t>项认证且在有效期内的，得</w:t>
            </w:r>
            <w:r>
              <w:rPr>
                <w:rFonts w:hint="eastAsia" w:ascii="宋体" w:hAnsi="宋体" w:eastAsia="宋体" w:cs="宋体"/>
                <w:i w:val="0"/>
                <w:iCs w:val="0"/>
                <w:color w:val="auto"/>
                <w:szCs w:val="21"/>
                <w:highlight w:val="none"/>
                <w:lang w:val="en-US" w:eastAsia="zh-CN"/>
              </w:rPr>
              <w:t>2</w:t>
            </w:r>
            <w:r>
              <w:rPr>
                <w:rFonts w:hint="eastAsia" w:ascii="宋体" w:hAnsi="宋体" w:eastAsia="宋体" w:cs="宋体"/>
                <w:i w:val="0"/>
                <w:iCs w:val="0"/>
                <w:color w:val="auto"/>
                <w:szCs w:val="21"/>
                <w:highlight w:val="none"/>
              </w:rPr>
              <w:t>分；具备上述其中的</w:t>
            </w:r>
            <w:r>
              <w:rPr>
                <w:rFonts w:hint="eastAsia" w:ascii="宋体" w:hAnsi="宋体" w:eastAsia="宋体" w:cs="宋体"/>
                <w:i w:val="0"/>
                <w:iCs w:val="0"/>
                <w:color w:val="auto"/>
                <w:szCs w:val="21"/>
                <w:highlight w:val="none"/>
                <w:lang w:val="en-US" w:eastAsia="zh-CN"/>
              </w:rPr>
              <w:t>四</w:t>
            </w:r>
            <w:r>
              <w:rPr>
                <w:rFonts w:hint="eastAsia" w:ascii="宋体" w:hAnsi="宋体" w:eastAsia="宋体" w:cs="宋体"/>
                <w:i w:val="0"/>
                <w:iCs w:val="0"/>
                <w:color w:val="auto"/>
                <w:szCs w:val="21"/>
                <w:highlight w:val="none"/>
              </w:rPr>
              <w:t>项认证且在有效期内的，得</w:t>
            </w:r>
            <w:r>
              <w:rPr>
                <w:rFonts w:hint="eastAsia" w:ascii="宋体" w:hAnsi="宋体" w:eastAsia="宋体" w:cs="宋体"/>
                <w:i w:val="0"/>
                <w:iCs w:val="0"/>
                <w:color w:val="auto"/>
                <w:szCs w:val="21"/>
                <w:highlight w:val="none"/>
                <w:lang w:val="en-US" w:eastAsia="zh-CN"/>
              </w:rPr>
              <w:t>1</w:t>
            </w:r>
            <w:r>
              <w:rPr>
                <w:rFonts w:hint="eastAsia" w:ascii="宋体" w:hAnsi="宋体" w:eastAsia="宋体" w:cs="宋体"/>
                <w:i w:val="0"/>
                <w:iCs w:val="0"/>
                <w:color w:val="auto"/>
                <w:szCs w:val="21"/>
                <w:highlight w:val="none"/>
              </w:rPr>
              <w:t>分</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lang w:val="en-US" w:eastAsia="zh-CN"/>
              </w:rPr>
              <w:t>具有三项或以下的，得0分</w:t>
            </w:r>
            <w:r>
              <w:rPr>
                <w:rFonts w:hint="eastAsia" w:ascii="宋体" w:hAnsi="宋体" w:eastAsia="宋体" w:cs="宋体"/>
                <w:i w:val="0"/>
                <w:iCs w:val="0"/>
                <w:color w:val="auto"/>
                <w:szCs w:val="21"/>
                <w:highlight w:val="none"/>
              </w:rPr>
              <w:t>。</w:t>
            </w:r>
          </w:p>
          <w:p>
            <w:pPr>
              <w:adjustRightInd w:val="0"/>
              <w:snapToGrid w:val="0"/>
              <w:spacing w:line="360" w:lineRule="auto"/>
              <w:ind w:right="42" w:rightChars="20" w:firstLine="422" w:firstLineChars="200"/>
              <w:jc w:val="left"/>
              <w:rPr>
                <w:rFonts w:hint="eastAsia" w:ascii="宋体" w:hAnsi="宋体" w:eastAsia="宋体" w:cs="宋体"/>
                <w:color w:val="auto"/>
                <w:spacing w:val="-3"/>
                <w:sz w:val="21"/>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需提供相关有效证明文件扫描件并加盖投标人公章，证书有效性在国家认证认可监督管理委员会官网（https://www.cnca.gov.cn/）查询有效，并提供网页截图</w:t>
            </w:r>
            <w:r>
              <w:rPr>
                <w:rFonts w:hint="eastAsia" w:ascii="宋体" w:hAnsi="宋体" w:eastAsia="宋体" w:cs="宋体"/>
                <w:b/>
                <w:bCs/>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2" w:hRule="atLeast"/>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color w:val="auto"/>
                <w:kern w:val="2"/>
                <w:sz w:val="21"/>
                <w:szCs w:val="21"/>
                <w:highlight w:val="none"/>
                <w:lang w:val="en-US" w:eastAsia="zh-CN" w:bidi="ar-SA"/>
              </w:rPr>
              <w:t>诚信纳税（8分）</w:t>
            </w:r>
          </w:p>
        </w:tc>
        <w:tc>
          <w:tcPr>
            <w:tcW w:w="5889" w:type="dxa"/>
            <w:vAlign w:val="center"/>
          </w:tcPr>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投标人至今（须包括最近评审年份）获得“纳税信用等级A级纳税人”称号情况</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称号次数排名，第一名得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分，第二名得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分，第三名得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分，第四名及以下得1分，没有的不得分</w:t>
            </w:r>
            <w:r>
              <w:rPr>
                <w:rFonts w:hint="eastAsia" w:ascii="宋体" w:hAnsi="宋体" w:eastAsia="宋体" w:cs="宋体"/>
                <w:color w:val="auto"/>
                <w:highlight w:val="none"/>
              </w:rPr>
              <w:t>。</w:t>
            </w:r>
          </w:p>
          <w:p>
            <w:pPr>
              <w:adjustRightInd w:val="0"/>
              <w:snapToGrid w:val="0"/>
              <w:spacing w:line="276" w:lineRule="auto"/>
              <w:ind w:right="42" w:rightChars="20" w:firstLine="0" w:firstLineChars="0"/>
              <w:rPr>
                <w:rFonts w:hint="eastAsia" w:ascii="宋体" w:hAnsi="宋体" w:eastAsia="宋体" w:cs="宋体"/>
                <w:color w:val="auto"/>
                <w:highlight w:val="none"/>
              </w:rPr>
            </w:pPr>
          </w:p>
          <w:p>
            <w:pPr>
              <w:adjustRightInd w:val="0"/>
              <w:snapToGrid w:val="0"/>
              <w:spacing w:line="276" w:lineRule="auto"/>
              <w:ind w:right="42" w:rightChars="2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注：（1）最近评审年份是指202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年度</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获得次数相同的投标单位，按同一排名计分，不占用名次。</w:t>
            </w:r>
          </w:p>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（2）需提供税务部门颁发的证书扫描件或电子证书或以“国家税务总局”官网（http：//www.chinatax.gov.cn/index.html）的查询结果网页截图并加盖公章，获奖时间以获得年度为准，未按上述要求提供资料的不得分。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spacing w:line="360" w:lineRule="auto"/>
              <w:ind w:left="160" w:leftChars="76" w:right="149" w:rightChars="71"/>
              <w:jc w:val="center"/>
              <w:rPr>
                <w:rFonts w:hint="eastAsia" w:ascii="宋体" w:hAnsi="宋体"/>
                <w:color w:val="auto"/>
                <w:szCs w:val="21"/>
                <w:highlight w:val="none"/>
              </w:rPr>
            </w:pPr>
            <w:r>
              <w:rPr>
                <w:rFonts w:hint="eastAsia" w:ascii="宋体" w:hAnsi="宋体"/>
                <w:color w:val="auto"/>
                <w:szCs w:val="21"/>
                <w:highlight w:val="none"/>
              </w:rPr>
              <w:t>企业业绩</w:t>
            </w:r>
          </w:p>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5889" w:type="dxa"/>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2020年1月1 日至今承接过建筑工程单项工程造价</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亿元</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以上的工程造价咨询服务业绩的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每项得2分,最多得8分。</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其他不得分。以上合计最多得8分。</w:t>
            </w:r>
          </w:p>
          <w:p>
            <w:pPr>
              <w:spacing w:line="360" w:lineRule="auto"/>
              <w:ind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造价咨询合同（或委托书）和咨询成果文件原件扫描件。咨询成果文件可以是经业主确认的咨询报告或定案表或业主评价意见表等，业绩时间及金额均以成果文件为准，证明材料不能反映项目金额和工作内容的需要另提供相关的证明文件，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spacing w:line="360" w:lineRule="auto"/>
              <w:ind w:left="160" w:leftChars="76" w:right="149" w:rightChars="71"/>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项目负责人</w:t>
            </w:r>
            <w:r>
              <w:rPr>
                <w:rFonts w:hint="eastAsia" w:ascii="宋体" w:hAnsi="宋体"/>
                <w:color w:val="auto"/>
                <w:szCs w:val="21"/>
                <w:highlight w:val="none"/>
                <w:lang w:val="en-US" w:eastAsia="zh-CN"/>
              </w:rPr>
              <w:t>综合实力</w:t>
            </w:r>
          </w:p>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5889" w:type="dxa"/>
            <w:vMerge w:val="restart"/>
            <w:vAlign w:val="center"/>
          </w:tcPr>
          <w:p>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项目负责人具有高级工程师</w:t>
            </w:r>
            <w:r>
              <w:rPr>
                <w:rFonts w:hint="eastAsia" w:ascii="宋体" w:hAnsi="宋体" w:eastAsia="宋体" w:cs="宋体"/>
                <w:color w:val="auto"/>
                <w:sz w:val="21"/>
                <w:szCs w:val="21"/>
                <w:highlight w:val="none"/>
                <w:lang w:val="en-US" w:eastAsia="zh-CN"/>
              </w:rPr>
              <w:t>或以上技术职称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得3分，</w:t>
            </w:r>
            <w:r>
              <w:rPr>
                <w:rFonts w:hint="eastAsia" w:ascii="宋体" w:hAnsi="宋体" w:eastAsia="宋体" w:cs="宋体"/>
                <w:color w:val="auto"/>
                <w:sz w:val="21"/>
                <w:szCs w:val="21"/>
                <w:highlight w:val="none"/>
                <w:lang w:val="en-US" w:eastAsia="zh-CN"/>
              </w:rPr>
              <w:t>具有工程师中级技术职称的，得1分，</w:t>
            </w:r>
            <w:r>
              <w:rPr>
                <w:rFonts w:hint="eastAsia" w:ascii="宋体" w:hAnsi="宋体" w:eastAsia="宋体" w:cs="宋体"/>
                <w:color w:val="auto"/>
                <w:sz w:val="21"/>
                <w:szCs w:val="21"/>
                <w:highlight w:val="none"/>
              </w:rPr>
              <w:t>最多得3分；</w:t>
            </w:r>
          </w:p>
          <w:p>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项目负责人具有</w:t>
            </w:r>
            <w:r>
              <w:rPr>
                <w:rFonts w:hint="default" w:ascii="Calibri" w:hAnsi="Calibri" w:cs="Calibri"/>
                <w:color w:val="auto"/>
                <w:szCs w:val="21"/>
                <w:highlight w:val="none"/>
                <w:lang w:val="en-US" w:eastAsia="zh-CN"/>
              </w:rPr>
              <w:fldChar w:fldCharType="begin"/>
            </w:r>
            <w:r>
              <w:rPr>
                <w:rFonts w:hint="default" w:ascii="Calibri" w:hAnsi="Calibri" w:cs="Calibri"/>
                <w:color w:val="auto"/>
                <w:szCs w:val="21"/>
                <w:highlight w:val="none"/>
                <w:lang w:val="en-US" w:eastAsia="zh-CN"/>
              </w:rPr>
              <w:instrText xml:space="preserve"> = 1 \* GB3 \* MERGEFORMAT </w:instrText>
            </w:r>
            <w:r>
              <w:rPr>
                <w:rFonts w:hint="default" w:ascii="Calibri" w:hAnsi="Calibri" w:cs="Calibri"/>
                <w:color w:val="auto"/>
                <w:szCs w:val="21"/>
                <w:highlight w:val="none"/>
                <w:lang w:val="en-US" w:eastAsia="zh-CN"/>
              </w:rPr>
              <w:fldChar w:fldCharType="separate"/>
            </w:r>
            <w:r>
              <w:rPr>
                <w:color w:val="auto"/>
                <w:highlight w:val="none"/>
              </w:rPr>
              <w:t>①</w:t>
            </w:r>
            <w:r>
              <w:rPr>
                <w:rFonts w:hint="default" w:ascii="Calibri" w:hAnsi="Calibri" w:cs="Calibri"/>
                <w:color w:val="auto"/>
                <w:szCs w:val="21"/>
                <w:highlight w:val="none"/>
                <w:lang w:val="en-US" w:eastAsia="zh-CN"/>
              </w:rPr>
              <w:fldChar w:fldCharType="end"/>
            </w:r>
            <w:r>
              <w:rPr>
                <w:rFonts w:hint="eastAsia" w:ascii="宋体" w:hAnsi="宋体" w:cs="宋体"/>
                <w:color w:val="auto"/>
                <w:szCs w:val="21"/>
                <w:highlight w:val="none"/>
                <w:lang w:val="en-US" w:eastAsia="zh-CN"/>
              </w:rPr>
              <w:t>注册监理工程师、或</w:t>
            </w:r>
            <w:r>
              <w:rPr>
                <w:rFonts w:hint="default" w:ascii="Calibri" w:hAnsi="Calibri" w:cs="Calibri"/>
                <w:color w:val="auto"/>
                <w:szCs w:val="21"/>
                <w:highlight w:val="none"/>
                <w:lang w:val="en-US" w:eastAsia="zh-CN"/>
              </w:rPr>
              <w:fldChar w:fldCharType="begin"/>
            </w:r>
            <w:r>
              <w:rPr>
                <w:rFonts w:hint="default" w:ascii="Calibri" w:hAnsi="Calibri" w:cs="Calibri"/>
                <w:color w:val="auto"/>
                <w:szCs w:val="21"/>
                <w:highlight w:val="none"/>
                <w:lang w:val="en-US" w:eastAsia="zh-CN"/>
              </w:rPr>
              <w:instrText xml:space="preserve"> = 2 \* GB3 \* MERGEFORMAT </w:instrText>
            </w:r>
            <w:r>
              <w:rPr>
                <w:rFonts w:hint="default" w:ascii="Calibri" w:hAnsi="Calibri" w:cs="Calibri"/>
                <w:color w:val="auto"/>
                <w:szCs w:val="21"/>
                <w:highlight w:val="none"/>
                <w:lang w:val="en-US" w:eastAsia="zh-CN"/>
              </w:rPr>
              <w:fldChar w:fldCharType="separate"/>
            </w:r>
            <w:r>
              <w:rPr>
                <w:color w:val="auto"/>
                <w:highlight w:val="none"/>
              </w:rPr>
              <w:t>②</w:t>
            </w:r>
            <w:r>
              <w:rPr>
                <w:rFonts w:hint="default" w:ascii="Calibri" w:hAnsi="Calibri" w:cs="Calibri"/>
                <w:color w:val="auto"/>
                <w:szCs w:val="21"/>
                <w:highlight w:val="none"/>
                <w:lang w:val="en-US" w:eastAsia="zh-CN"/>
              </w:rPr>
              <w:fldChar w:fldCharType="end"/>
            </w:r>
            <w:r>
              <w:rPr>
                <w:rFonts w:hint="eastAsia" w:ascii="宋体" w:hAnsi="宋体" w:cs="宋体"/>
                <w:color w:val="auto"/>
                <w:szCs w:val="21"/>
                <w:highlight w:val="none"/>
                <w:lang w:val="en-US" w:eastAsia="zh-CN"/>
              </w:rPr>
              <w:t>注册建造师（建筑工程）、或</w:t>
            </w:r>
            <w:r>
              <w:rPr>
                <w:rFonts w:hint="default" w:ascii="Calibri" w:hAnsi="Calibri" w:cs="Calibri"/>
                <w:color w:val="auto"/>
                <w:szCs w:val="21"/>
                <w:highlight w:val="none"/>
                <w:lang w:val="en-US" w:eastAsia="zh-CN"/>
              </w:rPr>
              <w:fldChar w:fldCharType="begin"/>
            </w:r>
            <w:r>
              <w:rPr>
                <w:rFonts w:hint="default" w:ascii="Calibri" w:hAnsi="Calibri" w:cs="Calibri"/>
                <w:color w:val="auto"/>
                <w:szCs w:val="21"/>
                <w:highlight w:val="none"/>
                <w:lang w:val="en-US" w:eastAsia="zh-CN"/>
              </w:rPr>
              <w:instrText xml:space="preserve"> = 3 \* GB3 \* MERGEFORMAT </w:instrText>
            </w:r>
            <w:r>
              <w:rPr>
                <w:rFonts w:hint="default" w:ascii="Calibri" w:hAnsi="Calibri" w:cs="Calibri"/>
                <w:color w:val="auto"/>
                <w:szCs w:val="21"/>
                <w:highlight w:val="none"/>
                <w:lang w:val="en-US" w:eastAsia="zh-CN"/>
              </w:rPr>
              <w:fldChar w:fldCharType="separate"/>
            </w:r>
            <w:r>
              <w:rPr>
                <w:color w:val="auto"/>
                <w:highlight w:val="none"/>
              </w:rPr>
              <w:t>③</w:t>
            </w:r>
            <w:r>
              <w:rPr>
                <w:rFonts w:hint="default" w:ascii="Calibri" w:hAnsi="Calibri" w:cs="Calibri"/>
                <w:color w:val="auto"/>
                <w:szCs w:val="21"/>
                <w:highlight w:val="none"/>
                <w:lang w:val="en-US" w:eastAsia="zh-CN"/>
              </w:rPr>
              <w:fldChar w:fldCharType="end"/>
            </w:r>
            <w:r>
              <w:rPr>
                <w:rFonts w:hint="eastAsia" w:ascii="Calibri" w:hAnsi="Calibri" w:cs="Calibri"/>
                <w:color w:val="auto"/>
                <w:szCs w:val="21"/>
                <w:highlight w:val="none"/>
                <w:lang w:val="en-US" w:eastAsia="zh-CN"/>
              </w:rPr>
              <w:t>注册</w:t>
            </w:r>
            <w:r>
              <w:rPr>
                <w:rFonts w:hint="eastAsia" w:ascii="宋体" w:hAnsi="宋体" w:cs="宋体"/>
                <w:color w:val="auto"/>
                <w:szCs w:val="21"/>
                <w:highlight w:val="none"/>
                <w:lang w:val="en-US" w:eastAsia="zh-CN"/>
              </w:rPr>
              <w:t>建筑师执业资格证书，上述1至3个证书中，每具有一个证书得3分，最多得9分。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、项目负责人2020年1月1日至今作为项目负责人负责过建筑工程单项工程造价</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亿元及以上的工程造价咨询服务业绩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每项得1分，最多得3分。</w:t>
            </w:r>
          </w:p>
          <w:p>
            <w:pPr>
              <w:spacing w:line="360" w:lineRule="auto"/>
              <w:ind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项目负责人造价咨询业绩应提供盖有个人造价师注册章及业主公章的相关材料扫描件。相关材料：提供咨询合同（或委托书）和咨询成果文件原件扫描件。咨询成果文件可以是经业主确认的咨询报告或定案表或业主评价意见表等，业绩时间及金额均以成果文件为准，证明材料不能反映项目金额和工作内容的需要另提供相关的证明文件，并提供连续三</w:t>
            </w:r>
            <w:bookmarkStart w:id="299" w:name="_GoBack"/>
            <w:bookmarkEnd w:id="299"/>
            <w:r>
              <w:rPr>
                <w:rFonts w:hint="eastAsia" w:ascii="宋体" w:hAnsi="宋体" w:eastAsia="宋体" w:cs="宋体"/>
                <w:b/>
                <w:bCs/>
                <w:color w:val="auto"/>
                <w:sz w:val="21"/>
                <w:szCs w:val="21"/>
                <w:highlight w:val="none"/>
              </w:rPr>
              <w:t>个月（2025年4</w:t>
            </w:r>
            <w:r>
              <w:rPr>
                <w:rFonts w:hint="eastAsia" w:ascii="宋体" w:hAnsi="宋体" w:eastAsia="宋体" w:cs="宋体"/>
                <w:b/>
                <w:bCs/>
                <w:color w:val="auto"/>
                <w:sz w:val="21"/>
                <w:szCs w:val="21"/>
                <w:highlight w:val="none"/>
                <w:lang w:val="en-US" w:eastAsia="zh-CN"/>
              </w:rPr>
              <w:t>月</w:t>
            </w:r>
            <w:r>
              <w:rPr>
                <w:rFonts w:hint="eastAsia" w:ascii="宋体" w:hAnsi="宋体" w:eastAsia="宋体" w:cs="宋体"/>
                <w:b/>
                <w:bCs/>
                <w:color w:val="auto"/>
                <w:sz w:val="21"/>
                <w:szCs w:val="21"/>
                <w:highlight w:val="none"/>
              </w:rPr>
              <w:t>-2025年6月）在投标单位的社保缴纳证明等扫描件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7" w:hRule="atLeast"/>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p>
        </w:tc>
        <w:tc>
          <w:tcPr>
            <w:tcW w:w="5889" w:type="dxa"/>
            <w:vMerge w:val="continue"/>
            <w:vAlign w:val="center"/>
          </w:tcPr>
          <w:p>
            <w:pPr>
              <w:spacing w:line="360" w:lineRule="auto"/>
              <w:ind w:firstLine="210" w:firstLineChars="10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spacing w:line="360" w:lineRule="auto"/>
              <w:ind w:left="160" w:leftChars="76" w:right="149" w:rightChars="71"/>
              <w:jc w:val="center"/>
              <w:rPr>
                <w:rFonts w:hint="eastAsia" w:ascii="宋体" w:hAnsi="宋体" w:cs="宋体"/>
                <w:color w:val="auto"/>
                <w:highlight w:val="none"/>
              </w:rPr>
            </w:pPr>
            <w:r>
              <w:rPr>
                <w:rFonts w:hint="eastAsia" w:ascii="宋体" w:hAnsi="宋体" w:cs="宋体"/>
                <w:color w:val="auto"/>
                <w:highlight w:val="none"/>
              </w:rPr>
              <w:t>投入该项目的人员配备</w:t>
            </w:r>
          </w:p>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分）</w:t>
            </w:r>
          </w:p>
        </w:tc>
        <w:tc>
          <w:tcPr>
            <w:tcW w:w="5889" w:type="dxa"/>
            <w:vAlign w:val="center"/>
          </w:tcPr>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投标人派出的项目管理架构需满足《造价咨询单位投入本项目人员要求表》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不满足以下小项均不得分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满足基本要求基础上：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（1）每增加一名具有土建专业注册造价工程师或注册一级造价工程师的得1分，最多得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（3）每增加一名具有安装专业注册造价工程师或注册一级造价工程师的得1分，最多得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（4）每增加一名具有软件工程造价师的得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（5）协助竣工决算工程师具有注册会计师执业资格证书得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（6）拟投入专业工程师中具有一级注册造价工程</w:t>
            </w:r>
            <w:r>
              <w:rPr>
                <w:rFonts w:hint="eastAsia" w:ascii="宋体" w:hAnsi="宋体" w:eastAsia="宋体" w:cs="宋体"/>
                <w:color w:val="auto"/>
                <w:sz w:val="21"/>
                <w:szCs w:val="21"/>
                <w:highlight w:val="none"/>
                <w:lang w:val="en-US" w:eastAsia="zh-CN"/>
              </w:rPr>
              <w:t>师</w:t>
            </w:r>
            <w:r>
              <w:rPr>
                <w:rFonts w:hint="eastAsia" w:ascii="宋体" w:hAnsi="宋体" w:eastAsia="宋体" w:cs="宋体"/>
                <w:color w:val="auto"/>
                <w:sz w:val="21"/>
                <w:szCs w:val="21"/>
                <w:highlight w:val="none"/>
              </w:rPr>
              <w:t>和一级注册结构工程师执业证书的得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注：需提供注册造价工程师注册证、执（职）业资格证书、注册会计师执业资格证书、注册结构工程执业证书、个人职称证书，并提供连续三个月（2025年4</w:t>
            </w:r>
            <w:r>
              <w:rPr>
                <w:rFonts w:hint="eastAsia" w:ascii="宋体" w:hAnsi="宋体" w:eastAsia="宋体" w:cs="宋体"/>
                <w:b/>
                <w:bCs/>
                <w:color w:val="auto"/>
                <w:sz w:val="21"/>
                <w:szCs w:val="21"/>
                <w:highlight w:val="none"/>
                <w:lang w:val="en-US" w:eastAsia="zh-CN"/>
              </w:rPr>
              <w:t>月</w:t>
            </w:r>
            <w:r>
              <w:rPr>
                <w:rFonts w:hint="eastAsia" w:ascii="宋体" w:hAnsi="宋体" w:eastAsia="宋体" w:cs="宋体"/>
                <w:b/>
                <w:bCs/>
                <w:color w:val="auto"/>
                <w:sz w:val="21"/>
                <w:szCs w:val="21"/>
                <w:highlight w:val="none"/>
              </w:rPr>
              <w:t>-2025年6月）在投标单位的社保缴纳证明等扫描件，否则不得分。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p>
            <w:pPr>
              <w:adjustRightInd w:val="0"/>
              <w:snapToGrid w:val="0"/>
              <w:spacing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投标人获得过的专业技术能力（提供工程投资或工程项目管理或工程造价相关技术专利证书或软件著作权登记证书扫描件并盖章），每项得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ind w:firstLine="211" w:firstLineChars="100"/>
              <w:rPr>
                <w:rFonts w:hint="eastAsia"/>
                <w:color w:val="auto"/>
                <w:highlight w:val="none"/>
              </w:rPr>
            </w:pPr>
            <w:r>
              <w:rPr>
                <w:rFonts w:hint="eastAsia" w:ascii="宋体" w:hAnsi="宋体" w:eastAsia="宋体" w:cs="宋体"/>
                <w:b/>
                <w:bCs/>
                <w:color w:val="auto"/>
                <w:sz w:val="21"/>
                <w:szCs w:val="21"/>
                <w:highlight w:val="none"/>
              </w:rPr>
              <w:t>【注：相关证明材料需体现投标单位名称，时间以专利证书上的颁发日期为准，不符合要求的不得分。】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restart"/>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w:t>
            </w:r>
            <w:r>
              <w:rPr>
                <w:rFonts w:hint="eastAsia" w:ascii="宋体" w:hAnsi="宋体" w:eastAsia="宋体" w:cs="宋体"/>
                <w:color w:val="auto"/>
                <w:sz w:val="21"/>
                <w:szCs w:val="21"/>
                <w:highlight w:val="none"/>
                <w:lang w:eastAsia="en-US"/>
              </w:rPr>
              <w:t>2）</w:t>
            </w:r>
          </w:p>
        </w:tc>
        <w:tc>
          <w:tcPr>
            <w:tcW w:w="1065" w:type="dxa"/>
            <w:vMerge w:val="restart"/>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造价咨询服务方案评分标准</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1590" w:type="dxa"/>
            <w:vAlign w:val="center"/>
          </w:tcPr>
          <w:p>
            <w:pPr>
              <w:adjustRightInd/>
              <w:snapToGrid/>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对本项目的理解</w:t>
            </w:r>
          </w:p>
          <w:p>
            <w:pPr>
              <w:adjustRightInd/>
              <w:snapToGrid/>
              <w:spacing w:line="360" w:lineRule="auto"/>
              <w:ind w:left="0" w:leftChars="0" w:right="0" w:righ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889" w:type="dxa"/>
            <w:vAlign w:val="center"/>
          </w:tcPr>
          <w:p>
            <w:pPr>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优[3，2]：对本项目造价咨询工作的理解准确、深入，重点难点剖析到位、合理；</w:t>
            </w:r>
          </w:p>
          <w:p>
            <w:pPr>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良（2，1]：对本项目造价咨询工作的理解较准确、较深入，重点难点剖析较到位、较合理；</w:t>
            </w:r>
          </w:p>
          <w:p>
            <w:pPr>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差（1，0]：对本项目造价咨询工作的理解不够准确、不够深入，重点难点剖析不够到位、不够合理；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造价咨询工作实施方案</w:t>
            </w:r>
          </w:p>
          <w:p>
            <w:pPr>
              <w:adjustRightInd/>
              <w:snapToGrid/>
              <w:spacing w:line="360" w:lineRule="auto"/>
              <w:ind w:left="0" w:leftChars="0" w:right="0" w:righ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w:t>
            </w: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]：实施方案具体、合同，可操作性强，并能有效把握关键节点工作；</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良（</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]：实施方案比较具体、合理，可操作实施，较能把握关键节点工作；</w:t>
            </w:r>
          </w:p>
          <w:p>
            <w:pPr>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]：实施方案不具体，不能把握关键节点工作。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spacing w:line="360" w:lineRule="auto"/>
              <w:ind w:left="0" w:leftChars="0" w:right="0" w:rightChars="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服务的质量控制方法及保证措施</w:t>
            </w:r>
          </w:p>
          <w:p>
            <w:pPr>
              <w:adjustRightInd/>
              <w:snapToGrid/>
              <w:spacing w:line="360" w:lineRule="auto"/>
              <w:ind w:left="0" w:leftChars="0" w:right="0" w:righ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w:t>
            </w: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]：对造价咨询服务工作能提出具体、有效、可行的保证措施，且保证措施全面；</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良</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]：对造价咨询服务工作能提出较有效、可行的保证措施，且保证措施为中等；</w:t>
            </w:r>
          </w:p>
          <w:p>
            <w:pPr>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]：对造价咨询服务工作不能提出基本有效、可行的保证措施。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824" w:type="dxa"/>
            <w:vMerge w:val="continue"/>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autoSpaceDE/>
              <w:adjustRightInd/>
              <w:snapToGrid/>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对本项目的合理化建议（</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w:t>
            </w: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]：合理化建议全面细致，结合实际；</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良</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]：合理化建议比较全面细致，比较结合实际；</w:t>
            </w:r>
          </w:p>
          <w:p>
            <w:pPr>
              <w:autoSpaceDE/>
              <w:autoSpaceDN/>
              <w:adjustRightInd/>
              <w:snapToGrid/>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]：合理化建议不全面细致，不结合实际。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Merge w:val="continue"/>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065" w:type="dxa"/>
            <w:vMerge w:val="continue"/>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tc>
        <w:tc>
          <w:tcPr>
            <w:tcW w:w="1590" w:type="dxa"/>
            <w:vAlign w:val="center"/>
          </w:tcPr>
          <w:p>
            <w:pPr>
              <w:bidi w:val="0"/>
              <w:spacing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造价咨询服务</w:t>
            </w:r>
            <w:r>
              <w:rPr>
                <w:rFonts w:hint="eastAsia" w:ascii="宋体" w:hAnsi="宋体" w:eastAsia="宋体" w:cs="宋体"/>
                <w:color w:val="auto"/>
                <w:szCs w:val="21"/>
                <w:highlight w:val="none"/>
                <w:lang w:val="en-US" w:eastAsia="zh-CN"/>
              </w:rPr>
              <w:t>团队综合比较</w:t>
            </w:r>
          </w:p>
          <w:p>
            <w:pPr>
              <w:autoSpaceDE/>
              <w:adjustRightInd/>
              <w:snapToGrid/>
              <w:spacing w:line="360" w:lineRule="auto"/>
              <w:ind w:left="0" w:leftChars="0" w:right="0" w:righ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优[</w:t>
            </w: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造价咨询服务团队专业横向比较，专业齐全，优于本项目要求；</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良</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造价咨询服务团队专业横向比较，专业较满足本项目要求；</w:t>
            </w:r>
          </w:p>
          <w:p>
            <w:pPr>
              <w:autoSpaceDE/>
              <w:autoSpaceDN/>
              <w:adjustRightInd/>
              <w:snapToGrid/>
              <w:spacing w:line="360" w:lineRule="auto"/>
              <w:ind w:left="0" w:leftChars="0" w:right="0" w:rightChars="0"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造价咨询服务团队专业横向比较，不满足本项目要求</w:t>
            </w:r>
            <w:r>
              <w:rPr>
                <w:rFonts w:hint="eastAsia" w:ascii="宋体" w:hAnsi="宋体" w:eastAsia="宋体" w:cs="宋体"/>
                <w:b w:val="0"/>
                <w:bCs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4" w:type="dxa"/>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bookmarkStart w:id="181" w:name="OLE_LINK3"/>
            <w:r>
              <w:rPr>
                <w:rFonts w:hint="eastAsia" w:ascii="宋体" w:hAnsi="宋体" w:eastAsia="宋体" w:cs="宋体"/>
                <w:color w:val="auto"/>
                <w:sz w:val="21"/>
                <w:szCs w:val="21"/>
                <w:highlight w:val="none"/>
                <w:lang w:eastAsia="en-US"/>
              </w:rPr>
              <w:t>2.2.4</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w:t>
            </w:r>
            <w:r>
              <w:rPr>
                <w:rFonts w:hint="eastAsia" w:ascii="宋体" w:hAnsi="宋体" w:eastAsia="宋体" w:cs="宋体"/>
                <w:color w:val="auto"/>
                <w:sz w:val="21"/>
                <w:szCs w:val="21"/>
                <w:highlight w:val="none"/>
                <w:lang w:eastAsia="en-US"/>
              </w:rPr>
              <w:t>3）</w:t>
            </w:r>
            <w:bookmarkEnd w:id="181"/>
          </w:p>
        </w:tc>
        <w:tc>
          <w:tcPr>
            <w:tcW w:w="1065" w:type="dxa"/>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3"/>
                <w:sz w:val="21"/>
                <w:szCs w:val="21"/>
                <w:highlight w:val="none"/>
              </w:rPr>
              <w:t>报</w:t>
            </w:r>
            <w:r>
              <w:rPr>
                <w:rFonts w:hint="eastAsia" w:ascii="宋体" w:hAnsi="宋体" w:eastAsia="宋体" w:cs="宋体"/>
                <w:color w:val="auto"/>
                <w:sz w:val="21"/>
                <w:szCs w:val="21"/>
                <w:highlight w:val="none"/>
              </w:rPr>
              <w:t>价评分</w:t>
            </w:r>
            <w:r>
              <w:rPr>
                <w:rFonts w:hint="eastAsia" w:ascii="宋体" w:hAnsi="宋体" w:eastAsia="宋体" w:cs="宋体"/>
                <w:color w:val="auto"/>
                <w:spacing w:val="-3"/>
                <w:sz w:val="21"/>
                <w:szCs w:val="21"/>
                <w:highlight w:val="none"/>
              </w:rPr>
              <w:t>标</w:t>
            </w:r>
            <w:r>
              <w:rPr>
                <w:rFonts w:hint="eastAsia" w:ascii="宋体" w:hAnsi="宋体" w:eastAsia="宋体" w:cs="宋体"/>
                <w:color w:val="auto"/>
                <w:sz w:val="21"/>
                <w:szCs w:val="21"/>
                <w:highlight w:val="none"/>
              </w:rPr>
              <w:t>准</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590" w:type="dxa"/>
            <w:vAlign w:val="center"/>
          </w:tcPr>
          <w:p>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投标报价</w:t>
            </w:r>
          </w:p>
          <w:p>
            <w:pPr>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p>
        </w:tc>
        <w:tc>
          <w:tcPr>
            <w:tcW w:w="5889" w:type="dxa"/>
            <w:vAlign w:val="center"/>
          </w:tcPr>
          <w:p>
            <w:pPr>
              <w:spacing w:line="360" w:lineRule="auto"/>
              <w:ind w:left="147" w:leftChars="70"/>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z w:val="21"/>
                <w:szCs w:val="21"/>
                <w:highlight w:val="none"/>
              </w:rPr>
              <w:t>投标报价得分以评标基准价作为计算各有效投标报价得分的基础，当有效投标报价等于评标基准价时得</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分；有效投标报价每高于评标参考价1%扣0.</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分，每低于评标参考价1%扣0.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分，不足1%时按直线内插法计算，最高扣至0分止，计算出报价得分。报价得分四舍五入保留2位小数</w:t>
            </w:r>
            <w:r>
              <w:rPr>
                <w:rFonts w:hint="eastAsia" w:ascii="宋体" w:hAnsi="宋体" w:eastAsia="宋体" w:cs="宋体"/>
                <w:b w:val="0"/>
                <w:bCs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jc w:val="center"/>
        </w:trPr>
        <w:tc>
          <w:tcPr>
            <w:tcW w:w="824" w:type="dxa"/>
            <w:vAlign w:val="center"/>
          </w:tcPr>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w:t>
            </w:r>
          </w:p>
          <w:p>
            <w:pPr>
              <w:kinsoku w:val="0"/>
              <w:overflowPunct w:val="0"/>
              <w:adjustRightInd w:val="0"/>
              <w:snapToGrid w:val="0"/>
              <w:spacing w:line="360" w:lineRule="auto"/>
              <w:ind w:left="19"/>
              <w:jc w:val="center"/>
              <w:rPr>
                <w:rFonts w:hint="eastAsia" w:ascii="宋体" w:hAnsi="宋体" w:eastAsia="宋体" w:cs="宋体"/>
                <w:color w:val="auto"/>
                <w:sz w:val="21"/>
                <w:szCs w:val="21"/>
                <w:highlight w:val="none"/>
                <w:lang w:eastAsia="en-US"/>
              </w:rPr>
            </w:pPr>
          </w:p>
          <w:p>
            <w:pPr>
              <w:kinsoku w:val="0"/>
              <w:overflowPunct w:val="0"/>
              <w:adjustRightInd w:val="0"/>
              <w:snapToGrid w:val="0"/>
              <w:spacing w:line="360" w:lineRule="auto"/>
              <w:ind w:left="19"/>
              <w:jc w:val="center"/>
              <w:rPr>
                <w:rFonts w:hint="eastAsia" w:ascii="宋体" w:hAnsi="宋体" w:eastAsia="宋体" w:cs="宋体"/>
                <w:color w:val="auto"/>
                <w:spacing w:val="-1"/>
                <w:sz w:val="21"/>
                <w:szCs w:val="21"/>
                <w:highlight w:val="none"/>
                <w:lang w:eastAsia="en-US"/>
              </w:rPr>
            </w:pPr>
            <w:r>
              <w:rPr>
                <w:rFonts w:hint="eastAsia" w:ascii="宋体" w:hAnsi="宋体" w:eastAsia="宋体" w:cs="宋体"/>
                <w:color w:val="auto"/>
                <w:spacing w:val="-1"/>
                <w:sz w:val="21"/>
                <w:szCs w:val="21"/>
                <w:highlight w:val="none"/>
                <w:lang w:eastAsia="en-US"/>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en-US"/>
              </w:rPr>
              <w:t>）</w:t>
            </w:r>
          </w:p>
        </w:tc>
        <w:tc>
          <w:tcPr>
            <w:tcW w:w="1065"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bidi="ar"/>
              </w:rPr>
              <w:t>其他因素</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lang w:bidi="ar"/>
              </w:rPr>
              <w:t>评分标准</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分）</w:t>
            </w:r>
          </w:p>
        </w:tc>
        <w:tc>
          <w:tcPr>
            <w:tcW w:w="1590" w:type="dxa"/>
            <w:vAlign w:val="center"/>
          </w:tcPr>
          <w:p>
            <w:pPr>
              <w:widowControl/>
              <w:jc w:val="center"/>
              <w:textAlignment w:val="center"/>
              <w:rPr>
                <w:rFonts w:hint="eastAsia" w:ascii="宋体" w:hAnsi="宋体" w:eastAsia="宋体" w:cs="宋体"/>
                <w:color w:val="auto"/>
                <w:szCs w:val="21"/>
                <w:highlight w:val="none"/>
                <w:u w:val="single"/>
              </w:rPr>
            </w:pPr>
            <w:r>
              <w:rPr>
                <w:rFonts w:hint="eastAsia" w:ascii="宋体" w:hAnsi="宋体" w:cs="宋体"/>
                <w:color w:val="auto"/>
                <w:szCs w:val="21"/>
                <w:highlight w:val="none"/>
              </w:rPr>
              <w:t>企业诚信排名</w:t>
            </w:r>
          </w:p>
        </w:tc>
        <w:tc>
          <w:tcPr>
            <w:tcW w:w="5889" w:type="dxa"/>
            <w:vAlign w:val="center"/>
          </w:tcPr>
          <w:p>
            <w:pPr>
              <w:spacing w:line="360" w:lineRule="exact"/>
              <w:rPr>
                <w:rFonts w:hint="default" w:ascii="宋体" w:hAnsi="宋体" w:cs="宋体" w:eastAsiaTheme="minorEastAsia"/>
                <w:b w:val="0"/>
                <w:bCs w:val="0"/>
                <w:color w:val="auto"/>
                <w:sz w:val="21"/>
                <w:szCs w:val="21"/>
                <w:highlight w:val="none"/>
                <w:lang w:val="en-US" w:eastAsia="zh-CN"/>
              </w:rPr>
            </w:pPr>
            <w:r>
              <w:rPr>
                <w:rFonts w:hint="eastAsia" w:ascii="宋体" w:hAnsi="宋体" w:cs="宋体"/>
                <w:color w:val="auto"/>
                <w:highlight w:val="none"/>
              </w:rPr>
              <w:t>企业的诚信综合评价得分排名以投标截止当日广州市工程招标行业协会网站</w:t>
            </w:r>
            <w:r>
              <w:rPr>
                <w:rFonts w:hint="eastAsia" w:ascii="宋体" w:hAnsi="宋体" w:cs="宋体"/>
                <w:color w:val="auto"/>
                <w:highlight w:val="none"/>
                <w:lang w:val="en-US" w:eastAsia="zh-CN"/>
              </w:rPr>
              <w:t>造价咨询</w:t>
            </w:r>
            <w:r>
              <w:rPr>
                <w:rFonts w:hint="eastAsia" w:ascii="宋体" w:hAnsi="宋体" w:cs="宋体"/>
                <w:color w:val="auto"/>
                <w:highlight w:val="none"/>
              </w:rPr>
              <w:t>企业专栏上公布的企业60日诚信分得分</w:t>
            </w:r>
            <w:r>
              <w:rPr>
                <w:rFonts w:hint="eastAsia" w:ascii="宋体" w:hAnsi="宋体" w:cs="宋体"/>
                <w:color w:val="auto"/>
                <w:highlight w:val="none"/>
                <w:lang w:val="en-US" w:eastAsia="zh-CN"/>
              </w:rPr>
              <w:t>排名</w:t>
            </w:r>
            <w:r>
              <w:rPr>
                <w:rFonts w:hint="eastAsia" w:ascii="宋体" w:hAnsi="宋体" w:cs="宋体"/>
                <w:color w:val="auto"/>
                <w:highlight w:val="none"/>
              </w:rPr>
              <w:t>为准。</w:t>
            </w:r>
            <w:r>
              <w:rPr>
                <w:rFonts w:hint="eastAsia" w:ascii="宋体" w:hAnsi="宋体" w:cs="宋体"/>
                <w:b/>
                <w:color w:val="auto"/>
                <w:highlight w:val="none"/>
              </w:rPr>
              <w:t>投标人诚信综合评价得分</w:t>
            </w:r>
            <w:r>
              <w:rPr>
                <w:rFonts w:hint="eastAsia" w:ascii="宋体" w:hAnsi="宋体" w:cs="宋体"/>
                <w:b/>
                <w:color w:val="auto"/>
                <w:highlight w:val="none"/>
                <w:lang w:val="en-US" w:eastAsia="zh-CN"/>
              </w:rPr>
              <w:t>排名前1-10名的，得5分；</w:t>
            </w:r>
            <w:r>
              <w:rPr>
                <w:rFonts w:hint="eastAsia" w:ascii="宋体" w:hAnsi="宋体" w:cs="宋体"/>
                <w:b/>
                <w:color w:val="auto"/>
                <w:highlight w:val="none"/>
              </w:rPr>
              <w:t>诚信综合评价得分</w:t>
            </w:r>
            <w:r>
              <w:rPr>
                <w:rFonts w:hint="eastAsia" w:ascii="宋体" w:hAnsi="宋体" w:cs="宋体"/>
                <w:b/>
                <w:color w:val="auto"/>
                <w:highlight w:val="none"/>
                <w:lang w:val="en-US" w:eastAsia="zh-CN"/>
              </w:rPr>
              <w:t>排名前11-20名的，得2.5分；</w:t>
            </w:r>
            <w:r>
              <w:rPr>
                <w:rFonts w:hint="eastAsia" w:ascii="宋体" w:hAnsi="宋体" w:cs="宋体"/>
                <w:b/>
                <w:color w:val="auto"/>
                <w:highlight w:val="none"/>
              </w:rPr>
              <w:t>诚信综合评价得分</w:t>
            </w:r>
            <w:r>
              <w:rPr>
                <w:rFonts w:hint="eastAsia" w:ascii="宋体" w:hAnsi="宋体" w:cs="宋体"/>
                <w:b/>
                <w:color w:val="auto"/>
                <w:highlight w:val="none"/>
                <w:lang w:val="en-US" w:eastAsia="zh-CN"/>
              </w:rPr>
              <w:t>排名前21-30名的，得1分；其余不得分</w:t>
            </w:r>
            <w:r>
              <w:rPr>
                <w:rFonts w:hint="eastAsia" w:ascii="宋体" w:hAnsi="宋体" w:cs="宋体"/>
                <w:color w:val="auto"/>
                <w:highlight w:val="none"/>
              </w:rPr>
              <w:t>。</w:t>
            </w:r>
          </w:p>
        </w:tc>
      </w:tr>
    </w:tbl>
    <w:p>
      <w:pPr>
        <w:snapToGrid w:val="0"/>
        <w:spacing w:line="324" w:lineRule="auto"/>
        <w:ind w:firstLine="420"/>
        <w:rPr>
          <w:rFonts w:hint="eastAsia" w:hAnsi="宋体"/>
          <w:szCs w:val="21"/>
          <w:highlight w:val="none"/>
        </w:rPr>
      </w:pPr>
    </w:p>
    <w:p>
      <w:pPr>
        <w:snapToGrid w:val="0"/>
        <w:spacing w:line="324" w:lineRule="auto"/>
        <w:ind w:firstLine="420"/>
        <w:rPr>
          <w:rFonts w:hAnsi="宋体"/>
          <w:szCs w:val="21"/>
          <w:highlight w:val="none"/>
        </w:rPr>
      </w:pPr>
      <w:r>
        <w:rPr>
          <w:rFonts w:hint="eastAsia" w:hAnsi="宋体"/>
          <w:szCs w:val="21"/>
          <w:highlight w:val="none"/>
        </w:rPr>
        <w:t>说明：</w:t>
      </w:r>
    </w:p>
    <w:p>
      <w:pPr>
        <w:snapToGrid w:val="0"/>
        <w:spacing w:line="276" w:lineRule="auto"/>
        <w:ind w:firstLine="420"/>
        <w:rPr>
          <w:rFonts w:hint="eastAsia" w:ascii="宋体" w:hAnsi="宋体" w:eastAsia="宋体" w:cs="宋体"/>
          <w:szCs w:val="21"/>
          <w:highlight w:val="none"/>
        </w:rPr>
      </w:pPr>
      <w:r>
        <w:rPr>
          <w:rFonts w:hint="eastAsia" w:ascii="宋体" w:hAnsi="宋体" w:eastAsia="宋体" w:cs="宋体"/>
          <w:szCs w:val="21"/>
          <w:highlight w:val="none"/>
        </w:rPr>
        <w:t>（1）投标人的得分为各评委评分的算术平均分。评分分数出现小数点时，保留小数点后二位，第三位小数四舍五入。</w:t>
      </w:r>
    </w:p>
    <w:p>
      <w:pPr>
        <w:pStyle w:val="1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（2）综合评审表中要求提供的证明文件如无特别说明，均需提供相关证明文件的原件复印件或网页清晰截图，不符合的不得分。</w:t>
      </w:r>
    </w:p>
    <w:p>
      <w:pPr>
        <w:pStyle w:val="1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（3）所有评分表中分值或数值范围的解释：[*，*）中方括号为含此数，圆括号为不含此分数。</w:t>
      </w:r>
    </w:p>
    <w:p>
      <w:pPr>
        <w:pStyle w:val="1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香港专业人士参与投标的，须提供在广东省住房和城乡建设主管部门备案相关资料。</w:t>
      </w:r>
    </w:p>
    <w:p>
      <w:pPr>
        <w:rPr>
          <w:rFonts w:hint="eastAsia" w:ascii="Times New Roman"/>
          <w:color w:val="auto"/>
          <w:sz w:val="21"/>
          <w:szCs w:val="21"/>
          <w:highlight w:val="none"/>
          <w:lang w:val="zh-CN"/>
        </w:rPr>
      </w:pPr>
      <w:r>
        <w:rPr>
          <w:rFonts w:hint="eastAsia" w:ascii="Times New Roman"/>
          <w:color w:val="auto"/>
          <w:sz w:val="21"/>
          <w:szCs w:val="21"/>
          <w:highlight w:val="none"/>
          <w:lang w:val="zh-CN"/>
        </w:rPr>
        <w:br w:type="page"/>
      </w:r>
    </w:p>
    <w:p>
      <w:pPr>
        <w:pStyle w:val="17"/>
        <w:spacing w:line="360" w:lineRule="auto"/>
        <w:ind w:left="0" w:leftChars="0" w:right="144" w:firstLine="0" w:firstLineChars="0"/>
        <w:jc w:val="both"/>
        <w:rPr>
          <w:rFonts w:hint="eastAsia" w:ascii="Times New Roman"/>
          <w:color w:val="auto"/>
          <w:sz w:val="21"/>
          <w:szCs w:val="21"/>
          <w:highlight w:val="none"/>
          <w:lang w:val="en-US" w:eastAsia="zh-CN"/>
        </w:rPr>
      </w:pPr>
      <w:r>
        <w:rPr>
          <w:rFonts w:hint="eastAsia" w:ascii="Times New Roman"/>
          <w:color w:val="auto"/>
          <w:sz w:val="21"/>
          <w:szCs w:val="21"/>
          <w:highlight w:val="none"/>
          <w:lang w:val="en-US" w:eastAsia="zh-CN"/>
        </w:rPr>
        <w:t>附件：《造价咨询单位投入本项目人员要求表》</w:t>
      </w:r>
    </w:p>
    <w:p>
      <w:pPr>
        <w:pStyle w:val="17"/>
        <w:spacing w:line="360" w:lineRule="auto"/>
        <w:ind w:left="0" w:leftChars="0" w:right="144" w:firstLine="2520" w:firstLineChars="1200"/>
        <w:jc w:val="both"/>
        <w:rPr>
          <w:rFonts w:hint="eastAsia" w:ascii="Times New Roman"/>
          <w:color w:val="auto"/>
          <w:sz w:val="21"/>
          <w:szCs w:val="21"/>
          <w:highlight w:val="none"/>
          <w:lang w:val="zh-CN"/>
        </w:rPr>
      </w:pPr>
    </w:p>
    <w:p>
      <w:pPr>
        <w:pStyle w:val="17"/>
        <w:spacing w:line="360" w:lineRule="auto"/>
        <w:ind w:left="0" w:leftChars="0" w:right="144" w:firstLine="2520" w:firstLineChars="1200"/>
        <w:jc w:val="both"/>
        <w:rPr>
          <w:rFonts w:hint="eastAsia" w:ascii="Times New Roman"/>
          <w:color w:val="auto"/>
          <w:sz w:val="21"/>
          <w:szCs w:val="21"/>
          <w:highlight w:val="none"/>
          <w:lang w:val="zh-CN"/>
        </w:rPr>
      </w:pPr>
      <w:r>
        <w:rPr>
          <w:rFonts w:hint="eastAsia" w:ascii="Times New Roman"/>
          <w:color w:val="auto"/>
          <w:sz w:val="21"/>
          <w:szCs w:val="21"/>
          <w:highlight w:val="none"/>
          <w:lang w:val="zh-CN"/>
        </w:rPr>
        <w:t>本项目需配备的专业人员要求如下：</w:t>
      </w:r>
    </w:p>
    <w:tbl>
      <w:tblPr>
        <w:tblStyle w:val="14"/>
        <w:tblpPr w:leftFromText="180" w:rightFromText="180" w:vertAnchor="text" w:horzAnchor="page" w:tblpX="1629" w:tblpY="297"/>
        <w:tblOverlap w:val="never"/>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96"/>
        <w:gridCol w:w="2855"/>
        <w:gridCol w:w="2404"/>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49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岗位人员</w:t>
            </w:r>
          </w:p>
        </w:tc>
        <w:tc>
          <w:tcPr>
            <w:tcW w:w="285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职称和资格要求</w:t>
            </w:r>
          </w:p>
        </w:tc>
        <w:tc>
          <w:tcPr>
            <w:tcW w:w="2404"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职责范围</w:t>
            </w:r>
          </w:p>
        </w:tc>
        <w:tc>
          <w:tcPr>
            <w:tcW w:w="135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人数要求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w:t>
            </w:r>
          </w:p>
        </w:tc>
        <w:tc>
          <w:tcPr>
            <w:tcW w:w="1496" w:type="dxa"/>
            <w:noWrap w:val="0"/>
            <w:vAlign w:val="center"/>
          </w:tcPr>
          <w:p>
            <w:pPr>
              <w:rPr>
                <w:rFonts w:ascii="宋体" w:hAnsi="宋体"/>
                <w:szCs w:val="21"/>
                <w:highlight w:val="none"/>
              </w:rPr>
            </w:pPr>
            <w:r>
              <w:rPr>
                <w:rFonts w:hint="eastAsia" w:ascii="宋体" w:hAnsi="宋体"/>
                <w:szCs w:val="21"/>
                <w:highlight w:val="none"/>
              </w:rPr>
              <w:t>项目负责人</w:t>
            </w:r>
          </w:p>
        </w:tc>
        <w:tc>
          <w:tcPr>
            <w:tcW w:w="2855" w:type="dxa"/>
            <w:noWrap w:val="0"/>
            <w:vAlign w:val="center"/>
          </w:tcPr>
          <w:p>
            <w:pPr>
              <w:spacing w:line="240" w:lineRule="exact"/>
              <w:rPr>
                <w:rFonts w:hint="default" w:ascii="宋体" w:hAnsi="宋体" w:eastAsiaTheme="minorEastAsia"/>
                <w:szCs w:val="21"/>
                <w:highlight w:val="none"/>
                <w:lang w:val="en-US" w:eastAsia="zh-CN"/>
              </w:rPr>
            </w:pPr>
            <w:r>
              <w:rPr>
                <w:rFonts w:hint="eastAsia" w:ascii="宋体" w:hAnsi="宋体"/>
                <w:szCs w:val="21"/>
                <w:highlight w:val="none"/>
                <w:lang w:val="en-US" w:eastAsia="zh-CN"/>
              </w:rPr>
              <w:t>按招标公告要求</w:t>
            </w:r>
          </w:p>
        </w:tc>
        <w:tc>
          <w:tcPr>
            <w:tcW w:w="2404" w:type="dxa"/>
            <w:noWrap w:val="0"/>
            <w:vAlign w:val="center"/>
          </w:tcPr>
          <w:p>
            <w:pPr>
              <w:spacing w:line="240" w:lineRule="exact"/>
              <w:rPr>
                <w:rFonts w:ascii="宋体" w:hAnsi="宋体"/>
                <w:szCs w:val="21"/>
                <w:highlight w:val="none"/>
              </w:rPr>
            </w:pPr>
            <w:r>
              <w:rPr>
                <w:rFonts w:hint="eastAsia" w:ascii="宋体" w:hAnsi="宋体"/>
                <w:szCs w:val="21"/>
                <w:highlight w:val="none"/>
              </w:rPr>
              <w:t>负责本项目造价咨询服务的总体统筹、协调工作，对服务质量负责。</w:t>
            </w:r>
          </w:p>
        </w:tc>
        <w:tc>
          <w:tcPr>
            <w:tcW w:w="1356" w:type="dxa"/>
            <w:noWrap w:val="0"/>
            <w:vAlign w:val="center"/>
          </w:tcPr>
          <w:p>
            <w:pPr>
              <w:spacing w:line="240" w:lineRule="exact"/>
              <w:jc w:val="center"/>
              <w:rPr>
                <w:rFonts w:ascii="宋体" w:hAnsi="宋体"/>
                <w:szCs w:val="21"/>
                <w:highlight w:val="none"/>
              </w:rPr>
            </w:pPr>
            <w:r>
              <w:rPr>
                <w:rFonts w:hint="eastAsia" w:ascii="宋体" w:hAnsi="宋体"/>
                <w:szCs w:val="21"/>
                <w:highlight w:val="none"/>
              </w:rPr>
              <w:t>1名</w:t>
            </w:r>
          </w:p>
          <w:p>
            <w:pPr>
              <w:spacing w:line="24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1496" w:type="dxa"/>
            <w:noWrap w:val="0"/>
            <w:vAlign w:val="center"/>
          </w:tcPr>
          <w:p>
            <w:pPr>
              <w:rPr>
                <w:rFonts w:ascii="宋体" w:hAnsi="宋体"/>
                <w:szCs w:val="21"/>
                <w:highlight w:val="none"/>
              </w:rPr>
            </w:pPr>
            <w:r>
              <w:rPr>
                <w:rFonts w:hint="eastAsia" w:ascii="宋体" w:hAnsi="宋体"/>
                <w:szCs w:val="21"/>
                <w:highlight w:val="none"/>
              </w:rPr>
              <w:t>土建专业负责人</w:t>
            </w:r>
          </w:p>
        </w:tc>
        <w:tc>
          <w:tcPr>
            <w:tcW w:w="2855" w:type="dxa"/>
            <w:noWrap w:val="0"/>
            <w:vAlign w:val="center"/>
          </w:tcPr>
          <w:p>
            <w:pPr>
              <w:spacing w:line="240" w:lineRule="exact"/>
              <w:rPr>
                <w:rFonts w:ascii="宋体" w:hAnsi="宋体"/>
                <w:szCs w:val="21"/>
                <w:highlight w:val="none"/>
              </w:rPr>
            </w:pPr>
            <w:r>
              <w:rPr>
                <w:rFonts w:hint="eastAsia" w:ascii="宋体" w:hAnsi="宋体"/>
                <w:szCs w:val="21"/>
                <w:highlight w:val="none"/>
              </w:rPr>
              <w:t>具有注册造价工程师执业资格或注册一级造价工程师职业资格（土建专业），10年或以上工作经验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以毕业证为准</w:t>
            </w:r>
            <w:r>
              <w:rPr>
                <w:rFonts w:hint="eastAsia" w:ascii="宋体" w:hAnsi="宋体"/>
                <w:color w:val="auto"/>
                <w:szCs w:val="21"/>
                <w:highlight w:val="none"/>
                <w:lang w:eastAsia="zh-CN"/>
              </w:rPr>
              <w:t>）</w:t>
            </w:r>
            <w:r>
              <w:rPr>
                <w:rFonts w:hint="eastAsia" w:ascii="宋体" w:hAnsi="宋体"/>
                <w:szCs w:val="21"/>
                <w:highlight w:val="none"/>
              </w:rPr>
              <w:t>，高级工程师或以上技术职称。</w:t>
            </w:r>
          </w:p>
        </w:tc>
        <w:tc>
          <w:tcPr>
            <w:tcW w:w="2404" w:type="dxa"/>
            <w:noWrap w:val="0"/>
            <w:vAlign w:val="center"/>
          </w:tcPr>
          <w:p>
            <w:pPr>
              <w:spacing w:line="240" w:lineRule="exact"/>
              <w:rPr>
                <w:rFonts w:ascii="宋体" w:hAnsi="宋体"/>
                <w:szCs w:val="21"/>
                <w:highlight w:val="none"/>
              </w:rPr>
            </w:pPr>
            <w:r>
              <w:rPr>
                <w:rFonts w:hint="eastAsia" w:ascii="宋体" w:hAnsi="宋体"/>
                <w:szCs w:val="21"/>
                <w:highlight w:val="none"/>
              </w:rPr>
              <w:t>负责土建专业造价咨询服务的组织协调工作。</w:t>
            </w:r>
          </w:p>
        </w:tc>
        <w:tc>
          <w:tcPr>
            <w:tcW w:w="1356" w:type="dxa"/>
            <w:noWrap w:val="0"/>
            <w:vAlign w:val="center"/>
          </w:tcPr>
          <w:p>
            <w:pPr>
              <w:spacing w:line="240" w:lineRule="exact"/>
              <w:jc w:val="center"/>
              <w:rPr>
                <w:rFonts w:ascii="宋体" w:hAnsi="宋体"/>
                <w:szCs w:val="21"/>
                <w:highlight w:val="none"/>
              </w:rPr>
            </w:pPr>
            <w:r>
              <w:rPr>
                <w:rFonts w:hint="eastAsia" w:ascii="宋体" w:hAnsi="宋体"/>
                <w:szCs w:val="21"/>
                <w:highlight w:val="none"/>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496"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土建专业造价人员</w:t>
            </w:r>
          </w:p>
        </w:tc>
        <w:tc>
          <w:tcPr>
            <w:tcW w:w="2855"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具备土建专业造价从业资格（造价员或二级造价工程师职业资格或以上）。</w:t>
            </w:r>
          </w:p>
        </w:tc>
        <w:tc>
          <w:tcPr>
            <w:tcW w:w="2404"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负责本项目的</w:t>
            </w:r>
            <w:r>
              <w:rPr>
                <w:rFonts w:hint="eastAsia" w:ascii="宋体" w:hAnsi="宋体" w:cs="宋体"/>
                <w:color w:val="auto"/>
                <w:kern w:val="0"/>
                <w:szCs w:val="21"/>
                <w:highlight w:val="none"/>
                <w:lang w:val="en-US" w:eastAsia="zh-CN" w:bidi="ar"/>
              </w:rPr>
              <w:t>土建、土石方、室外配套、园建绿化、装修</w:t>
            </w:r>
            <w:r>
              <w:rPr>
                <w:rFonts w:hint="eastAsia" w:ascii="宋体" w:hAnsi="宋体" w:cs="宋体"/>
                <w:color w:val="auto"/>
                <w:kern w:val="0"/>
                <w:szCs w:val="21"/>
                <w:highlight w:val="none"/>
                <w:lang w:bidi="ar"/>
              </w:rPr>
              <w:t>等专业造价咨询服务工作。</w:t>
            </w:r>
          </w:p>
        </w:tc>
        <w:tc>
          <w:tcPr>
            <w:tcW w:w="1356" w:type="dxa"/>
            <w:noWrap w:val="0"/>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lang w:bidi="ar"/>
              </w:rPr>
              <w:t>不少于</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496" w:type="dxa"/>
            <w:noWrap w:val="0"/>
            <w:vAlign w:val="center"/>
          </w:tcPr>
          <w:p>
            <w:pPr>
              <w:rPr>
                <w:rFonts w:ascii="宋体" w:hAnsi="宋体"/>
                <w:color w:val="auto"/>
                <w:szCs w:val="21"/>
                <w:highlight w:val="none"/>
              </w:rPr>
            </w:pPr>
            <w:r>
              <w:rPr>
                <w:rFonts w:hint="eastAsia" w:ascii="宋体" w:hAnsi="宋体"/>
                <w:color w:val="auto"/>
                <w:szCs w:val="21"/>
                <w:highlight w:val="none"/>
              </w:rPr>
              <w:t>安装专业负责人</w:t>
            </w:r>
          </w:p>
        </w:tc>
        <w:tc>
          <w:tcPr>
            <w:tcW w:w="2855"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具有注册造价工程师执业资格或注册一级造价工程师职业资格（安装专业），10年或以上工作经验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以毕业证为准</w:t>
            </w:r>
            <w:r>
              <w:rPr>
                <w:rFonts w:hint="eastAsia" w:ascii="宋体" w:hAnsi="宋体"/>
                <w:color w:val="auto"/>
                <w:szCs w:val="21"/>
                <w:highlight w:val="none"/>
                <w:lang w:eastAsia="zh-CN"/>
              </w:rPr>
              <w:t>）</w:t>
            </w:r>
            <w:r>
              <w:rPr>
                <w:rFonts w:hint="eastAsia" w:ascii="宋体" w:hAnsi="宋体"/>
                <w:color w:val="auto"/>
                <w:szCs w:val="21"/>
                <w:highlight w:val="none"/>
              </w:rPr>
              <w:t xml:space="preserve">，高级工程师或以上技术职称。 </w:t>
            </w:r>
          </w:p>
        </w:tc>
        <w:tc>
          <w:tcPr>
            <w:tcW w:w="2404"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负责安装专业、电力专业造价咨询服务的组织协调工作。</w:t>
            </w:r>
          </w:p>
        </w:tc>
        <w:tc>
          <w:tcPr>
            <w:tcW w:w="1356" w:type="dxa"/>
            <w:noWrap w:val="0"/>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149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安装专业造价人员</w:t>
            </w:r>
          </w:p>
        </w:tc>
        <w:tc>
          <w:tcPr>
            <w:tcW w:w="2855"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具备安装专业造价从业资格（二级造价工程师职业资格或以上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或上岗证书</w:t>
            </w:r>
            <w:r>
              <w:rPr>
                <w:rFonts w:hint="eastAsia" w:ascii="宋体" w:hAnsi="宋体"/>
                <w:color w:val="auto"/>
                <w:szCs w:val="21"/>
                <w:highlight w:val="none"/>
              </w:rPr>
              <w:t>）。</w:t>
            </w:r>
          </w:p>
        </w:tc>
        <w:tc>
          <w:tcPr>
            <w:tcW w:w="2404" w:type="dxa"/>
            <w:noWrap w:val="0"/>
            <w:vAlign w:val="center"/>
          </w:tcPr>
          <w:p>
            <w:pPr>
              <w:spacing w:line="240" w:lineRule="exact"/>
              <w:rPr>
                <w:rFonts w:hint="eastAsia" w:ascii="宋体" w:hAnsi="宋体" w:eastAsia="宋体"/>
                <w:color w:val="auto"/>
                <w:szCs w:val="21"/>
                <w:highlight w:val="none"/>
                <w:lang w:eastAsia="zh-CN"/>
              </w:rPr>
            </w:pPr>
            <w:r>
              <w:rPr>
                <w:rFonts w:hint="eastAsia" w:ascii="宋体" w:hAnsi="宋体"/>
                <w:color w:val="auto"/>
                <w:szCs w:val="21"/>
                <w:highlight w:val="none"/>
              </w:rPr>
              <w:t>负责本项目的（包含但不限于）照明、给排水、消防、自动报警、通风及排烟、燃气管道、电梯、泛光照明、人防、弱电、变配电、外电等专业造价咨询服务工作</w:t>
            </w:r>
            <w:r>
              <w:rPr>
                <w:rFonts w:hint="eastAsia" w:ascii="宋体" w:hAnsi="宋体"/>
                <w:color w:val="auto"/>
                <w:szCs w:val="21"/>
                <w:highlight w:val="none"/>
                <w:lang w:eastAsia="zh-CN"/>
              </w:rPr>
              <w:t>。</w:t>
            </w:r>
          </w:p>
        </w:tc>
        <w:tc>
          <w:tcPr>
            <w:tcW w:w="1356" w:type="dxa"/>
            <w:noWrap w:val="0"/>
            <w:vAlign w:val="center"/>
          </w:tcPr>
          <w:p>
            <w:pPr>
              <w:spacing w:line="2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不少于</w:t>
            </w:r>
            <w:r>
              <w:rPr>
                <w:rFonts w:hint="eastAsia" w:ascii="宋体" w:hAnsi="宋体"/>
                <w:color w:val="auto"/>
                <w:szCs w:val="21"/>
                <w:highlight w:val="none"/>
                <w:lang w:val="en-US" w:eastAsia="zh-CN"/>
              </w:rPr>
              <w:t>2</w:t>
            </w:r>
            <w:r>
              <w:rPr>
                <w:rFonts w:hint="eastAsia" w:ascii="宋体" w:hAnsi="宋体"/>
                <w:color w:val="auto"/>
                <w:szCs w:val="21"/>
                <w:highlight w:val="none"/>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0"/>
            <w:vAlign w:val="center"/>
          </w:tcPr>
          <w:p>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496" w:type="dxa"/>
            <w:noWrap w:val="0"/>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其他专业人员</w:t>
            </w:r>
          </w:p>
        </w:tc>
        <w:tc>
          <w:tcPr>
            <w:tcW w:w="2855" w:type="dxa"/>
            <w:noWrap w:val="0"/>
            <w:vAlign w:val="center"/>
          </w:tcPr>
          <w:p>
            <w:pPr>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具有会计或法律或城市规划或岩土专业对应从业证书。</w:t>
            </w:r>
          </w:p>
        </w:tc>
        <w:tc>
          <w:tcPr>
            <w:tcW w:w="2404" w:type="dxa"/>
            <w:noWrap w:val="0"/>
            <w:vAlign w:val="center"/>
          </w:tcPr>
          <w:p>
            <w:pPr>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相关专业人员负责对应的会计、法务、规划报建核对工作。</w:t>
            </w:r>
          </w:p>
        </w:tc>
        <w:tc>
          <w:tcPr>
            <w:tcW w:w="1356" w:type="dxa"/>
            <w:noWrap w:val="0"/>
            <w:vAlign w:val="center"/>
          </w:tcPr>
          <w:p>
            <w:pPr>
              <w:spacing w:line="2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不少于4人，会计、法律、规划、岩土专业各1人。</w:t>
            </w:r>
          </w:p>
        </w:tc>
      </w:tr>
    </w:tbl>
    <w:p>
      <w:pPr>
        <w:snapToGrid w:val="0"/>
        <w:spacing w:line="276" w:lineRule="auto"/>
        <w:ind w:firstLine="0"/>
        <w:rPr>
          <w:rFonts w:hAnsi="宋体"/>
          <w:szCs w:val="21"/>
          <w:highlight w:val="none"/>
        </w:rPr>
      </w:pPr>
    </w:p>
    <w:p>
      <w:pPr>
        <w:bidi w:val="0"/>
        <w:rPr>
          <w:highlight w:val="none"/>
        </w:rPr>
      </w:pPr>
      <w:r>
        <w:rPr>
          <w:highlight w:val="none"/>
        </w:rPr>
        <w:br w:type="page"/>
      </w:r>
    </w:p>
    <w:bookmarkEnd w:id="178"/>
    <w:bookmarkEnd w:id="179"/>
    <w:p>
      <w:pPr>
        <w:pStyle w:val="3"/>
        <w:spacing w:line="360" w:lineRule="auto"/>
        <w:rPr>
          <w:rFonts w:hint="eastAsia" w:ascii="宋体" w:hAnsi="宋体" w:eastAsia="宋体" w:cs="宋体"/>
          <w:highlight w:val="none"/>
        </w:rPr>
      </w:pPr>
      <w:bookmarkStart w:id="182" w:name="_Toc35513488"/>
      <w:bookmarkStart w:id="183" w:name="_Toc69983672"/>
      <w:r>
        <w:rPr>
          <w:rFonts w:hint="eastAsia" w:ascii="宋体" w:hAnsi="宋体" w:eastAsia="宋体" w:cs="宋体"/>
          <w:highlight w:val="none"/>
        </w:rPr>
        <w:t>1.评标方法</w:t>
      </w:r>
      <w:bookmarkEnd w:id="182"/>
      <w:bookmarkEnd w:id="183"/>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总分相等时，以投标总报价低的优先；投标总报价也相等的，以</w:t>
      </w:r>
      <w:r>
        <w:rPr>
          <w:rFonts w:hint="eastAsia" w:ascii="宋体" w:hAnsi="宋体" w:eastAsia="宋体" w:cs="宋体"/>
          <w:highlight w:val="none"/>
          <w:lang w:val="en-US" w:eastAsia="zh-CN"/>
        </w:rPr>
        <w:t>服务方案</w:t>
      </w:r>
      <w:r>
        <w:rPr>
          <w:rFonts w:hint="eastAsia" w:ascii="宋体" w:hAnsi="宋体" w:eastAsia="宋体" w:cs="宋体"/>
          <w:highlight w:val="none"/>
        </w:rPr>
        <w:t>得分高的优先；如服务方案得分也相等，由评标委员会采用记名投票方式，以得票多的优先。</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84" w:name="_Toc35513489"/>
      <w:bookmarkStart w:id="185" w:name="_Toc69983673"/>
      <w:r>
        <w:rPr>
          <w:rFonts w:hint="eastAsia" w:ascii="宋体" w:hAnsi="宋体" w:eastAsia="宋体" w:cs="宋体"/>
          <w:highlight w:val="none"/>
        </w:rPr>
        <w:t>2.评审标准</w:t>
      </w:r>
      <w:bookmarkEnd w:id="184"/>
      <w:bookmarkEnd w:id="185"/>
    </w:p>
    <w:p>
      <w:pPr>
        <w:pStyle w:val="4"/>
        <w:spacing w:line="360" w:lineRule="auto"/>
        <w:ind w:firstLine="482"/>
        <w:rPr>
          <w:rFonts w:hint="eastAsia" w:ascii="宋体" w:hAnsi="宋体" w:eastAsia="宋体" w:cs="宋体"/>
          <w:highlight w:val="none"/>
        </w:rPr>
      </w:pPr>
      <w:bookmarkStart w:id="186" w:name="_Toc35513490"/>
      <w:bookmarkStart w:id="187" w:name="_Toc69983674"/>
      <w:r>
        <w:rPr>
          <w:rFonts w:hint="eastAsia" w:ascii="宋体" w:hAnsi="宋体" w:eastAsia="宋体" w:cs="宋体"/>
          <w:highlight w:val="none"/>
        </w:rPr>
        <w:t>2.1 初步评审标准</w:t>
      </w:r>
      <w:bookmarkEnd w:id="186"/>
      <w:bookmarkEnd w:id="18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2.1.1 形式评审标准：见评标办法前附表。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2.1.2 资格评审标准：见评标办法前附表。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2.1.3 响应性评审标准：见评标办法前附表。</w:t>
      </w:r>
    </w:p>
    <w:p>
      <w:pPr>
        <w:pStyle w:val="4"/>
        <w:spacing w:line="360" w:lineRule="auto"/>
        <w:ind w:firstLine="482"/>
        <w:rPr>
          <w:rFonts w:hint="eastAsia" w:ascii="宋体" w:hAnsi="宋体" w:eastAsia="宋体" w:cs="宋体"/>
          <w:highlight w:val="none"/>
        </w:rPr>
      </w:pPr>
      <w:bookmarkStart w:id="188" w:name="_Toc69983675"/>
      <w:bookmarkStart w:id="189" w:name="_Toc35513491"/>
      <w:r>
        <w:rPr>
          <w:rFonts w:hint="eastAsia" w:ascii="宋体" w:hAnsi="宋体" w:eastAsia="宋体" w:cs="宋体"/>
          <w:highlight w:val="none"/>
        </w:rPr>
        <w:t>2.2 分值构成与评分标准</w:t>
      </w:r>
      <w:bookmarkEnd w:id="188"/>
      <w:bookmarkEnd w:id="189"/>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2.2.1 分值构成</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（1）商务部分：见评标办法前附表；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（2）技术部分：见评标办法前附表；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（3）投标报价：见评标办法前附表；</w:t>
      </w:r>
    </w:p>
    <w:p>
      <w:pPr>
        <w:spacing w:before="39" w:line="360" w:lineRule="auto"/>
        <w:ind w:right="-20" w:firstLine="384" w:firstLineChars="183"/>
        <w:jc w:val="left"/>
        <w:rPr>
          <w:rFonts w:hint="eastAsia" w:ascii="宋体" w:hAnsi="宋体" w:eastAsia="宋体" w:cs="宋体"/>
          <w:highlight w:val="none"/>
        </w:rPr>
      </w:pPr>
      <w:r>
        <w:rPr>
          <w:rFonts w:hint="eastAsia" w:ascii="宋体" w:hAnsi="宋体" w:eastAsia="宋体" w:cs="宋体"/>
          <w:highlight w:val="none"/>
        </w:rPr>
        <w:t>（4）其他评分因素：见评标办法前附表。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2.2.2 评标基准价计算</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评标基准价计算方法：见评标办法前附表。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2.2.3 投标报价的偏差率计算</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投标报价的偏差率计算公式：见评标办法前附表。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2.2</w:t>
      </w:r>
      <w:bookmarkStart w:id="190" w:name="page45"/>
      <w:bookmarkEnd w:id="190"/>
      <w:r>
        <w:rPr>
          <w:rFonts w:hint="eastAsia" w:ascii="宋体" w:hAnsi="宋体" w:eastAsia="宋体" w:cs="宋体"/>
          <w:highlight w:val="none"/>
        </w:rPr>
        <w:t>.4 评分标准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（1）商务评分标准：见评标办法前附表；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（2）技术评分标准：见评标办法前附表；</w:t>
      </w:r>
    </w:p>
    <w:p>
      <w:pPr>
        <w:spacing w:before="39" w:line="360" w:lineRule="auto"/>
        <w:ind w:right="-20" w:firstLine="384" w:firstLineChars="183"/>
        <w:jc w:val="left"/>
        <w:rPr>
          <w:rFonts w:hint="eastAsia" w:ascii="宋体" w:hAnsi="宋体" w:eastAsia="宋体" w:cs="宋体"/>
          <w:highlight w:val="none"/>
        </w:rPr>
      </w:pPr>
      <w:r>
        <w:rPr>
          <w:rFonts w:hint="eastAsia" w:ascii="宋体" w:hAnsi="宋体" w:eastAsia="宋体" w:cs="宋体"/>
          <w:highlight w:val="none"/>
        </w:rPr>
        <w:t>（3）投标报价评分标准：见评标办法前附表；</w:t>
      </w:r>
    </w:p>
    <w:p>
      <w:pPr>
        <w:spacing w:before="39" w:line="360" w:lineRule="auto"/>
        <w:ind w:right="-20" w:firstLine="384" w:firstLineChars="183"/>
        <w:jc w:val="left"/>
        <w:rPr>
          <w:rFonts w:hint="eastAsia" w:ascii="宋体" w:hAnsi="宋体" w:eastAsia="宋体" w:cs="宋体"/>
          <w:highlight w:val="none"/>
        </w:rPr>
      </w:pPr>
      <w:r>
        <w:rPr>
          <w:rFonts w:hint="eastAsia" w:ascii="宋体" w:hAnsi="宋体" w:eastAsia="宋体" w:cs="宋体"/>
          <w:highlight w:val="none"/>
        </w:rPr>
        <w:t>（4）其他评分因素：见评标办法前附表。</w:t>
      </w:r>
    </w:p>
    <w:p>
      <w:pPr>
        <w:spacing w:line="360" w:lineRule="auto"/>
        <w:ind w:firstLine="480"/>
        <w:rPr>
          <w:rFonts w:hint="eastAsia" w:ascii="宋体" w:hAnsi="宋体" w:eastAsia="宋体" w:cs="宋体"/>
          <w:highlight w:val="none"/>
        </w:rPr>
      </w:pPr>
    </w:p>
    <w:p>
      <w:pPr>
        <w:pStyle w:val="3"/>
        <w:spacing w:line="360" w:lineRule="auto"/>
        <w:rPr>
          <w:rFonts w:hint="eastAsia" w:ascii="宋体" w:hAnsi="宋体" w:eastAsia="宋体" w:cs="宋体"/>
          <w:highlight w:val="none"/>
        </w:rPr>
      </w:pPr>
      <w:bookmarkStart w:id="191" w:name="_Toc35513492"/>
      <w:bookmarkStart w:id="192" w:name="_Toc69983676"/>
      <w:r>
        <w:rPr>
          <w:rFonts w:hint="eastAsia" w:ascii="宋体" w:hAnsi="宋体" w:eastAsia="宋体" w:cs="宋体"/>
          <w:highlight w:val="none"/>
        </w:rPr>
        <w:t>3.评标程序</w:t>
      </w:r>
      <w:bookmarkEnd w:id="191"/>
      <w:bookmarkEnd w:id="192"/>
    </w:p>
    <w:p>
      <w:pPr>
        <w:pStyle w:val="4"/>
        <w:spacing w:line="360" w:lineRule="auto"/>
        <w:ind w:firstLine="482"/>
        <w:rPr>
          <w:rFonts w:hint="eastAsia" w:ascii="宋体" w:hAnsi="宋体" w:eastAsia="宋体" w:cs="宋体"/>
          <w:highlight w:val="none"/>
        </w:rPr>
      </w:pPr>
      <w:bookmarkStart w:id="193" w:name="_Toc35513493"/>
      <w:bookmarkStart w:id="194" w:name="_Toc69983677"/>
      <w:r>
        <w:rPr>
          <w:rFonts w:hint="eastAsia" w:ascii="宋体" w:hAnsi="宋体" w:eastAsia="宋体" w:cs="宋体"/>
          <w:highlight w:val="none"/>
        </w:rPr>
        <w:t>3.1 初步评审</w:t>
      </w:r>
      <w:bookmarkEnd w:id="193"/>
      <w:bookmarkEnd w:id="194"/>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eastAsia="宋体" w:cs="宋体"/>
          <w:szCs w:val="21"/>
          <w:highlight w:val="none"/>
        </w:rPr>
        <w:t>如评标委员会评委的评审意见不一致时，以评标委员会过半数成员的意见作为评标委员会对该情形的认定结论。</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3.1.2 投标人有以下情形之一的，评标委员会应当否决其投标：</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（1）投标文件没有对招标文件的实质性要求和条件作出响应，或者对招标文件的偏差超出招标文件规定的偏差范围或最高项数；</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（2）有串通投标、弄虚作假、行贿等违法行为。</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（2）总价金额与单价金额不一致的，以单价金额为准，但单价金额小数点有明显错误的除外。</w:t>
      </w:r>
    </w:p>
    <w:p>
      <w:pPr>
        <w:pStyle w:val="4"/>
        <w:spacing w:line="360" w:lineRule="auto"/>
        <w:ind w:firstLine="482"/>
        <w:rPr>
          <w:rFonts w:hint="eastAsia" w:ascii="宋体" w:hAnsi="宋体" w:eastAsia="宋体" w:cs="宋体"/>
          <w:highlight w:val="none"/>
        </w:rPr>
      </w:pPr>
      <w:bookmarkStart w:id="195" w:name="_Toc35513494"/>
      <w:bookmarkStart w:id="196" w:name="_Toc69983678"/>
      <w:r>
        <w:rPr>
          <w:rFonts w:hint="eastAsia" w:ascii="宋体" w:hAnsi="宋体" w:eastAsia="宋体" w:cs="宋体"/>
          <w:highlight w:val="none"/>
        </w:rPr>
        <w:t>3.2 详细评审</w:t>
      </w:r>
      <w:bookmarkEnd w:id="195"/>
      <w:bookmarkEnd w:id="196"/>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3.2.1 评标委员会按本章第 2.2 款规定的量化因素和分值进行打分，并计算出综合评估得分。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（1）按本章第 2.2.4（1）目规定的评审因素和分值对商务部分计算出得分 A；</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（2）按本章第 2.2.4（2）目规定的评审因素和分值对技术部分计算出得分 B；</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（3）按本章第 2.2.4（3）目规定的评审因素和分值对投标报价计算出得分 C；</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 xml:space="preserve">）按本章第 2.2.4（3）目规定的评审因素和分值对投标报价计算出得分 </w:t>
      </w:r>
      <w:r>
        <w:rPr>
          <w:rFonts w:hint="eastAsia" w:ascii="宋体" w:hAnsi="宋体" w:eastAsia="宋体" w:cs="宋体"/>
          <w:highlight w:val="none"/>
          <w:lang w:val="en-US" w:eastAsia="zh-CN"/>
        </w:rPr>
        <w:t>D</w:t>
      </w:r>
      <w:r>
        <w:rPr>
          <w:rFonts w:hint="eastAsia" w:ascii="宋体" w:hAnsi="宋体" w:eastAsia="宋体" w:cs="宋体"/>
          <w:highlight w:val="none"/>
        </w:rPr>
        <w:t>；</w:t>
      </w:r>
    </w:p>
    <w:p>
      <w:pPr>
        <w:pStyle w:val="3"/>
        <w:rPr>
          <w:rFonts w:hint="eastAsia"/>
        </w:rPr>
      </w:pP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3.2.2 评分分值计算保留小数点后两位，小数点后第三位“四舍五入”。</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3.2.3 投标人得分=A+B</w:t>
      </w:r>
      <w:bookmarkStart w:id="197" w:name="OLE_LINK5"/>
      <w:r>
        <w:rPr>
          <w:rFonts w:hint="eastAsia" w:ascii="宋体" w:hAnsi="宋体" w:eastAsia="宋体" w:cs="宋体"/>
          <w:highlight w:val="none"/>
        </w:rPr>
        <w:t>+C</w:t>
      </w:r>
      <w:bookmarkEnd w:id="197"/>
      <w:r>
        <w:rPr>
          <w:rFonts w:hint="eastAsia" w:ascii="宋体" w:hAnsi="宋体" w:eastAsia="宋体" w:cs="宋体"/>
          <w:highlight w:val="none"/>
        </w:rPr>
        <w:t>+</w:t>
      </w:r>
      <w:r>
        <w:rPr>
          <w:rFonts w:hint="eastAsia" w:ascii="宋体" w:hAnsi="宋体" w:eastAsia="宋体" w:cs="宋体"/>
          <w:highlight w:val="none"/>
          <w:lang w:val="en-US" w:eastAsia="zh-CN"/>
        </w:rPr>
        <w:t>D</w:t>
      </w:r>
      <w:r>
        <w:rPr>
          <w:rFonts w:hint="eastAsia" w:ascii="宋体" w:hAnsi="宋体" w:eastAsia="宋体" w:cs="宋体"/>
          <w:highlight w:val="none"/>
        </w:rPr>
        <w:t>。</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3.2.4 评标委员会发现投标人的报价明显低于其他投标报价，使得其投标报价可能低于其个别成本的，应当要求该投标人作出书面说明并提供相应的证明材料。投标人不能合理</w:t>
      </w:r>
      <w:bookmarkStart w:id="198" w:name="page46"/>
      <w:bookmarkEnd w:id="198"/>
      <w:r>
        <w:rPr>
          <w:rFonts w:hint="eastAsia" w:ascii="宋体" w:hAnsi="宋体" w:eastAsia="宋体" w:cs="宋体"/>
          <w:highlight w:val="none"/>
        </w:rPr>
        <w:t>说明或者不能提供相应证明材料的，评标委员会应当认定该投标人以低于成本报价竞标，并否决其投标。</w:t>
      </w:r>
    </w:p>
    <w:p>
      <w:pPr>
        <w:pStyle w:val="4"/>
        <w:spacing w:line="360" w:lineRule="auto"/>
        <w:ind w:firstLine="482"/>
        <w:rPr>
          <w:rFonts w:hint="eastAsia" w:ascii="宋体" w:hAnsi="宋体" w:eastAsia="宋体" w:cs="宋体"/>
          <w:highlight w:val="none"/>
        </w:rPr>
      </w:pPr>
      <w:bookmarkStart w:id="199" w:name="_Toc69983679"/>
      <w:bookmarkStart w:id="200" w:name="_Toc35513495"/>
      <w:r>
        <w:rPr>
          <w:rFonts w:hint="eastAsia" w:ascii="宋体" w:hAnsi="宋体" w:eastAsia="宋体" w:cs="宋体"/>
          <w:highlight w:val="none"/>
        </w:rPr>
        <w:t>3.3 投标文件的澄清</w:t>
      </w:r>
      <w:bookmarkEnd w:id="199"/>
      <w:bookmarkEnd w:id="200"/>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3.3.2 澄清、说明或补正不得超出投标文件的范围且不得改变投标文件的实质性内容，并构成投标文件的组成部分。</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3.3.3 评标委员会对投标人提交的澄清、说明或补正有疑问的，可以要求投标人进一步澄清、说明或补正，直至满足评标委员会的要求。</w:t>
      </w:r>
    </w:p>
    <w:p>
      <w:pPr>
        <w:pStyle w:val="4"/>
        <w:spacing w:line="360" w:lineRule="auto"/>
        <w:ind w:firstLine="482"/>
        <w:rPr>
          <w:rFonts w:hint="eastAsia" w:ascii="宋体" w:hAnsi="宋体" w:eastAsia="宋体" w:cs="宋体"/>
          <w:highlight w:val="none"/>
        </w:rPr>
      </w:pPr>
      <w:bookmarkStart w:id="201" w:name="_Toc69983680"/>
      <w:bookmarkStart w:id="202" w:name="_Toc35513496"/>
      <w:r>
        <w:rPr>
          <w:rFonts w:hint="eastAsia" w:ascii="宋体" w:hAnsi="宋体" w:eastAsia="宋体" w:cs="宋体"/>
          <w:highlight w:val="none"/>
        </w:rPr>
        <w:t>3.4 评标结果</w:t>
      </w:r>
      <w:bookmarkEnd w:id="201"/>
      <w:bookmarkEnd w:id="202"/>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3.4.1 除第</w:t>
      </w:r>
      <w:bookmarkStart w:id="203" w:name="page47"/>
      <w:bookmarkEnd w:id="203"/>
      <w:bookmarkStart w:id="204" w:name="_Toc14709207"/>
      <w:bookmarkStart w:id="205" w:name="_Toc24899"/>
      <w:bookmarkStart w:id="206" w:name="_Toc20737"/>
      <w:bookmarkStart w:id="207" w:name="_Toc3515"/>
      <w:bookmarkStart w:id="208" w:name="_Toc26329"/>
      <w:r>
        <w:rPr>
          <w:rFonts w:hint="eastAsia" w:ascii="宋体" w:hAnsi="宋体" w:eastAsia="宋体" w:cs="宋体"/>
          <w:highlight w:val="none"/>
        </w:rPr>
        <w:t>二章“投标人须知”前附表</w:t>
      </w:r>
      <w:bookmarkEnd w:id="204"/>
      <w:r>
        <w:rPr>
          <w:rFonts w:hint="eastAsia" w:ascii="宋体" w:hAnsi="宋体" w:eastAsia="宋体" w:cs="宋体"/>
          <w:highlight w:val="none"/>
        </w:rPr>
        <w:t>授</w:t>
      </w:r>
      <w:bookmarkStart w:id="209" w:name="_Toc14709208"/>
      <w:r>
        <w:rPr>
          <w:rFonts w:hint="eastAsia" w:ascii="宋体" w:hAnsi="宋体" w:eastAsia="宋体" w:cs="宋体"/>
          <w:highlight w:val="none"/>
        </w:rPr>
        <w:t>权直接确定</w:t>
      </w:r>
      <w:bookmarkEnd w:id="205"/>
      <w:bookmarkEnd w:id="206"/>
      <w:bookmarkEnd w:id="207"/>
      <w:bookmarkEnd w:id="208"/>
      <w:bookmarkEnd w:id="209"/>
      <w:r>
        <w:rPr>
          <w:rFonts w:hint="eastAsia" w:ascii="宋体" w:hAnsi="宋体" w:eastAsia="宋体" w:cs="宋体"/>
          <w:highlight w:val="none"/>
        </w:rPr>
        <w:t>中</w:t>
      </w:r>
      <w:bookmarkStart w:id="210" w:name="page69"/>
      <w:bookmarkEnd w:id="210"/>
      <w:r>
        <w:rPr>
          <w:rFonts w:hint="eastAsia" w:ascii="宋体" w:hAnsi="宋体" w:eastAsia="宋体" w:cs="宋体"/>
          <w:highlight w:val="none"/>
        </w:rPr>
        <w:t>标人外，评标委员</w:t>
      </w:r>
      <w:bookmarkStart w:id="211" w:name="_Toc30067"/>
      <w:bookmarkStart w:id="212" w:name="_Toc11273"/>
      <w:bookmarkStart w:id="213" w:name="_Toc31200"/>
      <w:bookmarkStart w:id="214" w:name="_Toc14709209"/>
      <w:bookmarkStart w:id="215" w:name="_Toc3428"/>
      <w:r>
        <w:rPr>
          <w:rFonts w:hint="eastAsia" w:ascii="宋体" w:hAnsi="宋体" w:eastAsia="宋体" w:cs="宋体"/>
          <w:highlight w:val="none"/>
        </w:rPr>
        <w:t>会按照</w:t>
      </w:r>
      <w:bookmarkEnd w:id="211"/>
      <w:bookmarkEnd w:id="212"/>
      <w:bookmarkEnd w:id="213"/>
      <w:bookmarkEnd w:id="214"/>
      <w:bookmarkEnd w:id="215"/>
      <w:bookmarkStart w:id="216" w:name="page70"/>
      <w:bookmarkEnd w:id="216"/>
      <w:r>
        <w:rPr>
          <w:rFonts w:hint="eastAsia" w:ascii="宋体" w:hAnsi="宋体" w:eastAsia="宋体" w:cs="宋体"/>
          <w:highlight w:val="none"/>
        </w:rPr>
        <w:t>得分</w:t>
      </w:r>
      <w:bookmarkStart w:id="217" w:name="_Toc9422"/>
      <w:bookmarkStart w:id="218" w:name="_Toc31259"/>
      <w:bookmarkStart w:id="219" w:name="_Toc14709210"/>
      <w:bookmarkStart w:id="220" w:name="_Toc23936"/>
      <w:bookmarkStart w:id="221" w:name="_Toc22785"/>
      <w:r>
        <w:rPr>
          <w:rFonts w:hint="eastAsia" w:ascii="宋体" w:hAnsi="宋体" w:eastAsia="宋体" w:cs="宋体"/>
          <w:highlight w:val="none"/>
        </w:rPr>
        <w:t>由高到低的顺序推荐</w:t>
      </w:r>
      <w:bookmarkEnd w:id="217"/>
      <w:bookmarkEnd w:id="218"/>
      <w:bookmarkEnd w:id="219"/>
      <w:bookmarkEnd w:id="220"/>
      <w:bookmarkEnd w:id="221"/>
      <w:r>
        <w:rPr>
          <w:rFonts w:hint="eastAsia" w:ascii="宋体" w:hAnsi="宋体" w:eastAsia="宋体" w:cs="宋体"/>
          <w:highlight w:val="none"/>
        </w:rPr>
        <w:t>中</w:t>
      </w:r>
      <w:bookmarkStart w:id="222" w:name="page71"/>
      <w:bookmarkEnd w:id="222"/>
      <w:r>
        <w:rPr>
          <w:rFonts w:hint="eastAsia" w:ascii="宋体" w:hAnsi="宋体" w:eastAsia="宋体" w:cs="宋体"/>
          <w:highlight w:val="none"/>
        </w:rPr>
        <w:t>标候</w:t>
      </w:r>
      <w:bookmarkStart w:id="223" w:name="page73"/>
      <w:bookmarkEnd w:id="223"/>
      <w:bookmarkStart w:id="224" w:name="page72"/>
      <w:bookmarkEnd w:id="224"/>
      <w:bookmarkStart w:id="225" w:name="page74"/>
      <w:bookmarkEnd w:id="225"/>
      <w:r>
        <w:rPr>
          <w:rFonts w:hint="eastAsia" w:ascii="宋体" w:hAnsi="宋体" w:eastAsia="宋体" w:cs="宋体"/>
          <w:highlight w:val="none"/>
        </w:rPr>
        <w:t>选人，并标明排序。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3.4.2 评标委员会完成评标后，应当向招标人交书面评标报告和中标候选人名单。</w:t>
      </w:r>
    </w:p>
    <w:p>
      <w:pPr>
        <w:spacing w:line="360" w:lineRule="auto"/>
        <w:ind w:firstLine="600"/>
        <w:rPr>
          <w:rFonts w:hint="eastAsia" w:ascii="宋体" w:hAnsi="宋体" w:eastAsia="宋体" w:cs="宋体"/>
          <w:sz w:val="30"/>
          <w:szCs w:val="30"/>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502" w:lineRule="exact"/>
        <w:jc w:val="center"/>
        <w:outlineLvl w:val="0"/>
        <w:rPr>
          <w:rFonts w:hAnsi="宋体"/>
          <w:b/>
          <w:sz w:val="44"/>
          <w:highlight w:val="none"/>
        </w:rPr>
      </w:pPr>
      <w:r>
        <w:rPr>
          <w:rFonts w:hAnsi="宋体"/>
          <w:b/>
          <w:sz w:val="44"/>
          <w:highlight w:val="none"/>
        </w:rPr>
        <w:br w:type="page"/>
      </w:r>
      <w:bookmarkStart w:id="226" w:name="_Toc17103"/>
      <w:bookmarkStart w:id="227" w:name="_Toc19874"/>
      <w:bookmarkStart w:id="228" w:name="_Toc69983681"/>
      <w:bookmarkStart w:id="229" w:name="_Toc6904"/>
      <w:r>
        <w:rPr>
          <w:rFonts w:hAnsi="宋体"/>
          <w:b/>
          <w:sz w:val="44"/>
          <w:highlight w:val="none"/>
        </w:rPr>
        <w:t>第四章</w:t>
      </w:r>
      <w:bookmarkStart w:id="230" w:name="_Toc25584"/>
      <w:r>
        <w:rPr>
          <w:rFonts w:hAnsi="宋体"/>
          <w:b/>
          <w:sz w:val="44"/>
          <w:highlight w:val="none"/>
        </w:rPr>
        <w:t xml:space="preserve"> 合</w:t>
      </w:r>
      <w:bookmarkEnd w:id="230"/>
      <w:bookmarkStart w:id="231" w:name="_Toc31019"/>
      <w:r>
        <w:rPr>
          <w:rFonts w:hAnsi="宋体"/>
          <w:b/>
          <w:sz w:val="44"/>
          <w:highlight w:val="none"/>
        </w:rPr>
        <w:t>同条款及格式</w:t>
      </w:r>
      <w:bookmarkEnd w:id="226"/>
      <w:bookmarkEnd w:id="227"/>
      <w:bookmarkEnd w:id="228"/>
      <w:bookmarkEnd w:id="229"/>
    </w:p>
    <w:p>
      <w:pPr>
        <w:spacing w:line="502" w:lineRule="exact"/>
        <w:ind w:firstLine="883"/>
        <w:jc w:val="center"/>
        <w:rPr>
          <w:rFonts w:hAnsi="宋体"/>
          <w:b/>
          <w:sz w:val="44"/>
          <w:highlight w:val="none"/>
        </w:rPr>
      </w:pPr>
    </w:p>
    <w:p>
      <w:pPr>
        <w:spacing w:line="502" w:lineRule="exact"/>
        <w:ind w:left="-2" w:leftChars="-1"/>
        <w:jc w:val="center"/>
        <w:rPr>
          <w:rFonts w:hAnsi="宋体"/>
          <w:b/>
          <w:sz w:val="44"/>
          <w:highlight w:val="none"/>
        </w:rPr>
      </w:pPr>
      <w:r>
        <w:rPr>
          <w:rFonts w:hint="eastAsia" w:hAnsi="宋体"/>
          <w:b/>
          <w:sz w:val="44"/>
          <w:highlight w:val="none"/>
        </w:rPr>
        <w:t>（另册）</w:t>
      </w: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364" w:lineRule="exact"/>
        <w:ind w:firstLine="480"/>
        <w:rPr>
          <w:rFonts w:hAnsi="宋体"/>
          <w:highlight w:val="none"/>
        </w:rPr>
      </w:pPr>
    </w:p>
    <w:p>
      <w:pPr>
        <w:spacing w:line="360" w:lineRule="auto"/>
        <w:jc w:val="center"/>
        <w:outlineLvl w:val="0"/>
        <w:rPr>
          <w:rFonts w:hAnsi="宋体"/>
          <w:b/>
          <w:sz w:val="43"/>
          <w:highlight w:val="none"/>
        </w:rPr>
      </w:pPr>
      <w:r>
        <w:rPr>
          <w:rFonts w:hAnsi="宋体"/>
          <w:b/>
          <w:sz w:val="43"/>
          <w:highlight w:val="none"/>
        </w:rPr>
        <w:br w:type="page"/>
      </w:r>
      <w:bookmarkStart w:id="232" w:name="_Toc69983683"/>
      <w:bookmarkStart w:id="233" w:name="_Toc262"/>
      <w:bookmarkStart w:id="234" w:name="_Toc5654"/>
      <w:bookmarkStart w:id="235" w:name="_Toc5958"/>
      <w:r>
        <w:rPr>
          <w:rFonts w:hAnsi="宋体"/>
          <w:b/>
          <w:sz w:val="43"/>
          <w:highlight w:val="none"/>
        </w:rPr>
        <w:t>第五章 委托人要求</w:t>
      </w:r>
      <w:bookmarkEnd w:id="232"/>
      <w:bookmarkEnd w:id="233"/>
      <w:bookmarkEnd w:id="234"/>
      <w:bookmarkEnd w:id="235"/>
    </w:p>
    <w:p>
      <w:pPr>
        <w:pStyle w:val="3"/>
        <w:spacing w:line="360" w:lineRule="auto"/>
        <w:rPr>
          <w:rFonts w:hint="eastAsia" w:ascii="宋体" w:hAnsi="宋体" w:eastAsia="宋体" w:cs="宋体"/>
          <w:highlight w:val="none"/>
        </w:rPr>
      </w:pPr>
      <w:bookmarkStart w:id="236" w:name="_Toc69983685"/>
      <w:r>
        <w:rPr>
          <w:rFonts w:hint="eastAsia" w:hAnsi="宋体" w:cs="宋体"/>
          <w:highlight w:val="none"/>
          <w:lang w:val="en-US" w:eastAsia="zh-CN"/>
        </w:rPr>
        <w:t>一</w:t>
      </w:r>
      <w:r>
        <w:rPr>
          <w:rFonts w:hint="eastAsia" w:ascii="宋体" w:hAnsi="宋体" w:eastAsia="宋体" w:cs="宋体"/>
          <w:highlight w:val="none"/>
        </w:rPr>
        <w:t>、工程造价咨询主要工作内容</w:t>
      </w:r>
      <w:bookmarkEnd w:id="236"/>
    </w:p>
    <w:p>
      <w:pPr>
        <w:ind w:firstLine="480"/>
        <w:rPr>
          <w:highlight w:val="none"/>
        </w:rPr>
      </w:pPr>
      <w:r>
        <w:rPr>
          <w:rFonts w:hint="eastAsia"/>
          <w:highlight w:val="none"/>
        </w:rPr>
        <w:t>本项目的全过程造价咨询主要工作内容包括但不限于以</w:t>
      </w:r>
      <w:r>
        <w:rPr>
          <w:rFonts w:hint="eastAsia"/>
          <w:szCs w:val="22"/>
          <w:highlight w:val="none"/>
        </w:rPr>
        <w:t>下：工程设计阶段、施工阶段（含设计变更签证）、竣工结（决）算阶段等全过程工程造价控制咨询服务、投资控制工作（含驻场服务）。（招标人保留调整工作范围和内容的权利</w:t>
      </w:r>
      <w:r>
        <w:rPr>
          <w:rFonts w:hint="eastAsia"/>
          <w:szCs w:val="22"/>
          <w:highlight w:val="none"/>
          <w:lang w:eastAsia="zh-CN"/>
        </w:rPr>
        <w:t>，</w:t>
      </w:r>
      <w:r>
        <w:rPr>
          <w:rFonts w:hint="eastAsia"/>
          <w:szCs w:val="22"/>
          <w:highlight w:val="none"/>
          <w:lang w:val="en-US" w:eastAsia="zh-CN"/>
        </w:rPr>
        <w:t>且招标人无需就此向中标人支付任何补偿或赔偿</w:t>
      </w:r>
      <w:r>
        <w:rPr>
          <w:rFonts w:hint="eastAsia"/>
          <w:szCs w:val="22"/>
          <w:highlight w:val="none"/>
        </w:rPr>
        <w:t>）。</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82"/>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trPr>
        <w:tc>
          <w:tcPr>
            <w:tcW w:w="709" w:type="dxa"/>
            <w:vAlign w:val="center"/>
          </w:tcPr>
          <w:p>
            <w:pPr>
              <w:snapToGrid w:val="0"/>
              <w:jc w:val="center"/>
              <w:rPr>
                <w:rFonts w:ascii="Calibri" w:hAnsi="宋体" w:eastAsia="宋体" w:cs="宋体"/>
                <w:b/>
                <w:szCs w:val="21"/>
                <w:highlight w:val="none"/>
              </w:rPr>
            </w:pPr>
            <w:r>
              <w:rPr>
                <w:rFonts w:hint="eastAsia" w:ascii="Calibri" w:hAnsi="宋体" w:eastAsia="宋体" w:cs="宋体"/>
                <w:b/>
                <w:szCs w:val="21"/>
                <w:highlight w:val="none"/>
              </w:rPr>
              <w:t>序号</w:t>
            </w:r>
          </w:p>
        </w:tc>
        <w:tc>
          <w:tcPr>
            <w:tcW w:w="1182" w:type="dxa"/>
            <w:vAlign w:val="center"/>
          </w:tcPr>
          <w:p>
            <w:pPr>
              <w:snapToGrid w:val="0"/>
              <w:jc w:val="center"/>
              <w:rPr>
                <w:rFonts w:ascii="Calibri" w:hAnsi="宋体" w:eastAsia="宋体" w:cs="宋体"/>
                <w:b/>
                <w:szCs w:val="21"/>
                <w:highlight w:val="none"/>
              </w:rPr>
            </w:pPr>
            <w:r>
              <w:rPr>
                <w:rFonts w:hint="eastAsia" w:ascii="Calibri" w:hAnsi="宋体" w:eastAsia="宋体" w:cs="宋体"/>
                <w:b/>
                <w:szCs w:val="21"/>
                <w:highlight w:val="none"/>
              </w:rPr>
              <w:t>控制阶段</w:t>
            </w:r>
          </w:p>
        </w:tc>
        <w:tc>
          <w:tcPr>
            <w:tcW w:w="7715" w:type="dxa"/>
            <w:vAlign w:val="center"/>
          </w:tcPr>
          <w:p>
            <w:pPr>
              <w:snapToGrid w:val="0"/>
              <w:jc w:val="center"/>
              <w:rPr>
                <w:rFonts w:ascii="Calibri" w:hAnsi="宋体" w:eastAsia="宋体" w:cs="宋体"/>
                <w:b/>
                <w:szCs w:val="21"/>
                <w:highlight w:val="none"/>
              </w:rPr>
            </w:pPr>
            <w:r>
              <w:rPr>
                <w:rFonts w:hint="eastAsia" w:ascii="Calibri" w:hAnsi="宋体" w:eastAsia="宋体" w:cs="宋体"/>
                <w:b/>
                <w:szCs w:val="21"/>
                <w:highlight w:val="none"/>
              </w:rPr>
              <w:t>各阶段的造价控制工作内容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709" w:type="dxa"/>
            <w:vAlign w:val="center"/>
          </w:tcPr>
          <w:p>
            <w:pPr>
              <w:snapToGrid w:val="0"/>
              <w:jc w:val="center"/>
              <w:rPr>
                <w:rFonts w:hint="eastAsia" w:ascii="Calibri" w:hAnsi="宋体" w:eastAsia="宋体" w:cs="宋体"/>
                <w:sz w:val="20"/>
                <w:highlight w:val="none"/>
              </w:rPr>
            </w:pPr>
            <w:r>
              <w:rPr>
                <w:rFonts w:hint="eastAsia" w:ascii="Calibri" w:hAnsi="宋体" w:eastAsia="宋体" w:cs="宋体"/>
                <w:sz w:val="20"/>
                <w:highlight w:val="none"/>
              </w:rPr>
              <w:t>1</w:t>
            </w:r>
          </w:p>
          <w:p>
            <w:pPr>
              <w:snapToGrid w:val="0"/>
              <w:jc w:val="center"/>
              <w:rPr>
                <w:rFonts w:ascii="Calibri" w:hAnsi="宋体" w:eastAsia="宋体" w:cs="宋体"/>
                <w:sz w:val="20"/>
                <w:highlight w:val="none"/>
              </w:rPr>
            </w:pPr>
          </w:p>
        </w:tc>
        <w:tc>
          <w:tcPr>
            <w:tcW w:w="1182" w:type="dxa"/>
            <w:vAlign w:val="center"/>
          </w:tcPr>
          <w:p>
            <w:pPr>
              <w:snapToGrid w:val="0"/>
              <w:jc w:val="center"/>
              <w:rPr>
                <w:rFonts w:hint="eastAsia" w:ascii="Calibri" w:hAnsi="宋体" w:eastAsia="宋体" w:cs="宋体"/>
                <w:sz w:val="20"/>
                <w:highlight w:val="none"/>
                <w:shd w:val="clear" w:color="auto" w:fill="FFFFFF"/>
              </w:rPr>
            </w:pPr>
            <w:r>
              <w:rPr>
                <w:rFonts w:hint="eastAsia" w:ascii="Calibri" w:hAnsi="宋体" w:eastAsia="宋体" w:cs="宋体"/>
                <w:sz w:val="20"/>
                <w:highlight w:val="none"/>
                <w:shd w:val="clear" w:color="auto" w:fill="FFFFFF"/>
              </w:rPr>
              <w:t>设计阶段</w:t>
            </w:r>
          </w:p>
          <w:p>
            <w:pPr>
              <w:snapToGrid w:val="0"/>
              <w:jc w:val="center"/>
              <w:rPr>
                <w:rFonts w:ascii="Calibri" w:hAnsi="宋体" w:eastAsia="宋体" w:cs="宋体"/>
                <w:sz w:val="20"/>
                <w:highlight w:val="none"/>
              </w:rPr>
            </w:pPr>
          </w:p>
        </w:tc>
        <w:tc>
          <w:tcPr>
            <w:tcW w:w="7715" w:type="dxa"/>
          </w:tcPr>
          <w:p>
            <w:pPr>
              <w:shd w:val="solid" w:color="FFFFFF" w:fill="auto"/>
              <w:tabs>
                <w:tab w:val="left" w:pos="312"/>
              </w:tabs>
              <w:autoSpaceDN w:val="0"/>
              <w:snapToGrid w:val="0"/>
              <w:rPr>
                <w:rFonts w:ascii="Calibri" w:hAnsi="宋体" w:eastAsia="宋体" w:cs="Times New Roman"/>
                <w:sz w:val="20"/>
                <w:highlight w:val="none"/>
                <w:shd w:val="clear" w:color="auto" w:fill="FFFFFF"/>
              </w:rPr>
            </w:pPr>
            <w:r>
              <w:rPr>
                <w:rFonts w:hint="eastAsia" w:ascii="Calibri" w:hAnsi="宋体" w:eastAsia="宋体" w:cs="Times New Roman"/>
                <w:sz w:val="20"/>
                <w:highlight w:val="none"/>
                <w:shd w:val="clear" w:color="auto" w:fill="FFFFFF"/>
              </w:rPr>
              <w:t>1</w:t>
            </w:r>
            <w:r>
              <w:rPr>
                <w:rFonts w:ascii="Calibri" w:hAnsi="宋体" w:eastAsia="宋体" w:cs="Times New Roman"/>
                <w:sz w:val="20"/>
                <w:highlight w:val="none"/>
                <w:shd w:val="clear" w:color="auto" w:fill="FFFFFF"/>
              </w:rPr>
              <w:t>.负责</w:t>
            </w:r>
            <w:r>
              <w:rPr>
                <w:rFonts w:hint="eastAsia" w:ascii="Calibri" w:hAnsi="宋体" w:eastAsia="宋体" w:cs="Times New Roman"/>
                <w:sz w:val="20"/>
                <w:highlight w:val="none"/>
                <w:shd w:val="clear" w:color="auto" w:fill="FFFFFF"/>
              </w:rPr>
              <w:t>审核并</w:t>
            </w:r>
            <w:r>
              <w:rPr>
                <w:rFonts w:ascii="Calibri" w:hAnsi="宋体" w:eastAsia="宋体" w:cs="Times New Roman"/>
                <w:sz w:val="20"/>
                <w:highlight w:val="none"/>
                <w:shd w:val="clear" w:color="auto" w:fill="FFFFFF"/>
              </w:rPr>
              <w:t>协助完成</w:t>
            </w:r>
            <w:r>
              <w:rPr>
                <w:rFonts w:hint="eastAsia" w:ascii="Calibri" w:hAnsi="宋体" w:eastAsia="宋体" w:cs="Times New Roman"/>
                <w:sz w:val="20"/>
                <w:highlight w:val="none"/>
                <w:shd w:val="clear" w:color="auto" w:fill="FFFFFF"/>
                <w:lang w:val="en-US" w:eastAsia="zh-CN"/>
              </w:rPr>
              <w:t>施工图预算</w:t>
            </w:r>
            <w:r>
              <w:rPr>
                <w:rFonts w:ascii="Calibri" w:hAnsi="宋体" w:eastAsia="宋体" w:cs="Times New Roman"/>
                <w:sz w:val="20"/>
                <w:highlight w:val="none"/>
                <w:shd w:val="clear" w:color="auto" w:fill="FFFFFF"/>
              </w:rPr>
              <w:t>评审。</w:t>
            </w:r>
            <w:r>
              <w:rPr>
                <w:rFonts w:hint="eastAsia" w:ascii="Calibri" w:hAnsi="宋体" w:eastAsia="宋体" w:cs="Times New Roman"/>
                <w:sz w:val="20"/>
                <w:highlight w:val="none"/>
                <w:shd w:val="clear" w:color="auto" w:fill="FFFFFF"/>
              </w:rPr>
              <w:t>分析</w:t>
            </w:r>
            <w:r>
              <w:rPr>
                <w:rFonts w:hint="eastAsia" w:ascii="Calibri" w:hAnsi="宋体" w:eastAsia="宋体" w:cs="Times New Roman"/>
                <w:sz w:val="20"/>
                <w:highlight w:val="none"/>
                <w:shd w:val="clear" w:color="auto" w:fill="FFFFFF"/>
                <w:lang w:val="en-US" w:eastAsia="zh-CN"/>
              </w:rPr>
              <w:t>预</w:t>
            </w:r>
            <w:r>
              <w:rPr>
                <w:rFonts w:hint="eastAsia" w:ascii="Calibri" w:hAnsi="宋体" w:eastAsia="宋体" w:cs="Times New Roman"/>
                <w:sz w:val="20"/>
                <w:highlight w:val="none"/>
                <w:shd w:val="clear" w:color="auto" w:fill="FFFFFF"/>
              </w:rPr>
              <w:t>算编制范围、编制依据是否齐全、合理，开项是否全面，有无漏项。审核</w:t>
            </w:r>
            <w:r>
              <w:rPr>
                <w:rFonts w:hint="eastAsia" w:ascii="Calibri" w:hAnsi="宋体" w:eastAsia="宋体" w:cs="Times New Roman"/>
                <w:sz w:val="20"/>
                <w:highlight w:val="none"/>
                <w:shd w:val="clear" w:color="auto" w:fill="FFFFFF"/>
                <w:lang w:val="en-US" w:eastAsia="zh-CN"/>
              </w:rPr>
              <w:t>预</w:t>
            </w:r>
            <w:r>
              <w:rPr>
                <w:rFonts w:hint="eastAsia" w:ascii="Calibri" w:hAnsi="宋体" w:eastAsia="宋体" w:cs="Times New Roman"/>
                <w:sz w:val="20"/>
                <w:highlight w:val="none"/>
                <w:shd w:val="clear" w:color="auto" w:fill="FFFFFF"/>
              </w:rPr>
              <w:t>算的工程量计量是否满足</w:t>
            </w:r>
            <w:r>
              <w:rPr>
                <w:rFonts w:hint="eastAsia" w:ascii="Calibri" w:hAnsi="宋体" w:eastAsia="宋体" w:cs="Times New Roman"/>
                <w:sz w:val="20"/>
                <w:highlight w:val="none"/>
                <w:shd w:val="clear" w:color="auto" w:fill="FFFFFF"/>
                <w:lang w:val="en-US" w:eastAsia="zh-CN"/>
              </w:rPr>
              <w:t>施工</w:t>
            </w:r>
            <w:r>
              <w:rPr>
                <w:rFonts w:hint="eastAsia" w:ascii="Calibri" w:hAnsi="宋体" w:eastAsia="宋体" w:cs="Times New Roman"/>
                <w:sz w:val="20"/>
                <w:highlight w:val="none"/>
                <w:shd w:val="clear" w:color="auto" w:fill="FFFFFF"/>
              </w:rPr>
              <w:t>设计图纸要求；材料设备价格是否符合地区的价格水平；设备规格、数量和配置满足图纸要求。工程建设其他费用是否符合国家、省市政府的相关部门收费标准，是否符合该项目的实际情况。技术经济指标与同类型工程指标相比，是否相接近。提供建筑材料、设备造价方面的选择意见，控制投资预算成本。在此阶段的工程造价咨询工作应当收到招标人提供的项目工程设计文件之日起15天内完成。但不包括设计前的可研性报告、前期投资、项目评估等工程造价咨询业务。</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2.负责根据批准的</w:t>
            </w:r>
            <w:r>
              <w:rPr>
                <w:rFonts w:hint="eastAsia" w:ascii="Calibri" w:hAnsi="宋体" w:eastAsia="宋体" w:cs="Times New Roman"/>
                <w:sz w:val="20"/>
                <w:highlight w:val="none"/>
                <w:shd w:val="clear" w:color="auto" w:fill="FFFFFF"/>
                <w:lang w:val="en-US" w:eastAsia="zh-CN"/>
              </w:rPr>
              <w:t>估算</w:t>
            </w:r>
            <w:r>
              <w:rPr>
                <w:rFonts w:ascii="Calibri" w:hAnsi="宋体" w:eastAsia="宋体" w:cs="Times New Roman"/>
                <w:sz w:val="20"/>
                <w:highlight w:val="none"/>
                <w:shd w:val="clear" w:color="auto" w:fill="FFFFFF"/>
              </w:rPr>
              <w:t>，</w:t>
            </w:r>
            <w:r>
              <w:rPr>
                <w:rFonts w:hint="eastAsia" w:ascii="Calibri" w:hAnsi="宋体" w:eastAsia="宋体" w:cs="Times New Roman"/>
                <w:sz w:val="20"/>
                <w:highlight w:val="none"/>
                <w:shd w:val="clear" w:color="auto" w:fill="FFFFFF"/>
              </w:rPr>
              <w:t>配合委托人确定</w:t>
            </w:r>
            <w:r>
              <w:rPr>
                <w:rFonts w:ascii="Calibri" w:hAnsi="宋体" w:eastAsia="宋体" w:cs="Times New Roman"/>
                <w:sz w:val="20"/>
                <w:highlight w:val="none"/>
                <w:shd w:val="clear" w:color="auto" w:fill="FFFFFF"/>
              </w:rPr>
              <w:t>工程项目的各专业工程和各阶段造价限额指标。</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3.负责对设计中采用的主材、设备等提供市场信息，进行方案比较，提出优化建议。</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4.参加设计方案论证会议、工程图纸会审、变更论证等专题会，提出造价专业意见。</w:t>
            </w:r>
          </w:p>
          <w:p>
            <w:pPr>
              <w:shd w:val="solid" w:color="FFFFFF" w:fill="auto"/>
              <w:autoSpaceDN w:val="0"/>
              <w:snapToGrid w:val="0"/>
              <w:rPr>
                <w:rFonts w:ascii="Calibri" w:hAnsi="宋体" w:eastAsia="宋体" w:cs="Times New Roman"/>
                <w:sz w:val="20"/>
                <w:highlight w:val="none"/>
                <w:shd w:val="clear" w:color="auto" w:fill="FFFFFF"/>
              </w:rPr>
            </w:pPr>
            <w:r>
              <w:rPr>
                <w:rFonts w:hint="eastAsia" w:ascii="Calibri" w:hAnsi="宋体" w:eastAsia="宋体" w:cs="Times New Roman"/>
                <w:sz w:val="20"/>
                <w:highlight w:val="none"/>
                <w:shd w:val="clear" w:color="auto" w:fill="FFFFFF"/>
              </w:rPr>
              <w:t>5</w:t>
            </w:r>
            <w:r>
              <w:rPr>
                <w:rFonts w:ascii="Calibri" w:hAnsi="宋体" w:eastAsia="宋体" w:cs="Times New Roman"/>
                <w:sz w:val="20"/>
                <w:highlight w:val="none"/>
                <w:shd w:val="clear" w:color="auto" w:fill="FFFFFF"/>
              </w:rPr>
              <w:t>.根据确定的设计方案</w:t>
            </w:r>
            <w:r>
              <w:rPr>
                <w:rFonts w:hint="eastAsia" w:ascii="Calibri" w:hAnsi="宋体" w:eastAsia="宋体" w:cs="Times New Roman"/>
                <w:sz w:val="20"/>
                <w:highlight w:val="none"/>
                <w:shd w:val="clear" w:color="auto" w:fill="FFFFFF"/>
              </w:rPr>
              <w:t>配合委托人</w:t>
            </w:r>
            <w:r>
              <w:rPr>
                <w:rFonts w:ascii="Calibri" w:hAnsi="宋体" w:eastAsia="宋体" w:cs="Times New Roman"/>
                <w:sz w:val="20"/>
                <w:highlight w:val="none"/>
                <w:shd w:val="clear" w:color="auto" w:fill="FFFFFF"/>
              </w:rPr>
              <w:t>编制详细的工程成本预测和资金流量预测分析，以作为进度和成本控制的目标；随设计的深入定期分析工程成本、定期修正资金流量预测。</w:t>
            </w:r>
          </w:p>
          <w:p>
            <w:pPr>
              <w:snapToGrid w:val="0"/>
              <w:rPr>
                <w:rFonts w:hint="eastAsia" w:ascii="Calibri" w:hAnsi="宋体" w:eastAsia="宋体" w:cs="Times New Roman"/>
                <w:sz w:val="20"/>
                <w:highlight w:val="none"/>
                <w:shd w:val="clear" w:color="auto" w:fill="FFFFFF"/>
              </w:rPr>
            </w:pPr>
            <w:r>
              <w:rPr>
                <w:rFonts w:hint="eastAsia" w:ascii="Calibri" w:hAnsi="宋体" w:eastAsia="宋体" w:cs="Times New Roman"/>
                <w:sz w:val="20"/>
                <w:highlight w:val="none"/>
                <w:shd w:val="clear" w:color="auto" w:fill="FFFFFF"/>
              </w:rPr>
              <w:t>6</w:t>
            </w:r>
            <w:r>
              <w:rPr>
                <w:rFonts w:ascii="Calibri" w:hAnsi="宋体" w:eastAsia="宋体" w:cs="Times New Roman"/>
                <w:sz w:val="20"/>
                <w:highlight w:val="none"/>
                <w:shd w:val="clear" w:color="auto" w:fill="FFFFFF"/>
              </w:rPr>
              <w:t>.负责按委托人要求编制清单计价模式等各类造价管理文件。</w:t>
            </w:r>
          </w:p>
          <w:p>
            <w:pPr>
              <w:snapToGrid w:val="0"/>
              <w:rPr>
                <w:rFonts w:ascii="Calibri" w:hAnsi="宋体" w:eastAsia="宋体" w:cs="宋体"/>
                <w:sz w:val="2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jc w:val="center"/>
              <w:rPr>
                <w:rFonts w:hint="eastAsia" w:ascii="Calibri" w:hAnsi="宋体" w:eastAsia="宋体" w:cs="宋体"/>
                <w:sz w:val="20"/>
                <w:highlight w:val="none"/>
                <w:lang w:eastAsia="zh-CN"/>
              </w:rPr>
            </w:pPr>
            <w:r>
              <w:rPr>
                <w:rFonts w:hint="eastAsia" w:ascii="Calibri" w:hAnsi="宋体" w:eastAsia="宋体" w:cs="宋体"/>
                <w:sz w:val="20"/>
                <w:highlight w:val="none"/>
                <w:lang w:val="en-US" w:eastAsia="zh-CN"/>
              </w:rPr>
              <w:t>2</w:t>
            </w:r>
          </w:p>
        </w:tc>
        <w:tc>
          <w:tcPr>
            <w:tcW w:w="1182" w:type="dxa"/>
            <w:vAlign w:val="center"/>
          </w:tcPr>
          <w:p>
            <w:pPr>
              <w:snapToGrid w:val="0"/>
              <w:jc w:val="center"/>
              <w:rPr>
                <w:rFonts w:ascii="Calibri" w:hAnsi="宋体" w:eastAsia="宋体" w:cs="宋体"/>
                <w:sz w:val="20"/>
                <w:highlight w:val="none"/>
                <w:shd w:val="clear" w:color="auto" w:fill="FFFFFF"/>
              </w:rPr>
            </w:pPr>
            <w:r>
              <w:rPr>
                <w:rFonts w:hint="eastAsia" w:ascii="Calibri" w:hAnsi="宋体" w:eastAsia="宋体" w:cs="宋体"/>
                <w:sz w:val="20"/>
                <w:highlight w:val="none"/>
              </w:rPr>
              <w:t>施工阶段</w:t>
            </w:r>
          </w:p>
        </w:tc>
        <w:tc>
          <w:tcPr>
            <w:tcW w:w="7715" w:type="dxa"/>
            <w:vAlign w:val="center"/>
          </w:tcPr>
          <w:p>
            <w:pPr>
              <w:shd w:val="solid" w:color="FFFFFF" w:fill="auto"/>
              <w:snapToGrid w:val="0"/>
              <w:jc w:val="left"/>
              <w:rPr>
                <w:rFonts w:hint="eastAsia" w:ascii="Calibri" w:hAnsi="宋体" w:eastAsia="宋体" w:cs="宋体"/>
                <w:sz w:val="20"/>
                <w:highlight w:val="none"/>
                <w:lang w:eastAsia="zh-CN"/>
              </w:rPr>
            </w:pPr>
            <w:r>
              <w:rPr>
                <w:rFonts w:hint="eastAsia" w:ascii="Calibri" w:hAnsi="宋体" w:eastAsia="宋体" w:cs="宋体"/>
                <w:sz w:val="20"/>
                <w:highlight w:val="none"/>
              </w:rPr>
              <w:t>1.负责按委</w:t>
            </w:r>
            <w:r>
              <w:rPr>
                <w:rFonts w:ascii="Calibri" w:hAnsi="宋体" w:eastAsia="宋体" w:cs="Times New Roman"/>
                <w:sz w:val="20"/>
                <w:highlight w:val="none"/>
                <w:shd w:val="clear" w:color="auto" w:fill="FFFFFF"/>
              </w:rPr>
              <w:t>托人</w:t>
            </w:r>
            <w:r>
              <w:rPr>
                <w:rFonts w:hint="eastAsia" w:ascii="Calibri" w:hAnsi="宋体" w:eastAsia="宋体" w:cs="宋体"/>
                <w:sz w:val="20"/>
                <w:highlight w:val="none"/>
              </w:rPr>
              <w:t>要求编制各类造价管理文件，包括工程变更程序、工程款支付程序、建设工程竣工结（决）算书编制办法等</w:t>
            </w:r>
            <w:r>
              <w:rPr>
                <w:rFonts w:hint="eastAsia" w:ascii="Calibri" w:hAnsi="宋体" w:eastAsia="宋体" w:cs="宋体"/>
                <w:sz w:val="20"/>
                <w:highlight w:val="none"/>
                <w:lang w:eastAsia="zh-CN"/>
              </w:rPr>
              <w:t>，负责编制与本项目相关的服务项目招标控制价文件；对服务项目进度款进行审核，并出具审核报告。</w:t>
            </w:r>
          </w:p>
          <w:p>
            <w:pPr>
              <w:shd w:val="solid" w:color="FFFFFF" w:fill="auto"/>
              <w:snapToGrid w:val="0"/>
              <w:jc w:val="left"/>
              <w:rPr>
                <w:rFonts w:ascii="Calibri" w:hAnsi="宋体" w:eastAsia="宋体" w:cs="Times New Roman"/>
                <w:sz w:val="20"/>
                <w:highlight w:val="none"/>
                <w:shd w:val="clear" w:color="auto" w:fill="FFFFFF"/>
              </w:rPr>
            </w:pPr>
            <w:r>
              <w:rPr>
                <w:rFonts w:hint="eastAsia" w:ascii="Calibri" w:hAnsi="宋体" w:eastAsia="宋体" w:cs="宋体"/>
                <w:sz w:val="20"/>
                <w:highlight w:val="none"/>
              </w:rPr>
              <w:t>2.</w:t>
            </w:r>
            <w:r>
              <w:rPr>
                <w:rFonts w:ascii="Calibri" w:hAnsi="宋体" w:eastAsia="宋体" w:cs="Times New Roman"/>
                <w:sz w:val="20"/>
                <w:highlight w:val="none"/>
                <w:shd w:val="clear" w:color="auto" w:fill="FFFFFF"/>
              </w:rPr>
              <w:t>制定项目总体投资进度计划，根据实际进度与每月实际投资和计划投资作分析比较，分析成本超支的原因和修正项目投资进度计划。</w:t>
            </w:r>
          </w:p>
          <w:p>
            <w:pPr>
              <w:shd w:val="solid" w:color="FFFFFF" w:fill="auto"/>
              <w:snapToGrid w:val="0"/>
              <w:jc w:val="left"/>
              <w:rPr>
                <w:rFonts w:ascii="Calibri" w:hAnsi="宋体" w:eastAsia="宋体" w:cs="宋体"/>
                <w:sz w:val="20"/>
                <w:highlight w:val="none"/>
              </w:rPr>
            </w:pPr>
            <w:r>
              <w:rPr>
                <w:rFonts w:hint="eastAsia" w:ascii="Calibri" w:hAnsi="宋体" w:eastAsia="宋体" w:cs="Times New Roman"/>
                <w:sz w:val="20"/>
                <w:highlight w:val="none"/>
                <w:shd w:val="clear" w:color="auto" w:fill="FFFFFF"/>
              </w:rPr>
              <w:t>3.</w:t>
            </w:r>
            <w:r>
              <w:rPr>
                <w:rFonts w:ascii="Calibri" w:hAnsi="宋体" w:eastAsia="宋体" w:cs="Times New Roman"/>
                <w:sz w:val="20"/>
                <w:highlight w:val="none"/>
                <w:shd w:val="clear" w:color="auto" w:fill="FFFFFF"/>
              </w:rPr>
              <w:t>负责施工过程造价控制（含方案及实施计划</w:t>
            </w:r>
            <w:r>
              <w:rPr>
                <w:rFonts w:hint="eastAsia" w:ascii="Calibri" w:hAnsi="宋体" w:eastAsia="宋体" w:cs="Times New Roman"/>
                <w:sz w:val="20"/>
                <w:highlight w:val="none"/>
                <w:shd w:val="clear" w:color="auto" w:fill="FFFFFF"/>
              </w:rPr>
              <w:t>的审核</w:t>
            </w:r>
            <w:r>
              <w:rPr>
                <w:rFonts w:ascii="Calibri" w:hAnsi="宋体" w:eastAsia="宋体" w:cs="Times New Roman"/>
                <w:sz w:val="20"/>
                <w:highlight w:val="none"/>
                <w:shd w:val="clear" w:color="auto" w:fill="FFFFFF"/>
              </w:rPr>
              <w:t>），审核工程量与进度款。</w:t>
            </w:r>
            <w:r>
              <w:rPr>
                <w:rFonts w:hint="eastAsia" w:ascii="Calibri" w:hAnsi="宋体" w:eastAsia="宋体" w:cs="Times New Roman"/>
                <w:sz w:val="20"/>
                <w:highlight w:val="none"/>
                <w:shd w:val="clear" w:color="auto" w:fill="FFFFFF"/>
              </w:rPr>
              <w:t>包括且不限于</w:t>
            </w:r>
            <w:r>
              <w:rPr>
                <w:rFonts w:hint="eastAsia" w:ascii="Calibri" w:hAnsi="宋体" w:eastAsia="宋体" w:cs="宋体"/>
                <w:sz w:val="20"/>
                <w:highlight w:val="none"/>
              </w:rPr>
              <w:t>审核各承包单位编制的施工图预算，分析主要工程量、分项（专项）工程造价指标的合理性、合规性，按时提交审核报告、调整意见及合理化建议；作为独立的一方，做好施工过程所产生的工程量和费用的审核工作，根据施工图纸及招、投标文件、施工合同，审核工程进度款、计算工程实物量、参与材料设备的询价、审核工程变更及签证等动态造价控制。</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4. 负责协助</w:t>
            </w:r>
            <w:r>
              <w:rPr>
                <w:rFonts w:hint="eastAsia" w:ascii="Calibri" w:hAnsi="宋体" w:eastAsia="宋体" w:cs="Times New Roman"/>
                <w:sz w:val="20"/>
                <w:highlight w:val="none"/>
                <w:shd w:val="clear" w:color="auto" w:fill="FFFFFF"/>
              </w:rPr>
              <w:t>委托人</w:t>
            </w:r>
            <w:r>
              <w:rPr>
                <w:rFonts w:ascii="Calibri" w:hAnsi="宋体" w:eastAsia="宋体" w:cs="Times New Roman"/>
                <w:sz w:val="20"/>
                <w:highlight w:val="none"/>
                <w:shd w:val="clear" w:color="auto" w:fill="FFFFFF"/>
              </w:rPr>
              <w:t>的合同索赔处理，参加合同变更谈判，负责处理合同变更，维护</w:t>
            </w:r>
            <w:r>
              <w:rPr>
                <w:rFonts w:hint="eastAsia" w:ascii="Calibri" w:hAnsi="宋体" w:eastAsia="宋体" w:cs="Times New Roman"/>
                <w:sz w:val="20"/>
                <w:highlight w:val="none"/>
                <w:shd w:val="clear" w:color="auto" w:fill="FFFFFF"/>
              </w:rPr>
              <w:t>招标人</w:t>
            </w:r>
            <w:r>
              <w:rPr>
                <w:rFonts w:ascii="Calibri" w:hAnsi="宋体" w:eastAsia="宋体" w:cs="Times New Roman"/>
                <w:sz w:val="20"/>
                <w:highlight w:val="none"/>
                <w:shd w:val="clear" w:color="auto" w:fill="FFFFFF"/>
              </w:rPr>
              <w:t>的合法权益。</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5.负责建立支付台账、工程变更管理台账、动态投资台账，负责每个季度提交工程结算价预估分析。</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6.负责定期召开造价控制会议，集中会审现场签证、工程变更的工程量和造价</w:t>
            </w:r>
            <w:r>
              <w:rPr>
                <w:rFonts w:hint="eastAsia" w:ascii="Calibri" w:hAnsi="宋体" w:eastAsia="宋体" w:cs="Times New Roman"/>
                <w:sz w:val="20"/>
                <w:highlight w:val="none"/>
                <w:shd w:val="clear" w:color="auto" w:fill="FFFFFF"/>
              </w:rPr>
              <w:t>（包括变更费用估算、预算、结算的编制和审核）</w:t>
            </w:r>
            <w:r>
              <w:rPr>
                <w:rFonts w:ascii="Calibri" w:hAnsi="宋体" w:eastAsia="宋体" w:cs="Times New Roman"/>
                <w:sz w:val="20"/>
                <w:highlight w:val="none"/>
                <w:shd w:val="clear" w:color="auto" w:fill="FFFFFF"/>
              </w:rPr>
              <w:t>，确认变更价款。负责每月提交工程变更（包括：图纸会审、图纸修改、工程洽商等）对造价影响分析，及成本控制报告。</w:t>
            </w:r>
          </w:p>
          <w:p>
            <w:pPr>
              <w:shd w:val="solid" w:color="FFFFFF" w:fill="auto"/>
              <w:snapToGrid w:val="0"/>
              <w:jc w:val="left"/>
              <w:rPr>
                <w:rFonts w:ascii="Calibri" w:hAnsi="宋体" w:eastAsia="宋体" w:cs="宋体"/>
                <w:sz w:val="20"/>
                <w:highlight w:val="none"/>
                <w:shd w:val="clear" w:color="auto" w:fill="FFFFFF"/>
              </w:rPr>
            </w:pPr>
            <w:r>
              <w:rPr>
                <w:rFonts w:ascii="Calibri" w:hAnsi="宋体" w:eastAsia="宋体" w:cs="Times New Roman"/>
                <w:sz w:val="20"/>
                <w:highlight w:val="none"/>
                <w:shd w:val="clear" w:color="auto" w:fill="FFFFFF"/>
              </w:rPr>
              <w:t>7.负责定期收集和整理有关设备材料的市场价格动态信息，对施工方案、材料选用提供成本控制建议。每月提交人工</w:t>
            </w:r>
            <w:r>
              <w:rPr>
                <w:rFonts w:hint="eastAsia" w:ascii="Calibri" w:hAnsi="宋体" w:eastAsia="宋体" w:cs="Times New Roman"/>
                <w:sz w:val="20"/>
                <w:highlight w:val="none"/>
                <w:shd w:val="clear" w:color="auto" w:fill="FFFFFF"/>
              </w:rPr>
              <w:t>、</w:t>
            </w:r>
            <w:r>
              <w:rPr>
                <w:rFonts w:ascii="Calibri" w:hAnsi="宋体" w:eastAsia="宋体" w:cs="Times New Roman"/>
                <w:sz w:val="20"/>
                <w:highlight w:val="none"/>
                <w:shd w:val="clear" w:color="auto" w:fill="FFFFFF"/>
              </w:rPr>
              <w:t>机械</w:t>
            </w:r>
            <w:r>
              <w:rPr>
                <w:rFonts w:hint="eastAsia" w:ascii="Calibri" w:hAnsi="宋体" w:eastAsia="宋体" w:cs="Times New Roman"/>
                <w:sz w:val="20"/>
                <w:highlight w:val="none"/>
                <w:shd w:val="clear" w:color="auto" w:fill="FFFFFF"/>
              </w:rPr>
              <w:t>、</w:t>
            </w:r>
            <w:r>
              <w:rPr>
                <w:rFonts w:ascii="Calibri" w:hAnsi="宋体" w:eastAsia="宋体" w:cs="Times New Roman"/>
                <w:sz w:val="20"/>
                <w:highlight w:val="none"/>
                <w:shd w:val="clear" w:color="auto" w:fill="FFFFFF"/>
              </w:rPr>
              <w:t>主材设备价格造价影响分析</w:t>
            </w:r>
            <w:r>
              <w:rPr>
                <w:rFonts w:hint="eastAsia" w:ascii="Calibri" w:hAnsi="宋体" w:eastAsia="宋体" w:cs="Times New Roman"/>
                <w:sz w:val="20"/>
                <w:highlight w:val="none"/>
                <w:shd w:val="clear" w:color="auto" w:fill="FFFFFF"/>
              </w:rPr>
              <w:t>等造价管理文件</w:t>
            </w:r>
            <w:r>
              <w:rPr>
                <w:rFonts w:ascii="Calibri" w:hAnsi="宋体" w:eastAsia="宋体" w:cs="Times New Roman"/>
                <w:sz w:val="20"/>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jc w:val="center"/>
              <w:rPr>
                <w:rFonts w:hint="eastAsia" w:ascii="Calibri" w:hAnsi="宋体" w:eastAsia="宋体" w:cs="宋体"/>
                <w:sz w:val="20"/>
                <w:highlight w:val="none"/>
                <w:lang w:eastAsia="zh-CN"/>
              </w:rPr>
            </w:pPr>
            <w:r>
              <w:rPr>
                <w:rFonts w:hint="eastAsia" w:ascii="Calibri" w:hAnsi="宋体" w:eastAsia="宋体" w:cs="宋体"/>
                <w:sz w:val="20"/>
                <w:highlight w:val="none"/>
                <w:lang w:val="en-US" w:eastAsia="zh-CN"/>
              </w:rPr>
              <w:t>3</w:t>
            </w:r>
          </w:p>
        </w:tc>
        <w:tc>
          <w:tcPr>
            <w:tcW w:w="1182" w:type="dxa"/>
            <w:vAlign w:val="center"/>
          </w:tcPr>
          <w:p>
            <w:pPr>
              <w:snapToGrid w:val="0"/>
              <w:jc w:val="center"/>
              <w:rPr>
                <w:rFonts w:ascii="Calibri" w:hAnsi="宋体" w:eastAsia="宋体" w:cs="宋体"/>
                <w:sz w:val="20"/>
                <w:highlight w:val="none"/>
              </w:rPr>
            </w:pPr>
            <w:r>
              <w:rPr>
                <w:rFonts w:hint="eastAsia" w:ascii="Calibri" w:hAnsi="宋体" w:eastAsia="宋体" w:cs="宋体"/>
                <w:sz w:val="20"/>
                <w:highlight w:val="none"/>
              </w:rPr>
              <w:t>工程结（决）算阶段</w:t>
            </w:r>
          </w:p>
        </w:tc>
        <w:tc>
          <w:tcPr>
            <w:tcW w:w="7715" w:type="dxa"/>
            <w:vAlign w:val="center"/>
          </w:tcPr>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1. 负责按</w:t>
            </w:r>
            <w:r>
              <w:rPr>
                <w:rFonts w:hint="eastAsia" w:ascii="Calibri" w:hAnsi="宋体" w:eastAsia="宋体" w:cs="Times New Roman"/>
                <w:sz w:val="20"/>
                <w:highlight w:val="none"/>
                <w:shd w:val="clear" w:color="auto" w:fill="FFFFFF"/>
              </w:rPr>
              <w:t>委托人</w:t>
            </w:r>
            <w:r>
              <w:rPr>
                <w:rFonts w:ascii="Calibri" w:hAnsi="宋体" w:eastAsia="宋体" w:cs="Times New Roman"/>
                <w:sz w:val="20"/>
                <w:highlight w:val="none"/>
                <w:shd w:val="clear" w:color="auto" w:fill="FFFFFF"/>
              </w:rPr>
              <w:t>要求编制结算管理文件，配合</w:t>
            </w:r>
            <w:r>
              <w:rPr>
                <w:rFonts w:hint="eastAsia" w:ascii="Calibri" w:hAnsi="宋体" w:eastAsia="宋体" w:cs="Times New Roman"/>
                <w:sz w:val="20"/>
                <w:highlight w:val="none"/>
                <w:shd w:val="clear" w:color="auto" w:fill="FFFFFF"/>
              </w:rPr>
              <w:t>委托人</w:t>
            </w:r>
            <w:r>
              <w:rPr>
                <w:rFonts w:ascii="Calibri" w:hAnsi="宋体" w:eastAsia="宋体" w:cs="Times New Roman"/>
                <w:sz w:val="20"/>
                <w:highlight w:val="none"/>
                <w:shd w:val="clear" w:color="auto" w:fill="FFFFFF"/>
              </w:rPr>
              <w:t>开展过程结算。</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2.负责收集和整理结算依据资料，收集有关工程费用方面的签证资料，核对单据并及时归档。</w:t>
            </w:r>
          </w:p>
          <w:p>
            <w:pPr>
              <w:rPr>
                <w:rFonts w:ascii="Calibri" w:hAnsi="宋体" w:eastAsia="宋体" w:cs="宋体"/>
                <w:sz w:val="20"/>
                <w:highlight w:val="none"/>
              </w:rPr>
            </w:pPr>
            <w:r>
              <w:rPr>
                <w:rFonts w:ascii="Calibri" w:hAnsi="宋体" w:eastAsia="宋体" w:cs="Times New Roman"/>
                <w:sz w:val="20"/>
                <w:highlight w:val="none"/>
                <w:shd w:val="clear" w:color="auto" w:fill="FFFFFF"/>
              </w:rPr>
              <w:t>3. 负责</w:t>
            </w:r>
            <w:r>
              <w:rPr>
                <w:rFonts w:hint="eastAsia" w:ascii="Calibri" w:hAnsi="宋体" w:eastAsia="宋体" w:cs="宋体"/>
                <w:sz w:val="20"/>
                <w:highlight w:val="none"/>
              </w:rPr>
              <w:t>各项工程（服务）</w:t>
            </w:r>
            <w:r>
              <w:rPr>
                <w:rFonts w:ascii="Calibri" w:hAnsi="宋体" w:eastAsia="宋体" w:cs="Times New Roman"/>
                <w:sz w:val="20"/>
                <w:highlight w:val="none"/>
                <w:shd w:val="clear" w:color="auto" w:fill="FFFFFF"/>
              </w:rPr>
              <w:t>结算</w:t>
            </w:r>
            <w:r>
              <w:rPr>
                <w:rFonts w:hint="eastAsia" w:ascii="Calibri" w:hAnsi="宋体" w:eastAsia="宋体" w:cs="Times New Roman"/>
                <w:sz w:val="20"/>
                <w:highlight w:val="none"/>
                <w:shd w:val="clear" w:color="auto" w:fill="FFFFFF"/>
              </w:rPr>
              <w:t>审核</w:t>
            </w:r>
            <w:r>
              <w:rPr>
                <w:rFonts w:ascii="Calibri" w:hAnsi="宋体" w:eastAsia="宋体" w:cs="Times New Roman"/>
                <w:sz w:val="20"/>
                <w:highlight w:val="none"/>
                <w:shd w:val="clear" w:color="auto" w:fill="FFFFFF"/>
              </w:rPr>
              <w:t>工作，提交合同管理及执行情况的专题报告。</w:t>
            </w:r>
            <w:r>
              <w:rPr>
                <w:rFonts w:hint="eastAsia" w:ascii="Calibri" w:hAnsi="宋体" w:eastAsia="宋体" w:cs="宋体"/>
                <w:sz w:val="20"/>
                <w:highlight w:val="none"/>
              </w:rPr>
              <w:t>协助政府相关部门的审核工作，编制建设工程竣工结（决）算报告。</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4. 审核其他费用，出具</w:t>
            </w:r>
            <w:r>
              <w:rPr>
                <w:rFonts w:hint="eastAsia" w:ascii="Calibri" w:hAnsi="宋体" w:eastAsia="宋体" w:cs="Times New Roman"/>
                <w:sz w:val="20"/>
                <w:highlight w:val="none"/>
                <w:shd w:val="clear" w:color="auto" w:fill="FFFFFF"/>
              </w:rPr>
              <w:t>审核</w:t>
            </w:r>
            <w:r>
              <w:rPr>
                <w:rFonts w:ascii="Calibri" w:hAnsi="宋体" w:eastAsia="宋体" w:cs="Times New Roman"/>
                <w:sz w:val="20"/>
                <w:highlight w:val="none"/>
                <w:shd w:val="clear" w:color="auto" w:fill="FFFFFF"/>
              </w:rPr>
              <w:t>报告。</w:t>
            </w:r>
          </w:p>
          <w:p>
            <w:pPr>
              <w:shd w:val="solid" w:color="FFFFFF" w:fill="auto"/>
              <w:autoSpaceDN w:val="0"/>
              <w:snapToGrid w:val="0"/>
              <w:rPr>
                <w:rFonts w:ascii="Calibri" w:hAnsi="宋体" w:eastAsia="宋体" w:cs="Times New Roman"/>
                <w:sz w:val="20"/>
                <w:highlight w:val="none"/>
                <w:shd w:val="clear" w:color="auto" w:fill="FFFFFF"/>
              </w:rPr>
            </w:pPr>
            <w:r>
              <w:rPr>
                <w:rFonts w:ascii="Calibri" w:hAnsi="宋体" w:eastAsia="宋体" w:cs="Times New Roman"/>
                <w:sz w:val="20"/>
                <w:highlight w:val="none"/>
                <w:shd w:val="clear" w:color="auto" w:fill="FFFFFF"/>
              </w:rPr>
              <w:t>5.</w:t>
            </w:r>
            <w:r>
              <w:rPr>
                <w:rFonts w:hint="eastAsia" w:ascii="Calibri" w:hAnsi="宋体" w:eastAsia="宋体" w:cs="Times New Roman"/>
                <w:sz w:val="20"/>
                <w:highlight w:val="none"/>
                <w:shd w:val="clear" w:color="auto" w:fill="FFFFFF"/>
              </w:rPr>
              <w:t>在</w:t>
            </w:r>
            <w:r>
              <w:rPr>
                <w:rFonts w:ascii="Calibri" w:hAnsi="宋体" w:eastAsia="宋体" w:cs="Times New Roman"/>
                <w:sz w:val="20"/>
                <w:highlight w:val="none"/>
              </w:rPr>
              <w:t>委托人</w:t>
            </w:r>
            <w:r>
              <w:rPr>
                <w:rFonts w:hint="eastAsia" w:ascii="Calibri" w:hAnsi="宋体" w:eastAsia="宋体" w:cs="Times New Roman"/>
                <w:sz w:val="20"/>
                <w:highlight w:val="none"/>
                <w:shd w:val="clear" w:color="auto" w:fill="FFFFFF"/>
              </w:rPr>
              <w:t>的统筹协调下，会同</w:t>
            </w:r>
            <w:r>
              <w:rPr>
                <w:rFonts w:ascii="Calibri" w:hAnsi="宋体" w:eastAsia="宋体" w:cs="Times New Roman"/>
                <w:sz w:val="20"/>
                <w:highlight w:val="none"/>
                <w:shd w:val="clear" w:color="auto" w:fill="FFFFFF"/>
              </w:rPr>
              <w:t>监理单位建立结算台账。</w:t>
            </w:r>
          </w:p>
          <w:p>
            <w:pPr>
              <w:rPr>
                <w:rFonts w:ascii="Calibri" w:hAnsi="宋体" w:eastAsia="宋体" w:cs="宋体"/>
                <w:sz w:val="20"/>
                <w:highlight w:val="none"/>
              </w:rPr>
            </w:pPr>
            <w:r>
              <w:rPr>
                <w:rFonts w:hint="eastAsia" w:ascii="Calibri" w:hAnsi="宋体" w:eastAsia="宋体" w:cs="Times New Roman"/>
                <w:sz w:val="20"/>
                <w:highlight w:val="none"/>
                <w:shd w:val="clear" w:color="auto" w:fill="FFFFFF"/>
              </w:rPr>
              <w:t>6、配合委托人完成工程决算。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solid" w:color="FFFFFF" w:fill="auto"/>
              <w:autoSpaceDN w:val="0"/>
              <w:snapToGrid w:val="0"/>
              <w:jc w:val="center"/>
              <w:rPr>
                <w:rFonts w:hint="eastAsia" w:ascii="Calibri" w:hAnsi="宋体" w:eastAsia="宋体" w:cs="宋体"/>
                <w:sz w:val="20"/>
                <w:highlight w:val="none"/>
                <w:lang w:eastAsia="zh-CN"/>
              </w:rPr>
            </w:pPr>
            <w:r>
              <w:rPr>
                <w:rFonts w:hint="eastAsia" w:ascii="Calibri" w:hAnsi="宋体" w:eastAsia="宋体" w:cs="Times New Roman"/>
                <w:sz w:val="20"/>
                <w:highlight w:val="none"/>
                <w:shd w:val="clear" w:color="auto" w:fill="FFFFFF"/>
                <w:lang w:val="en-US" w:eastAsia="zh-CN"/>
              </w:rPr>
              <w:t>4</w:t>
            </w:r>
          </w:p>
        </w:tc>
        <w:tc>
          <w:tcPr>
            <w:tcW w:w="1182" w:type="dxa"/>
            <w:vAlign w:val="center"/>
          </w:tcPr>
          <w:p>
            <w:pPr>
              <w:shd w:val="solid" w:color="FFFFFF" w:fill="auto"/>
              <w:autoSpaceDN w:val="0"/>
              <w:snapToGrid w:val="0"/>
              <w:rPr>
                <w:rFonts w:ascii="Calibri" w:hAnsi="宋体" w:eastAsia="宋体" w:cs="宋体"/>
                <w:sz w:val="20"/>
                <w:highlight w:val="none"/>
              </w:rPr>
            </w:pPr>
            <w:r>
              <w:rPr>
                <w:rFonts w:ascii="Calibri" w:hAnsi="宋体" w:eastAsia="宋体" w:cs="Times New Roman"/>
                <w:sz w:val="20"/>
                <w:highlight w:val="none"/>
                <w:shd w:val="clear" w:color="auto" w:fill="FFFFFF"/>
              </w:rPr>
              <w:t>其他</w:t>
            </w:r>
          </w:p>
        </w:tc>
        <w:tc>
          <w:tcPr>
            <w:tcW w:w="7715" w:type="dxa"/>
            <w:vAlign w:val="center"/>
          </w:tcPr>
          <w:p>
            <w:pPr>
              <w:snapToGrid w:val="0"/>
              <w:jc w:val="left"/>
              <w:rPr>
                <w:rFonts w:ascii="Calibri" w:hAnsi="宋体" w:eastAsia="宋体" w:cs="Times New Roman"/>
                <w:sz w:val="20"/>
                <w:highlight w:val="none"/>
              </w:rPr>
            </w:pPr>
            <w:r>
              <w:rPr>
                <w:rFonts w:ascii="Calibri" w:hAnsi="宋体" w:eastAsia="宋体" w:cs="Times New Roman"/>
                <w:sz w:val="20"/>
                <w:highlight w:val="none"/>
              </w:rPr>
              <w:t>1.负责组织相关造价控制评审会议，包括邀请相应的经济专家。</w:t>
            </w:r>
          </w:p>
          <w:p>
            <w:pPr>
              <w:snapToGrid w:val="0"/>
              <w:jc w:val="left"/>
              <w:rPr>
                <w:rFonts w:ascii="Calibri" w:hAnsi="宋体" w:eastAsia="宋体" w:cs="Times New Roman"/>
                <w:sz w:val="20"/>
                <w:highlight w:val="none"/>
              </w:rPr>
            </w:pPr>
            <w:r>
              <w:rPr>
                <w:rFonts w:ascii="Calibri" w:hAnsi="宋体" w:eastAsia="宋体" w:cs="Times New Roman"/>
                <w:sz w:val="20"/>
                <w:highlight w:val="none"/>
              </w:rPr>
              <w:t>2.视情况邀请高级经济顾问对造价问题进行咨询把关。</w:t>
            </w:r>
          </w:p>
          <w:p>
            <w:pPr>
              <w:snapToGrid w:val="0"/>
              <w:jc w:val="left"/>
              <w:rPr>
                <w:rFonts w:ascii="Calibri" w:hAnsi="宋体" w:eastAsia="宋体" w:cs="Times New Roman"/>
                <w:sz w:val="20"/>
                <w:highlight w:val="none"/>
              </w:rPr>
            </w:pPr>
            <w:r>
              <w:rPr>
                <w:rFonts w:ascii="Calibri" w:hAnsi="宋体" w:eastAsia="宋体" w:cs="Times New Roman"/>
                <w:sz w:val="20"/>
                <w:highlight w:val="none"/>
              </w:rPr>
              <w:t>3.</w:t>
            </w:r>
            <w:r>
              <w:rPr>
                <w:rFonts w:hint="eastAsia" w:ascii="Calibri" w:hAnsi="宋体" w:eastAsia="宋体" w:cs="Times New Roman"/>
                <w:sz w:val="20"/>
                <w:highlight w:val="none"/>
              </w:rPr>
              <w:t>委托人</w:t>
            </w:r>
            <w:r>
              <w:rPr>
                <w:rFonts w:ascii="Calibri" w:hAnsi="宋体" w:eastAsia="宋体" w:cs="Times New Roman"/>
                <w:sz w:val="20"/>
                <w:highlight w:val="none"/>
              </w:rPr>
              <w:t>安排的其他造价管理工作。</w:t>
            </w:r>
          </w:p>
          <w:p>
            <w:pPr>
              <w:snapToGrid w:val="0"/>
              <w:jc w:val="left"/>
              <w:rPr>
                <w:rFonts w:ascii="Calibri" w:hAnsi="宋体" w:eastAsia="宋体" w:cs="宋体"/>
                <w:sz w:val="20"/>
                <w:highlight w:val="none"/>
              </w:rPr>
            </w:pPr>
            <w:r>
              <w:rPr>
                <w:rFonts w:hint="eastAsia" w:ascii="Calibri" w:hAnsi="宋体" w:eastAsia="宋体" w:cs="Times New Roman"/>
                <w:sz w:val="20"/>
                <w:highlight w:val="none"/>
              </w:rPr>
              <w:t>4.委托人自行采购的设备、材料、服务等，投标人应全程参与询价、比质比价、审价、结算等相关工作；对厂家资料进行收集及整理。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06" w:type="dxa"/>
            <w:gridSpan w:val="3"/>
            <w:vAlign w:val="center"/>
          </w:tcPr>
          <w:p>
            <w:pPr>
              <w:snapToGrid w:val="0"/>
              <w:jc w:val="left"/>
              <w:rPr>
                <w:rFonts w:ascii="Calibri" w:hAnsi="宋体" w:eastAsia="宋体" w:cs="宋体"/>
                <w:sz w:val="20"/>
                <w:highlight w:val="none"/>
                <w:shd w:val="clear" w:color="auto" w:fill="FFFFFF"/>
              </w:rPr>
            </w:pPr>
            <w:r>
              <w:rPr>
                <w:rFonts w:hint="eastAsia" w:ascii="Calibri" w:hAnsi="宋体" w:eastAsia="宋体" w:cs="宋体"/>
                <w:sz w:val="20"/>
                <w:highlight w:val="none"/>
                <w:shd w:val="clear" w:color="auto" w:fill="FFFFFF"/>
              </w:rPr>
              <w:t>备注：1.驻场人员要求：受托人拟派本项目服务人员至少为</w:t>
            </w:r>
            <w:r>
              <w:rPr>
                <w:rFonts w:hint="eastAsia" w:ascii="Calibri" w:hAnsi="宋体" w:eastAsia="宋体" w:cs="宋体"/>
                <w:sz w:val="20"/>
                <w:highlight w:val="none"/>
                <w:shd w:val="clear" w:color="auto" w:fill="FFFFFF"/>
                <w:lang w:val="en-US" w:eastAsia="zh-CN"/>
              </w:rPr>
              <w:t>2</w:t>
            </w:r>
            <w:r>
              <w:rPr>
                <w:rFonts w:hint="eastAsia" w:ascii="Calibri" w:hAnsi="宋体" w:eastAsia="宋体" w:cs="宋体"/>
                <w:sz w:val="20"/>
                <w:highlight w:val="none"/>
                <w:shd w:val="clear" w:color="auto" w:fill="FFFFFF"/>
              </w:rPr>
              <w:t>名，其中注册造价工程师不少于</w:t>
            </w:r>
            <w:r>
              <w:rPr>
                <w:rFonts w:hint="eastAsia" w:ascii="Calibri" w:hAnsi="宋体" w:eastAsia="宋体" w:cs="宋体"/>
                <w:sz w:val="20"/>
                <w:highlight w:val="none"/>
                <w:shd w:val="clear" w:color="auto" w:fill="FFFFFF"/>
                <w:lang w:val="en-US" w:eastAsia="zh-CN"/>
              </w:rPr>
              <w:t>1</w:t>
            </w:r>
            <w:r>
              <w:rPr>
                <w:rFonts w:hint="eastAsia" w:ascii="Calibri" w:hAnsi="宋体" w:eastAsia="宋体" w:cs="宋体"/>
                <w:sz w:val="20"/>
                <w:highlight w:val="none"/>
                <w:shd w:val="clear" w:color="auto" w:fill="FFFFFF"/>
              </w:rPr>
              <w:t>名，人员按专业要求分阶段驻现场，并保证长期有</w:t>
            </w:r>
            <w:r>
              <w:rPr>
                <w:rFonts w:hint="eastAsia" w:ascii="Calibri" w:hAnsi="宋体" w:eastAsia="宋体" w:cs="宋体"/>
                <w:sz w:val="20"/>
                <w:highlight w:val="none"/>
                <w:shd w:val="clear" w:color="auto" w:fill="FFFFFF"/>
                <w:lang w:val="en-US" w:eastAsia="zh-CN"/>
              </w:rPr>
              <w:t>1</w:t>
            </w:r>
            <w:r>
              <w:rPr>
                <w:rFonts w:hint="eastAsia" w:ascii="Calibri" w:hAnsi="宋体" w:eastAsia="宋体" w:cs="宋体"/>
                <w:sz w:val="20"/>
                <w:highlight w:val="none"/>
                <w:shd w:val="clear" w:color="auto" w:fill="FFFFFF"/>
              </w:rPr>
              <w:t>名预算工程师驻现场；项目负责人、技术负责人根据招标人要求及项目需要参加与造价有关的重要会议并提出专业意见。</w:t>
            </w:r>
          </w:p>
          <w:p>
            <w:pPr>
              <w:snapToGrid w:val="0"/>
              <w:jc w:val="left"/>
              <w:rPr>
                <w:rFonts w:ascii="Calibri" w:hAnsi="宋体" w:eastAsia="宋体" w:cs="宋体"/>
                <w:sz w:val="20"/>
                <w:highlight w:val="none"/>
                <w:shd w:val="clear" w:color="auto" w:fill="FFFFFF"/>
              </w:rPr>
            </w:pPr>
            <w:r>
              <w:rPr>
                <w:rFonts w:hint="eastAsia" w:ascii="Calibri" w:hAnsi="宋体" w:eastAsia="宋体" w:cs="宋体"/>
                <w:sz w:val="20"/>
                <w:highlight w:val="none"/>
                <w:shd w:val="clear" w:color="auto" w:fill="FFFFFF"/>
              </w:rPr>
              <w:t>2.</w:t>
            </w:r>
            <w:r>
              <w:rPr>
                <w:rFonts w:hint="eastAsia" w:ascii="Calibri" w:hAnsi="宋体" w:eastAsia="宋体" w:cs="Times New Roman"/>
                <w:sz w:val="20"/>
                <w:highlight w:val="none"/>
                <w:shd w:val="clear" w:color="auto" w:fill="FFFFFF"/>
              </w:rPr>
              <w:t xml:space="preserve"> 驻场人员工作要求：服从委托人管理和工作分配。具体详见招标文件要求。</w:t>
            </w:r>
          </w:p>
        </w:tc>
      </w:tr>
    </w:tbl>
    <w:p>
      <w:pPr>
        <w:pStyle w:val="3"/>
        <w:spacing w:line="360" w:lineRule="auto"/>
        <w:rPr>
          <w:rFonts w:hint="eastAsia" w:ascii="宋体" w:hAnsi="宋体" w:eastAsia="宋体" w:cs="宋体"/>
          <w:highlight w:val="none"/>
          <w:lang w:val="en-US" w:eastAsia="zh-CN"/>
        </w:rPr>
      </w:pPr>
      <w:bookmarkStart w:id="237" w:name="_Toc69983697"/>
      <w:r>
        <w:rPr>
          <w:rFonts w:hint="eastAsia" w:ascii="宋体" w:hAnsi="宋体" w:eastAsia="宋体" w:cs="宋体"/>
          <w:highlight w:val="none"/>
          <w:lang w:val="en-US" w:eastAsia="zh-CN"/>
        </w:rPr>
        <w:t>二、工程咨询服务人员需求</w:t>
      </w:r>
      <w:bookmarkEnd w:id="237"/>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投标人应安排不少于下表的人员参与本项目的全过程造价咨询工作：</w:t>
      </w:r>
    </w:p>
    <w:p>
      <w:pPr>
        <w:pStyle w:val="10"/>
        <w:spacing w:line="360" w:lineRule="auto"/>
        <w:ind w:firstLine="232" w:firstLineChars="83"/>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造价咨询服务人员配备要求表</w:t>
      </w:r>
    </w:p>
    <w:tbl>
      <w:tblPr>
        <w:tblStyle w:val="14"/>
        <w:tblpPr w:leftFromText="180" w:rightFromText="180" w:vertAnchor="text" w:horzAnchor="page" w:tblpX="1629" w:tblpY="297"/>
        <w:tblOverlap w:val="never"/>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96"/>
        <w:gridCol w:w="2855"/>
        <w:gridCol w:w="2404"/>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49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岗位人员</w:t>
            </w:r>
          </w:p>
        </w:tc>
        <w:tc>
          <w:tcPr>
            <w:tcW w:w="285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职称和资格要求</w:t>
            </w:r>
          </w:p>
        </w:tc>
        <w:tc>
          <w:tcPr>
            <w:tcW w:w="2404"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职责范围</w:t>
            </w:r>
          </w:p>
        </w:tc>
        <w:tc>
          <w:tcPr>
            <w:tcW w:w="1356"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人数要求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w:t>
            </w:r>
          </w:p>
        </w:tc>
        <w:tc>
          <w:tcPr>
            <w:tcW w:w="1496" w:type="dxa"/>
            <w:noWrap w:val="0"/>
            <w:vAlign w:val="center"/>
          </w:tcPr>
          <w:p>
            <w:pPr>
              <w:rPr>
                <w:rFonts w:ascii="宋体" w:hAnsi="宋体"/>
                <w:szCs w:val="21"/>
                <w:highlight w:val="none"/>
              </w:rPr>
            </w:pPr>
            <w:r>
              <w:rPr>
                <w:rFonts w:hint="eastAsia" w:ascii="宋体" w:hAnsi="宋体"/>
                <w:szCs w:val="21"/>
                <w:highlight w:val="none"/>
              </w:rPr>
              <w:t>项目负责人</w:t>
            </w:r>
          </w:p>
        </w:tc>
        <w:tc>
          <w:tcPr>
            <w:tcW w:w="2855" w:type="dxa"/>
            <w:noWrap w:val="0"/>
            <w:vAlign w:val="center"/>
          </w:tcPr>
          <w:p>
            <w:pPr>
              <w:spacing w:line="240" w:lineRule="exact"/>
              <w:rPr>
                <w:rFonts w:hint="default" w:ascii="宋体" w:hAnsi="宋体" w:eastAsiaTheme="minorEastAsia"/>
                <w:szCs w:val="21"/>
                <w:highlight w:val="none"/>
                <w:lang w:val="en-US" w:eastAsia="zh-CN"/>
              </w:rPr>
            </w:pPr>
            <w:r>
              <w:rPr>
                <w:rFonts w:hint="eastAsia" w:ascii="宋体" w:hAnsi="宋体"/>
                <w:szCs w:val="21"/>
                <w:highlight w:val="none"/>
                <w:lang w:val="en-US" w:eastAsia="zh-CN"/>
              </w:rPr>
              <w:t>按招标公告要求</w:t>
            </w:r>
          </w:p>
        </w:tc>
        <w:tc>
          <w:tcPr>
            <w:tcW w:w="2404" w:type="dxa"/>
            <w:noWrap w:val="0"/>
            <w:vAlign w:val="center"/>
          </w:tcPr>
          <w:p>
            <w:pPr>
              <w:spacing w:line="240" w:lineRule="exact"/>
              <w:rPr>
                <w:rFonts w:ascii="宋体" w:hAnsi="宋体"/>
                <w:szCs w:val="21"/>
                <w:highlight w:val="none"/>
              </w:rPr>
            </w:pPr>
            <w:r>
              <w:rPr>
                <w:rFonts w:hint="eastAsia" w:ascii="宋体" w:hAnsi="宋体"/>
                <w:szCs w:val="21"/>
                <w:highlight w:val="none"/>
              </w:rPr>
              <w:t>负责本项目造价咨询服务的总体统筹、协调工作，对服务质量负责。</w:t>
            </w:r>
          </w:p>
        </w:tc>
        <w:tc>
          <w:tcPr>
            <w:tcW w:w="1356" w:type="dxa"/>
            <w:noWrap w:val="0"/>
            <w:vAlign w:val="center"/>
          </w:tcPr>
          <w:p>
            <w:pPr>
              <w:spacing w:line="240" w:lineRule="exact"/>
              <w:jc w:val="center"/>
              <w:rPr>
                <w:rFonts w:ascii="宋体" w:hAnsi="宋体"/>
                <w:szCs w:val="21"/>
                <w:highlight w:val="none"/>
              </w:rPr>
            </w:pPr>
            <w:r>
              <w:rPr>
                <w:rFonts w:hint="eastAsia" w:ascii="宋体" w:hAnsi="宋体"/>
                <w:szCs w:val="21"/>
                <w:highlight w:val="none"/>
              </w:rPr>
              <w:t>1名</w:t>
            </w:r>
          </w:p>
          <w:p>
            <w:pPr>
              <w:spacing w:line="24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72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1496" w:type="dxa"/>
            <w:noWrap w:val="0"/>
            <w:vAlign w:val="center"/>
          </w:tcPr>
          <w:p>
            <w:pPr>
              <w:rPr>
                <w:rFonts w:ascii="宋体" w:hAnsi="宋体"/>
                <w:szCs w:val="21"/>
                <w:highlight w:val="none"/>
              </w:rPr>
            </w:pPr>
            <w:r>
              <w:rPr>
                <w:rFonts w:hint="eastAsia" w:ascii="宋体" w:hAnsi="宋体"/>
                <w:szCs w:val="21"/>
                <w:highlight w:val="none"/>
              </w:rPr>
              <w:t>土建专业负责人</w:t>
            </w:r>
          </w:p>
        </w:tc>
        <w:tc>
          <w:tcPr>
            <w:tcW w:w="2855" w:type="dxa"/>
            <w:noWrap w:val="0"/>
            <w:vAlign w:val="center"/>
          </w:tcPr>
          <w:p>
            <w:pPr>
              <w:spacing w:line="240" w:lineRule="exact"/>
              <w:rPr>
                <w:rFonts w:ascii="宋体" w:hAnsi="宋体"/>
                <w:szCs w:val="21"/>
                <w:highlight w:val="none"/>
              </w:rPr>
            </w:pPr>
            <w:r>
              <w:rPr>
                <w:rFonts w:hint="eastAsia" w:ascii="宋体" w:hAnsi="宋体"/>
                <w:szCs w:val="21"/>
                <w:highlight w:val="none"/>
              </w:rPr>
              <w:t>具有注册造价工程师执业资格或注册一级造价工程师职业资格（土建专业），10年或以上工作经验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以毕业证为准</w:t>
            </w:r>
            <w:r>
              <w:rPr>
                <w:rFonts w:hint="eastAsia" w:ascii="宋体" w:hAnsi="宋体"/>
                <w:color w:val="auto"/>
                <w:szCs w:val="21"/>
                <w:highlight w:val="none"/>
                <w:lang w:eastAsia="zh-CN"/>
              </w:rPr>
              <w:t>）</w:t>
            </w:r>
            <w:r>
              <w:rPr>
                <w:rFonts w:hint="eastAsia" w:ascii="宋体" w:hAnsi="宋体"/>
                <w:szCs w:val="21"/>
                <w:highlight w:val="none"/>
              </w:rPr>
              <w:t>，高级工程师或以上技术职称。</w:t>
            </w:r>
          </w:p>
        </w:tc>
        <w:tc>
          <w:tcPr>
            <w:tcW w:w="2404" w:type="dxa"/>
            <w:noWrap w:val="0"/>
            <w:vAlign w:val="center"/>
          </w:tcPr>
          <w:p>
            <w:pPr>
              <w:spacing w:line="240" w:lineRule="exact"/>
              <w:rPr>
                <w:rFonts w:ascii="宋体" w:hAnsi="宋体"/>
                <w:szCs w:val="21"/>
                <w:highlight w:val="none"/>
              </w:rPr>
            </w:pPr>
            <w:r>
              <w:rPr>
                <w:rFonts w:hint="eastAsia" w:ascii="宋体" w:hAnsi="宋体"/>
                <w:szCs w:val="21"/>
                <w:highlight w:val="none"/>
              </w:rPr>
              <w:t>负责土建专业造价咨询服务的组织协调工作。</w:t>
            </w:r>
          </w:p>
        </w:tc>
        <w:tc>
          <w:tcPr>
            <w:tcW w:w="1356" w:type="dxa"/>
            <w:noWrap w:val="0"/>
            <w:vAlign w:val="center"/>
          </w:tcPr>
          <w:p>
            <w:pPr>
              <w:spacing w:line="240" w:lineRule="exact"/>
              <w:jc w:val="center"/>
              <w:rPr>
                <w:rFonts w:ascii="宋体" w:hAnsi="宋体"/>
                <w:szCs w:val="21"/>
                <w:highlight w:val="none"/>
              </w:rPr>
            </w:pPr>
            <w:r>
              <w:rPr>
                <w:rFonts w:hint="eastAsia" w:ascii="宋体" w:hAnsi="宋体"/>
                <w:szCs w:val="21"/>
                <w:highlight w:val="none"/>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496"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土建专业造价人员</w:t>
            </w:r>
          </w:p>
        </w:tc>
        <w:tc>
          <w:tcPr>
            <w:tcW w:w="2855"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具备土建专业造价从业资格（造价员或二级造价工程师职业资格或以上）。</w:t>
            </w:r>
          </w:p>
        </w:tc>
        <w:tc>
          <w:tcPr>
            <w:tcW w:w="2404" w:type="dxa"/>
            <w:noWrap w:val="0"/>
            <w:vAlign w:val="center"/>
          </w:tcPr>
          <w:p>
            <w:pPr>
              <w:widowControl/>
              <w:textAlignment w:val="center"/>
              <w:rPr>
                <w:rFonts w:ascii="宋体" w:hAnsi="宋体"/>
                <w:color w:val="auto"/>
                <w:szCs w:val="21"/>
                <w:highlight w:val="none"/>
              </w:rPr>
            </w:pPr>
            <w:r>
              <w:rPr>
                <w:rFonts w:hint="eastAsia" w:ascii="宋体" w:hAnsi="宋体" w:cs="宋体"/>
                <w:color w:val="auto"/>
                <w:kern w:val="0"/>
                <w:szCs w:val="21"/>
                <w:highlight w:val="none"/>
                <w:lang w:bidi="ar"/>
              </w:rPr>
              <w:t>负责本项目的</w:t>
            </w:r>
            <w:r>
              <w:rPr>
                <w:rFonts w:hint="eastAsia" w:ascii="宋体" w:hAnsi="宋体" w:cs="宋体"/>
                <w:color w:val="auto"/>
                <w:kern w:val="0"/>
                <w:szCs w:val="21"/>
                <w:highlight w:val="none"/>
                <w:lang w:val="en-US" w:eastAsia="zh-CN" w:bidi="ar"/>
              </w:rPr>
              <w:t>土建、土石方、室外配套、园建绿化、装修</w:t>
            </w:r>
            <w:r>
              <w:rPr>
                <w:rFonts w:hint="eastAsia" w:ascii="宋体" w:hAnsi="宋体" w:cs="宋体"/>
                <w:color w:val="auto"/>
                <w:kern w:val="0"/>
                <w:szCs w:val="21"/>
                <w:highlight w:val="none"/>
                <w:lang w:bidi="ar"/>
              </w:rPr>
              <w:t>等专业造价咨询服务工作。</w:t>
            </w:r>
          </w:p>
        </w:tc>
        <w:tc>
          <w:tcPr>
            <w:tcW w:w="1356" w:type="dxa"/>
            <w:noWrap w:val="0"/>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lang w:bidi="ar"/>
              </w:rPr>
              <w:t>不少于</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496" w:type="dxa"/>
            <w:noWrap w:val="0"/>
            <w:vAlign w:val="center"/>
          </w:tcPr>
          <w:p>
            <w:pPr>
              <w:rPr>
                <w:rFonts w:ascii="宋体" w:hAnsi="宋体"/>
                <w:color w:val="auto"/>
                <w:szCs w:val="21"/>
                <w:highlight w:val="none"/>
              </w:rPr>
            </w:pPr>
            <w:r>
              <w:rPr>
                <w:rFonts w:hint="eastAsia" w:ascii="宋体" w:hAnsi="宋体"/>
                <w:color w:val="auto"/>
                <w:szCs w:val="21"/>
                <w:highlight w:val="none"/>
              </w:rPr>
              <w:t>安装专业负责人</w:t>
            </w:r>
          </w:p>
        </w:tc>
        <w:tc>
          <w:tcPr>
            <w:tcW w:w="2855"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具有注册造价工程师执业资格或注册一级造价工程师职业资格（安装专业），10年或以上工作经验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以毕业证为准</w:t>
            </w:r>
            <w:r>
              <w:rPr>
                <w:rFonts w:hint="eastAsia" w:ascii="宋体" w:hAnsi="宋体"/>
                <w:color w:val="auto"/>
                <w:szCs w:val="21"/>
                <w:highlight w:val="none"/>
                <w:lang w:eastAsia="zh-CN"/>
              </w:rPr>
              <w:t>）</w:t>
            </w:r>
            <w:r>
              <w:rPr>
                <w:rFonts w:hint="eastAsia" w:ascii="宋体" w:hAnsi="宋体"/>
                <w:color w:val="auto"/>
                <w:szCs w:val="21"/>
                <w:highlight w:val="none"/>
              </w:rPr>
              <w:t xml:space="preserve">，高级工程师或以上技术职称。 </w:t>
            </w:r>
          </w:p>
        </w:tc>
        <w:tc>
          <w:tcPr>
            <w:tcW w:w="2404"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负责安装专业、电力专业造价咨询服务的组织协调工作。</w:t>
            </w:r>
          </w:p>
        </w:tc>
        <w:tc>
          <w:tcPr>
            <w:tcW w:w="1356" w:type="dxa"/>
            <w:noWrap w:val="0"/>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149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安装专业造价人员</w:t>
            </w:r>
          </w:p>
        </w:tc>
        <w:tc>
          <w:tcPr>
            <w:tcW w:w="2855"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具备安装专业造价从业资格（二级造价工程师职业资格或以上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或上岗证书</w:t>
            </w:r>
            <w:r>
              <w:rPr>
                <w:rFonts w:hint="eastAsia" w:ascii="宋体" w:hAnsi="宋体"/>
                <w:color w:val="auto"/>
                <w:szCs w:val="21"/>
                <w:highlight w:val="none"/>
              </w:rPr>
              <w:t>）。</w:t>
            </w:r>
          </w:p>
        </w:tc>
        <w:tc>
          <w:tcPr>
            <w:tcW w:w="2404" w:type="dxa"/>
            <w:noWrap w:val="0"/>
            <w:vAlign w:val="center"/>
          </w:tcPr>
          <w:p>
            <w:pPr>
              <w:spacing w:line="240" w:lineRule="exact"/>
              <w:rPr>
                <w:rFonts w:hint="eastAsia" w:ascii="宋体" w:hAnsi="宋体" w:eastAsia="宋体"/>
                <w:color w:val="auto"/>
                <w:szCs w:val="21"/>
                <w:highlight w:val="none"/>
                <w:lang w:eastAsia="zh-CN"/>
              </w:rPr>
            </w:pPr>
            <w:r>
              <w:rPr>
                <w:rFonts w:hint="eastAsia" w:ascii="宋体" w:hAnsi="宋体"/>
                <w:color w:val="auto"/>
                <w:szCs w:val="21"/>
                <w:highlight w:val="none"/>
              </w:rPr>
              <w:t>负责本项目的（包含但不限于）照明、给排水、消防、自动报警、通风及排烟、燃气管道、电梯、泛光照明、人防、弱电、变配电、外电等专业造价咨询服务工作</w:t>
            </w:r>
            <w:r>
              <w:rPr>
                <w:rFonts w:hint="eastAsia" w:ascii="宋体" w:hAnsi="宋体"/>
                <w:color w:val="auto"/>
                <w:szCs w:val="21"/>
                <w:highlight w:val="none"/>
                <w:lang w:eastAsia="zh-CN"/>
              </w:rPr>
              <w:t>。</w:t>
            </w:r>
          </w:p>
        </w:tc>
        <w:tc>
          <w:tcPr>
            <w:tcW w:w="1356" w:type="dxa"/>
            <w:noWrap w:val="0"/>
            <w:vAlign w:val="center"/>
          </w:tcPr>
          <w:p>
            <w:pPr>
              <w:spacing w:line="2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不少于</w:t>
            </w:r>
            <w:r>
              <w:rPr>
                <w:rFonts w:hint="eastAsia" w:ascii="宋体" w:hAnsi="宋体"/>
                <w:color w:val="auto"/>
                <w:szCs w:val="21"/>
                <w:highlight w:val="none"/>
                <w:lang w:val="en-US" w:eastAsia="zh-CN"/>
              </w:rPr>
              <w:t>2</w:t>
            </w:r>
            <w:r>
              <w:rPr>
                <w:rFonts w:hint="eastAsia" w:ascii="宋体" w:hAnsi="宋体"/>
                <w:color w:val="auto"/>
                <w:szCs w:val="21"/>
                <w:highlight w:val="none"/>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0"/>
            <w:vAlign w:val="center"/>
          </w:tcPr>
          <w:p>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496" w:type="dxa"/>
            <w:noWrap w:val="0"/>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其他专业人员</w:t>
            </w:r>
          </w:p>
        </w:tc>
        <w:tc>
          <w:tcPr>
            <w:tcW w:w="2855" w:type="dxa"/>
            <w:noWrap w:val="0"/>
            <w:vAlign w:val="center"/>
          </w:tcPr>
          <w:p>
            <w:pPr>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具有会计或法律或城市规划或岩土专业对应从业证书。</w:t>
            </w:r>
          </w:p>
        </w:tc>
        <w:tc>
          <w:tcPr>
            <w:tcW w:w="2404" w:type="dxa"/>
            <w:noWrap w:val="0"/>
            <w:vAlign w:val="center"/>
          </w:tcPr>
          <w:p>
            <w:pPr>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相关专业人员负责对应的会计、法务、规划报建核对工作。</w:t>
            </w:r>
          </w:p>
        </w:tc>
        <w:tc>
          <w:tcPr>
            <w:tcW w:w="1356" w:type="dxa"/>
            <w:noWrap w:val="0"/>
            <w:vAlign w:val="center"/>
          </w:tcPr>
          <w:p>
            <w:pPr>
              <w:spacing w:line="2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不少于4人，会计、法律、规划、岩土专业各1人。</w:t>
            </w:r>
          </w:p>
        </w:tc>
      </w:tr>
    </w:tbl>
    <w:p>
      <w:pPr>
        <w:spacing w:line="360" w:lineRule="auto"/>
        <w:ind w:left="149" w:hanging="149" w:hangingChars="71"/>
        <w:rPr>
          <w:rFonts w:hint="eastAsia" w:ascii="宋体" w:hAnsi="宋体" w:eastAsia="宋体" w:cs="宋体"/>
          <w:highlight w:val="none"/>
        </w:rPr>
      </w:pPr>
      <w:r>
        <w:rPr>
          <w:rFonts w:hint="eastAsia" w:ascii="宋体" w:hAnsi="宋体" w:eastAsia="宋体" w:cs="宋体"/>
          <w:highlight w:val="none"/>
        </w:rPr>
        <w:t>注：</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1.此表为项目最基本的人员需求，投标人须根据项目的情况、公司发展战略、投标响应等因素综合考虑，增加配备岗位及数量。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2. 以上人员中的项目负责人及团队人员必须提供，资历证明材料为满足基本要求的相关证明资料，包括但不限于注册执业资格证、专业技术职称资格证、身份证、毕业证等。</w:t>
      </w:r>
      <w:r>
        <w:rPr>
          <w:rFonts w:hint="eastAsia" w:ascii="宋体" w:hAnsi="宋体" w:eastAsia="宋体" w:cs="宋体"/>
          <w:highlight w:val="none"/>
          <w:lang w:bidi="ar"/>
        </w:rPr>
        <w:t>前述人员均不得互相兼任。</w:t>
      </w:r>
    </w:p>
    <w:p>
      <w:pPr>
        <w:pStyle w:val="3"/>
        <w:spacing w:line="360" w:lineRule="auto"/>
        <w:rPr>
          <w:rFonts w:hint="eastAsia" w:ascii="宋体" w:hAnsi="宋体" w:eastAsia="宋体" w:cs="宋体"/>
          <w:highlight w:val="none"/>
        </w:rPr>
      </w:pPr>
      <w:bookmarkStart w:id="238" w:name="_Toc69983698"/>
      <w:r>
        <w:rPr>
          <w:rFonts w:hint="eastAsia" w:hAnsi="宋体" w:cs="宋体"/>
          <w:highlight w:val="none"/>
          <w:lang w:val="en-US" w:eastAsia="zh-CN"/>
        </w:rPr>
        <w:t>三</w:t>
      </w:r>
      <w:r>
        <w:rPr>
          <w:rFonts w:hint="eastAsia" w:ascii="宋体" w:hAnsi="宋体" w:eastAsia="宋体" w:cs="宋体"/>
          <w:highlight w:val="none"/>
        </w:rPr>
        <w:t>、工作模式</w:t>
      </w:r>
      <w:bookmarkEnd w:id="238"/>
    </w:p>
    <w:p>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本项目拟采用全过程造价咨询服务管理模式。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工程造价咨询人派出的全过程造价咨询团队对工程造价咨询负责。</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委托人派驻的项目组与全过程造价咨询管理机构共同组成项目管理组，委托人派驻的项目组有权代表委托人对全过程造价咨询单位的工作进行检查、监督，参与重大事项的决策，委托人派驻的项目组负责委托人与全过程造价咨询单位之间的沟通与协调工作，协助全过程造价咨询单位按照委托人有关政府工程建设制度履行程序，协助全过程造价咨询单位向委托人上级领导汇报等工作。</w:t>
      </w:r>
    </w:p>
    <w:p>
      <w:pPr>
        <w:pStyle w:val="10"/>
        <w:spacing w:line="360" w:lineRule="auto"/>
        <w:ind w:firstLine="400"/>
        <w:rPr>
          <w:rFonts w:hint="eastAsia" w:ascii="宋体" w:hAnsi="宋体" w:eastAsia="宋体" w:cs="宋体"/>
          <w:highlight w:val="none"/>
        </w:rPr>
      </w:pPr>
    </w:p>
    <w:bookmarkEnd w:id="231"/>
    <w:p>
      <w:pPr>
        <w:spacing w:line="9" w:lineRule="exact"/>
        <w:ind w:firstLine="480"/>
        <w:rPr>
          <w:rFonts w:hAnsi="宋体"/>
          <w:highlight w:val="none"/>
        </w:rPr>
      </w:pPr>
      <w:bookmarkStart w:id="239" w:name="_Toc35513535"/>
      <w:r>
        <w:rPr>
          <w:highlight w:val="none"/>
        </w:rPr>
        <w:br w:type="page"/>
      </w:r>
      <w:bookmarkEnd w:id="239"/>
    </w:p>
    <w:p>
      <w:pPr>
        <w:spacing w:line="491" w:lineRule="exact"/>
        <w:ind w:firstLine="863"/>
        <w:jc w:val="center"/>
        <w:outlineLvl w:val="0"/>
        <w:rPr>
          <w:rFonts w:hAnsi="宋体"/>
          <w:b/>
          <w:sz w:val="43"/>
          <w:highlight w:val="none"/>
        </w:rPr>
      </w:pPr>
      <w:bookmarkStart w:id="240" w:name="_Toc25958"/>
      <w:bookmarkStart w:id="241" w:name="_Toc3598"/>
      <w:bookmarkStart w:id="242" w:name="_Toc69983700"/>
      <w:bookmarkStart w:id="243" w:name="_Toc20165"/>
      <w:r>
        <w:rPr>
          <w:rFonts w:hAnsi="宋体"/>
          <w:b/>
          <w:sz w:val="43"/>
          <w:highlight w:val="none"/>
        </w:rPr>
        <w:t>第六章 投标文件格式</w:t>
      </w:r>
      <w:bookmarkEnd w:id="240"/>
      <w:bookmarkEnd w:id="241"/>
      <w:bookmarkEnd w:id="242"/>
      <w:bookmarkEnd w:id="243"/>
    </w:p>
    <w:p>
      <w:pPr>
        <w:pStyle w:val="3"/>
        <w:spacing w:line="360" w:lineRule="auto"/>
        <w:jc w:val="center"/>
        <w:rPr>
          <w:highlight w:val="none"/>
        </w:rPr>
      </w:pPr>
      <w:r>
        <w:rPr>
          <w:rFonts w:hAnsi="宋体"/>
          <w:b w:val="0"/>
          <w:sz w:val="43"/>
          <w:highlight w:val="none"/>
        </w:rPr>
        <w:br w:type="page"/>
      </w:r>
      <w:bookmarkStart w:id="244" w:name="_Toc69983701"/>
      <w:bookmarkStart w:id="245" w:name="_Toc35513537"/>
      <w:r>
        <w:rPr>
          <w:rFonts w:hint="eastAsia"/>
          <w:highlight w:val="none"/>
        </w:rPr>
        <w:t>一、投标函及投标函附录</w:t>
      </w:r>
      <w:bookmarkEnd w:id="244"/>
      <w:bookmarkEnd w:id="245"/>
    </w:p>
    <w:p>
      <w:pPr>
        <w:pStyle w:val="3"/>
        <w:spacing w:line="360" w:lineRule="auto"/>
        <w:jc w:val="center"/>
        <w:rPr>
          <w:highlight w:val="none"/>
        </w:rPr>
      </w:pPr>
      <w:bookmarkStart w:id="246" w:name="_Toc69983702"/>
      <w:bookmarkStart w:id="247" w:name="_Toc35513538"/>
      <w:r>
        <w:rPr>
          <w:rFonts w:hint="eastAsia"/>
          <w:highlight w:val="none"/>
        </w:rPr>
        <w:t>（一）投标函</w:t>
      </w:r>
      <w:bookmarkEnd w:id="246"/>
      <w:bookmarkEnd w:id="247"/>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（招标人名称）：</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（项目名称）招标项目招标文件的全部内容，愿意以人民币（大写）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元</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增值税率为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费</w:t>
      </w:r>
      <w:r>
        <w:rPr>
          <w:rFonts w:hint="eastAsia" w:ascii="宋体" w:hAnsi="宋体" w:eastAsia="宋体" w:cs="宋体"/>
          <w:sz w:val="21"/>
          <w:szCs w:val="21"/>
          <w:highlight w:val="none"/>
          <w:u w:val="single"/>
        </w:rPr>
        <w:t xml:space="preserve">率为    % </w:t>
      </w:r>
      <w:r>
        <w:rPr>
          <w:rFonts w:hint="eastAsia" w:ascii="宋体" w:hAnsi="宋体" w:eastAsia="宋体" w:cs="宋体"/>
          <w:sz w:val="21"/>
          <w:szCs w:val="21"/>
          <w:highlight w:val="none"/>
        </w:rPr>
        <w:t>）的投标总报价（含税包干合同总价），服务期限：</w:t>
      </w:r>
      <w:r>
        <w:rPr>
          <w:rFonts w:hint="eastAsia" w:ascii="宋体" w:hAnsi="宋体" w:eastAsia="宋体" w:cs="宋体"/>
          <w:sz w:val="21"/>
          <w:szCs w:val="21"/>
          <w:highlight w:val="none"/>
          <w:u w:val="single"/>
        </w:rPr>
        <w:t xml:space="preserve"> 按招标文件要求 </w:t>
      </w:r>
      <w:r>
        <w:rPr>
          <w:rFonts w:hint="eastAsia" w:ascii="宋体" w:hAnsi="宋体" w:eastAsia="宋体" w:cs="宋体"/>
          <w:sz w:val="21"/>
          <w:szCs w:val="21"/>
          <w:highlight w:val="none"/>
        </w:rPr>
        <w:t>，按合同约定完成全过程造价咨询服务工作。</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 我方的投标文件包括下列内容：</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（1）投标函及投标函附录；</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（2）法定代表人身份证明或授权委托书（如有）；</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（3）投标报价表； </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（4）响应合同条款承诺函</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（5）资格审查资料；</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（6）全过程造价咨询实施方案；</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（7）其他资料。</w:t>
      </w:r>
    </w:p>
    <w:p>
      <w:pPr>
        <w:spacing w:line="360" w:lineRule="auto"/>
        <w:ind w:left="78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投标文件的上述组成部分如存在内容不一致的，以投标函为准。</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3．我方承诺在招标文件规定的投标有效期内不撤销投标文件。</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4．如我方中标，我方承诺：</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（1）在收到中标通知书后，在中标通知书规定的期限内与你方签订合同；</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（2）在签订合同时不向你方提出附加条件；</w:t>
      </w:r>
    </w:p>
    <w:p>
      <w:pPr>
        <w:spacing w:line="360" w:lineRule="auto"/>
        <w:ind w:firstLine="779" w:firstLineChars="371"/>
        <w:rPr>
          <w:rFonts w:hint="eastAsia" w:ascii="宋体" w:hAnsi="宋体" w:eastAsia="宋体" w:cs="宋体"/>
          <w:sz w:val="21"/>
          <w:szCs w:val="21"/>
          <w:highlight w:val="none"/>
        </w:rPr>
      </w:pPr>
      <w:r>
        <w:rPr>
          <w:rFonts w:hint="eastAsia" w:ascii="宋体" w:hAnsi="宋体" w:eastAsia="宋体" w:cs="宋体"/>
          <w:sz w:val="21"/>
          <w:szCs w:val="21"/>
          <w:highlight w:val="none"/>
        </w:rPr>
        <w:t>（3）在合同约定的期限内完成合同规定的全部义务。</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5．我方在此声明，所递交的投标文件及有关资料内容完整、真实和准确，且不存在第二章“投标人须知”第 1.4.3 项规定的任何一种情形。</w:t>
      </w:r>
    </w:p>
    <w:p>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 xml:space="preserve">        （其他说明）。</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（签字或盖章）</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网  址：</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p>
    <w:p>
      <w:pPr>
        <w:spacing w:line="360" w:lineRule="auto"/>
        <w:ind w:firstLine="3399" w:firstLineChars="1619"/>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p>
    <w:p>
      <w:pPr>
        <w:spacing w:line="360" w:lineRule="auto"/>
        <w:ind w:firstLine="412"/>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 xml:space="preserve">年  </w:t>
      </w:r>
      <w:r>
        <w:rPr>
          <w:rFonts w:hint="eastAsia" w:ascii="宋体" w:hAnsi="宋体" w:eastAsia="宋体" w:cs="宋体"/>
          <w:sz w:val="21"/>
          <w:szCs w:val="21"/>
          <w:highlight w:val="none"/>
        </w:rPr>
        <w:tab/>
      </w:r>
      <w:r>
        <w:rPr>
          <w:rFonts w:hint="eastAsia" w:ascii="宋体" w:hAnsi="宋体" w:eastAsia="宋体" w:cs="宋体"/>
          <w:spacing w:val="-2"/>
          <w:sz w:val="21"/>
          <w:szCs w:val="21"/>
          <w:highlight w:val="none"/>
        </w:rPr>
        <w:t xml:space="preserve">月   </w:t>
      </w:r>
      <w:r>
        <w:rPr>
          <w:rFonts w:hint="eastAsia" w:ascii="宋体" w:hAnsi="宋体" w:eastAsia="宋体" w:cs="宋体"/>
          <w:sz w:val="21"/>
          <w:szCs w:val="21"/>
          <w:highlight w:val="none"/>
        </w:rPr>
        <w:tab/>
      </w:r>
      <w:r>
        <w:rPr>
          <w:rFonts w:hint="eastAsia" w:ascii="宋体" w:hAnsi="宋体" w:eastAsia="宋体" w:cs="宋体"/>
          <w:spacing w:val="-2"/>
          <w:sz w:val="21"/>
          <w:szCs w:val="21"/>
          <w:highlight w:val="none"/>
        </w:rPr>
        <w:t>日</w:t>
      </w:r>
    </w:p>
    <w:p>
      <w:pPr>
        <w:spacing w:line="2" w:lineRule="exact"/>
        <w:ind w:firstLine="360"/>
        <w:rPr>
          <w:rFonts w:hAnsi="宋体"/>
          <w:highlight w:val="none"/>
        </w:rPr>
      </w:pPr>
      <w:r>
        <w:rPr>
          <w:rFonts w:hAnsi="宋体"/>
          <w:sz w:val="18"/>
          <w:highlight w:val="none"/>
        </w:rPr>
        <w:br w:type="page"/>
      </w:r>
    </w:p>
    <w:p>
      <w:pPr>
        <w:pStyle w:val="4"/>
        <w:keepNext/>
        <w:keepLines/>
        <w:pageBreakBefore w:val="0"/>
        <w:widowControl w:val="0"/>
        <w:kinsoku/>
        <w:wordWrap/>
        <w:overflowPunct/>
        <w:topLinePunct w:val="0"/>
        <w:autoSpaceDE/>
        <w:autoSpaceDN/>
        <w:bidi w:val="0"/>
        <w:adjustRightInd/>
        <w:snapToGrid/>
        <w:ind w:firstLine="0" w:firstLineChars="0"/>
        <w:jc w:val="center"/>
        <w:textAlignment w:val="auto"/>
        <w:rPr>
          <w:highlight w:val="none"/>
        </w:rPr>
      </w:pPr>
      <w:bookmarkStart w:id="248" w:name="_Toc35513539"/>
      <w:bookmarkStart w:id="249" w:name="_Toc69983703"/>
      <w:r>
        <w:rPr>
          <w:rFonts w:hint="eastAsia"/>
          <w:highlight w:val="none"/>
        </w:rPr>
        <w:t>（二）投标函附录</w:t>
      </w:r>
      <w:bookmarkEnd w:id="248"/>
      <w:bookmarkEnd w:id="249"/>
    </w:p>
    <w:p>
      <w:pPr>
        <w:spacing w:line="200" w:lineRule="exact"/>
        <w:ind w:firstLine="480"/>
        <w:rPr>
          <w:rFonts w:hAnsi="宋体"/>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17"/>
        <w:gridCol w:w="351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17"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3515"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约定内容</w:t>
            </w:r>
          </w:p>
        </w:tc>
        <w:tc>
          <w:tcPr>
            <w:tcW w:w="2025"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1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3515"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p>
        </w:tc>
        <w:tc>
          <w:tcPr>
            <w:tcW w:w="2025"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81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515"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按招标文件要求</w:t>
            </w:r>
          </w:p>
        </w:tc>
        <w:tc>
          <w:tcPr>
            <w:tcW w:w="2025"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81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3515"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按招标文件要求</w:t>
            </w:r>
          </w:p>
        </w:tc>
        <w:tc>
          <w:tcPr>
            <w:tcW w:w="2025"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81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投标总报价</w:t>
            </w:r>
          </w:p>
        </w:tc>
        <w:tc>
          <w:tcPr>
            <w:tcW w:w="3515"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大写：</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小写：     元</w:t>
            </w:r>
          </w:p>
        </w:tc>
        <w:tc>
          <w:tcPr>
            <w:tcW w:w="2025"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81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515" w:type="dxa"/>
            <w:vAlign w:val="center"/>
          </w:tcPr>
          <w:p>
            <w:pPr>
              <w:pStyle w:val="7"/>
              <w:topLinePunct/>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按招标文件要求</w:t>
            </w:r>
          </w:p>
        </w:tc>
        <w:tc>
          <w:tcPr>
            <w:tcW w:w="2025" w:type="dxa"/>
            <w:vAlign w:val="center"/>
          </w:tcPr>
          <w:p>
            <w:pPr>
              <w:spacing w:line="360" w:lineRule="auto"/>
              <w:rPr>
                <w:rFonts w:hint="eastAsia" w:ascii="宋体" w:hAnsi="宋体" w:eastAsia="宋体" w:cs="宋体"/>
                <w:sz w:val="21"/>
                <w:szCs w:val="21"/>
                <w:highlight w:val="none"/>
              </w:rPr>
            </w:pPr>
          </w:p>
        </w:tc>
      </w:tr>
    </w:tbl>
    <w:p>
      <w:pPr>
        <w:ind w:firstLine="2520" w:firstLineChars="1200"/>
        <w:jc w:val="right"/>
        <w:rPr>
          <w:rFonts w:hAnsi="宋体"/>
          <w:szCs w:val="21"/>
          <w:highlight w:val="none"/>
        </w:rPr>
      </w:pPr>
    </w:p>
    <w:p>
      <w:pPr>
        <w:spacing w:line="360" w:lineRule="auto"/>
        <w:ind w:firstLine="2520" w:firstLineChars="1200"/>
        <w:jc w:val="right"/>
        <w:rPr>
          <w:rFonts w:hAnsi="宋体"/>
          <w:szCs w:val="21"/>
          <w:highlight w:val="none"/>
        </w:rPr>
      </w:pPr>
    </w:p>
    <w:p>
      <w:pPr>
        <w:spacing w:line="360" w:lineRule="auto"/>
        <w:ind w:firstLine="2520" w:firstLineChars="1200"/>
        <w:jc w:val="center"/>
        <w:rPr>
          <w:rFonts w:hAnsi="宋体"/>
          <w:szCs w:val="21"/>
          <w:highlight w:val="none"/>
        </w:rPr>
      </w:pPr>
      <w:r>
        <w:rPr>
          <w:rFonts w:hAnsi="宋体"/>
          <w:szCs w:val="21"/>
          <w:highlight w:val="none"/>
        </w:rPr>
        <w:t>投标人：</w:t>
      </w:r>
      <w:r>
        <w:rPr>
          <w:rFonts w:hAnsi="宋体"/>
          <w:szCs w:val="21"/>
          <w:highlight w:val="none"/>
          <w:u w:val="single"/>
        </w:rPr>
        <w:tab/>
      </w:r>
      <w:r>
        <w:rPr>
          <w:rFonts w:hAnsi="宋体"/>
          <w:szCs w:val="21"/>
          <w:highlight w:val="none"/>
          <w:u w:val="single"/>
        </w:rPr>
        <w:t xml:space="preserve">         </w:t>
      </w:r>
      <w:bookmarkStart w:id="250" w:name="page79"/>
      <w:bookmarkEnd w:id="250"/>
      <w:r>
        <w:rPr>
          <w:rFonts w:hAnsi="宋体"/>
          <w:szCs w:val="21"/>
          <w:highlight w:val="none"/>
          <w:u w:val="single"/>
        </w:rPr>
        <w:t xml:space="preserve">  </w:t>
      </w:r>
      <w:bookmarkStart w:id="251" w:name="page80"/>
      <w:bookmarkEnd w:id="251"/>
      <w:r>
        <w:rPr>
          <w:rFonts w:hAnsi="宋体"/>
          <w:szCs w:val="21"/>
          <w:highlight w:val="none"/>
          <w:u w:val="single"/>
        </w:rPr>
        <w:t xml:space="preserve">  </w:t>
      </w:r>
      <w:bookmarkStart w:id="252" w:name="page81"/>
      <w:bookmarkEnd w:id="252"/>
      <w:r>
        <w:rPr>
          <w:rFonts w:hAnsi="宋体"/>
          <w:szCs w:val="21"/>
          <w:highlight w:val="none"/>
          <w:u w:val="single"/>
        </w:rPr>
        <w:t xml:space="preserve"> </w:t>
      </w:r>
      <w:bookmarkStart w:id="253" w:name="_Toc14709395"/>
      <w:r>
        <w:rPr>
          <w:rFonts w:hAnsi="宋体"/>
          <w:szCs w:val="21"/>
          <w:highlight w:val="none"/>
          <w:u w:val="single"/>
        </w:rPr>
        <w:t xml:space="preserve">       </w:t>
      </w:r>
      <w:bookmarkEnd w:id="253"/>
    </w:p>
    <w:p>
      <w:pPr>
        <w:wordWrap w:val="0"/>
        <w:spacing w:line="360" w:lineRule="auto"/>
        <w:ind w:firstLine="2730" w:firstLineChars="1300"/>
        <w:jc w:val="right"/>
        <w:rPr>
          <w:rFonts w:hAnsi="宋体"/>
          <w:szCs w:val="21"/>
          <w:highlight w:val="none"/>
        </w:rPr>
      </w:pPr>
      <w:r>
        <w:rPr>
          <w:rFonts w:hAnsi="宋体"/>
          <w:szCs w:val="21"/>
          <w:highlight w:val="none"/>
        </w:rPr>
        <w:t xml:space="preserve">  </w:t>
      </w:r>
    </w:p>
    <w:p>
      <w:pPr>
        <w:spacing w:line="360" w:lineRule="auto"/>
        <w:ind w:left="500" w:firstLine="420"/>
        <w:jc w:val="center"/>
        <w:rPr>
          <w:rFonts w:hAnsi="宋体"/>
          <w:szCs w:val="21"/>
          <w:highlight w:val="none"/>
        </w:rPr>
      </w:pPr>
      <w:r>
        <w:rPr>
          <w:rFonts w:hAnsi="宋体"/>
          <w:szCs w:val="21"/>
          <w:highlight w:val="none"/>
        </w:rPr>
        <w:t xml:space="preserve">                        </w:t>
      </w:r>
      <w:bookmarkStart w:id="254" w:name="_Toc352691662"/>
      <w:bookmarkStart w:id="255" w:name="_Toc369531698"/>
      <w:bookmarkStart w:id="256" w:name="_Toc27897"/>
      <w:r>
        <w:rPr>
          <w:rFonts w:hAnsi="宋体"/>
          <w:szCs w:val="21"/>
          <w:highlight w:val="none"/>
        </w:rPr>
        <w:t xml:space="preserve">         </w:t>
      </w:r>
      <w:bookmarkEnd w:id="254"/>
      <w:bookmarkEnd w:id="255"/>
      <w:bookmarkEnd w:id="256"/>
      <w:r>
        <w:rPr>
          <w:rFonts w:hAnsi="宋体"/>
          <w:szCs w:val="21"/>
          <w:highlight w:val="none"/>
        </w:rPr>
        <w:t xml:space="preserve"> </w:t>
      </w:r>
      <w:bookmarkStart w:id="257" w:name="_Toc361508754"/>
      <w:bookmarkStart w:id="258" w:name="_Toc352691663"/>
      <w:bookmarkStart w:id="259" w:name="_Toc384308377"/>
      <w:bookmarkStart w:id="260" w:name="_Toc15573"/>
      <w:bookmarkStart w:id="261" w:name="_Toc144974858"/>
      <w:bookmarkStart w:id="262" w:name="_Toc247514248"/>
      <w:bookmarkStart w:id="263" w:name="_Toc247527829"/>
      <w:bookmarkStart w:id="264" w:name="_Toc300835211"/>
      <w:bookmarkStart w:id="265" w:name="_Toc369531699"/>
      <w:bookmarkStart w:id="266" w:name="_Toc152042578"/>
      <w:bookmarkStart w:id="267" w:name="_Toc152045789"/>
      <w:r>
        <w:rPr>
          <w:rFonts w:hAnsi="宋体"/>
          <w:szCs w:val="21"/>
          <w:highlight w:val="none"/>
        </w:rPr>
        <w:t xml:space="preserve"> </w:t>
      </w:r>
      <w:bookmarkEnd w:id="257"/>
      <w:bookmarkEnd w:id="258"/>
      <w:bookmarkEnd w:id="259"/>
      <w:bookmarkEnd w:id="260"/>
      <w:bookmarkEnd w:id="261"/>
      <w:bookmarkEnd w:id="262"/>
      <w:bookmarkEnd w:id="263"/>
      <w:bookmarkEnd w:id="264"/>
      <w:bookmarkEnd w:id="265"/>
      <w:bookmarkEnd w:id="266"/>
      <w:bookmarkEnd w:id="267"/>
      <w:r>
        <w:rPr>
          <w:rFonts w:hAnsi="宋体"/>
          <w:szCs w:val="21"/>
          <w:highlight w:val="none"/>
        </w:rPr>
        <w:t xml:space="preserve"> 年    月    日</w:t>
      </w:r>
    </w:p>
    <w:p>
      <w:pPr>
        <w:spacing w:line="0" w:lineRule="atLeast"/>
        <w:ind w:firstLine="360"/>
        <w:jc w:val="center"/>
        <w:rPr>
          <w:rFonts w:hAnsi="宋体"/>
          <w:sz w:val="18"/>
          <w:highlight w:val="none"/>
        </w:rPr>
      </w:pPr>
    </w:p>
    <w:p>
      <w:pPr>
        <w:spacing w:line="2" w:lineRule="exact"/>
        <w:ind w:firstLine="360"/>
        <w:rPr>
          <w:rFonts w:hAnsi="宋体"/>
          <w:highlight w:val="none"/>
        </w:rPr>
      </w:pPr>
      <w:r>
        <w:rPr>
          <w:rFonts w:hAnsi="宋体"/>
          <w:sz w:val="18"/>
          <w:highlight w:val="none"/>
        </w:rPr>
        <w:br w:type="page"/>
      </w:r>
    </w:p>
    <w:p>
      <w:pPr>
        <w:spacing w:line="1" w:lineRule="exact"/>
        <w:ind w:firstLine="480"/>
        <w:rPr>
          <w:rFonts w:hAnsi="宋体"/>
          <w:highlight w:val="none"/>
        </w:rPr>
      </w:pPr>
    </w:p>
    <w:p>
      <w:pPr>
        <w:spacing w:line="366" w:lineRule="exact"/>
        <w:ind w:firstLine="643"/>
        <w:jc w:val="center"/>
        <w:outlineLvl w:val="1"/>
        <w:rPr>
          <w:rFonts w:hAnsi="宋体"/>
          <w:b/>
          <w:sz w:val="32"/>
          <w:highlight w:val="none"/>
        </w:rPr>
      </w:pPr>
      <w:bookmarkStart w:id="268" w:name="_Toc69983704"/>
      <w:bookmarkStart w:id="269" w:name="_Toc35513540"/>
      <w:r>
        <w:rPr>
          <w:rFonts w:hAnsi="宋体"/>
          <w:b/>
          <w:sz w:val="32"/>
          <w:highlight w:val="none"/>
        </w:rPr>
        <w:t>二、法定</w:t>
      </w:r>
      <w:r>
        <w:rPr>
          <w:rFonts w:hAnsi="宋体"/>
          <w:b/>
          <w:sz w:val="32"/>
          <w:szCs w:val="22"/>
          <w:highlight w:val="none"/>
        </w:rPr>
        <w:t>代表人</w:t>
      </w:r>
      <w:r>
        <w:rPr>
          <w:rFonts w:hAnsi="宋体"/>
          <w:b/>
          <w:sz w:val="32"/>
          <w:highlight w:val="none"/>
        </w:rPr>
        <w:t>身份证明</w:t>
      </w:r>
      <w:bookmarkEnd w:id="268"/>
      <w:bookmarkEnd w:id="269"/>
    </w:p>
    <w:p>
      <w:pPr>
        <w:spacing w:line="200" w:lineRule="exact"/>
        <w:ind w:firstLine="480"/>
        <w:rPr>
          <w:rFonts w:hAnsi="宋体"/>
          <w:highlight w:val="none"/>
        </w:rPr>
      </w:pPr>
    </w:p>
    <w:p>
      <w:pPr>
        <w:spacing w:line="360" w:lineRule="auto"/>
        <w:ind w:firstLine="331" w:firstLineChars="158"/>
        <w:rPr>
          <w:rFonts w:hAnsi="宋体"/>
          <w:szCs w:val="21"/>
          <w:highlight w:val="none"/>
        </w:rPr>
      </w:pPr>
      <w:r>
        <w:rPr>
          <w:rFonts w:hAnsi="宋体"/>
          <w:szCs w:val="21"/>
          <w:highlight w:val="none"/>
        </w:rPr>
        <w:t>投标人名称：</w:t>
      </w:r>
      <w:r>
        <w:rPr>
          <w:rFonts w:hAnsi="宋体"/>
          <w:szCs w:val="21"/>
          <w:highlight w:val="none"/>
          <w:u w:val="single"/>
        </w:rPr>
        <w:t xml:space="preserve">                        </w:t>
      </w:r>
    </w:p>
    <w:p>
      <w:pPr>
        <w:spacing w:line="360" w:lineRule="auto"/>
        <w:ind w:firstLine="331" w:firstLineChars="158"/>
        <w:rPr>
          <w:rFonts w:hAnsi="宋体"/>
          <w:szCs w:val="21"/>
          <w:highlight w:val="none"/>
        </w:rPr>
      </w:pPr>
      <w:r>
        <w:rPr>
          <w:rFonts w:hAnsi="宋体"/>
          <w:szCs w:val="21"/>
          <w:highlight w:val="none"/>
        </w:rPr>
        <w:t>姓名：</w:t>
      </w:r>
      <w:r>
        <w:rPr>
          <w:rFonts w:hAnsi="宋体"/>
          <w:szCs w:val="21"/>
          <w:highlight w:val="none"/>
          <w:u w:val="single"/>
        </w:rPr>
        <w:t xml:space="preserve">                </w:t>
      </w:r>
      <w:r>
        <w:rPr>
          <w:rFonts w:hAnsi="宋体"/>
          <w:szCs w:val="21"/>
          <w:highlight w:val="none"/>
        </w:rPr>
        <w:t>性别：</w:t>
      </w:r>
      <w:r>
        <w:rPr>
          <w:rFonts w:hAnsi="宋体"/>
          <w:szCs w:val="21"/>
          <w:highlight w:val="none"/>
          <w:u w:val="single"/>
        </w:rPr>
        <w:t xml:space="preserve">        </w:t>
      </w:r>
      <w:r>
        <w:rPr>
          <w:rFonts w:hAnsi="宋体"/>
          <w:szCs w:val="21"/>
          <w:highlight w:val="none"/>
        </w:rPr>
        <w:t>年龄：</w:t>
      </w:r>
      <w:r>
        <w:rPr>
          <w:rFonts w:hAnsi="宋体"/>
          <w:szCs w:val="21"/>
          <w:highlight w:val="none"/>
          <w:u w:val="single"/>
        </w:rPr>
        <w:t xml:space="preserve">        </w:t>
      </w:r>
      <w:r>
        <w:rPr>
          <w:rFonts w:hAnsi="宋体"/>
          <w:szCs w:val="21"/>
          <w:highlight w:val="none"/>
        </w:rPr>
        <w:t>职务：</w:t>
      </w:r>
      <w:r>
        <w:rPr>
          <w:rFonts w:hAnsi="宋体"/>
          <w:szCs w:val="21"/>
          <w:highlight w:val="none"/>
          <w:u w:val="single"/>
        </w:rPr>
        <w:t xml:space="preserve">        </w:t>
      </w:r>
    </w:p>
    <w:p>
      <w:pPr>
        <w:spacing w:line="360" w:lineRule="auto"/>
        <w:ind w:firstLine="331" w:firstLineChars="158"/>
        <w:rPr>
          <w:rFonts w:hAnsi="宋体"/>
          <w:szCs w:val="21"/>
          <w:highlight w:val="none"/>
        </w:rPr>
      </w:pPr>
      <w:r>
        <w:rPr>
          <w:rFonts w:hAnsi="宋体"/>
          <w:szCs w:val="21"/>
          <w:highlight w:val="none"/>
        </w:rPr>
        <w:t>系</w:t>
      </w:r>
      <w:r>
        <w:rPr>
          <w:rFonts w:hAnsi="宋体"/>
          <w:szCs w:val="21"/>
          <w:highlight w:val="none"/>
          <w:u w:val="single"/>
        </w:rPr>
        <w:t xml:space="preserve">                        </w:t>
      </w:r>
      <w:r>
        <w:rPr>
          <w:rFonts w:hAnsi="宋体"/>
          <w:szCs w:val="21"/>
          <w:highlight w:val="none"/>
        </w:rPr>
        <w:t>（投标人名称）的法定代表人。</w:t>
      </w:r>
    </w:p>
    <w:p>
      <w:pPr>
        <w:spacing w:line="360" w:lineRule="auto"/>
        <w:ind w:firstLine="480"/>
        <w:rPr>
          <w:rFonts w:hAnsi="宋体"/>
          <w:highlight w:val="none"/>
        </w:rPr>
      </w:pPr>
    </w:p>
    <w:p>
      <w:pPr>
        <w:spacing w:line="360" w:lineRule="auto"/>
        <w:ind w:left="780" w:firstLine="420"/>
        <w:rPr>
          <w:rFonts w:hAnsi="宋体"/>
          <w:highlight w:val="none"/>
        </w:rPr>
      </w:pPr>
      <w:r>
        <w:rPr>
          <w:rFonts w:hAnsi="宋体"/>
          <w:highlight w:val="none"/>
        </w:rPr>
        <w:t>特此证明。</w:t>
      </w: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left="360" w:firstLine="420"/>
        <w:rPr>
          <w:rFonts w:hAnsi="宋体"/>
          <w:highlight w:val="none"/>
        </w:rPr>
      </w:pPr>
      <w:r>
        <w:rPr>
          <w:rFonts w:hAnsi="宋体"/>
          <w:highlight w:val="none"/>
        </w:rPr>
        <w:t>附：法定代表人身份证。</w:t>
      </w: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left="360" w:firstLine="420"/>
        <w:rPr>
          <w:rFonts w:hAnsi="宋体"/>
          <w:highlight w:val="none"/>
        </w:rPr>
      </w:pPr>
      <w:r>
        <w:rPr>
          <w:rFonts w:hAnsi="宋体"/>
          <w:highlight w:val="none"/>
        </w:rPr>
        <w:t>注：本身份证明需由投标人加盖单位公章。</w:t>
      </w: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20"/>
        <w:jc w:val="right"/>
        <w:rPr>
          <w:rFonts w:hAnsi="宋体"/>
          <w:szCs w:val="21"/>
          <w:highlight w:val="none"/>
        </w:rPr>
      </w:pPr>
      <w:r>
        <w:rPr>
          <w:rFonts w:hAnsi="宋体"/>
          <w:szCs w:val="21"/>
          <w:highlight w:val="none"/>
        </w:rPr>
        <w:t xml:space="preserve"> 投标人：</w:t>
      </w:r>
      <w:r>
        <w:rPr>
          <w:rFonts w:hAnsi="宋体"/>
          <w:szCs w:val="21"/>
          <w:highlight w:val="none"/>
          <w:u w:val="single"/>
        </w:rPr>
        <w:t xml:space="preserve">          </w:t>
      </w:r>
      <w:r>
        <w:rPr>
          <w:rFonts w:hAnsi="宋体"/>
          <w:szCs w:val="21"/>
          <w:highlight w:val="none"/>
          <w:u w:val="single"/>
        </w:rPr>
        <w:tab/>
      </w:r>
      <w:bookmarkStart w:id="270" w:name="page82"/>
      <w:bookmarkEnd w:id="270"/>
      <w:r>
        <w:rPr>
          <w:rFonts w:hAnsi="宋体"/>
          <w:szCs w:val="21"/>
          <w:highlight w:val="none"/>
        </w:rPr>
        <w:t>（</w:t>
      </w:r>
      <w:bookmarkStart w:id="271" w:name="_Toc14709396"/>
      <w:r>
        <w:rPr>
          <w:rFonts w:hint="eastAsia" w:hAnsi="宋体"/>
          <w:szCs w:val="21"/>
          <w:highlight w:val="none"/>
        </w:rPr>
        <w:t>盖</w:t>
      </w:r>
      <w:r>
        <w:rPr>
          <w:rFonts w:hAnsi="宋体"/>
          <w:szCs w:val="21"/>
          <w:highlight w:val="none"/>
        </w:rPr>
        <w:t>单位</w:t>
      </w:r>
      <w:r>
        <w:rPr>
          <w:rFonts w:hint="eastAsia" w:hAnsi="宋体"/>
          <w:szCs w:val="21"/>
          <w:highlight w:val="none"/>
        </w:rPr>
        <w:t>章</w:t>
      </w:r>
      <w:r>
        <w:rPr>
          <w:rFonts w:hAnsi="宋体"/>
          <w:szCs w:val="21"/>
          <w:highlight w:val="none"/>
        </w:rPr>
        <w:t>）</w:t>
      </w:r>
    </w:p>
    <w:p>
      <w:pPr>
        <w:spacing w:line="360" w:lineRule="auto"/>
        <w:ind w:firstLine="420"/>
        <w:jc w:val="right"/>
        <w:rPr>
          <w:rFonts w:hAnsi="宋体"/>
          <w:szCs w:val="21"/>
          <w:highlight w:val="none"/>
        </w:rPr>
      </w:pPr>
    </w:p>
    <w:bookmarkEnd w:id="271"/>
    <w:p>
      <w:pPr>
        <w:spacing w:line="360" w:lineRule="auto"/>
        <w:ind w:firstLine="4620" w:firstLineChars="2200"/>
        <w:jc w:val="right"/>
        <w:rPr>
          <w:rFonts w:hAnsi="宋体"/>
          <w:szCs w:val="21"/>
          <w:highlight w:val="none"/>
        </w:rPr>
      </w:pPr>
      <w:r>
        <w:rPr>
          <w:rFonts w:hAnsi="宋体"/>
          <w:szCs w:val="21"/>
          <w:highlight w:val="none"/>
          <w:u w:val="single"/>
        </w:rPr>
        <w:t xml:space="preserve">       </w:t>
      </w:r>
      <w:r>
        <w:rPr>
          <w:rFonts w:hAnsi="宋体"/>
          <w:szCs w:val="21"/>
          <w:highlight w:val="none"/>
        </w:rPr>
        <w:t>年</w:t>
      </w:r>
      <w:r>
        <w:rPr>
          <w:rFonts w:hAnsi="宋体"/>
          <w:szCs w:val="21"/>
          <w:highlight w:val="none"/>
          <w:u w:val="single"/>
        </w:rPr>
        <w:t xml:space="preserve">      </w:t>
      </w:r>
      <w:r>
        <w:rPr>
          <w:rFonts w:hAnsi="宋体"/>
          <w:szCs w:val="21"/>
          <w:highlight w:val="none"/>
        </w:rPr>
        <w:t>月</w:t>
      </w:r>
      <w:r>
        <w:rPr>
          <w:rFonts w:hAnsi="宋体"/>
          <w:szCs w:val="21"/>
          <w:highlight w:val="none"/>
          <w:u w:val="single"/>
        </w:rPr>
        <w:t xml:space="preserve">      </w:t>
      </w:r>
      <w:r>
        <w:rPr>
          <w:rFonts w:hAnsi="宋体"/>
          <w:szCs w:val="21"/>
          <w:highlight w:val="none"/>
        </w:rPr>
        <w:t>日</w:t>
      </w:r>
    </w:p>
    <w:p>
      <w:pPr>
        <w:spacing w:line="360" w:lineRule="auto"/>
        <w:ind w:firstLine="420"/>
        <w:jc w:val="right"/>
        <w:rPr>
          <w:rFonts w:hAnsi="宋体"/>
          <w:szCs w:val="21"/>
          <w:highlight w:val="none"/>
        </w:rPr>
      </w:pP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80"/>
        <w:rPr>
          <w:rFonts w:hAnsi="宋体"/>
          <w:highlight w:val="none"/>
        </w:rPr>
      </w:pPr>
    </w:p>
    <w:p>
      <w:pPr>
        <w:spacing w:line="360" w:lineRule="auto"/>
        <w:ind w:firstLine="420"/>
        <w:rPr>
          <w:rFonts w:hAnsi="宋体"/>
          <w:szCs w:val="21"/>
          <w:highlight w:val="none"/>
        </w:rPr>
      </w:pPr>
      <w:r>
        <w:rPr>
          <w:rFonts w:hint="eastAsia" w:hAnsi="宋体"/>
          <w:szCs w:val="21"/>
          <w:highlight w:val="none"/>
        </w:rPr>
        <w:t>备注：也可使用从工商管理部门购买的格式填写。</w:t>
      </w:r>
    </w:p>
    <w:p>
      <w:pPr>
        <w:spacing w:line="1" w:lineRule="exact"/>
        <w:rPr>
          <w:rFonts w:hAnsi="宋体"/>
          <w:highlight w:val="none"/>
        </w:rPr>
      </w:pPr>
      <w:r>
        <w:rPr>
          <w:rFonts w:hAnsi="宋体"/>
          <w:sz w:val="18"/>
          <w:highlight w:val="none"/>
        </w:rPr>
        <w:br w:type="page"/>
      </w:r>
    </w:p>
    <w:p>
      <w:pPr>
        <w:spacing w:line="366" w:lineRule="exact"/>
        <w:ind w:firstLine="643"/>
        <w:jc w:val="center"/>
        <w:outlineLvl w:val="1"/>
        <w:rPr>
          <w:rFonts w:hAnsi="宋体"/>
          <w:b/>
          <w:sz w:val="32"/>
          <w:highlight w:val="none"/>
        </w:rPr>
      </w:pPr>
      <w:bookmarkStart w:id="272" w:name="_Toc35513541"/>
      <w:bookmarkStart w:id="273" w:name="_Toc69983705"/>
      <w:r>
        <w:rPr>
          <w:rFonts w:hAnsi="宋体"/>
          <w:b/>
          <w:sz w:val="32"/>
          <w:highlight w:val="none"/>
        </w:rPr>
        <w:t>二、授权</w:t>
      </w:r>
      <w:r>
        <w:rPr>
          <w:rFonts w:hAnsi="宋体"/>
          <w:b/>
          <w:sz w:val="32"/>
          <w:szCs w:val="22"/>
          <w:highlight w:val="none"/>
        </w:rPr>
        <w:t>委托书</w:t>
      </w:r>
      <w:bookmarkEnd w:id="272"/>
      <w:bookmarkEnd w:id="273"/>
    </w:p>
    <w:p>
      <w:pPr>
        <w:spacing w:line="200" w:lineRule="exact"/>
        <w:ind w:firstLine="480"/>
        <w:rPr>
          <w:rFonts w:hAnsi="宋体"/>
          <w:highlight w:val="none"/>
        </w:rPr>
      </w:pPr>
    </w:p>
    <w:p>
      <w:pPr>
        <w:spacing w:line="385" w:lineRule="exact"/>
        <w:ind w:firstLine="480"/>
        <w:rPr>
          <w:rFonts w:ascii="仿宋" w:hAnsi="仿宋" w:eastAsia="仿宋"/>
          <w:highlight w:val="none"/>
        </w:rPr>
      </w:pPr>
    </w:p>
    <w:p>
      <w:pPr>
        <w:topLinePunct/>
        <w:spacing w:line="440" w:lineRule="exact"/>
        <w:ind w:firstLine="420"/>
        <w:rPr>
          <w:rFonts w:hAnsi="宋体"/>
          <w:szCs w:val="21"/>
          <w:highlight w:val="none"/>
        </w:rPr>
      </w:pPr>
      <w:r>
        <w:rPr>
          <w:rFonts w:hAnsi="宋体"/>
          <w:szCs w:val="21"/>
          <w:highlight w:val="none"/>
        </w:rPr>
        <w:t>本人</w:t>
      </w:r>
      <w:r>
        <w:rPr>
          <w:rFonts w:hAnsi="宋体"/>
          <w:szCs w:val="21"/>
          <w:highlight w:val="none"/>
          <w:u w:val="single"/>
        </w:rPr>
        <w:t xml:space="preserve">       </w:t>
      </w:r>
      <w:r>
        <w:rPr>
          <w:rFonts w:hAnsi="宋体"/>
          <w:szCs w:val="21"/>
          <w:highlight w:val="none"/>
        </w:rPr>
        <w:t>（姓名）系</w:t>
      </w:r>
      <w:r>
        <w:rPr>
          <w:rFonts w:hAnsi="宋体"/>
          <w:szCs w:val="21"/>
          <w:highlight w:val="none"/>
          <w:u w:val="single"/>
        </w:rPr>
        <w:t xml:space="preserve">          </w:t>
      </w:r>
      <w:r>
        <w:rPr>
          <w:rFonts w:hAnsi="宋体"/>
          <w:szCs w:val="21"/>
          <w:highlight w:val="none"/>
        </w:rPr>
        <w:t>（投标人名称）的法定代表人，现委托</w:t>
      </w:r>
      <w:r>
        <w:rPr>
          <w:rFonts w:hAnsi="宋体"/>
          <w:szCs w:val="21"/>
          <w:highlight w:val="none"/>
          <w:u w:val="single"/>
        </w:rPr>
        <w:t xml:space="preserve">          </w:t>
      </w:r>
      <w:r>
        <w:rPr>
          <w:rFonts w:hAnsi="宋体"/>
          <w:szCs w:val="21"/>
          <w:highlight w:val="none"/>
        </w:rPr>
        <w:t>（姓名）为我方代理人。代理人根据授权，以我方名义签署、澄清确认、递交、撤回、修改</w:t>
      </w:r>
      <w:r>
        <w:rPr>
          <w:rFonts w:hAnsi="宋体"/>
          <w:szCs w:val="21"/>
          <w:highlight w:val="none"/>
          <w:u w:val="single"/>
        </w:rPr>
        <w:t xml:space="preserve">       </w:t>
      </w:r>
      <w:r>
        <w:rPr>
          <w:rFonts w:hAnsi="宋体"/>
          <w:szCs w:val="21"/>
          <w:highlight w:val="none"/>
        </w:rPr>
        <w:t xml:space="preserve"> 投标文件、签订合同和处理有关事宜，其法律后果由我方承担。</w:t>
      </w:r>
    </w:p>
    <w:p>
      <w:pPr>
        <w:spacing w:line="440" w:lineRule="exact"/>
        <w:ind w:firstLine="420"/>
        <w:rPr>
          <w:rFonts w:hAnsi="宋体"/>
          <w:szCs w:val="21"/>
          <w:highlight w:val="none"/>
        </w:rPr>
      </w:pPr>
      <w:r>
        <w:rPr>
          <w:rFonts w:hAnsi="宋体"/>
          <w:szCs w:val="21"/>
          <w:highlight w:val="none"/>
        </w:rPr>
        <w:t>委托期限：</w:t>
      </w:r>
      <w:r>
        <w:rPr>
          <w:rFonts w:hAnsi="宋体"/>
          <w:szCs w:val="21"/>
          <w:highlight w:val="none"/>
          <w:u w:val="single"/>
        </w:rPr>
        <w:t xml:space="preserve">                       </w:t>
      </w:r>
      <w:r>
        <w:rPr>
          <w:rFonts w:hAnsi="宋体"/>
          <w:szCs w:val="21"/>
          <w:highlight w:val="none"/>
        </w:rPr>
        <w:t>。</w:t>
      </w:r>
    </w:p>
    <w:p>
      <w:pPr>
        <w:spacing w:line="440" w:lineRule="exact"/>
        <w:ind w:firstLine="420"/>
        <w:rPr>
          <w:rFonts w:hAnsi="宋体"/>
          <w:szCs w:val="21"/>
          <w:highlight w:val="none"/>
        </w:rPr>
      </w:pPr>
      <w:r>
        <w:rPr>
          <w:rFonts w:hAnsi="宋体"/>
          <w:szCs w:val="21"/>
          <w:highlight w:val="none"/>
        </w:rPr>
        <w:t>代理人无转委托权。</w:t>
      </w:r>
    </w:p>
    <w:p>
      <w:pPr>
        <w:spacing w:line="200" w:lineRule="exact"/>
        <w:ind w:firstLine="480"/>
        <w:rPr>
          <w:rFonts w:hAnsi="宋体"/>
          <w:highlight w:val="none"/>
        </w:rPr>
      </w:pPr>
    </w:p>
    <w:p>
      <w:pPr>
        <w:spacing w:line="200" w:lineRule="exact"/>
        <w:ind w:firstLine="480"/>
        <w:rPr>
          <w:rFonts w:hAnsi="宋体"/>
          <w:highlight w:val="none"/>
        </w:rPr>
      </w:pPr>
    </w:p>
    <w:p>
      <w:pPr>
        <w:spacing w:line="241" w:lineRule="exact"/>
        <w:ind w:firstLine="480"/>
        <w:rPr>
          <w:rFonts w:hAnsi="宋体"/>
          <w:highlight w:val="none"/>
        </w:rPr>
      </w:pPr>
    </w:p>
    <w:p>
      <w:pPr>
        <w:spacing w:line="240" w:lineRule="exact"/>
        <w:ind w:left="360" w:firstLine="420"/>
        <w:rPr>
          <w:rFonts w:hAnsi="宋体"/>
          <w:highlight w:val="none"/>
        </w:rPr>
      </w:pPr>
      <w:r>
        <w:rPr>
          <w:rFonts w:hAnsi="宋体"/>
          <w:highlight w:val="none"/>
        </w:rPr>
        <w:t>附：法定代表人身份证及委托代理人身份证</w:t>
      </w:r>
    </w:p>
    <w:p>
      <w:pPr>
        <w:spacing w:line="200" w:lineRule="exact"/>
        <w:ind w:firstLine="480"/>
        <w:rPr>
          <w:rFonts w:hAnsi="宋体"/>
          <w:highlight w:val="none"/>
        </w:rPr>
      </w:pPr>
    </w:p>
    <w:p>
      <w:pPr>
        <w:spacing w:line="200" w:lineRule="exact"/>
        <w:ind w:firstLine="480"/>
        <w:rPr>
          <w:rFonts w:hAnsi="宋体"/>
          <w:highlight w:val="none"/>
        </w:rPr>
      </w:pPr>
    </w:p>
    <w:p>
      <w:pPr>
        <w:spacing w:line="239" w:lineRule="exact"/>
        <w:ind w:firstLine="480"/>
        <w:rPr>
          <w:rFonts w:hAnsi="宋体"/>
          <w:highlight w:val="none"/>
        </w:rPr>
      </w:pPr>
    </w:p>
    <w:p>
      <w:pPr>
        <w:spacing w:line="360" w:lineRule="exact"/>
        <w:ind w:left="360" w:firstLine="420"/>
        <w:rPr>
          <w:rFonts w:hAnsi="宋体"/>
          <w:highlight w:val="none"/>
        </w:rPr>
      </w:pPr>
      <w:r>
        <w:rPr>
          <w:rFonts w:hAnsi="宋体"/>
          <w:highlight w:val="none"/>
        </w:rPr>
        <w:t>注：本授权委托书需由投标人加盖单位公章并由其法定代表人和委托代理人签字。</w:t>
      </w:r>
    </w:p>
    <w:p>
      <w:pPr>
        <w:spacing w:line="360" w:lineRule="exact"/>
        <w:ind w:firstLine="480"/>
        <w:rPr>
          <w:rFonts w:hAnsi="宋体"/>
          <w:highlight w:val="none"/>
        </w:rPr>
      </w:pPr>
    </w:p>
    <w:p>
      <w:pPr>
        <w:spacing w:line="360" w:lineRule="exact"/>
        <w:ind w:firstLine="480"/>
        <w:rPr>
          <w:rFonts w:hAnsi="宋体"/>
          <w:highlight w:val="none"/>
        </w:rPr>
      </w:pPr>
    </w:p>
    <w:p>
      <w:pPr>
        <w:spacing w:line="360" w:lineRule="exact"/>
        <w:ind w:firstLine="4399" w:firstLineChars="2095"/>
        <w:rPr>
          <w:rFonts w:hAnsi="宋体"/>
          <w:szCs w:val="21"/>
          <w:highlight w:val="none"/>
        </w:rPr>
      </w:pPr>
      <w:r>
        <w:rPr>
          <w:rFonts w:hAnsi="宋体"/>
          <w:szCs w:val="21"/>
          <w:highlight w:val="none"/>
        </w:rPr>
        <w:t>投  标  人：</w:t>
      </w:r>
      <w:r>
        <w:rPr>
          <w:rFonts w:hAnsi="宋体"/>
          <w:szCs w:val="21"/>
          <w:highlight w:val="none"/>
          <w:u w:val="single"/>
        </w:rPr>
        <w:t xml:space="preserve">                 </w:t>
      </w:r>
      <w:r>
        <w:rPr>
          <w:rFonts w:hAnsi="宋体"/>
          <w:szCs w:val="21"/>
          <w:highlight w:val="none"/>
          <w:u w:val="single"/>
        </w:rPr>
        <w:tab/>
      </w:r>
      <w:r>
        <w:rPr>
          <w:rFonts w:hAnsi="宋体"/>
          <w:szCs w:val="21"/>
          <w:highlight w:val="none"/>
        </w:rPr>
        <w:t>（</w:t>
      </w:r>
      <w:r>
        <w:rPr>
          <w:rFonts w:hint="eastAsia" w:hAnsi="宋体"/>
          <w:szCs w:val="21"/>
          <w:highlight w:val="none"/>
        </w:rPr>
        <w:t>盖</w:t>
      </w:r>
      <w:r>
        <w:rPr>
          <w:rFonts w:hAnsi="宋体"/>
          <w:szCs w:val="21"/>
          <w:highlight w:val="none"/>
        </w:rPr>
        <w:t>单位</w:t>
      </w:r>
      <w:r>
        <w:rPr>
          <w:rFonts w:hint="eastAsia" w:hAnsi="宋体"/>
          <w:szCs w:val="21"/>
          <w:highlight w:val="none"/>
        </w:rPr>
        <w:t>章</w:t>
      </w:r>
      <w:r>
        <w:rPr>
          <w:rFonts w:hAnsi="宋体"/>
          <w:szCs w:val="21"/>
          <w:highlight w:val="none"/>
        </w:rPr>
        <w:t>）</w:t>
      </w:r>
    </w:p>
    <w:p>
      <w:pPr>
        <w:spacing w:line="360" w:lineRule="exact"/>
        <w:ind w:firstLine="4399" w:firstLineChars="2095"/>
        <w:rPr>
          <w:rFonts w:hAnsi="宋体"/>
          <w:szCs w:val="21"/>
          <w:highlight w:val="none"/>
        </w:rPr>
      </w:pPr>
    </w:p>
    <w:p>
      <w:pPr>
        <w:spacing w:line="360" w:lineRule="exact"/>
        <w:ind w:firstLine="4399" w:firstLineChars="2095"/>
        <w:rPr>
          <w:rFonts w:hAnsi="宋体"/>
          <w:szCs w:val="21"/>
          <w:highlight w:val="none"/>
        </w:rPr>
      </w:pPr>
      <w:r>
        <w:rPr>
          <w:rFonts w:hAnsi="宋体"/>
          <w:szCs w:val="21"/>
          <w:highlight w:val="none"/>
        </w:rPr>
        <w:t>法定代表人：</w:t>
      </w:r>
      <w:r>
        <w:rPr>
          <w:rFonts w:hAnsi="宋体"/>
          <w:szCs w:val="21"/>
          <w:highlight w:val="none"/>
          <w:u w:val="single"/>
        </w:rPr>
        <w:t xml:space="preserve">                     </w:t>
      </w:r>
      <w:r>
        <w:rPr>
          <w:rFonts w:hAnsi="宋体"/>
          <w:szCs w:val="21"/>
          <w:highlight w:val="none"/>
          <w:u w:val="single"/>
        </w:rPr>
        <w:tab/>
      </w:r>
      <w:r>
        <w:rPr>
          <w:rFonts w:hAnsi="宋体"/>
          <w:szCs w:val="21"/>
          <w:highlight w:val="none"/>
        </w:rPr>
        <w:t>（签字）</w:t>
      </w:r>
    </w:p>
    <w:p>
      <w:pPr>
        <w:spacing w:line="360" w:lineRule="exact"/>
        <w:ind w:firstLine="4399" w:firstLineChars="2095"/>
        <w:rPr>
          <w:rFonts w:hAnsi="宋体"/>
          <w:szCs w:val="21"/>
          <w:highlight w:val="none"/>
        </w:rPr>
      </w:pPr>
    </w:p>
    <w:p>
      <w:pPr>
        <w:spacing w:line="360" w:lineRule="exact"/>
        <w:ind w:firstLine="4399" w:firstLineChars="2095"/>
        <w:rPr>
          <w:rFonts w:hAnsi="宋体"/>
          <w:szCs w:val="21"/>
          <w:highlight w:val="none"/>
        </w:rPr>
      </w:pPr>
      <w:r>
        <w:rPr>
          <w:rFonts w:hAnsi="宋体"/>
          <w:szCs w:val="21"/>
          <w:highlight w:val="none"/>
        </w:rPr>
        <w:t>身份证号码：</w:t>
      </w:r>
      <w:r>
        <w:rPr>
          <w:rFonts w:hAnsi="宋体"/>
          <w:szCs w:val="21"/>
          <w:highlight w:val="none"/>
          <w:u w:val="single"/>
        </w:rPr>
        <w:t xml:space="preserve">                           </w:t>
      </w:r>
      <w:r>
        <w:rPr>
          <w:rFonts w:hAnsi="宋体"/>
          <w:szCs w:val="21"/>
          <w:highlight w:val="none"/>
          <w:u w:val="single"/>
        </w:rPr>
        <w:tab/>
      </w:r>
    </w:p>
    <w:p>
      <w:pPr>
        <w:spacing w:line="360" w:lineRule="exact"/>
        <w:ind w:firstLine="4399" w:firstLineChars="2095"/>
        <w:rPr>
          <w:rFonts w:hAnsi="宋体"/>
          <w:szCs w:val="21"/>
          <w:highlight w:val="none"/>
        </w:rPr>
      </w:pPr>
    </w:p>
    <w:p>
      <w:pPr>
        <w:spacing w:line="360" w:lineRule="exact"/>
        <w:ind w:firstLine="4399" w:firstLineChars="2095"/>
        <w:rPr>
          <w:rFonts w:hAnsi="宋体"/>
          <w:szCs w:val="21"/>
          <w:highlight w:val="none"/>
        </w:rPr>
      </w:pPr>
      <w:r>
        <w:rPr>
          <w:rFonts w:hAnsi="宋体"/>
          <w:szCs w:val="21"/>
          <w:highlight w:val="none"/>
        </w:rPr>
        <w:t>委托代理人：</w:t>
      </w:r>
      <w:r>
        <w:rPr>
          <w:rFonts w:hAnsi="宋体"/>
          <w:szCs w:val="21"/>
          <w:highlight w:val="none"/>
          <w:u w:val="single"/>
        </w:rPr>
        <w:t xml:space="preserve">                     </w:t>
      </w:r>
      <w:r>
        <w:rPr>
          <w:rFonts w:hAnsi="宋体"/>
          <w:szCs w:val="21"/>
          <w:highlight w:val="none"/>
          <w:u w:val="single"/>
        </w:rPr>
        <w:tab/>
      </w:r>
      <w:r>
        <w:rPr>
          <w:rFonts w:hAnsi="宋体"/>
          <w:szCs w:val="21"/>
          <w:highlight w:val="none"/>
        </w:rPr>
        <w:t>（签字）</w:t>
      </w:r>
    </w:p>
    <w:p>
      <w:pPr>
        <w:spacing w:line="360" w:lineRule="exact"/>
        <w:ind w:firstLine="4399" w:firstLineChars="2095"/>
        <w:rPr>
          <w:rFonts w:hAnsi="宋体"/>
          <w:szCs w:val="21"/>
          <w:highlight w:val="none"/>
        </w:rPr>
      </w:pPr>
    </w:p>
    <w:p>
      <w:pPr>
        <w:spacing w:line="360" w:lineRule="exact"/>
        <w:ind w:firstLine="4399" w:firstLineChars="2095"/>
        <w:rPr>
          <w:rFonts w:hAnsi="宋体"/>
          <w:szCs w:val="21"/>
          <w:highlight w:val="none"/>
        </w:rPr>
      </w:pPr>
      <w:r>
        <w:rPr>
          <w:rFonts w:hAnsi="宋体"/>
          <w:szCs w:val="21"/>
          <w:highlight w:val="none"/>
        </w:rPr>
        <w:t>身份证号码：</w:t>
      </w:r>
      <w:r>
        <w:rPr>
          <w:rFonts w:hAnsi="宋体"/>
          <w:szCs w:val="21"/>
          <w:highlight w:val="none"/>
          <w:u w:val="single"/>
        </w:rPr>
        <w:t xml:space="preserve">                           </w:t>
      </w:r>
      <w:r>
        <w:rPr>
          <w:rFonts w:hAnsi="宋体"/>
          <w:szCs w:val="21"/>
          <w:highlight w:val="none"/>
          <w:u w:val="single"/>
        </w:rPr>
        <w:tab/>
      </w:r>
    </w:p>
    <w:p>
      <w:pPr>
        <w:spacing w:line="360" w:lineRule="exact"/>
        <w:ind w:firstLine="2692" w:firstLineChars="1282"/>
        <w:rPr>
          <w:rFonts w:hAnsi="宋体"/>
          <w:szCs w:val="21"/>
          <w:highlight w:val="none"/>
        </w:rPr>
      </w:pPr>
    </w:p>
    <w:p>
      <w:pPr>
        <w:spacing w:line="360" w:lineRule="exact"/>
        <w:ind w:firstLine="420"/>
        <w:jc w:val="right"/>
        <w:rPr>
          <w:rFonts w:hAnsi="宋体"/>
          <w:highlight w:val="none"/>
        </w:rPr>
      </w:pPr>
      <w:r>
        <w:rPr>
          <w:rFonts w:hAnsi="宋体"/>
          <w:szCs w:val="21"/>
          <w:highlight w:val="none"/>
          <w:u w:val="single"/>
        </w:rPr>
        <w:t xml:space="preserve">        </w:t>
      </w:r>
      <w:r>
        <w:rPr>
          <w:rFonts w:hAnsi="宋体"/>
          <w:szCs w:val="21"/>
          <w:highlight w:val="none"/>
        </w:rPr>
        <w:t>年</w:t>
      </w:r>
      <w:r>
        <w:rPr>
          <w:rFonts w:hAnsi="宋体"/>
          <w:szCs w:val="21"/>
          <w:highlight w:val="none"/>
          <w:u w:val="single"/>
        </w:rPr>
        <w:t xml:space="preserve">       </w:t>
      </w:r>
      <w:r>
        <w:rPr>
          <w:rFonts w:hAnsi="宋体"/>
          <w:szCs w:val="21"/>
          <w:highlight w:val="none"/>
        </w:rPr>
        <w:t>月</w:t>
      </w:r>
      <w:r>
        <w:rPr>
          <w:rFonts w:hAnsi="宋体"/>
          <w:szCs w:val="21"/>
          <w:highlight w:val="none"/>
          <w:u w:val="single"/>
        </w:rPr>
        <w:t xml:space="preserve">       </w:t>
      </w:r>
      <w:r>
        <w:rPr>
          <w:rFonts w:hAnsi="宋体"/>
          <w:szCs w:val="21"/>
          <w:highlight w:val="none"/>
        </w:rPr>
        <w:t>日</w:t>
      </w:r>
    </w:p>
    <w:p>
      <w:pPr>
        <w:spacing w:line="200" w:lineRule="exact"/>
        <w:ind w:firstLine="480"/>
        <w:jc w:val="right"/>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spacing w:line="200" w:lineRule="exact"/>
        <w:ind w:firstLine="480"/>
        <w:rPr>
          <w:rFonts w:hAnsi="宋体"/>
          <w:highlight w:val="none"/>
        </w:rPr>
      </w:pPr>
    </w:p>
    <w:p>
      <w:pPr>
        <w:ind w:firstLine="420"/>
        <w:rPr>
          <w:rFonts w:hAnsi="宋体"/>
          <w:szCs w:val="21"/>
          <w:highlight w:val="none"/>
        </w:rPr>
      </w:pPr>
      <w:r>
        <w:rPr>
          <w:rFonts w:hint="eastAsia" w:hAnsi="宋体"/>
          <w:szCs w:val="21"/>
          <w:highlight w:val="none"/>
        </w:rPr>
        <w:t>备注：也可使用从工商管理部门购买的格式填写。</w:t>
      </w:r>
    </w:p>
    <w:p>
      <w:pPr>
        <w:bidi w:val="0"/>
        <w:rPr>
          <w:highlight w:val="none"/>
        </w:rPr>
      </w:pPr>
      <w:r>
        <w:rPr>
          <w:highlight w:val="none"/>
        </w:rPr>
        <w:br w:type="page"/>
      </w:r>
      <w:bookmarkStart w:id="274" w:name="_Toc35513543"/>
      <w:bookmarkStart w:id="275" w:name="_Toc69983708"/>
    </w:p>
    <w:p>
      <w:pPr>
        <w:spacing w:line="366" w:lineRule="exact"/>
        <w:jc w:val="center"/>
        <w:outlineLvl w:val="1"/>
        <w:rPr>
          <w:rFonts w:hAnsi="宋体"/>
          <w:b/>
          <w:sz w:val="32"/>
          <w:highlight w:val="none"/>
        </w:rPr>
      </w:pPr>
      <w:r>
        <w:rPr>
          <w:rFonts w:hint="eastAsia" w:hAnsi="宋体"/>
          <w:b/>
          <w:sz w:val="32"/>
          <w:highlight w:val="none"/>
        </w:rPr>
        <w:t>三、投标报价表</w:t>
      </w:r>
      <w:bookmarkEnd w:id="274"/>
      <w:bookmarkEnd w:id="275"/>
    </w:p>
    <w:p>
      <w:pPr>
        <w:ind w:firstLine="480"/>
        <w:rPr>
          <w:rFonts w:hAnsi="宋体"/>
          <w:highlight w:val="none"/>
        </w:rPr>
      </w:pPr>
    </w:p>
    <w:p>
      <w:pPr>
        <w:ind w:left="1680" w:hanging="1680" w:hangingChars="800"/>
        <w:rPr>
          <w:rFonts w:hAnsi="宋体" w:cs="宋体"/>
          <w:szCs w:val="21"/>
          <w:highlight w:val="none"/>
          <w:u w:val="single"/>
        </w:rPr>
      </w:pPr>
      <w:r>
        <w:rPr>
          <w:rFonts w:hint="eastAsia" w:hAnsi="宋体" w:cs="宋体"/>
          <w:szCs w:val="21"/>
          <w:highlight w:val="none"/>
        </w:rPr>
        <w:t>工程名称</w:t>
      </w:r>
      <w:r>
        <w:rPr>
          <w:rFonts w:hAnsi="宋体" w:cs="宋体"/>
          <w:szCs w:val="21"/>
          <w:highlight w:val="none"/>
        </w:rPr>
        <w:t>:</w:t>
      </w:r>
      <w:r>
        <w:rPr>
          <w:rFonts w:hAnsi="宋体" w:cs="宋体"/>
          <w:szCs w:val="21"/>
          <w:highlight w:val="none"/>
          <w:u w:val="single"/>
        </w:rPr>
        <w:t xml:space="preserve">                                    </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505"/>
        <w:gridCol w:w="1844"/>
        <w:gridCol w:w="20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57" w:type="pct"/>
            <w:vMerge w:val="restart"/>
            <w:vAlign w:val="center"/>
          </w:tcPr>
          <w:p>
            <w:pPr>
              <w:spacing w:line="360" w:lineRule="auto"/>
              <w:jc w:val="center"/>
              <w:rPr>
                <w:rFonts w:hAnsi="宋体" w:cs="宋体"/>
                <w:szCs w:val="21"/>
                <w:highlight w:val="none"/>
              </w:rPr>
            </w:pPr>
            <w:r>
              <w:rPr>
                <w:rFonts w:hint="eastAsia" w:hAnsi="宋体" w:cs="宋体"/>
                <w:szCs w:val="21"/>
                <w:highlight w:val="none"/>
              </w:rPr>
              <w:t>序号</w:t>
            </w:r>
          </w:p>
        </w:tc>
        <w:tc>
          <w:tcPr>
            <w:tcW w:w="1830" w:type="pct"/>
            <w:vMerge w:val="restart"/>
            <w:vAlign w:val="center"/>
          </w:tcPr>
          <w:p>
            <w:pPr>
              <w:jc w:val="center"/>
              <w:rPr>
                <w:rFonts w:hAnsi="宋体" w:cs="宋体"/>
                <w:szCs w:val="21"/>
                <w:highlight w:val="none"/>
              </w:rPr>
            </w:pPr>
            <w:r>
              <w:rPr>
                <w:rFonts w:hint="eastAsia" w:hAnsi="宋体" w:cs="宋体"/>
                <w:szCs w:val="21"/>
                <w:highlight w:val="none"/>
              </w:rPr>
              <w:t>最高投标限价</w:t>
            </w:r>
          </w:p>
          <w:p>
            <w:pPr>
              <w:spacing w:line="360" w:lineRule="auto"/>
              <w:jc w:val="center"/>
              <w:rPr>
                <w:rFonts w:hAnsi="宋体" w:cs="宋体"/>
                <w:szCs w:val="21"/>
                <w:highlight w:val="none"/>
              </w:rPr>
            </w:pPr>
            <w:r>
              <w:rPr>
                <w:rFonts w:hint="eastAsia" w:hAnsi="宋体" w:cs="宋体"/>
                <w:szCs w:val="21"/>
                <w:highlight w:val="none"/>
              </w:rPr>
              <w:t>（元）</w:t>
            </w:r>
            <w:r>
              <w:rPr>
                <w:rFonts w:hAnsi="宋体" w:cs="宋体"/>
                <w:szCs w:val="21"/>
                <w:highlight w:val="none"/>
              </w:rPr>
              <w:t>(A)</w:t>
            </w:r>
          </w:p>
        </w:tc>
        <w:tc>
          <w:tcPr>
            <w:tcW w:w="2021" w:type="pct"/>
            <w:gridSpan w:val="2"/>
            <w:vAlign w:val="center"/>
          </w:tcPr>
          <w:p>
            <w:pPr>
              <w:spacing w:line="360" w:lineRule="auto"/>
              <w:jc w:val="center"/>
              <w:rPr>
                <w:rFonts w:hAnsi="宋体" w:cs="宋体"/>
                <w:szCs w:val="21"/>
                <w:highlight w:val="none"/>
              </w:rPr>
            </w:pPr>
            <w:r>
              <w:rPr>
                <w:rFonts w:hint="eastAsia" w:hAnsi="宋体" w:cs="宋体"/>
                <w:szCs w:val="21"/>
                <w:highlight w:val="none"/>
              </w:rPr>
              <w:t>投标报价（投标人填报）</w:t>
            </w:r>
          </w:p>
        </w:tc>
        <w:tc>
          <w:tcPr>
            <w:tcW w:w="690" w:type="pct"/>
            <w:vMerge w:val="restart"/>
            <w:vAlign w:val="center"/>
          </w:tcPr>
          <w:p>
            <w:pPr>
              <w:spacing w:line="360" w:lineRule="auto"/>
              <w:jc w:val="center"/>
              <w:rPr>
                <w:rFonts w:hAnsi="宋体" w:cs="宋体"/>
                <w:szCs w:val="21"/>
                <w:highlight w:val="none"/>
              </w:rPr>
            </w:pPr>
            <w:r>
              <w:rPr>
                <w:rFonts w:hint="eastAsia"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57" w:type="pct"/>
            <w:vMerge w:val="continue"/>
            <w:vAlign w:val="center"/>
          </w:tcPr>
          <w:p>
            <w:pPr>
              <w:spacing w:line="360" w:lineRule="auto"/>
              <w:jc w:val="center"/>
              <w:rPr>
                <w:rFonts w:hAnsi="宋体" w:cs="宋体"/>
                <w:szCs w:val="21"/>
                <w:highlight w:val="none"/>
              </w:rPr>
            </w:pPr>
          </w:p>
        </w:tc>
        <w:tc>
          <w:tcPr>
            <w:tcW w:w="1830" w:type="pct"/>
            <w:vMerge w:val="continue"/>
            <w:vAlign w:val="center"/>
          </w:tcPr>
          <w:p>
            <w:pPr>
              <w:spacing w:line="360" w:lineRule="auto"/>
              <w:jc w:val="center"/>
              <w:rPr>
                <w:rFonts w:hAnsi="宋体" w:cs="宋体"/>
                <w:szCs w:val="21"/>
                <w:highlight w:val="none"/>
              </w:rPr>
            </w:pPr>
          </w:p>
        </w:tc>
        <w:tc>
          <w:tcPr>
            <w:tcW w:w="963" w:type="pct"/>
            <w:vAlign w:val="center"/>
          </w:tcPr>
          <w:p>
            <w:pPr>
              <w:spacing w:line="360" w:lineRule="auto"/>
              <w:jc w:val="center"/>
              <w:rPr>
                <w:rFonts w:hAnsi="宋体" w:cs="宋体"/>
                <w:szCs w:val="21"/>
                <w:highlight w:val="none"/>
              </w:rPr>
            </w:pPr>
            <w:r>
              <w:rPr>
                <w:rFonts w:hint="eastAsia" w:hAnsi="宋体" w:cs="宋体"/>
                <w:szCs w:val="21"/>
                <w:highlight w:val="none"/>
                <w:lang w:val="en-US" w:eastAsia="zh-CN"/>
              </w:rPr>
              <w:t>费</w:t>
            </w:r>
            <w:r>
              <w:rPr>
                <w:rFonts w:hint="eastAsia" w:hAnsi="宋体" w:cs="宋体"/>
                <w:szCs w:val="21"/>
                <w:highlight w:val="none"/>
              </w:rPr>
              <w:t>率（</w:t>
            </w:r>
            <w:r>
              <w:rPr>
                <w:rFonts w:hAnsi="宋体" w:cs="宋体"/>
                <w:szCs w:val="21"/>
                <w:highlight w:val="none"/>
              </w:rPr>
              <w:t>%）(C)</w:t>
            </w:r>
          </w:p>
        </w:tc>
        <w:tc>
          <w:tcPr>
            <w:tcW w:w="1058" w:type="pct"/>
            <w:vAlign w:val="center"/>
          </w:tcPr>
          <w:p>
            <w:pPr>
              <w:spacing w:line="360" w:lineRule="auto"/>
              <w:jc w:val="center"/>
              <w:rPr>
                <w:rFonts w:hAnsi="宋体" w:cs="宋体"/>
                <w:szCs w:val="21"/>
                <w:highlight w:val="none"/>
              </w:rPr>
            </w:pPr>
            <w:r>
              <w:rPr>
                <w:rFonts w:hint="eastAsia" w:hAnsi="宋体" w:cs="宋体"/>
                <w:szCs w:val="21"/>
                <w:highlight w:val="none"/>
              </w:rPr>
              <w:t>投标报价</w:t>
            </w:r>
          </w:p>
          <w:p>
            <w:pPr>
              <w:spacing w:line="360" w:lineRule="auto"/>
              <w:jc w:val="center"/>
              <w:rPr>
                <w:rFonts w:hAnsi="宋体" w:cs="宋体"/>
                <w:szCs w:val="21"/>
                <w:highlight w:val="none"/>
              </w:rPr>
            </w:pPr>
            <w:r>
              <w:rPr>
                <w:rFonts w:hint="eastAsia" w:hAnsi="宋体" w:cs="宋体"/>
                <w:szCs w:val="21"/>
                <w:highlight w:val="none"/>
              </w:rPr>
              <w:t>（元）</w:t>
            </w:r>
            <w:r>
              <w:rPr>
                <w:rFonts w:hAnsi="宋体" w:cs="宋体"/>
                <w:szCs w:val="21"/>
                <w:highlight w:val="none"/>
              </w:rPr>
              <w:t>(B)</w:t>
            </w:r>
          </w:p>
        </w:tc>
        <w:tc>
          <w:tcPr>
            <w:tcW w:w="690" w:type="pct"/>
            <w:vMerge w:val="continue"/>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57" w:type="pct"/>
            <w:vAlign w:val="center"/>
          </w:tcPr>
          <w:p>
            <w:pPr>
              <w:spacing w:line="360" w:lineRule="auto"/>
              <w:jc w:val="center"/>
              <w:rPr>
                <w:rFonts w:hAnsi="宋体" w:cs="宋体"/>
                <w:szCs w:val="21"/>
                <w:highlight w:val="none"/>
              </w:rPr>
            </w:pPr>
            <w:r>
              <w:rPr>
                <w:rFonts w:hAnsi="宋体" w:cs="宋体"/>
                <w:szCs w:val="21"/>
                <w:highlight w:val="none"/>
              </w:rPr>
              <w:t>1</w:t>
            </w:r>
          </w:p>
        </w:tc>
        <w:tc>
          <w:tcPr>
            <w:tcW w:w="1830" w:type="pct"/>
            <w:vAlign w:val="center"/>
          </w:tcPr>
          <w:p>
            <w:pPr>
              <w:spacing w:line="360" w:lineRule="auto"/>
              <w:jc w:val="center"/>
              <w:rPr>
                <w:rFonts w:hint="eastAsia" w:hAnsi="宋体" w:eastAsiaTheme="minorEastAsia"/>
                <w:szCs w:val="21"/>
                <w:highlight w:val="none"/>
                <w:lang w:val="en-US" w:eastAsia="zh-CN"/>
              </w:rPr>
            </w:pPr>
            <w:r>
              <w:rPr>
                <w:rFonts w:hint="eastAsia" w:hAnsi="宋体"/>
                <w:szCs w:val="21"/>
                <w:highlight w:val="none"/>
              </w:rPr>
              <w:t>1343136.96</w:t>
            </w:r>
            <w:r>
              <w:rPr>
                <w:rFonts w:hint="eastAsia" w:hAnsi="宋体"/>
                <w:szCs w:val="21"/>
                <w:highlight w:val="none"/>
                <w:lang w:val="en-US" w:eastAsia="zh-CN"/>
              </w:rPr>
              <w:t>元</w:t>
            </w:r>
          </w:p>
        </w:tc>
        <w:tc>
          <w:tcPr>
            <w:tcW w:w="963" w:type="pct"/>
            <w:vAlign w:val="center"/>
          </w:tcPr>
          <w:p>
            <w:pPr>
              <w:spacing w:line="360" w:lineRule="auto"/>
              <w:jc w:val="center"/>
              <w:rPr>
                <w:rFonts w:hint="eastAsia" w:hAnsi="宋体" w:cs="宋体" w:eastAsiaTheme="minorEastAsia"/>
                <w:szCs w:val="21"/>
                <w:highlight w:val="none"/>
                <w:lang w:val="en-US" w:eastAsia="zh-CN"/>
              </w:rPr>
            </w:pPr>
            <w:r>
              <w:rPr>
                <w:rFonts w:hint="eastAsia" w:hAnsi="宋体" w:cs="宋体"/>
                <w:szCs w:val="21"/>
                <w:highlight w:val="none"/>
                <w:lang w:val="en-US" w:eastAsia="zh-CN"/>
              </w:rPr>
              <w:t xml:space="preserve">      %</w:t>
            </w:r>
          </w:p>
        </w:tc>
        <w:tc>
          <w:tcPr>
            <w:tcW w:w="1058" w:type="pct"/>
            <w:vAlign w:val="center"/>
          </w:tcPr>
          <w:p>
            <w:pPr>
              <w:spacing w:line="360" w:lineRule="auto"/>
              <w:jc w:val="center"/>
              <w:rPr>
                <w:rFonts w:hint="eastAsia" w:hAnsi="宋体" w:cs="宋体" w:eastAsiaTheme="minorEastAsia"/>
                <w:szCs w:val="21"/>
                <w:highlight w:val="none"/>
                <w:lang w:val="en-US" w:eastAsia="zh-CN"/>
              </w:rPr>
            </w:pPr>
            <w:r>
              <w:rPr>
                <w:rFonts w:hint="eastAsia" w:hAnsi="宋体" w:cs="宋体"/>
                <w:szCs w:val="21"/>
                <w:highlight w:val="none"/>
                <w:u w:val="single"/>
                <w:lang w:val="en-US" w:eastAsia="zh-CN"/>
              </w:rPr>
              <w:t xml:space="preserve">       </w:t>
            </w:r>
            <w:r>
              <w:rPr>
                <w:rFonts w:hint="eastAsia" w:hAnsi="宋体" w:cs="宋体"/>
                <w:szCs w:val="21"/>
                <w:highlight w:val="none"/>
                <w:lang w:val="en-US" w:eastAsia="zh-CN"/>
              </w:rPr>
              <w:t>元</w:t>
            </w:r>
          </w:p>
        </w:tc>
        <w:tc>
          <w:tcPr>
            <w:tcW w:w="690" w:type="pct"/>
            <w:vAlign w:val="center"/>
          </w:tcPr>
          <w:p>
            <w:pPr>
              <w:spacing w:line="360" w:lineRule="auto"/>
              <w:jc w:val="center"/>
              <w:rPr>
                <w:rFonts w:hAnsi="宋体" w:cs="宋体"/>
                <w:szCs w:val="21"/>
                <w:highlight w:val="none"/>
              </w:rPr>
            </w:pPr>
          </w:p>
        </w:tc>
      </w:tr>
    </w:tbl>
    <w:p>
      <w:pPr>
        <w:adjustRightInd w:val="0"/>
        <w:snapToGrid w:val="0"/>
        <w:spacing w:line="360" w:lineRule="auto"/>
        <w:ind w:firstLine="420"/>
        <w:rPr>
          <w:rFonts w:hAnsi="宋体" w:cs="宋体"/>
          <w:szCs w:val="21"/>
          <w:highlight w:val="none"/>
        </w:rPr>
      </w:pPr>
      <w:r>
        <w:rPr>
          <w:rFonts w:hint="eastAsia" w:hAnsi="宋体" w:cs="宋体"/>
          <w:szCs w:val="21"/>
          <w:highlight w:val="none"/>
        </w:rPr>
        <w:t>备注：</w:t>
      </w:r>
    </w:p>
    <w:p>
      <w:pPr>
        <w:adjustRightInd w:val="0"/>
        <w:snapToGrid w:val="0"/>
        <w:spacing w:line="360" w:lineRule="auto"/>
        <w:ind w:firstLine="420"/>
        <w:rPr>
          <w:rFonts w:hAnsi="宋体"/>
          <w:szCs w:val="21"/>
          <w:highlight w:val="none"/>
        </w:rPr>
      </w:pPr>
      <w:r>
        <w:rPr>
          <w:rFonts w:hint="eastAsia" w:hAnsi="宋体" w:cs="宋体"/>
          <w:szCs w:val="21"/>
          <w:highlight w:val="none"/>
        </w:rPr>
        <w:t>（</w:t>
      </w:r>
      <w:r>
        <w:rPr>
          <w:rFonts w:hAnsi="宋体" w:cs="宋体"/>
          <w:szCs w:val="21"/>
          <w:highlight w:val="none"/>
        </w:rPr>
        <w:t>1）</w:t>
      </w:r>
      <w:r>
        <w:rPr>
          <w:rFonts w:hint="eastAsia" w:hAnsi="宋体"/>
          <w:szCs w:val="21"/>
          <w:highlight w:val="none"/>
        </w:rPr>
        <w:t>投标总报价包含招标文件及合同约定需完成的所有工作内容。</w:t>
      </w:r>
    </w:p>
    <w:p>
      <w:pPr>
        <w:adjustRightInd w:val="0"/>
        <w:snapToGrid w:val="0"/>
        <w:spacing w:line="360" w:lineRule="auto"/>
        <w:ind w:firstLine="420"/>
        <w:rPr>
          <w:rFonts w:hAnsi="宋体" w:cs="宋体"/>
          <w:szCs w:val="21"/>
          <w:highlight w:val="none"/>
        </w:rPr>
      </w:pPr>
      <w:r>
        <w:rPr>
          <w:rFonts w:hint="eastAsia" w:hAnsi="宋体" w:cs="宋体"/>
          <w:szCs w:val="21"/>
          <w:highlight w:val="none"/>
        </w:rPr>
        <w:t>（</w:t>
      </w:r>
      <w:r>
        <w:rPr>
          <w:rFonts w:hAnsi="宋体" w:cs="宋体"/>
          <w:szCs w:val="21"/>
          <w:highlight w:val="none"/>
        </w:rPr>
        <w:t>2）投标人的投标总报价不得超过最高投标限价。</w:t>
      </w:r>
    </w:p>
    <w:p>
      <w:pPr>
        <w:adjustRightInd w:val="0"/>
        <w:snapToGrid w:val="0"/>
        <w:spacing w:line="360" w:lineRule="auto"/>
        <w:ind w:firstLine="420"/>
        <w:rPr>
          <w:rFonts w:hAnsi="宋体" w:cs="宋体"/>
          <w:szCs w:val="21"/>
          <w:highlight w:val="none"/>
        </w:rPr>
      </w:pPr>
      <w:r>
        <w:rPr>
          <w:rFonts w:hint="eastAsia" w:hAnsi="宋体" w:cs="宋体"/>
          <w:szCs w:val="21"/>
          <w:highlight w:val="none"/>
        </w:rPr>
        <w:t>（</w:t>
      </w:r>
      <w:r>
        <w:rPr>
          <w:rFonts w:hAnsi="宋体" w:cs="宋体"/>
          <w:szCs w:val="21"/>
          <w:highlight w:val="none"/>
        </w:rPr>
        <w:t>3）</w:t>
      </w:r>
      <w:r>
        <w:rPr>
          <w:rFonts w:hint="eastAsia" w:hAnsi="宋体" w:cs="宋体"/>
          <w:szCs w:val="21"/>
          <w:highlight w:val="none"/>
        </w:rPr>
        <w:t>全过程造价咨询服务费率=投标报价/建安工程费21613.16万元*100%。费率以百分数进行表示，小数点后保留两位数字，第三位小数四舍五入。</w:t>
      </w:r>
    </w:p>
    <w:p>
      <w:pPr>
        <w:adjustRightInd w:val="0"/>
        <w:snapToGrid w:val="0"/>
        <w:spacing w:line="360" w:lineRule="auto"/>
        <w:rPr>
          <w:rFonts w:hAnsi="宋体" w:cs="宋体"/>
          <w:szCs w:val="21"/>
          <w:highlight w:val="none"/>
        </w:rPr>
      </w:pPr>
      <w:r>
        <w:rPr>
          <w:rFonts w:hAnsi="宋体" w:cs="宋体"/>
          <w:szCs w:val="21"/>
          <w:highlight w:val="none"/>
        </w:rPr>
        <w:t xml:space="preserve">    （4）</w:t>
      </w:r>
      <w:r>
        <w:rPr>
          <w:rFonts w:hint="eastAsia" w:hAnsi="宋体"/>
          <w:szCs w:val="21"/>
          <w:highlight w:val="none"/>
        </w:rPr>
        <w:t>投标报价</w:t>
      </w:r>
      <w:r>
        <w:rPr>
          <w:rFonts w:hint="eastAsia" w:hAnsi="宋体" w:cs="宋体"/>
          <w:szCs w:val="21"/>
          <w:highlight w:val="none"/>
        </w:rPr>
        <w:t>保留二位小数，第三位小数四舍五入。</w:t>
      </w:r>
    </w:p>
    <w:p>
      <w:pPr>
        <w:tabs>
          <w:tab w:val="left" w:pos="7720"/>
        </w:tabs>
        <w:spacing w:line="360" w:lineRule="auto"/>
        <w:ind w:left="3800" w:firstLine="420"/>
        <w:rPr>
          <w:rFonts w:hAnsi="宋体" w:cs="宋体"/>
          <w:szCs w:val="21"/>
          <w:highlight w:val="none"/>
        </w:rPr>
      </w:pPr>
    </w:p>
    <w:p>
      <w:pPr>
        <w:tabs>
          <w:tab w:val="left" w:pos="7720"/>
        </w:tabs>
        <w:spacing w:line="360" w:lineRule="auto"/>
        <w:ind w:left="3800" w:firstLine="420"/>
        <w:rPr>
          <w:rFonts w:hAnsi="宋体" w:cs="宋体"/>
          <w:szCs w:val="21"/>
          <w:highlight w:val="none"/>
        </w:rPr>
      </w:pPr>
    </w:p>
    <w:p>
      <w:pPr>
        <w:keepNext w:val="0"/>
        <w:keepLines w:val="0"/>
        <w:pageBreakBefore w:val="0"/>
        <w:widowControl w:val="0"/>
        <w:tabs>
          <w:tab w:val="left" w:pos="7720"/>
        </w:tabs>
        <w:kinsoku/>
        <w:wordWrap/>
        <w:overflowPunct/>
        <w:topLinePunct w:val="0"/>
        <w:autoSpaceDE/>
        <w:autoSpaceDN/>
        <w:bidi w:val="0"/>
        <w:adjustRightInd/>
        <w:snapToGrid/>
        <w:spacing w:line="360" w:lineRule="auto"/>
        <w:ind w:left="0" w:leftChars="0" w:firstLine="4620" w:firstLineChars="2200"/>
        <w:textAlignment w:val="auto"/>
        <w:rPr>
          <w:rFonts w:hAnsi="宋体"/>
          <w:szCs w:val="21"/>
          <w:highlight w:val="none"/>
        </w:rPr>
      </w:pPr>
      <w:r>
        <w:rPr>
          <w:rFonts w:hAnsi="宋体"/>
          <w:szCs w:val="21"/>
          <w:highlight w:val="none"/>
        </w:rPr>
        <w:t>投  标  人：</w:t>
      </w:r>
      <w:r>
        <w:rPr>
          <w:rFonts w:hAnsi="宋体"/>
          <w:szCs w:val="21"/>
          <w:highlight w:val="none"/>
          <w:u w:val="single"/>
        </w:rPr>
        <w:t xml:space="preserve">           </w:t>
      </w:r>
    </w:p>
    <w:p>
      <w:pPr>
        <w:keepNext w:val="0"/>
        <w:keepLines w:val="0"/>
        <w:pageBreakBefore w:val="0"/>
        <w:widowControl w:val="0"/>
        <w:tabs>
          <w:tab w:val="left" w:pos="8140"/>
        </w:tabs>
        <w:kinsoku/>
        <w:wordWrap/>
        <w:overflowPunct/>
        <w:topLinePunct w:val="0"/>
        <w:autoSpaceDE/>
        <w:autoSpaceDN/>
        <w:bidi w:val="0"/>
        <w:adjustRightInd/>
        <w:snapToGrid/>
        <w:spacing w:line="360" w:lineRule="auto"/>
        <w:ind w:left="3150" w:leftChars="1500" w:firstLine="0" w:firstLineChars="0"/>
        <w:textAlignment w:val="auto"/>
        <w:rPr>
          <w:rFonts w:hAnsi="宋体"/>
          <w:szCs w:val="21"/>
          <w:highlight w:val="none"/>
        </w:rPr>
      </w:pPr>
    </w:p>
    <w:p>
      <w:pPr>
        <w:keepNext w:val="0"/>
        <w:keepLines w:val="0"/>
        <w:pageBreakBefore w:val="0"/>
        <w:widowControl w:val="0"/>
        <w:tabs>
          <w:tab w:val="left" w:pos="7720"/>
          <w:tab w:val="left" w:pos="8355"/>
        </w:tabs>
        <w:kinsoku/>
        <w:wordWrap/>
        <w:overflowPunct/>
        <w:topLinePunct w:val="0"/>
        <w:autoSpaceDE/>
        <w:autoSpaceDN/>
        <w:bidi w:val="0"/>
        <w:adjustRightInd/>
        <w:snapToGrid/>
        <w:spacing w:line="360" w:lineRule="auto"/>
        <w:ind w:left="3150" w:leftChars="1500" w:firstLine="1470" w:firstLineChars="700"/>
        <w:textAlignment w:val="auto"/>
        <w:rPr>
          <w:rFonts w:hAnsi="宋体"/>
          <w:szCs w:val="21"/>
          <w:highlight w:val="none"/>
        </w:rPr>
      </w:pPr>
      <w:r>
        <w:rPr>
          <w:rFonts w:hAnsi="宋体"/>
          <w:szCs w:val="21"/>
          <w:highlight w:val="none"/>
        </w:rPr>
        <w:t>年</w:t>
      </w:r>
      <w:r>
        <w:rPr>
          <w:rFonts w:hint="eastAsia" w:hAnsi="宋体"/>
          <w:szCs w:val="21"/>
          <w:highlight w:val="none"/>
          <w:lang w:val="en-US" w:eastAsia="zh-CN"/>
        </w:rPr>
        <w:t xml:space="preserve">      </w:t>
      </w:r>
      <w:r>
        <w:rPr>
          <w:rFonts w:hAnsi="宋体"/>
          <w:szCs w:val="21"/>
          <w:highlight w:val="none"/>
        </w:rPr>
        <w:t>月</w:t>
      </w:r>
      <w:r>
        <w:rPr>
          <w:rFonts w:hint="eastAsia" w:hAnsi="宋体"/>
          <w:szCs w:val="21"/>
          <w:highlight w:val="none"/>
          <w:lang w:val="en-US" w:eastAsia="zh-CN"/>
        </w:rPr>
        <w:t xml:space="preserve">    </w:t>
      </w:r>
      <w:r>
        <w:rPr>
          <w:rFonts w:hAnsi="宋体"/>
          <w:szCs w:val="21"/>
          <w:highlight w:val="none"/>
        </w:rPr>
        <w:t>日</w:t>
      </w:r>
    </w:p>
    <w:p>
      <w:pPr>
        <w:bidi w:val="0"/>
        <w:spacing w:line="360" w:lineRule="auto"/>
        <w:rPr>
          <w:highlight w:val="none"/>
        </w:rPr>
      </w:pPr>
      <w:r>
        <w:rPr>
          <w:highlight w:val="none"/>
        </w:rPr>
        <w:br w:type="page"/>
      </w:r>
    </w:p>
    <w:p>
      <w:pPr>
        <w:spacing w:line="366" w:lineRule="exact"/>
        <w:jc w:val="center"/>
        <w:outlineLvl w:val="1"/>
        <w:rPr>
          <w:rFonts w:hAnsi="宋体"/>
          <w:b/>
          <w:sz w:val="32"/>
          <w:highlight w:val="none"/>
        </w:rPr>
      </w:pPr>
      <w:r>
        <w:rPr>
          <w:rFonts w:hint="eastAsia" w:hAnsi="宋体"/>
          <w:b/>
          <w:sz w:val="32"/>
          <w:highlight w:val="none"/>
        </w:rPr>
        <w:t>四、响应合同条款承诺函</w:t>
      </w:r>
    </w:p>
    <w:p>
      <w:pPr>
        <w:ind w:firstLine="480"/>
        <w:rPr>
          <w:rFonts w:hAnsi="宋体"/>
          <w:highlight w:val="none"/>
        </w:rPr>
      </w:pPr>
    </w:p>
    <w:p>
      <w:pPr>
        <w:tabs>
          <w:tab w:val="left" w:pos="720"/>
        </w:tabs>
        <w:snapToGrid w:val="0"/>
        <w:jc w:val="center"/>
        <w:rPr>
          <w:rFonts w:hAnsi="宋体" w:cs="宋体"/>
          <w:b/>
          <w:sz w:val="32"/>
          <w:szCs w:val="22"/>
          <w:highlight w:val="none"/>
        </w:rPr>
      </w:pPr>
      <w:bookmarkStart w:id="276" w:name="_Toc16496"/>
      <w:bookmarkStart w:id="277" w:name="_Toc27114"/>
      <w:bookmarkStart w:id="278" w:name="_Toc13813"/>
      <w:bookmarkStart w:id="279" w:name="_Toc3773"/>
      <w:bookmarkStart w:id="280" w:name="_Toc6263"/>
      <w:r>
        <w:rPr>
          <w:rFonts w:hint="eastAsia" w:hAnsi="宋体" w:cs="宋体"/>
          <w:b/>
          <w:sz w:val="32"/>
          <w:szCs w:val="22"/>
          <w:highlight w:val="none"/>
        </w:rPr>
        <w:t>承诺函</w:t>
      </w:r>
      <w:bookmarkEnd w:id="276"/>
    </w:p>
    <w:bookmarkEnd w:id="277"/>
    <w:bookmarkEnd w:id="278"/>
    <w:bookmarkEnd w:id="279"/>
    <w:bookmarkEnd w:id="280"/>
    <w:p>
      <w:pPr>
        <w:ind w:left="-2" w:leftChars="-1" w:firstLine="472" w:firstLineChars="225"/>
        <w:rPr>
          <w:rFonts w:hAnsi="宋体" w:cs="宋体"/>
          <w:highlight w:val="none"/>
        </w:rPr>
      </w:pPr>
    </w:p>
    <w:p>
      <w:pPr>
        <w:spacing w:line="360" w:lineRule="auto"/>
        <w:ind w:left="-2" w:leftChars="-1"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我公司就招标文件合同条款承诺以下事项：</w:t>
      </w:r>
    </w:p>
    <w:p>
      <w:pPr>
        <w:spacing w:line="360" w:lineRule="auto"/>
        <w:ind w:left="-2" w:leftChars="-1"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我公司完全响应本项目招标文件合同条款，如未遵守上述承诺内容，我公司自愿放弃本项目中标资格。                                 </w:t>
      </w:r>
    </w:p>
    <w:p>
      <w:pPr>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附件：1.《关于提供增值税专用发票的承诺》</w:t>
      </w:r>
    </w:p>
    <w:p>
      <w:pPr>
        <w:spacing w:line="360" w:lineRule="auto"/>
        <w:ind w:firstLine="4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2.《履约银行保函》格式</w:t>
      </w:r>
    </w:p>
    <w:p>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3.《预付款银行保函》格式</w:t>
      </w:r>
    </w:p>
    <w:p>
      <w:pPr>
        <w:spacing w:line="360" w:lineRule="auto"/>
        <w:ind w:firstLine="480"/>
        <w:rPr>
          <w:rFonts w:hint="eastAsia" w:ascii="宋体" w:hAnsi="宋体" w:eastAsia="宋体" w:cs="宋体"/>
          <w:sz w:val="21"/>
          <w:szCs w:val="21"/>
          <w:highlight w:val="none"/>
        </w:rPr>
      </w:pPr>
    </w:p>
    <w:p>
      <w:pPr>
        <w:spacing w:line="360" w:lineRule="auto"/>
        <w:ind w:firstLine="420"/>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 xml:space="preserve">  </w:t>
      </w:r>
    </w:p>
    <w:p>
      <w:pPr>
        <w:spacing w:line="360" w:lineRule="auto"/>
        <w:ind w:right="90" w:firstLine="4305" w:firstLineChars="205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投标人名称：</w:t>
      </w:r>
      <w:r>
        <w:rPr>
          <w:rFonts w:hint="eastAsia" w:ascii="宋体" w:hAnsi="宋体" w:eastAsia="宋体" w:cs="宋体"/>
          <w:sz w:val="21"/>
          <w:szCs w:val="21"/>
          <w:highlight w:val="none"/>
          <w:u w:val="single"/>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    </w:t>
      </w:r>
    </w:p>
    <w:p>
      <w:pPr>
        <w:spacing w:after="120"/>
        <w:rPr>
          <w:rFonts w:ascii="等线" w:hAnsi="等线" w:eastAsia="仿宋_GB2312"/>
          <w:szCs w:val="22"/>
          <w:highlight w:val="none"/>
        </w:rPr>
      </w:pPr>
    </w:p>
    <w:p>
      <w:pPr>
        <w:jc w:val="left"/>
        <w:rPr>
          <w:rFonts w:ascii="等线" w:hAnsi="等线" w:eastAsia="仿宋_GB2312"/>
          <w:szCs w:val="22"/>
          <w:highlight w:val="none"/>
        </w:rPr>
      </w:pPr>
      <w:r>
        <w:rPr>
          <w:rFonts w:ascii="等线" w:hAnsi="等线" w:eastAsia="仿宋_GB2312"/>
          <w:szCs w:val="22"/>
          <w:highlight w:val="none"/>
        </w:rPr>
        <w:br w:type="page"/>
      </w:r>
    </w:p>
    <w:p>
      <w:pPr>
        <w:jc w:val="center"/>
        <w:rPr>
          <w:rFonts w:hAnsi="宋体" w:cs="楷体_GB2312"/>
          <w:b/>
          <w:szCs w:val="21"/>
          <w:highlight w:val="none"/>
          <w:shd w:val="clear" w:color="auto" w:fill="FFFFFF"/>
        </w:rPr>
      </w:pPr>
      <w:r>
        <w:rPr>
          <w:rFonts w:hint="eastAsia" w:hAnsi="宋体"/>
          <w:b/>
          <w:bCs/>
          <w:kern w:val="18"/>
          <w:sz w:val="32"/>
          <w:szCs w:val="32"/>
          <w:highlight w:val="none"/>
        </w:rPr>
        <w:t>关于提供增值税专用发票的承诺</w:t>
      </w:r>
    </w:p>
    <w:p>
      <w:pPr>
        <w:spacing w:after="120" w:afterLines="50"/>
        <w:rPr>
          <w:rFonts w:ascii="等线" w:hAnsi="等线" w:eastAsia="仿宋_GB2312"/>
          <w:szCs w:val="22"/>
          <w:highlight w:val="none"/>
          <w:u w:val="single"/>
        </w:rPr>
      </w:pPr>
    </w:p>
    <w:p>
      <w:pPr>
        <w:spacing w:after="120" w:after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广州广粮坊食品科技有限公司</w:t>
      </w:r>
      <w:r>
        <w:rPr>
          <w:rFonts w:hint="eastAsia" w:ascii="宋体" w:hAnsi="宋体" w:eastAsia="宋体" w:cs="宋体"/>
          <w:sz w:val="21"/>
          <w:szCs w:val="21"/>
          <w:highlight w:val="none"/>
        </w:rPr>
        <w:t>：</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我方已详细阅读了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项目招标文件，自愿参加上述项目报价，现就有关事项向招标人郑重承诺如下：</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我方纳税人主体资格是（</w:t>
      </w:r>
      <w:r>
        <w:rPr>
          <w:rFonts w:hint="eastAsia" w:ascii="宋体" w:hAnsi="宋体" w:eastAsia="宋体" w:cs="宋体"/>
          <w:sz w:val="21"/>
          <w:szCs w:val="21"/>
          <w:highlight w:val="none"/>
          <w:u w:val="single"/>
        </w:rPr>
        <w:t>一般纳税人/小规模纳税人，</w:t>
      </w:r>
      <w:r>
        <w:rPr>
          <w:rFonts w:hint="eastAsia" w:ascii="宋体" w:hAnsi="宋体" w:eastAsia="宋体" w:cs="宋体"/>
          <w:sz w:val="21"/>
          <w:szCs w:val="21"/>
          <w:highlight w:val="none"/>
        </w:rPr>
        <w:t>明确其中之一），本次报价属于我公司营业执照经营范围的业务，本次报价包含税率为</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的增值税。招标人支付项目款项时，我方保证开具与付款金额对等的符合国家法律法规和标准的税率为</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的增值税专用发票，若我方开具的增值税专用发票的税率低于承诺的增值税税率，则我方在结算时相应扣减该部分税款差额。我方保证开具的增值税专用发票在送达招标人时距开票日期不超过45天。若因我方开具的增值税专用发票不规范、不合法或涉嫌虚开等问题造成招标人无法抵扣或出现法律风险等由我方负赔偿并承担一切风险、责任，而且不能免除我方开具合法发票的义务。</w:t>
      </w:r>
    </w:p>
    <w:p>
      <w:pPr>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p>
    <w:p>
      <w:pPr>
        <w:spacing w:before="2" w:line="360" w:lineRule="auto"/>
        <w:jc w:val="right"/>
        <w:rPr>
          <w:rFonts w:hint="eastAsia" w:ascii="宋体" w:hAnsi="宋体" w:eastAsia="宋体" w:cs="宋体"/>
          <w:sz w:val="21"/>
          <w:szCs w:val="21"/>
          <w:highlight w:val="none"/>
        </w:rPr>
      </w:pPr>
    </w:p>
    <w:p>
      <w:pPr>
        <w:topLinePunct/>
        <w:snapToGrid w:val="0"/>
        <w:spacing w:line="360" w:lineRule="auto"/>
        <w:ind w:right="9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投标人名称：</w:t>
      </w:r>
    </w:p>
    <w:p>
      <w:pPr>
        <w:topLinePunct/>
        <w:snapToGrid w:val="0"/>
        <w:spacing w:line="360" w:lineRule="auto"/>
        <w:ind w:right="960" w:firstLine="5670" w:firstLineChars="27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r>
        <w:rPr>
          <w:rFonts w:hint="eastAsia" w:ascii="宋体" w:hAnsi="宋体" w:eastAsia="宋体" w:cs="宋体"/>
          <w:sz w:val="21"/>
          <w:szCs w:val="21"/>
          <w:highlight w:val="non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月</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日</w:t>
      </w:r>
    </w:p>
    <w:p>
      <w:pPr>
        <w:jc w:val="left"/>
        <w:rPr>
          <w:rFonts w:hAnsi="宋体"/>
          <w:szCs w:val="22"/>
          <w:highlight w:val="none"/>
        </w:rPr>
      </w:pPr>
      <w:r>
        <w:rPr>
          <w:rFonts w:hAnsi="宋体"/>
          <w:szCs w:val="22"/>
          <w:highlight w:val="none"/>
        </w:rPr>
        <w:br w:type="page"/>
      </w:r>
    </w:p>
    <w:p>
      <w:pPr>
        <w:jc w:val="center"/>
        <w:rPr>
          <w:rFonts w:hAnsi="宋体" w:cs="宋体"/>
          <w:sz w:val="44"/>
          <w:szCs w:val="22"/>
          <w:highlight w:val="none"/>
        </w:rPr>
      </w:pPr>
      <w:r>
        <w:rPr>
          <w:rFonts w:hAnsi="宋体" w:cs="宋体"/>
          <w:sz w:val="44"/>
          <w:szCs w:val="22"/>
          <w:highlight w:val="none"/>
        </w:rPr>
        <w:t xml:space="preserve"> 履约银行保函格式</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保函编号：</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开立日期：202</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年  月  日</w:t>
      </w:r>
    </w:p>
    <w:p>
      <w:pPr>
        <w:spacing w:line="288" w:lineRule="auto"/>
        <w:ind w:firstLine="480" w:firstLineChars="200"/>
        <w:rPr>
          <w:rFonts w:ascii="宋体" w:hAnsi="宋体" w:eastAsia="宋体" w:cs="宋体"/>
          <w:sz w:val="24"/>
          <w:szCs w:val="20"/>
          <w:highlight w:val="none"/>
        </w:rPr>
      </w:pP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 xml:space="preserve">致：  </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 xml:space="preserve">地址： </w:t>
      </w:r>
    </w:p>
    <w:p>
      <w:pPr>
        <w:spacing w:line="288" w:lineRule="auto"/>
        <w:ind w:firstLine="480" w:firstLineChars="200"/>
        <w:jc w:val="left"/>
        <w:rPr>
          <w:rFonts w:ascii="宋体" w:hAnsi="宋体" w:eastAsia="宋体" w:cs="宋体"/>
          <w:sz w:val="24"/>
          <w:highlight w:val="none"/>
        </w:rPr>
      </w:pPr>
    </w:p>
    <w:p>
      <w:pPr>
        <w:spacing w:line="288" w:lineRule="auto"/>
        <w:ind w:firstLine="480" w:firstLineChars="200"/>
        <w:jc w:val="left"/>
        <w:rPr>
          <w:rFonts w:ascii="宋体" w:hAnsi="宋体" w:eastAsia="宋体" w:cs="宋体"/>
          <w:sz w:val="24"/>
          <w:szCs w:val="20"/>
          <w:highlight w:val="none"/>
        </w:rPr>
      </w:pPr>
      <w:r>
        <w:rPr>
          <w:rFonts w:hint="eastAsia" w:ascii="宋体" w:hAnsi="宋体" w:eastAsia="宋体" w:cs="宋体"/>
          <w:sz w:val="24"/>
          <w:szCs w:val="20"/>
          <w:highlight w:val="none"/>
        </w:rPr>
        <w:t>鉴于  公司，地址：（以下简称“申请人”）已与    （以下简称“业主”）签订了   （合同编号：   ）（以下简称“合同”）。为保证申请人全面、及时履行合同规定，（以下简称“我行”），同意出具银行保函为申请人担保，累计担保金额最高为人民币元（小写： ）。</w:t>
      </w:r>
    </w:p>
    <w:p>
      <w:pPr>
        <w:spacing w:line="288" w:lineRule="auto"/>
        <w:ind w:firstLine="480" w:firstLineChars="200"/>
        <w:rPr>
          <w:rFonts w:ascii="宋体" w:hAnsi="宋体" w:eastAsia="宋体" w:cs="宋体"/>
          <w:sz w:val="24"/>
          <w:szCs w:val="20"/>
          <w:highlight w:val="none"/>
        </w:rPr>
      </w:pPr>
      <w:r>
        <w:rPr>
          <w:rFonts w:hint="eastAsia" w:ascii="宋体" w:hAnsi="宋体" w:eastAsia="宋体" w:cs="宋体"/>
          <w:sz w:val="24"/>
          <w:szCs w:val="20"/>
          <w:highlight w:val="none"/>
        </w:rPr>
        <w:t>本保函的义务是：我行在收到业主要求索赔的书面通知后的五个工作日内，在上述担保金额的全额内向业主支付任何数额的款项，无须业主出具证明或陈述理由。</w:t>
      </w:r>
    </w:p>
    <w:p>
      <w:pPr>
        <w:spacing w:line="288" w:lineRule="auto"/>
        <w:ind w:firstLine="480" w:firstLineChars="200"/>
        <w:rPr>
          <w:rFonts w:ascii="宋体" w:hAnsi="宋体" w:eastAsia="宋体" w:cs="宋体"/>
          <w:sz w:val="24"/>
          <w:szCs w:val="20"/>
          <w:highlight w:val="none"/>
        </w:rPr>
      </w:pPr>
      <w:r>
        <w:rPr>
          <w:rFonts w:hint="eastAsia" w:ascii="宋体" w:hAnsi="宋体" w:eastAsia="宋体" w:cs="宋体"/>
          <w:sz w:val="24"/>
          <w:szCs w:val="20"/>
          <w:highlight w:val="none"/>
        </w:rPr>
        <w:t>我行放弃业主应先向申请人索要上述款项再向本行提出要求的权利。我行同意业主直接向我行行使索赔权。</w:t>
      </w:r>
    </w:p>
    <w:p>
      <w:pPr>
        <w:spacing w:line="288" w:lineRule="auto"/>
        <w:ind w:firstLine="480" w:firstLineChars="200"/>
        <w:rPr>
          <w:rFonts w:ascii="宋体" w:hAnsi="宋体" w:eastAsia="宋体" w:cs="宋体"/>
          <w:sz w:val="24"/>
          <w:szCs w:val="20"/>
          <w:highlight w:val="none"/>
        </w:rPr>
      </w:pPr>
      <w:r>
        <w:rPr>
          <w:rFonts w:hint="eastAsia" w:ascii="宋体" w:hAnsi="宋体" w:eastAsia="宋体" w:cs="宋体"/>
          <w:sz w:val="24"/>
          <w:szCs w:val="20"/>
          <w:highlight w:val="none"/>
        </w:rPr>
        <w:t>我行还同意，在业主和申请人签订合同后，其项下的工程或合同文件发生任何变化、补充或修改，我行承担本保函的责任不改变，且上述变化、补充或修改也无须通知我行。</w:t>
      </w:r>
    </w:p>
    <w:p>
      <w:pPr>
        <w:spacing w:line="288" w:lineRule="auto"/>
        <w:ind w:left="425"/>
        <w:rPr>
          <w:rFonts w:ascii="宋体" w:hAnsi="宋体" w:eastAsia="宋体" w:cs="宋体"/>
          <w:sz w:val="24"/>
          <w:szCs w:val="20"/>
          <w:highlight w:val="none"/>
        </w:rPr>
      </w:pPr>
      <w:r>
        <w:rPr>
          <w:rFonts w:hint="eastAsia" w:ascii="宋体" w:hAnsi="宋体" w:eastAsia="宋体" w:cs="宋体"/>
          <w:sz w:val="24"/>
          <w:szCs w:val="20"/>
          <w:highlight w:val="none"/>
        </w:rPr>
        <w:t>本保函不可撤销、不可转让，以     为唯一受益人。</w:t>
      </w:r>
    </w:p>
    <w:p>
      <w:pPr>
        <w:spacing w:line="288" w:lineRule="auto"/>
        <w:ind w:firstLine="480" w:firstLineChars="200"/>
        <w:rPr>
          <w:rFonts w:ascii="宋体" w:hAnsi="宋体" w:eastAsia="宋体" w:cs="宋体"/>
          <w:sz w:val="24"/>
          <w:szCs w:val="20"/>
          <w:highlight w:val="none"/>
        </w:rPr>
      </w:pPr>
      <w:r>
        <w:rPr>
          <w:rFonts w:hint="eastAsia" w:ascii="宋体" w:hAnsi="宋体" w:eastAsia="宋体" w:cs="宋体"/>
          <w:sz w:val="24"/>
          <w:szCs w:val="20"/>
          <w:highlight w:val="none"/>
        </w:rPr>
        <w:t>我行保证具备出具银行保函的资格和条件，本保函自我行加盖公章之日起生效。按合同规定办妥验收合格手续，并办完本合同项下的财务结算之日起30天后或担保金额支付完毕后失效，以日期先到者为准，但有效期最迟不晚于    年  月  日。业主有权提前终止或解除本保函。</w:t>
      </w:r>
    </w:p>
    <w:p>
      <w:pPr>
        <w:spacing w:line="288" w:lineRule="auto"/>
        <w:ind w:firstLine="480" w:firstLineChars="200"/>
        <w:rPr>
          <w:rFonts w:ascii="宋体" w:hAnsi="宋体" w:eastAsia="宋体" w:cs="宋体"/>
          <w:sz w:val="24"/>
          <w:szCs w:val="20"/>
          <w:highlight w:val="none"/>
        </w:rPr>
      </w:pPr>
      <w:r>
        <w:rPr>
          <w:rFonts w:hint="eastAsia" w:ascii="宋体" w:hAnsi="宋体" w:eastAsia="宋体" w:cs="宋体"/>
          <w:sz w:val="24"/>
          <w:szCs w:val="20"/>
          <w:highlight w:val="none"/>
        </w:rPr>
        <w:t>本保函项下的纠纷，若协商不能解决，应提交合同项目工程所在地人民法院诉讼解决。</w:t>
      </w:r>
    </w:p>
    <w:p>
      <w:pPr>
        <w:spacing w:line="288" w:lineRule="auto"/>
        <w:ind w:firstLine="480" w:firstLineChars="200"/>
        <w:rPr>
          <w:rFonts w:ascii="宋体" w:hAnsi="宋体" w:eastAsia="宋体" w:cs="宋体"/>
          <w:sz w:val="24"/>
          <w:szCs w:val="20"/>
          <w:highlight w:val="none"/>
        </w:rPr>
      </w:pP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担保银行（盖章）：</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担保银行法定代表人或其授权委托代理人（签字或盖章）：</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联系地址：</w:t>
      </w:r>
    </w:p>
    <w:p>
      <w:pPr>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电话：</w:t>
      </w:r>
    </w:p>
    <w:p>
      <w:pPr>
        <w:tabs>
          <w:tab w:val="left" w:pos="360"/>
        </w:tabs>
        <w:spacing w:line="288" w:lineRule="auto"/>
        <w:rPr>
          <w:rFonts w:ascii="宋体" w:hAnsi="宋体" w:eastAsia="宋体" w:cs="宋体"/>
          <w:sz w:val="24"/>
          <w:szCs w:val="20"/>
          <w:highlight w:val="none"/>
        </w:rPr>
      </w:pPr>
      <w:r>
        <w:rPr>
          <w:rFonts w:hint="eastAsia" w:ascii="宋体" w:hAnsi="宋体" w:eastAsia="宋体" w:cs="宋体"/>
          <w:sz w:val="24"/>
          <w:szCs w:val="20"/>
          <w:highlight w:val="none"/>
        </w:rPr>
        <w:t>日期：</w:t>
      </w:r>
    </w:p>
    <w:p>
      <w:pPr>
        <w:tabs>
          <w:tab w:val="left" w:pos="360"/>
        </w:tabs>
        <w:spacing w:line="360" w:lineRule="auto"/>
        <w:rPr>
          <w:rFonts w:hint="eastAsia" w:ascii="宋体" w:hAnsi="宋体" w:eastAsia="宋体" w:cs="宋体"/>
          <w:highlight w:val="none"/>
        </w:rPr>
      </w:pPr>
      <w:r>
        <w:rPr>
          <w:rFonts w:hint="eastAsia" w:ascii="宋体" w:hAnsi="宋体" w:eastAsia="宋体" w:cs="宋体"/>
          <w:highlight w:val="none"/>
        </w:rPr>
        <w:t>日期：</w:t>
      </w:r>
    </w:p>
    <w:p>
      <w:pPr>
        <w:jc w:val="left"/>
        <w:rPr>
          <w:rFonts w:hAnsi="宋体"/>
          <w:szCs w:val="22"/>
          <w:highlight w:val="none"/>
        </w:rPr>
      </w:pPr>
      <w:r>
        <w:rPr>
          <w:rFonts w:hAnsi="宋体"/>
          <w:szCs w:val="22"/>
          <w:highlight w:val="none"/>
        </w:rPr>
        <w:br w:type="page"/>
      </w:r>
    </w:p>
    <w:p>
      <w:pPr>
        <w:spacing w:line="537" w:lineRule="exact"/>
        <w:ind w:left="420" w:right="827"/>
        <w:jc w:val="center"/>
        <w:rPr>
          <w:rFonts w:hAnsi="宋体" w:cs="宋体"/>
          <w:sz w:val="44"/>
          <w:szCs w:val="44"/>
          <w:highlight w:val="none"/>
        </w:rPr>
      </w:pPr>
      <w:r>
        <w:rPr>
          <w:rFonts w:hint="eastAsia" w:hAnsi="宋体" w:cs="宋体"/>
          <w:sz w:val="44"/>
          <w:szCs w:val="44"/>
          <w:highlight w:val="none"/>
        </w:rPr>
        <w:t>预付款银行保函格式</w:t>
      </w:r>
    </w:p>
    <w:p>
      <w:pPr>
        <w:rPr>
          <w:rFonts w:hAnsi="宋体" w:cs="宋体"/>
          <w:szCs w:val="22"/>
          <w:highlight w:val="none"/>
        </w:rPr>
      </w:pPr>
    </w:p>
    <w:p>
      <w:pPr>
        <w:rPr>
          <w:highlight w:val="none"/>
        </w:rPr>
      </w:pPr>
    </w:p>
    <w:p>
      <w:pPr>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（受益人）</w:t>
      </w:r>
    </w:p>
    <w:p>
      <w:pPr>
        <w:rPr>
          <w:rFonts w:ascii="仿宋" w:hAnsi="仿宋" w:eastAsia="仿宋"/>
          <w:sz w:val="24"/>
          <w:highlight w:val="none"/>
        </w:rPr>
      </w:pPr>
    </w:p>
    <w:p>
      <w:pPr>
        <w:ind w:firstLine="240" w:firstLineChars="100"/>
        <w:rPr>
          <w:rFonts w:ascii="仿宋" w:hAnsi="仿宋" w:eastAsia="仿宋"/>
          <w:sz w:val="24"/>
          <w:highlight w:val="none"/>
        </w:rPr>
      </w:pPr>
      <w:r>
        <w:rPr>
          <w:rFonts w:hint="eastAsia" w:ascii="仿宋" w:hAnsi="仿宋" w:eastAsia="仿宋"/>
          <w:sz w:val="24"/>
          <w:highlight w:val="none"/>
        </w:rPr>
        <w:t>鉴于</w:t>
      </w:r>
      <w:r>
        <w:rPr>
          <w:rFonts w:hint="eastAsia" w:ascii="仿宋" w:hAnsi="仿宋" w:eastAsia="仿宋"/>
          <w:sz w:val="24"/>
          <w:highlight w:val="none"/>
          <w:u w:val="single"/>
        </w:rPr>
        <w:t xml:space="preserve">           </w:t>
      </w:r>
      <w:r>
        <w:rPr>
          <w:rFonts w:hint="eastAsia" w:ascii="仿宋" w:hAnsi="仿宋" w:eastAsia="仿宋"/>
          <w:sz w:val="24"/>
          <w:highlight w:val="none"/>
        </w:rPr>
        <w:t>（以下简称“委托人”）与你方于</w:t>
      </w:r>
      <w:r>
        <w:rPr>
          <w:rFonts w:hint="eastAsia" w:ascii="仿宋" w:hAnsi="仿宋" w:eastAsia="仿宋"/>
          <w:sz w:val="24"/>
          <w:highlight w:val="none"/>
          <w:u w:val="single"/>
        </w:rPr>
        <w:t xml:space="preserve">   年  月  日</w:t>
      </w:r>
      <w:r>
        <w:rPr>
          <w:rFonts w:hint="eastAsia" w:ascii="仿宋" w:hAnsi="仿宋" w:eastAsia="仿宋"/>
          <w:sz w:val="24"/>
          <w:highlight w:val="none"/>
        </w:rPr>
        <w:t>签订了</w:t>
      </w:r>
      <w:r>
        <w:rPr>
          <w:rFonts w:hint="eastAsia" w:ascii="仿宋" w:hAnsi="仿宋" w:eastAsia="仿宋"/>
          <w:sz w:val="24"/>
          <w:highlight w:val="none"/>
          <w:u w:val="single"/>
        </w:rPr>
        <w:t xml:space="preserve">                </w:t>
      </w:r>
      <w:r>
        <w:rPr>
          <w:rFonts w:hint="eastAsia" w:ascii="仿宋" w:hAnsi="仿宋" w:eastAsia="仿宋"/>
          <w:sz w:val="24"/>
          <w:highlight w:val="none"/>
        </w:rPr>
        <w:t>（以下简称“合同”），你方将按上述基础交易合同约定向委托人支付预付款人民币</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）。我行接受委托人的申请，特此开立以你方为受益人的最高金额为人民币</w:t>
      </w:r>
      <w:r>
        <w:rPr>
          <w:rFonts w:hint="eastAsia" w:ascii="仿宋" w:hAnsi="仿宋" w:eastAsia="仿宋"/>
          <w:sz w:val="24"/>
          <w:highlight w:val="none"/>
          <w:u w:val="single"/>
        </w:rPr>
        <w:t xml:space="preserve">        </w:t>
      </w:r>
      <w:r>
        <w:rPr>
          <w:rFonts w:hint="eastAsia" w:ascii="仿宋" w:hAnsi="仿宋" w:eastAsia="仿宋"/>
          <w:sz w:val="24"/>
          <w:highlight w:val="none"/>
        </w:rPr>
        <w:t>（大写：</w:t>
      </w:r>
      <w:r>
        <w:rPr>
          <w:rFonts w:hint="eastAsia" w:ascii="仿宋" w:hAnsi="仿宋" w:eastAsia="仿宋"/>
          <w:sz w:val="24"/>
          <w:highlight w:val="none"/>
          <w:u w:val="single"/>
        </w:rPr>
        <w:t xml:space="preserve">          </w:t>
      </w:r>
      <w:r>
        <w:rPr>
          <w:rFonts w:hint="eastAsia" w:ascii="仿宋" w:hAnsi="仿宋" w:eastAsia="仿宋"/>
          <w:sz w:val="24"/>
          <w:highlight w:val="none"/>
        </w:rPr>
        <w:t>）（以下称“保函金额”）的保函。</w:t>
      </w:r>
    </w:p>
    <w:p>
      <w:pPr>
        <w:ind w:firstLine="480" w:firstLineChars="200"/>
        <w:rPr>
          <w:rFonts w:ascii="仿宋" w:hAnsi="仿宋" w:eastAsia="仿宋"/>
          <w:sz w:val="24"/>
          <w:highlight w:val="none"/>
        </w:rPr>
      </w:pPr>
      <w:r>
        <w:rPr>
          <w:rFonts w:hint="eastAsia" w:ascii="仿宋" w:hAnsi="仿宋" w:eastAsia="仿宋"/>
          <w:sz w:val="24"/>
          <w:highlight w:val="none"/>
        </w:rPr>
        <w:t>一、本保函为不可撤销、见索即付的独立保函。</w:t>
      </w:r>
    </w:p>
    <w:p>
      <w:pPr>
        <w:ind w:firstLine="480" w:firstLineChars="200"/>
        <w:rPr>
          <w:rFonts w:ascii="仿宋" w:hAnsi="仿宋" w:eastAsia="仿宋"/>
          <w:sz w:val="24"/>
          <w:highlight w:val="none"/>
        </w:rPr>
      </w:pPr>
      <w:r>
        <w:rPr>
          <w:rFonts w:hint="eastAsia" w:ascii="仿宋" w:hAnsi="仿宋" w:eastAsia="仿宋"/>
          <w:sz w:val="24"/>
          <w:highlight w:val="none"/>
        </w:rPr>
        <w:t>二、在本保函的有效期内，如委托人违反上述基础交易合同约定的义务而未向你方退还预付款，我行将在收到你方提交的符合下述要求的索赔通知书后</w:t>
      </w:r>
      <w:r>
        <w:rPr>
          <w:rFonts w:hint="eastAsia" w:ascii="仿宋" w:hAnsi="仿宋" w:eastAsia="仿宋"/>
          <w:sz w:val="24"/>
          <w:highlight w:val="none"/>
          <w:u w:val="single"/>
        </w:rPr>
        <w:t xml:space="preserve">  </w:t>
      </w:r>
      <w:r>
        <w:rPr>
          <w:rFonts w:hint="eastAsia" w:ascii="仿宋" w:hAnsi="仿宋" w:eastAsia="仿宋"/>
          <w:sz w:val="24"/>
          <w:highlight w:val="none"/>
        </w:rPr>
        <w:t>日内，以上述保函金额为限向你方支付相应款项。</w:t>
      </w:r>
    </w:p>
    <w:p>
      <w:pPr>
        <w:ind w:firstLine="480" w:firstLineChars="200"/>
        <w:rPr>
          <w:rFonts w:ascii="仿宋" w:hAnsi="仿宋" w:eastAsia="仿宋"/>
          <w:sz w:val="24"/>
          <w:highlight w:val="none"/>
        </w:rPr>
      </w:pPr>
      <w:r>
        <w:rPr>
          <w:rFonts w:hint="eastAsia" w:ascii="仿宋" w:hAnsi="仿宋" w:eastAsia="仿宋"/>
          <w:sz w:val="24"/>
          <w:highlight w:val="none"/>
        </w:rPr>
        <w:t>（一）索赔通知书须写明请求付款的金额，并声明该款项并未由委托人或其代理人直接或间接地支付给你方；</w:t>
      </w:r>
    </w:p>
    <w:p>
      <w:pPr>
        <w:ind w:firstLine="480" w:firstLineChars="200"/>
        <w:rPr>
          <w:rFonts w:ascii="仿宋" w:hAnsi="仿宋" w:eastAsia="仿宋"/>
          <w:sz w:val="24"/>
          <w:highlight w:val="none"/>
        </w:rPr>
      </w:pPr>
      <w:r>
        <w:rPr>
          <w:rFonts w:hint="eastAsia" w:ascii="仿宋" w:hAnsi="仿宋" w:eastAsia="仿宋"/>
          <w:sz w:val="24"/>
          <w:highlight w:val="none"/>
        </w:rPr>
        <w:t>（二）索赔通知书应由你方法定代表人签字并加盖公章；</w:t>
      </w:r>
    </w:p>
    <w:p>
      <w:pPr>
        <w:ind w:firstLine="480" w:firstLineChars="200"/>
        <w:rPr>
          <w:rFonts w:ascii="仿宋" w:hAnsi="仿宋" w:eastAsia="仿宋"/>
          <w:sz w:val="24"/>
          <w:highlight w:val="none"/>
        </w:rPr>
      </w:pPr>
      <w:r>
        <w:rPr>
          <w:rFonts w:hint="eastAsia" w:ascii="仿宋" w:hAnsi="仿宋" w:eastAsia="仿宋"/>
          <w:sz w:val="24"/>
          <w:highlight w:val="none"/>
        </w:rPr>
        <w:t>（三）索赔通知书必须于本保函有效期截止日前送达我行。</w:t>
      </w:r>
    </w:p>
    <w:p>
      <w:pPr>
        <w:ind w:firstLine="480" w:firstLineChars="200"/>
        <w:rPr>
          <w:rFonts w:ascii="仿宋" w:hAnsi="仿宋" w:eastAsia="仿宋"/>
          <w:sz w:val="24"/>
          <w:highlight w:val="none"/>
        </w:rPr>
      </w:pPr>
      <w:r>
        <w:rPr>
          <w:rFonts w:hint="eastAsia" w:ascii="仿宋" w:hAnsi="仿宋" w:eastAsia="仿宋"/>
          <w:sz w:val="24"/>
          <w:highlight w:val="none"/>
        </w:rPr>
        <w:t>三、合同的任何修改、变更、解释或不可执行都不能削弱或免除我行按本保函应承担的义务。</w:t>
      </w:r>
    </w:p>
    <w:p>
      <w:pPr>
        <w:ind w:firstLine="480" w:firstLineChars="200"/>
        <w:rPr>
          <w:rFonts w:ascii="仿宋" w:hAnsi="仿宋" w:eastAsia="仿宋"/>
          <w:sz w:val="24"/>
          <w:highlight w:val="none"/>
        </w:rPr>
      </w:pPr>
      <w:r>
        <w:rPr>
          <w:rFonts w:hint="eastAsia" w:ascii="仿宋" w:hAnsi="仿宋" w:eastAsia="仿宋"/>
          <w:sz w:val="24"/>
          <w:highlight w:val="none"/>
        </w:rPr>
        <w:t>本保函金额将随我行已向你方支付的金额而自动作相应递减。</w:t>
      </w:r>
    </w:p>
    <w:p>
      <w:pPr>
        <w:ind w:firstLine="480" w:firstLineChars="200"/>
        <w:rPr>
          <w:rFonts w:ascii="仿宋" w:hAnsi="仿宋" w:eastAsia="仿宋"/>
          <w:sz w:val="24"/>
          <w:highlight w:val="none"/>
        </w:rPr>
      </w:pPr>
      <w:r>
        <w:rPr>
          <w:rFonts w:hint="eastAsia" w:ascii="仿宋" w:hAnsi="仿宋" w:eastAsia="仿宋"/>
          <w:sz w:val="24"/>
          <w:highlight w:val="none"/>
        </w:rPr>
        <w:t>四、本保函未经我行书面同意不得转让。</w:t>
      </w:r>
    </w:p>
    <w:p>
      <w:pPr>
        <w:ind w:firstLine="480" w:firstLineChars="200"/>
        <w:rPr>
          <w:rFonts w:ascii="仿宋" w:hAnsi="仿宋" w:eastAsia="仿宋"/>
          <w:sz w:val="24"/>
          <w:highlight w:val="none"/>
        </w:rPr>
      </w:pPr>
      <w:r>
        <w:rPr>
          <w:rFonts w:hint="eastAsia" w:ascii="仿宋" w:hAnsi="仿宋" w:eastAsia="仿宋"/>
          <w:sz w:val="24"/>
          <w:highlight w:val="none"/>
        </w:rPr>
        <w:t>五、本保函自签发之日起生效，有效期至</w:t>
      </w:r>
      <w:r>
        <w:rPr>
          <w:rFonts w:hint="eastAsia" w:ascii="仿宋" w:hAnsi="仿宋" w:eastAsia="仿宋"/>
          <w:sz w:val="24"/>
          <w:highlight w:val="none"/>
          <w:u w:val="single"/>
        </w:rPr>
        <w:t xml:space="preserve">           </w:t>
      </w:r>
      <w:r>
        <w:rPr>
          <w:rFonts w:hint="eastAsia" w:ascii="仿宋" w:hAnsi="仿宋" w:eastAsia="仿宋"/>
          <w:sz w:val="24"/>
          <w:highlight w:val="none"/>
        </w:rPr>
        <w:t>止。在上述期限内若累计赔偿额达到前述保函金额，本保函提前失效。本保函到期后，无论保函原件是否退回我行，皆告失效。</w:t>
      </w:r>
    </w:p>
    <w:p>
      <w:pPr>
        <w:spacing w:line="400" w:lineRule="exact"/>
        <w:ind w:firstLine="540" w:firstLineChars="225"/>
        <w:rPr>
          <w:sz w:val="24"/>
          <w:highlight w:val="none"/>
        </w:rPr>
      </w:pPr>
      <w:r>
        <w:rPr>
          <w:rFonts w:ascii="宋体" w:hAnsi="宋体"/>
          <w:sz w:val="24"/>
          <w:highlight w:val="none"/>
        </w:rPr>
        <w:t xml:space="preserve"> </w:t>
      </w:r>
    </w:p>
    <w:p>
      <w:pPr>
        <w:spacing w:line="560" w:lineRule="exact"/>
        <w:ind w:firstLine="482" w:firstLineChars="200"/>
        <w:rPr>
          <w:rFonts w:ascii="宋体" w:hAnsi="宋体"/>
          <w:sz w:val="24"/>
          <w:highlight w:val="none"/>
        </w:rPr>
      </w:pPr>
      <w:r>
        <w:rPr>
          <w:rFonts w:hint="eastAsia" w:ascii="宋体" w:hAnsi="宋体"/>
          <w:b/>
          <w:sz w:val="24"/>
          <w:highlight w:val="none"/>
        </w:rPr>
        <w:t>备注：</w:t>
      </w:r>
      <w:r>
        <w:rPr>
          <w:rFonts w:hint="eastAsia" w:ascii="宋体" w:hAnsi="宋体"/>
          <w:sz w:val="24"/>
          <w:highlight w:val="none"/>
        </w:rPr>
        <w:t>本预付款担保格式必须采用经发包人认可的银行保函格式，但相关内容不得违背合同文件约定的实质性内容。</w:t>
      </w:r>
    </w:p>
    <w:p>
      <w:pPr>
        <w:spacing w:after="120"/>
        <w:rPr>
          <w:rFonts w:hAnsi="宋体"/>
          <w:szCs w:val="22"/>
          <w:highlight w:val="none"/>
        </w:rPr>
      </w:pPr>
    </w:p>
    <w:p>
      <w:pPr>
        <w:ind w:firstLine="643"/>
        <w:jc w:val="center"/>
        <w:rPr>
          <w:rFonts w:hAnsi="宋体"/>
          <w:b/>
          <w:bCs/>
          <w:sz w:val="32"/>
          <w:szCs w:val="22"/>
          <w:highlight w:val="none"/>
        </w:rPr>
      </w:pPr>
      <w:r>
        <w:rPr>
          <w:rFonts w:ascii="等线" w:hAnsi="等线" w:eastAsia="仿宋_GB2312"/>
          <w:b/>
          <w:bCs/>
          <w:kern w:val="18"/>
          <w:sz w:val="32"/>
          <w:szCs w:val="32"/>
          <w:highlight w:val="none"/>
        </w:rPr>
        <w:br w:type="page"/>
      </w:r>
      <w:bookmarkStart w:id="281" w:name="_Toc69983709"/>
      <w:bookmarkStart w:id="282" w:name="_Toc35513544"/>
    </w:p>
    <w:p>
      <w:pPr>
        <w:spacing w:line="366" w:lineRule="exact"/>
        <w:ind w:firstLine="643"/>
        <w:jc w:val="center"/>
        <w:outlineLvl w:val="1"/>
        <w:rPr>
          <w:rFonts w:hAnsi="宋体"/>
          <w:b/>
          <w:bCs/>
          <w:sz w:val="32"/>
          <w:szCs w:val="22"/>
          <w:highlight w:val="none"/>
        </w:rPr>
      </w:pPr>
      <w:r>
        <w:rPr>
          <w:rFonts w:hint="eastAsia" w:hAnsi="宋体"/>
          <w:b/>
          <w:bCs/>
          <w:sz w:val="32"/>
          <w:szCs w:val="22"/>
          <w:highlight w:val="none"/>
        </w:rPr>
        <w:t>五、</w:t>
      </w:r>
      <w:r>
        <w:rPr>
          <w:rFonts w:hAnsi="宋体"/>
          <w:b/>
          <w:bCs/>
          <w:sz w:val="32"/>
          <w:szCs w:val="22"/>
          <w:highlight w:val="none"/>
        </w:rPr>
        <w:t>资格审查资料</w:t>
      </w:r>
      <w:bookmarkEnd w:id="281"/>
      <w:bookmarkEnd w:id="282"/>
    </w:p>
    <w:p>
      <w:pPr>
        <w:pStyle w:val="4"/>
        <w:ind w:firstLine="482"/>
        <w:rPr>
          <w:highlight w:val="none"/>
        </w:rPr>
      </w:pPr>
      <w:bookmarkStart w:id="283" w:name="_Toc35513545"/>
      <w:bookmarkStart w:id="284" w:name="_Toc69983710"/>
      <w:r>
        <w:rPr>
          <w:rFonts w:hint="eastAsia"/>
          <w:highlight w:val="none"/>
        </w:rPr>
        <w:t>（一）基本情况表</w:t>
      </w:r>
      <w:bookmarkEnd w:id="283"/>
      <w:bookmarkEnd w:id="284"/>
    </w:p>
    <w:p>
      <w:pPr>
        <w:spacing w:line="20" w:lineRule="exact"/>
        <w:ind w:firstLine="480"/>
        <w:rPr>
          <w:rFonts w:hAnsi="宋体"/>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101"/>
        <w:gridCol w:w="881"/>
        <w:gridCol w:w="1387"/>
        <w:gridCol w:w="567"/>
        <w:gridCol w:w="851"/>
        <w:gridCol w:w="937"/>
        <w:gridCol w:w="5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投标人名称</w:t>
            </w:r>
          </w:p>
        </w:tc>
        <w:tc>
          <w:tcPr>
            <w:tcW w:w="6994" w:type="dxa"/>
            <w:gridSpan w:val="8"/>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注册地址</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1418" w:type="dxa"/>
            <w:gridSpan w:val="2"/>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邮政编码</w:t>
            </w:r>
          </w:p>
        </w:tc>
        <w:tc>
          <w:tcPr>
            <w:tcW w:w="2207" w:type="dxa"/>
            <w:gridSpan w:val="3"/>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联系方式</w:t>
            </w:r>
          </w:p>
        </w:tc>
        <w:tc>
          <w:tcPr>
            <w:tcW w:w="1101"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联系人</w:t>
            </w:r>
          </w:p>
        </w:tc>
        <w:tc>
          <w:tcPr>
            <w:tcW w:w="2268" w:type="dxa"/>
            <w:gridSpan w:val="2"/>
            <w:vAlign w:val="center"/>
          </w:tcPr>
          <w:p>
            <w:pPr>
              <w:topLinePunct/>
              <w:spacing w:line="360" w:lineRule="auto"/>
              <w:ind w:left="105" w:leftChars="50" w:right="105" w:rightChars="50"/>
              <w:jc w:val="center"/>
              <w:rPr>
                <w:rFonts w:hAnsi="宋体"/>
                <w:szCs w:val="21"/>
                <w:highlight w:val="none"/>
              </w:rPr>
            </w:pPr>
          </w:p>
        </w:tc>
        <w:tc>
          <w:tcPr>
            <w:tcW w:w="1418" w:type="dxa"/>
            <w:gridSpan w:val="2"/>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电 话</w:t>
            </w:r>
          </w:p>
        </w:tc>
        <w:tc>
          <w:tcPr>
            <w:tcW w:w="2207" w:type="dxa"/>
            <w:gridSpan w:val="3"/>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pPr>
              <w:spacing w:line="360" w:lineRule="auto"/>
              <w:ind w:left="105" w:leftChars="50" w:right="105" w:rightChars="50"/>
              <w:jc w:val="center"/>
              <w:rPr>
                <w:rFonts w:hAnsi="宋体"/>
                <w:szCs w:val="21"/>
                <w:highlight w:val="none"/>
              </w:rPr>
            </w:pPr>
          </w:p>
        </w:tc>
        <w:tc>
          <w:tcPr>
            <w:tcW w:w="1101"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传  真</w:t>
            </w:r>
          </w:p>
        </w:tc>
        <w:tc>
          <w:tcPr>
            <w:tcW w:w="2268" w:type="dxa"/>
            <w:gridSpan w:val="2"/>
            <w:vAlign w:val="center"/>
          </w:tcPr>
          <w:p>
            <w:pPr>
              <w:topLinePunct/>
              <w:spacing w:line="360" w:lineRule="auto"/>
              <w:ind w:left="105" w:leftChars="50" w:right="105" w:rightChars="50"/>
              <w:jc w:val="center"/>
              <w:rPr>
                <w:rFonts w:hAnsi="宋体"/>
                <w:szCs w:val="21"/>
                <w:highlight w:val="none"/>
              </w:rPr>
            </w:pPr>
          </w:p>
        </w:tc>
        <w:tc>
          <w:tcPr>
            <w:tcW w:w="1418" w:type="dxa"/>
            <w:gridSpan w:val="2"/>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网 址</w:t>
            </w:r>
          </w:p>
        </w:tc>
        <w:tc>
          <w:tcPr>
            <w:tcW w:w="2207" w:type="dxa"/>
            <w:gridSpan w:val="3"/>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法定代表人</w:t>
            </w:r>
          </w:p>
        </w:tc>
        <w:tc>
          <w:tcPr>
            <w:tcW w:w="1101"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姓名</w:t>
            </w:r>
          </w:p>
        </w:tc>
        <w:tc>
          <w:tcPr>
            <w:tcW w:w="881" w:type="dxa"/>
            <w:vAlign w:val="center"/>
          </w:tcPr>
          <w:p>
            <w:pPr>
              <w:topLinePunct/>
              <w:spacing w:line="360" w:lineRule="auto"/>
              <w:ind w:left="105" w:leftChars="50" w:right="105" w:rightChars="50"/>
              <w:jc w:val="center"/>
              <w:rPr>
                <w:rFonts w:hAnsi="宋体"/>
                <w:szCs w:val="21"/>
                <w:highlight w:val="none"/>
              </w:rPr>
            </w:pPr>
          </w:p>
        </w:tc>
        <w:tc>
          <w:tcPr>
            <w:tcW w:w="138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技术职称</w:t>
            </w:r>
          </w:p>
        </w:tc>
        <w:tc>
          <w:tcPr>
            <w:tcW w:w="1418" w:type="dxa"/>
            <w:gridSpan w:val="2"/>
            <w:vAlign w:val="center"/>
          </w:tcPr>
          <w:p>
            <w:pPr>
              <w:topLinePunct/>
              <w:spacing w:line="360" w:lineRule="auto"/>
              <w:ind w:left="105" w:leftChars="50" w:right="105" w:rightChars="50"/>
              <w:jc w:val="center"/>
              <w:rPr>
                <w:rFonts w:hAnsi="宋体"/>
                <w:szCs w:val="21"/>
                <w:highlight w:val="none"/>
              </w:rPr>
            </w:pPr>
          </w:p>
        </w:tc>
        <w:tc>
          <w:tcPr>
            <w:tcW w:w="9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电话</w:t>
            </w:r>
          </w:p>
        </w:tc>
        <w:tc>
          <w:tcPr>
            <w:tcW w:w="1270" w:type="dxa"/>
            <w:gridSpan w:val="2"/>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技术负责人</w:t>
            </w:r>
          </w:p>
        </w:tc>
        <w:tc>
          <w:tcPr>
            <w:tcW w:w="1101"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姓名</w:t>
            </w:r>
          </w:p>
        </w:tc>
        <w:tc>
          <w:tcPr>
            <w:tcW w:w="881" w:type="dxa"/>
            <w:vAlign w:val="center"/>
          </w:tcPr>
          <w:p>
            <w:pPr>
              <w:topLinePunct/>
              <w:spacing w:line="360" w:lineRule="auto"/>
              <w:ind w:left="105" w:leftChars="50" w:right="105" w:rightChars="50"/>
              <w:jc w:val="center"/>
              <w:rPr>
                <w:rFonts w:hAnsi="宋体"/>
                <w:szCs w:val="21"/>
                <w:highlight w:val="none"/>
              </w:rPr>
            </w:pPr>
          </w:p>
        </w:tc>
        <w:tc>
          <w:tcPr>
            <w:tcW w:w="138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技术职称</w:t>
            </w:r>
          </w:p>
        </w:tc>
        <w:tc>
          <w:tcPr>
            <w:tcW w:w="1418" w:type="dxa"/>
            <w:gridSpan w:val="2"/>
            <w:vAlign w:val="center"/>
          </w:tcPr>
          <w:p>
            <w:pPr>
              <w:topLinePunct/>
              <w:spacing w:line="360" w:lineRule="auto"/>
              <w:ind w:left="105" w:leftChars="50" w:right="105" w:rightChars="50"/>
              <w:jc w:val="center"/>
              <w:rPr>
                <w:rFonts w:hAnsi="宋体"/>
                <w:szCs w:val="21"/>
                <w:highlight w:val="none"/>
              </w:rPr>
            </w:pPr>
          </w:p>
        </w:tc>
        <w:tc>
          <w:tcPr>
            <w:tcW w:w="9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电话</w:t>
            </w:r>
          </w:p>
        </w:tc>
        <w:tc>
          <w:tcPr>
            <w:tcW w:w="1270" w:type="dxa"/>
            <w:gridSpan w:val="2"/>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企业资质证书</w:t>
            </w:r>
          </w:p>
        </w:tc>
        <w:tc>
          <w:tcPr>
            <w:tcW w:w="6994" w:type="dxa"/>
            <w:gridSpan w:val="8"/>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质量管理体系证书（如有）</w:t>
            </w:r>
          </w:p>
        </w:tc>
        <w:tc>
          <w:tcPr>
            <w:tcW w:w="6994" w:type="dxa"/>
            <w:gridSpan w:val="8"/>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营业执照号</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3625" w:type="dxa"/>
            <w:gridSpan w:val="5"/>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注册资本</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567" w:type="dxa"/>
            <w:vMerge w:val="restart"/>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其中</w:t>
            </w:r>
          </w:p>
        </w:tc>
        <w:tc>
          <w:tcPr>
            <w:tcW w:w="1843" w:type="dxa"/>
            <w:gridSpan w:val="3"/>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高级职称人员</w:t>
            </w:r>
          </w:p>
        </w:tc>
        <w:tc>
          <w:tcPr>
            <w:tcW w:w="1215" w:type="dxa"/>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成立日期</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567" w:type="dxa"/>
            <w:vMerge w:val="continue"/>
            <w:vAlign w:val="center"/>
          </w:tcPr>
          <w:p>
            <w:pPr>
              <w:spacing w:line="360" w:lineRule="auto"/>
              <w:ind w:left="105" w:leftChars="50" w:right="105" w:rightChars="50"/>
              <w:jc w:val="center"/>
              <w:rPr>
                <w:rFonts w:hAnsi="宋体"/>
                <w:szCs w:val="21"/>
                <w:highlight w:val="none"/>
              </w:rPr>
            </w:pPr>
          </w:p>
        </w:tc>
        <w:tc>
          <w:tcPr>
            <w:tcW w:w="1843" w:type="dxa"/>
            <w:gridSpan w:val="3"/>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中级职称人员</w:t>
            </w:r>
          </w:p>
        </w:tc>
        <w:tc>
          <w:tcPr>
            <w:tcW w:w="1215" w:type="dxa"/>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基本账户开户银行</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567" w:type="dxa"/>
            <w:vMerge w:val="continue"/>
            <w:vAlign w:val="center"/>
          </w:tcPr>
          <w:p>
            <w:pPr>
              <w:spacing w:line="360" w:lineRule="auto"/>
              <w:ind w:left="105" w:leftChars="50" w:right="105" w:rightChars="50"/>
              <w:jc w:val="center"/>
              <w:rPr>
                <w:rFonts w:hAnsi="宋体"/>
                <w:szCs w:val="21"/>
                <w:highlight w:val="none"/>
              </w:rPr>
            </w:pPr>
          </w:p>
        </w:tc>
        <w:tc>
          <w:tcPr>
            <w:tcW w:w="1843" w:type="dxa"/>
            <w:gridSpan w:val="3"/>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技术人员数量</w:t>
            </w:r>
          </w:p>
        </w:tc>
        <w:tc>
          <w:tcPr>
            <w:tcW w:w="1215" w:type="dxa"/>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基本账户银行账号</w:t>
            </w:r>
          </w:p>
        </w:tc>
        <w:tc>
          <w:tcPr>
            <w:tcW w:w="3369" w:type="dxa"/>
            <w:gridSpan w:val="3"/>
            <w:vAlign w:val="center"/>
          </w:tcPr>
          <w:p>
            <w:pPr>
              <w:topLinePunct/>
              <w:spacing w:line="360" w:lineRule="auto"/>
              <w:ind w:left="105" w:leftChars="50" w:right="105" w:rightChars="50"/>
              <w:jc w:val="center"/>
              <w:rPr>
                <w:rFonts w:hAnsi="宋体"/>
                <w:szCs w:val="21"/>
                <w:highlight w:val="none"/>
              </w:rPr>
            </w:pPr>
          </w:p>
        </w:tc>
        <w:tc>
          <w:tcPr>
            <w:tcW w:w="567" w:type="dxa"/>
            <w:vMerge w:val="continue"/>
            <w:vAlign w:val="center"/>
          </w:tcPr>
          <w:p>
            <w:pPr>
              <w:spacing w:line="360" w:lineRule="auto"/>
              <w:ind w:left="105" w:leftChars="50" w:right="105" w:rightChars="50"/>
              <w:jc w:val="center"/>
              <w:rPr>
                <w:rFonts w:hAnsi="宋体"/>
                <w:szCs w:val="21"/>
                <w:highlight w:val="none"/>
              </w:rPr>
            </w:pPr>
          </w:p>
        </w:tc>
        <w:tc>
          <w:tcPr>
            <w:tcW w:w="1843" w:type="dxa"/>
            <w:gridSpan w:val="3"/>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各类注册人员</w:t>
            </w:r>
          </w:p>
        </w:tc>
        <w:tc>
          <w:tcPr>
            <w:tcW w:w="1215" w:type="dxa"/>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经营范围</w:t>
            </w:r>
          </w:p>
        </w:tc>
        <w:tc>
          <w:tcPr>
            <w:tcW w:w="6994" w:type="dxa"/>
            <w:gridSpan w:val="8"/>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投标人关联企业情况（包括但不限于与投标人法定代表人为同一人或者存在控股、管理关系的不同单位）</w:t>
            </w:r>
          </w:p>
        </w:tc>
        <w:tc>
          <w:tcPr>
            <w:tcW w:w="6994" w:type="dxa"/>
            <w:gridSpan w:val="8"/>
            <w:vAlign w:val="center"/>
          </w:tcPr>
          <w:p>
            <w:pPr>
              <w:topLinePunct/>
              <w:spacing w:line="360" w:lineRule="auto"/>
              <w:ind w:left="105" w:leftChars="50" w:right="105" w:rightChars="5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pPr>
              <w:topLinePunct/>
              <w:spacing w:line="360" w:lineRule="auto"/>
              <w:ind w:left="105" w:leftChars="50" w:right="105" w:rightChars="50"/>
              <w:jc w:val="center"/>
              <w:rPr>
                <w:rFonts w:hAnsi="宋体"/>
                <w:szCs w:val="21"/>
                <w:highlight w:val="none"/>
              </w:rPr>
            </w:pPr>
            <w:r>
              <w:rPr>
                <w:rFonts w:hAnsi="宋体"/>
                <w:szCs w:val="21"/>
                <w:highlight w:val="none"/>
              </w:rPr>
              <w:t>备注</w:t>
            </w:r>
          </w:p>
        </w:tc>
        <w:tc>
          <w:tcPr>
            <w:tcW w:w="6994" w:type="dxa"/>
            <w:gridSpan w:val="8"/>
            <w:vAlign w:val="center"/>
          </w:tcPr>
          <w:p>
            <w:pPr>
              <w:topLinePunct/>
              <w:spacing w:line="360" w:lineRule="auto"/>
              <w:ind w:left="105" w:leftChars="50" w:right="105" w:rightChars="50"/>
              <w:jc w:val="center"/>
              <w:rPr>
                <w:rFonts w:hAnsi="宋体"/>
                <w:szCs w:val="21"/>
                <w:highlight w:val="none"/>
              </w:rPr>
            </w:pPr>
          </w:p>
        </w:tc>
      </w:tr>
    </w:tbl>
    <w:p>
      <w:pPr>
        <w:spacing w:line="360" w:lineRule="auto"/>
        <w:ind w:left="360" w:firstLine="420"/>
        <w:rPr>
          <w:rFonts w:hAnsi="宋体"/>
          <w:strike/>
          <w:highlight w:val="none"/>
        </w:rPr>
      </w:pPr>
      <w:r>
        <w:rPr>
          <w:rFonts w:hAnsi="宋体"/>
          <w:highlight w:val="none"/>
        </w:rPr>
        <w:t xml:space="preserve">注： </w:t>
      </w:r>
    </w:p>
    <w:p>
      <w:pPr>
        <w:spacing w:line="360" w:lineRule="auto"/>
        <w:ind w:left="360"/>
        <w:rPr>
          <w:rFonts w:hAnsi="宋体"/>
          <w:highlight w:val="none"/>
        </w:rPr>
      </w:pPr>
      <w:r>
        <w:rPr>
          <w:rFonts w:hint="eastAsia" w:hAnsi="宋体"/>
          <w:highlight w:val="none"/>
        </w:rPr>
        <w:t>（</w:t>
      </w:r>
      <w:r>
        <w:rPr>
          <w:rFonts w:hAnsi="宋体"/>
          <w:highlight w:val="none"/>
        </w:rPr>
        <w:t>1）填写基本情况表。</w:t>
      </w:r>
    </w:p>
    <w:p>
      <w:pPr>
        <w:spacing w:line="360" w:lineRule="auto"/>
        <w:ind w:left="360"/>
        <w:rPr>
          <w:rFonts w:hAnsi="宋体"/>
          <w:highlight w:val="none"/>
        </w:rPr>
      </w:pPr>
      <w:r>
        <w:rPr>
          <w:rFonts w:hint="eastAsia" w:hAnsi="宋体"/>
          <w:highlight w:val="none"/>
        </w:rPr>
        <w:t>（</w:t>
      </w:r>
      <w:r>
        <w:rPr>
          <w:rFonts w:hAnsi="宋体"/>
          <w:highlight w:val="none"/>
        </w:rPr>
        <w:t>2）表后附：（需按照招标公告资格条件及评审要求提供）</w:t>
      </w:r>
    </w:p>
    <w:p>
      <w:pPr>
        <w:spacing w:line="360" w:lineRule="auto"/>
        <w:ind w:left="360" w:firstLine="420"/>
        <w:rPr>
          <w:rFonts w:hAnsi="宋体"/>
          <w:highlight w:val="none"/>
        </w:rPr>
      </w:pPr>
      <w:r>
        <w:rPr>
          <w:rFonts w:hint="eastAsia" w:hAnsi="宋体"/>
          <w:highlight w:val="none"/>
        </w:rPr>
        <w:t>①企业法人营业执照或事业单位法人证书；</w:t>
      </w:r>
      <w:r>
        <w:rPr>
          <w:rFonts w:hAnsi="宋体"/>
          <w:highlight w:val="none"/>
        </w:rPr>
        <w:t xml:space="preserve"> </w:t>
      </w:r>
    </w:p>
    <w:p>
      <w:pPr>
        <w:spacing w:line="360" w:lineRule="auto"/>
        <w:ind w:left="360" w:firstLine="420"/>
        <w:rPr>
          <w:rFonts w:hAnsi="宋体"/>
          <w:highlight w:val="none"/>
        </w:rPr>
      </w:pPr>
      <w:r>
        <w:rPr>
          <w:rFonts w:hint="eastAsia" w:hAnsi="宋体"/>
          <w:highlight w:val="none"/>
        </w:rPr>
        <w:t>②投标申请人声明；（按招标公告附件一格式）；</w:t>
      </w:r>
    </w:p>
    <w:p>
      <w:pPr>
        <w:spacing w:line="360" w:lineRule="auto"/>
        <w:ind w:left="360" w:firstLine="420"/>
        <w:rPr>
          <w:rFonts w:hAnsi="宋体"/>
          <w:highlight w:val="none"/>
        </w:rPr>
      </w:pPr>
      <w:r>
        <w:rPr>
          <w:rFonts w:hint="eastAsia" w:hAnsi="宋体"/>
          <w:highlight w:val="none"/>
        </w:rPr>
        <w:t>③其他投标人认为需提交的资料。</w:t>
      </w:r>
    </w:p>
    <w:p>
      <w:pPr>
        <w:pStyle w:val="5"/>
        <w:ind w:firstLine="0" w:firstLineChars="0"/>
        <w:rPr>
          <w:highlight w:val="none"/>
        </w:rPr>
      </w:pPr>
      <w:r>
        <w:rPr>
          <w:highlight w:val="none"/>
        </w:rPr>
        <w:br w:type="page"/>
      </w:r>
    </w:p>
    <w:p>
      <w:pPr>
        <w:pStyle w:val="4"/>
        <w:ind w:firstLine="482"/>
        <w:rPr>
          <w:highlight w:val="none"/>
        </w:rPr>
      </w:pPr>
      <w:bookmarkStart w:id="285" w:name="_Toc69983712"/>
      <w:bookmarkStart w:id="286" w:name="_Toc35513547"/>
      <w:r>
        <w:rPr>
          <w:rFonts w:hint="eastAsia"/>
          <w:highlight w:val="none"/>
        </w:rPr>
        <w:t>（</w:t>
      </w:r>
      <w:r>
        <w:rPr>
          <w:rFonts w:hint="eastAsia"/>
          <w:highlight w:val="none"/>
          <w:lang w:val="en-US" w:eastAsia="zh-CN"/>
        </w:rPr>
        <w:t>二</w:t>
      </w:r>
      <w:r>
        <w:rPr>
          <w:rFonts w:hint="eastAsia"/>
          <w:highlight w:val="none"/>
        </w:rPr>
        <w:t>）投标人的类似项目情况表</w:t>
      </w:r>
      <w:bookmarkEnd w:id="285"/>
      <w:bookmarkEnd w:id="286"/>
    </w:p>
    <w:p>
      <w:pPr>
        <w:pStyle w:val="4"/>
        <w:ind w:firstLine="482"/>
        <w:rPr>
          <w:highlight w:val="none"/>
        </w:rPr>
      </w:pPr>
      <w:bookmarkStart w:id="287" w:name="_Toc35513548"/>
      <w:bookmarkStart w:id="288" w:name="_Toc69983713"/>
      <w:r>
        <w:rPr>
          <w:rFonts w:hint="eastAsia"/>
          <w:highlight w:val="none"/>
          <w:lang w:val="en-US" w:eastAsia="zh-CN"/>
        </w:rPr>
        <w:t>2</w:t>
      </w:r>
      <w:r>
        <w:rPr>
          <w:rFonts w:hint="eastAsia"/>
          <w:highlight w:val="none"/>
        </w:rPr>
        <w:t>-1项目情况汇总一览表</w:t>
      </w:r>
      <w:bookmarkEnd w:id="287"/>
      <w:bookmarkEnd w:id="28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134"/>
        <w:gridCol w:w="1276"/>
        <w:gridCol w:w="1134"/>
        <w:gridCol w:w="1134"/>
        <w:gridCol w:w="1134"/>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Ansi="宋体"/>
                <w:szCs w:val="21"/>
                <w:highlight w:val="none"/>
              </w:rPr>
            </w:pPr>
            <w:bookmarkStart w:id="289" w:name="_Toc35513549"/>
            <w:r>
              <w:rPr>
                <w:rFonts w:hint="eastAsia" w:hAnsi="宋体"/>
                <w:szCs w:val="21"/>
                <w:highlight w:val="none"/>
              </w:rPr>
              <w:t>序号</w:t>
            </w:r>
          </w:p>
        </w:tc>
        <w:tc>
          <w:tcPr>
            <w:tcW w:w="2409" w:type="dxa"/>
            <w:vAlign w:val="center"/>
          </w:tcPr>
          <w:p>
            <w:pPr>
              <w:jc w:val="center"/>
              <w:rPr>
                <w:rFonts w:hAnsi="宋体"/>
                <w:szCs w:val="21"/>
                <w:highlight w:val="none"/>
              </w:rPr>
            </w:pPr>
            <w:r>
              <w:rPr>
                <w:rFonts w:hint="eastAsia" w:hAnsi="宋体"/>
                <w:szCs w:val="21"/>
                <w:highlight w:val="none"/>
              </w:rPr>
              <w:t>项目名称</w:t>
            </w:r>
          </w:p>
        </w:tc>
        <w:tc>
          <w:tcPr>
            <w:tcW w:w="1134" w:type="dxa"/>
            <w:vAlign w:val="center"/>
          </w:tcPr>
          <w:p>
            <w:pPr>
              <w:jc w:val="center"/>
              <w:rPr>
                <w:rFonts w:hAnsi="宋体"/>
                <w:szCs w:val="21"/>
                <w:highlight w:val="none"/>
              </w:rPr>
            </w:pPr>
            <w:r>
              <w:rPr>
                <w:rFonts w:hint="eastAsia" w:hAnsi="宋体"/>
                <w:szCs w:val="21"/>
                <w:highlight w:val="none"/>
              </w:rPr>
              <w:t>委托单位</w:t>
            </w:r>
          </w:p>
        </w:tc>
        <w:tc>
          <w:tcPr>
            <w:tcW w:w="1276" w:type="dxa"/>
            <w:vAlign w:val="center"/>
          </w:tcPr>
          <w:p>
            <w:pPr>
              <w:jc w:val="center"/>
              <w:rPr>
                <w:rFonts w:hAnsi="宋体"/>
                <w:szCs w:val="21"/>
                <w:highlight w:val="none"/>
              </w:rPr>
            </w:pPr>
            <w:r>
              <w:rPr>
                <w:rFonts w:hint="eastAsia" w:hAnsi="宋体"/>
                <w:szCs w:val="21"/>
                <w:highlight w:val="none"/>
              </w:rPr>
              <w:t>委托单位联系人电话</w:t>
            </w:r>
          </w:p>
        </w:tc>
        <w:tc>
          <w:tcPr>
            <w:tcW w:w="1134" w:type="dxa"/>
            <w:vAlign w:val="center"/>
          </w:tcPr>
          <w:p>
            <w:pPr>
              <w:jc w:val="center"/>
              <w:rPr>
                <w:rFonts w:hAnsi="宋体"/>
                <w:szCs w:val="21"/>
                <w:highlight w:val="none"/>
              </w:rPr>
            </w:pPr>
            <w:r>
              <w:rPr>
                <w:rFonts w:hint="eastAsia" w:hAnsi="宋体"/>
                <w:szCs w:val="21"/>
                <w:highlight w:val="none"/>
              </w:rPr>
              <w:t>投资总额</w:t>
            </w:r>
          </w:p>
          <w:p>
            <w:pPr>
              <w:pStyle w:val="5"/>
              <w:ind w:firstLine="0" w:firstLineChars="0"/>
              <w:jc w:val="center"/>
              <w:rPr>
                <w:highlight w:val="none"/>
              </w:rPr>
            </w:pPr>
            <w:r>
              <w:rPr>
                <w:rFonts w:hAnsi="宋体" w:cs="Arial"/>
                <w:bCs/>
                <w:sz w:val="21"/>
                <w:szCs w:val="21"/>
                <w:highlight w:val="none"/>
              </w:rPr>
              <w:t>(送审额)</w:t>
            </w:r>
          </w:p>
        </w:tc>
        <w:tc>
          <w:tcPr>
            <w:tcW w:w="1134" w:type="dxa"/>
            <w:vAlign w:val="center"/>
          </w:tcPr>
          <w:p>
            <w:pPr>
              <w:jc w:val="center"/>
              <w:rPr>
                <w:rFonts w:hAnsi="宋体"/>
                <w:szCs w:val="21"/>
                <w:highlight w:val="none"/>
              </w:rPr>
            </w:pPr>
            <w:r>
              <w:rPr>
                <w:rFonts w:hint="eastAsia" w:hAnsi="宋体"/>
                <w:szCs w:val="21"/>
                <w:highlight w:val="none"/>
              </w:rPr>
              <w:t>服务合同总价</w:t>
            </w:r>
          </w:p>
        </w:tc>
        <w:tc>
          <w:tcPr>
            <w:tcW w:w="1134" w:type="dxa"/>
            <w:vAlign w:val="center"/>
          </w:tcPr>
          <w:p>
            <w:pPr>
              <w:jc w:val="center"/>
              <w:rPr>
                <w:rFonts w:hAnsi="宋体"/>
                <w:szCs w:val="21"/>
                <w:highlight w:val="none"/>
              </w:rPr>
            </w:pPr>
            <w:r>
              <w:rPr>
                <w:rFonts w:hint="eastAsia" w:hAnsi="宋体"/>
                <w:szCs w:val="21"/>
                <w:highlight w:val="none"/>
              </w:rPr>
              <w:t>服务内容</w:t>
            </w:r>
          </w:p>
        </w:tc>
        <w:tc>
          <w:tcPr>
            <w:tcW w:w="821" w:type="dxa"/>
            <w:vAlign w:val="center"/>
          </w:tcPr>
          <w:p>
            <w:pPr>
              <w:jc w:val="center"/>
              <w:rPr>
                <w:rFonts w:hAnsi="宋体"/>
                <w:szCs w:val="21"/>
                <w:highlight w:val="none"/>
              </w:rPr>
            </w:pPr>
            <w:r>
              <w:rPr>
                <w:rFonts w:hint="eastAsia" w:hAnsi="宋体" w:cs="Arial"/>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1</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2</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3</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4</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5</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pPr>
              <w:jc w:val="center"/>
              <w:rPr>
                <w:rFonts w:hAnsi="宋体"/>
                <w:szCs w:val="21"/>
                <w:highlight w:val="none"/>
              </w:rPr>
            </w:pPr>
            <w:r>
              <w:rPr>
                <w:rFonts w:hAnsi="宋体"/>
                <w:szCs w:val="21"/>
                <w:highlight w:val="none"/>
              </w:rPr>
              <w:t>…</w:t>
            </w:r>
          </w:p>
        </w:tc>
        <w:tc>
          <w:tcPr>
            <w:tcW w:w="2409" w:type="dxa"/>
            <w:vAlign w:val="center"/>
          </w:tcPr>
          <w:p>
            <w:pPr>
              <w:rPr>
                <w:rFonts w:hAnsi="宋体"/>
                <w:szCs w:val="21"/>
                <w:highlight w:val="none"/>
              </w:rPr>
            </w:pPr>
          </w:p>
        </w:tc>
        <w:tc>
          <w:tcPr>
            <w:tcW w:w="1134" w:type="dxa"/>
            <w:vAlign w:val="center"/>
          </w:tcPr>
          <w:p>
            <w:pPr>
              <w:rPr>
                <w:rFonts w:hAnsi="宋体"/>
                <w:szCs w:val="21"/>
                <w:highlight w:val="none"/>
              </w:rPr>
            </w:pPr>
          </w:p>
        </w:tc>
        <w:tc>
          <w:tcPr>
            <w:tcW w:w="1276"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1134" w:type="dxa"/>
            <w:vAlign w:val="center"/>
          </w:tcPr>
          <w:p>
            <w:pPr>
              <w:rPr>
                <w:rFonts w:hAnsi="宋体"/>
                <w:szCs w:val="21"/>
                <w:highlight w:val="none"/>
              </w:rPr>
            </w:pPr>
          </w:p>
        </w:tc>
        <w:tc>
          <w:tcPr>
            <w:tcW w:w="821" w:type="dxa"/>
            <w:vAlign w:val="center"/>
          </w:tcPr>
          <w:p>
            <w:pPr>
              <w:rPr>
                <w:rFonts w:hAnsi="宋体"/>
                <w:szCs w:val="21"/>
                <w:highlight w:val="none"/>
              </w:rPr>
            </w:pPr>
          </w:p>
        </w:tc>
      </w:tr>
    </w:tbl>
    <w:p>
      <w:pPr>
        <w:ind w:firstLine="480"/>
        <w:rPr>
          <w:highlight w:val="none"/>
        </w:rPr>
      </w:pPr>
    </w:p>
    <w:p>
      <w:pPr>
        <w:pStyle w:val="10"/>
        <w:ind w:firstLine="400"/>
        <w:rPr>
          <w:highlight w:val="none"/>
        </w:rPr>
      </w:pPr>
      <w:r>
        <w:rPr>
          <w:highlight w:val="none"/>
        </w:rPr>
        <w:br w:type="page"/>
      </w:r>
    </w:p>
    <w:p>
      <w:pPr>
        <w:pStyle w:val="4"/>
        <w:ind w:firstLine="0" w:firstLineChars="0"/>
        <w:rPr>
          <w:highlight w:val="none"/>
        </w:rPr>
      </w:pPr>
      <w:bookmarkStart w:id="290" w:name="_Toc69983714"/>
      <w:r>
        <w:rPr>
          <w:rFonts w:hint="eastAsia"/>
          <w:highlight w:val="none"/>
          <w:lang w:val="en-US" w:eastAsia="zh-CN"/>
        </w:rPr>
        <w:t>2</w:t>
      </w:r>
      <w:r>
        <w:rPr>
          <w:rFonts w:hint="eastAsia"/>
          <w:highlight w:val="none"/>
        </w:rPr>
        <w:t>-2项目情况表（每个项目一张表）</w:t>
      </w:r>
      <w:bookmarkEnd w:id="289"/>
      <w:bookmarkEnd w:id="290"/>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项目名称</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项目类型</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项目所在地</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委托人名称</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委托人地址</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委托人电话</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合同价格</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服务期限</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服务内容</w:t>
            </w:r>
          </w:p>
        </w:tc>
        <w:tc>
          <w:tcPr>
            <w:tcW w:w="3732" w:type="pct"/>
            <w:vAlign w:val="center"/>
          </w:tcPr>
          <w:p>
            <w:pPr>
              <w:spacing w:line="320" w:lineRule="exact"/>
              <w:ind w:firstLine="420"/>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项目负责人</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项目描述</w:t>
            </w:r>
          </w:p>
        </w:tc>
        <w:tc>
          <w:tcPr>
            <w:tcW w:w="3732" w:type="pct"/>
            <w:vAlign w:val="center"/>
          </w:tcPr>
          <w:p>
            <w:pPr>
              <w:spacing w:line="320" w:lineRule="exact"/>
              <w:ind w:firstLine="420"/>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67" w:type="pct"/>
            <w:vAlign w:val="center"/>
          </w:tcPr>
          <w:p>
            <w:pPr>
              <w:spacing w:line="320" w:lineRule="exact"/>
              <w:ind w:firstLine="420"/>
              <w:rPr>
                <w:rFonts w:hAnsi="宋体"/>
                <w:szCs w:val="21"/>
                <w:highlight w:val="none"/>
              </w:rPr>
            </w:pPr>
            <w:r>
              <w:rPr>
                <w:rFonts w:hint="eastAsia" w:hAnsi="宋体"/>
                <w:szCs w:val="21"/>
                <w:highlight w:val="none"/>
              </w:rPr>
              <w:t>备注</w:t>
            </w:r>
          </w:p>
        </w:tc>
        <w:tc>
          <w:tcPr>
            <w:tcW w:w="3732" w:type="pct"/>
            <w:vAlign w:val="center"/>
          </w:tcPr>
          <w:p>
            <w:pPr>
              <w:spacing w:line="320" w:lineRule="exact"/>
              <w:ind w:firstLine="420"/>
              <w:jc w:val="center"/>
              <w:rPr>
                <w:rFonts w:hAnsi="宋体"/>
                <w:szCs w:val="21"/>
                <w:highlight w:val="none"/>
              </w:rPr>
            </w:pPr>
          </w:p>
        </w:tc>
      </w:tr>
    </w:tbl>
    <w:p>
      <w:pPr>
        <w:spacing w:line="320" w:lineRule="exact"/>
        <w:ind w:left="500" w:firstLine="480"/>
        <w:rPr>
          <w:rFonts w:hAnsi="宋体"/>
          <w:highlight w:val="none"/>
        </w:rPr>
      </w:pPr>
    </w:p>
    <w:p>
      <w:pPr>
        <w:spacing w:line="320" w:lineRule="exact"/>
        <w:ind w:left="500" w:firstLine="420"/>
        <w:rPr>
          <w:rFonts w:hAnsi="宋体"/>
          <w:szCs w:val="21"/>
          <w:highlight w:val="none"/>
        </w:rPr>
      </w:pPr>
      <w:r>
        <w:rPr>
          <w:rFonts w:hAnsi="宋体"/>
          <w:szCs w:val="21"/>
          <w:highlight w:val="none"/>
        </w:rPr>
        <w:t>注：</w:t>
      </w:r>
      <w:r>
        <w:rPr>
          <w:rFonts w:hint="eastAsia" w:hAnsi="宋体"/>
          <w:szCs w:val="21"/>
          <w:highlight w:val="none"/>
        </w:rPr>
        <w:t>（</w:t>
      </w:r>
      <w:r>
        <w:rPr>
          <w:rFonts w:hAnsi="宋体"/>
          <w:szCs w:val="21"/>
          <w:highlight w:val="none"/>
        </w:rPr>
        <w:t>1）每个项目后面按本项目评分办法中相关评审要求提供业绩证明文件。</w:t>
      </w:r>
    </w:p>
    <w:p>
      <w:pPr>
        <w:spacing w:line="320" w:lineRule="exact"/>
        <w:ind w:left="500" w:firstLine="420"/>
        <w:rPr>
          <w:rFonts w:hAnsi="宋体"/>
          <w:szCs w:val="21"/>
          <w:highlight w:val="none"/>
        </w:rPr>
      </w:pPr>
      <w:r>
        <w:rPr>
          <w:rFonts w:hAnsi="宋体"/>
          <w:szCs w:val="21"/>
          <w:highlight w:val="none"/>
        </w:rPr>
        <w:t xml:space="preserve">    （2）每个项目一张表</w:t>
      </w:r>
    </w:p>
    <w:p>
      <w:pPr>
        <w:spacing w:line="200" w:lineRule="exact"/>
        <w:ind w:firstLine="480"/>
        <w:rPr>
          <w:rFonts w:hAnsi="宋体"/>
          <w:highlight w:val="none"/>
        </w:rPr>
      </w:pPr>
    </w:p>
    <w:p>
      <w:pPr>
        <w:pStyle w:val="5"/>
        <w:ind w:firstLine="680"/>
        <w:rPr>
          <w:highlight w:val="none"/>
        </w:rPr>
      </w:pPr>
    </w:p>
    <w:p>
      <w:pPr>
        <w:pStyle w:val="5"/>
        <w:ind w:firstLine="680"/>
        <w:rPr>
          <w:highlight w:val="none"/>
        </w:rPr>
      </w:pPr>
    </w:p>
    <w:p>
      <w:pPr>
        <w:pStyle w:val="4"/>
        <w:ind w:firstLine="482"/>
        <w:rPr>
          <w:highlight w:val="none"/>
        </w:rPr>
      </w:pPr>
      <w:bookmarkStart w:id="291" w:name="_Toc69983715"/>
      <w:bookmarkStart w:id="292" w:name="_Toc35513550"/>
      <w:r>
        <w:rPr>
          <w:rFonts w:hint="eastAsia"/>
          <w:highlight w:val="none"/>
        </w:rPr>
        <w:t>（</w:t>
      </w:r>
      <w:r>
        <w:rPr>
          <w:rFonts w:hint="eastAsia"/>
          <w:highlight w:val="none"/>
          <w:lang w:val="en-US" w:eastAsia="zh-CN"/>
        </w:rPr>
        <w:t>三</w:t>
      </w:r>
      <w:r>
        <w:rPr>
          <w:rFonts w:hint="eastAsia"/>
          <w:highlight w:val="none"/>
        </w:rPr>
        <w:t>）拟投入本项目人员一览表</w:t>
      </w:r>
      <w:bookmarkEnd w:id="291"/>
      <w:bookmarkEnd w:id="29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46"/>
        <w:gridCol w:w="2084"/>
        <w:gridCol w:w="274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姓名</w:t>
            </w:r>
          </w:p>
        </w:tc>
        <w:tc>
          <w:tcPr>
            <w:tcW w:w="2084"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本项目任职</w:t>
            </w:r>
          </w:p>
        </w:tc>
        <w:tc>
          <w:tcPr>
            <w:tcW w:w="2744"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职称/专业资格</w:t>
            </w:r>
          </w:p>
        </w:tc>
        <w:tc>
          <w:tcPr>
            <w:tcW w:w="129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546"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08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2744"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c>
          <w:tcPr>
            <w:tcW w:w="1298" w:type="dxa"/>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heme="minorEastAsia" w:hAnsiTheme="minorEastAsia" w:eastAsiaTheme="minorEastAsia" w:cstheme="minorEastAsia"/>
                <w:sz w:val="21"/>
                <w:szCs w:val="21"/>
                <w:highlight w:val="none"/>
              </w:rPr>
            </w:pPr>
          </w:p>
        </w:tc>
      </w:tr>
    </w:tbl>
    <w:p>
      <w:pPr>
        <w:tabs>
          <w:tab w:val="left" w:pos="11160"/>
        </w:tabs>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Theme="minorEastAsia" w:hAnsiTheme="minorEastAsia" w:eastAsiaTheme="minorEastAsia" w:cstheme="minorEastAsia"/>
          <w:sz w:val="21"/>
          <w:szCs w:val="21"/>
          <w:highlight w:val="none"/>
        </w:rPr>
      </w:pPr>
      <w:r>
        <w:rPr>
          <w:rFonts w:hint="eastAsia" w:ascii="宋体" w:hAnsi="宋体" w:eastAsia="宋体" w:cs="宋体"/>
          <w:szCs w:val="21"/>
          <w:highlight w:val="none"/>
        </w:rPr>
        <w:t>1、</w:t>
      </w:r>
      <w:r>
        <w:rPr>
          <w:rFonts w:hint="eastAsia" w:ascii="宋体" w:hAnsi="宋体" w:eastAsia="宋体" w:cs="宋体"/>
          <w:b/>
          <w:szCs w:val="21"/>
          <w:highlight w:val="none"/>
        </w:rPr>
        <w:t>本表可根据实际情况增栏填写</w:t>
      </w:r>
      <w:r>
        <w:rPr>
          <w:rFonts w:hint="eastAsia" w:ascii="宋体" w:hAnsi="宋体" w:eastAsia="宋体" w:cs="宋体"/>
          <w:spacing w:val="18"/>
          <w:szCs w:val="21"/>
          <w:highlight w:val="none"/>
        </w:rPr>
        <w:t>。</w:t>
      </w:r>
      <w:r>
        <w:rPr>
          <w:rFonts w:hint="eastAsia" w:asciiTheme="minorEastAsia" w:hAnsiTheme="minorEastAsia" w:eastAsiaTheme="minorEastAsia" w:cstheme="minorEastAsia"/>
          <w:sz w:val="21"/>
          <w:szCs w:val="21"/>
          <w:highlight w:val="none"/>
        </w:rPr>
        <w:t>按第五章委托人要求（工程造价咨询服务人员需求）及相关评审备注提供人员证明文件。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2、投标人可适当调整该表格式，但不得减少信息内容。</w:t>
      </w:r>
    </w:p>
    <w:p>
      <w:pPr>
        <w:spacing w:line="200" w:lineRule="exact"/>
        <w:rPr>
          <w:rFonts w:hAnsi="宋体"/>
          <w:highlight w:val="none"/>
        </w:rPr>
      </w:pPr>
      <w:r>
        <w:rPr>
          <w:rFonts w:hAnsi="宋体"/>
          <w:highlight w:val="none"/>
        </w:rPr>
        <w:br w:type="page"/>
      </w:r>
    </w:p>
    <w:p>
      <w:pPr>
        <w:pStyle w:val="4"/>
        <w:ind w:firstLine="198" w:firstLineChars="82"/>
        <w:rPr>
          <w:highlight w:val="none"/>
        </w:rPr>
      </w:pPr>
      <w:bookmarkStart w:id="293" w:name="_Toc69983716"/>
      <w:bookmarkStart w:id="294" w:name="_Toc35513551"/>
      <w:r>
        <w:rPr>
          <w:rFonts w:hint="eastAsia"/>
          <w:highlight w:val="none"/>
        </w:rPr>
        <w:t>（</w:t>
      </w:r>
      <w:r>
        <w:rPr>
          <w:rFonts w:hint="eastAsia"/>
          <w:highlight w:val="none"/>
          <w:lang w:val="en-US" w:eastAsia="zh-CN"/>
        </w:rPr>
        <w:t>四</w:t>
      </w:r>
      <w:r>
        <w:rPr>
          <w:rFonts w:hint="eastAsia"/>
          <w:highlight w:val="none"/>
        </w:rPr>
        <w:t>）拟投入本项目主要负责人员简历表</w:t>
      </w:r>
      <w:bookmarkEnd w:id="293"/>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6"/>
        <w:gridCol w:w="1469"/>
        <w:gridCol w:w="1316"/>
        <w:gridCol w:w="888"/>
        <w:gridCol w:w="840"/>
        <w:gridCol w:w="10"/>
        <w:gridCol w:w="935"/>
        <w:gridCol w:w="20"/>
        <w:gridCol w:w="969"/>
        <w:gridCol w:w="800"/>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exact"/>
        </w:trPr>
        <w:tc>
          <w:tcPr>
            <w:tcW w:w="1576"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姓</w:t>
            </w:r>
            <w:r>
              <w:rPr>
                <w:rFonts w:hAnsi="宋体" w:cs="仿宋"/>
                <w:szCs w:val="21"/>
                <w:highlight w:val="none"/>
              </w:rPr>
              <w:t xml:space="preserve"> </w:t>
            </w:r>
            <w:r>
              <w:rPr>
                <w:rFonts w:hint="eastAsia" w:hAnsi="宋体" w:cs="仿宋"/>
                <w:szCs w:val="21"/>
                <w:highlight w:val="none"/>
              </w:rPr>
              <w:t>名</w:t>
            </w:r>
          </w:p>
        </w:tc>
        <w:tc>
          <w:tcPr>
            <w:tcW w:w="1469"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p>
        </w:tc>
        <w:tc>
          <w:tcPr>
            <w:tcW w:w="131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性别</w:t>
            </w:r>
          </w:p>
        </w:tc>
        <w:tc>
          <w:tcPr>
            <w:tcW w:w="888"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p>
        </w:tc>
        <w:tc>
          <w:tcPr>
            <w:tcW w:w="84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出生</w:t>
            </w:r>
            <w:r>
              <w:rPr>
                <w:rFonts w:hAnsi="宋体" w:cs="仿宋"/>
                <w:szCs w:val="21"/>
                <w:highlight w:val="none"/>
              </w:rPr>
              <w:t xml:space="preserve"> </w:t>
            </w:r>
            <w:r>
              <w:rPr>
                <w:rFonts w:hint="eastAsia" w:hAnsi="宋体" w:cs="仿宋"/>
                <w:szCs w:val="21"/>
                <w:highlight w:val="none"/>
              </w:rPr>
              <w:t>年月</w:t>
            </w:r>
          </w:p>
        </w:tc>
        <w:tc>
          <w:tcPr>
            <w:tcW w:w="1934" w:type="dxa"/>
            <w:gridSpan w:val="4"/>
            <w:tcBorders>
              <w:top w:val="single" w:color="auto" w:sz="12" w:space="0"/>
              <w:left w:val="single" w:color="auto" w:sz="6" w:space="0"/>
              <w:bottom w:val="single" w:color="auto" w:sz="6" w:space="0"/>
              <w:right w:val="single" w:color="auto" w:sz="4" w:space="0"/>
            </w:tcBorders>
            <w:vAlign w:val="center"/>
          </w:tcPr>
          <w:p>
            <w:pPr>
              <w:spacing w:line="360" w:lineRule="auto"/>
              <w:jc w:val="center"/>
              <w:rPr>
                <w:rFonts w:hAnsi="宋体" w:cs="仿宋"/>
                <w:szCs w:val="21"/>
                <w:highlight w:val="none"/>
              </w:rPr>
            </w:pPr>
          </w:p>
        </w:tc>
        <w:tc>
          <w:tcPr>
            <w:tcW w:w="800" w:type="dxa"/>
            <w:tcBorders>
              <w:top w:val="single" w:color="auto" w:sz="12" w:space="0"/>
              <w:left w:val="single" w:color="auto" w:sz="4" w:space="0"/>
              <w:bottom w:val="single" w:color="auto" w:sz="6"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文化</w:t>
            </w:r>
            <w:r>
              <w:rPr>
                <w:rFonts w:hAnsi="宋体" w:cs="仿宋"/>
                <w:szCs w:val="21"/>
                <w:highlight w:val="none"/>
              </w:rPr>
              <w:t xml:space="preserve">  </w:t>
            </w:r>
            <w:r>
              <w:rPr>
                <w:rFonts w:hint="eastAsia" w:hAnsi="宋体" w:cs="仿宋"/>
                <w:szCs w:val="21"/>
                <w:highlight w:val="none"/>
              </w:rPr>
              <w:t>程度</w:t>
            </w:r>
          </w:p>
        </w:tc>
        <w:tc>
          <w:tcPr>
            <w:tcW w:w="840" w:type="dxa"/>
            <w:tcBorders>
              <w:top w:val="single" w:color="auto" w:sz="12" w:space="0"/>
              <w:left w:val="single" w:color="auto" w:sz="4" w:space="0"/>
              <w:bottom w:val="single" w:color="auto" w:sz="6" w:space="0"/>
              <w:right w:val="single" w:color="auto" w:sz="12" w:space="0"/>
            </w:tcBorders>
            <w:vAlign w:val="center"/>
          </w:tcPr>
          <w:p>
            <w:pPr>
              <w:spacing w:line="360" w:lineRule="auto"/>
              <w:jc w:val="center"/>
              <w:rPr>
                <w:rFonts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exact"/>
        </w:trPr>
        <w:tc>
          <w:tcPr>
            <w:tcW w:w="1576"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毕业院校</w:t>
            </w:r>
          </w:p>
        </w:tc>
        <w:tc>
          <w:tcPr>
            <w:tcW w:w="1469"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仿宋"/>
                <w:szCs w:val="21"/>
                <w:highlight w:val="none"/>
              </w:rPr>
            </w:pPr>
          </w:p>
        </w:tc>
        <w:tc>
          <w:tcPr>
            <w:tcW w:w="131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专业</w:t>
            </w:r>
            <w:r>
              <w:rPr>
                <w:rFonts w:hAnsi="宋体" w:cs="仿宋"/>
                <w:szCs w:val="21"/>
                <w:highlight w:val="none"/>
              </w:rPr>
              <w:t xml:space="preserve">      </w:t>
            </w:r>
          </w:p>
        </w:tc>
        <w:tc>
          <w:tcPr>
            <w:tcW w:w="1728"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hAnsi="宋体" w:cs="仿宋"/>
                <w:szCs w:val="21"/>
                <w:highlight w:val="none"/>
              </w:rPr>
            </w:pPr>
          </w:p>
        </w:tc>
        <w:tc>
          <w:tcPr>
            <w:tcW w:w="945" w:type="dxa"/>
            <w:gridSpan w:val="2"/>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毕业</w:t>
            </w:r>
          </w:p>
          <w:p>
            <w:pPr>
              <w:spacing w:line="360" w:lineRule="auto"/>
              <w:jc w:val="center"/>
              <w:rPr>
                <w:rFonts w:hAnsi="宋体" w:cs="仿宋"/>
                <w:szCs w:val="21"/>
                <w:highlight w:val="none"/>
              </w:rPr>
            </w:pPr>
            <w:r>
              <w:rPr>
                <w:rFonts w:hint="eastAsia" w:hAnsi="宋体" w:cs="仿宋"/>
                <w:szCs w:val="21"/>
                <w:highlight w:val="none"/>
              </w:rPr>
              <w:t>时间</w:t>
            </w:r>
          </w:p>
        </w:tc>
        <w:tc>
          <w:tcPr>
            <w:tcW w:w="989"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rPr>
                <w:rFonts w:hAnsi="宋体" w:cs="仿宋"/>
                <w:szCs w:val="21"/>
                <w:highlight w:val="none"/>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技术</w:t>
            </w:r>
          </w:p>
          <w:p>
            <w:pPr>
              <w:spacing w:line="360" w:lineRule="auto"/>
              <w:jc w:val="center"/>
              <w:rPr>
                <w:rFonts w:hAnsi="宋体" w:cs="仿宋"/>
                <w:szCs w:val="21"/>
                <w:highlight w:val="none"/>
              </w:rPr>
            </w:pPr>
            <w:r>
              <w:rPr>
                <w:rFonts w:hint="eastAsia" w:hAnsi="宋体" w:cs="仿宋"/>
                <w:szCs w:val="21"/>
                <w:highlight w:val="none"/>
              </w:rPr>
              <w:t>职称</w:t>
            </w:r>
          </w:p>
        </w:tc>
        <w:tc>
          <w:tcPr>
            <w:tcW w:w="840" w:type="dxa"/>
            <w:tcBorders>
              <w:top w:val="single" w:color="auto" w:sz="6" w:space="0"/>
              <w:left w:val="single" w:color="auto" w:sz="4" w:space="0"/>
              <w:bottom w:val="single" w:color="auto" w:sz="6" w:space="0"/>
              <w:right w:val="single" w:color="auto" w:sz="12" w:space="0"/>
            </w:tcBorders>
            <w:vAlign w:val="center"/>
          </w:tcPr>
          <w:p>
            <w:pPr>
              <w:spacing w:line="360" w:lineRule="auto"/>
              <w:rPr>
                <w:rFonts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trPr>
        <w:tc>
          <w:tcPr>
            <w:tcW w:w="1576"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拟在本项目</w:t>
            </w:r>
            <w:r>
              <w:rPr>
                <w:rFonts w:hAnsi="宋体" w:cs="仿宋"/>
                <w:szCs w:val="21"/>
                <w:highlight w:val="none"/>
              </w:rPr>
              <w:t xml:space="preserve">   </w:t>
            </w:r>
            <w:r>
              <w:rPr>
                <w:rFonts w:hint="eastAsia" w:hAnsi="宋体" w:cs="仿宋"/>
                <w:szCs w:val="21"/>
                <w:highlight w:val="none"/>
              </w:rPr>
              <w:t>担任的职务</w:t>
            </w:r>
          </w:p>
        </w:tc>
        <w:tc>
          <w:tcPr>
            <w:tcW w:w="1469"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仿宋"/>
                <w:szCs w:val="21"/>
                <w:highlight w:val="none"/>
              </w:rPr>
            </w:pPr>
          </w:p>
        </w:tc>
        <w:tc>
          <w:tcPr>
            <w:tcW w:w="131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从事相关工作年限</w:t>
            </w:r>
          </w:p>
        </w:tc>
        <w:tc>
          <w:tcPr>
            <w:tcW w:w="173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仿宋"/>
                <w:szCs w:val="21"/>
                <w:highlight w:val="none"/>
              </w:rPr>
            </w:pPr>
          </w:p>
        </w:tc>
        <w:tc>
          <w:tcPr>
            <w:tcW w:w="955"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现任</w:t>
            </w:r>
          </w:p>
          <w:p>
            <w:pPr>
              <w:spacing w:line="360" w:lineRule="auto"/>
              <w:jc w:val="center"/>
              <w:rPr>
                <w:rFonts w:hAnsi="宋体" w:cs="仿宋"/>
                <w:szCs w:val="21"/>
                <w:highlight w:val="none"/>
              </w:rPr>
            </w:pPr>
            <w:r>
              <w:rPr>
                <w:rFonts w:hint="eastAsia" w:hAnsi="宋体" w:cs="仿宋"/>
                <w:szCs w:val="21"/>
                <w:highlight w:val="none"/>
              </w:rPr>
              <w:t>职务</w:t>
            </w:r>
          </w:p>
        </w:tc>
        <w:tc>
          <w:tcPr>
            <w:tcW w:w="2609" w:type="dxa"/>
            <w:gridSpan w:val="3"/>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9" w:hRule="exact"/>
        </w:trPr>
        <w:tc>
          <w:tcPr>
            <w:tcW w:w="1576"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资格证号</w:t>
            </w:r>
          </w:p>
        </w:tc>
        <w:tc>
          <w:tcPr>
            <w:tcW w:w="6447" w:type="dxa"/>
            <w:gridSpan w:val="8"/>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Ansi="宋体" w:cs="仿宋"/>
                <w:szCs w:val="21"/>
                <w:highlight w:val="none"/>
              </w:rPr>
            </w:pPr>
          </w:p>
        </w:tc>
        <w:tc>
          <w:tcPr>
            <w:tcW w:w="800"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在册</w:t>
            </w:r>
            <w:r>
              <w:rPr>
                <w:rFonts w:hAnsi="宋体" w:cs="仿宋"/>
                <w:szCs w:val="21"/>
                <w:highlight w:val="none"/>
              </w:rPr>
              <w:t>/外聘</w:t>
            </w:r>
          </w:p>
        </w:tc>
        <w:tc>
          <w:tcPr>
            <w:tcW w:w="840"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1576" w:type="dxa"/>
            <w:vMerge w:val="restart"/>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hAnsi="宋体" w:cs="仿宋"/>
                <w:szCs w:val="21"/>
                <w:highlight w:val="none"/>
              </w:rPr>
            </w:pPr>
            <w:r>
              <w:rPr>
                <w:rFonts w:hint="eastAsia" w:hAnsi="宋体" w:cs="仿宋"/>
                <w:szCs w:val="21"/>
                <w:highlight w:val="none"/>
              </w:rPr>
              <w:t>主要</w:t>
            </w:r>
          </w:p>
          <w:p>
            <w:pPr>
              <w:spacing w:line="360" w:lineRule="auto"/>
              <w:jc w:val="center"/>
              <w:rPr>
                <w:rFonts w:hAnsi="宋体" w:cs="仿宋"/>
                <w:szCs w:val="21"/>
                <w:highlight w:val="none"/>
              </w:rPr>
            </w:pPr>
            <w:r>
              <w:rPr>
                <w:rFonts w:hint="eastAsia" w:hAnsi="宋体" w:cs="仿宋"/>
                <w:szCs w:val="21"/>
                <w:highlight w:val="none"/>
              </w:rPr>
              <w:t>业绩</w:t>
            </w:r>
          </w:p>
          <w:p>
            <w:pPr>
              <w:spacing w:line="360" w:lineRule="auto"/>
              <w:jc w:val="center"/>
              <w:rPr>
                <w:rFonts w:hAnsi="宋体" w:cs="仿宋"/>
                <w:szCs w:val="21"/>
                <w:highlight w:val="none"/>
              </w:rPr>
            </w:pPr>
          </w:p>
        </w:tc>
        <w:tc>
          <w:tcPr>
            <w:tcW w:w="1469"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时</w:t>
            </w:r>
            <w:r>
              <w:rPr>
                <w:rFonts w:hAnsi="宋体" w:cs="仿宋"/>
                <w:szCs w:val="21"/>
                <w:highlight w:val="none"/>
              </w:rPr>
              <w:t xml:space="preserve"> </w:t>
            </w:r>
            <w:r>
              <w:rPr>
                <w:rFonts w:hint="eastAsia" w:hAnsi="宋体" w:cs="仿宋"/>
                <w:szCs w:val="21"/>
                <w:highlight w:val="none"/>
              </w:rPr>
              <w:t>间</w:t>
            </w:r>
          </w:p>
        </w:tc>
        <w:tc>
          <w:tcPr>
            <w:tcW w:w="3989" w:type="dxa"/>
            <w:gridSpan w:val="5"/>
            <w:tcBorders>
              <w:top w:val="single" w:color="auto" w:sz="6" w:space="0"/>
              <w:left w:val="nil"/>
              <w:bottom w:val="single" w:color="auto" w:sz="4"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工</w:t>
            </w:r>
            <w:r>
              <w:rPr>
                <w:rFonts w:hAnsi="宋体" w:cs="仿宋"/>
                <w:szCs w:val="21"/>
                <w:highlight w:val="none"/>
              </w:rPr>
              <w:t xml:space="preserve">  </w:t>
            </w:r>
            <w:r>
              <w:rPr>
                <w:rFonts w:hint="eastAsia" w:hAnsi="宋体" w:cs="仿宋"/>
                <w:szCs w:val="21"/>
                <w:highlight w:val="none"/>
              </w:rPr>
              <w:t>程</w:t>
            </w:r>
            <w:r>
              <w:rPr>
                <w:rFonts w:hAnsi="宋体" w:cs="仿宋"/>
                <w:szCs w:val="21"/>
                <w:highlight w:val="none"/>
              </w:rPr>
              <w:t xml:space="preserve"> </w:t>
            </w:r>
            <w:r>
              <w:rPr>
                <w:rFonts w:hint="eastAsia" w:hAnsi="宋体" w:cs="仿宋"/>
                <w:szCs w:val="21"/>
                <w:highlight w:val="none"/>
              </w:rPr>
              <w:t>名</w:t>
            </w:r>
            <w:r>
              <w:rPr>
                <w:rFonts w:hAnsi="宋体" w:cs="仿宋"/>
                <w:szCs w:val="21"/>
                <w:highlight w:val="none"/>
              </w:rPr>
              <w:t xml:space="preserve"> </w:t>
            </w:r>
            <w:r>
              <w:rPr>
                <w:rFonts w:hint="eastAsia" w:hAnsi="宋体" w:cs="仿宋"/>
                <w:szCs w:val="21"/>
                <w:highlight w:val="none"/>
              </w:rPr>
              <w:t>称</w:t>
            </w:r>
          </w:p>
        </w:tc>
        <w:tc>
          <w:tcPr>
            <w:tcW w:w="989" w:type="dxa"/>
            <w:gridSpan w:val="2"/>
            <w:tcBorders>
              <w:top w:val="single" w:color="auto" w:sz="6" w:space="0"/>
              <w:left w:val="nil"/>
              <w:bottom w:val="single" w:color="auto" w:sz="4" w:space="0"/>
              <w:right w:val="single" w:color="auto" w:sz="4" w:space="0"/>
            </w:tcBorders>
            <w:vAlign w:val="center"/>
          </w:tcPr>
          <w:p>
            <w:pPr>
              <w:spacing w:line="360" w:lineRule="auto"/>
              <w:jc w:val="center"/>
              <w:rPr>
                <w:rFonts w:hAnsi="宋体" w:cs="仿宋"/>
                <w:szCs w:val="21"/>
                <w:highlight w:val="none"/>
              </w:rPr>
            </w:pPr>
            <w:r>
              <w:rPr>
                <w:rFonts w:hint="eastAsia" w:hAnsi="宋体" w:cs="仿宋"/>
                <w:szCs w:val="21"/>
                <w:highlight w:val="none"/>
              </w:rPr>
              <w:t>任</w:t>
            </w:r>
            <w:r>
              <w:rPr>
                <w:rFonts w:hAnsi="宋体" w:cs="仿宋"/>
                <w:szCs w:val="21"/>
                <w:highlight w:val="none"/>
              </w:rPr>
              <w:t xml:space="preserve"> </w:t>
            </w:r>
            <w:r>
              <w:rPr>
                <w:rFonts w:hint="eastAsia" w:hAnsi="宋体" w:cs="仿宋"/>
                <w:szCs w:val="21"/>
                <w:highlight w:val="none"/>
              </w:rPr>
              <w:t>职</w:t>
            </w:r>
          </w:p>
        </w:tc>
        <w:tc>
          <w:tcPr>
            <w:tcW w:w="1640" w:type="dxa"/>
            <w:gridSpan w:val="2"/>
            <w:tcBorders>
              <w:top w:val="single" w:color="auto" w:sz="6" w:space="0"/>
              <w:left w:val="single" w:color="auto" w:sz="4" w:space="0"/>
              <w:bottom w:val="single" w:color="auto" w:sz="4" w:space="0"/>
              <w:right w:val="single" w:color="auto" w:sz="12" w:space="0"/>
            </w:tcBorders>
            <w:vAlign w:val="center"/>
          </w:tcPr>
          <w:p>
            <w:pPr>
              <w:spacing w:line="360" w:lineRule="auto"/>
              <w:jc w:val="center"/>
              <w:rPr>
                <w:rFonts w:hAnsi="宋体" w:cs="仿宋"/>
                <w:szCs w:val="21"/>
                <w:highlight w:val="none"/>
              </w:rPr>
            </w:pPr>
            <w:r>
              <w:rPr>
                <w:rFonts w:hint="eastAsia" w:hAnsi="宋体" w:cs="仿宋"/>
                <w:szCs w:val="21"/>
                <w:highlight w:val="none"/>
              </w:rPr>
              <w:t>工</w:t>
            </w:r>
            <w:r>
              <w:rPr>
                <w:rFonts w:hAnsi="宋体" w:cs="仿宋"/>
                <w:szCs w:val="21"/>
                <w:highlight w:val="none"/>
              </w:rPr>
              <w:t xml:space="preserve"> </w:t>
            </w:r>
            <w:r>
              <w:rPr>
                <w:rFonts w:hint="eastAsia" w:hAnsi="宋体" w:cs="仿宋"/>
                <w:szCs w:val="21"/>
                <w:highlight w:val="none"/>
              </w:rPr>
              <w:t>作</w:t>
            </w:r>
            <w:r>
              <w:rPr>
                <w:rFonts w:hAnsi="宋体" w:cs="仿宋"/>
                <w:szCs w:val="21"/>
                <w:highlight w:val="none"/>
              </w:rPr>
              <w:t xml:space="preserve"> </w:t>
            </w:r>
            <w:r>
              <w:rPr>
                <w:rFonts w:hint="eastAsia" w:hAnsi="宋体" w:cs="仿宋"/>
                <w:szCs w:val="21"/>
                <w:highlight w:val="none"/>
              </w:rPr>
              <w:t>单</w:t>
            </w:r>
            <w:r>
              <w:rPr>
                <w:rFonts w:hAnsi="宋体" w:cs="仿宋"/>
                <w:szCs w:val="21"/>
                <w:highlight w:val="none"/>
              </w:rPr>
              <w:t xml:space="preserve"> </w:t>
            </w:r>
            <w:r>
              <w:rPr>
                <w:rFonts w:hint="eastAsia" w:hAnsi="宋体" w:cs="仿宋"/>
                <w:szCs w:val="21"/>
                <w:highlight w:val="none"/>
              </w:rPr>
              <w:t>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3" w:hRule="atLeast"/>
        </w:trPr>
        <w:tc>
          <w:tcPr>
            <w:tcW w:w="1576" w:type="dxa"/>
            <w:vMerge w:val="continue"/>
            <w:tcBorders>
              <w:top w:val="single" w:color="auto" w:sz="6" w:space="0"/>
              <w:left w:val="single" w:color="auto" w:sz="12" w:space="0"/>
              <w:bottom w:val="single" w:color="auto" w:sz="12" w:space="0"/>
              <w:right w:val="single" w:color="auto" w:sz="6" w:space="0"/>
            </w:tcBorders>
            <w:vAlign w:val="center"/>
          </w:tcPr>
          <w:p>
            <w:pPr>
              <w:spacing w:line="360" w:lineRule="auto"/>
              <w:rPr>
                <w:rFonts w:hAnsi="宋体" w:cs="仿宋"/>
                <w:szCs w:val="21"/>
                <w:highlight w:val="none"/>
              </w:rPr>
            </w:pPr>
          </w:p>
        </w:tc>
        <w:tc>
          <w:tcPr>
            <w:tcW w:w="1469" w:type="dxa"/>
            <w:tcBorders>
              <w:top w:val="single" w:color="auto" w:sz="6" w:space="0"/>
              <w:left w:val="single" w:color="auto" w:sz="6" w:space="0"/>
              <w:bottom w:val="single" w:color="auto" w:sz="12" w:space="0"/>
              <w:right w:val="single" w:color="auto" w:sz="4" w:space="0"/>
            </w:tcBorders>
            <w:vAlign w:val="center"/>
          </w:tcPr>
          <w:p>
            <w:pPr>
              <w:spacing w:line="360" w:lineRule="auto"/>
              <w:jc w:val="center"/>
              <w:rPr>
                <w:rFonts w:hAnsi="宋体" w:cs="仿宋"/>
                <w:szCs w:val="21"/>
                <w:highlight w:val="none"/>
              </w:rPr>
            </w:pPr>
          </w:p>
        </w:tc>
        <w:tc>
          <w:tcPr>
            <w:tcW w:w="3989" w:type="dxa"/>
            <w:gridSpan w:val="5"/>
            <w:tcBorders>
              <w:top w:val="single" w:color="auto" w:sz="6" w:space="0"/>
              <w:left w:val="nil"/>
              <w:bottom w:val="single" w:color="auto" w:sz="12" w:space="0"/>
              <w:right w:val="single" w:color="auto" w:sz="4" w:space="0"/>
            </w:tcBorders>
            <w:vAlign w:val="center"/>
          </w:tcPr>
          <w:p>
            <w:pPr>
              <w:spacing w:line="360" w:lineRule="auto"/>
              <w:jc w:val="center"/>
              <w:rPr>
                <w:rFonts w:hAnsi="宋体" w:cs="仿宋"/>
                <w:szCs w:val="21"/>
                <w:highlight w:val="none"/>
              </w:rPr>
            </w:pPr>
          </w:p>
        </w:tc>
        <w:tc>
          <w:tcPr>
            <w:tcW w:w="989" w:type="dxa"/>
            <w:gridSpan w:val="2"/>
            <w:tcBorders>
              <w:top w:val="single" w:color="auto" w:sz="6" w:space="0"/>
              <w:left w:val="nil"/>
              <w:bottom w:val="single" w:color="auto" w:sz="12" w:space="0"/>
              <w:right w:val="single" w:color="auto" w:sz="4" w:space="0"/>
            </w:tcBorders>
            <w:vAlign w:val="center"/>
          </w:tcPr>
          <w:p>
            <w:pPr>
              <w:spacing w:line="360" w:lineRule="auto"/>
              <w:jc w:val="center"/>
              <w:rPr>
                <w:rFonts w:hAnsi="宋体" w:cs="仿宋"/>
                <w:szCs w:val="21"/>
                <w:highlight w:val="none"/>
              </w:rPr>
            </w:pPr>
          </w:p>
        </w:tc>
        <w:tc>
          <w:tcPr>
            <w:tcW w:w="1640" w:type="dxa"/>
            <w:gridSpan w:val="2"/>
            <w:tcBorders>
              <w:top w:val="single" w:color="auto" w:sz="6" w:space="0"/>
              <w:left w:val="single" w:color="auto" w:sz="4" w:space="0"/>
              <w:bottom w:val="single" w:color="auto" w:sz="12" w:space="0"/>
              <w:right w:val="single" w:color="auto" w:sz="12" w:space="0"/>
            </w:tcBorders>
            <w:vAlign w:val="center"/>
          </w:tcPr>
          <w:p>
            <w:pPr>
              <w:spacing w:line="360" w:lineRule="auto"/>
              <w:jc w:val="center"/>
              <w:rPr>
                <w:rFonts w:hAnsi="宋体" w:cs="仿宋"/>
                <w:szCs w:val="21"/>
                <w:highlight w:val="none"/>
              </w:rPr>
            </w:pPr>
          </w:p>
        </w:tc>
      </w:tr>
    </w:tbl>
    <w:p>
      <w:pPr>
        <w:adjustRightInd w:val="0"/>
        <w:snapToGrid w:val="0"/>
        <w:spacing w:line="360" w:lineRule="auto"/>
        <w:ind w:right="-624" w:firstLine="380"/>
        <w:rPr>
          <w:rFonts w:hAnsi="宋体" w:cs="仿宋"/>
          <w:spacing w:val="-10"/>
          <w:szCs w:val="21"/>
          <w:highlight w:val="none"/>
        </w:rPr>
      </w:pPr>
      <w:r>
        <w:rPr>
          <w:rFonts w:hint="eastAsia" w:hAnsi="宋体" w:cs="仿宋"/>
          <w:spacing w:val="-10"/>
          <w:szCs w:val="21"/>
          <w:highlight w:val="none"/>
        </w:rPr>
        <w:t>备注：</w:t>
      </w:r>
    </w:p>
    <w:p>
      <w:pPr>
        <w:adjustRightInd w:val="0"/>
        <w:snapToGrid w:val="0"/>
        <w:spacing w:line="360" w:lineRule="auto"/>
        <w:ind w:right="-624" w:firstLine="380"/>
        <w:rPr>
          <w:rFonts w:hAnsi="宋体" w:cs="仿宋"/>
          <w:spacing w:val="-10"/>
          <w:szCs w:val="21"/>
          <w:highlight w:val="none"/>
        </w:rPr>
      </w:pPr>
      <w:r>
        <w:rPr>
          <w:rFonts w:hAnsi="宋体" w:cs="仿宋"/>
          <w:spacing w:val="-10"/>
          <w:szCs w:val="21"/>
          <w:highlight w:val="none"/>
        </w:rPr>
        <w:t xml:space="preserve"> 1、项目负责人</w:t>
      </w:r>
      <w:r>
        <w:rPr>
          <w:rFonts w:hint="eastAsia" w:hAnsi="宋体" w:cs="仿宋"/>
          <w:szCs w:val="21"/>
          <w:highlight w:val="none"/>
        </w:rPr>
        <w:t>应附本简历表，其余人员无需本表。</w:t>
      </w:r>
    </w:p>
    <w:p>
      <w:pPr>
        <w:adjustRightInd w:val="0"/>
        <w:snapToGrid w:val="0"/>
        <w:spacing w:line="360" w:lineRule="auto"/>
        <w:ind w:right="-624" w:firstLine="420"/>
        <w:rPr>
          <w:szCs w:val="21"/>
          <w:highlight w:val="none"/>
        </w:rPr>
      </w:pPr>
      <w:r>
        <w:rPr>
          <w:rFonts w:hint="eastAsia"/>
          <w:szCs w:val="21"/>
          <w:highlight w:val="none"/>
        </w:rPr>
        <w:t>2、应附</w:t>
      </w:r>
      <w:r>
        <w:rPr>
          <w:rFonts w:hint="eastAsia" w:hAnsi="宋体" w:cs="宋体"/>
          <w:szCs w:val="21"/>
          <w:highlight w:val="none"/>
        </w:rPr>
        <w:t>相关证书。前述人员均不得互相兼任（所提供的投入人员必须为投标单位人员，以提供的近</w:t>
      </w:r>
      <w:r>
        <w:rPr>
          <w:rFonts w:hint="eastAsia" w:hAnsi="宋体" w:cs="宋体"/>
          <w:szCs w:val="21"/>
          <w:highlight w:val="none"/>
          <w:lang w:val="en-US" w:eastAsia="zh-CN"/>
        </w:rPr>
        <w:t>3</w:t>
      </w:r>
      <w:r>
        <w:rPr>
          <w:rFonts w:hAnsi="宋体" w:cs="宋体"/>
          <w:szCs w:val="21"/>
          <w:highlight w:val="none"/>
        </w:rPr>
        <w:t>个月</w:t>
      </w:r>
      <w:r>
        <w:rPr>
          <w:rFonts w:hint="eastAsia" w:hAnsi="宋体" w:eastAsia="宋体" w:cs="宋体"/>
          <w:szCs w:val="21"/>
          <w:highlight w:val="none"/>
        </w:rPr>
        <w:t>（</w:t>
      </w:r>
      <w:r>
        <w:rPr>
          <w:rFonts w:hint="eastAsia" w:hAnsi="宋体" w:eastAsia="宋体" w:cs="宋体"/>
          <w:szCs w:val="21"/>
          <w:highlight w:val="none"/>
          <w:lang w:eastAsia="zh-CN"/>
        </w:rPr>
        <w:t>2025</w:t>
      </w:r>
      <w:r>
        <w:rPr>
          <w:rFonts w:hAnsi="宋体" w:eastAsia="宋体" w:cs="宋体"/>
          <w:szCs w:val="21"/>
          <w:highlight w:val="none"/>
        </w:rPr>
        <w:t>年</w:t>
      </w:r>
      <w:r>
        <w:rPr>
          <w:rFonts w:hint="eastAsia" w:hAnsi="宋体" w:eastAsia="宋体" w:cs="宋体"/>
          <w:szCs w:val="21"/>
          <w:highlight w:val="none"/>
          <w:lang w:val="en-US" w:eastAsia="zh-CN"/>
        </w:rPr>
        <w:t>4月-</w:t>
      </w:r>
      <w:r>
        <w:rPr>
          <w:rFonts w:hint="eastAsia" w:hAnsi="宋体" w:eastAsia="宋体" w:cs="宋体"/>
          <w:szCs w:val="21"/>
          <w:highlight w:val="none"/>
          <w:lang w:eastAsia="zh-CN"/>
        </w:rPr>
        <w:t>2025</w:t>
      </w:r>
      <w:r>
        <w:rPr>
          <w:rFonts w:hAnsi="宋体" w:eastAsia="宋体" w:cs="宋体"/>
          <w:szCs w:val="21"/>
          <w:highlight w:val="none"/>
        </w:rPr>
        <w:t>年</w:t>
      </w:r>
      <w:r>
        <w:rPr>
          <w:rFonts w:hint="eastAsia" w:hAnsi="宋体" w:eastAsia="宋体" w:cs="宋体"/>
          <w:szCs w:val="21"/>
          <w:highlight w:val="none"/>
          <w:lang w:val="en-US" w:eastAsia="zh-CN"/>
        </w:rPr>
        <w:t>6</w:t>
      </w:r>
      <w:r>
        <w:rPr>
          <w:rFonts w:hAnsi="宋体" w:eastAsia="宋体" w:cs="宋体"/>
          <w:szCs w:val="21"/>
          <w:highlight w:val="none"/>
        </w:rPr>
        <w:t>月）或以上</w:t>
      </w:r>
      <w:r>
        <w:rPr>
          <w:rFonts w:hint="eastAsia" w:hAnsi="宋体" w:cs="宋体"/>
          <w:szCs w:val="21"/>
          <w:highlight w:val="none"/>
        </w:rPr>
        <w:t>社保证明文件为准</w:t>
      </w:r>
      <w:r>
        <w:rPr>
          <w:rFonts w:hint="eastAsia"/>
          <w:szCs w:val="21"/>
          <w:highlight w:val="none"/>
        </w:rPr>
        <w:t>，否则不被认可</w:t>
      </w:r>
      <w:r>
        <w:rPr>
          <w:rFonts w:hint="eastAsia" w:hAnsi="宋体" w:cs="宋体"/>
          <w:szCs w:val="21"/>
          <w:highlight w:val="none"/>
        </w:rPr>
        <w:t>）</w:t>
      </w:r>
    </w:p>
    <w:p>
      <w:pPr>
        <w:adjustRightInd w:val="0"/>
        <w:snapToGrid w:val="0"/>
        <w:spacing w:line="360" w:lineRule="auto"/>
        <w:ind w:right="-624" w:firstLine="420"/>
        <w:rPr>
          <w:rFonts w:hAnsi="宋体" w:cs="仿宋"/>
          <w:szCs w:val="21"/>
          <w:highlight w:val="none"/>
        </w:rPr>
        <w:sectPr>
          <w:pgSz w:w="12240" w:h="15840"/>
          <w:pgMar w:top="1440" w:right="1440" w:bottom="1418" w:left="1440" w:header="1134" w:footer="1134" w:gutter="0"/>
          <w:cols w:space="720" w:num="1"/>
          <w:docGrid w:linePitch="360" w:charSpace="0"/>
        </w:sectPr>
      </w:pPr>
      <w:r>
        <w:rPr>
          <w:rFonts w:hAnsi="宋体" w:cs="仿宋"/>
          <w:szCs w:val="21"/>
          <w:highlight w:val="none"/>
        </w:rPr>
        <w:t>3、所报人员如有符合评分表中评分项目的，应附相关证明材料复印件。</w:t>
      </w:r>
    </w:p>
    <w:bookmarkEnd w:id="294"/>
    <w:p>
      <w:pPr>
        <w:pStyle w:val="3"/>
        <w:rPr>
          <w:highlight w:val="none"/>
        </w:rPr>
      </w:pPr>
      <w:bookmarkStart w:id="295" w:name="_Toc35513553"/>
      <w:bookmarkStart w:id="296" w:name="_Toc69983718"/>
      <w:r>
        <w:rPr>
          <w:rFonts w:hint="eastAsia"/>
          <w:highlight w:val="none"/>
        </w:rPr>
        <w:t>六、全过程造价咨询实施方案</w:t>
      </w:r>
      <w:bookmarkEnd w:id="295"/>
      <w:bookmarkEnd w:id="296"/>
    </w:p>
    <w:p>
      <w:pPr>
        <w:pStyle w:val="6"/>
        <w:ind w:firstLine="480"/>
        <w:rPr>
          <w:highlight w:val="none"/>
        </w:rPr>
      </w:pPr>
      <w:r>
        <w:rPr>
          <w:rFonts w:hint="eastAsia"/>
          <w:highlight w:val="none"/>
        </w:rPr>
        <w:t>（格式自定,由投标人根据评分标准内容自行考虑）</w:t>
      </w:r>
    </w:p>
    <w:p>
      <w:pPr>
        <w:pStyle w:val="3"/>
        <w:rPr>
          <w:highlight w:val="none"/>
        </w:rPr>
      </w:pPr>
      <w:r>
        <w:rPr>
          <w:highlight w:val="none"/>
        </w:rPr>
        <w:br w:type="page"/>
      </w:r>
      <w:bookmarkStart w:id="297" w:name="_Toc35513554"/>
      <w:bookmarkStart w:id="298" w:name="_Toc69983719"/>
      <w:r>
        <w:rPr>
          <w:rFonts w:hint="eastAsia"/>
          <w:highlight w:val="none"/>
        </w:rPr>
        <w:t>七、其他资料</w:t>
      </w:r>
      <w:bookmarkEnd w:id="297"/>
      <w:bookmarkEnd w:id="298"/>
    </w:p>
    <w:tbl>
      <w:tblPr>
        <w:tblStyle w:val="14"/>
        <w:tblW w:w="9045" w:type="dxa"/>
        <w:tblInd w:w="0" w:type="dxa"/>
        <w:tblLayout w:type="fixed"/>
        <w:tblCellMar>
          <w:top w:w="0" w:type="dxa"/>
          <w:left w:w="0" w:type="dxa"/>
          <w:bottom w:w="0" w:type="dxa"/>
          <w:right w:w="0" w:type="dxa"/>
        </w:tblCellMar>
      </w:tblPr>
      <w:tblGrid>
        <w:gridCol w:w="990"/>
        <w:gridCol w:w="1597"/>
        <w:gridCol w:w="2136"/>
        <w:gridCol w:w="2136"/>
        <w:gridCol w:w="2186"/>
      </w:tblGrid>
      <w:tr>
        <w:tblPrEx>
          <w:tblCellMar>
            <w:top w:w="0" w:type="dxa"/>
            <w:left w:w="0" w:type="dxa"/>
            <w:bottom w:w="0" w:type="dxa"/>
            <w:right w:w="0" w:type="dxa"/>
          </w:tblCellMar>
        </w:tblPrEx>
        <w:trPr>
          <w:trHeight w:val="858" w:hRule="atLeast"/>
        </w:trPr>
        <w:tc>
          <w:tcPr>
            <w:tcW w:w="9045" w:type="dxa"/>
            <w:gridSpan w:val="5"/>
            <w:tcBorders>
              <w:top w:val="nil"/>
              <w:left w:val="nil"/>
              <w:bottom w:val="single" w:color="000000" w:sz="4" w:space="0"/>
              <w:right w:val="nil"/>
            </w:tcBorders>
            <w:noWrap/>
            <w:tcMar>
              <w:top w:w="15" w:type="dxa"/>
              <w:left w:w="15" w:type="dxa"/>
              <w:right w:w="15" w:type="dxa"/>
            </w:tcMar>
            <w:vAlign w:val="center"/>
          </w:tcPr>
          <w:p>
            <w:pPr>
              <w:pStyle w:val="6"/>
              <w:ind w:firstLine="199" w:firstLineChars="83"/>
              <w:rPr>
                <w:rFonts w:ascii="方正大标宋简体" w:hAnsi="方正大标宋简体" w:eastAsia="方正大标宋简体" w:cs="方正大标宋简体"/>
                <w:b/>
                <w:sz w:val="32"/>
                <w:szCs w:val="32"/>
                <w:highlight w:val="none"/>
              </w:rPr>
            </w:pPr>
            <w:r>
              <w:rPr>
                <w:rFonts w:hint="eastAsia"/>
                <w:highlight w:val="none"/>
              </w:rPr>
              <w:t>1.项目管理团队人员信息表</w:t>
            </w:r>
          </w:p>
        </w:tc>
      </w:tr>
      <w:tr>
        <w:tblPrEx>
          <w:tblCellMar>
            <w:top w:w="0" w:type="dxa"/>
            <w:left w:w="0" w:type="dxa"/>
            <w:bottom w:w="0" w:type="dxa"/>
            <w:right w:w="0" w:type="dxa"/>
          </w:tblCellMar>
        </w:tblPrEx>
        <w:trPr>
          <w:trHeight w:val="375"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textAlignment w:val="center"/>
              <w:rPr>
                <w:rFonts w:hAnsi="宋体" w:cs="宋体"/>
                <w:b/>
                <w:highlight w:val="none"/>
              </w:rPr>
            </w:pPr>
            <w:r>
              <w:rPr>
                <w:rFonts w:hint="eastAsia" w:hAnsi="宋体" w:cs="宋体"/>
                <w:b/>
                <w:highlight w:val="none"/>
                <w:lang w:bidi="ar"/>
              </w:rPr>
              <w:t>序号</w:t>
            </w:r>
          </w:p>
        </w:tc>
        <w:tc>
          <w:tcPr>
            <w:tcW w:w="1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textAlignment w:val="center"/>
              <w:rPr>
                <w:rFonts w:hAnsi="宋体" w:cs="宋体"/>
                <w:b/>
                <w:highlight w:val="none"/>
              </w:rPr>
            </w:pPr>
            <w:r>
              <w:rPr>
                <w:rFonts w:hint="eastAsia" w:hAnsi="宋体" w:cs="宋体"/>
                <w:b/>
                <w:highlight w:val="none"/>
                <w:lang w:bidi="ar"/>
              </w:rPr>
              <w:t>姓名</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textAlignment w:val="center"/>
              <w:rPr>
                <w:rFonts w:hAnsi="宋体" w:cs="宋体"/>
                <w:b/>
                <w:highlight w:val="none"/>
              </w:rPr>
            </w:pPr>
            <w:r>
              <w:rPr>
                <w:rFonts w:hint="eastAsia" w:hAnsi="宋体" w:cs="宋体"/>
                <w:b/>
                <w:highlight w:val="none"/>
                <w:lang w:bidi="ar"/>
              </w:rPr>
              <w:t>岗位</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textAlignment w:val="center"/>
              <w:rPr>
                <w:rFonts w:hAnsi="宋体" w:cs="宋体"/>
                <w:b/>
                <w:highlight w:val="none"/>
              </w:rPr>
            </w:pPr>
            <w:r>
              <w:rPr>
                <w:rFonts w:hint="eastAsia" w:hAnsi="宋体" w:cs="宋体"/>
                <w:b/>
                <w:highlight w:val="none"/>
                <w:lang w:bidi="ar"/>
              </w:rPr>
              <w:t>职称</w:t>
            </w:r>
          </w:p>
        </w:tc>
        <w:tc>
          <w:tcPr>
            <w:tcW w:w="2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textAlignment w:val="center"/>
              <w:rPr>
                <w:rFonts w:hAnsi="宋体" w:cs="宋体"/>
                <w:b/>
                <w:highlight w:val="none"/>
              </w:rPr>
            </w:pPr>
            <w:r>
              <w:rPr>
                <w:rFonts w:hint="eastAsia" w:hAnsi="宋体" w:cs="宋体"/>
                <w:b/>
                <w:highlight w:val="none"/>
                <w:lang w:bidi="ar"/>
              </w:rPr>
              <w:t>职称证书或资格证书编号</w:t>
            </w:r>
          </w:p>
        </w:tc>
      </w:tr>
      <w:tr>
        <w:tblPrEx>
          <w:tblCellMar>
            <w:top w:w="0" w:type="dxa"/>
            <w:left w:w="0" w:type="dxa"/>
            <w:bottom w:w="0" w:type="dxa"/>
            <w:right w:w="0"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textAlignment w:val="center"/>
              <w:rPr>
                <w:rFonts w:hAnsi="宋体" w:cs="宋体"/>
                <w:highlight w:val="none"/>
              </w:rPr>
            </w:pPr>
            <w:r>
              <w:rPr>
                <w:rFonts w:hAnsi="宋体" w:cs="宋体"/>
                <w:highlight w:val="none"/>
                <w:lang w:bidi="ar"/>
              </w:rPr>
              <w:t>1</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r>
      <w:tr>
        <w:tblPrEx>
          <w:tblCellMar>
            <w:top w:w="0" w:type="dxa"/>
            <w:left w:w="0" w:type="dxa"/>
            <w:bottom w:w="0" w:type="dxa"/>
            <w:right w:w="0"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textAlignment w:val="center"/>
              <w:rPr>
                <w:rFonts w:hAnsi="宋体" w:cs="宋体"/>
                <w:highlight w:val="none"/>
              </w:rPr>
            </w:pPr>
            <w:r>
              <w:rPr>
                <w:rFonts w:hAnsi="宋体" w:cs="宋体"/>
                <w:highlight w:val="none"/>
                <w:lang w:bidi="ar"/>
              </w:rPr>
              <w:t>2</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r>
      <w:tr>
        <w:tblPrEx>
          <w:tblCellMar>
            <w:top w:w="0" w:type="dxa"/>
            <w:left w:w="0" w:type="dxa"/>
            <w:bottom w:w="0" w:type="dxa"/>
            <w:right w:w="0"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textAlignment w:val="center"/>
              <w:rPr>
                <w:rFonts w:hAnsi="宋体" w:cs="宋体"/>
                <w:highlight w:val="none"/>
              </w:rPr>
            </w:pPr>
            <w:r>
              <w:rPr>
                <w:rFonts w:hAnsi="宋体" w:cs="宋体"/>
                <w:highlight w:val="none"/>
                <w:lang w:bidi="ar"/>
              </w:rPr>
              <w:t>3</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r>
      <w:tr>
        <w:tblPrEx>
          <w:tblCellMar>
            <w:top w:w="0" w:type="dxa"/>
            <w:left w:w="0" w:type="dxa"/>
            <w:bottom w:w="0" w:type="dxa"/>
            <w:right w:w="0"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textAlignment w:val="center"/>
              <w:rPr>
                <w:rFonts w:hAnsi="宋体" w:cs="宋体"/>
                <w:highlight w:val="none"/>
              </w:rPr>
            </w:pPr>
            <w:r>
              <w:rPr>
                <w:rFonts w:hAnsi="宋体" w:cs="宋体"/>
                <w:highlight w:val="none"/>
                <w:lang w:bidi="ar"/>
              </w:rPr>
              <w:t>4</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r>
      <w:tr>
        <w:tblPrEx>
          <w:tblCellMar>
            <w:top w:w="0" w:type="dxa"/>
            <w:left w:w="0" w:type="dxa"/>
            <w:bottom w:w="0" w:type="dxa"/>
            <w:right w:w="0"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textAlignment w:val="center"/>
              <w:rPr>
                <w:rFonts w:hAnsi="宋体" w:cs="宋体"/>
                <w:highlight w:val="none"/>
              </w:rPr>
            </w:pPr>
            <w:r>
              <w:rPr>
                <w:rFonts w:hint="eastAsia" w:hAnsi="宋体" w:cs="宋体"/>
                <w:highlight w:val="none"/>
                <w:lang w:bidi="ar"/>
              </w:rPr>
              <w:t>……</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c>
          <w:tcPr>
            <w:tcW w:w="2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jc w:val="center"/>
              <w:rPr>
                <w:rFonts w:hAnsi="宋体" w:cs="宋体"/>
                <w:highlight w:val="none"/>
              </w:rPr>
            </w:pPr>
          </w:p>
        </w:tc>
      </w:tr>
      <w:tr>
        <w:tblPrEx>
          <w:tblCellMar>
            <w:top w:w="0" w:type="dxa"/>
            <w:left w:w="0" w:type="dxa"/>
            <w:bottom w:w="0" w:type="dxa"/>
            <w:right w:w="0" w:type="dxa"/>
          </w:tblCellMar>
        </w:tblPrEx>
        <w:trPr>
          <w:trHeight w:val="3400" w:hRule="atLeast"/>
        </w:trPr>
        <w:tc>
          <w:tcPr>
            <w:tcW w:w="90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left"/>
              <w:textAlignment w:val="center"/>
              <w:rPr>
                <w:rFonts w:hAnsi="宋体" w:cs="宋体"/>
                <w:highlight w:val="none"/>
              </w:rPr>
            </w:pPr>
            <w:r>
              <w:rPr>
                <w:rFonts w:hint="eastAsia" w:hAnsi="宋体" w:cs="宋体"/>
                <w:highlight w:val="none"/>
                <w:lang w:bidi="ar"/>
              </w:rPr>
              <w:t>备注：</w:t>
            </w:r>
            <w:r>
              <w:rPr>
                <w:rFonts w:hAnsi="宋体" w:cs="宋体"/>
                <w:highlight w:val="none"/>
                <w:lang w:bidi="ar"/>
              </w:rPr>
              <w:br w:type="textWrapping"/>
            </w:r>
            <w:r>
              <w:rPr>
                <w:rFonts w:hAnsi="宋体" w:cs="宋体"/>
                <w:highlight w:val="none"/>
                <w:lang w:bidi="ar"/>
              </w:rPr>
              <w:t>1、请投标人根据招标文件第五章的要求填写本表。</w:t>
            </w:r>
            <w:r>
              <w:rPr>
                <w:rFonts w:hAnsi="宋体" w:cs="宋体"/>
                <w:highlight w:val="none"/>
                <w:lang w:bidi="ar"/>
              </w:rPr>
              <w:br w:type="textWrapping"/>
            </w:r>
            <w:r>
              <w:rPr>
                <w:rFonts w:hAnsi="宋体" w:cs="宋体"/>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Ansi="宋体" w:cs="宋体"/>
                <w:highlight w:val="none"/>
                <w:lang w:bidi="ar"/>
              </w:rPr>
              <w:br w:type="textWrapping"/>
            </w:r>
            <w:r>
              <w:rPr>
                <w:rFonts w:hAnsi="宋体" w:cs="宋体"/>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6"/>
        <w:ind w:firstLine="480"/>
        <w:rPr>
          <w:highlight w:val="none"/>
        </w:rPr>
      </w:pPr>
    </w:p>
    <w:p>
      <w:pPr>
        <w:pStyle w:val="6"/>
        <w:ind w:firstLine="480"/>
        <w:rPr>
          <w:highlight w:val="none"/>
        </w:rPr>
      </w:pPr>
      <w:r>
        <w:rPr>
          <w:rFonts w:hint="eastAsia"/>
          <w:highlight w:val="none"/>
        </w:rPr>
        <w:t>2、投标人按照评审标准要求提供的商务评审的其他资料；</w:t>
      </w:r>
    </w:p>
    <w:p>
      <w:pPr>
        <w:pStyle w:val="6"/>
        <w:ind w:firstLine="480"/>
        <w:rPr>
          <w:highlight w:val="none"/>
        </w:rPr>
      </w:pPr>
      <w:r>
        <w:rPr>
          <w:rFonts w:hint="eastAsia"/>
          <w:highlight w:val="none"/>
        </w:rPr>
        <w:t>（如在前面资格审查资料中已经提供的，可不重复提供）</w:t>
      </w:r>
    </w:p>
    <w:p>
      <w:pPr>
        <w:pStyle w:val="6"/>
        <w:ind w:firstLine="480"/>
        <w:rPr>
          <w:highlight w:val="none"/>
        </w:rPr>
      </w:pPr>
      <w:r>
        <w:rPr>
          <w:rFonts w:hint="eastAsia"/>
          <w:highlight w:val="none"/>
        </w:rPr>
        <w:t>3、投标人认为需提供的其他材料。</w:t>
      </w:r>
    </w:p>
    <w:p>
      <w:pPr>
        <w:pStyle w:val="5"/>
        <w:ind w:firstLine="0" w:firstLineChars="0"/>
        <w:rPr>
          <w:highlight w:val="none"/>
        </w:rPr>
      </w:pPr>
    </w:p>
    <w:p>
      <w:pPr>
        <w:rPr>
          <w:highlight w:val="none"/>
        </w:rPr>
      </w:pPr>
    </w:p>
    <w:p>
      <w:pPr>
        <w:rPr>
          <w:highlight w:val="none"/>
        </w:rPr>
      </w:pPr>
    </w:p>
    <w:p>
      <w:pPr>
        <w:rPr>
          <w:rFonts w:hint="eastAsia" w:eastAsiaTheme="minorEastAsia"/>
          <w:lang w:val="en-US" w:eastAsia="zh-CN"/>
        </w:rPr>
      </w:pPr>
      <w:r>
        <w:rPr>
          <w:rFonts w:hint="eastAsia"/>
          <w:lang w:val="en-US" w:eastAsia="zh-CN"/>
        </w:rPr>
        <w:t xml:space="preserve">   </w:t>
      </w:r>
    </w:p>
    <w:p>
      <w:pPr>
        <w:rPr>
          <w:rFonts w:hint="eastAsia" w:eastAsiaTheme="minorEastAsia"/>
          <w:lang w:val="en-US" w:eastAsia="zh-CN"/>
        </w:rPr>
      </w:pPr>
      <w:r>
        <w:rPr>
          <w:rFonts w:hint="eastAsia"/>
          <w:lang w:val="en-US" w:eastAsia="zh-CN"/>
        </w:rPr>
        <w:t xml:space="preserve">   </w:t>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1</w:t>
    </w:r>
    <w:r>
      <w:fldChar w:fldCharType="end"/>
    </w:r>
  </w:p>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55</w:t>
    </w:r>
    <w:r>
      <w:fldChar w:fldCharType="end"/>
    </w:r>
  </w:p>
  <w:p>
    <w:pPr>
      <w:spacing w:line="2" w:lineRule="exact"/>
      <w:ind w:firstLine="480"/>
      <w:rPr>
        <w:rFonts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0442"/>
    <w:multiLevelType w:val="singleLevel"/>
    <w:tmpl w:val="279104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181C2A9C"/>
    <w:rsid w:val="35396407"/>
    <w:rsid w:val="3B550104"/>
    <w:rsid w:val="430034BD"/>
    <w:rsid w:val="4A8D3134"/>
    <w:rsid w:val="4E7B650C"/>
    <w:rsid w:val="64C847E7"/>
    <w:rsid w:val="71D545CF"/>
    <w:rsid w:val="723852EF"/>
    <w:rsid w:val="7DB60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spacing w:line="360" w:lineRule="auto"/>
      <w:ind w:firstLine="200" w:firstLineChars="200"/>
      <w:outlineLvl w:val="0"/>
    </w:pPr>
    <w:rPr>
      <w:rFonts w:ascii="Times New Roman" w:hAnsi="Times New Roman" w:eastAsia="宋体" w:cs="Times New Roman"/>
      <w:b/>
      <w:kern w:val="44"/>
      <w:sz w:val="44"/>
      <w:szCs w:val="20"/>
    </w:rPr>
  </w:style>
  <w:style w:type="paragraph" w:styleId="3">
    <w:name w:val="heading 2"/>
    <w:basedOn w:val="1"/>
    <w:next w:val="1"/>
    <w:qFormat/>
    <w:uiPriority w:val="9"/>
    <w:pPr>
      <w:keepNext/>
      <w:keepLines/>
      <w:widowControl/>
      <w:spacing w:line="360" w:lineRule="auto"/>
      <w:outlineLvl w:val="1"/>
    </w:pPr>
    <w:rPr>
      <w:rFonts w:ascii="宋体" w:hAnsi="Cambria" w:eastAsia="宋体" w:cs="Times New Roman"/>
      <w:b/>
      <w:bCs/>
      <w:kern w:val="0"/>
      <w:sz w:val="24"/>
      <w:szCs w:val="32"/>
    </w:rPr>
  </w:style>
  <w:style w:type="paragraph" w:styleId="4">
    <w:name w:val="heading 3"/>
    <w:basedOn w:val="1"/>
    <w:next w:val="1"/>
    <w:qFormat/>
    <w:uiPriority w:val="0"/>
    <w:pPr>
      <w:keepNext/>
      <w:keepLines/>
      <w:spacing w:line="360" w:lineRule="auto"/>
      <w:ind w:firstLine="200" w:firstLineChars="200"/>
      <w:jc w:val="left"/>
      <w:outlineLvl w:val="2"/>
    </w:pPr>
    <w:rPr>
      <w:rFonts w:ascii="宋体" w:hAnsi="Calibri" w:eastAsia="宋体" w:cs="Times New Roman"/>
      <w:b/>
      <w:bCs/>
      <w:kern w:val="0"/>
      <w:sz w:val="24"/>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420" w:firstLineChars="200"/>
    </w:pPr>
    <w:rPr>
      <w:rFonts w:ascii="宋体" w:hAnsi="Calibri" w:eastAsia="宋体" w:cs="Times New Roman"/>
      <w:kern w:val="0"/>
      <w:sz w:val="34"/>
      <w:szCs w:val="20"/>
    </w:rPr>
  </w:style>
  <w:style w:type="paragraph" w:styleId="6">
    <w:name w:val="annotation text"/>
    <w:basedOn w:val="1"/>
    <w:unhideWhenUsed/>
    <w:qFormat/>
    <w:uiPriority w:val="99"/>
    <w:pPr>
      <w:widowControl/>
      <w:spacing w:line="360" w:lineRule="auto"/>
      <w:ind w:firstLine="200" w:firstLineChars="200"/>
      <w:jc w:val="left"/>
    </w:pPr>
    <w:rPr>
      <w:rFonts w:ascii="宋体" w:hAnsi="Times New Roman" w:eastAsia="宋体" w:cs="Times New Roman"/>
      <w:kern w:val="0"/>
      <w:sz w:val="24"/>
      <w:szCs w:val="20"/>
    </w:rPr>
  </w:style>
  <w:style w:type="paragraph" w:styleId="7">
    <w:name w:val="Body Text 3"/>
    <w:basedOn w:val="1"/>
    <w:qFormat/>
    <w:uiPriority w:val="0"/>
    <w:pPr>
      <w:widowControl/>
      <w:spacing w:line="360" w:lineRule="auto"/>
      <w:ind w:firstLine="200" w:firstLineChars="200"/>
    </w:pPr>
    <w:rPr>
      <w:rFonts w:ascii="宋体" w:hAnsi="Times New Roman" w:eastAsia="宋体" w:cs="Times New Roman"/>
      <w:kern w:val="0"/>
      <w:sz w:val="24"/>
      <w:szCs w:val="20"/>
    </w:rPr>
  </w:style>
  <w:style w:type="paragraph" w:styleId="8">
    <w:name w:val="Body Text Indent"/>
    <w:basedOn w:val="1"/>
    <w:next w:val="9"/>
    <w:qFormat/>
    <w:uiPriority w:val="0"/>
    <w:pPr>
      <w:spacing w:after="120"/>
      <w:ind w:left="420" w:leftChars="200"/>
    </w:pPr>
    <w:rPr>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pPr>
      <w:widowControl/>
      <w:spacing w:line="360" w:lineRule="auto"/>
      <w:ind w:firstLine="200" w:firstLineChars="200"/>
    </w:pPr>
    <w:rPr>
      <w:rFonts w:ascii="宋体" w:hAnsi="Courier New" w:eastAsia="楷体_GB2312" w:cs="Times New Roman"/>
      <w:kern w:val="0"/>
      <w:sz w:val="20"/>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line="360" w:lineRule="auto"/>
      <w:ind w:firstLine="200" w:firstLineChars="200"/>
    </w:pPr>
    <w:rPr>
      <w:rFonts w:ascii="宋体" w:hAnsi="Times New Roman" w:eastAsia="宋体" w:cs="Times New Roman"/>
      <w:kern w:val="0"/>
      <w:sz w:val="24"/>
      <w:szCs w:val="20"/>
    </w:rPr>
  </w:style>
  <w:style w:type="paragraph" w:customStyle="1" w:styleId="16">
    <w:name w:val="Table Paragraph"/>
    <w:basedOn w:val="1"/>
    <w:qFormat/>
    <w:uiPriority w:val="99"/>
    <w:pPr>
      <w:spacing w:line="360" w:lineRule="auto"/>
      <w:ind w:firstLine="200" w:firstLineChars="200"/>
    </w:pPr>
    <w:rPr>
      <w:rFonts w:ascii="宋体" w:hAnsi="宋体" w:eastAsia="宋体" w:cs="宋体"/>
      <w:kern w:val="0"/>
      <w:sz w:val="22"/>
      <w:szCs w:val="22"/>
      <w:lang w:eastAsia="en-US"/>
    </w:rPr>
  </w:style>
  <w:style w:type="paragraph" w:customStyle="1" w:styleId="17">
    <w:name w:val="样式"/>
    <w:basedOn w:val="1"/>
    <w:next w:val="8"/>
    <w:qFormat/>
    <w:uiPriority w:val="0"/>
    <w:pPr>
      <w:jc w:val="center"/>
    </w:pPr>
    <w:rPr>
      <w:rFonts w:ascii="宋体" w:hAnsi="宋体"/>
      <w:color w:val="FF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25405</Words>
  <Characters>26648</Characters>
  <Lines>0</Lines>
  <Paragraphs>0</Paragraphs>
  <TotalTime>2</TotalTime>
  <ScaleCrop>false</ScaleCrop>
  <LinksUpToDate>false</LinksUpToDate>
  <CharactersWithSpaces>28632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2025-07-07T06:30:00Z</cp:lastPrinted>
  <dcterms:modified xsi:type="dcterms:W3CDTF">2025-07-14T08:30:24Z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8D6034D1B1BA466EB7990C8C446E352E_13</vt:lpwstr>
  </property>
</Properties>
</file>