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rPr>
          <w:color w:val="auto"/>
          <w:highlight w:val="none"/>
        </w:rPr>
      </w:pPr>
    </w:p>
    <w:p>
      <w:pPr>
        <w:spacing w:line="360" w:lineRule="auto"/>
        <w:jc w:val="center"/>
        <w:rPr>
          <w:rFonts w:hint="eastAsia" w:ascii="宋体" w:hAnsi="宋体"/>
          <w:b/>
          <w:bCs/>
          <w:color w:val="auto"/>
          <w:sz w:val="48"/>
          <w:szCs w:val="48"/>
          <w:highlight w:val="none"/>
          <w:lang w:eastAsia="zh-CN"/>
        </w:rPr>
      </w:pPr>
      <w:r>
        <w:rPr>
          <w:rFonts w:hint="eastAsia" w:ascii="宋体" w:hAnsi="宋体"/>
          <w:b/>
          <w:bCs/>
          <w:color w:val="auto"/>
          <w:sz w:val="48"/>
          <w:szCs w:val="48"/>
          <w:highlight w:val="none"/>
          <w:lang w:eastAsia="zh-CN"/>
        </w:rPr>
        <w:t>岭南集团食品产业基地项目</w:t>
      </w:r>
    </w:p>
    <w:p>
      <w:pPr>
        <w:spacing w:line="360" w:lineRule="auto"/>
        <w:jc w:val="center"/>
        <w:rPr>
          <w:rFonts w:hint="eastAsia" w:ascii="宋体" w:hAnsi="宋体" w:eastAsiaTheme="minorEastAsia"/>
          <w:color w:val="auto"/>
          <w:sz w:val="48"/>
          <w:szCs w:val="48"/>
          <w:highlight w:val="none"/>
          <w:lang w:eastAsia="zh-CN"/>
        </w:rPr>
      </w:pPr>
      <w:r>
        <w:rPr>
          <w:rFonts w:hint="eastAsia" w:ascii="宋体" w:hAnsi="宋体"/>
          <w:b/>
          <w:bCs/>
          <w:color w:val="auto"/>
          <w:sz w:val="48"/>
          <w:szCs w:val="48"/>
          <w:highlight w:val="none"/>
          <w:lang w:eastAsia="zh-CN"/>
        </w:rPr>
        <w:t>全过程造价咨询服务</w:t>
      </w:r>
    </w:p>
    <w:p>
      <w:pPr>
        <w:spacing w:line="360" w:lineRule="auto"/>
        <w:rPr>
          <w:rFonts w:ascii="宋体" w:hAnsi="宋体"/>
          <w:color w:val="auto"/>
          <w:highlight w:val="none"/>
        </w:rPr>
      </w:pPr>
    </w:p>
    <w:p>
      <w:pPr>
        <w:spacing w:line="360" w:lineRule="auto"/>
        <w:rPr>
          <w:rFonts w:ascii="宋体" w:hAnsi="宋体"/>
          <w:color w:val="auto"/>
          <w:sz w:val="28"/>
          <w:szCs w:val="28"/>
          <w:highlight w:val="none"/>
        </w:rPr>
      </w:pPr>
    </w:p>
    <w:p>
      <w:pPr>
        <w:spacing w:line="360" w:lineRule="auto"/>
        <w:rPr>
          <w:rFonts w:ascii="宋体" w:hAnsi="宋体"/>
          <w:color w:val="auto"/>
          <w:sz w:val="28"/>
          <w:szCs w:val="28"/>
          <w:highlight w:val="none"/>
        </w:rPr>
      </w:pPr>
    </w:p>
    <w:p>
      <w:pPr>
        <w:spacing w:line="360" w:lineRule="auto"/>
        <w:rPr>
          <w:rFonts w:ascii="宋体" w:hAnsi="宋体"/>
          <w:color w:val="auto"/>
          <w:sz w:val="28"/>
          <w:szCs w:val="28"/>
          <w:highlight w:val="none"/>
        </w:rPr>
      </w:pPr>
    </w:p>
    <w:p>
      <w:pPr>
        <w:spacing w:line="360" w:lineRule="auto"/>
        <w:rPr>
          <w:rFonts w:ascii="宋体" w:hAnsi="宋体"/>
          <w:color w:val="auto"/>
          <w:sz w:val="28"/>
          <w:szCs w:val="28"/>
          <w:highlight w:val="none"/>
        </w:rPr>
      </w:pPr>
    </w:p>
    <w:p>
      <w:pPr>
        <w:spacing w:line="360" w:lineRule="auto"/>
        <w:rPr>
          <w:rFonts w:ascii="宋体" w:hAnsi="宋体"/>
          <w:color w:val="auto"/>
          <w:sz w:val="28"/>
          <w:szCs w:val="28"/>
          <w:highlight w:val="none"/>
        </w:rPr>
      </w:pPr>
    </w:p>
    <w:p>
      <w:pPr>
        <w:spacing w:line="360" w:lineRule="auto"/>
        <w:rPr>
          <w:rFonts w:ascii="宋体" w:hAnsi="宋体"/>
          <w:color w:val="auto"/>
          <w:sz w:val="28"/>
          <w:highlight w:val="none"/>
        </w:rPr>
      </w:pPr>
    </w:p>
    <w:p>
      <w:pPr>
        <w:spacing w:line="360" w:lineRule="auto"/>
        <w:jc w:val="center"/>
        <w:rPr>
          <w:rFonts w:ascii="宋体" w:hAnsi="宋体"/>
          <w:b/>
          <w:color w:val="auto"/>
          <w:sz w:val="96"/>
          <w:szCs w:val="96"/>
          <w:highlight w:val="none"/>
        </w:rPr>
      </w:pPr>
      <w:r>
        <w:rPr>
          <w:rFonts w:hint="eastAsia" w:ascii="宋体" w:hAnsi="宋体"/>
          <w:b/>
          <w:color w:val="auto"/>
          <w:sz w:val="96"/>
          <w:szCs w:val="96"/>
          <w:highlight w:val="none"/>
        </w:rPr>
        <w:t>招</w:t>
      </w:r>
      <w:r>
        <w:rPr>
          <w:rFonts w:ascii="宋体" w:hAnsi="宋体"/>
          <w:b/>
          <w:color w:val="auto"/>
          <w:sz w:val="96"/>
          <w:szCs w:val="96"/>
          <w:highlight w:val="none"/>
        </w:rPr>
        <w:t xml:space="preserve"> </w:t>
      </w:r>
      <w:r>
        <w:rPr>
          <w:rFonts w:hint="eastAsia" w:ascii="宋体" w:hAnsi="宋体"/>
          <w:b/>
          <w:color w:val="auto"/>
          <w:sz w:val="96"/>
          <w:szCs w:val="96"/>
          <w:highlight w:val="none"/>
        </w:rPr>
        <w:t>标</w:t>
      </w:r>
      <w:r>
        <w:rPr>
          <w:rFonts w:ascii="宋体" w:hAnsi="宋体"/>
          <w:b/>
          <w:color w:val="auto"/>
          <w:sz w:val="96"/>
          <w:szCs w:val="96"/>
          <w:highlight w:val="none"/>
        </w:rPr>
        <w:t xml:space="preserve"> </w:t>
      </w:r>
      <w:r>
        <w:rPr>
          <w:rFonts w:hint="eastAsia" w:ascii="宋体" w:hAnsi="宋体"/>
          <w:b/>
          <w:color w:val="auto"/>
          <w:sz w:val="96"/>
          <w:szCs w:val="96"/>
          <w:highlight w:val="none"/>
        </w:rPr>
        <w:t>公</w:t>
      </w:r>
      <w:r>
        <w:rPr>
          <w:rFonts w:ascii="宋体" w:hAnsi="宋体"/>
          <w:b/>
          <w:color w:val="auto"/>
          <w:sz w:val="96"/>
          <w:szCs w:val="96"/>
          <w:highlight w:val="none"/>
        </w:rPr>
        <w:t xml:space="preserve"> </w:t>
      </w:r>
      <w:r>
        <w:rPr>
          <w:rFonts w:hint="eastAsia" w:ascii="宋体" w:hAnsi="宋体"/>
          <w:b/>
          <w:color w:val="auto"/>
          <w:sz w:val="96"/>
          <w:szCs w:val="96"/>
          <w:highlight w:val="none"/>
        </w:rPr>
        <w:t>告</w:t>
      </w:r>
    </w:p>
    <w:p>
      <w:pPr>
        <w:spacing w:line="360" w:lineRule="auto"/>
        <w:rPr>
          <w:rFonts w:ascii="宋体" w:hAnsi="宋体"/>
          <w:color w:val="auto"/>
          <w:highlight w:val="none"/>
        </w:rPr>
      </w:pPr>
    </w:p>
    <w:p>
      <w:pPr>
        <w:spacing w:line="360" w:lineRule="auto"/>
        <w:jc w:val="center"/>
        <w:rPr>
          <w:rFonts w:ascii="宋体" w:hAnsi="宋体"/>
          <w:color w:val="auto"/>
          <w:highlight w:val="none"/>
        </w:rPr>
      </w:pPr>
    </w:p>
    <w:p>
      <w:pPr>
        <w:spacing w:line="360" w:lineRule="auto"/>
        <w:jc w:val="center"/>
        <w:rPr>
          <w:rFonts w:ascii="宋体" w:hAnsi="宋体"/>
          <w:color w:val="auto"/>
          <w:highlight w:val="none"/>
        </w:rPr>
      </w:pPr>
    </w:p>
    <w:p>
      <w:pPr>
        <w:spacing w:line="360" w:lineRule="auto"/>
        <w:jc w:val="center"/>
        <w:rPr>
          <w:rFonts w:ascii="宋体" w:hAnsi="宋体"/>
          <w:color w:val="auto"/>
          <w:highlight w:val="none"/>
        </w:rPr>
      </w:pPr>
    </w:p>
    <w:p>
      <w:pPr>
        <w:spacing w:line="360" w:lineRule="auto"/>
        <w:jc w:val="center"/>
        <w:rPr>
          <w:rFonts w:ascii="宋体" w:hAnsi="宋体"/>
          <w:color w:val="auto"/>
          <w:highlight w:val="none"/>
        </w:rPr>
      </w:pPr>
    </w:p>
    <w:p>
      <w:pPr>
        <w:spacing w:line="360" w:lineRule="auto"/>
        <w:jc w:val="center"/>
        <w:rPr>
          <w:rFonts w:ascii="宋体" w:hAnsi="宋体"/>
          <w:color w:val="auto"/>
          <w:highlight w:val="none"/>
        </w:rPr>
      </w:pPr>
    </w:p>
    <w:p>
      <w:pPr>
        <w:bidi w:val="0"/>
        <w:rPr>
          <w:color w:val="auto"/>
          <w:highlight w:val="none"/>
        </w:rPr>
      </w:pPr>
    </w:p>
    <w:p>
      <w:pPr>
        <w:spacing w:line="360" w:lineRule="auto"/>
        <w:jc w:val="center"/>
        <w:rPr>
          <w:rFonts w:ascii="宋体" w:hAnsi="宋体"/>
          <w:color w:val="auto"/>
          <w:highlight w:val="none"/>
        </w:rPr>
      </w:pPr>
    </w:p>
    <w:p>
      <w:pPr>
        <w:bidi w:val="0"/>
        <w:rPr>
          <w:color w:val="auto"/>
          <w:highlight w:val="none"/>
        </w:rPr>
      </w:pPr>
    </w:p>
    <w:p>
      <w:pPr>
        <w:spacing w:line="360" w:lineRule="auto"/>
        <w:rPr>
          <w:rFonts w:ascii="宋体" w:hAnsi="宋体"/>
          <w:color w:val="auto"/>
          <w:highlight w:val="none"/>
        </w:rPr>
      </w:pPr>
    </w:p>
    <w:p>
      <w:pPr>
        <w:spacing w:line="360" w:lineRule="auto"/>
        <w:ind w:firstLine="1205" w:firstLineChars="400"/>
        <w:rPr>
          <w:rFonts w:hint="eastAsia" w:asciiTheme="minorEastAsia" w:hAnsiTheme="minorEastAsia" w:eastAsiaTheme="minorEastAsia" w:cstheme="minorEastAsia"/>
          <w:b/>
          <w:bCs/>
          <w:color w:val="auto"/>
          <w:sz w:val="30"/>
          <w:szCs w:val="30"/>
          <w:highlight w:val="none"/>
          <w:u w:val="single"/>
          <w:lang w:eastAsia="zh-CN"/>
        </w:rPr>
      </w:pPr>
      <w:r>
        <w:rPr>
          <w:rFonts w:hint="eastAsia" w:asciiTheme="minorEastAsia" w:hAnsiTheme="minorEastAsia" w:eastAsiaTheme="minorEastAsia" w:cstheme="minorEastAsia"/>
          <w:b/>
          <w:bCs/>
          <w:color w:val="auto"/>
          <w:sz w:val="30"/>
          <w:szCs w:val="30"/>
          <w:highlight w:val="none"/>
        </w:rPr>
        <w:t>招标人：</w:t>
      </w:r>
      <w:r>
        <w:rPr>
          <w:rFonts w:hint="eastAsia" w:asciiTheme="minorEastAsia" w:hAnsiTheme="minorEastAsia" w:eastAsiaTheme="minorEastAsia" w:cstheme="minorEastAsia"/>
          <w:b/>
          <w:bCs/>
          <w:color w:val="auto"/>
          <w:sz w:val="30"/>
          <w:szCs w:val="30"/>
          <w:highlight w:val="none"/>
          <w:u w:val="single"/>
          <w:lang w:eastAsia="zh-CN"/>
        </w:rPr>
        <w:t>广州广粮坊食品科技有限公司</w:t>
      </w:r>
    </w:p>
    <w:p>
      <w:pPr>
        <w:spacing w:line="360" w:lineRule="auto"/>
        <w:ind w:firstLine="1205" w:firstLineChars="400"/>
        <w:rPr>
          <w:rFonts w:hint="eastAsia" w:asciiTheme="minorEastAsia" w:hAnsiTheme="minorEastAsia" w:eastAsiaTheme="minorEastAsia" w:cstheme="minorEastAsia"/>
          <w:b/>
          <w:bCs/>
          <w:color w:val="auto"/>
          <w:sz w:val="30"/>
          <w:szCs w:val="30"/>
          <w:highlight w:val="none"/>
          <w:u w:val="single"/>
          <w:lang w:eastAsia="zh-CN"/>
        </w:rPr>
      </w:pPr>
      <w:r>
        <w:rPr>
          <w:rFonts w:hint="eastAsia" w:asciiTheme="minorEastAsia" w:hAnsiTheme="minorEastAsia" w:eastAsiaTheme="minorEastAsia" w:cstheme="minorEastAsia"/>
          <w:b/>
          <w:bCs/>
          <w:color w:val="auto"/>
          <w:sz w:val="30"/>
          <w:szCs w:val="30"/>
          <w:highlight w:val="none"/>
        </w:rPr>
        <w:t>招标代理机构：</w:t>
      </w:r>
      <w:r>
        <w:rPr>
          <w:rFonts w:hint="eastAsia" w:asciiTheme="minorEastAsia" w:hAnsiTheme="minorEastAsia" w:eastAsiaTheme="minorEastAsia" w:cstheme="minorEastAsia"/>
          <w:b/>
          <w:bCs/>
          <w:color w:val="auto"/>
          <w:sz w:val="30"/>
          <w:szCs w:val="30"/>
          <w:highlight w:val="none"/>
          <w:u w:val="single"/>
          <w:lang w:eastAsia="zh-CN"/>
        </w:rPr>
        <w:t>广州市国际工程咨询有限公司</w:t>
      </w:r>
    </w:p>
    <w:p>
      <w:pPr>
        <w:spacing w:line="360" w:lineRule="auto"/>
        <w:ind w:firstLine="1205" w:firstLineChars="400"/>
        <w:rPr>
          <w:rFonts w:hint="eastAsia" w:asciiTheme="minorEastAsia" w:hAnsiTheme="minorEastAsia" w:eastAsiaTheme="minorEastAsia" w:cstheme="minorEastAsia"/>
          <w:b/>
          <w:bCs/>
          <w:color w:val="auto"/>
          <w:sz w:val="30"/>
          <w:szCs w:val="30"/>
          <w:highlight w:val="none"/>
        </w:rPr>
      </w:pPr>
      <w:r>
        <w:rPr>
          <w:rFonts w:hint="eastAsia" w:asciiTheme="minorEastAsia" w:hAnsiTheme="minorEastAsia" w:eastAsiaTheme="minorEastAsia" w:cstheme="minorEastAsia"/>
          <w:b/>
          <w:bCs/>
          <w:color w:val="auto"/>
          <w:sz w:val="30"/>
          <w:szCs w:val="30"/>
          <w:highlight w:val="none"/>
        </w:rPr>
        <w:t>日        期：</w:t>
      </w:r>
      <w:r>
        <w:rPr>
          <w:rFonts w:hint="eastAsia" w:asciiTheme="minorEastAsia" w:hAnsiTheme="minorEastAsia" w:eastAsiaTheme="minorEastAsia" w:cstheme="minorEastAsia"/>
          <w:b/>
          <w:bCs/>
          <w:color w:val="auto"/>
          <w:sz w:val="30"/>
          <w:szCs w:val="30"/>
          <w:highlight w:val="none"/>
          <w:u w:val="single"/>
        </w:rPr>
        <w:t>202</w:t>
      </w:r>
      <w:r>
        <w:rPr>
          <w:rFonts w:hint="eastAsia" w:asciiTheme="minorEastAsia" w:hAnsiTheme="minorEastAsia" w:eastAsiaTheme="minorEastAsia" w:cstheme="minorEastAsia"/>
          <w:b/>
          <w:bCs/>
          <w:color w:val="auto"/>
          <w:sz w:val="30"/>
          <w:szCs w:val="30"/>
          <w:highlight w:val="none"/>
          <w:u w:val="single"/>
          <w:lang w:val="en-US" w:eastAsia="zh-CN"/>
        </w:rPr>
        <w:t>5</w:t>
      </w:r>
      <w:r>
        <w:rPr>
          <w:rFonts w:hint="eastAsia" w:asciiTheme="minorEastAsia" w:hAnsiTheme="minorEastAsia" w:eastAsiaTheme="minorEastAsia" w:cstheme="minorEastAsia"/>
          <w:b/>
          <w:bCs/>
          <w:color w:val="auto"/>
          <w:sz w:val="30"/>
          <w:szCs w:val="30"/>
          <w:highlight w:val="none"/>
        </w:rPr>
        <w:t>年</w:t>
      </w:r>
      <w:r>
        <w:rPr>
          <w:rFonts w:hint="eastAsia" w:asciiTheme="minorEastAsia" w:hAnsiTheme="minorEastAsia" w:eastAsiaTheme="minorEastAsia" w:cstheme="minorEastAsia"/>
          <w:b/>
          <w:bCs/>
          <w:color w:val="auto"/>
          <w:sz w:val="30"/>
          <w:szCs w:val="30"/>
          <w:highlight w:val="none"/>
          <w:u w:val="single"/>
        </w:rPr>
        <w:t xml:space="preserve"> </w:t>
      </w:r>
      <w:r>
        <w:rPr>
          <w:rFonts w:hint="eastAsia" w:asciiTheme="minorEastAsia" w:hAnsiTheme="minorEastAsia" w:cstheme="minorEastAsia"/>
          <w:b/>
          <w:bCs/>
          <w:color w:val="auto"/>
          <w:sz w:val="30"/>
          <w:szCs w:val="30"/>
          <w:highlight w:val="none"/>
          <w:u w:val="single"/>
          <w:lang w:val="en-US" w:eastAsia="zh-CN"/>
        </w:rPr>
        <w:t>7</w:t>
      </w:r>
      <w:r>
        <w:rPr>
          <w:rFonts w:hint="eastAsia" w:asciiTheme="minorEastAsia" w:hAnsiTheme="minorEastAsia" w:eastAsiaTheme="minorEastAsia" w:cstheme="minorEastAsia"/>
          <w:b/>
          <w:bCs/>
          <w:color w:val="auto"/>
          <w:sz w:val="30"/>
          <w:szCs w:val="30"/>
          <w:highlight w:val="none"/>
          <w:u w:val="single"/>
          <w:lang w:val="en-US" w:eastAsia="zh-CN"/>
        </w:rPr>
        <w:t xml:space="preserve"> </w:t>
      </w:r>
      <w:r>
        <w:rPr>
          <w:rFonts w:hint="eastAsia" w:asciiTheme="minorEastAsia" w:hAnsiTheme="minorEastAsia" w:eastAsiaTheme="minorEastAsia" w:cstheme="minorEastAsia"/>
          <w:b/>
          <w:bCs/>
          <w:color w:val="auto"/>
          <w:sz w:val="30"/>
          <w:szCs w:val="30"/>
          <w:highlight w:val="none"/>
        </w:rPr>
        <w:t>月</w:t>
      </w:r>
    </w:p>
    <w:p>
      <w:pPr>
        <w:pStyle w:val="4"/>
        <w:spacing w:line="360" w:lineRule="auto"/>
        <w:rPr>
          <w:color w:val="auto"/>
          <w:highlight w:val="none"/>
        </w:rPr>
      </w:pPr>
    </w:p>
    <w:p>
      <w:pPr>
        <w:spacing w:line="360" w:lineRule="auto"/>
        <w:jc w:val="center"/>
        <w:rPr>
          <w:rFonts w:ascii="宋体" w:hAnsi="宋体"/>
          <w:b/>
          <w:bCs/>
          <w:color w:val="auto"/>
          <w:sz w:val="30"/>
          <w:szCs w:val="30"/>
          <w:highlight w:val="none"/>
        </w:rPr>
        <w:sectPr>
          <w:footerReference r:id="rId3" w:type="default"/>
          <w:pgSz w:w="11907" w:h="16839"/>
          <w:pgMar w:top="1797" w:right="1587" w:bottom="1417" w:left="1587" w:header="0" w:footer="567" w:gutter="0"/>
          <w:cols w:space="720" w:num="1"/>
          <w:rtlGutter w:val="1"/>
          <w:docGrid w:linePitch="360" w:charSpace="0"/>
        </w:sectPr>
      </w:pPr>
    </w:p>
    <w:p>
      <w:pPr>
        <w:spacing w:line="360" w:lineRule="auto"/>
        <w:jc w:val="center"/>
        <w:rPr>
          <w:rFonts w:ascii="宋体" w:hAnsi="宋体"/>
          <w:b/>
          <w:color w:val="auto"/>
          <w:spacing w:val="-20"/>
          <w:sz w:val="30"/>
          <w:szCs w:val="30"/>
          <w:highlight w:val="none"/>
        </w:rPr>
      </w:pPr>
      <w:r>
        <w:rPr>
          <w:rFonts w:hint="eastAsia" w:ascii="宋体" w:hAnsi="宋体"/>
          <w:b/>
          <w:bCs/>
          <w:color w:val="auto"/>
          <w:sz w:val="30"/>
          <w:szCs w:val="30"/>
          <w:highlight w:val="none"/>
          <w:lang w:eastAsia="zh-CN"/>
        </w:rPr>
        <w:t>岭南集团食品产业基地项目全过程造价咨询服务</w:t>
      </w:r>
      <w:r>
        <w:rPr>
          <w:rFonts w:ascii="宋体" w:hAnsi="宋体"/>
          <w:b/>
          <w:color w:val="auto"/>
          <w:spacing w:val="-20"/>
          <w:sz w:val="30"/>
          <w:szCs w:val="30"/>
          <w:highlight w:val="none"/>
        </w:rPr>
        <w:t>招标公告</w:t>
      </w:r>
    </w:p>
    <w:p>
      <w:pPr>
        <w:adjustRightInd w:val="0"/>
        <w:snapToGrid w:val="0"/>
        <w:spacing w:line="360" w:lineRule="auto"/>
        <w:rPr>
          <w:rFonts w:ascii="宋体" w:hAnsi="宋体"/>
          <w:color w:val="auto"/>
          <w:szCs w:val="21"/>
          <w:highlight w:val="none"/>
        </w:rPr>
      </w:pPr>
    </w:p>
    <w:p>
      <w:pPr>
        <w:widowControl/>
        <w:numPr>
          <w:ilvl w:val="0"/>
          <w:numId w:val="1"/>
        </w:numPr>
        <w:tabs>
          <w:tab w:val="left" w:pos="760"/>
        </w:tabs>
        <w:adjustRightInd w:val="0"/>
        <w:snapToGrid w:val="0"/>
        <w:spacing w:line="360" w:lineRule="auto"/>
        <w:ind w:firstLine="562" w:firstLineChars="200"/>
        <w:jc w:val="left"/>
        <w:outlineLvl w:val="1"/>
        <w:rPr>
          <w:rFonts w:ascii="宋体" w:hAnsi="宋体" w:cs="宋体"/>
          <w:b/>
          <w:color w:val="auto"/>
          <w:sz w:val="28"/>
          <w:szCs w:val="28"/>
          <w:highlight w:val="none"/>
        </w:rPr>
      </w:pPr>
      <w:r>
        <w:rPr>
          <w:rFonts w:hint="eastAsia" w:ascii="宋体" w:hAnsi="宋体" w:cs="宋体"/>
          <w:b/>
          <w:color w:val="auto"/>
          <w:sz w:val="28"/>
          <w:szCs w:val="28"/>
          <w:highlight w:val="none"/>
        </w:rPr>
        <w:t>招标条件</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rPr>
          <w:rFonts w:ascii="宋体" w:hAnsi="宋体" w:cs="宋体"/>
          <w:color w:val="auto"/>
          <w:sz w:val="24"/>
          <w:highlight w:val="none"/>
        </w:rPr>
      </w:pPr>
      <w:r>
        <w:rPr>
          <w:rFonts w:hint="eastAsia" w:ascii="宋体" w:hAnsi="宋体" w:eastAsia="宋体" w:cs="宋体"/>
          <w:color w:val="auto"/>
          <w:sz w:val="24"/>
          <w:szCs w:val="32"/>
          <w:highlight w:val="none"/>
        </w:rPr>
        <w:t>本招标项目</w:t>
      </w:r>
      <w:r>
        <w:rPr>
          <w:rFonts w:hint="eastAsia" w:ascii="宋体" w:hAnsi="宋体" w:eastAsia="宋体" w:cs="宋体"/>
          <w:color w:val="auto"/>
          <w:sz w:val="24"/>
          <w:szCs w:val="32"/>
          <w:highlight w:val="none"/>
          <w:u w:val="single"/>
        </w:rPr>
        <w:t>岭南集团食品产业基地项目</w:t>
      </w:r>
      <w:r>
        <w:rPr>
          <w:rFonts w:hint="eastAsia" w:ascii="宋体" w:hAnsi="宋体" w:eastAsia="宋体" w:cs="宋体"/>
          <w:color w:val="auto"/>
          <w:sz w:val="24"/>
          <w:szCs w:val="32"/>
          <w:highlight w:val="none"/>
        </w:rPr>
        <w:t>已由</w:t>
      </w:r>
      <w:r>
        <w:rPr>
          <w:rFonts w:hint="eastAsia" w:ascii="宋体" w:hAnsi="宋体" w:cs="宋体"/>
          <w:color w:val="auto"/>
          <w:sz w:val="24"/>
          <w:szCs w:val="32"/>
          <w:highlight w:val="none"/>
          <w:u w:val="single"/>
          <w:lang w:eastAsia="zh-CN"/>
        </w:rPr>
        <w:t>广州南沙经济技术开发区行政审批局</w:t>
      </w:r>
      <w:r>
        <w:rPr>
          <w:rFonts w:hint="eastAsia" w:ascii="宋体" w:hAnsi="宋体" w:eastAsia="宋体" w:cs="宋体"/>
          <w:color w:val="auto"/>
          <w:sz w:val="24"/>
          <w:szCs w:val="32"/>
          <w:highlight w:val="none"/>
        </w:rPr>
        <w:t>以</w:t>
      </w:r>
      <w:r>
        <w:rPr>
          <w:rFonts w:hint="eastAsia" w:ascii="宋体" w:hAnsi="宋体" w:cs="宋体"/>
          <w:color w:val="auto"/>
          <w:sz w:val="24"/>
          <w:szCs w:val="24"/>
          <w:highlight w:val="none"/>
          <w:u w:val="single"/>
          <w:lang w:eastAsia="zh-CN"/>
        </w:rPr>
        <w:t>《广东省企业投资项目备案证》（项目代码：2411-440115-04-01-540633）</w:t>
      </w:r>
      <w:r>
        <w:rPr>
          <w:rFonts w:hint="eastAsia" w:ascii="宋体" w:hAnsi="宋体" w:eastAsia="宋体" w:cs="宋体"/>
          <w:color w:val="auto"/>
          <w:sz w:val="24"/>
          <w:szCs w:val="32"/>
          <w:highlight w:val="none"/>
        </w:rPr>
        <w:t>批准建设，项目业主为</w:t>
      </w:r>
      <w:r>
        <w:rPr>
          <w:rFonts w:hint="eastAsia" w:ascii="宋体" w:hAnsi="宋体" w:cs="宋体"/>
          <w:color w:val="auto"/>
          <w:sz w:val="24"/>
          <w:szCs w:val="24"/>
          <w:highlight w:val="none"/>
          <w:u w:val="single"/>
          <w:lang w:eastAsia="zh-CN"/>
        </w:rPr>
        <w:t>广州广粮坊食品科技有限公司</w:t>
      </w:r>
      <w:r>
        <w:rPr>
          <w:rFonts w:hint="eastAsia" w:ascii="宋体" w:hAnsi="宋体" w:eastAsia="宋体" w:cs="宋体"/>
          <w:color w:val="auto"/>
          <w:sz w:val="24"/>
          <w:szCs w:val="32"/>
          <w:highlight w:val="none"/>
        </w:rPr>
        <w:t>，建设资金来自</w:t>
      </w:r>
      <w:r>
        <w:rPr>
          <w:rFonts w:hint="eastAsia" w:ascii="宋体" w:hAnsi="宋体" w:eastAsia="宋体" w:cs="宋体"/>
          <w:color w:val="auto"/>
          <w:sz w:val="24"/>
          <w:szCs w:val="24"/>
          <w:highlight w:val="none"/>
          <w:u w:val="single"/>
        </w:rPr>
        <w:t>企业自筹</w:t>
      </w:r>
      <w:r>
        <w:rPr>
          <w:rFonts w:hint="eastAsia" w:ascii="宋体" w:hAnsi="宋体" w:eastAsia="宋体" w:cs="宋体"/>
          <w:color w:val="auto"/>
          <w:sz w:val="24"/>
          <w:szCs w:val="32"/>
          <w:highlight w:val="none"/>
        </w:rPr>
        <w:t>，出资比例为</w:t>
      </w:r>
      <w:r>
        <w:rPr>
          <w:rFonts w:hint="eastAsia" w:ascii="宋体" w:hAnsi="宋体" w:eastAsia="宋体" w:cs="宋体"/>
          <w:color w:val="auto"/>
          <w:sz w:val="24"/>
          <w:szCs w:val="32"/>
          <w:highlight w:val="none"/>
          <w:u w:val="single"/>
          <w:lang w:val="en-US" w:eastAsia="zh-CN"/>
        </w:rPr>
        <w:t>100%</w:t>
      </w:r>
      <w:r>
        <w:rPr>
          <w:rFonts w:hint="eastAsia" w:ascii="宋体" w:hAnsi="宋体" w:eastAsia="宋体" w:cs="宋体"/>
          <w:color w:val="auto"/>
          <w:sz w:val="24"/>
          <w:szCs w:val="32"/>
          <w:highlight w:val="none"/>
        </w:rPr>
        <w:t>，招标人为</w:t>
      </w:r>
      <w:r>
        <w:rPr>
          <w:rFonts w:hint="eastAsia" w:ascii="宋体" w:hAnsi="宋体" w:cs="宋体"/>
          <w:color w:val="auto"/>
          <w:sz w:val="24"/>
          <w:szCs w:val="24"/>
          <w:highlight w:val="none"/>
          <w:u w:val="single"/>
          <w:lang w:eastAsia="zh-CN"/>
        </w:rPr>
        <w:t>广州广粮坊食品科技有限公司</w:t>
      </w:r>
      <w:r>
        <w:rPr>
          <w:rFonts w:hint="eastAsia" w:ascii="宋体" w:hAnsi="宋体" w:eastAsia="宋体" w:cs="宋体"/>
          <w:color w:val="auto"/>
          <w:sz w:val="24"/>
          <w:szCs w:val="32"/>
          <w:highlight w:val="none"/>
        </w:rPr>
        <w:t>。</w:t>
      </w:r>
      <w:r>
        <w:rPr>
          <w:rFonts w:hint="eastAsia" w:ascii="宋体" w:hAnsi="宋体" w:cs="宋体"/>
          <w:color w:val="auto"/>
          <w:sz w:val="24"/>
          <w:highlight w:val="none"/>
        </w:rPr>
        <w:t>项目已具备招标条件，现对该项目</w:t>
      </w:r>
      <w:r>
        <w:rPr>
          <w:rFonts w:hint="eastAsia" w:ascii="宋体" w:hAnsi="宋体" w:cs="宋体"/>
          <w:color w:val="auto"/>
          <w:sz w:val="24"/>
          <w:highlight w:val="none"/>
          <w:u w:val="single"/>
        </w:rPr>
        <w:t>全过程造价咨询服务</w:t>
      </w:r>
      <w:r>
        <w:rPr>
          <w:rFonts w:hint="eastAsia" w:ascii="宋体" w:hAnsi="宋体" w:cs="宋体"/>
          <w:color w:val="auto"/>
          <w:sz w:val="24"/>
          <w:highlight w:val="none"/>
        </w:rPr>
        <w:t>进行公开招标。</w:t>
      </w:r>
    </w:p>
    <w:p>
      <w:pPr>
        <w:widowControl/>
        <w:numPr>
          <w:ilvl w:val="0"/>
          <w:numId w:val="1"/>
        </w:numPr>
        <w:tabs>
          <w:tab w:val="left" w:pos="760"/>
        </w:tabs>
        <w:adjustRightInd w:val="0"/>
        <w:snapToGrid w:val="0"/>
        <w:spacing w:line="360" w:lineRule="auto"/>
        <w:ind w:firstLine="562" w:firstLineChars="200"/>
        <w:jc w:val="left"/>
        <w:outlineLvl w:val="1"/>
        <w:rPr>
          <w:rFonts w:hint="eastAsia" w:ascii="宋体" w:hAnsi="宋体" w:cs="宋体"/>
          <w:b/>
          <w:color w:val="auto"/>
          <w:sz w:val="28"/>
          <w:szCs w:val="28"/>
          <w:highlight w:val="none"/>
        </w:rPr>
      </w:pPr>
      <w:r>
        <w:rPr>
          <w:rFonts w:hint="eastAsia" w:ascii="宋体" w:hAnsi="宋体" w:cs="宋体"/>
          <w:b/>
          <w:color w:val="auto"/>
          <w:sz w:val="28"/>
          <w:szCs w:val="28"/>
          <w:highlight w:val="none"/>
        </w:rPr>
        <w:t>项目概况与招标范围</w:t>
      </w:r>
    </w:p>
    <w:p>
      <w:pPr>
        <w:keepNext w:val="0"/>
        <w:keepLines w:val="0"/>
        <w:pageBreakBefore w:val="0"/>
        <w:widowControl w:val="0"/>
        <w:kinsoku/>
        <w:wordWrap/>
        <w:overflowPunct/>
        <w:topLinePunct w:val="0"/>
        <w:autoSpaceDE/>
        <w:autoSpaceDN/>
        <w:bidi w:val="0"/>
        <w:adjustRightInd w:val="0"/>
        <w:snapToGrid w:val="0"/>
        <w:spacing w:line="360" w:lineRule="auto"/>
        <w:ind w:right="0" w:firstLine="482" w:firstLineChars="200"/>
        <w:textAlignment w:val="auto"/>
        <w:rPr>
          <w:rFonts w:ascii="宋体" w:hAnsi="宋体" w:cs="宋体"/>
          <w:b/>
          <w:color w:val="auto"/>
          <w:sz w:val="24"/>
          <w:highlight w:val="none"/>
        </w:rPr>
      </w:pPr>
      <w:r>
        <w:rPr>
          <w:rFonts w:ascii="宋体" w:hAnsi="宋体" w:cs="宋体"/>
          <w:b/>
          <w:color w:val="auto"/>
          <w:sz w:val="24"/>
          <w:highlight w:val="none"/>
        </w:rPr>
        <w:t>2.1招标项目概况</w:t>
      </w:r>
    </w:p>
    <w:p>
      <w:pPr>
        <w:keepNext w:val="0"/>
        <w:keepLines w:val="0"/>
        <w:pageBreakBefore w:val="0"/>
        <w:widowControl w:val="0"/>
        <w:kinsoku/>
        <w:wordWrap/>
        <w:overflowPunct/>
        <w:topLinePunct w:val="0"/>
        <w:autoSpaceDE/>
        <w:autoSpaceDN/>
        <w:bidi w:val="0"/>
        <w:adjustRightInd w:val="0"/>
        <w:snapToGrid w:val="0"/>
        <w:spacing w:line="360" w:lineRule="auto"/>
        <w:ind w:right="0" w:firstLine="480" w:firstLineChars="200"/>
        <w:textAlignment w:val="auto"/>
        <w:rPr>
          <w:rFonts w:hint="eastAsia" w:ascii="宋体" w:hAnsi="宋体" w:cs="宋体" w:eastAsiaTheme="minorEastAsia"/>
          <w:color w:val="auto"/>
          <w:sz w:val="24"/>
          <w:highlight w:val="none"/>
          <w:u w:val="single"/>
          <w:lang w:eastAsia="zh-CN"/>
        </w:rPr>
      </w:pPr>
      <w:r>
        <w:rPr>
          <w:rFonts w:ascii="宋体" w:hAnsi="宋体" w:cs="宋体"/>
          <w:color w:val="auto"/>
          <w:sz w:val="24"/>
          <w:highlight w:val="none"/>
        </w:rPr>
        <w:t>2.1.1项目名称：</w:t>
      </w:r>
      <w:bookmarkStart w:id="6" w:name="_GoBack"/>
      <w:r>
        <w:rPr>
          <w:rFonts w:hint="eastAsia" w:ascii="宋体" w:hAnsi="宋体" w:cs="宋体"/>
          <w:color w:val="auto"/>
          <w:sz w:val="24"/>
          <w:highlight w:val="none"/>
          <w:u w:val="single"/>
          <w:lang w:eastAsia="zh-CN"/>
        </w:rPr>
        <w:t>岭南集团食品产业基地项目全过程造价咨询服务</w:t>
      </w:r>
      <w:bookmarkEnd w:id="6"/>
    </w:p>
    <w:p>
      <w:pPr>
        <w:keepNext w:val="0"/>
        <w:keepLines w:val="0"/>
        <w:pageBreakBefore w:val="0"/>
        <w:widowControl w:val="0"/>
        <w:kinsoku/>
        <w:wordWrap/>
        <w:overflowPunct/>
        <w:topLinePunct w:val="0"/>
        <w:autoSpaceDE/>
        <w:autoSpaceDN/>
        <w:bidi w:val="0"/>
        <w:adjustRightInd w:val="0"/>
        <w:snapToGrid w:val="0"/>
        <w:spacing w:line="360" w:lineRule="auto"/>
        <w:ind w:right="0" w:firstLine="480" w:firstLineChars="200"/>
        <w:textAlignment w:val="auto"/>
        <w:rPr>
          <w:rFonts w:hint="eastAsia" w:ascii="宋体" w:hAnsi="宋体" w:cs="宋体" w:eastAsiaTheme="minorEastAsia"/>
          <w:color w:val="auto"/>
          <w:sz w:val="24"/>
          <w:highlight w:val="none"/>
          <w:lang w:eastAsia="zh-CN"/>
        </w:rPr>
      </w:pPr>
      <w:r>
        <w:rPr>
          <w:rFonts w:ascii="宋体" w:hAnsi="宋体" w:cs="宋体"/>
          <w:color w:val="auto"/>
          <w:sz w:val="24"/>
          <w:highlight w:val="none"/>
        </w:rPr>
        <w:t>2.1.2建设地点：</w:t>
      </w:r>
      <w:r>
        <w:rPr>
          <w:rFonts w:hint="eastAsia" w:ascii="宋体" w:hAnsi="宋体" w:cs="宋体"/>
          <w:color w:val="auto"/>
          <w:sz w:val="24"/>
          <w:highlight w:val="none"/>
          <w:u w:val="single"/>
          <w:lang w:eastAsia="zh-CN"/>
        </w:rPr>
        <w:t>广州市南沙区横沥镇广州市粮食储备加工中心南侧。</w:t>
      </w:r>
    </w:p>
    <w:p>
      <w:pPr>
        <w:keepNext w:val="0"/>
        <w:keepLines w:val="0"/>
        <w:pageBreakBefore w:val="0"/>
        <w:widowControl w:val="0"/>
        <w:tabs>
          <w:tab w:val="left" w:pos="7513"/>
        </w:tabs>
        <w:kinsoku/>
        <w:wordWrap/>
        <w:overflowPunct/>
        <w:topLinePunct w:val="0"/>
        <w:autoSpaceDE/>
        <w:autoSpaceDN/>
        <w:bidi w:val="0"/>
        <w:snapToGrid/>
        <w:spacing w:line="360" w:lineRule="auto"/>
        <w:ind w:firstLine="480" w:firstLineChars="200"/>
        <w:jc w:val="left"/>
        <w:textAlignment w:val="auto"/>
        <w:rPr>
          <w:rFonts w:hint="eastAsia" w:ascii="宋体" w:hAnsi="宋体"/>
          <w:color w:val="auto"/>
          <w:sz w:val="24"/>
          <w:szCs w:val="24"/>
          <w:highlight w:val="none"/>
          <w:u w:val="none"/>
        </w:rPr>
      </w:pPr>
      <w:r>
        <w:rPr>
          <w:rFonts w:ascii="宋体" w:hAnsi="宋体" w:cs="宋体"/>
          <w:color w:val="auto"/>
          <w:sz w:val="24"/>
          <w:highlight w:val="none"/>
        </w:rPr>
        <w:t>2.1.3建设规模及内容：</w:t>
      </w:r>
      <w:bookmarkStart w:id="0" w:name="_Hlk72509558"/>
      <w:r>
        <w:rPr>
          <w:rFonts w:hint="eastAsia" w:ascii="宋体" w:hAnsi="宋体"/>
          <w:color w:val="auto"/>
          <w:sz w:val="24"/>
          <w:szCs w:val="24"/>
          <w:highlight w:val="none"/>
          <w:u w:val="none"/>
        </w:rPr>
        <w:t>项目总占地面积约26295平方米，容积率2.52，总建筑面积67030平方米；其中预制烘焙产品生产车间（5F）19800平方米，小包装油生产车间（5F）11000平方米，科创中心（11F）11330平方米，油泵房300平方米，装卸区罩棚2000平方米，预留二期建设食品工厂（6F）19200平方米，油脂精炼生产车间（4F）3400平方米。</w:t>
      </w:r>
    </w:p>
    <w:p>
      <w:pPr>
        <w:keepNext w:val="0"/>
        <w:keepLines w:val="0"/>
        <w:pageBreakBefore w:val="0"/>
        <w:widowControl w:val="0"/>
        <w:tabs>
          <w:tab w:val="left" w:pos="7513"/>
        </w:tabs>
        <w:kinsoku/>
        <w:wordWrap/>
        <w:overflowPunct/>
        <w:topLinePunct w:val="0"/>
        <w:autoSpaceDE/>
        <w:autoSpaceDN/>
        <w:bidi w:val="0"/>
        <w:adjustRightInd/>
        <w:snapToGrid/>
        <w:spacing w:line="360" w:lineRule="auto"/>
        <w:ind w:right="0" w:firstLine="480" w:firstLineChars="200"/>
        <w:jc w:val="left"/>
        <w:textAlignment w:val="auto"/>
        <w:rPr>
          <w:rFonts w:ascii="宋体" w:hAnsi="宋体" w:cs="宋体"/>
          <w:color w:val="auto"/>
          <w:sz w:val="24"/>
          <w:highlight w:val="none"/>
          <w:u w:val="single"/>
        </w:rPr>
      </w:pPr>
      <w:r>
        <w:rPr>
          <w:rFonts w:hint="eastAsia" w:ascii="宋体" w:hAnsi="宋体"/>
          <w:color w:val="auto"/>
          <w:sz w:val="24"/>
          <w:szCs w:val="24"/>
          <w:highlight w:val="none"/>
          <w:u w:val="none"/>
        </w:rPr>
        <w:t>主要建设内容；1.建设年生产规模为6,000吨烘焙预拌粉、6,000吨烘焙产品的生产线，及建设配套产能的包装车间；2.建设年设计产能为47,400吨的食用油生产线，包括植物油罐装生产线、包装车间，及配套产能的储存设施；建设科创中心。（最终以规划行政部门和报批报建批复为准）。</w:t>
      </w:r>
      <w:bookmarkEnd w:id="0"/>
    </w:p>
    <w:p>
      <w:pPr>
        <w:keepNext w:val="0"/>
        <w:keepLines w:val="0"/>
        <w:pageBreakBefore w:val="0"/>
        <w:kinsoku/>
        <w:wordWrap/>
        <w:overflowPunct/>
        <w:topLinePunct w:val="0"/>
        <w:autoSpaceDE/>
        <w:autoSpaceDN/>
        <w:bidi w:val="0"/>
        <w:adjustRightInd w:val="0"/>
        <w:snapToGrid w:val="0"/>
        <w:spacing w:line="360" w:lineRule="auto"/>
        <w:ind w:left="0" w:firstLine="482" w:firstLineChars="200"/>
        <w:textAlignment w:val="auto"/>
        <w:rPr>
          <w:rFonts w:ascii="宋体" w:hAnsi="宋体" w:cs="宋体"/>
          <w:b/>
          <w:color w:val="auto"/>
          <w:sz w:val="24"/>
          <w:highlight w:val="none"/>
        </w:rPr>
      </w:pPr>
      <w:r>
        <w:rPr>
          <w:rFonts w:ascii="宋体" w:hAnsi="宋体" w:cs="宋体"/>
          <w:b/>
          <w:color w:val="auto"/>
          <w:sz w:val="24"/>
          <w:highlight w:val="none"/>
        </w:rPr>
        <w:t>2.2招标范围</w:t>
      </w:r>
    </w:p>
    <w:p>
      <w:pPr>
        <w:keepNext w:val="0"/>
        <w:keepLines w:val="0"/>
        <w:pageBreakBefore w:val="0"/>
        <w:kinsoku/>
        <w:wordWrap/>
        <w:overflowPunct/>
        <w:topLinePunct w:val="0"/>
        <w:autoSpaceDE/>
        <w:autoSpaceDN/>
        <w:bidi w:val="0"/>
        <w:adjustRightInd w:val="0"/>
        <w:snapToGrid w:val="0"/>
        <w:spacing w:line="360" w:lineRule="auto"/>
        <w:ind w:left="0" w:firstLine="482" w:firstLineChars="200"/>
        <w:textAlignment w:val="auto"/>
        <w:rPr>
          <w:rFonts w:hint="eastAsia" w:ascii="宋体" w:hAnsi="宋体" w:cs="宋体"/>
          <w:color w:val="auto"/>
          <w:sz w:val="24"/>
          <w:highlight w:val="none"/>
          <w:u w:val="single"/>
        </w:rPr>
      </w:pPr>
      <w:r>
        <w:rPr>
          <w:rFonts w:ascii="宋体" w:hAnsi="宋体" w:cs="宋体"/>
          <w:b/>
          <w:color w:val="auto"/>
          <w:sz w:val="24"/>
          <w:highlight w:val="none"/>
        </w:rPr>
        <w:t>2.2.1标段划分：</w:t>
      </w:r>
      <w:r>
        <w:rPr>
          <w:rFonts w:hint="eastAsia" w:ascii="宋体" w:hAnsi="宋体" w:cs="宋体"/>
          <w:color w:val="auto"/>
          <w:sz w:val="24"/>
          <w:highlight w:val="none"/>
          <w:u w:val="single"/>
        </w:rPr>
        <w:t>本项目设1个标段。</w:t>
      </w:r>
    </w:p>
    <w:p>
      <w:pPr>
        <w:keepNext w:val="0"/>
        <w:keepLines w:val="0"/>
        <w:pageBreakBefore w:val="0"/>
        <w:kinsoku/>
        <w:wordWrap/>
        <w:overflowPunct/>
        <w:topLinePunct w:val="0"/>
        <w:autoSpaceDE/>
        <w:autoSpaceDN/>
        <w:bidi w:val="0"/>
        <w:adjustRightInd w:val="0"/>
        <w:snapToGrid w:val="0"/>
        <w:spacing w:line="360" w:lineRule="auto"/>
        <w:ind w:left="0" w:firstLine="482" w:firstLineChars="200"/>
        <w:textAlignment w:val="auto"/>
        <w:rPr>
          <w:rFonts w:ascii="宋体" w:hAnsi="宋体" w:cs="宋体"/>
          <w:color w:val="auto"/>
          <w:sz w:val="24"/>
          <w:highlight w:val="none"/>
          <w:u w:val="single"/>
        </w:rPr>
      </w:pPr>
      <w:r>
        <w:rPr>
          <w:rFonts w:hint="eastAsia" w:ascii="宋体" w:hAnsi="宋体" w:cs="宋体"/>
          <w:b/>
          <w:color w:val="auto"/>
          <w:sz w:val="24"/>
          <w:highlight w:val="none"/>
          <w:lang w:val="en-US" w:eastAsia="zh-CN"/>
        </w:rPr>
        <w:t>2.2.2</w:t>
      </w:r>
      <w:r>
        <w:rPr>
          <w:rFonts w:hint="eastAsia" w:ascii="宋体" w:hAnsi="宋体" w:cs="宋体"/>
          <w:b/>
          <w:color w:val="auto"/>
          <w:sz w:val="24"/>
          <w:highlight w:val="none"/>
        </w:rPr>
        <w:t>招标内容：</w:t>
      </w:r>
      <w:r>
        <w:rPr>
          <w:rFonts w:hint="eastAsia" w:ascii="宋体" w:hAnsi="宋体" w:cs="宋体"/>
          <w:color w:val="auto"/>
          <w:sz w:val="24"/>
          <w:highlight w:val="none"/>
          <w:u w:val="single"/>
          <w:lang w:eastAsia="zh-CN"/>
        </w:rPr>
        <w:t>岭南集团食品产业基地项目全过程造价咨询服务</w:t>
      </w:r>
      <w:r>
        <w:rPr>
          <w:rFonts w:hint="eastAsia" w:ascii="宋体" w:hAnsi="宋体" w:cs="宋体"/>
          <w:color w:val="auto"/>
          <w:sz w:val="24"/>
          <w:highlight w:val="none"/>
          <w:u w:val="single"/>
        </w:rPr>
        <w:t>，包括但不限于以下工作内容：即本项目全过程造价咨询服务，包括本招标项目工程前期阶段、设计阶段、施工阶段、竣工验收阶段、结</w:t>
      </w:r>
      <w:r>
        <w:rPr>
          <w:rFonts w:hint="eastAsia" w:ascii="宋体" w:hAnsi="宋体"/>
          <w:color w:val="auto"/>
          <w:sz w:val="24"/>
          <w:szCs w:val="24"/>
          <w:highlight w:val="none"/>
          <w:u w:val="single"/>
        </w:rPr>
        <w:t>（决）</w:t>
      </w:r>
      <w:r>
        <w:rPr>
          <w:rFonts w:hint="eastAsia" w:ascii="宋体" w:hAnsi="宋体" w:cs="宋体"/>
          <w:color w:val="auto"/>
          <w:sz w:val="24"/>
          <w:highlight w:val="none"/>
          <w:u w:val="single"/>
        </w:rPr>
        <w:t>算阶段等各阶段造价控制、咨询服务。协助委托人配合审计，协助委托人处理工程造价司法纠纷（委托人根据项目实际情况有权调整招标范围和内容，具体的工作内容详见委托人要求和造价咨询合同）。</w:t>
      </w:r>
    </w:p>
    <w:p>
      <w:pPr>
        <w:keepNext w:val="0"/>
        <w:keepLines w:val="0"/>
        <w:pageBreakBefore w:val="0"/>
        <w:kinsoku/>
        <w:wordWrap/>
        <w:overflowPunct/>
        <w:topLinePunct w:val="0"/>
        <w:autoSpaceDE/>
        <w:autoSpaceDN/>
        <w:bidi w:val="0"/>
        <w:adjustRightInd w:val="0"/>
        <w:snapToGrid w:val="0"/>
        <w:spacing w:line="360" w:lineRule="auto"/>
        <w:ind w:left="0" w:firstLine="482" w:firstLineChars="200"/>
        <w:textAlignment w:val="auto"/>
        <w:rPr>
          <w:rFonts w:ascii="宋体" w:hAnsi="宋体" w:cs="宋体"/>
          <w:bCs/>
          <w:color w:val="auto"/>
          <w:sz w:val="24"/>
          <w:highlight w:val="none"/>
          <w:u w:val="single"/>
        </w:rPr>
      </w:pPr>
      <w:r>
        <w:rPr>
          <w:rFonts w:ascii="宋体" w:hAnsi="宋体" w:cs="宋体"/>
          <w:b/>
          <w:color w:val="auto"/>
          <w:sz w:val="24"/>
          <w:highlight w:val="none"/>
        </w:rPr>
        <w:t>2.2.3服务期限：</w:t>
      </w:r>
      <w:r>
        <w:rPr>
          <w:rFonts w:hint="eastAsia" w:ascii="宋体" w:hAnsi="宋体" w:cs="宋体"/>
          <w:bCs/>
          <w:color w:val="auto"/>
          <w:sz w:val="24"/>
          <w:highlight w:val="none"/>
          <w:u w:val="single"/>
        </w:rPr>
        <w:t>从本项目全过程造价咨询服务合同签订生效之日起</w:t>
      </w:r>
      <w:r>
        <w:rPr>
          <w:rFonts w:hint="eastAsia" w:ascii="宋体" w:hAnsi="宋体" w:cs="宋体"/>
          <w:bCs/>
          <w:color w:val="auto"/>
          <w:sz w:val="24"/>
          <w:highlight w:val="none"/>
          <w:u w:val="single"/>
          <w:lang w:val="en-US" w:eastAsia="zh-CN"/>
        </w:rPr>
        <w:t>至</w:t>
      </w:r>
      <w:r>
        <w:rPr>
          <w:rFonts w:hint="eastAsia" w:ascii="宋体" w:hAnsi="宋体" w:cs="宋体"/>
          <w:bCs/>
          <w:color w:val="auto"/>
          <w:sz w:val="24"/>
          <w:highlight w:val="none"/>
          <w:u w:val="single"/>
        </w:rPr>
        <w:t>完成本建设项目竣工结算、财务决算并通过有权终审部门审核、审计止。咨询人提供咨询服务和成果的进度须满足工程进展和委托人对各项咨询工作的具体要求。</w:t>
      </w:r>
    </w:p>
    <w:p>
      <w:pPr>
        <w:pStyle w:val="9"/>
        <w:keepNext w:val="0"/>
        <w:keepLines w:val="0"/>
        <w:pageBreakBefore w:val="0"/>
        <w:kinsoku/>
        <w:wordWrap/>
        <w:overflowPunct/>
        <w:topLinePunct w:val="0"/>
        <w:autoSpaceDE/>
        <w:autoSpaceDN/>
        <w:bidi w:val="0"/>
        <w:adjustRightInd w:val="0"/>
        <w:snapToGrid w:val="0"/>
        <w:spacing w:line="360" w:lineRule="auto"/>
        <w:ind w:left="0" w:firstLine="482" w:firstLineChars="200"/>
        <w:jc w:val="both"/>
        <w:textAlignment w:val="auto"/>
        <w:rPr>
          <w:rFonts w:ascii="宋体" w:hAnsi="宋体" w:cs="宋体"/>
          <w:color w:val="auto"/>
          <w:sz w:val="24"/>
          <w:szCs w:val="24"/>
          <w:highlight w:val="none"/>
          <w:u w:val="single"/>
        </w:rPr>
      </w:pPr>
      <w:r>
        <w:rPr>
          <w:rFonts w:ascii="宋体" w:hAnsi="宋体" w:cs="宋体"/>
          <w:b/>
          <w:color w:val="auto"/>
          <w:sz w:val="24"/>
          <w:szCs w:val="24"/>
          <w:highlight w:val="none"/>
        </w:rPr>
        <w:t>2.2.4最高投标限价</w:t>
      </w:r>
      <w:r>
        <w:rPr>
          <w:rFonts w:ascii="宋体" w:hAnsi="宋体" w:cs="宋体"/>
          <w:b/>
          <w:color w:val="auto"/>
          <w:sz w:val="24"/>
          <w:szCs w:val="24"/>
          <w:highlight w:val="none"/>
          <w:u w:val="single"/>
        </w:rPr>
        <w:t>：</w:t>
      </w:r>
      <w:r>
        <w:rPr>
          <w:rFonts w:hint="eastAsia" w:ascii="宋体" w:hAnsi="宋体" w:cs="宋体"/>
          <w:b/>
          <w:color w:val="auto"/>
          <w:sz w:val="24"/>
          <w:szCs w:val="24"/>
          <w:highlight w:val="none"/>
          <w:u w:val="single"/>
        </w:rPr>
        <w:t>1343136.96元</w:t>
      </w:r>
      <w:r>
        <w:rPr>
          <w:rFonts w:hint="eastAsia" w:ascii="宋体" w:hAnsi="宋体" w:cs="宋体"/>
          <w:color w:val="auto"/>
          <w:sz w:val="24"/>
          <w:szCs w:val="24"/>
          <w:highlight w:val="none"/>
        </w:rPr>
        <w:t>。</w:t>
      </w:r>
    </w:p>
    <w:p>
      <w:pPr>
        <w:widowControl/>
        <w:numPr>
          <w:ilvl w:val="0"/>
          <w:numId w:val="1"/>
        </w:numPr>
        <w:tabs>
          <w:tab w:val="left" w:pos="760"/>
        </w:tabs>
        <w:adjustRightInd w:val="0"/>
        <w:snapToGrid w:val="0"/>
        <w:spacing w:line="360" w:lineRule="auto"/>
        <w:ind w:firstLine="562" w:firstLineChars="200"/>
        <w:jc w:val="left"/>
        <w:outlineLvl w:val="1"/>
        <w:rPr>
          <w:rFonts w:hint="eastAsia" w:ascii="宋体" w:hAnsi="宋体" w:cs="宋体"/>
          <w:b/>
          <w:color w:val="auto"/>
          <w:sz w:val="28"/>
          <w:szCs w:val="28"/>
          <w:highlight w:val="none"/>
        </w:rPr>
      </w:pPr>
      <w:r>
        <w:rPr>
          <w:rFonts w:hint="eastAsia" w:ascii="宋体" w:hAnsi="宋体" w:cs="宋体"/>
          <w:b/>
          <w:color w:val="auto"/>
          <w:sz w:val="28"/>
          <w:szCs w:val="28"/>
          <w:highlight w:val="none"/>
        </w:rPr>
        <w:t>投标人资格要求</w:t>
      </w:r>
    </w:p>
    <w:p>
      <w:pPr>
        <w:keepNext w:val="0"/>
        <w:keepLines w:val="0"/>
        <w:pageBreakBefore w:val="0"/>
        <w:tabs>
          <w:tab w:val="left" w:pos="0"/>
          <w:tab w:val="left" w:pos="795"/>
        </w:tabs>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auto"/>
          <w:sz w:val="24"/>
          <w:highlight w:val="none"/>
          <w:u w:val="single"/>
        </w:rPr>
      </w:pPr>
      <w:bookmarkStart w:id="1" w:name="_Hlk7344923"/>
      <w:r>
        <w:rPr>
          <w:rFonts w:ascii="宋体" w:hAnsi="宋体" w:cs="宋体"/>
          <w:color w:val="auto"/>
          <w:sz w:val="24"/>
          <w:highlight w:val="none"/>
        </w:rPr>
        <w:t>3.1</w:t>
      </w:r>
      <w:r>
        <w:rPr>
          <w:rFonts w:ascii="宋体" w:hAnsi="宋体" w:cs="宋体"/>
          <w:color w:val="auto"/>
          <w:sz w:val="24"/>
          <w:highlight w:val="none"/>
          <w:u w:val="single"/>
        </w:rPr>
        <w:t>投标人参加投标的意思表达清楚，投标人代表被授权有效。</w:t>
      </w:r>
    </w:p>
    <w:p>
      <w:pPr>
        <w:keepNext w:val="0"/>
        <w:keepLines w:val="0"/>
        <w:pageBreakBefore w:val="0"/>
        <w:widowControl/>
        <w:kinsoku/>
        <w:wordWrap/>
        <w:overflowPunct/>
        <w:topLinePunct w:val="0"/>
        <w:autoSpaceDE/>
        <w:autoSpaceDN/>
        <w:bidi w:val="0"/>
        <w:spacing w:line="360" w:lineRule="auto"/>
        <w:ind w:firstLine="480" w:firstLineChars="200"/>
        <w:textAlignment w:val="auto"/>
        <w:rPr>
          <w:rFonts w:hint="eastAsia" w:ascii="宋体" w:hAnsi="宋体"/>
          <w:color w:val="auto"/>
          <w:sz w:val="24"/>
          <w:highlight w:val="none"/>
          <w:u w:val="single"/>
        </w:rPr>
      </w:pPr>
      <w:r>
        <w:rPr>
          <w:rFonts w:ascii="宋体" w:hAnsi="宋体" w:cs="宋体"/>
          <w:color w:val="auto"/>
          <w:sz w:val="24"/>
          <w:highlight w:val="none"/>
        </w:rPr>
        <w:t>3.2</w:t>
      </w:r>
      <w:r>
        <w:rPr>
          <w:rFonts w:hint="eastAsia" w:ascii="宋体" w:hAnsi="宋体"/>
          <w:color w:val="auto"/>
          <w:sz w:val="24"/>
          <w:highlight w:val="none"/>
          <w:u w:val="single"/>
        </w:rPr>
        <w:t>投标人具有独立法人资格</w:t>
      </w:r>
      <w:r>
        <w:rPr>
          <w:rFonts w:hint="eastAsia" w:ascii="宋体" w:hAnsi="宋体"/>
          <w:color w:val="auto"/>
          <w:sz w:val="24"/>
          <w:highlight w:val="none"/>
          <w:u w:val="single"/>
          <w:lang w:val="en-US" w:eastAsia="zh-CN"/>
        </w:rPr>
        <w:t>或依法注册登记的其他组织</w:t>
      </w:r>
      <w:r>
        <w:rPr>
          <w:rFonts w:hint="eastAsia" w:ascii="宋体" w:hAnsi="宋体"/>
          <w:color w:val="auto"/>
          <w:sz w:val="24"/>
          <w:highlight w:val="none"/>
          <w:u w:val="single"/>
        </w:rPr>
        <w:t>，持有工商行政管理部门</w:t>
      </w:r>
      <w:r>
        <w:rPr>
          <w:rFonts w:hint="eastAsia" w:ascii="宋体" w:hAnsi="宋体"/>
          <w:color w:val="auto"/>
          <w:sz w:val="24"/>
          <w:highlight w:val="none"/>
          <w:u w:val="single"/>
          <w:lang w:val="en-US" w:eastAsia="zh-CN"/>
        </w:rPr>
        <w:t>或相关职能部门</w:t>
      </w:r>
      <w:r>
        <w:rPr>
          <w:rFonts w:hint="eastAsia" w:ascii="宋体" w:hAnsi="宋体"/>
          <w:color w:val="auto"/>
          <w:sz w:val="24"/>
          <w:highlight w:val="none"/>
          <w:u w:val="single"/>
        </w:rPr>
        <w:t>核发的营业执照或</w:t>
      </w:r>
      <w:r>
        <w:rPr>
          <w:rFonts w:hint="eastAsia" w:ascii="宋体" w:hAnsi="宋体"/>
          <w:color w:val="auto"/>
          <w:sz w:val="24"/>
          <w:highlight w:val="none"/>
          <w:u w:val="single"/>
          <w:lang w:val="en-US" w:eastAsia="zh-CN"/>
        </w:rPr>
        <w:t>经营许可证照或</w:t>
      </w:r>
      <w:r>
        <w:rPr>
          <w:rFonts w:hint="eastAsia" w:ascii="宋体" w:hAnsi="宋体"/>
          <w:color w:val="auto"/>
          <w:sz w:val="24"/>
          <w:highlight w:val="none"/>
          <w:u w:val="single"/>
        </w:rPr>
        <w:t>事业单位登记管理部门核发的事业单位法人证书，按国家法律经营。</w:t>
      </w:r>
    </w:p>
    <w:p>
      <w:pPr>
        <w:keepNext w:val="0"/>
        <w:keepLines w:val="0"/>
        <w:pageBreakBefore w:val="0"/>
        <w:tabs>
          <w:tab w:val="left" w:pos="0"/>
          <w:tab w:val="left" w:pos="795"/>
        </w:tabs>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注：香港企业参加投标的，须在广东省住房和城乡建设主管部门备案且备案的业务范围满足本项目招标文件要求。[注：依据《广东省住房和城乡建设厅关于印发香港工程建设咨询企业和专业人士在粤港澳大湾区内地城市开业执业试点管理暂行办法的通知》（粤建规范[2020]1号）确定]。</w:t>
      </w:r>
    </w:p>
    <w:bookmarkEnd w:id="1"/>
    <w:p>
      <w:pPr>
        <w:keepNext w:val="0"/>
        <w:keepLines w:val="0"/>
        <w:pageBreakBefore w:val="0"/>
        <w:tabs>
          <w:tab w:val="left" w:pos="0"/>
          <w:tab w:val="left" w:pos="795"/>
        </w:tabs>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cs="宋体"/>
          <w:color w:val="auto"/>
          <w:sz w:val="24"/>
          <w:highlight w:val="none"/>
        </w:rPr>
      </w:pPr>
      <w:r>
        <w:rPr>
          <w:rFonts w:ascii="宋体" w:hAnsi="宋体" w:cs="宋体"/>
          <w:b/>
          <w:color w:val="auto"/>
          <w:sz w:val="24"/>
          <w:highlight w:val="none"/>
        </w:rPr>
        <w:t>3.3</w:t>
      </w:r>
      <w:r>
        <w:rPr>
          <w:rFonts w:hint="eastAsia" w:ascii="宋体" w:hAnsi="宋体" w:cs="宋体"/>
          <w:b/>
          <w:color w:val="auto"/>
          <w:sz w:val="24"/>
          <w:highlight w:val="none"/>
        </w:rPr>
        <w:t>关于联合体投标：</w:t>
      </w:r>
      <w:r>
        <w:rPr>
          <w:rFonts w:hint="eastAsia" w:ascii="宋体" w:hAnsi="宋体" w:cs="宋体"/>
          <w:color w:val="auto"/>
          <w:sz w:val="24"/>
          <w:highlight w:val="none"/>
        </w:rPr>
        <w:t>本项目</w:t>
      </w:r>
      <w:r>
        <w:rPr>
          <w:rFonts w:hint="eastAsia" w:ascii="宋体" w:hAnsi="宋体" w:cs="宋体"/>
          <w:color w:val="auto"/>
          <w:sz w:val="24"/>
          <w:highlight w:val="none"/>
          <w:u w:val="single"/>
        </w:rPr>
        <w:t>不接受</w:t>
      </w:r>
      <w:r>
        <w:rPr>
          <w:rFonts w:hint="eastAsia" w:ascii="宋体" w:hAnsi="宋体" w:cs="宋体"/>
          <w:color w:val="auto"/>
          <w:sz w:val="24"/>
          <w:highlight w:val="none"/>
        </w:rPr>
        <w:t>联合体投标。</w:t>
      </w:r>
    </w:p>
    <w:p>
      <w:pPr>
        <w:keepNext w:val="0"/>
        <w:keepLines w:val="0"/>
        <w:pageBreakBefore w:val="0"/>
        <w:tabs>
          <w:tab w:val="left" w:pos="7513"/>
        </w:tabs>
        <w:kinsoku/>
        <w:wordWrap/>
        <w:overflowPunct/>
        <w:topLinePunct w:val="0"/>
        <w:autoSpaceDE/>
        <w:autoSpaceDN/>
        <w:bidi w:val="0"/>
        <w:spacing w:line="360" w:lineRule="auto"/>
        <w:ind w:firstLine="480" w:firstLineChars="200"/>
        <w:textAlignment w:val="auto"/>
        <w:rPr>
          <w:rFonts w:ascii="宋体" w:hAnsi="宋体"/>
          <w:color w:val="auto"/>
          <w:sz w:val="24"/>
          <w:highlight w:val="none"/>
          <w:u w:val="single"/>
        </w:rPr>
      </w:pPr>
      <w:r>
        <w:rPr>
          <w:rFonts w:hint="eastAsia" w:ascii="宋体" w:hAnsi="宋体"/>
          <w:color w:val="auto"/>
          <w:sz w:val="24"/>
          <w:highlight w:val="none"/>
          <w:u w:val="none"/>
          <w:lang w:val="en-US" w:eastAsia="zh-CN"/>
        </w:rPr>
        <w:t>3.4</w:t>
      </w:r>
      <w:r>
        <w:rPr>
          <w:rFonts w:hint="eastAsia" w:ascii="宋体" w:hAnsi="宋体"/>
          <w:color w:val="auto"/>
          <w:sz w:val="24"/>
          <w:highlight w:val="none"/>
          <w:u w:val="single"/>
        </w:rPr>
        <w:t>投标人拟派项目负责人须具备一级注册造价工程师执业资格</w:t>
      </w:r>
      <w:r>
        <w:rPr>
          <w:rFonts w:hint="eastAsia" w:ascii="宋体" w:hAnsi="宋体"/>
          <w:i w:val="0"/>
          <w:iCs w:val="0"/>
          <w:color w:val="auto"/>
          <w:sz w:val="24"/>
          <w:highlight w:val="none"/>
          <w:u w:val="single"/>
        </w:rPr>
        <w:t>，且在本单位注册。</w:t>
      </w:r>
      <w:r>
        <w:rPr>
          <w:rFonts w:hint="eastAsia" w:ascii="宋体" w:hAnsi="宋体"/>
          <w:color w:val="auto"/>
          <w:sz w:val="24"/>
          <w:highlight w:val="none"/>
          <w:u w:val="single"/>
        </w:rPr>
        <w:t>未实行分级的注册造价工程师自动划分为一级注册造价工程师。</w:t>
      </w:r>
      <w:r>
        <w:rPr>
          <w:rFonts w:hint="eastAsia" w:ascii="宋体" w:hAnsi="宋体" w:cs="宋体"/>
          <w:i w:val="0"/>
          <w:iCs w:val="0"/>
          <w:color w:val="auto"/>
          <w:sz w:val="24"/>
          <w:highlight w:val="none"/>
          <w:u w:val="single"/>
        </w:rPr>
        <w:t>或已在广东省住房和城乡建设主管</w:t>
      </w:r>
      <w:r>
        <w:rPr>
          <w:rFonts w:hint="eastAsia" w:ascii="宋体" w:hAnsi="宋体" w:cs="宋体"/>
          <w:color w:val="auto"/>
          <w:sz w:val="24"/>
          <w:highlight w:val="none"/>
          <w:u w:val="single"/>
        </w:rPr>
        <w:t>部门备案且备案的业务范围相当于</w:t>
      </w:r>
      <w:r>
        <w:rPr>
          <w:rFonts w:hint="eastAsia" w:ascii="宋体" w:hAnsi="宋体"/>
          <w:color w:val="auto"/>
          <w:sz w:val="24"/>
          <w:highlight w:val="none"/>
          <w:u w:val="single"/>
        </w:rPr>
        <w:t>注册一级造价工程师</w:t>
      </w:r>
      <w:r>
        <w:rPr>
          <w:rFonts w:hint="eastAsia" w:ascii="宋体" w:hAnsi="宋体" w:cs="宋体"/>
          <w:color w:val="auto"/>
          <w:sz w:val="24"/>
          <w:highlight w:val="none"/>
          <w:u w:val="single"/>
        </w:rPr>
        <w:t>的香港专业人士[香港专业人士的备案业务范围依据《广东省住房和城乡建设厅关于印发香港工程建设咨询企业和专业人士在粤港澳大湾区内地城市开业执业试点管理暂行办法的通知》（粤建规范[2020]1号）确定]。</w:t>
      </w:r>
    </w:p>
    <w:p>
      <w:pPr>
        <w:keepNext w:val="0"/>
        <w:keepLines w:val="0"/>
        <w:pageBreakBefore w:val="0"/>
        <w:tabs>
          <w:tab w:val="left" w:pos="0"/>
          <w:tab w:val="left" w:pos="795"/>
        </w:tabs>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注：有效的注册造价工程师指根据原人事部、原建设部发布的《造价工程师执业资格制度暂行规定》（人发〔1996〕77号）取得的造价工程师执业资格，并经注册且在有效期内；有效的注册一级造价工程师资格指根据住房城乡建设部、交通运输部、水利部、人力资源社会保障部发布的《造价工程师职业资格制度规定》《造价工程师职业资格考试实施办法》（建人〔2018〕]67号）取得的一级造价工程师职业资格，并经注册且在有效期内。</w:t>
      </w:r>
    </w:p>
    <w:p>
      <w:pPr>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rPr>
          <w:rFonts w:ascii="宋体" w:hAnsi="宋体" w:cs="宋体"/>
          <w:b/>
          <w:color w:val="auto"/>
          <w:sz w:val="24"/>
          <w:highlight w:val="none"/>
          <w:u w:val="single"/>
        </w:rPr>
      </w:pPr>
      <w:r>
        <w:rPr>
          <w:rFonts w:ascii="宋体" w:hAnsi="宋体" w:cs="宋体"/>
          <w:b/>
          <w:color w:val="auto"/>
          <w:sz w:val="24"/>
          <w:highlight w:val="none"/>
          <w:u w:val="single"/>
        </w:rPr>
        <w:t>3.5</w:t>
      </w:r>
      <w:r>
        <w:rPr>
          <w:rFonts w:hint="eastAsia" w:ascii="宋体" w:hAnsi="宋体" w:cs="宋体"/>
          <w:b/>
          <w:color w:val="auto"/>
          <w:sz w:val="24"/>
          <w:highlight w:val="none"/>
          <w:u w:val="single"/>
        </w:rPr>
        <w:t>其他要求：</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auto"/>
          <w:sz w:val="24"/>
          <w:highlight w:val="none"/>
          <w:u w:val="single"/>
        </w:rPr>
      </w:pPr>
      <w:r>
        <w:rPr>
          <w:rFonts w:ascii="宋体" w:hAnsi="宋体" w:cs="宋体"/>
          <w:color w:val="auto"/>
          <w:sz w:val="24"/>
          <w:highlight w:val="none"/>
          <w:u w:val="single"/>
        </w:rPr>
        <w:t>3.5.1投标人已按规定格式提交签名盖章的《投标人声明》（格式见招标公告附件一）。</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auto"/>
          <w:sz w:val="24"/>
          <w:highlight w:val="none"/>
          <w:u w:val="single"/>
        </w:rPr>
      </w:pPr>
      <w:r>
        <w:rPr>
          <w:rFonts w:ascii="宋体" w:hAnsi="宋体" w:cs="宋体"/>
          <w:color w:val="auto"/>
          <w:sz w:val="24"/>
          <w:highlight w:val="none"/>
          <w:u w:val="single"/>
        </w:rPr>
        <w:t>3.5.2投标人须已在广州市住建行业信用管理平台建立企业信用档案；拟委派的项目负责人须为本企业信用档案中的在册人员。</w:t>
      </w:r>
      <w:r>
        <w:rPr>
          <w:rFonts w:hint="eastAsia" w:ascii="宋体" w:hAnsi="宋体" w:cs="宋体"/>
          <w:color w:val="auto"/>
          <w:sz w:val="24"/>
          <w:highlight w:val="none"/>
          <w:u w:val="single"/>
        </w:rPr>
        <w:t>【香港企业参加投标的，须提供在广东省住房和城乡建设主管部门备案网页截图】</w:t>
      </w:r>
      <w:r>
        <w:rPr>
          <w:rFonts w:ascii="宋体" w:hAnsi="宋体" w:cs="宋体"/>
          <w:color w:val="auto"/>
          <w:sz w:val="24"/>
          <w:highlight w:val="none"/>
          <w:u w:val="single"/>
        </w:rPr>
        <w:t>（信用档案办理详见《广州市住建行业信用管理平台企业信息录入指引</w:t>
      </w:r>
      <w:r>
        <w:rPr>
          <w:rFonts w:hint="eastAsia" w:ascii="宋体" w:hAnsi="宋体" w:cs="宋体"/>
          <w:color w:val="auto"/>
          <w:sz w:val="24"/>
          <w:highlight w:val="none"/>
          <w:u w:val="single"/>
        </w:rPr>
        <w:t>》</w:t>
      </w:r>
      <w:r>
        <w:rPr>
          <w:rFonts w:ascii="宋体" w:hAnsi="宋体" w:cs="宋体"/>
          <w:color w:val="auto"/>
          <w:sz w:val="24"/>
          <w:highlight w:val="none"/>
          <w:u w:val="single"/>
        </w:rPr>
        <w:t>http://zfcj.gz.gov.cn/zwgk/zsdwxxgkzl/gzsjzyglfwzx/bszy/content/post_8074009.html）。</w:t>
      </w:r>
    </w:p>
    <w:p>
      <w:pPr>
        <w:keepNext w:val="0"/>
        <w:keepLines w:val="0"/>
        <w:pageBreakBefore w:val="0"/>
        <w:tabs>
          <w:tab w:val="left" w:pos="7513"/>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olor w:val="auto"/>
          <w:sz w:val="24"/>
          <w:highlight w:val="none"/>
          <w:u w:val="single"/>
          <w:lang w:eastAsia="zh-CN"/>
        </w:rPr>
      </w:pPr>
      <w:r>
        <w:rPr>
          <w:rFonts w:ascii="宋体" w:hAnsi="宋体" w:cs="宋体"/>
          <w:color w:val="auto"/>
          <w:sz w:val="24"/>
          <w:highlight w:val="none"/>
          <w:u w:val="single"/>
        </w:rPr>
        <w:t>3.5.</w:t>
      </w:r>
      <w:r>
        <w:rPr>
          <w:rFonts w:hint="eastAsia" w:ascii="宋体" w:hAnsi="宋体" w:cs="宋体"/>
          <w:color w:val="auto"/>
          <w:sz w:val="24"/>
          <w:highlight w:val="none"/>
          <w:u w:val="single"/>
          <w:lang w:val="en-US" w:eastAsia="zh-CN"/>
        </w:rPr>
        <w:t>3</w:t>
      </w:r>
      <w:r>
        <w:rPr>
          <w:rFonts w:hint="eastAsia" w:ascii="宋体" w:hAnsi="宋体" w:eastAsia="宋体" w:cs="宋体"/>
          <w:color w:val="auto"/>
          <w:kern w:val="2"/>
          <w:sz w:val="24"/>
          <w:szCs w:val="24"/>
          <w:highlight w:val="none"/>
          <w:u w:val="single"/>
          <w:lang w:val="en-US" w:eastAsia="zh-CN" w:bidi="ar-SA"/>
        </w:rPr>
        <w:t>投标人未被纳入失信联合惩戒名单且被限制参加财政投资工程或政府投资工程或建设工程投标的（具体名单以递交投标文件截止时间“信用广州”https://credit1.gz.gov.cn/sgs/sgsXkNew公布的“失信黑名单”为准，按投标截止时间广州公共资源交易中心交易系统比对结果进行评审，投标人无需提供资料。因联合惩戒措施表述存在细微差别，惩戒措施与上文不完全一致但措施内容相同的，也应属于被限制参与相关项目的投标）。</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注：未在招标公告第3条单列的资审合格条件，不作为资审不合格的依据。</w:t>
      </w:r>
    </w:p>
    <w:p>
      <w:pPr>
        <w:widowControl/>
        <w:numPr>
          <w:ilvl w:val="0"/>
          <w:numId w:val="1"/>
        </w:numPr>
        <w:tabs>
          <w:tab w:val="left" w:pos="760"/>
        </w:tabs>
        <w:adjustRightInd w:val="0"/>
        <w:snapToGrid w:val="0"/>
        <w:spacing w:line="360" w:lineRule="auto"/>
        <w:ind w:firstLine="562" w:firstLineChars="200"/>
        <w:jc w:val="left"/>
        <w:outlineLvl w:val="1"/>
        <w:rPr>
          <w:rFonts w:hint="eastAsia" w:ascii="宋体" w:hAnsi="宋体" w:cs="宋体"/>
          <w:b/>
          <w:color w:val="auto"/>
          <w:sz w:val="28"/>
          <w:szCs w:val="28"/>
          <w:highlight w:val="none"/>
        </w:rPr>
      </w:pPr>
      <w:r>
        <w:rPr>
          <w:rFonts w:hint="eastAsia" w:ascii="宋体" w:hAnsi="宋体" w:cs="宋体"/>
          <w:b/>
          <w:color w:val="auto"/>
          <w:sz w:val="28"/>
          <w:szCs w:val="28"/>
          <w:highlight w:val="none"/>
        </w:rPr>
        <w:t>招标文件的获取</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2" w:firstLineChars="200"/>
        <w:textAlignment w:val="auto"/>
        <w:rPr>
          <w:rFonts w:ascii="宋体" w:hAnsi="宋体" w:cs="宋体"/>
          <w:color w:val="auto"/>
          <w:sz w:val="24"/>
          <w:highlight w:val="none"/>
        </w:rPr>
      </w:pPr>
      <w:bookmarkStart w:id="2" w:name="_Toc6636"/>
      <w:bookmarkStart w:id="3" w:name="_Toc4310"/>
      <w:r>
        <w:rPr>
          <w:rFonts w:ascii="宋体" w:hAnsi="宋体" w:cs="宋体"/>
          <w:b/>
          <w:color w:val="auto"/>
          <w:sz w:val="24"/>
          <w:highlight w:val="none"/>
        </w:rPr>
        <w:t>4.1发布招标公告时间（含本日）：</w:t>
      </w:r>
      <w:r>
        <w:rPr>
          <w:rFonts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rPr>
        <w:t>年</w:t>
      </w:r>
      <w:r>
        <w:rPr>
          <w:rFonts w:ascii="宋体" w:hAnsi="宋体" w:cs="宋体"/>
          <w:color w:val="auto"/>
          <w:sz w:val="24"/>
          <w:highlight w:val="none"/>
          <w:u w:val="single"/>
        </w:rPr>
        <w:t xml:space="preserve">  </w:t>
      </w:r>
      <w:r>
        <w:rPr>
          <w:rFonts w:hint="eastAsia" w:ascii="宋体" w:hAnsi="宋体" w:cs="宋体"/>
          <w:color w:val="auto"/>
          <w:sz w:val="24"/>
          <w:highlight w:val="none"/>
        </w:rPr>
        <w:t>月</w:t>
      </w:r>
      <w:r>
        <w:rPr>
          <w:rFonts w:ascii="宋体" w:hAnsi="宋体" w:cs="宋体"/>
          <w:color w:val="auto"/>
          <w:sz w:val="24"/>
          <w:highlight w:val="none"/>
          <w:u w:val="single"/>
        </w:rPr>
        <w:t xml:space="preserve">   </w:t>
      </w:r>
      <w:r>
        <w:rPr>
          <w:rFonts w:hint="eastAsia" w:ascii="宋体" w:hAnsi="宋体" w:cs="宋体"/>
          <w:color w:val="auto"/>
          <w:sz w:val="24"/>
          <w:highlight w:val="none"/>
        </w:rPr>
        <w:t>日</w:t>
      </w:r>
      <w:r>
        <w:rPr>
          <w:rFonts w:ascii="宋体" w:hAnsi="宋体" w:cs="宋体"/>
          <w:color w:val="auto"/>
          <w:sz w:val="24"/>
          <w:highlight w:val="none"/>
          <w:u w:val="single"/>
        </w:rPr>
        <w:t xml:space="preserve">   </w:t>
      </w:r>
      <w:r>
        <w:rPr>
          <w:rFonts w:hint="eastAsia" w:ascii="宋体" w:hAnsi="宋体" w:cs="宋体"/>
          <w:color w:val="auto"/>
          <w:sz w:val="24"/>
          <w:highlight w:val="none"/>
        </w:rPr>
        <w:t>时</w:t>
      </w:r>
      <w:r>
        <w:rPr>
          <w:rFonts w:ascii="宋体" w:hAnsi="宋体" w:cs="宋体"/>
          <w:color w:val="auto"/>
          <w:sz w:val="24"/>
          <w:highlight w:val="none"/>
          <w:u w:val="single"/>
        </w:rPr>
        <w:t xml:space="preserve">   </w:t>
      </w:r>
      <w:r>
        <w:rPr>
          <w:rFonts w:hint="eastAsia" w:ascii="宋体" w:hAnsi="宋体" w:cs="宋体"/>
          <w:color w:val="auto"/>
          <w:sz w:val="24"/>
          <w:highlight w:val="none"/>
        </w:rPr>
        <w:t>分至</w:t>
      </w:r>
      <w:r>
        <w:rPr>
          <w:rFonts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rPr>
        <w:t>年</w:t>
      </w:r>
      <w:r>
        <w:rPr>
          <w:rFonts w:ascii="宋体" w:hAnsi="宋体" w:cs="宋体"/>
          <w:color w:val="auto"/>
          <w:sz w:val="24"/>
          <w:highlight w:val="none"/>
          <w:u w:val="single"/>
        </w:rPr>
        <w:t xml:space="preserve">  </w:t>
      </w:r>
      <w:r>
        <w:rPr>
          <w:rFonts w:hint="eastAsia" w:ascii="宋体" w:hAnsi="宋体" w:cs="宋体"/>
          <w:color w:val="auto"/>
          <w:sz w:val="24"/>
          <w:highlight w:val="none"/>
        </w:rPr>
        <w:t>月</w:t>
      </w:r>
      <w:r>
        <w:rPr>
          <w:rFonts w:ascii="宋体" w:hAnsi="宋体" w:cs="宋体"/>
          <w:color w:val="auto"/>
          <w:sz w:val="24"/>
          <w:highlight w:val="none"/>
          <w:u w:val="single"/>
        </w:rPr>
        <w:t xml:space="preserve">   </w:t>
      </w:r>
      <w:r>
        <w:rPr>
          <w:rFonts w:hint="eastAsia" w:ascii="宋体" w:hAnsi="宋体" w:cs="宋体"/>
          <w:color w:val="auto"/>
          <w:sz w:val="24"/>
          <w:highlight w:val="none"/>
        </w:rPr>
        <w:t>日</w:t>
      </w:r>
      <w:r>
        <w:rPr>
          <w:rFonts w:ascii="宋体" w:hAnsi="宋体" w:cs="宋体"/>
          <w:color w:val="auto"/>
          <w:sz w:val="24"/>
          <w:highlight w:val="none"/>
          <w:u w:val="single"/>
        </w:rPr>
        <w:t xml:space="preserve">   </w:t>
      </w:r>
      <w:r>
        <w:rPr>
          <w:rFonts w:hint="eastAsia" w:ascii="宋体" w:hAnsi="宋体" w:cs="宋体"/>
          <w:color w:val="auto"/>
          <w:sz w:val="24"/>
          <w:highlight w:val="none"/>
        </w:rPr>
        <w:t>时</w:t>
      </w:r>
      <w:r>
        <w:rPr>
          <w:rFonts w:ascii="宋体" w:hAnsi="宋体" w:cs="宋体"/>
          <w:color w:val="auto"/>
          <w:sz w:val="24"/>
          <w:highlight w:val="none"/>
          <w:u w:val="single"/>
        </w:rPr>
        <w:t xml:space="preserve">  </w:t>
      </w:r>
      <w:r>
        <w:rPr>
          <w:rFonts w:hint="eastAsia" w:ascii="宋体" w:hAnsi="宋体" w:cs="宋体"/>
          <w:color w:val="auto"/>
          <w:sz w:val="24"/>
          <w:highlight w:val="none"/>
        </w:rPr>
        <w:t>分。</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注：发布招标公告的时间为招标公告发出之日起至递交投标文件截止时间止。</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投标人通过</w:t>
      </w:r>
      <w:r>
        <w:rPr>
          <w:rFonts w:hint="eastAsia" w:ascii="宋体" w:hAnsi="宋体" w:cs="宋体"/>
          <w:color w:val="auto"/>
          <w:sz w:val="24"/>
          <w:highlight w:val="none"/>
          <w:u w:val="single"/>
          <w:lang w:eastAsia="zh-CN"/>
        </w:rPr>
        <w:t>广州交易集团有限公司（广州公共资源交易中心）</w:t>
      </w:r>
      <w:r>
        <w:rPr>
          <w:rFonts w:hint="eastAsia" w:ascii="宋体" w:hAnsi="宋体"/>
          <w:color w:val="auto"/>
          <w:sz w:val="24"/>
          <w:highlight w:val="none"/>
        </w:rPr>
        <w:t>数字</w:t>
      </w:r>
      <w:r>
        <w:rPr>
          <w:rFonts w:hint="eastAsia" w:ascii="宋体" w:hAnsi="宋体" w:cs="宋体"/>
          <w:color w:val="auto"/>
          <w:sz w:val="24"/>
          <w:highlight w:val="none"/>
        </w:rPr>
        <w:t>交易平台递交电子投标文件。投标人应在递交投标文件截止时间前，登录</w:t>
      </w:r>
      <w:r>
        <w:rPr>
          <w:rFonts w:hint="eastAsia" w:ascii="宋体" w:hAnsi="宋体" w:cs="宋体"/>
          <w:color w:val="auto"/>
          <w:sz w:val="24"/>
          <w:highlight w:val="none"/>
          <w:u w:val="single"/>
          <w:lang w:eastAsia="zh-CN"/>
        </w:rPr>
        <w:t>广州交易集团有限公司（广州公共资源交易中心）</w:t>
      </w:r>
      <w:r>
        <w:rPr>
          <w:rFonts w:hint="eastAsia" w:ascii="宋体" w:hAnsi="宋体"/>
          <w:color w:val="auto"/>
          <w:sz w:val="24"/>
          <w:highlight w:val="none"/>
        </w:rPr>
        <w:t>数字</w:t>
      </w:r>
      <w:r>
        <w:rPr>
          <w:rFonts w:hint="eastAsia" w:ascii="宋体" w:hAnsi="宋体" w:cs="宋体"/>
          <w:color w:val="auto"/>
          <w:sz w:val="24"/>
          <w:highlight w:val="none"/>
        </w:rPr>
        <w:t>交易平台网站办理网上投标登记手续。按照交易平台关于全流程电子化项目的相关指南进行操作。详见：</w:t>
      </w:r>
      <w:r>
        <w:rPr>
          <w:rFonts w:hint="eastAsia" w:ascii="宋体" w:hAnsi="宋体" w:cs="宋体"/>
          <w:color w:val="auto"/>
          <w:sz w:val="24"/>
          <w:highlight w:val="none"/>
          <w:u w:val="single"/>
          <w:lang w:eastAsia="zh-CN"/>
        </w:rPr>
        <w:t>广州交易集团有限公司（广州公共资源交易中心）</w:t>
      </w:r>
      <w:r>
        <w:rPr>
          <w:rFonts w:hint="eastAsia" w:ascii="宋体" w:hAnsi="宋体" w:cs="宋体"/>
          <w:color w:val="auto"/>
          <w:sz w:val="24"/>
          <w:highlight w:val="none"/>
          <w:u w:val="single"/>
        </w:rPr>
        <w:t>网站发布的</w:t>
      </w:r>
      <w:r>
        <w:rPr>
          <w:rFonts w:hint="eastAsia" w:ascii="宋体" w:hAnsi="宋体" w:cs="宋体"/>
          <w:color w:val="auto"/>
          <w:sz w:val="24"/>
          <w:szCs w:val="24"/>
          <w:highlight w:val="none"/>
          <w:u w:val="single"/>
          <w:lang w:eastAsia="zh-CN"/>
        </w:rPr>
        <w:t>《建设工程全流程电子化项目操作指南》</w:t>
      </w:r>
      <w:r>
        <w:rPr>
          <w:rFonts w:hint="eastAsia" w:ascii="宋体" w:hAnsi="宋体" w:cs="宋体"/>
          <w:color w:val="auto"/>
          <w:sz w:val="24"/>
          <w:highlight w:val="none"/>
          <w:u w:val="single"/>
        </w:rPr>
        <w:t>最新版操作指引</w:t>
      </w:r>
      <w:r>
        <w:rPr>
          <w:rFonts w:hint="eastAsia" w:ascii="宋体" w:hAnsi="宋体" w:cs="宋体"/>
          <w:color w:val="auto"/>
          <w:sz w:val="24"/>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2" w:firstLineChars="200"/>
        <w:textAlignment w:val="auto"/>
        <w:rPr>
          <w:rFonts w:ascii="宋体" w:hAnsi="宋体" w:cs="宋体"/>
          <w:color w:val="auto"/>
          <w:sz w:val="24"/>
          <w:highlight w:val="none"/>
          <w:u w:val="single"/>
        </w:rPr>
      </w:pPr>
      <w:r>
        <w:rPr>
          <w:rFonts w:ascii="宋体" w:hAnsi="宋体" w:cs="宋体"/>
          <w:b/>
          <w:color w:val="auto"/>
          <w:sz w:val="24"/>
          <w:highlight w:val="none"/>
        </w:rPr>
        <w:t>4.2</w:t>
      </w:r>
      <w:bookmarkEnd w:id="2"/>
      <w:r>
        <w:rPr>
          <w:rFonts w:hint="eastAsia" w:ascii="宋体" w:hAnsi="宋体" w:cs="宋体"/>
          <w:b/>
          <w:color w:val="auto"/>
          <w:sz w:val="24"/>
          <w:highlight w:val="none"/>
        </w:rPr>
        <w:t>招标文件的获取：</w:t>
      </w:r>
      <w:r>
        <w:rPr>
          <w:rFonts w:hint="eastAsia" w:ascii="宋体" w:hAnsi="宋体" w:cs="宋体"/>
          <w:color w:val="auto"/>
          <w:sz w:val="24"/>
          <w:highlight w:val="none"/>
          <w:u w:val="single"/>
        </w:rPr>
        <w:t>凡有意参加投标者，请登录</w:t>
      </w:r>
      <w:r>
        <w:rPr>
          <w:rFonts w:hint="eastAsia" w:ascii="宋体" w:hAnsi="宋体" w:cs="宋体"/>
          <w:color w:val="auto"/>
          <w:sz w:val="24"/>
          <w:highlight w:val="none"/>
          <w:u w:val="single"/>
          <w:lang w:eastAsia="zh-CN"/>
        </w:rPr>
        <w:t>广州交易集团有限公司（广州公共资源交易中心）</w:t>
      </w:r>
      <w:r>
        <w:rPr>
          <w:rFonts w:hint="eastAsia" w:ascii="宋体" w:hAnsi="宋体" w:cs="宋体"/>
          <w:color w:val="auto"/>
          <w:sz w:val="24"/>
          <w:highlight w:val="none"/>
          <w:u w:val="single"/>
        </w:rPr>
        <w:t>网站（</w:t>
      </w:r>
      <w:r>
        <w:rPr>
          <w:rFonts w:ascii="宋体" w:hAnsi="宋体" w:cs="宋体"/>
          <w:color w:val="auto"/>
          <w:sz w:val="24"/>
          <w:highlight w:val="none"/>
          <w:u w:val="single"/>
        </w:rPr>
        <w:t>http//www.gzggzy.cn）下载招标文件</w:t>
      </w:r>
      <w:r>
        <w:rPr>
          <w:rFonts w:hint="eastAsia" w:ascii="宋体" w:hAnsi="宋体" w:cs="宋体"/>
          <w:color w:val="auto"/>
          <w:sz w:val="24"/>
          <w:highlight w:val="none"/>
        </w:rPr>
        <w:t>。</w:t>
      </w:r>
      <w:bookmarkEnd w:id="3"/>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2" w:firstLineChars="200"/>
        <w:textAlignment w:val="auto"/>
        <w:rPr>
          <w:rFonts w:ascii="宋体" w:hAnsi="宋体" w:cs="宋体"/>
          <w:color w:val="auto"/>
          <w:sz w:val="24"/>
          <w:highlight w:val="none"/>
        </w:rPr>
      </w:pPr>
      <w:r>
        <w:rPr>
          <w:rFonts w:ascii="宋体" w:hAnsi="宋体" w:cs="宋体"/>
          <w:b/>
          <w:color w:val="auto"/>
          <w:sz w:val="24"/>
          <w:highlight w:val="none"/>
        </w:rPr>
        <w:t>4.3资格审查方式：</w:t>
      </w:r>
      <w:r>
        <w:rPr>
          <w:rFonts w:hint="eastAsia" w:ascii="宋体" w:hAnsi="宋体" w:cs="宋体"/>
          <w:color w:val="auto"/>
          <w:sz w:val="24"/>
          <w:highlight w:val="none"/>
          <w:u w:val="single"/>
        </w:rPr>
        <w:t>资格后审</w:t>
      </w:r>
      <w:r>
        <w:rPr>
          <w:rFonts w:hint="eastAsia" w:ascii="宋体" w:hAnsi="宋体" w:cs="宋体"/>
          <w:color w:val="auto"/>
          <w:sz w:val="24"/>
          <w:highlight w:val="none"/>
        </w:rPr>
        <w:t>。</w:t>
      </w:r>
    </w:p>
    <w:p>
      <w:pPr>
        <w:widowControl/>
        <w:numPr>
          <w:ilvl w:val="0"/>
          <w:numId w:val="1"/>
        </w:numPr>
        <w:tabs>
          <w:tab w:val="left" w:pos="760"/>
        </w:tabs>
        <w:adjustRightInd w:val="0"/>
        <w:snapToGrid w:val="0"/>
        <w:spacing w:line="360" w:lineRule="auto"/>
        <w:ind w:firstLine="562" w:firstLineChars="200"/>
        <w:jc w:val="left"/>
        <w:outlineLvl w:val="1"/>
        <w:rPr>
          <w:rFonts w:hint="eastAsia" w:ascii="宋体" w:hAnsi="宋体" w:cs="宋体"/>
          <w:b/>
          <w:color w:val="auto"/>
          <w:sz w:val="28"/>
          <w:szCs w:val="28"/>
          <w:highlight w:val="none"/>
        </w:rPr>
      </w:pPr>
      <w:bookmarkStart w:id="4" w:name="_Toc511557029"/>
      <w:bookmarkStart w:id="5" w:name="_Toc514099627"/>
      <w:r>
        <w:rPr>
          <w:rFonts w:hint="eastAsia" w:ascii="宋体" w:hAnsi="宋体" w:cs="宋体"/>
          <w:b/>
          <w:color w:val="auto"/>
          <w:sz w:val="28"/>
          <w:szCs w:val="28"/>
          <w:highlight w:val="none"/>
        </w:rPr>
        <w:t>投标文件的递交</w:t>
      </w:r>
      <w:bookmarkEnd w:id="4"/>
      <w:bookmarkEnd w:id="5"/>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5.1</w:t>
      </w:r>
      <w:r>
        <w:rPr>
          <w:rFonts w:hint="eastAsia" w:ascii="宋体" w:hAnsi="宋体" w:eastAsia="宋体" w:cs="宋体"/>
          <w:color w:val="auto"/>
          <w:sz w:val="24"/>
          <w:highlight w:val="none"/>
        </w:rPr>
        <w:t>递交电子投标文件的截止时间（投标截止时间，下同）为</w:t>
      </w:r>
      <w:r>
        <w:rPr>
          <w:rFonts w:hint="eastAsia" w:ascii="宋体" w:hAnsi="宋体" w:eastAsia="宋体" w:cs="宋体"/>
          <w:color w:val="auto"/>
          <w:sz w:val="24"/>
          <w:highlight w:val="none"/>
          <w:u w:val="single"/>
          <w:lang w:eastAsia="zh-CN"/>
        </w:rPr>
        <w:t>2025</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日时</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分，投标人应在截止时间前通过</w:t>
      </w:r>
      <w:r>
        <w:rPr>
          <w:rFonts w:hint="eastAsia" w:ascii="宋体" w:hAnsi="宋体" w:eastAsia="宋体" w:cs="宋体"/>
          <w:color w:val="auto"/>
          <w:sz w:val="24"/>
          <w:highlight w:val="none"/>
          <w:lang w:eastAsia="zh-CN"/>
        </w:rPr>
        <w:t>广州交易集团有限公司（广州公共资源交易中心）</w:t>
      </w:r>
      <w:r>
        <w:rPr>
          <w:rFonts w:hint="eastAsia" w:ascii="宋体" w:hAnsi="宋体" w:eastAsia="宋体" w:cs="宋体"/>
          <w:color w:val="auto"/>
          <w:sz w:val="24"/>
          <w:highlight w:val="none"/>
        </w:rPr>
        <w:t>数字交易平台（网址：http://www.gzggzy.cn）递交电子投标文件。</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2" w:firstLineChars="200"/>
        <w:textAlignment w:val="auto"/>
        <w:rPr>
          <w:rFonts w:ascii="宋体" w:hAnsi="宋体" w:cs="宋体"/>
          <w:color w:val="auto"/>
          <w:sz w:val="24"/>
          <w:highlight w:val="none"/>
        </w:rPr>
      </w:pPr>
      <w:r>
        <w:rPr>
          <w:rFonts w:hint="eastAsia" w:ascii="宋体" w:hAnsi="宋体" w:eastAsia="宋体" w:cs="宋体"/>
          <w:b/>
          <w:color w:val="auto"/>
          <w:sz w:val="24"/>
          <w:highlight w:val="none"/>
        </w:rPr>
        <w:t>5.2</w:t>
      </w:r>
      <w:r>
        <w:rPr>
          <w:rFonts w:hint="eastAsia" w:ascii="宋体" w:hAnsi="宋体" w:eastAsia="宋体" w:cs="宋体"/>
          <w:color w:val="auto"/>
          <w:sz w:val="24"/>
          <w:highlight w:val="none"/>
        </w:rPr>
        <w:t>递交备用投标文件电子光盘的规定：时间为：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eastAsia="zh-CN"/>
        </w:rPr>
        <w:t>2025</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时</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分至</w:t>
      </w:r>
      <w:r>
        <w:rPr>
          <w:rFonts w:hint="eastAsia" w:ascii="宋体" w:hAnsi="宋体" w:eastAsia="宋体" w:cs="宋体"/>
          <w:color w:val="auto"/>
          <w:sz w:val="24"/>
          <w:highlight w:val="none"/>
          <w:u w:val="single"/>
          <w:lang w:eastAsia="zh-CN"/>
        </w:rPr>
        <w:t>2025</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时</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分；地点：</w:t>
      </w:r>
      <w:r>
        <w:rPr>
          <w:rFonts w:hint="eastAsia" w:ascii="宋体" w:hAnsi="宋体" w:eastAsia="宋体" w:cs="宋体"/>
          <w:color w:val="auto"/>
          <w:sz w:val="24"/>
          <w:highlight w:val="none"/>
          <w:u w:val="single"/>
          <w:lang w:eastAsia="zh-CN"/>
        </w:rPr>
        <w:t>广州交易集团有限公司（广州公共资源交易中心）</w:t>
      </w:r>
      <w:r>
        <w:rPr>
          <w:rFonts w:hint="eastAsia" w:ascii="宋体" w:hAnsi="宋体" w:eastAsia="宋体" w:cs="宋体"/>
          <w:color w:val="auto"/>
          <w:sz w:val="24"/>
          <w:highlight w:val="none"/>
          <w:u w:val="single"/>
        </w:rPr>
        <w:t xml:space="preserve">第  开标室 </w:t>
      </w:r>
      <w:r>
        <w:rPr>
          <w:rFonts w:hint="eastAsia" w:ascii="宋体" w:hAnsi="宋体" w:eastAsia="宋体" w:cs="宋体"/>
          <w:color w:val="auto"/>
          <w:sz w:val="24"/>
          <w:highlight w:val="none"/>
        </w:rPr>
        <w:t>。（电子光盘需按规定封装。投标人在将数据刻录到光盘之后，投标前</w:t>
      </w:r>
      <w:r>
        <w:rPr>
          <w:rFonts w:hint="eastAsia" w:ascii="宋体" w:hAnsi="宋体" w:cs="宋体"/>
          <w:color w:val="auto"/>
          <w:sz w:val="24"/>
          <w:highlight w:val="none"/>
        </w:rPr>
        <w:t>自行检查文件是否可以读取）。</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ascii="宋体" w:hAnsi="宋体" w:cs="宋体"/>
          <w:color w:val="auto"/>
          <w:sz w:val="24"/>
          <w:highlight w:val="none"/>
        </w:rPr>
      </w:pPr>
      <w:r>
        <w:rPr>
          <w:rFonts w:ascii="宋体" w:hAnsi="宋体" w:cs="宋体"/>
          <w:b/>
          <w:color w:val="auto"/>
          <w:sz w:val="24"/>
          <w:highlight w:val="none"/>
        </w:rPr>
        <w:t>5.3</w:t>
      </w:r>
      <w:r>
        <w:rPr>
          <w:rFonts w:hint="eastAsia" w:ascii="宋体" w:hAnsi="宋体" w:cs="宋体"/>
          <w:color w:val="auto"/>
          <w:sz w:val="24"/>
          <w:highlight w:val="none"/>
        </w:rPr>
        <w:t>开标时间及地点：</w:t>
      </w:r>
      <w:r>
        <w:rPr>
          <w:rFonts w:hint="eastAsia" w:ascii="宋体" w:hAnsi="宋体" w:cs="宋体"/>
          <w:color w:val="auto"/>
          <w:sz w:val="24"/>
          <w:highlight w:val="none"/>
          <w:u w:val="single"/>
          <w:lang w:eastAsia="zh-CN"/>
        </w:rPr>
        <w:t>2025</w:t>
      </w:r>
      <w:r>
        <w:rPr>
          <w:rFonts w:hint="eastAsia" w:ascii="宋体" w:hAnsi="宋体" w:cs="宋体"/>
          <w:color w:val="auto"/>
          <w:sz w:val="24"/>
          <w:highlight w:val="none"/>
        </w:rPr>
        <w:t>年</w:t>
      </w:r>
      <w:r>
        <w:rPr>
          <w:rFonts w:ascii="宋体" w:hAnsi="宋体" w:cs="宋体"/>
          <w:color w:val="auto"/>
          <w:sz w:val="24"/>
          <w:highlight w:val="none"/>
          <w:u w:val="single"/>
        </w:rPr>
        <w:t xml:space="preserve">  </w:t>
      </w:r>
      <w:r>
        <w:rPr>
          <w:rFonts w:hint="eastAsia" w:ascii="宋体" w:hAnsi="宋体" w:cs="宋体"/>
          <w:color w:val="auto"/>
          <w:sz w:val="24"/>
          <w:highlight w:val="none"/>
        </w:rPr>
        <w:t>月</w:t>
      </w:r>
      <w:r>
        <w:rPr>
          <w:rFonts w:ascii="宋体" w:hAnsi="宋体" w:cs="宋体"/>
          <w:color w:val="auto"/>
          <w:sz w:val="24"/>
          <w:highlight w:val="none"/>
          <w:u w:val="single"/>
        </w:rPr>
        <w:t xml:space="preserve">  </w:t>
      </w:r>
      <w:r>
        <w:rPr>
          <w:rFonts w:hint="eastAsia" w:ascii="宋体" w:hAnsi="宋体" w:cs="宋体"/>
          <w:color w:val="auto"/>
          <w:sz w:val="24"/>
          <w:highlight w:val="none"/>
        </w:rPr>
        <w:t>日</w:t>
      </w:r>
      <w:r>
        <w:rPr>
          <w:rFonts w:ascii="宋体" w:hAnsi="宋体" w:cs="宋体"/>
          <w:color w:val="auto"/>
          <w:sz w:val="24"/>
          <w:highlight w:val="none"/>
          <w:u w:val="single"/>
        </w:rPr>
        <w:t xml:space="preserve">  </w:t>
      </w:r>
      <w:r>
        <w:rPr>
          <w:rFonts w:hint="eastAsia" w:ascii="宋体" w:hAnsi="宋体" w:cs="宋体"/>
          <w:color w:val="auto"/>
          <w:sz w:val="24"/>
          <w:highlight w:val="none"/>
        </w:rPr>
        <w:t>时</w:t>
      </w:r>
      <w:r>
        <w:rPr>
          <w:rFonts w:ascii="宋体" w:hAnsi="宋体" w:cs="宋体"/>
          <w:color w:val="auto"/>
          <w:sz w:val="24"/>
          <w:highlight w:val="none"/>
          <w:u w:val="single"/>
        </w:rPr>
        <w:t xml:space="preserve">  </w:t>
      </w:r>
      <w:r>
        <w:rPr>
          <w:rFonts w:hint="eastAsia" w:ascii="宋体" w:hAnsi="宋体" w:cs="宋体"/>
          <w:color w:val="auto"/>
          <w:sz w:val="24"/>
          <w:highlight w:val="none"/>
        </w:rPr>
        <w:t>分；地点：</w:t>
      </w:r>
      <w:r>
        <w:rPr>
          <w:rFonts w:hint="eastAsia" w:ascii="宋体" w:hAnsi="宋体" w:cs="宋体"/>
          <w:color w:val="auto"/>
          <w:sz w:val="24"/>
          <w:highlight w:val="none"/>
          <w:u w:val="single"/>
          <w:lang w:eastAsia="zh-CN"/>
        </w:rPr>
        <w:t>广州交易集团有限公司（广州公共资源交易中心）</w:t>
      </w:r>
      <w:r>
        <w:rPr>
          <w:rFonts w:hint="eastAsia" w:ascii="宋体" w:hAnsi="宋体" w:cs="宋体"/>
          <w:color w:val="auto"/>
          <w:sz w:val="24"/>
          <w:highlight w:val="none"/>
          <w:u w:val="single"/>
        </w:rPr>
        <w:t>第</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开标室</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ascii="宋体" w:hAnsi="宋体" w:cs="宋体"/>
          <w:color w:val="auto"/>
          <w:sz w:val="24"/>
          <w:highlight w:val="none"/>
        </w:rPr>
      </w:pPr>
      <w:r>
        <w:rPr>
          <w:rFonts w:ascii="宋体" w:hAnsi="宋体" w:cs="宋体"/>
          <w:b/>
          <w:color w:val="auto"/>
          <w:sz w:val="24"/>
          <w:highlight w:val="none"/>
        </w:rPr>
        <w:t>5.4</w:t>
      </w:r>
      <w:r>
        <w:rPr>
          <w:rFonts w:hint="eastAsia" w:ascii="宋体" w:hAnsi="宋体" w:cs="宋体"/>
          <w:color w:val="auto"/>
          <w:sz w:val="24"/>
          <w:highlight w:val="none"/>
        </w:rPr>
        <w:t>递交投标文件截止时间及开标时间是否有变化，请密切留意交易中心网站中的相关信息。递交投标文件截止时间后，投标文件评审时间因故推迟的，相关资审信息仍以原递交投标文件截止时间的信息为准。</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ascii="宋体" w:hAnsi="宋体" w:cs="宋体"/>
          <w:color w:val="auto"/>
          <w:sz w:val="24"/>
          <w:highlight w:val="none"/>
        </w:rPr>
      </w:pPr>
      <w:r>
        <w:rPr>
          <w:rFonts w:ascii="宋体" w:hAnsi="宋体" w:cs="宋体"/>
          <w:b/>
          <w:color w:val="auto"/>
          <w:sz w:val="24"/>
          <w:highlight w:val="none"/>
        </w:rPr>
        <w:t>5.5</w:t>
      </w:r>
      <w:r>
        <w:rPr>
          <w:rFonts w:hint="eastAsia" w:ascii="宋体" w:hAnsi="宋体" w:cs="宋体"/>
          <w:color w:val="auto"/>
          <w:sz w:val="24"/>
          <w:highlight w:val="none"/>
        </w:rPr>
        <w:t>采取电子投标时，逾期送达的投标文件，电子招标投标交易平台将予以拒收。</w:t>
      </w:r>
    </w:p>
    <w:p>
      <w:pPr>
        <w:widowControl/>
        <w:numPr>
          <w:ilvl w:val="0"/>
          <w:numId w:val="1"/>
        </w:numPr>
        <w:tabs>
          <w:tab w:val="left" w:pos="760"/>
        </w:tabs>
        <w:adjustRightInd w:val="0"/>
        <w:snapToGrid w:val="0"/>
        <w:spacing w:line="360" w:lineRule="auto"/>
        <w:ind w:firstLine="562" w:firstLineChars="200"/>
        <w:jc w:val="left"/>
        <w:outlineLvl w:val="1"/>
        <w:rPr>
          <w:rFonts w:hint="eastAsia" w:ascii="宋体" w:hAnsi="宋体" w:cs="宋体"/>
          <w:b/>
          <w:color w:val="auto"/>
          <w:sz w:val="28"/>
          <w:szCs w:val="28"/>
          <w:highlight w:val="none"/>
        </w:rPr>
      </w:pPr>
      <w:r>
        <w:rPr>
          <w:rFonts w:hint="eastAsia" w:ascii="宋体" w:hAnsi="宋体" w:cs="宋体"/>
          <w:b/>
          <w:color w:val="auto"/>
          <w:sz w:val="28"/>
          <w:szCs w:val="28"/>
          <w:highlight w:val="none"/>
        </w:rPr>
        <w:t>发布公告的媒介</w:t>
      </w:r>
    </w:p>
    <w:p>
      <w:pPr>
        <w:tabs>
          <w:tab w:val="left" w:pos="4120"/>
        </w:tabs>
        <w:adjustRightInd w:val="0"/>
        <w:snapToGrid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本次招标公告同时在</w:t>
      </w:r>
      <w:r>
        <w:rPr>
          <w:rFonts w:hint="eastAsia" w:ascii="宋体" w:hAnsi="宋体" w:cs="宋体"/>
          <w:color w:val="auto"/>
          <w:sz w:val="24"/>
          <w:highlight w:val="none"/>
          <w:u w:val="single"/>
          <w:lang w:eastAsia="zh-CN"/>
        </w:rPr>
        <w:t>广州交易集团有限公司（广州公共资源交易中心）</w:t>
      </w:r>
      <w:r>
        <w:rPr>
          <w:rFonts w:hint="eastAsia" w:ascii="宋体" w:hAnsi="宋体" w:cs="宋体"/>
          <w:color w:val="auto"/>
          <w:sz w:val="24"/>
          <w:highlight w:val="none"/>
          <w:u w:val="single"/>
        </w:rPr>
        <w:t>网站（网址：</w:t>
      </w:r>
      <w:r>
        <w:rPr>
          <w:rFonts w:ascii="宋体" w:hAnsi="宋体" w:cs="宋体"/>
          <w:color w:val="auto"/>
          <w:sz w:val="24"/>
          <w:highlight w:val="none"/>
          <w:u w:val="single"/>
        </w:rPr>
        <w:t>http://www.gzggzy.cn）、广东省招标投标监管网（网址：http://zbtb.gd.gov.cn/#/index</w:t>
      </w:r>
      <w:r>
        <w:rPr>
          <w:rFonts w:hint="eastAsia" w:ascii="宋体" w:hAnsi="宋体" w:cs="宋体"/>
          <w:color w:val="auto"/>
          <w:sz w:val="24"/>
          <w:highlight w:val="none"/>
          <w:u w:val="single"/>
        </w:rPr>
        <w:t>）、中国招标投标公共服务平台（网址：</w:t>
      </w:r>
      <w:r>
        <w:rPr>
          <w:rFonts w:ascii="宋体" w:hAnsi="宋体" w:cs="宋体"/>
          <w:color w:val="auto"/>
          <w:sz w:val="24"/>
          <w:highlight w:val="none"/>
          <w:u w:val="single"/>
        </w:rPr>
        <w:t>http://www.cebpubservice.com/）和广州国企阳光采购信息发布平台(网址：http://ygcg.gzggzy.cn/)发布，</w:t>
      </w:r>
      <w:r>
        <w:rPr>
          <w:rFonts w:hint="eastAsia" w:ascii="宋体" w:hAnsi="宋体" w:cs="宋体"/>
          <w:color w:val="auto"/>
          <w:sz w:val="24"/>
          <w:highlight w:val="none"/>
        </w:rPr>
        <w:t>本公告的修改、补充，在</w:t>
      </w:r>
      <w:r>
        <w:rPr>
          <w:rFonts w:hint="eastAsia" w:ascii="宋体" w:hAnsi="宋体" w:cs="宋体"/>
          <w:color w:val="auto"/>
          <w:sz w:val="24"/>
          <w:highlight w:val="none"/>
          <w:u w:val="single"/>
          <w:lang w:eastAsia="zh-CN"/>
        </w:rPr>
        <w:t>广州交易集团有限公司（广州公共资源交易中心）</w:t>
      </w:r>
      <w:r>
        <w:rPr>
          <w:rFonts w:hint="eastAsia" w:ascii="宋体" w:hAnsi="宋体" w:cs="宋体"/>
          <w:color w:val="auto"/>
          <w:sz w:val="24"/>
          <w:highlight w:val="none"/>
          <w:u w:val="single"/>
          <w:lang w:val="en-US" w:eastAsia="zh-CN"/>
        </w:rPr>
        <w:t>网站</w:t>
      </w:r>
      <w:r>
        <w:rPr>
          <w:rFonts w:hint="eastAsia" w:ascii="宋体" w:hAnsi="宋体" w:cs="宋体"/>
          <w:color w:val="auto"/>
          <w:sz w:val="24"/>
          <w:highlight w:val="none"/>
        </w:rPr>
        <w:t>发布。</w:t>
      </w:r>
      <w:r>
        <w:rPr>
          <w:rFonts w:hint="eastAsia"/>
          <w:color w:val="auto"/>
          <w:sz w:val="24"/>
          <w:szCs w:val="24"/>
          <w:highlight w:val="none"/>
        </w:rPr>
        <w:t>本公告在各媒体发布的文本如有不同之处，以在</w:t>
      </w:r>
      <w:r>
        <w:rPr>
          <w:rFonts w:hint="eastAsia" w:ascii="宋体" w:hAnsi="宋体" w:cs="宋体"/>
          <w:color w:val="auto"/>
          <w:sz w:val="24"/>
          <w:highlight w:val="none"/>
          <w:u w:val="single"/>
          <w:lang w:eastAsia="zh-CN"/>
        </w:rPr>
        <w:t>广州交易集团有限公司（广州公共资源交易中心）</w:t>
      </w:r>
      <w:r>
        <w:rPr>
          <w:rFonts w:hint="eastAsia"/>
          <w:color w:val="auto"/>
          <w:sz w:val="24"/>
          <w:szCs w:val="24"/>
          <w:highlight w:val="none"/>
        </w:rPr>
        <w:t>网站发布的内容为准。</w:t>
      </w:r>
    </w:p>
    <w:p>
      <w:pPr>
        <w:widowControl/>
        <w:numPr>
          <w:ilvl w:val="0"/>
          <w:numId w:val="1"/>
        </w:numPr>
        <w:tabs>
          <w:tab w:val="left" w:pos="760"/>
        </w:tabs>
        <w:adjustRightInd w:val="0"/>
        <w:snapToGrid w:val="0"/>
        <w:spacing w:line="360" w:lineRule="auto"/>
        <w:ind w:firstLine="562" w:firstLineChars="200"/>
        <w:jc w:val="left"/>
        <w:outlineLvl w:val="1"/>
        <w:rPr>
          <w:rFonts w:hint="eastAsia" w:ascii="宋体" w:hAnsi="宋体" w:cs="宋体"/>
          <w:b/>
          <w:color w:val="auto"/>
          <w:sz w:val="28"/>
          <w:szCs w:val="28"/>
          <w:highlight w:val="none"/>
        </w:rPr>
      </w:pPr>
      <w:r>
        <w:rPr>
          <w:rFonts w:hint="eastAsia" w:ascii="宋体" w:hAnsi="宋体" w:cs="宋体"/>
          <w:b/>
          <w:color w:val="auto"/>
          <w:sz w:val="28"/>
          <w:szCs w:val="28"/>
          <w:highlight w:val="none"/>
        </w:rPr>
        <w:t>其他说明</w:t>
      </w:r>
    </w:p>
    <w:p>
      <w:pPr>
        <w:tabs>
          <w:tab w:val="left" w:pos="4120"/>
        </w:tabs>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投标人和中标候选人的重大变化告知义务：投标人发生可能影响其资格条件或者招标公正性的重大变化、中标候选人的经营、财务状况发生较大变化或者存在违法行为的（包括但不限于：合并、分立、破产、重大财务变化、项目负责人等主要人员变化、被责令关闭、被吊销营业执照、被暂扣安全生产许可证、一定期限内被禁止参加依法必须招标项目的投标等情形），应当及时书面告知招标人。</w:t>
      </w:r>
    </w:p>
    <w:p>
      <w:pPr>
        <w:tabs>
          <w:tab w:val="left" w:pos="4120"/>
        </w:tabs>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本招标项目由中标人支付交易平台服务费，本费用由投标人自行考虑。</w:t>
      </w:r>
    </w:p>
    <w:p>
      <w:pPr>
        <w:widowControl/>
        <w:numPr>
          <w:ilvl w:val="0"/>
          <w:numId w:val="1"/>
        </w:numPr>
        <w:tabs>
          <w:tab w:val="left" w:pos="760"/>
        </w:tabs>
        <w:adjustRightInd w:val="0"/>
        <w:snapToGrid w:val="0"/>
        <w:spacing w:line="360" w:lineRule="auto"/>
        <w:ind w:firstLine="562" w:firstLineChars="200"/>
        <w:jc w:val="left"/>
        <w:outlineLvl w:val="1"/>
        <w:rPr>
          <w:rFonts w:hint="eastAsia" w:ascii="宋体" w:hAnsi="宋体" w:cs="宋体"/>
          <w:b/>
          <w:color w:val="auto"/>
          <w:sz w:val="28"/>
          <w:szCs w:val="28"/>
          <w:highlight w:val="none"/>
        </w:rPr>
      </w:pPr>
      <w:r>
        <w:rPr>
          <w:rFonts w:hint="eastAsia" w:ascii="宋体" w:hAnsi="宋体" w:cs="宋体"/>
          <w:b/>
          <w:color w:val="auto"/>
          <w:sz w:val="28"/>
          <w:szCs w:val="28"/>
          <w:highlight w:val="none"/>
        </w:rPr>
        <w:t>联系方式</w:t>
      </w:r>
    </w:p>
    <w:p>
      <w:pPr>
        <w:adjustRightInd w:val="0"/>
        <w:snapToGrid w:val="0"/>
        <w:spacing w:line="360" w:lineRule="auto"/>
        <w:ind w:firstLine="480" w:firstLineChars="200"/>
        <w:rPr>
          <w:rFonts w:hint="eastAsia" w:ascii="宋体" w:hAnsi="宋体" w:cs="宋体" w:eastAsiaTheme="minorEastAsia"/>
          <w:color w:val="auto"/>
          <w:sz w:val="24"/>
          <w:highlight w:val="none"/>
          <w:u w:val="single"/>
          <w:lang w:eastAsia="zh-CN"/>
        </w:rPr>
      </w:pPr>
      <w:r>
        <w:rPr>
          <w:rFonts w:hint="eastAsia" w:ascii="宋体" w:hAnsi="宋体" w:cs="宋体"/>
          <w:color w:val="auto"/>
          <w:sz w:val="24"/>
          <w:highlight w:val="none"/>
        </w:rPr>
        <w:t>招标人：</w:t>
      </w:r>
      <w:r>
        <w:rPr>
          <w:rFonts w:hint="eastAsia" w:ascii="宋体" w:hAnsi="宋体" w:cs="宋体"/>
          <w:color w:val="auto"/>
          <w:sz w:val="24"/>
          <w:highlight w:val="none"/>
          <w:lang w:eastAsia="zh-CN"/>
        </w:rPr>
        <w:t>广州广粮坊食品科技有限公司</w:t>
      </w:r>
    </w:p>
    <w:p>
      <w:pPr>
        <w:adjustRightInd w:val="0"/>
        <w:snapToGrid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地址：</w:t>
      </w:r>
      <w:r>
        <w:rPr>
          <w:rFonts w:hint="eastAsia" w:ascii="宋体" w:hAnsi="宋体" w:cs="宋体"/>
          <w:color w:val="auto"/>
          <w:sz w:val="24"/>
          <w:highlight w:val="none"/>
          <w:u w:val="single"/>
          <w:lang w:val="en-US" w:eastAsia="zh-CN"/>
        </w:rPr>
        <w:t>广州市南沙区横沥镇冯马路6号（自编1栋）</w:t>
      </w:r>
    </w:p>
    <w:p>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联系人：孙工</w:t>
      </w:r>
      <w:r>
        <w:rPr>
          <w:rFonts w:hint="eastAsia" w:ascii="宋体" w:hAnsi="宋体" w:cs="宋体"/>
          <w:color w:val="auto"/>
          <w:sz w:val="24"/>
          <w:highlight w:val="none"/>
          <w:u w:val="single"/>
          <w:lang w:val="en-US" w:eastAsia="zh-CN"/>
        </w:rPr>
        <w:t xml:space="preserve"> </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电话：020-83197621</w:t>
      </w:r>
    </w:p>
    <w:p>
      <w:pPr>
        <w:pStyle w:val="4"/>
        <w:spacing w:line="360" w:lineRule="auto"/>
        <w:rPr>
          <w:color w:val="auto"/>
          <w:highlight w:val="none"/>
        </w:rPr>
      </w:pPr>
    </w:p>
    <w:p>
      <w:pPr>
        <w:adjustRightInd w:val="0"/>
        <w:snapToGrid w:val="0"/>
        <w:spacing w:line="360" w:lineRule="auto"/>
        <w:ind w:firstLine="480" w:firstLineChars="200"/>
        <w:rPr>
          <w:rFonts w:hint="eastAsia" w:ascii="宋体" w:hAnsi="宋体" w:cs="宋体" w:eastAsiaTheme="minorEastAsia"/>
          <w:color w:val="auto"/>
          <w:sz w:val="24"/>
          <w:highlight w:val="none"/>
          <w:lang w:eastAsia="zh-CN"/>
        </w:rPr>
      </w:pPr>
      <w:r>
        <w:rPr>
          <w:rFonts w:hint="eastAsia" w:ascii="宋体" w:hAnsi="宋体" w:cs="宋体"/>
          <w:color w:val="auto"/>
          <w:sz w:val="24"/>
          <w:highlight w:val="none"/>
        </w:rPr>
        <w:t>招标代理机构：</w:t>
      </w:r>
      <w:r>
        <w:rPr>
          <w:rFonts w:hint="eastAsia" w:ascii="宋体" w:hAnsi="宋体" w:cs="宋体"/>
          <w:color w:val="auto"/>
          <w:sz w:val="24"/>
          <w:highlight w:val="none"/>
          <w:lang w:eastAsia="zh-CN"/>
        </w:rPr>
        <w:t>广州市国际工程咨询有限公司</w:t>
      </w:r>
    </w:p>
    <w:p>
      <w:pPr>
        <w:adjustRightInd w:val="0"/>
        <w:snapToGrid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地址：</w:t>
      </w:r>
      <w:r>
        <w:rPr>
          <w:rFonts w:hint="eastAsia" w:ascii="宋体" w:hAnsi="宋体" w:cs="宋体"/>
          <w:color w:val="auto"/>
          <w:sz w:val="24"/>
          <w:highlight w:val="none"/>
          <w:lang w:eastAsia="zh-CN"/>
        </w:rPr>
        <w:t>广州市越秀区寺右新马路111号五羊新城广场8楼</w:t>
      </w:r>
    </w:p>
    <w:p>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联系人：洪工、张工</w:t>
      </w:r>
    </w:p>
    <w:p>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电话：020-87386919转</w:t>
      </w:r>
      <w:r>
        <w:rPr>
          <w:rFonts w:hint="eastAsia" w:ascii="宋体" w:hAnsi="宋体" w:cs="宋体"/>
          <w:color w:val="auto"/>
          <w:sz w:val="24"/>
          <w:highlight w:val="none"/>
          <w:lang w:val="en-US" w:eastAsia="zh-CN"/>
        </w:rPr>
        <w:t>538、</w:t>
      </w:r>
      <w:r>
        <w:rPr>
          <w:rFonts w:hint="eastAsia" w:ascii="宋体" w:hAnsi="宋体" w:cs="宋体"/>
          <w:color w:val="auto"/>
          <w:sz w:val="24"/>
          <w:highlight w:val="none"/>
        </w:rPr>
        <w:t>508</w:t>
      </w:r>
    </w:p>
    <w:p>
      <w:pPr>
        <w:pStyle w:val="10"/>
        <w:adjustRightInd w:val="0"/>
        <w:snapToGrid w:val="0"/>
        <w:spacing w:after="0"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 xml:space="preserve">  </w:t>
      </w:r>
    </w:p>
    <w:p>
      <w:pPr>
        <w:widowControl/>
        <w:numPr>
          <w:ilvl w:val="0"/>
          <w:numId w:val="1"/>
        </w:numPr>
        <w:tabs>
          <w:tab w:val="left" w:pos="760"/>
        </w:tabs>
        <w:adjustRightInd w:val="0"/>
        <w:snapToGrid w:val="0"/>
        <w:spacing w:line="360" w:lineRule="auto"/>
        <w:ind w:firstLine="562" w:firstLineChars="200"/>
        <w:jc w:val="left"/>
        <w:outlineLvl w:val="1"/>
        <w:rPr>
          <w:rFonts w:hint="eastAsia" w:ascii="宋体" w:hAnsi="宋体" w:cs="宋体"/>
          <w:b/>
          <w:color w:val="auto"/>
          <w:sz w:val="28"/>
          <w:szCs w:val="28"/>
          <w:highlight w:val="none"/>
        </w:rPr>
      </w:pPr>
      <w:r>
        <w:rPr>
          <w:rFonts w:hint="eastAsia" w:ascii="宋体" w:hAnsi="宋体" w:cs="宋体"/>
          <w:b/>
          <w:color w:val="auto"/>
          <w:sz w:val="28"/>
          <w:szCs w:val="28"/>
          <w:highlight w:val="none"/>
        </w:rPr>
        <w:t>异议受理</w:t>
      </w:r>
    </w:p>
    <w:p>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若投标人或利害关系人对本招标公告及招标内容有异议的，可向招标人书面提出。</w:t>
      </w:r>
    </w:p>
    <w:p>
      <w:pPr>
        <w:adjustRightInd w:val="0"/>
        <w:snapToGrid w:val="0"/>
        <w:spacing w:line="360" w:lineRule="auto"/>
        <w:ind w:firstLine="480" w:firstLineChars="200"/>
        <w:rPr>
          <w:rFonts w:hint="eastAsia" w:ascii="宋体" w:hAnsi="宋体" w:cs="宋体" w:eastAsiaTheme="minorEastAsia"/>
          <w:color w:val="auto"/>
          <w:sz w:val="24"/>
          <w:highlight w:val="none"/>
          <w:lang w:eastAsia="zh-CN"/>
        </w:rPr>
      </w:pPr>
      <w:r>
        <w:rPr>
          <w:rFonts w:hint="eastAsia" w:ascii="宋体" w:hAnsi="宋体" w:cs="宋体"/>
          <w:color w:val="auto"/>
          <w:sz w:val="24"/>
          <w:highlight w:val="none"/>
        </w:rPr>
        <w:t>异议受理部门：</w:t>
      </w:r>
      <w:r>
        <w:rPr>
          <w:rFonts w:hint="eastAsia" w:ascii="宋体" w:hAnsi="宋体" w:cs="宋体"/>
          <w:color w:val="auto"/>
          <w:sz w:val="24"/>
          <w:highlight w:val="none"/>
          <w:lang w:eastAsia="zh-CN"/>
        </w:rPr>
        <w:t>广州广粮坊食品科技有限公司</w:t>
      </w:r>
    </w:p>
    <w:p>
      <w:pPr>
        <w:adjustRightInd w:val="0"/>
        <w:snapToGrid w:val="0"/>
        <w:spacing w:line="360" w:lineRule="auto"/>
        <w:ind w:firstLine="480" w:firstLineChars="200"/>
        <w:rPr>
          <w:rFonts w:hint="eastAsia" w:ascii="宋体" w:hAnsi="宋体" w:cs="宋体" w:eastAsiaTheme="minorEastAsia"/>
          <w:color w:val="auto"/>
          <w:sz w:val="24"/>
          <w:highlight w:val="none"/>
          <w:lang w:eastAsia="zh-CN"/>
        </w:rPr>
      </w:pPr>
      <w:r>
        <w:rPr>
          <w:rFonts w:hint="eastAsia" w:ascii="宋体" w:hAnsi="宋体" w:cs="宋体"/>
          <w:color w:val="auto"/>
          <w:sz w:val="24"/>
          <w:highlight w:val="none"/>
        </w:rPr>
        <w:t>异议受理电话：020-83197621</w:t>
      </w:r>
      <w:r>
        <w:rPr>
          <w:rFonts w:hint="eastAsia" w:ascii="宋体" w:hAnsi="宋体" w:cs="宋体"/>
          <w:color w:val="auto"/>
          <w:sz w:val="24"/>
          <w:highlight w:val="none"/>
          <w:lang w:val="en-US" w:eastAsia="zh-CN"/>
        </w:rPr>
        <w:t xml:space="preserve"> </w:t>
      </w:r>
    </w:p>
    <w:p>
      <w:pPr>
        <w:pStyle w:val="10"/>
        <w:adjustRightInd w:val="0"/>
        <w:snapToGrid w:val="0"/>
        <w:spacing w:after="0"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地址：</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highlight w:val="none"/>
          <w:u w:val="single"/>
          <w:lang w:val="en-US" w:eastAsia="zh-CN"/>
        </w:rPr>
        <w:t>广州市南沙区横沥镇冯马路6号（自编1栋）</w:t>
      </w:r>
    </w:p>
    <w:p>
      <w:pPr>
        <w:pStyle w:val="10"/>
        <w:adjustRightInd w:val="0"/>
        <w:snapToGrid w:val="0"/>
        <w:spacing w:after="0" w:line="360" w:lineRule="auto"/>
        <w:ind w:firstLine="480" w:firstLineChars="200"/>
        <w:rPr>
          <w:rFonts w:ascii="宋体" w:hAnsi="宋体"/>
          <w:color w:val="auto"/>
          <w:sz w:val="24"/>
          <w:szCs w:val="24"/>
          <w:highlight w:val="none"/>
        </w:rPr>
      </w:pPr>
    </w:p>
    <w:p>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招标监督机构：广州市粮食集团有限责任公司</w:t>
      </w:r>
    </w:p>
    <w:p>
      <w:pPr>
        <w:adjustRightInd w:val="0"/>
        <w:snapToGrid w:val="0"/>
        <w:spacing w:line="360" w:lineRule="auto"/>
        <w:ind w:firstLine="480" w:firstLineChars="200"/>
        <w:rPr>
          <w:rFonts w:hint="eastAsia" w:ascii="宋体" w:hAnsi="宋体" w:eastAsiaTheme="minorEastAsia"/>
          <w:color w:val="auto"/>
          <w:sz w:val="24"/>
          <w:highlight w:val="none"/>
          <w:lang w:eastAsia="zh-CN"/>
        </w:rPr>
      </w:pPr>
      <w:r>
        <w:rPr>
          <w:rFonts w:hint="eastAsia" w:ascii="宋体" w:hAnsi="宋体"/>
          <w:color w:val="auto"/>
          <w:sz w:val="24"/>
          <w:highlight w:val="none"/>
        </w:rPr>
        <w:t>地址：广州市越秀区六榕路</w:t>
      </w:r>
      <w:r>
        <w:rPr>
          <w:rFonts w:ascii="宋体" w:hAnsi="宋体"/>
          <w:color w:val="auto"/>
          <w:sz w:val="24"/>
          <w:highlight w:val="none"/>
        </w:rPr>
        <w:t>3</w:t>
      </w:r>
      <w:r>
        <w:rPr>
          <w:rFonts w:hint="eastAsia" w:ascii="宋体" w:hAnsi="宋体"/>
          <w:color w:val="auto"/>
          <w:sz w:val="24"/>
          <w:highlight w:val="none"/>
        </w:rPr>
        <w:t>号</w:t>
      </w:r>
      <w:r>
        <w:rPr>
          <w:rFonts w:hint="eastAsia" w:ascii="宋体" w:hAnsi="宋体"/>
          <w:color w:val="auto"/>
          <w:sz w:val="24"/>
          <w:highlight w:val="none"/>
          <w:lang w:val="en-US" w:eastAsia="zh-CN"/>
        </w:rPr>
        <w:t xml:space="preserve"> </w:t>
      </w:r>
    </w:p>
    <w:p>
      <w:pPr>
        <w:pStyle w:val="10"/>
        <w:adjustRightInd w:val="0"/>
        <w:snapToGrid w:val="0"/>
        <w:spacing w:after="0" w:line="360" w:lineRule="auto"/>
        <w:ind w:firstLine="480" w:firstLineChars="200"/>
        <w:rPr>
          <w:rFonts w:hint="eastAsia" w:ascii="宋体" w:hAnsi="宋体" w:eastAsiaTheme="minorEastAsia"/>
          <w:color w:val="auto"/>
          <w:sz w:val="24"/>
          <w:szCs w:val="24"/>
          <w:highlight w:val="none"/>
          <w:lang w:eastAsia="zh-CN"/>
        </w:rPr>
      </w:pPr>
      <w:r>
        <w:rPr>
          <w:rFonts w:hint="eastAsia" w:ascii="宋体" w:hAnsi="宋体" w:eastAsiaTheme="minorEastAsia" w:cstheme="minorBidi"/>
          <w:color w:val="auto"/>
          <w:kern w:val="2"/>
          <w:sz w:val="24"/>
          <w:szCs w:val="24"/>
          <w:highlight w:val="none"/>
        </w:rPr>
        <w:t>电话：</w:t>
      </w:r>
      <w:r>
        <w:rPr>
          <w:rFonts w:ascii="宋体" w:hAnsi="宋体" w:eastAsiaTheme="minorEastAsia" w:cstheme="minorBidi"/>
          <w:color w:val="auto"/>
          <w:kern w:val="2"/>
          <w:sz w:val="24"/>
          <w:szCs w:val="24"/>
          <w:highlight w:val="none"/>
        </w:rPr>
        <w:t>020-83339110</w:t>
      </w:r>
      <w:r>
        <w:rPr>
          <w:rFonts w:hint="eastAsia" w:ascii="宋体" w:hAnsi="宋体" w:eastAsiaTheme="minorEastAsia" w:cstheme="minorBidi"/>
          <w:color w:val="auto"/>
          <w:kern w:val="2"/>
          <w:sz w:val="24"/>
          <w:szCs w:val="24"/>
          <w:highlight w:val="none"/>
          <w:lang w:val="en-US" w:eastAsia="zh-CN"/>
        </w:rPr>
        <w:t xml:space="preserve"> </w:t>
      </w:r>
    </w:p>
    <w:p>
      <w:pPr>
        <w:pStyle w:val="10"/>
        <w:adjustRightInd w:val="0"/>
        <w:snapToGrid w:val="0"/>
        <w:spacing w:after="0" w:line="360" w:lineRule="auto"/>
        <w:ind w:firstLine="480" w:firstLineChars="200"/>
        <w:rPr>
          <w:rFonts w:ascii="宋体" w:hAnsi="宋体" w:cs="宋体"/>
          <w:color w:val="auto"/>
          <w:sz w:val="24"/>
          <w:szCs w:val="24"/>
          <w:highlight w:val="none"/>
        </w:rPr>
      </w:pPr>
    </w:p>
    <w:p>
      <w:pPr>
        <w:adjustRightInd w:val="0"/>
        <w:snapToGrid w:val="0"/>
        <w:spacing w:line="360" w:lineRule="auto"/>
        <w:ind w:firstLine="480" w:firstLineChars="200"/>
        <w:rPr>
          <w:rFonts w:ascii="宋体" w:hAnsi="宋体" w:cs="宋体"/>
          <w:color w:val="auto"/>
          <w:sz w:val="24"/>
          <w:highlight w:val="none"/>
          <w:u w:val="single"/>
        </w:rPr>
      </w:pPr>
    </w:p>
    <w:p>
      <w:pPr>
        <w:wordWrap w:val="0"/>
        <w:adjustRightInd w:val="0"/>
        <w:snapToGrid w:val="0"/>
        <w:spacing w:line="360" w:lineRule="auto"/>
        <w:ind w:firstLine="480" w:firstLineChars="200"/>
        <w:jc w:val="right"/>
        <w:rPr>
          <w:rFonts w:ascii="宋体" w:hAnsi="宋体" w:cs="宋体"/>
          <w:color w:val="auto"/>
          <w:sz w:val="24"/>
          <w:highlight w:val="none"/>
        </w:rPr>
      </w:pPr>
      <w:r>
        <w:rPr>
          <w:rFonts w:hint="eastAsia" w:ascii="宋体" w:hAnsi="宋体" w:cs="宋体"/>
          <w:color w:val="auto"/>
          <w:sz w:val="24"/>
          <w:highlight w:val="none"/>
          <w:lang w:eastAsia="zh-CN"/>
        </w:rPr>
        <w:t>2025</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月</w:t>
      </w:r>
      <w:r>
        <w:rPr>
          <w:rFonts w:ascii="宋体" w:hAnsi="宋体" w:cs="宋体"/>
          <w:color w:val="auto"/>
          <w:sz w:val="24"/>
          <w:highlight w:val="none"/>
        </w:rPr>
        <w:t xml:space="preserve">  </w:t>
      </w:r>
      <w:r>
        <w:rPr>
          <w:rFonts w:hint="eastAsia" w:ascii="宋体" w:hAnsi="宋体" w:cs="宋体"/>
          <w:color w:val="auto"/>
          <w:sz w:val="24"/>
          <w:highlight w:val="none"/>
        </w:rPr>
        <w:t>日</w:t>
      </w:r>
    </w:p>
    <w:p>
      <w:pPr>
        <w:adjustRightInd w:val="0"/>
        <w:snapToGrid w:val="0"/>
        <w:spacing w:line="360" w:lineRule="auto"/>
        <w:ind w:firstLine="688" w:firstLineChars="200"/>
        <w:rPr>
          <w:rFonts w:ascii="宋体" w:hAnsi="宋体" w:cs="宋体"/>
          <w:color w:val="auto"/>
          <w:spacing w:val="52"/>
          <w:sz w:val="24"/>
          <w:highlight w:val="none"/>
          <w:u w:val="single"/>
        </w:rPr>
        <w:sectPr>
          <w:footerReference r:id="rId4" w:type="default"/>
          <w:pgSz w:w="11907" w:h="16839"/>
          <w:pgMar w:top="1797" w:right="1587" w:bottom="1417" w:left="1587" w:header="0" w:footer="567" w:gutter="0"/>
          <w:pgNumType w:start="1"/>
          <w:cols w:space="720" w:num="1"/>
          <w:rtlGutter w:val="1"/>
          <w:docGrid w:linePitch="360" w:charSpace="0"/>
        </w:sectPr>
      </w:pPr>
    </w:p>
    <w:p>
      <w:pPr>
        <w:spacing w:line="360" w:lineRule="auto"/>
        <w:outlineLvl w:val="1"/>
        <w:rPr>
          <w:rFonts w:ascii="宋体" w:hAnsi="宋体"/>
          <w:b/>
          <w:color w:val="auto"/>
          <w:sz w:val="24"/>
          <w:highlight w:val="none"/>
        </w:rPr>
      </w:pPr>
      <w:r>
        <w:rPr>
          <w:rFonts w:hint="eastAsia" w:ascii="宋体" w:hAnsi="宋体"/>
          <w:b/>
          <w:color w:val="auto"/>
          <w:sz w:val="24"/>
          <w:highlight w:val="none"/>
        </w:rPr>
        <w:t>附件一：投标人声明</w:t>
      </w:r>
    </w:p>
    <w:p>
      <w:pPr>
        <w:spacing w:line="360" w:lineRule="auto"/>
        <w:ind w:firstLine="3084" w:firstLineChars="1280"/>
        <w:rPr>
          <w:rFonts w:ascii="宋体" w:hAnsi="宋体"/>
          <w:b/>
          <w:bCs/>
          <w:color w:val="auto"/>
          <w:sz w:val="24"/>
          <w:highlight w:val="none"/>
        </w:rPr>
      </w:pPr>
      <w:r>
        <w:rPr>
          <w:rFonts w:hint="eastAsia" w:ascii="宋体" w:hAnsi="宋体"/>
          <w:b/>
          <w:bCs/>
          <w:color w:val="auto"/>
          <w:sz w:val="24"/>
          <w:highlight w:val="none"/>
        </w:rPr>
        <w:t>投标人声明</w:t>
      </w:r>
    </w:p>
    <w:p>
      <w:pPr>
        <w:pStyle w:val="11"/>
        <w:spacing w:line="360" w:lineRule="auto"/>
        <w:rPr>
          <w:rFonts w:ascii="宋体" w:hAnsi="宋体" w:eastAsia="宋体" w:cs="宋体"/>
          <w:color w:val="auto"/>
          <w:sz w:val="24"/>
          <w:szCs w:val="24"/>
          <w:highlight w:val="none"/>
        </w:rPr>
      </w:pPr>
    </w:p>
    <w:p>
      <w:pPr>
        <w:pStyle w:val="11"/>
        <w:spacing w:line="360" w:lineRule="auto"/>
        <w:ind w:firstLine="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广州市粮食集团有限责任公司、</w:t>
      </w:r>
      <w:r>
        <w:rPr>
          <w:rFonts w:hint="eastAsia" w:ascii="宋体" w:hAnsi="宋体" w:eastAsia="宋体" w:cs="宋体"/>
          <w:color w:val="auto"/>
          <w:sz w:val="21"/>
          <w:szCs w:val="21"/>
          <w:highlight w:val="none"/>
          <w:u w:val="single"/>
          <w:lang w:eastAsia="zh-CN"/>
        </w:rPr>
        <w:t>广州广粮坊食品科技有限公司</w:t>
      </w:r>
      <w:r>
        <w:rPr>
          <w:rFonts w:hint="eastAsia" w:ascii="宋体" w:hAnsi="宋体" w:eastAsia="宋体" w:cs="宋体"/>
          <w:color w:val="auto"/>
          <w:sz w:val="21"/>
          <w:szCs w:val="21"/>
          <w:highlight w:val="none"/>
        </w:rPr>
        <w:t>：</w:t>
      </w:r>
    </w:p>
    <w:p>
      <w:pPr>
        <w:pStyle w:val="11"/>
        <w:spacing w:line="360" w:lineRule="auto"/>
        <w:ind w:firstLine="42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本公司就参加</w:t>
      </w:r>
      <w:r>
        <w:rPr>
          <w:rFonts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投标工作，作出郑重声明：</w:t>
      </w:r>
    </w:p>
    <w:p>
      <w:pPr>
        <w:pStyle w:val="11"/>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一、本公司保证投标登记材料及其后提供的一切材料都是真实的。如我司成为本项目中标候选人，我司同意并授权招标人将我司投标文件商务部分的人员、业绩、奖项等资料进行公开。</w:t>
      </w:r>
    </w:p>
    <w:p>
      <w:pPr>
        <w:pStyle w:val="11"/>
        <w:spacing w:line="360" w:lineRule="auto"/>
        <w:ind w:firstLine="420" w:firstLineChars="200"/>
        <w:rPr>
          <w:rFonts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二、</w:t>
      </w:r>
      <w:r>
        <w:rPr>
          <w:rFonts w:hint="eastAsia" w:ascii="宋体" w:hAnsi="宋体" w:eastAsia="宋体" w:cs="宋体"/>
          <w:b/>
          <w:bCs/>
          <w:color w:val="auto"/>
          <w:sz w:val="21"/>
          <w:szCs w:val="21"/>
          <w:highlight w:val="none"/>
        </w:rPr>
        <w:t>本公司承诺遵循公平公正、公开、诚实信用原则，如实投标，真实反映企业实力，公平竞争，不弄虚作假，不以低于工程造价咨询企业成本价竞标而降低工程造价咨询服务质量，不与任何建设单位订立违背工程造价咨询企业成本取费标准及相关规定的“阴阳合同”进行恶性竞争，扰乱市场秩序，不与其他单位串通投标或以行贿手段谋取中标，不出借资质、转包或违法分包工程咨询业务。</w:t>
      </w:r>
    </w:p>
    <w:p>
      <w:pPr>
        <w:pStyle w:val="11"/>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三、本公司不存在招标文件第二章投标人须知第</w:t>
      </w:r>
      <w:r>
        <w:rPr>
          <w:rFonts w:ascii="宋体" w:hAnsi="宋体" w:eastAsia="宋体" w:cs="宋体"/>
          <w:color w:val="auto"/>
          <w:sz w:val="21"/>
          <w:szCs w:val="21"/>
          <w:highlight w:val="none"/>
        </w:rPr>
        <w:t>1.4.3项所规定的任何一种情形。</w:t>
      </w:r>
    </w:p>
    <w:p>
      <w:pPr>
        <w:pStyle w:val="11"/>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四、本公司及其有隶属关系的机构没有参加本项目的设计、前期工作、招标文件编写、监理工作；本公司与承担本招标项目施工和监理业务的单位没有隶属关系或其他利害关系；本公司与本次招标的招标代理机构没有隶属关系或其他利害关系；本公司与本工程的承包单位以及建筑材料、建筑构配件和设备供应单位没有隶属关系或其他利害关系。</w:t>
      </w:r>
    </w:p>
    <w:p>
      <w:pPr>
        <w:pStyle w:val="11"/>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五、本公司承诺，中标后严格执行安全生产相关管理规定。</w:t>
      </w:r>
    </w:p>
    <w:p>
      <w:pPr>
        <w:pStyle w:val="11"/>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六</w:t>
      </w:r>
      <w:r>
        <w:rPr>
          <w:rFonts w:hint="eastAsia" w:ascii="宋体" w:hAnsi="宋体" w:eastAsia="宋体" w:cs="宋体"/>
          <w:color w:val="auto"/>
          <w:sz w:val="21"/>
          <w:szCs w:val="21"/>
          <w:highlight w:val="none"/>
        </w:rPr>
        <w:t>、本公司承诺，中标后严格按照合同和招投标文件规定履行义务，并同意招标人将其履行合同、招投标文件义务的履约情况和不诚信行为（包括但不限于由招标人做出的违约责任处理决定等）在招标人网站和建设项目业主网站及其他媒体上公开披露，由此造成的一切损失和不利后果均由本公司自行承担。</w:t>
      </w:r>
    </w:p>
    <w:p>
      <w:pPr>
        <w:pStyle w:val="11"/>
        <w:ind w:firstLine="422" w:firstLineChars="20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七、与本公司单位负责人为同一人或者与本公司存在控股、管理关系的其他单位包括</w:t>
      </w:r>
      <w:r>
        <w:rPr>
          <w:rFonts w:hint="eastAsia" w:ascii="宋体" w:hAnsi="宋体" w:eastAsia="宋体" w:cs="宋体"/>
          <w:b/>
          <w:bCs/>
          <w:color w:val="auto"/>
          <w:sz w:val="21"/>
          <w:szCs w:val="21"/>
          <w:highlight w:val="none"/>
          <w:u w:val="single"/>
        </w:rPr>
        <w:t xml:space="preserve">          </w:t>
      </w:r>
      <w:r>
        <w:rPr>
          <w:rFonts w:hint="eastAsia" w:ascii="宋体" w:hAnsi="宋体" w:eastAsia="宋体" w:cs="宋体"/>
          <w:b/>
          <w:bCs/>
          <w:color w:val="auto"/>
          <w:sz w:val="21"/>
          <w:szCs w:val="21"/>
          <w:highlight w:val="none"/>
        </w:rPr>
        <w:t>。（ 注 ：本条由投标人如实填写，如有，应列出全部满足招标公告资质要求的相关单位的名称；如无，则填写“无”。）</w:t>
      </w:r>
    </w:p>
    <w:p>
      <w:pPr>
        <w:pStyle w:val="11"/>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公司违反上述承诺，或本声明陈述与事实不符，经查实，本公司愿意接受公开通报，承担由此带来的法律后果（包括但不限于取消中标资格、不予退还投标保证金、解除合同、禁止本公司参加招标人或其关联公司今后任何招标项目的投标），并自愿停止参加广州市行政辖区内的招标投标活动三个月。</w:t>
      </w:r>
    </w:p>
    <w:p>
      <w:pPr>
        <w:pStyle w:val="11"/>
        <w:spacing w:line="360" w:lineRule="auto"/>
        <w:ind w:left="418" w:leftChars="199" w:firstLine="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特此声明。</w:t>
      </w:r>
      <w:r>
        <w:rPr>
          <w:rFonts w:ascii="宋体" w:hAnsi="宋体" w:eastAsia="宋体" w:cs="宋体"/>
          <w:color w:val="auto"/>
          <w:sz w:val="21"/>
          <w:szCs w:val="21"/>
          <w:highlight w:val="none"/>
        </w:rPr>
        <w:t xml:space="preserve">                                              </w:t>
      </w:r>
    </w:p>
    <w:p>
      <w:pPr>
        <w:pStyle w:val="11"/>
        <w:spacing w:line="360" w:lineRule="auto"/>
        <w:ind w:left="418" w:leftChars="199"/>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rPr>
        <w:t>声明企业</w:t>
      </w:r>
      <w:r>
        <w:rPr>
          <w:rFonts w:ascii="宋体" w:hAnsi="宋体" w:eastAsia="宋体" w:cs="宋体"/>
          <w:color w:val="auto"/>
          <w:sz w:val="21"/>
          <w:szCs w:val="21"/>
          <w:highlight w:val="none"/>
        </w:rPr>
        <w:t xml:space="preserve">(盖章)： </w:t>
      </w:r>
      <w:r>
        <w:rPr>
          <w:rFonts w:ascii="宋体" w:hAnsi="宋体" w:eastAsia="宋体" w:cs="宋体"/>
          <w:color w:val="auto"/>
          <w:sz w:val="21"/>
          <w:szCs w:val="21"/>
          <w:highlight w:val="none"/>
          <w:u w:val="single"/>
        </w:rPr>
        <w:t xml:space="preserve">               </w:t>
      </w:r>
      <w:r>
        <w:rPr>
          <w:rFonts w:ascii="宋体" w:hAnsi="宋体" w:eastAsia="宋体" w:cs="宋体"/>
          <w:color w:val="auto"/>
          <w:sz w:val="21"/>
          <w:szCs w:val="21"/>
          <w:highlight w:val="none"/>
        </w:rPr>
        <w:t xml:space="preserve"> </w:t>
      </w:r>
    </w:p>
    <w:p>
      <w:pPr>
        <w:pStyle w:val="11"/>
        <w:spacing w:line="360" w:lineRule="auto"/>
        <w:ind w:left="418" w:leftChars="199"/>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                  法定代表人或授权代表（签字或盖章）：</w:t>
      </w:r>
      <w:r>
        <w:rPr>
          <w:rFonts w:ascii="宋体" w:hAnsi="宋体" w:eastAsia="宋体" w:cs="宋体"/>
          <w:color w:val="auto"/>
          <w:sz w:val="21"/>
          <w:szCs w:val="21"/>
          <w:highlight w:val="none"/>
          <w:u w:val="single"/>
        </w:rPr>
        <w:t xml:space="preserve">               </w:t>
      </w:r>
    </w:p>
    <w:p>
      <w:pPr>
        <w:pStyle w:val="11"/>
        <w:spacing w:line="360" w:lineRule="auto"/>
        <w:ind w:left="418" w:leftChars="199" w:firstLine="0"/>
        <w:rPr>
          <w:rFonts w:ascii="宋体" w:hAnsi="宋体" w:eastAsia="宋体" w:cs="宋体"/>
          <w:color w:val="auto"/>
          <w:sz w:val="21"/>
          <w:szCs w:val="21"/>
          <w:highlight w:val="none"/>
          <w:u w:val="single"/>
        </w:rPr>
      </w:pPr>
      <w:r>
        <w:rPr>
          <w:rFonts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rPr>
        <w:t>项目负责人（签字）：</w:t>
      </w:r>
      <w:r>
        <w:rPr>
          <w:rFonts w:ascii="宋体" w:hAnsi="宋体" w:eastAsia="宋体" w:cs="宋体"/>
          <w:color w:val="auto"/>
          <w:sz w:val="21"/>
          <w:szCs w:val="21"/>
          <w:highlight w:val="none"/>
          <w:u w:val="single"/>
        </w:rPr>
        <w:t xml:space="preserve">               </w:t>
      </w:r>
    </w:p>
    <w:p>
      <w:pPr>
        <w:pStyle w:val="11"/>
        <w:spacing w:line="360" w:lineRule="auto"/>
        <w:ind w:left="418" w:leftChars="199" w:firstLine="0"/>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                                                  年   月   日   </w:t>
      </w: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rPr>
          <w:rFonts w:hint="eastAsia" w:eastAsiaTheme="minorEastAsia"/>
          <w:color w:val="auto"/>
          <w:highlight w:val="none"/>
          <w:lang w:val="en-US" w:eastAsia="zh-CN"/>
        </w:rPr>
      </w:pPr>
      <w:r>
        <w:rPr>
          <w:rFonts w:hint="eastAsia"/>
          <w:color w:val="auto"/>
          <w:highlight w:val="none"/>
          <w:lang w:val="en-US" w:eastAsia="zh-CN"/>
        </w:rPr>
        <w:t xml:space="preserve">   </w:t>
      </w:r>
    </w:p>
    <w:p>
      <w:pPr>
        <w:rPr>
          <w:rFonts w:hint="eastAsia" w:eastAsiaTheme="minorEastAsia"/>
          <w:color w:val="auto"/>
          <w:highlight w:val="none"/>
          <w:lang w:val="en-US" w:eastAsia="zh-CN"/>
        </w:rPr>
      </w:pPr>
      <w:r>
        <w:rPr>
          <w:rFonts w:hint="eastAsia"/>
          <w:color w:val="auto"/>
          <w:highlight w:val="none"/>
          <w:lang w:val="en-US" w:eastAsia="zh-CN"/>
        </w:rPr>
        <w:t xml:space="preserve">   </w:t>
      </w:r>
    </w:p>
    <w:p>
      <w:pPr>
        <w:rPr>
          <w:rFonts w:hint="eastAsia" w:eastAsiaTheme="minorEastAsia"/>
          <w:color w:val="auto"/>
          <w:highlight w:val="none"/>
          <w:lang w:val="en-US" w:eastAsia="zh-CN"/>
        </w:rPr>
      </w:pPr>
      <w:r>
        <w:rPr>
          <w:rFonts w:hint="eastAsia"/>
          <w:color w:val="auto"/>
          <w:highlight w:val="none"/>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Calisto MT">
    <w:panose1 w:val="02040603050505030304"/>
    <w:charset w:val="00"/>
    <w:family w:val="roman"/>
    <w:pitch w:val="default"/>
    <w:sig w:usb0="00000003" w:usb1="00000000" w:usb2="00000000" w:usb3="00000000" w:csb0="2000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 PAGE   \* MERGEFORMAT </w:instrText>
    </w:r>
    <w:r>
      <w:fldChar w:fldCharType="separate"/>
    </w:r>
    <w:r>
      <w:rPr>
        <w:lang w:val="zh-CN"/>
      </w:rPr>
      <w:t>2</w:t>
    </w:r>
    <w:r>
      <w:fldChar w:fldCharType="end"/>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2D53C6"/>
    <w:multiLevelType w:val="multilevel"/>
    <w:tmpl w:val="0B2D53C6"/>
    <w:lvl w:ilvl="0" w:tentative="0">
      <w:start w:val="1"/>
      <w:numFmt w:val="decimal"/>
      <w:suff w:val="nothing"/>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RlNDg4NDVhZGM3NjI5YjcxNDBlNzdkY2JmZjU2YzQifQ=="/>
    <w:docVar w:name="KGWebUrl" w:val="http://10.168.30.10:7890/easoa/PositionServlet"/>
  </w:docVars>
  <w:rsids>
    <w:rsidRoot w:val="00000000"/>
    <w:rsid w:val="15C902E4"/>
    <w:rsid w:val="2CA50E4D"/>
    <w:rsid w:val="3B550104"/>
    <w:rsid w:val="41850B64"/>
    <w:rsid w:val="43041183"/>
    <w:rsid w:val="60DF7FBD"/>
    <w:rsid w:val="695E564E"/>
    <w:rsid w:val="7A0016B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qFormat/>
    <w:uiPriority w:val="0"/>
    <w:pPr>
      <w:spacing w:after="120"/>
    </w:pPr>
  </w:style>
  <w:style w:type="paragraph" w:styleId="4">
    <w:name w:val="Plain Text"/>
    <w:basedOn w:val="1"/>
    <w:next w:val="1"/>
    <w:qFormat/>
    <w:uiPriority w:val="0"/>
    <w:pPr>
      <w:widowControl/>
      <w:jc w:val="left"/>
    </w:pPr>
    <w:rPr>
      <w:rFonts w:ascii="等线" w:hAnsi="Courier New" w:eastAsia="等线" w:cs="Times New Roman"/>
      <w:kern w:val="0"/>
      <w:sz w:val="20"/>
      <w:szCs w:val="20"/>
    </w:rPr>
  </w:style>
  <w:style w:type="paragraph" w:styleId="5">
    <w:name w:val="footer"/>
    <w:basedOn w:val="1"/>
    <w:unhideWhenUsed/>
    <w:qFormat/>
    <w:uiPriority w:val="99"/>
    <w:pPr>
      <w:widowControl/>
      <w:tabs>
        <w:tab w:val="center" w:pos="4153"/>
        <w:tab w:val="right" w:pos="8306"/>
      </w:tabs>
      <w:snapToGrid w:val="0"/>
      <w:jc w:val="left"/>
    </w:pPr>
    <w:rPr>
      <w:rFonts w:ascii="Times New Roman" w:hAnsi="Times New Roman" w:eastAsia="宋体" w:cs="Times New Roman"/>
      <w:kern w:val="0"/>
      <w:sz w:val="18"/>
      <w:szCs w:val="18"/>
    </w:rPr>
  </w:style>
  <w:style w:type="paragraph" w:styleId="6">
    <w:name w:val="Body Text First Indent"/>
    <w:basedOn w:val="3"/>
    <w:qFormat/>
    <w:uiPriority w:val="0"/>
    <w:pPr>
      <w:ind w:firstLine="420" w:firstLineChars="100"/>
    </w:pPr>
  </w:style>
  <w:style w:type="paragraph" w:styleId="9">
    <w:name w:val="List Paragraph"/>
    <w:basedOn w:val="1"/>
    <w:qFormat/>
    <w:uiPriority w:val="99"/>
    <w:pPr>
      <w:widowControl/>
      <w:ind w:firstLine="420" w:firstLineChars="200"/>
      <w:jc w:val="left"/>
    </w:pPr>
    <w:rPr>
      <w:rFonts w:ascii="Times New Roman" w:hAnsi="Times New Roman" w:eastAsia="宋体" w:cs="Times New Roman"/>
      <w:kern w:val="0"/>
      <w:sz w:val="20"/>
      <w:szCs w:val="20"/>
    </w:rPr>
  </w:style>
  <w:style w:type="paragraph" w:customStyle="1" w:styleId="10">
    <w:name w:val="_Style 8"/>
    <w:basedOn w:val="3"/>
    <w:next w:val="6"/>
    <w:unhideWhenUsed/>
    <w:qFormat/>
    <w:uiPriority w:val="99"/>
    <w:pPr>
      <w:widowControl/>
      <w:ind w:firstLine="420" w:firstLineChars="100"/>
      <w:jc w:val="left"/>
    </w:pPr>
    <w:rPr>
      <w:rFonts w:ascii="Calibri" w:hAnsi="Calibri" w:eastAsia="宋体" w:cs="Times New Roman"/>
      <w:kern w:val="0"/>
      <w:sz w:val="20"/>
      <w:szCs w:val="20"/>
    </w:rPr>
  </w:style>
  <w:style w:type="paragraph" w:customStyle="1" w:styleId="11">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4198</Words>
  <Characters>4709</Characters>
  <Lines>0</Lines>
  <Paragraphs>0</Paragraphs>
  <TotalTime>0</TotalTime>
  <ScaleCrop>false</ScaleCrop>
  <LinksUpToDate>false</LinksUpToDate>
  <CharactersWithSpaces>5080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wo</dc:creator>
  <cp:lastModifiedBy>张</cp:lastModifiedBy>
  <cp:lastPrinted>2025-07-07T06:31:00Z</cp:lastPrinted>
  <dcterms:modified xsi:type="dcterms:W3CDTF">2025-07-14T08:30:58Z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KSOTemplateDocerSaveRecord">
    <vt:lpwstr>eyJoZGlkIjoiMjJiODExYjAwZTI3NjUzN2RmYmFiZDQxNWQ4ZjgzZjgiLCJ1c2VySWQiOiIxNTA2MzI5MTA1In0=</vt:lpwstr>
  </property>
  <property fmtid="{D5CDD505-2E9C-101B-9397-08002B2CF9AE}" pid="4" name="ICV">
    <vt:lpwstr>DFC59D4CE3F74D5F9EE7F06F3297941F_13</vt:lpwstr>
  </property>
</Properties>
</file>