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jc w:val="left"/>
        <w:textAlignment w:val="auto"/>
        <w:outlineLvl w:val="9"/>
        <w:rPr>
          <w:rFonts w:hint="eastAsia" w:ascii="黑体" w:hAnsi="黑体" w:eastAsia="黑体" w:cs="黑体"/>
          <w:b w:val="0"/>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jc w:val="left"/>
        <w:textAlignment w:val="auto"/>
        <w:outlineLvl w:val="9"/>
        <w:rPr>
          <w:rFonts w:hint="eastAsia" w:ascii="黑体" w:hAnsi="黑体" w:eastAsia="黑体" w:cs="黑体"/>
          <w:b w:val="0"/>
          <w:bCs/>
          <w:color w:val="auto"/>
          <w:sz w:val="32"/>
          <w:szCs w:val="32"/>
          <w:highlight w:val="none"/>
          <w:lang w:val="en-US" w:eastAsia="zh-CN"/>
        </w:rPr>
      </w:pPr>
      <w:bookmarkStart w:id="884" w:name="_GoBack"/>
      <w:bookmarkEnd w:id="884"/>
    </w:p>
    <w:p>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hint="eastAsia" w:ascii="宋体" w:hAnsi="宋体" w:eastAsia="宋体"/>
          <w:b/>
          <w:color w:val="auto"/>
          <w:sz w:val="44"/>
          <w:szCs w:val="44"/>
          <w:highlight w:val="none"/>
          <w:lang w:eastAsia="zh-CN"/>
        </w:rPr>
      </w:pPr>
      <w:bookmarkStart w:id="0" w:name="_Toc477764167"/>
      <w:bookmarkEnd w:id="0"/>
      <w:bookmarkStart w:id="1" w:name="_Toc24457"/>
      <w:bookmarkStart w:id="2" w:name="_Toc30284"/>
      <w:bookmarkStart w:id="3" w:name="_Toc18238"/>
      <w:bookmarkStart w:id="4" w:name="_Toc10880"/>
      <w:bookmarkStart w:id="5" w:name="_Toc1485"/>
      <w:r>
        <w:rPr>
          <w:rFonts w:hint="eastAsia" w:ascii="宋体" w:hAnsi="宋体" w:cs="宋体"/>
          <w:b/>
          <w:color w:val="auto"/>
          <w:kern w:val="0"/>
          <w:sz w:val="44"/>
          <w:szCs w:val="44"/>
          <w:highlight w:val="none"/>
          <w:lang w:eastAsia="zh-CN"/>
        </w:rPr>
        <w:t>岭南集团食品产业基地项目施工监理</w:t>
      </w:r>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textAlignment w:val="auto"/>
        <w:outlineLvl w:val="9"/>
        <w:rPr>
          <w:rFonts w:ascii="宋体" w:hAnsi="宋体"/>
          <w:color w:val="auto"/>
          <w:sz w:val="36"/>
          <w:szCs w:val="36"/>
          <w:highlight w:val="none"/>
        </w:rPr>
      </w:pPr>
    </w:p>
    <w:p>
      <w:pPr>
        <w:pStyle w:val="6"/>
        <w:keepNext w:val="0"/>
        <w:keepLines w:val="0"/>
        <w:pageBreakBefore w:val="0"/>
        <w:widowControl w:val="0"/>
        <w:kinsoku/>
        <w:wordWrap/>
        <w:overflowPunct/>
        <w:topLinePunct w:val="0"/>
        <w:autoSpaceDE/>
        <w:autoSpaceDN/>
        <w:bidi w:val="0"/>
        <w:adjustRightInd/>
        <w:textAlignment w:val="auto"/>
        <w:outlineLvl w:val="9"/>
        <w:rPr>
          <w:rFonts w:ascii="宋体" w:hAnsi="宋体"/>
          <w:color w:val="auto"/>
          <w:sz w:val="36"/>
          <w:szCs w:val="36"/>
          <w:highlight w:val="none"/>
        </w:rPr>
      </w:pPr>
    </w:p>
    <w:p>
      <w:pPr>
        <w:pStyle w:val="6"/>
        <w:keepNext w:val="0"/>
        <w:keepLines w:val="0"/>
        <w:pageBreakBefore w:val="0"/>
        <w:widowControl w:val="0"/>
        <w:kinsoku/>
        <w:wordWrap/>
        <w:overflowPunct/>
        <w:topLinePunct w:val="0"/>
        <w:autoSpaceDE/>
        <w:autoSpaceDN/>
        <w:bidi w:val="0"/>
        <w:adjustRightInd/>
        <w:textAlignment w:val="auto"/>
        <w:outlineLvl w:val="9"/>
        <w:rPr>
          <w:rFonts w:ascii="宋体" w:hAnsi="宋体"/>
          <w:color w:val="auto"/>
          <w:sz w:val="36"/>
          <w:szCs w:val="36"/>
          <w:highlight w:val="none"/>
        </w:rPr>
      </w:pPr>
    </w:p>
    <w:p>
      <w:pPr>
        <w:pStyle w:val="6"/>
        <w:keepNext w:val="0"/>
        <w:keepLines w:val="0"/>
        <w:pageBreakBefore w:val="0"/>
        <w:widowControl w:val="0"/>
        <w:kinsoku/>
        <w:wordWrap/>
        <w:overflowPunct/>
        <w:topLinePunct w:val="0"/>
        <w:autoSpaceDE/>
        <w:autoSpaceDN/>
        <w:bidi w:val="0"/>
        <w:adjustRightInd/>
        <w:textAlignment w:val="auto"/>
        <w:outlineLvl w:val="9"/>
        <w:rPr>
          <w:rFonts w:ascii="宋体" w:hAnsi="宋体"/>
          <w:color w:val="auto"/>
          <w:sz w:val="36"/>
          <w:szCs w:val="36"/>
          <w:highlight w:val="none"/>
        </w:rPr>
      </w:pPr>
    </w:p>
    <w:p>
      <w:pPr>
        <w:keepNext w:val="0"/>
        <w:keepLines w:val="0"/>
        <w:pageBreakBefore w:val="0"/>
        <w:widowControl w:val="0"/>
        <w:kinsoku/>
        <w:wordWrap/>
        <w:overflowPunct/>
        <w:topLinePunct w:val="0"/>
        <w:autoSpaceDE/>
        <w:autoSpaceDN/>
        <w:bidi w:val="0"/>
        <w:adjustRightInd/>
        <w:textAlignment w:val="auto"/>
        <w:outlineLvl w:val="9"/>
        <w:rPr>
          <w:rStyle w:val="21"/>
          <w:rFonts w:ascii="宋体" w:hAnsi="宋体"/>
          <w:b/>
          <w:i w:val="0"/>
          <w:color w:val="auto"/>
          <w:sz w:val="84"/>
          <w:szCs w:val="20"/>
          <w:highlight w:val="none"/>
        </w:rPr>
      </w:pPr>
      <w:bookmarkStart w:id="6" w:name="_Toc5875285"/>
      <w:bookmarkStart w:id="7" w:name="_Toc536411629"/>
    </w:p>
    <w:bookmarkEnd w:id="6"/>
    <w:bookmarkEnd w:id="7"/>
    <w:p>
      <w:pPr>
        <w:keepNext w:val="0"/>
        <w:keepLines w:val="0"/>
        <w:pageBreakBefore w:val="0"/>
        <w:widowControl w:val="0"/>
        <w:kinsoku/>
        <w:wordWrap/>
        <w:overflowPunct/>
        <w:topLinePunct w:val="0"/>
        <w:autoSpaceDE/>
        <w:autoSpaceDN/>
        <w:bidi w:val="0"/>
        <w:adjustRightInd/>
        <w:jc w:val="center"/>
        <w:textAlignment w:val="auto"/>
        <w:outlineLvl w:val="9"/>
        <w:rPr>
          <w:rFonts w:hint="eastAsia" w:ascii="宋体" w:hAnsi="宋体" w:eastAsia="宋体" w:cs="宋体"/>
          <w:color w:val="auto"/>
          <w:sz w:val="96"/>
          <w:szCs w:val="96"/>
          <w:highlight w:val="none"/>
        </w:rPr>
      </w:pPr>
      <w:r>
        <w:rPr>
          <w:rFonts w:hint="eastAsia" w:ascii="宋体" w:hAnsi="宋体" w:eastAsia="宋体" w:cs="宋体"/>
          <w:b/>
          <w:bCs/>
          <w:color w:val="auto"/>
          <w:sz w:val="96"/>
          <w:szCs w:val="96"/>
          <w:highlight w:val="none"/>
        </w:rPr>
        <w:t>招 标 文 件</w:t>
      </w:r>
    </w:p>
    <w:p>
      <w:pPr>
        <w:keepNext w:val="0"/>
        <w:keepLines w:val="0"/>
        <w:pageBreakBefore w:val="0"/>
        <w:widowControl w:val="0"/>
        <w:kinsoku/>
        <w:wordWrap/>
        <w:overflowPunct/>
        <w:topLinePunct w:val="0"/>
        <w:autoSpaceDE/>
        <w:autoSpaceDN/>
        <w:bidi w:val="0"/>
        <w:adjustRightInd/>
        <w:textAlignment w:val="auto"/>
        <w:outlineLvl w:val="9"/>
        <w:rPr>
          <w:rFonts w:ascii="宋体" w:hAnsi="宋体"/>
          <w:b/>
          <w:color w:val="auto"/>
          <w:sz w:val="32"/>
          <w:highlight w:val="none"/>
        </w:rPr>
      </w:pPr>
    </w:p>
    <w:p>
      <w:pPr>
        <w:keepNext w:val="0"/>
        <w:keepLines w:val="0"/>
        <w:pageBreakBefore w:val="0"/>
        <w:widowControl w:val="0"/>
        <w:kinsoku/>
        <w:wordWrap/>
        <w:overflowPunct/>
        <w:topLinePunct w:val="0"/>
        <w:autoSpaceDE/>
        <w:autoSpaceDN/>
        <w:bidi w:val="0"/>
        <w:adjustRightInd/>
        <w:textAlignment w:val="auto"/>
        <w:outlineLvl w:val="9"/>
        <w:rPr>
          <w:rFonts w:ascii="宋体" w:hAnsi="宋体"/>
          <w:b/>
          <w:color w:val="auto"/>
          <w:sz w:val="32"/>
          <w:highlight w:val="none"/>
        </w:rPr>
      </w:pPr>
    </w:p>
    <w:p>
      <w:pPr>
        <w:keepNext w:val="0"/>
        <w:keepLines w:val="0"/>
        <w:pageBreakBefore w:val="0"/>
        <w:widowControl w:val="0"/>
        <w:kinsoku/>
        <w:wordWrap/>
        <w:overflowPunct/>
        <w:topLinePunct w:val="0"/>
        <w:autoSpaceDE/>
        <w:autoSpaceDN/>
        <w:bidi w:val="0"/>
        <w:adjustRightInd/>
        <w:jc w:val="center"/>
        <w:textAlignment w:val="auto"/>
        <w:outlineLvl w:val="9"/>
        <w:rPr>
          <w:rFonts w:ascii="宋体" w:hAnsi="宋体"/>
          <w:b/>
          <w:color w:val="auto"/>
          <w:sz w:val="32"/>
          <w:highlight w:val="none"/>
        </w:rPr>
      </w:pPr>
    </w:p>
    <w:p>
      <w:pPr>
        <w:keepNext w:val="0"/>
        <w:keepLines w:val="0"/>
        <w:pageBreakBefore w:val="0"/>
        <w:widowControl w:val="0"/>
        <w:kinsoku/>
        <w:wordWrap/>
        <w:overflowPunct/>
        <w:topLinePunct w:val="0"/>
        <w:autoSpaceDE/>
        <w:autoSpaceDN/>
        <w:bidi w:val="0"/>
        <w:adjustRightInd/>
        <w:ind w:firstLine="3213" w:firstLineChars="1000"/>
        <w:textAlignment w:val="auto"/>
        <w:outlineLvl w:val="9"/>
        <w:rPr>
          <w:rFonts w:ascii="宋体" w:hAnsi="宋体"/>
          <w:b/>
          <w:color w:val="auto"/>
          <w:sz w:val="32"/>
          <w:highlight w:val="none"/>
        </w:rPr>
      </w:pPr>
    </w:p>
    <w:p>
      <w:pPr>
        <w:keepNext w:val="0"/>
        <w:keepLines w:val="0"/>
        <w:pageBreakBefore w:val="0"/>
        <w:widowControl w:val="0"/>
        <w:kinsoku/>
        <w:wordWrap/>
        <w:overflowPunct/>
        <w:topLinePunct w:val="0"/>
        <w:autoSpaceDE/>
        <w:autoSpaceDN/>
        <w:bidi w:val="0"/>
        <w:adjustRightInd/>
        <w:ind w:firstLine="3036" w:firstLineChars="945"/>
        <w:textAlignment w:val="auto"/>
        <w:outlineLvl w:val="9"/>
        <w:rPr>
          <w:rFonts w:ascii="宋体" w:hAnsi="宋体"/>
          <w:b/>
          <w:color w:val="auto"/>
          <w:sz w:val="32"/>
          <w:highlight w:val="none"/>
        </w:rPr>
      </w:pPr>
    </w:p>
    <w:p>
      <w:pPr>
        <w:keepNext w:val="0"/>
        <w:keepLines w:val="0"/>
        <w:pageBreakBefore w:val="0"/>
        <w:widowControl w:val="0"/>
        <w:kinsoku/>
        <w:wordWrap/>
        <w:overflowPunct/>
        <w:topLinePunct w:val="0"/>
        <w:autoSpaceDE/>
        <w:autoSpaceDN/>
        <w:bidi w:val="0"/>
        <w:adjustRightInd/>
        <w:textAlignment w:val="auto"/>
        <w:outlineLvl w:val="9"/>
        <w:rPr>
          <w:rFonts w:ascii="宋体" w:hAnsi="宋体"/>
          <w:b/>
          <w:color w:val="auto"/>
          <w:sz w:val="32"/>
          <w:highlight w:val="none"/>
        </w:rPr>
      </w:pPr>
    </w:p>
    <w:p>
      <w:pPr>
        <w:keepNext w:val="0"/>
        <w:keepLines w:val="0"/>
        <w:pageBreakBefore w:val="0"/>
        <w:widowControl w:val="0"/>
        <w:kinsoku/>
        <w:wordWrap/>
        <w:overflowPunct/>
        <w:topLinePunct w:val="0"/>
        <w:autoSpaceDE/>
        <w:autoSpaceDN/>
        <w:bidi w:val="0"/>
        <w:adjustRightInd/>
        <w:jc w:val="center"/>
        <w:textAlignment w:val="auto"/>
        <w:outlineLvl w:val="9"/>
        <w:rPr>
          <w:rFonts w:ascii="宋体" w:hAnsi="宋体"/>
          <w:b/>
          <w:color w:val="auto"/>
          <w:sz w:val="32"/>
          <w:highlight w:val="none"/>
        </w:rPr>
      </w:pPr>
    </w:p>
    <w:p>
      <w:pPr>
        <w:keepNext w:val="0"/>
        <w:keepLines w:val="0"/>
        <w:pageBreakBefore w:val="0"/>
        <w:widowControl w:val="0"/>
        <w:kinsoku/>
        <w:wordWrap/>
        <w:overflowPunct/>
        <w:topLinePunct w:val="0"/>
        <w:autoSpaceDE/>
        <w:autoSpaceDN/>
        <w:bidi w:val="0"/>
        <w:adjustRightInd/>
        <w:jc w:val="center"/>
        <w:textAlignment w:val="auto"/>
        <w:outlineLvl w:val="9"/>
        <w:rPr>
          <w:rFonts w:ascii="宋体" w:hAnsi="宋体"/>
          <w:b/>
          <w:color w:val="auto"/>
          <w:sz w:val="32"/>
          <w:highlight w:val="none"/>
        </w:rPr>
      </w:pPr>
    </w:p>
    <w:p>
      <w:pPr>
        <w:keepNext w:val="0"/>
        <w:keepLines w:val="0"/>
        <w:pageBreakBefore w:val="0"/>
        <w:widowControl w:val="0"/>
        <w:kinsoku/>
        <w:wordWrap/>
        <w:overflowPunct/>
        <w:topLinePunct w:val="0"/>
        <w:autoSpaceDE/>
        <w:autoSpaceDN/>
        <w:bidi w:val="0"/>
        <w:adjustRightInd/>
        <w:jc w:val="center"/>
        <w:textAlignment w:val="auto"/>
        <w:outlineLvl w:val="9"/>
        <w:rPr>
          <w:rFonts w:ascii="宋体" w:hAnsi="宋体"/>
          <w:b/>
          <w:color w:val="auto"/>
          <w:sz w:val="32"/>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1661" w:firstLineChars="591"/>
        <w:textAlignment w:val="auto"/>
        <w:outlineLvl w:val="9"/>
        <w:rPr>
          <w:rFonts w:ascii="宋体" w:hAnsi="宋体"/>
          <w:b/>
          <w:color w:val="auto"/>
          <w:sz w:val="28"/>
          <w:highlight w:val="none"/>
        </w:rPr>
      </w:pPr>
    </w:p>
    <w:p>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pacing w:line="360" w:lineRule="auto"/>
        <w:ind w:firstLine="851" w:firstLineChars="265"/>
        <w:textAlignment w:val="auto"/>
        <w:outlineLvl w:val="0"/>
        <w:rPr>
          <w:rFonts w:hint="eastAsia" w:ascii="宋体" w:hAnsi="宋体" w:eastAsia="宋体" w:cs="宋体"/>
          <w:b/>
          <w:bCs/>
          <w:color w:val="auto"/>
          <w:sz w:val="32"/>
          <w:szCs w:val="32"/>
          <w:highlight w:val="none"/>
          <w:lang w:eastAsia="zh-CN"/>
        </w:rPr>
      </w:pPr>
      <w:bookmarkStart w:id="8" w:name="_Toc24831"/>
      <w:bookmarkStart w:id="9" w:name="_Toc11716"/>
      <w:bookmarkStart w:id="10" w:name="_Toc30123"/>
      <w:bookmarkStart w:id="11" w:name="_Toc13145"/>
      <w:bookmarkStart w:id="12" w:name="_Toc1159"/>
      <w:bookmarkStart w:id="13" w:name="_Toc5197"/>
      <w:bookmarkStart w:id="14" w:name="_Toc14136"/>
      <w:r>
        <w:rPr>
          <w:rFonts w:hint="eastAsia" w:ascii="宋体" w:hAnsi="宋体" w:cs="宋体"/>
          <w:b/>
          <w:bCs/>
          <w:color w:val="auto"/>
          <w:sz w:val="32"/>
          <w:szCs w:val="32"/>
          <w:highlight w:val="none"/>
        </w:rPr>
        <w:t>招   标   人：</w:t>
      </w:r>
      <w:bookmarkEnd w:id="8"/>
      <w:bookmarkEnd w:id="9"/>
      <w:r>
        <w:rPr>
          <w:rFonts w:hint="eastAsia" w:ascii="宋体" w:hAnsi="宋体" w:cs="宋体"/>
          <w:b/>
          <w:bCs/>
          <w:color w:val="auto"/>
          <w:sz w:val="32"/>
          <w:szCs w:val="32"/>
          <w:highlight w:val="none"/>
          <w:lang w:eastAsia="zh-CN"/>
        </w:rPr>
        <w:t>广州广粮坊食品科技有限公司</w:t>
      </w:r>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pacing w:line="360" w:lineRule="auto"/>
        <w:ind w:firstLine="851" w:firstLineChars="265"/>
        <w:textAlignment w:val="auto"/>
        <w:outlineLvl w:val="9"/>
        <w:rPr>
          <w:rFonts w:ascii="宋体" w:hAnsi="宋体" w:cs="宋体"/>
          <w:b/>
          <w:color w:val="auto"/>
          <w:kern w:val="0"/>
          <w:sz w:val="32"/>
          <w:szCs w:val="32"/>
          <w:highlight w:val="none"/>
        </w:rPr>
      </w:pPr>
      <w:bookmarkStart w:id="15" w:name="_Toc24878"/>
      <w:r>
        <w:rPr>
          <w:rFonts w:hint="eastAsia" w:ascii="宋体" w:hAnsi="宋体" w:cs="宋体"/>
          <w:b/>
          <w:bCs/>
          <w:color w:val="auto"/>
          <w:sz w:val="32"/>
          <w:szCs w:val="32"/>
          <w:highlight w:val="none"/>
        </w:rPr>
        <w:t>招标代理机构：</w:t>
      </w:r>
      <w:r>
        <w:rPr>
          <w:rFonts w:hint="eastAsia" w:ascii="宋体" w:hAnsi="宋体" w:cs="宋体"/>
          <w:b/>
          <w:color w:val="auto"/>
          <w:kern w:val="0"/>
          <w:sz w:val="32"/>
          <w:szCs w:val="32"/>
          <w:highlight w:val="none"/>
        </w:rPr>
        <w:t>广州市国际工程咨询有限公司</w:t>
      </w:r>
      <w:bookmarkEnd w:id="15"/>
    </w:p>
    <w:p>
      <w:pPr>
        <w:keepNext w:val="0"/>
        <w:keepLines w:val="0"/>
        <w:pageBreakBefore w:val="0"/>
        <w:widowControl w:val="0"/>
        <w:kinsoku/>
        <w:wordWrap/>
        <w:overflowPunct/>
        <w:topLinePunct w:val="0"/>
        <w:autoSpaceDE/>
        <w:autoSpaceDN/>
        <w:bidi w:val="0"/>
        <w:adjustRightInd/>
        <w:spacing w:line="360" w:lineRule="auto"/>
        <w:ind w:firstLine="851" w:firstLineChars="265"/>
        <w:textAlignment w:val="auto"/>
        <w:outlineLvl w:val="9"/>
        <w:rPr>
          <w:rFonts w:hint="eastAsia" w:ascii="宋体" w:hAnsi="宋体" w:cs="宋体"/>
          <w:b/>
          <w:bCs/>
          <w:color w:val="auto"/>
          <w:sz w:val="32"/>
          <w:szCs w:val="32"/>
          <w:highlight w:val="none"/>
        </w:rPr>
      </w:pPr>
      <w:bookmarkStart w:id="16" w:name="_Toc18522"/>
      <w:r>
        <w:rPr>
          <w:rFonts w:hint="eastAsia" w:ascii="宋体" w:hAnsi="宋体" w:cs="宋体"/>
          <w:b/>
          <w:bCs/>
          <w:color w:val="auto"/>
          <w:sz w:val="32"/>
          <w:szCs w:val="32"/>
          <w:highlight w:val="none"/>
        </w:rPr>
        <w:t>日        期：</w:t>
      </w:r>
      <w:r>
        <w:rPr>
          <w:rFonts w:hint="eastAsia" w:ascii="宋体" w:hAnsi="宋体" w:cs="宋体"/>
          <w:b/>
          <w:bCs/>
          <w:color w:val="auto"/>
          <w:sz w:val="32"/>
          <w:szCs w:val="32"/>
          <w:highlight w:val="none"/>
          <w:lang w:eastAsia="zh-CN"/>
        </w:rPr>
        <w:t>2025</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7</w:t>
      </w:r>
      <w:r>
        <w:rPr>
          <w:rFonts w:hint="eastAsia" w:ascii="宋体" w:hAnsi="宋体" w:cs="宋体"/>
          <w:b/>
          <w:bCs/>
          <w:color w:val="auto"/>
          <w:sz w:val="32"/>
          <w:szCs w:val="32"/>
          <w:highlight w:val="none"/>
        </w:rPr>
        <w:t>月</w:t>
      </w:r>
      <w:bookmarkEnd w:id="16"/>
    </w:p>
    <w:p>
      <w:pPr>
        <w:keepNext w:val="0"/>
        <w:keepLines w:val="0"/>
        <w:pageBreakBefore w:val="0"/>
        <w:widowControl w:val="0"/>
        <w:kinsoku/>
        <w:wordWrap/>
        <w:overflowPunct/>
        <w:topLinePunct w:val="0"/>
        <w:autoSpaceDE/>
        <w:autoSpaceDN/>
        <w:bidi w:val="0"/>
        <w:adjustRightInd/>
        <w:jc w:val="center"/>
        <w:textAlignment w:val="auto"/>
        <w:outlineLvl w:val="9"/>
        <w:rPr>
          <w:rFonts w:hint="eastAsia" w:ascii="黑体" w:hAnsi="黑体" w:eastAsia="黑体" w:cs="黑体"/>
          <w:b/>
          <w:color w:val="auto"/>
          <w:sz w:val="44"/>
          <w:szCs w:val="44"/>
          <w:highlight w:val="none"/>
        </w:rPr>
        <w:sectPr>
          <w:headerReference r:id="rId3" w:type="default"/>
          <w:pgSz w:w="12240" w:h="15840"/>
          <w:pgMar w:top="1440" w:right="1800" w:bottom="1440" w:left="1800" w:header="850" w:footer="721" w:gutter="0"/>
          <w:cols w:space="720" w:num="1"/>
        </w:sectPr>
      </w:pPr>
    </w:p>
    <w:p>
      <w:pPr>
        <w:jc w:val="center"/>
        <w:rPr>
          <w:rFonts w:ascii="黑体" w:hAnsi="黑体" w:eastAsia="黑体" w:cs="黑体"/>
          <w:b/>
          <w:color w:val="auto"/>
          <w:sz w:val="44"/>
          <w:szCs w:val="44"/>
          <w:highlight w:val="none"/>
        </w:rPr>
      </w:pPr>
      <w:r>
        <w:rPr>
          <w:rFonts w:hint="eastAsia" w:ascii="黑体" w:hAnsi="黑体" w:eastAsia="黑体" w:cs="黑体"/>
          <w:b/>
          <w:color w:val="auto"/>
          <w:sz w:val="44"/>
          <w:szCs w:val="44"/>
          <w:highlight w:val="none"/>
        </w:rPr>
        <w:t>目  录</w:t>
      </w:r>
    </w:p>
    <w:sdt>
      <w:sdtPr>
        <w:rPr>
          <w:rFonts w:ascii="宋体" w:hAnsi="宋体" w:eastAsia="宋体" w:cs="Times New Roman"/>
          <w:kern w:val="2"/>
          <w:sz w:val="21"/>
          <w:szCs w:val="24"/>
          <w:lang w:val="en-US" w:eastAsia="zh-CN" w:bidi="ar-SA"/>
        </w:rPr>
        <w:id w:val="147454480"/>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5"/>
            <w:tabs>
              <w:tab w:val="right" w:leader="dot" w:pos="8860"/>
            </w:tabs>
          </w:pPr>
          <w:r>
            <w:fldChar w:fldCharType="begin"/>
          </w:r>
          <w:r>
            <w:instrText xml:space="preserve">TOC \o "1-1" \h \u </w:instrText>
          </w:r>
          <w:r>
            <w:fldChar w:fldCharType="separate"/>
          </w:r>
        </w:p>
        <w:p>
          <w:pPr>
            <w:pStyle w:val="15"/>
            <w:tabs>
              <w:tab w:val="right" w:leader="dot" w:pos="8860"/>
            </w:tabs>
          </w:pPr>
          <w:r>
            <w:fldChar w:fldCharType="begin"/>
          </w:r>
          <w:r>
            <w:instrText xml:space="preserve"> HYPERLINK \l _Toc12687 </w:instrText>
          </w:r>
          <w:r>
            <w:fldChar w:fldCharType="separate"/>
          </w:r>
          <w:r>
            <w:rPr>
              <w:rFonts w:hint="eastAsia" w:ascii="黑体" w:hAnsi="黑体" w:eastAsia="黑体" w:cs="黑体"/>
              <w:spacing w:val="57"/>
              <w:highlight w:val="none"/>
            </w:rPr>
            <w:t>第一卷</w:t>
          </w:r>
          <w:r>
            <w:tab/>
          </w:r>
          <w:r>
            <w:fldChar w:fldCharType="begin"/>
          </w:r>
          <w:r>
            <w:instrText xml:space="preserve"> PAGEREF _Toc12687 \h </w:instrText>
          </w:r>
          <w:r>
            <w:fldChar w:fldCharType="separate"/>
          </w:r>
          <w:r>
            <w:t>1</w:t>
          </w:r>
          <w:r>
            <w:fldChar w:fldCharType="end"/>
          </w:r>
          <w:r>
            <w:fldChar w:fldCharType="end"/>
          </w:r>
        </w:p>
        <w:p>
          <w:pPr>
            <w:pStyle w:val="15"/>
            <w:tabs>
              <w:tab w:val="right" w:leader="dot" w:pos="8860"/>
            </w:tabs>
          </w:pPr>
          <w:r>
            <w:fldChar w:fldCharType="begin"/>
          </w:r>
          <w:r>
            <w:instrText xml:space="preserve"> HYPERLINK \l _Toc31306 </w:instrText>
          </w:r>
          <w:r>
            <w:fldChar w:fldCharType="separate"/>
          </w:r>
          <w:r>
            <w:rPr>
              <w:rFonts w:hint="eastAsia"/>
              <w:highlight w:val="none"/>
            </w:rPr>
            <w:t>第一章</w:t>
          </w:r>
          <w:r>
            <w:rPr>
              <w:highlight w:val="none"/>
            </w:rPr>
            <w:t xml:space="preserve">  </w:t>
          </w:r>
          <w:r>
            <w:rPr>
              <w:rFonts w:hint="eastAsia"/>
              <w:highlight w:val="none"/>
            </w:rPr>
            <w:t>招标公告</w:t>
          </w:r>
          <w:r>
            <w:tab/>
          </w:r>
          <w:r>
            <w:fldChar w:fldCharType="begin"/>
          </w:r>
          <w:r>
            <w:instrText xml:space="preserve"> PAGEREF _Toc31306 \h </w:instrText>
          </w:r>
          <w:r>
            <w:fldChar w:fldCharType="separate"/>
          </w:r>
          <w:r>
            <w:t>1</w:t>
          </w:r>
          <w:r>
            <w:fldChar w:fldCharType="end"/>
          </w:r>
          <w:r>
            <w:fldChar w:fldCharType="end"/>
          </w:r>
        </w:p>
        <w:p>
          <w:pPr>
            <w:pStyle w:val="15"/>
            <w:tabs>
              <w:tab w:val="right" w:leader="dot" w:pos="8860"/>
            </w:tabs>
          </w:pPr>
          <w:r>
            <w:fldChar w:fldCharType="begin"/>
          </w:r>
          <w:r>
            <w:instrText xml:space="preserve"> HYPERLINK \l _Toc29999 </w:instrText>
          </w:r>
          <w:r>
            <w:fldChar w:fldCharType="separate"/>
          </w:r>
          <w:r>
            <w:rPr>
              <w:rFonts w:hint="eastAsia"/>
              <w:highlight w:val="none"/>
            </w:rPr>
            <w:t>第二章  投标人须知</w:t>
          </w:r>
          <w:r>
            <w:tab/>
          </w:r>
          <w:r>
            <w:fldChar w:fldCharType="begin"/>
          </w:r>
          <w:r>
            <w:instrText xml:space="preserve"> PAGEREF _Toc29999 \h </w:instrText>
          </w:r>
          <w:r>
            <w:fldChar w:fldCharType="separate"/>
          </w:r>
          <w:r>
            <w:t>2</w:t>
          </w:r>
          <w:r>
            <w:fldChar w:fldCharType="end"/>
          </w:r>
          <w:r>
            <w:fldChar w:fldCharType="end"/>
          </w:r>
        </w:p>
        <w:p>
          <w:pPr>
            <w:pStyle w:val="15"/>
            <w:tabs>
              <w:tab w:val="right" w:leader="dot" w:pos="8860"/>
            </w:tabs>
          </w:pPr>
          <w:r>
            <w:fldChar w:fldCharType="begin"/>
          </w:r>
          <w:r>
            <w:instrText xml:space="preserve"> HYPERLINK \l _Toc32592 </w:instrText>
          </w:r>
          <w:r>
            <w:fldChar w:fldCharType="separate"/>
          </w:r>
          <w:r>
            <w:rPr>
              <w:rFonts w:hint="eastAsia"/>
              <w:highlight w:val="none"/>
            </w:rPr>
            <w:t>第三章  评标办法（综合评估法）</w:t>
          </w:r>
          <w:r>
            <w:tab/>
          </w:r>
          <w:r>
            <w:fldChar w:fldCharType="begin"/>
          </w:r>
          <w:r>
            <w:instrText xml:space="preserve"> PAGEREF _Toc32592 \h </w:instrText>
          </w:r>
          <w:r>
            <w:fldChar w:fldCharType="separate"/>
          </w:r>
          <w:r>
            <w:t>30</w:t>
          </w:r>
          <w:r>
            <w:fldChar w:fldCharType="end"/>
          </w:r>
          <w:r>
            <w:fldChar w:fldCharType="end"/>
          </w:r>
        </w:p>
        <w:p>
          <w:pPr>
            <w:pStyle w:val="15"/>
            <w:tabs>
              <w:tab w:val="right" w:leader="dot" w:pos="8860"/>
            </w:tabs>
          </w:pPr>
          <w:r>
            <w:fldChar w:fldCharType="begin"/>
          </w:r>
          <w:r>
            <w:instrText xml:space="preserve"> HYPERLINK \l _Toc24819 </w:instrText>
          </w:r>
          <w:r>
            <w:fldChar w:fldCharType="separate"/>
          </w:r>
          <w:r>
            <w:rPr>
              <w:rFonts w:hint="eastAsia" w:cs="宋体"/>
              <w:szCs w:val="28"/>
            </w:rPr>
            <w:t xml:space="preserve">第四章 </w:t>
          </w:r>
          <w:r>
            <w:rPr>
              <w:rFonts w:hint="eastAsia" w:cs="宋体"/>
              <w:szCs w:val="28"/>
              <w:lang w:val="en-US" w:eastAsia="zh-CN"/>
            </w:rPr>
            <w:t xml:space="preserve"> </w:t>
          </w:r>
          <w:r>
            <w:rPr>
              <w:rFonts w:hint="eastAsia"/>
              <w:highlight w:val="none"/>
            </w:rPr>
            <w:t>合同条款及格式</w:t>
          </w:r>
          <w:r>
            <w:rPr>
              <w:rFonts w:hint="eastAsia"/>
              <w:highlight w:val="none"/>
              <w:lang w:val="en-US" w:eastAsia="zh-CN"/>
            </w:rPr>
            <w:t xml:space="preserve"> </w:t>
          </w:r>
          <w:r>
            <w:tab/>
          </w:r>
          <w:r>
            <w:fldChar w:fldCharType="begin"/>
          </w:r>
          <w:r>
            <w:instrText xml:space="preserve"> PAGEREF _Toc24819 \h </w:instrText>
          </w:r>
          <w:r>
            <w:fldChar w:fldCharType="separate"/>
          </w:r>
          <w:r>
            <w:t>39</w:t>
          </w:r>
          <w:r>
            <w:fldChar w:fldCharType="end"/>
          </w:r>
          <w:r>
            <w:fldChar w:fldCharType="end"/>
          </w:r>
        </w:p>
        <w:p>
          <w:pPr>
            <w:pStyle w:val="15"/>
            <w:tabs>
              <w:tab w:val="right" w:leader="dot" w:pos="8860"/>
            </w:tabs>
          </w:pPr>
          <w:r>
            <w:fldChar w:fldCharType="begin"/>
          </w:r>
          <w:r>
            <w:instrText xml:space="preserve"> HYPERLINK \l _Toc22749 </w:instrText>
          </w:r>
          <w:r>
            <w:fldChar w:fldCharType="separate"/>
          </w:r>
          <w:r>
            <w:rPr>
              <w:rFonts w:hint="eastAsia" w:ascii="黑体" w:hAnsi="黑体" w:eastAsia="黑体" w:cs="黑体"/>
              <w:spacing w:val="57"/>
              <w:highlight w:val="none"/>
            </w:rPr>
            <w:t>第</w:t>
          </w:r>
          <w:r>
            <w:rPr>
              <w:rFonts w:hint="eastAsia" w:ascii="黑体" w:hAnsi="黑体" w:eastAsia="黑体" w:cs="黑体"/>
              <w:spacing w:val="57"/>
              <w:highlight w:val="none"/>
              <w:lang w:val="en-US" w:eastAsia="zh-CN"/>
            </w:rPr>
            <w:t>二</w:t>
          </w:r>
          <w:r>
            <w:rPr>
              <w:rFonts w:hint="eastAsia" w:ascii="黑体" w:hAnsi="黑体" w:eastAsia="黑体" w:cs="黑体"/>
              <w:spacing w:val="57"/>
              <w:highlight w:val="none"/>
            </w:rPr>
            <w:t>卷</w:t>
          </w:r>
          <w:r>
            <w:tab/>
          </w:r>
          <w:r>
            <w:fldChar w:fldCharType="begin"/>
          </w:r>
          <w:r>
            <w:instrText xml:space="preserve"> PAGEREF _Toc22749 \h </w:instrText>
          </w:r>
          <w:r>
            <w:fldChar w:fldCharType="separate"/>
          </w:r>
          <w:r>
            <w:t>42</w:t>
          </w:r>
          <w:r>
            <w:fldChar w:fldCharType="end"/>
          </w:r>
          <w:r>
            <w:fldChar w:fldCharType="end"/>
          </w:r>
        </w:p>
        <w:p>
          <w:pPr>
            <w:pStyle w:val="15"/>
            <w:tabs>
              <w:tab w:val="right" w:leader="dot" w:pos="8860"/>
            </w:tabs>
          </w:pPr>
          <w:r>
            <w:fldChar w:fldCharType="begin"/>
          </w:r>
          <w:r>
            <w:instrText xml:space="preserve"> HYPERLINK \l _Toc6598 </w:instrText>
          </w:r>
          <w:r>
            <w:fldChar w:fldCharType="separate"/>
          </w:r>
          <w:r>
            <w:rPr>
              <w:rFonts w:hint="eastAsia"/>
              <w:szCs w:val="32"/>
              <w:highlight w:val="none"/>
            </w:rPr>
            <w:t>第</w:t>
          </w:r>
          <w:r>
            <w:rPr>
              <w:rFonts w:hint="eastAsia"/>
              <w:szCs w:val="32"/>
              <w:highlight w:val="none"/>
              <w:lang w:val="en-US" w:eastAsia="zh-CN"/>
            </w:rPr>
            <w:t>五</w:t>
          </w:r>
          <w:r>
            <w:rPr>
              <w:rFonts w:hint="eastAsia"/>
              <w:szCs w:val="32"/>
              <w:highlight w:val="none"/>
            </w:rPr>
            <w:t>章</w:t>
          </w:r>
          <w:r>
            <w:rPr>
              <w:szCs w:val="32"/>
              <w:highlight w:val="none"/>
            </w:rPr>
            <w:t xml:space="preserve">  </w:t>
          </w:r>
          <w:r>
            <w:rPr>
              <w:rFonts w:hint="eastAsia"/>
              <w:color w:val="auto"/>
              <w:sz w:val="21"/>
              <w:szCs w:val="32"/>
              <w:highlight w:val="none"/>
            </w:rPr>
            <w:t>委托人要求</w:t>
          </w:r>
          <w:r>
            <w:tab/>
          </w:r>
          <w:r>
            <w:fldChar w:fldCharType="begin"/>
          </w:r>
          <w:r>
            <w:instrText xml:space="preserve"> PAGEREF _Toc6598 \h </w:instrText>
          </w:r>
          <w:r>
            <w:fldChar w:fldCharType="separate"/>
          </w:r>
          <w:r>
            <w:t>42</w:t>
          </w:r>
          <w:r>
            <w:fldChar w:fldCharType="end"/>
          </w:r>
          <w:r>
            <w:fldChar w:fldCharType="end"/>
          </w:r>
        </w:p>
        <w:p>
          <w:pPr>
            <w:pStyle w:val="15"/>
            <w:tabs>
              <w:tab w:val="right" w:leader="dot" w:pos="8860"/>
            </w:tabs>
          </w:pPr>
          <w:r>
            <w:fldChar w:fldCharType="begin"/>
          </w:r>
          <w:r>
            <w:instrText xml:space="preserve"> HYPERLINK \l _Toc22749 </w:instrText>
          </w:r>
          <w:r>
            <w:fldChar w:fldCharType="separate"/>
          </w:r>
          <w:r>
            <w:rPr>
              <w:rFonts w:hint="eastAsia" w:ascii="黑体" w:hAnsi="黑体" w:eastAsia="黑体" w:cs="黑体"/>
              <w:spacing w:val="57"/>
              <w:highlight w:val="none"/>
            </w:rPr>
            <w:t>第三卷</w:t>
          </w:r>
          <w:r>
            <w:tab/>
          </w:r>
          <w:r>
            <w:fldChar w:fldCharType="begin"/>
          </w:r>
          <w:r>
            <w:instrText xml:space="preserve"> PAGEREF _Toc22749 \h </w:instrText>
          </w:r>
          <w:r>
            <w:fldChar w:fldCharType="separate"/>
          </w:r>
          <w:r>
            <w:t>42</w:t>
          </w:r>
          <w:r>
            <w:fldChar w:fldCharType="end"/>
          </w:r>
          <w:r>
            <w:fldChar w:fldCharType="end"/>
          </w:r>
        </w:p>
        <w:p>
          <w:pPr>
            <w:pStyle w:val="15"/>
            <w:tabs>
              <w:tab w:val="right" w:leader="dot" w:pos="8860"/>
            </w:tabs>
          </w:pPr>
          <w:r>
            <w:fldChar w:fldCharType="begin"/>
          </w:r>
          <w:r>
            <w:instrText xml:space="preserve"> HYPERLINK \l _Toc6598 </w:instrText>
          </w:r>
          <w:r>
            <w:fldChar w:fldCharType="separate"/>
          </w:r>
          <w:r>
            <w:rPr>
              <w:rFonts w:hint="eastAsia"/>
              <w:szCs w:val="32"/>
              <w:highlight w:val="none"/>
            </w:rPr>
            <w:t>第六章</w:t>
          </w:r>
          <w:r>
            <w:rPr>
              <w:szCs w:val="32"/>
              <w:highlight w:val="none"/>
            </w:rPr>
            <w:t xml:space="preserve">  </w:t>
          </w:r>
          <w:r>
            <w:rPr>
              <w:rFonts w:hint="eastAsia"/>
              <w:szCs w:val="32"/>
              <w:highlight w:val="none"/>
            </w:rPr>
            <w:t>投标文件格式</w:t>
          </w:r>
          <w:r>
            <w:tab/>
          </w:r>
          <w:r>
            <w:fldChar w:fldCharType="begin"/>
          </w:r>
          <w:r>
            <w:instrText xml:space="preserve"> PAGEREF _Toc6598 \h </w:instrText>
          </w:r>
          <w:r>
            <w:fldChar w:fldCharType="separate"/>
          </w:r>
          <w:r>
            <w:t>42</w:t>
          </w:r>
          <w:r>
            <w:fldChar w:fldCharType="end"/>
          </w:r>
          <w:r>
            <w:fldChar w:fldCharType="end"/>
          </w:r>
        </w:p>
        <w:p>
          <w:r>
            <w:fldChar w:fldCharType="end"/>
          </w:r>
        </w:p>
      </w:sdtContent>
    </w:sdt>
    <w:p>
      <w:pPr>
        <w:outlineLvl w:val="3"/>
      </w:pPr>
    </w:p>
    <w:p>
      <w:pPr>
        <w:spacing w:line="360" w:lineRule="auto"/>
        <w:rPr>
          <w:color w:val="auto"/>
          <w:highlight w:val="none"/>
        </w:rPr>
      </w:pPr>
    </w:p>
    <w:p>
      <w:pPr>
        <w:pStyle w:val="2"/>
        <w:outlineLvl w:val="9"/>
        <w:rPr>
          <w:rFonts w:hint="eastAsia" w:ascii="黑体" w:hAnsi="黑体" w:eastAsia="黑体" w:cs="黑体"/>
          <w:color w:val="auto"/>
          <w:spacing w:val="57"/>
          <w:highlight w:val="none"/>
        </w:rPr>
        <w:sectPr>
          <w:footerReference r:id="rId4" w:type="default"/>
          <w:pgSz w:w="12240" w:h="15840"/>
          <w:pgMar w:top="1480" w:right="1680" w:bottom="920" w:left="1700" w:header="0" w:footer="721" w:gutter="0"/>
          <w:cols w:space="720" w:num="1"/>
        </w:sectPr>
      </w:pPr>
      <w:bookmarkStart w:id="17" w:name="_Toc1931"/>
      <w:bookmarkStart w:id="18" w:name="_Toc10879"/>
      <w:bookmarkStart w:id="19" w:name="_Toc10659"/>
      <w:bookmarkStart w:id="20" w:name="_Toc30418"/>
    </w:p>
    <w:p>
      <w:pPr>
        <w:pStyle w:val="2"/>
        <w:rPr>
          <w:rFonts w:ascii="黑体" w:hAnsi="黑体" w:eastAsia="黑体" w:cs="黑体"/>
          <w:color w:val="auto"/>
          <w:spacing w:val="57"/>
          <w:highlight w:val="none"/>
        </w:rPr>
      </w:pPr>
      <w:bookmarkStart w:id="21" w:name="_Toc13717"/>
      <w:bookmarkStart w:id="22" w:name="_Toc28063"/>
      <w:bookmarkStart w:id="23" w:name="_Toc19475"/>
      <w:bookmarkStart w:id="24" w:name="_Toc31470"/>
      <w:bookmarkStart w:id="25" w:name="_Toc8922"/>
      <w:bookmarkStart w:id="26" w:name="_Toc30819"/>
      <w:bookmarkStart w:id="27" w:name="_Toc23787"/>
      <w:bookmarkStart w:id="28" w:name="_Toc12687"/>
      <w:bookmarkStart w:id="29" w:name="_Toc16668"/>
      <w:bookmarkStart w:id="30" w:name="_Toc16039"/>
      <w:r>
        <w:rPr>
          <w:rFonts w:hint="eastAsia" w:ascii="黑体" w:hAnsi="黑体" w:eastAsia="黑体" w:cs="黑体"/>
          <w:color w:val="auto"/>
          <w:spacing w:val="57"/>
          <w:highlight w:val="none"/>
        </w:rPr>
        <w:t>第一卷</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16720"/>
      <w:bookmarkStart w:id="32" w:name="_Toc2170"/>
      <w:bookmarkStart w:id="33" w:name="_Toc610"/>
      <w:bookmarkStart w:id="34" w:name="_Toc26914"/>
      <w:bookmarkStart w:id="35" w:name="_Toc393961862"/>
      <w:bookmarkStart w:id="36" w:name="_Toc13962"/>
      <w:bookmarkStart w:id="37" w:name="_Toc514170118"/>
      <w:bookmarkStart w:id="38" w:name="_Toc1036"/>
      <w:bookmarkStart w:id="39" w:name="_Toc9309"/>
    </w:p>
    <w:p>
      <w:pPr>
        <w:pStyle w:val="3"/>
        <w:outlineLvl w:val="0"/>
        <w:rPr>
          <w:color w:val="auto"/>
          <w:highlight w:val="none"/>
        </w:rPr>
      </w:pPr>
      <w:bookmarkStart w:id="40" w:name="_Toc11441"/>
      <w:bookmarkStart w:id="41" w:name="_Toc4633"/>
      <w:bookmarkStart w:id="42" w:name="_Toc1948"/>
      <w:bookmarkStart w:id="43" w:name="_Toc31306"/>
      <w:bookmarkStart w:id="44" w:name="_Toc8489"/>
      <w:bookmarkStart w:id="45" w:name="_Toc23643"/>
      <w:bookmarkStart w:id="46" w:name="_Toc13610"/>
      <w:bookmarkStart w:id="47" w:name="_Toc22988"/>
      <w:bookmarkStart w:id="48" w:name="_Toc4110"/>
      <w:bookmarkStart w:id="49" w:name="_Toc23419"/>
      <w:bookmarkStart w:id="50" w:name="_Toc24211"/>
      <w:bookmarkStart w:id="51" w:name="_Toc16654"/>
      <w:bookmarkStart w:id="52" w:name="_Toc30158"/>
      <w:bookmarkStart w:id="53" w:name="_Toc24726"/>
      <w:r>
        <w:rPr>
          <w:rFonts w:hint="eastAsia"/>
          <w:color w:val="auto"/>
          <w:highlight w:val="none"/>
        </w:rPr>
        <w:t>第一章</w:t>
      </w:r>
      <w:r>
        <w:rPr>
          <w:color w:val="auto"/>
          <w:highlight w:val="none"/>
        </w:rPr>
        <w:t xml:space="preserve">  </w:t>
      </w:r>
      <w:r>
        <w:rPr>
          <w:rFonts w:hint="eastAsia"/>
          <w:color w:val="auto"/>
          <w:highlight w:val="none"/>
        </w:rPr>
        <w:t>招标公告</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spacing w:line="360" w:lineRule="auto"/>
        <w:jc w:val="center"/>
        <w:rPr>
          <w:rFonts w:ascii="宋体" w:hAnsi="宋体"/>
          <w:b/>
          <w:bCs/>
          <w:color w:val="auto"/>
          <w:sz w:val="30"/>
          <w:szCs w:val="30"/>
          <w:highlight w:val="none"/>
        </w:rPr>
      </w:pPr>
      <w:bookmarkStart w:id="54" w:name="_Toc515033010"/>
      <w:bookmarkStart w:id="55" w:name="_Toc511557025"/>
      <w:bookmarkStart w:id="56" w:name="_Toc6636"/>
      <w:bookmarkStart w:id="57" w:name="_Toc4310"/>
      <w:r>
        <w:rPr>
          <w:rFonts w:hint="eastAsia" w:ascii="宋体" w:hAnsi="宋体"/>
          <w:b/>
          <w:bCs/>
          <w:color w:val="auto"/>
          <w:sz w:val="30"/>
          <w:szCs w:val="30"/>
          <w:highlight w:val="none"/>
        </w:rPr>
        <w:t>（另册）</w:t>
      </w:r>
    </w:p>
    <w:bookmarkEnd w:id="54"/>
    <w:bookmarkEnd w:id="55"/>
    <w:bookmarkEnd w:id="56"/>
    <w:bookmarkEnd w:id="57"/>
    <w:p>
      <w:pPr>
        <w:pStyle w:val="3"/>
        <w:outlineLvl w:val="0"/>
        <w:rPr>
          <w:color w:val="auto"/>
          <w:highlight w:val="none"/>
        </w:rPr>
      </w:pPr>
      <w:bookmarkStart w:id="58" w:name="_Toc384308188"/>
      <w:bookmarkEnd w:id="58"/>
      <w:bookmarkStart w:id="59" w:name="_Toc384308185"/>
      <w:bookmarkEnd w:id="59"/>
      <w:bookmarkStart w:id="60" w:name="_Toc30817"/>
      <w:bookmarkEnd w:id="60"/>
      <w:bookmarkStart w:id="61" w:name="_Toc384308187"/>
      <w:bookmarkEnd w:id="61"/>
      <w:bookmarkStart w:id="62" w:name="_Toc300834927"/>
      <w:bookmarkEnd w:id="62"/>
      <w:bookmarkStart w:id="63" w:name="_Toc247527536"/>
      <w:bookmarkEnd w:id="63"/>
      <w:bookmarkStart w:id="64" w:name="_Toc300834929"/>
      <w:bookmarkEnd w:id="64"/>
      <w:bookmarkStart w:id="65" w:name="_Toc152042288"/>
      <w:bookmarkEnd w:id="65"/>
      <w:bookmarkStart w:id="66" w:name="_Toc247527535"/>
      <w:bookmarkEnd w:id="66"/>
      <w:bookmarkStart w:id="67" w:name="_Toc10785"/>
      <w:bookmarkEnd w:id="67"/>
      <w:bookmarkStart w:id="68" w:name="_Toc17972"/>
      <w:bookmarkEnd w:id="68"/>
      <w:bookmarkStart w:id="69" w:name="_Toc352691455"/>
      <w:bookmarkEnd w:id="69"/>
      <w:bookmarkStart w:id="70" w:name="_Toc152042289"/>
      <w:bookmarkEnd w:id="70"/>
      <w:bookmarkStart w:id="71" w:name="_Toc361508563"/>
      <w:bookmarkEnd w:id="71"/>
      <w:bookmarkStart w:id="72" w:name="_Toc152045512"/>
      <w:bookmarkEnd w:id="72"/>
      <w:bookmarkStart w:id="73" w:name="_Toc361508560"/>
      <w:bookmarkEnd w:id="73"/>
      <w:bookmarkStart w:id="74" w:name="_Toc369531498"/>
      <w:bookmarkEnd w:id="74"/>
      <w:bookmarkStart w:id="75" w:name="_Toc352691453"/>
      <w:bookmarkEnd w:id="75"/>
      <w:bookmarkStart w:id="76" w:name="_Toc152045513"/>
      <w:bookmarkEnd w:id="76"/>
      <w:bookmarkStart w:id="77" w:name="_Toc369531495"/>
      <w:bookmarkEnd w:id="77"/>
      <w:bookmarkStart w:id="78" w:name="_Toc247513935"/>
      <w:bookmarkEnd w:id="78"/>
      <w:bookmarkStart w:id="79" w:name="_Toc352691456"/>
      <w:bookmarkEnd w:id="79"/>
      <w:bookmarkStart w:id="80" w:name="_Toc247513934"/>
      <w:bookmarkEnd w:id="80"/>
      <w:bookmarkStart w:id="81" w:name="_Toc300834930"/>
      <w:bookmarkEnd w:id="81"/>
      <w:bookmarkStart w:id="82" w:name="_Toc144974480"/>
      <w:bookmarkEnd w:id="82"/>
      <w:bookmarkStart w:id="83" w:name="_Toc361508562"/>
      <w:bookmarkEnd w:id="83"/>
      <w:bookmarkStart w:id="84" w:name="_Toc144974481"/>
      <w:bookmarkEnd w:id="84"/>
      <w:bookmarkStart w:id="85" w:name="_Toc369531497"/>
      <w:bookmarkEnd w:id="85"/>
      <w:bookmarkStart w:id="86" w:name="_Toc393961863"/>
      <w:r>
        <w:rPr>
          <w:rFonts w:hint="eastAsia"/>
          <w:color w:val="auto"/>
          <w:highlight w:val="none"/>
        </w:rPr>
        <w:br w:type="page"/>
      </w:r>
      <w:bookmarkStart w:id="87" w:name="_Toc20107"/>
      <w:bookmarkStart w:id="88" w:name="_Toc1864"/>
      <w:bookmarkStart w:id="89" w:name="_Toc299"/>
      <w:bookmarkStart w:id="90" w:name="_Toc22940"/>
      <w:bookmarkStart w:id="91" w:name="_Toc15045"/>
      <w:bookmarkStart w:id="92" w:name="_Toc25378"/>
      <w:bookmarkStart w:id="93" w:name="_Toc6964"/>
      <w:bookmarkStart w:id="94" w:name="_Toc5915"/>
      <w:bookmarkStart w:id="95" w:name="_Toc25937"/>
      <w:bookmarkStart w:id="96" w:name="_Toc21032"/>
      <w:bookmarkStart w:id="97" w:name="_Toc27380"/>
      <w:bookmarkStart w:id="98" w:name="_Toc8617"/>
      <w:bookmarkStart w:id="99" w:name="_Toc9935"/>
      <w:bookmarkStart w:id="100" w:name="_Toc174"/>
      <w:bookmarkStart w:id="101" w:name="_Toc19352"/>
      <w:bookmarkStart w:id="102" w:name="_Toc28596"/>
      <w:bookmarkStart w:id="103" w:name="_Toc26326"/>
      <w:bookmarkStart w:id="104" w:name="_Toc28073"/>
      <w:bookmarkStart w:id="105" w:name="_Toc26254"/>
      <w:bookmarkStart w:id="106" w:name="_Toc514170119"/>
      <w:bookmarkStart w:id="107" w:name="_Toc29999"/>
      <w:bookmarkStart w:id="108" w:name="_Toc15805"/>
      <w:r>
        <w:rPr>
          <w:rFonts w:hint="eastAsia"/>
          <w:color w:val="auto"/>
          <w:highlight w:val="none"/>
        </w:rPr>
        <w:t>第二章  投标人须知</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jc w:val="center"/>
        <w:outlineLvl w:val="9"/>
        <w:rPr>
          <w:rFonts w:hint="eastAsia" w:ascii="宋体" w:hAnsi="宋体"/>
          <w:b/>
          <w:color w:val="auto"/>
          <w:sz w:val="32"/>
          <w:highlight w:val="none"/>
        </w:rPr>
      </w:pPr>
      <w:bookmarkStart w:id="109" w:name="_Toc7336"/>
      <w:bookmarkStart w:id="110" w:name="_Toc16690"/>
      <w:bookmarkStart w:id="111" w:name="_Toc24793"/>
      <w:bookmarkStart w:id="112" w:name="_Toc12460"/>
      <w:bookmarkStart w:id="113" w:name="_Toc14233"/>
      <w:bookmarkStart w:id="114" w:name="_Toc2375"/>
      <w:bookmarkStart w:id="115" w:name="_Toc32677"/>
      <w:bookmarkStart w:id="116" w:name="_Toc393961864"/>
      <w:bookmarkStart w:id="117" w:name="_Toc8043"/>
      <w:bookmarkStart w:id="118" w:name="_Toc20706"/>
      <w:bookmarkStart w:id="119" w:name="_Toc514170120"/>
      <w:bookmarkStart w:id="120" w:name="_Toc20656"/>
      <w:r>
        <w:rPr>
          <w:rFonts w:hint="eastAsia" w:ascii="宋体" w:hAnsi="宋体"/>
          <w:b/>
          <w:color w:val="auto"/>
          <w:sz w:val="32"/>
          <w:highlight w:val="none"/>
        </w:rPr>
        <w:t>投标人须知前附表</w:t>
      </w:r>
      <w:bookmarkEnd w:id="109"/>
      <w:bookmarkEnd w:id="110"/>
      <w:bookmarkEnd w:id="111"/>
      <w:bookmarkEnd w:id="112"/>
      <w:bookmarkEnd w:id="113"/>
      <w:bookmarkEnd w:id="114"/>
      <w:bookmarkEnd w:id="115"/>
      <w:bookmarkEnd w:id="116"/>
      <w:bookmarkEnd w:id="117"/>
      <w:bookmarkEnd w:id="118"/>
      <w:bookmarkEnd w:id="119"/>
      <w:bookmarkEnd w:id="120"/>
    </w:p>
    <w:tbl>
      <w:tblPr>
        <w:tblStyle w:val="19"/>
        <w:tblW w:w="9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507"/>
        <w:gridCol w:w="5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  款  名  称</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36"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u w:val="single"/>
                <w:lang w:eastAsia="zh-CN"/>
              </w:rPr>
              <w:t>广州广粮坊食品科技有限公司</w:t>
            </w:r>
          </w:p>
          <w:p>
            <w:pPr>
              <w:keepNext w:val="0"/>
              <w:keepLines w:val="0"/>
              <w:pageBreakBefore w:val="0"/>
              <w:widowControl w:val="0"/>
              <w:kinsoku/>
              <w:wordWrap/>
              <w:overflowPunct/>
              <w:autoSpaceDE/>
              <w:autoSpaceDN/>
              <w:bidi w:val="0"/>
              <w:adjustRightInd/>
              <w:snapToGrid/>
              <w:spacing w:line="336" w:lineRule="auto"/>
              <w:ind w:left="0" w:right="0" w:firstLine="0" w:firstLineChars="0"/>
              <w:jc w:val="left"/>
              <w:textAlignment w:val="auto"/>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地址：广州市南沙区横沥镇冯马路6号（自编1栋）</w:t>
            </w:r>
            <w:r>
              <w:rPr>
                <w:rFonts w:hint="eastAsia" w:ascii="宋体" w:hAnsi="宋体" w:cs="宋体"/>
                <w:color w:val="auto"/>
                <w:sz w:val="21"/>
                <w:szCs w:val="21"/>
                <w:highlight w:val="none"/>
                <w:u w:val="single"/>
                <w:lang w:val="en-US" w:eastAsia="zh-CN"/>
              </w:rPr>
              <w:t xml:space="preserve"> </w:t>
            </w:r>
          </w:p>
          <w:p>
            <w:pPr>
              <w:keepNext w:val="0"/>
              <w:keepLines w:val="0"/>
              <w:pageBreakBefore w:val="0"/>
              <w:widowControl w:val="0"/>
              <w:kinsoku/>
              <w:wordWrap/>
              <w:overflowPunct/>
              <w:autoSpaceDE/>
              <w:autoSpaceDN/>
              <w:bidi w:val="0"/>
              <w:adjustRightInd/>
              <w:snapToGrid/>
              <w:spacing w:line="336"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孙工</w:t>
            </w:r>
          </w:p>
          <w:p>
            <w:pPr>
              <w:keepNext w:val="0"/>
              <w:keepLines w:val="0"/>
              <w:pageBreakBefore w:val="0"/>
              <w:kinsoku/>
              <w:wordWrap/>
              <w:overflowPunct/>
              <w:topLinePunct w:val="0"/>
              <w:autoSpaceDE/>
              <w:autoSpaceDN/>
              <w:bidi w:val="0"/>
              <w:spacing w:line="336"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电话：020-83197621</w:t>
            </w:r>
            <w:r>
              <w:rPr>
                <w:rFonts w:hint="eastAsia" w:ascii="宋体" w:hAnsi="宋体" w:cs="宋体"/>
                <w:color w:val="auto"/>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3</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招标代理机构</w:t>
            </w:r>
          </w:p>
        </w:tc>
        <w:tc>
          <w:tcPr>
            <w:tcW w:w="5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lang w:eastAsia="zh-CN"/>
              </w:rPr>
              <w:t>广州市国际工程咨询有限公司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eastAsia="zh-CN"/>
              </w:rPr>
              <w:t>广州市寺右新马路111号五羊新城广场</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lang w:eastAsia="zh-CN"/>
              </w:rPr>
              <w:t>楼</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Cs w:val="21"/>
                <w:highlight w:val="none"/>
                <w:u w:val="single"/>
                <w:lang w:val="en-US" w:eastAsia="zh-CN"/>
              </w:rPr>
              <w:t>洪</w:t>
            </w:r>
            <w:r>
              <w:rPr>
                <w:rFonts w:hint="eastAsia" w:ascii="宋体" w:hAnsi="宋体" w:cs="宋体"/>
                <w:color w:val="auto"/>
                <w:szCs w:val="21"/>
                <w:highlight w:val="none"/>
                <w:u w:val="single"/>
              </w:rPr>
              <w:t>工、张工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w:t>
            </w:r>
            <w:r>
              <w:rPr>
                <w:rFonts w:hint="eastAsia" w:ascii="宋体" w:hAnsi="宋体" w:cs="宋体"/>
                <w:color w:val="auto"/>
                <w:sz w:val="21"/>
                <w:szCs w:val="21"/>
                <w:highlight w:val="none"/>
                <w:u w:val="single"/>
                <w:lang w:eastAsia="zh-CN"/>
              </w:rPr>
              <w:t>020-87386919转508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4</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招标项目名称</w:t>
            </w:r>
          </w:p>
        </w:tc>
        <w:tc>
          <w:tcPr>
            <w:tcW w:w="566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岭南集团食品产业基地项目施工监理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项目建设地点</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cs="宋体"/>
                <w:color w:val="auto"/>
                <w:kern w:val="0"/>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6</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项目建设规模</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7</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工程项目施工预计开工日期和建设周期</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8</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建筑安装工程费</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资金来源及比例</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5662" w:type="dxa"/>
            <w:tcBorders>
              <w:top w:val="single" w:color="auto" w:sz="4" w:space="0"/>
              <w:left w:val="single" w:color="auto" w:sz="4" w:space="0"/>
              <w:bottom w:val="single" w:color="auto" w:sz="4" w:space="0"/>
              <w:right w:val="single" w:color="auto" w:sz="4" w:space="0"/>
            </w:tcBorders>
            <w:vAlign w:val="center"/>
          </w:tcPr>
          <w:p>
            <w:pPr>
              <w:pStyle w:val="3"/>
              <w:jc w:val="both"/>
              <w:rPr>
                <w:rFonts w:hint="eastAsia" w:eastAsia="宋体" w:cs="宋体"/>
                <w:b w:val="0"/>
                <w:color w:val="auto"/>
                <w:sz w:val="21"/>
                <w:szCs w:val="21"/>
                <w:highlight w:val="none"/>
                <w:u w:val="single"/>
                <w:lang w:eastAsia="zh-CN"/>
              </w:rPr>
            </w:pPr>
            <w:r>
              <w:rPr>
                <w:rFonts w:hint="eastAsia" w:eastAsia="宋体" w:cs="宋体"/>
                <w:b w:val="0"/>
                <w:color w:val="auto"/>
                <w:sz w:val="21"/>
                <w:szCs w:val="21"/>
                <w:highlight w:val="none"/>
                <w:u w:val="single"/>
                <w:lang w:eastAsia="zh-CN"/>
              </w:rPr>
              <w:t>（1）投资控制目标：确保投资控制在经批准的项目估算内。</w:t>
            </w:r>
          </w:p>
          <w:p>
            <w:pPr>
              <w:pStyle w:val="3"/>
              <w:jc w:val="both"/>
              <w:rPr>
                <w:rFonts w:hint="eastAsia" w:eastAsia="宋体" w:cs="宋体"/>
                <w:b w:val="0"/>
                <w:color w:val="auto"/>
                <w:sz w:val="21"/>
                <w:szCs w:val="21"/>
                <w:highlight w:val="none"/>
                <w:u w:val="single"/>
                <w:lang w:eastAsia="zh-CN"/>
              </w:rPr>
            </w:pPr>
            <w:r>
              <w:rPr>
                <w:rFonts w:hint="eastAsia" w:eastAsia="宋体" w:cs="宋体"/>
                <w:b w:val="0"/>
                <w:color w:val="auto"/>
                <w:sz w:val="21"/>
                <w:szCs w:val="21"/>
                <w:highlight w:val="none"/>
                <w:u w:val="single"/>
                <w:lang w:eastAsia="zh-CN"/>
              </w:rPr>
              <w:t>（2）质量目标：以国家或行业的质量检验评定标准为依据，确保一次竣工验收合格，打造高质量精品样板工程，确保获得“市级工程优质奖项”，争创“省级工程优质奖项”。</w:t>
            </w:r>
          </w:p>
          <w:p>
            <w:pPr>
              <w:pStyle w:val="3"/>
              <w:jc w:val="both"/>
              <w:rPr>
                <w:rFonts w:hint="eastAsia" w:eastAsia="宋体" w:cs="宋体"/>
                <w:b w:val="0"/>
                <w:color w:val="auto"/>
                <w:sz w:val="21"/>
                <w:szCs w:val="21"/>
                <w:highlight w:val="none"/>
                <w:u w:val="single"/>
                <w:lang w:eastAsia="zh-CN"/>
              </w:rPr>
            </w:pPr>
            <w:r>
              <w:rPr>
                <w:rFonts w:hint="eastAsia" w:eastAsia="宋体" w:cs="宋体"/>
                <w:b w:val="0"/>
                <w:color w:val="auto"/>
                <w:sz w:val="21"/>
                <w:szCs w:val="21"/>
                <w:highlight w:val="none"/>
                <w:u w:val="single"/>
                <w:lang w:eastAsia="zh-CN"/>
              </w:rPr>
              <w:t>（3）安全管理目标：确保责任事故死亡率为零，工程无重大安全事故，工伤频率控制在广州市建筑施工安全管理法规规定的指标要求范围内。</w:t>
            </w:r>
          </w:p>
          <w:p>
            <w:pPr>
              <w:pStyle w:val="3"/>
              <w:jc w:val="both"/>
              <w:rPr>
                <w:rFonts w:hint="eastAsia" w:eastAsia="宋体" w:cs="宋体"/>
                <w:b w:val="0"/>
                <w:color w:val="auto"/>
                <w:sz w:val="21"/>
                <w:szCs w:val="21"/>
                <w:highlight w:val="none"/>
                <w:u w:val="single"/>
                <w:lang w:eastAsia="zh-CN"/>
              </w:rPr>
            </w:pPr>
            <w:r>
              <w:rPr>
                <w:rFonts w:hint="eastAsia" w:eastAsia="宋体" w:cs="宋体"/>
                <w:b w:val="0"/>
                <w:color w:val="auto"/>
                <w:sz w:val="21"/>
                <w:szCs w:val="21"/>
                <w:highlight w:val="none"/>
                <w:u w:val="single"/>
                <w:lang w:eastAsia="zh-CN"/>
              </w:rPr>
              <w:t>（4）环境管理目标：严格执行国家、广东省、广州市现行的全部建设工程文明施工管理的法律法规、规章、地方行政法规、规范性文件以及相应政策。</w:t>
            </w:r>
          </w:p>
          <w:p>
            <w:pPr>
              <w:pStyle w:val="3"/>
              <w:jc w:val="both"/>
              <w:rPr>
                <w:rFonts w:hint="eastAsia" w:eastAsia="宋体" w:cs="宋体"/>
                <w:b w:val="0"/>
                <w:color w:val="auto"/>
                <w:sz w:val="21"/>
                <w:szCs w:val="21"/>
                <w:highlight w:val="none"/>
                <w:u w:val="single"/>
                <w:lang w:eastAsia="zh-CN"/>
              </w:rPr>
            </w:pPr>
            <w:r>
              <w:rPr>
                <w:rFonts w:hint="eastAsia" w:eastAsia="宋体" w:cs="宋体"/>
                <w:b w:val="0"/>
                <w:color w:val="auto"/>
                <w:sz w:val="21"/>
                <w:szCs w:val="21"/>
                <w:highlight w:val="none"/>
                <w:u w:val="single"/>
                <w:lang w:eastAsia="zh-CN"/>
              </w:rPr>
              <w:t>（5）进度目标：按照设计施工总承包合同约定的工期完成项目建设，并确保关键节点工期符合总体工程进度计划关键路线节点要求。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投标人资质条件、能力、信誉</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（1）资质要求：</w:t>
            </w:r>
            <w:r>
              <w:rPr>
                <w:rFonts w:hint="eastAsia" w:ascii="宋体" w:hAnsi="宋体" w:eastAsia="宋体" w:cs="宋体"/>
                <w:color w:val="auto"/>
                <w:sz w:val="21"/>
                <w:szCs w:val="21"/>
                <w:highlight w:val="none"/>
                <w:u w:val="single"/>
              </w:rPr>
              <w:t>见招标公告投标人资格要求</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（2）财务要求：/</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（3）业绩要求：/</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（4）信誉要求：/</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（5）总监理工程师的资格要求：</w:t>
            </w:r>
            <w:r>
              <w:rPr>
                <w:rFonts w:hint="eastAsia" w:ascii="宋体" w:hAnsi="宋体" w:eastAsia="宋体" w:cs="宋体"/>
                <w:color w:val="auto"/>
                <w:sz w:val="21"/>
                <w:szCs w:val="21"/>
                <w:highlight w:val="none"/>
                <w:u w:val="single"/>
              </w:rPr>
              <w:t>见招标公告投标人资格要求</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（6）其他主要人员要求：/</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（7）试验检测仪器设备要求：/。</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（8）其他要求：</w:t>
            </w:r>
            <w:r>
              <w:rPr>
                <w:rFonts w:hint="eastAsia" w:ascii="宋体" w:hAnsi="宋体" w:eastAsia="宋体" w:cs="宋体"/>
                <w:color w:val="auto"/>
                <w:sz w:val="21"/>
                <w:szCs w:val="21"/>
                <w:highlight w:val="none"/>
                <w:u w:val="single"/>
              </w:rPr>
              <w:t>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不接受</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□接受，应满足下列要求：详见招标公告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投标人不得存在的其他情形</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不组</w:t>
            </w:r>
            <w:r>
              <w:rPr>
                <w:rFonts w:hint="eastAsia" w:ascii="宋体" w:hAnsi="宋体" w:eastAsia="宋体" w:cs="宋体"/>
                <w:color w:val="auto"/>
                <w:sz w:val="21"/>
                <w:szCs w:val="21"/>
                <w:highlight w:val="none"/>
                <w:u w:val="none"/>
              </w:rPr>
              <w:t>织</w:t>
            </w:r>
            <w:r>
              <w:rPr>
                <w:rFonts w:hint="eastAsia" w:ascii="宋体" w:hAnsi="宋体" w:eastAsia="宋体" w:cs="宋体"/>
                <w:color w:val="auto"/>
                <w:sz w:val="21"/>
                <w:szCs w:val="21"/>
                <w:highlight w:val="none"/>
                <w:u w:val="single"/>
                <w:lang w:val="en-US" w:eastAsia="zh-CN"/>
              </w:rPr>
              <w:t>,</w:t>
            </w:r>
            <w:r>
              <w:rPr>
                <w:rFonts w:hint="eastAsia" w:ascii="宋体" w:hAnsi="宋体" w:cs="宋体"/>
                <w:color w:val="auto"/>
                <w:szCs w:val="21"/>
                <w:highlight w:val="none"/>
                <w:u w:val="single"/>
              </w:rPr>
              <w:t>由投标人自行现场勘察</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□组织，踏勘时间：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踏勘集中地点：</w:t>
            </w:r>
            <w:r>
              <w:rPr>
                <w:rFonts w:hint="eastAsia" w:ascii="宋体" w:hAnsi="宋体" w:eastAsia="宋体" w:cs="宋体"/>
                <w:color w:val="auto"/>
                <w:sz w:val="21"/>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不召开</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□召开，召开时间：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1.10.2</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投标人在投标预备会前提出问题</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实质性要求和条件</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不允许</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□允许，偏差范围：</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构成招标文件的其他资料</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cs="宋体"/>
                <w:color w:val="auto"/>
                <w:szCs w:val="21"/>
                <w:highlight w:val="none"/>
                <w:lang w:val="en-US" w:eastAsia="zh-CN"/>
              </w:rPr>
              <w:t>补充公告、</w:t>
            </w:r>
            <w:r>
              <w:rPr>
                <w:rFonts w:hint="eastAsia" w:ascii="宋体" w:cs="宋体"/>
                <w:color w:val="auto"/>
                <w:szCs w:val="21"/>
                <w:highlight w:val="none"/>
              </w:rPr>
              <w:t>答疑纪要、澄清文件等（如有）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投标人要求澄清招标文件</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投标人若对招标文件（包括招标控制价）有疑问的，可在规定的时间内通过</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网站凭密码进入提问区域将问题提交给招标人或招标代理人，提交问题时一律不得署名。</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网上答疑的操作指南为：投标人登录交易中心数字交易平台，进入“我是投标人（供应商）”-&gt;“我的投标”-&gt;“招标答疑提问”查询项目并提问。</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1.形式：投标人疑问通过网上提交。具体操作方法详见</w:t>
            </w:r>
            <w:r>
              <w:rPr>
                <w:rFonts w:hint="eastAsia" w:ascii="宋体" w:hAnsi="宋体" w:cs="宋体"/>
                <w:color w:val="auto"/>
                <w:sz w:val="21"/>
                <w:szCs w:val="21"/>
                <w:highlight w:val="none"/>
                <w:lang w:eastAsia="zh-CN"/>
              </w:rPr>
              <w:t>建设工程全流程电子化项目操作指南</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2.投标人网上提问截止时间：在提交投标文件截止时间18天前提出。</w:t>
            </w:r>
          </w:p>
          <w:p>
            <w:pPr>
              <w:pStyle w:val="17"/>
              <w:keepNext w:val="0"/>
              <w:keepLines w:val="0"/>
              <w:pageBreakBefore w:val="0"/>
              <w:kinsoku/>
              <w:wordWrap/>
              <w:overflowPunct/>
              <w:topLinePunct w:val="0"/>
              <w:autoSpaceDE/>
              <w:autoSpaceDN/>
              <w:bidi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3.招标答疑纪要为招标文件的一部分。投标人可在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网站浏览、下载招标答疑纪要。若招标答疑纪要与招标文件有矛盾时，以</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网站最后发布的招标答疑纪要为准。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招标文件澄清发出的形式</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网站通过项目“建设工程-项目查询（日程安排、答疑纪要）”专区网上公开发布。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投标人确认收到招标文件澄清</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招标文件澄清（招标答疑纪要）一经在</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招标文件修改发出的形式</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以补充公告或项目答疑澄清的方式在</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投标人确认收到招标文件修改</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招标文件修改一经在</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网站发布，视作已发放给所有投标人，无需确认。潜在投标人应自行关注招标公告公布的网站公告，招标人不再一一通知。投标人因自身贻误行为导致投标失败的，责任自负。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构成投标文件的其他资料</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详见第六章《投标文件格式》要求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增值税税金的计算方法</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报价方式</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由投标人根据招标文件要求以及企业自身情况填报投标报价和费率；结算按照合同相关约定执行。</w:t>
            </w:r>
          </w:p>
          <w:p>
            <w:pPr>
              <w:keepNext w:val="0"/>
              <w:keepLines w:val="0"/>
              <w:pageBreakBefore w:val="0"/>
              <w:kinsoku/>
              <w:wordWrap/>
              <w:overflowPunct/>
              <w:topLinePunct w:val="0"/>
              <w:autoSpaceDE/>
              <w:autoSpaceDN/>
              <w:bidi w:val="0"/>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监理费率=投标报价/</w:t>
            </w:r>
            <w:r>
              <w:rPr>
                <w:rFonts w:hint="eastAsia" w:ascii="宋体" w:hAnsi="宋体" w:cs="宋体"/>
                <w:color w:val="auto"/>
                <w:sz w:val="21"/>
                <w:szCs w:val="21"/>
                <w:highlight w:val="none"/>
                <w:lang w:val="en-US" w:eastAsia="zh-CN"/>
              </w:rPr>
              <w:t>建安</w:t>
            </w:r>
            <w:r>
              <w:rPr>
                <w:rFonts w:hint="eastAsia" w:ascii="宋体" w:hAnsi="宋体" w:eastAsia="宋体" w:cs="宋体"/>
                <w:color w:val="auto"/>
                <w:sz w:val="21"/>
                <w:szCs w:val="21"/>
                <w:highlight w:val="none"/>
              </w:rPr>
              <w:t>工程费21613.16万元*100%。费率以百分数进行表示，小数点后保留两位数字，第三位小数四舍五入。</w:t>
            </w:r>
            <w:r>
              <w:rPr>
                <w:rFonts w:hint="eastAsia" w:ascii="宋体" w:hAnsi="宋体" w:eastAsia="宋体" w:cs="宋体"/>
                <w:color w:val="auto"/>
                <w:sz w:val="21"/>
                <w:szCs w:val="21"/>
                <w:highlight w:val="none"/>
                <w:lang w:val="en-US" w:eastAsia="zh-CN"/>
              </w:rPr>
              <w:t>费率在合同履行过程中不变。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p>
        </w:tc>
        <w:tc>
          <w:tcPr>
            <w:tcW w:w="250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p>
        </w:tc>
        <w:tc>
          <w:tcPr>
            <w:tcW w:w="566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无</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有，最高投标限价：284.777974万元。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250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投标报价的其他要求</w:t>
            </w:r>
          </w:p>
        </w:tc>
        <w:tc>
          <w:tcPr>
            <w:tcW w:w="566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投标人必须详细审阅全部招标文件，充分考虑职责和义务，全面地理解招标文件对投标报价的要求，并按招标人提出的条件及内容进行报价。</w:t>
            </w:r>
          </w:p>
          <w:p>
            <w:pPr>
              <w:keepNext w:val="0"/>
              <w:keepLines w:val="0"/>
              <w:pageBreakBefore w:val="0"/>
              <w:numPr>
                <w:ilvl w:val="255"/>
                <w:numId w:val="0"/>
              </w:numPr>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投标人的投标报价应是完成招标文件第1.3款和合同条款所列招标项目监理范围及工期的全部内容为计算投标报价基础。投标人应按招标文件中相关附表格式填写。</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除非合同另有规定，投标报价应已包括但不限于监理设备、劳务、管理、交通、维护、保险、利润、税金、政策性文件规定及合同包含的所有风险、责任等各项所有费用。</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是否要求投标人递交投标保证金：</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要求，投标保证金的形式：</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投标保证金的金额：</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万元</w:t>
            </w:r>
            <w:r>
              <w:rPr>
                <w:rFonts w:hint="eastAsia" w:ascii="宋体" w:hAnsi="宋体" w:cs="宋体"/>
                <w:color w:val="auto"/>
                <w:sz w:val="21"/>
                <w:szCs w:val="21"/>
                <w:highlight w:val="none"/>
                <w:u w:val="single"/>
                <w:lang w:eastAsia="zh-CN"/>
              </w:rPr>
              <w:t>。</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投标保证金可采用现金、支票、投标保函、投标保证保险的形式，须在递交投标文件截止时间前完成缴纳。</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）如采用现金、支票或汇票形式提交的，由</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代收（保证金从投标人基本账户转账至</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。）具体操作要求详见</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最新的投标保证金缴纳操作流程及有关指引，递交事宜请自行咨询交易中心；请各投标人在投标文件递交截止时间前按上述金额递交至</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，到账情况以开标时</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数据库查询的信息为准。</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采用投标保函、投标保证保险等形式提交投标保证金的，投标保函或投标保证保险需开具给招标人（保险受益人须为招标人），开标前可不提交纸质原件，但投标人应在投标文件中提交投标保函或投标保险的扫描件并加盖投标人电子印章，完成评标后，由中标候选人在中标候选人公示前向招标代理单位提交纸质原件并在网上公示。如投标人选择在开标前提交纸质原件的，可在投标截止时间前单独密封递交至开标室，密封袋上应写明“[工程名称]投标保证金凭证原件”。若以交易系统支持的电子保函或电子投标保证保险递交的，到账情况以开标时</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数据库查询信息为准。</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shd w:val="clear" w:color="auto" w:fill="FFFFFF"/>
              </w:rPr>
              <w:t>若以交易系统支持的电子形式递交的（具体操作要求详见</w:t>
            </w:r>
            <w:r>
              <w:rPr>
                <w:rFonts w:hint="eastAsia" w:ascii="宋体" w:hAnsi="宋体" w:cs="宋体"/>
                <w:color w:val="auto"/>
                <w:sz w:val="21"/>
                <w:szCs w:val="21"/>
                <w:highlight w:val="none"/>
                <w:u w:val="single"/>
                <w:shd w:val="clear" w:color="auto" w:fill="FFFFFF"/>
                <w:lang w:eastAsia="zh-CN"/>
              </w:rPr>
              <w:t>广州交易集团有限公司（广州公共资源交易中心）</w:t>
            </w:r>
            <w:r>
              <w:rPr>
                <w:rFonts w:hint="eastAsia" w:ascii="宋体" w:hAnsi="宋体" w:eastAsia="宋体" w:cs="宋体"/>
                <w:color w:val="auto"/>
                <w:sz w:val="21"/>
                <w:szCs w:val="21"/>
                <w:highlight w:val="none"/>
                <w:u w:val="single"/>
                <w:shd w:val="clear" w:color="auto" w:fill="FFFFFF"/>
              </w:rPr>
              <w:t>有关指引，递交事宜请自行咨询交易中心），到账情况</w:t>
            </w:r>
            <w:r>
              <w:rPr>
                <w:rFonts w:hint="eastAsia" w:ascii="宋体" w:hAnsi="宋体" w:eastAsia="宋体" w:cs="宋体"/>
                <w:color w:val="auto"/>
                <w:sz w:val="21"/>
                <w:szCs w:val="21"/>
                <w:highlight w:val="none"/>
                <w:u w:val="single"/>
              </w:rPr>
              <w:t>以开标时</w:t>
            </w:r>
            <w:r>
              <w:rPr>
                <w:rFonts w:hint="eastAsia" w:ascii="宋体" w:hAnsi="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数据库查询的信息为准。</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2、缴纳时间：必须在投标截止时间前缴纳。</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其他可以不予退还投标保证金的情形</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1"/>
                <w:numId w:val="0"/>
              </w:numPr>
              <w:kinsoku/>
              <w:wordWrap/>
              <w:overflowPunct/>
              <w:topLinePunct w:val="0"/>
              <w:autoSpaceDE/>
              <w:autoSpaceDN/>
              <w:bidi w:val="0"/>
              <w:spacing w:line="360" w:lineRule="auto"/>
              <w:ind w:left="0" w:firstLine="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、因中标人原因未能在规定期限内签署合同协议；</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2、中标人不能按招标文件要求提交履约保证金的。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资格审查资料的特殊要求</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无</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有，具体要求：</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招标项目资格审查不要求提供“投标人基本情况表”、“近年财务状况表”、“正在监理和新承接的项目情况表”、“近年发生的诉讼及仲裁情况”、“拟委任的主要人员汇总表”、“拟投入本项目的主要试验检测仪器设备表”，以上内容不作为本项目资格审查的依据；</w:t>
            </w:r>
          </w:p>
          <w:p>
            <w:pPr>
              <w:pStyle w:val="22"/>
              <w:keepNext w:val="0"/>
              <w:keepLines w:val="0"/>
              <w:pageBreakBefore w:val="0"/>
              <w:kinsoku/>
              <w:wordWrap/>
              <w:overflowPunct/>
              <w:topLinePunct w:val="0"/>
              <w:autoSpaceDE/>
              <w:autoSpaceDN/>
              <w:bidi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2、需提供拟派项目总监理工程师资料，应附身份证、学历证、职称证、注册监理工程师执业证书和提供投标截止时间前近1个月的（不含投标截止当月）社保缴纳证明复印件。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投标人基本情况表</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本项目资格审查不要求提供“投标人基本情况表”，仅提供投标人营业执照复印件及投标人监理资质证书复印件。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近年财务状况的年份要求</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lang w:eastAsia="zh-CN"/>
              </w:rPr>
            </w:pPr>
            <w:r>
              <w:rPr>
                <w:rFonts w:hint="eastAsia" w:ascii="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近年完成的类似项目情况的时间要求</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正</w:t>
            </w:r>
            <w:r>
              <w:rPr>
                <w:rFonts w:hint="eastAsia" w:ascii="宋体" w:hAnsi="宋体" w:eastAsia="宋体" w:cs="宋体"/>
                <w:color w:val="auto"/>
                <w:sz w:val="21"/>
                <w:szCs w:val="21"/>
                <w:highlight w:val="none"/>
              </w:rPr>
              <w:t>在</w:t>
            </w:r>
            <w:r>
              <w:rPr>
                <w:rFonts w:hint="eastAsia" w:ascii="宋体" w:hAnsi="宋体" w:eastAsia="宋体" w:cs="宋体"/>
                <w:color w:val="auto"/>
                <w:spacing w:val="-2"/>
                <w:sz w:val="21"/>
                <w:szCs w:val="21"/>
                <w:highlight w:val="none"/>
              </w:rPr>
              <w:t>监</w:t>
            </w:r>
            <w:r>
              <w:rPr>
                <w:rFonts w:hint="eastAsia" w:ascii="宋体" w:hAnsi="宋体" w:eastAsia="宋体" w:cs="宋体"/>
                <w:color w:val="auto"/>
                <w:sz w:val="21"/>
                <w:szCs w:val="21"/>
                <w:highlight w:val="none"/>
              </w:rPr>
              <w:t>理</w:t>
            </w:r>
            <w:r>
              <w:rPr>
                <w:rFonts w:hint="eastAsia" w:ascii="宋体" w:hAnsi="宋体" w:eastAsia="宋体" w:cs="宋体"/>
                <w:color w:val="auto"/>
                <w:spacing w:val="-2"/>
                <w:sz w:val="21"/>
                <w:szCs w:val="21"/>
                <w:highlight w:val="none"/>
              </w:rPr>
              <w:t>和</w:t>
            </w:r>
            <w:r>
              <w:rPr>
                <w:rFonts w:hint="eastAsia" w:ascii="宋体" w:hAnsi="宋体" w:eastAsia="宋体" w:cs="宋体"/>
                <w:color w:val="auto"/>
                <w:sz w:val="21"/>
                <w:szCs w:val="21"/>
                <w:highlight w:val="none"/>
              </w:rPr>
              <w:t>新</w:t>
            </w:r>
            <w:r>
              <w:rPr>
                <w:rFonts w:hint="eastAsia" w:ascii="宋体" w:hAnsi="宋体" w:eastAsia="宋体" w:cs="宋体"/>
                <w:color w:val="auto"/>
                <w:spacing w:val="-2"/>
                <w:sz w:val="21"/>
                <w:szCs w:val="21"/>
                <w:highlight w:val="none"/>
              </w:rPr>
              <w:t>承接</w:t>
            </w:r>
            <w:r>
              <w:rPr>
                <w:rFonts w:hint="eastAsia" w:ascii="宋体" w:hAnsi="宋体" w:eastAsia="宋体" w:cs="宋体"/>
                <w:color w:val="auto"/>
                <w:sz w:val="21"/>
                <w:szCs w:val="21"/>
                <w:highlight w:val="none"/>
              </w:rPr>
              <w:t>的项</w:t>
            </w:r>
            <w:r>
              <w:rPr>
                <w:rFonts w:hint="eastAsia" w:ascii="宋体" w:hAnsi="宋体" w:eastAsia="宋体" w:cs="宋体"/>
                <w:color w:val="auto"/>
                <w:spacing w:val="-2"/>
                <w:sz w:val="21"/>
                <w:szCs w:val="21"/>
                <w:highlight w:val="none"/>
              </w:rPr>
              <w:t>目</w:t>
            </w:r>
            <w:r>
              <w:rPr>
                <w:rFonts w:hint="eastAsia" w:ascii="宋体" w:hAnsi="宋体" w:eastAsia="宋体" w:cs="宋体"/>
                <w:color w:val="auto"/>
                <w:sz w:val="21"/>
                <w:szCs w:val="21"/>
                <w:highlight w:val="none"/>
              </w:rPr>
              <w:t>情</w:t>
            </w:r>
            <w:r>
              <w:rPr>
                <w:rFonts w:hint="eastAsia" w:ascii="宋体" w:hAnsi="宋体" w:eastAsia="宋体" w:cs="宋体"/>
                <w:color w:val="auto"/>
                <w:spacing w:val="-2"/>
                <w:sz w:val="21"/>
                <w:szCs w:val="21"/>
                <w:highlight w:val="none"/>
              </w:rPr>
              <w:t>况</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3.5.5</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近年发生的诉讼及仲裁情况的时间要求</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3.5.6</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w:t>
            </w:r>
            <w:r>
              <w:rPr>
                <w:rFonts w:hint="eastAsia" w:ascii="宋体" w:hAnsi="宋体" w:eastAsia="宋体" w:cs="宋体"/>
                <w:color w:val="auto"/>
                <w:spacing w:val="-2"/>
                <w:sz w:val="21"/>
                <w:szCs w:val="21"/>
                <w:highlight w:val="none"/>
              </w:rPr>
              <w:t>委</w:t>
            </w:r>
            <w:r>
              <w:rPr>
                <w:rFonts w:hint="eastAsia" w:ascii="宋体" w:hAnsi="宋体" w:eastAsia="宋体" w:cs="宋体"/>
                <w:color w:val="auto"/>
                <w:sz w:val="21"/>
                <w:szCs w:val="21"/>
                <w:highlight w:val="none"/>
              </w:rPr>
              <w:t>任</w:t>
            </w:r>
            <w:r>
              <w:rPr>
                <w:rFonts w:hint="eastAsia" w:ascii="宋体" w:hAnsi="宋体" w:eastAsia="宋体" w:cs="宋体"/>
                <w:color w:val="auto"/>
                <w:spacing w:val="-2"/>
                <w:sz w:val="21"/>
                <w:szCs w:val="21"/>
                <w:highlight w:val="none"/>
              </w:rPr>
              <w:t>的</w:t>
            </w:r>
            <w:r>
              <w:rPr>
                <w:rFonts w:hint="eastAsia" w:ascii="宋体" w:hAnsi="宋体" w:eastAsia="宋体" w:cs="宋体"/>
                <w:color w:val="auto"/>
                <w:sz w:val="21"/>
                <w:szCs w:val="21"/>
                <w:highlight w:val="none"/>
              </w:rPr>
              <w:t>主</w:t>
            </w:r>
            <w:r>
              <w:rPr>
                <w:rFonts w:hint="eastAsia" w:ascii="宋体" w:hAnsi="宋体" w:eastAsia="宋体" w:cs="宋体"/>
                <w:color w:val="auto"/>
                <w:spacing w:val="-2"/>
                <w:sz w:val="21"/>
                <w:szCs w:val="21"/>
                <w:highlight w:val="none"/>
              </w:rPr>
              <w:t>要</w:t>
            </w:r>
            <w:r>
              <w:rPr>
                <w:rFonts w:hint="eastAsia" w:ascii="宋体" w:hAnsi="宋体" w:eastAsia="宋体" w:cs="宋体"/>
                <w:color w:val="auto"/>
                <w:sz w:val="21"/>
                <w:szCs w:val="21"/>
                <w:highlight w:val="none"/>
              </w:rPr>
              <w:t>人</w:t>
            </w:r>
            <w:r>
              <w:rPr>
                <w:rFonts w:hint="eastAsia" w:ascii="宋体" w:hAnsi="宋体" w:eastAsia="宋体" w:cs="宋体"/>
                <w:color w:val="auto"/>
                <w:spacing w:val="-2"/>
                <w:sz w:val="21"/>
                <w:szCs w:val="21"/>
                <w:highlight w:val="none"/>
              </w:rPr>
              <w:t>员汇总表</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3.5.7</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w:t>
            </w:r>
            <w:r>
              <w:rPr>
                <w:rFonts w:hint="eastAsia" w:ascii="宋体" w:hAnsi="宋体" w:eastAsia="宋体" w:cs="宋体"/>
                <w:color w:val="auto"/>
                <w:spacing w:val="-2"/>
                <w:sz w:val="21"/>
                <w:szCs w:val="21"/>
                <w:highlight w:val="none"/>
              </w:rPr>
              <w:t>投</w:t>
            </w:r>
            <w:r>
              <w:rPr>
                <w:rFonts w:hint="eastAsia" w:ascii="宋体" w:hAnsi="宋体" w:eastAsia="宋体" w:cs="宋体"/>
                <w:color w:val="auto"/>
                <w:sz w:val="21"/>
                <w:szCs w:val="21"/>
                <w:highlight w:val="none"/>
              </w:rPr>
              <w:t>入</w:t>
            </w:r>
            <w:r>
              <w:rPr>
                <w:rFonts w:hint="eastAsia" w:ascii="宋体" w:hAnsi="宋体" w:eastAsia="宋体" w:cs="宋体"/>
                <w:color w:val="auto"/>
                <w:spacing w:val="-2"/>
                <w:sz w:val="21"/>
                <w:szCs w:val="21"/>
                <w:highlight w:val="none"/>
              </w:rPr>
              <w:t>本</w:t>
            </w:r>
            <w:r>
              <w:rPr>
                <w:rFonts w:hint="eastAsia" w:ascii="宋体" w:hAnsi="宋体" w:eastAsia="宋体" w:cs="宋体"/>
                <w:color w:val="auto"/>
                <w:sz w:val="21"/>
                <w:szCs w:val="21"/>
                <w:highlight w:val="none"/>
              </w:rPr>
              <w:t>项</w:t>
            </w:r>
            <w:r>
              <w:rPr>
                <w:rFonts w:hint="eastAsia" w:ascii="宋体" w:hAnsi="宋体" w:eastAsia="宋体" w:cs="宋体"/>
                <w:color w:val="auto"/>
                <w:spacing w:val="-2"/>
                <w:sz w:val="21"/>
                <w:szCs w:val="21"/>
                <w:highlight w:val="none"/>
              </w:rPr>
              <w:t>目</w:t>
            </w:r>
            <w:r>
              <w:rPr>
                <w:rFonts w:hint="eastAsia" w:ascii="宋体" w:hAnsi="宋体" w:eastAsia="宋体" w:cs="宋体"/>
                <w:color w:val="auto"/>
                <w:sz w:val="21"/>
                <w:szCs w:val="21"/>
                <w:highlight w:val="none"/>
              </w:rPr>
              <w:t>的</w:t>
            </w:r>
            <w:r>
              <w:rPr>
                <w:rFonts w:hint="eastAsia" w:ascii="宋体" w:hAnsi="宋体" w:eastAsia="宋体" w:cs="宋体"/>
                <w:color w:val="auto"/>
                <w:spacing w:val="-2"/>
                <w:sz w:val="21"/>
                <w:szCs w:val="21"/>
                <w:highlight w:val="none"/>
              </w:rPr>
              <w:t>主</w:t>
            </w:r>
            <w:r>
              <w:rPr>
                <w:rFonts w:hint="eastAsia" w:ascii="宋体" w:hAnsi="宋体" w:eastAsia="宋体" w:cs="宋体"/>
                <w:color w:val="auto"/>
                <w:sz w:val="21"/>
                <w:szCs w:val="21"/>
                <w:highlight w:val="none"/>
              </w:rPr>
              <w:t>要试</w:t>
            </w:r>
            <w:r>
              <w:rPr>
                <w:rFonts w:hint="eastAsia" w:ascii="宋体" w:hAnsi="宋体" w:eastAsia="宋体" w:cs="宋体"/>
                <w:color w:val="auto"/>
                <w:spacing w:val="-2"/>
                <w:sz w:val="21"/>
                <w:szCs w:val="21"/>
                <w:highlight w:val="none"/>
              </w:rPr>
              <w:t>验</w:t>
            </w:r>
            <w:r>
              <w:rPr>
                <w:rFonts w:hint="eastAsia" w:ascii="宋体" w:hAnsi="宋体" w:eastAsia="宋体" w:cs="宋体"/>
                <w:color w:val="auto"/>
                <w:sz w:val="21"/>
                <w:szCs w:val="21"/>
                <w:highlight w:val="none"/>
              </w:rPr>
              <w:t>检</w:t>
            </w:r>
            <w:r>
              <w:rPr>
                <w:rFonts w:hint="eastAsia" w:ascii="宋体" w:hAnsi="宋体" w:eastAsia="宋体" w:cs="宋体"/>
                <w:color w:val="auto"/>
                <w:spacing w:val="-2"/>
                <w:sz w:val="21"/>
                <w:szCs w:val="21"/>
                <w:highlight w:val="none"/>
              </w:rPr>
              <w:t>测</w:t>
            </w:r>
            <w:r>
              <w:rPr>
                <w:rFonts w:hint="eastAsia" w:ascii="宋体" w:hAnsi="宋体" w:eastAsia="宋体" w:cs="宋体"/>
                <w:color w:val="auto"/>
                <w:sz w:val="21"/>
                <w:szCs w:val="21"/>
                <w:highlight w:val="none"/>
              </w:rPr>
              <w:t>仪</w:t>
            </w:r>
            <w:r>
              <w:rPr>
                <w:rFonts w:hint="eastAsia" w:ascii="宋体" w:hAnsi="宋体" w:eastAsia="宋体" w:cs="宋体"/>
                <w:color w:val="auto"/>
                <w:spacing w:val="-2"/>
                <w:sz w:val="21"/>
                <w:szCs w:val="21"/>
                <w:highlight w:val="none"/>
              </w:rPr>
              <w:t>器</w:t>
            </w:r>
            <w:r>
              <w:rPr>
                <w:rFonts w:hint="eastAsia" w:ascii="宋体" w:hAnsi="宋体" w:eastAsia="宋体" w:cs="宋体"/>
                <w:color w:val="auto"/>
                <w:sz w:val="21"/>
                <w:szCs w:val="21"/>
                <w:highlight w:val="none"/>
              </w:rPr>
              <w:t>设</w:t>
            </w:r>
            <w:r>
              <w:rPr>
                <w:rFonts w:hint="eastAsia" w:ascii="宋体" w:hAnsi="宋体" w:eastAsia="宋体" w:cs="宋体"/>
                <w:color w:val="auto"/>
                <w:spacing w:val="-2"/>
                <w:sz w:val="21"/>
                <w:szCs w:val="21"/>
                <w:highlight w:val="none"/>
              </w:rPr>
              <w:t>备</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3.5.8</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关于联</w:t>
            </w:r>
            <w:r>
              <w:rPr>
                <w:rFonts w:hint="eastAsia" w:ascii="宋体" w:hAnsi="宋体" w:eastAsia="宋体" w:cs="宋体"/>
                <w:color w:val="auto"/>
                <w:spacing w:val="-2"/>
                <w:sz w:val="21"/>
                <w:szCs w:val="21"/>
                <w:highlight w:val="none"/>
              </w:rPr>
              <w:t>合</w:t>
            </w:r>
            <w:r>
              <w:rPr>
                <w:rFonts w:hint="eastAsia" w:ascii="宋体" w:hAnsi="宋体" w:eastAsia="宋体" w:cs="宋体"/>
                <w:color w:val="auto"/>
                <w:sz w:val="21"/>
                <w:szCs w:val="21"/>
                <w:highlight w:val="none"/>
              </w:rPr>
              <w:t>体</w:t>
            </w:r>
            <w:r>
              <w:rPr>
                <w:rFonts w:hint="eastAsia" w:ascii="宋体" w:hAnsi="宋体" w:eastAsia="宋体" w:cs="宋体"/>
                <w:color w:val="auto"/>
                <w:spacing w:val="-2"/>
                <w:sz w:val="21"/>
                <w:szCs w:val="21"/>
                <w:highlight w:val="none"/>
              </w:rPr>
              <w:t>投</w:t>
            </w:r>
            <w:r>
              <w:rPr>
                <w:rFonts w:hint="eastAsia" w:ascii="宋体" w:hAnsi="宋体" w:eastAsia="宋体" w:cs="宋体"/>
                <w:color w:val="auto"/>
                <w:sz w:val="21"/>
                <w:szCs w:val="21"/>
                <w:highlight w:val="none"/>
              </w:rPr>
              <w:t>标</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是否允许递交备选投标方案</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不允许</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3.7.3A（2）</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投标文件副本份数及其他要求</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3.7.3A（3）</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投标文件是否需分册装订</w:t>
            </w:r>
          </w:p>
        </w:tc>
        <w:tc>
          <w:tcPr>
            <w:tcW w:w="5662"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kinsoku/>
              <w:wordWrap/>
              <w:overflowPunct/>
              <w:topLinePunct w:val="0"/>
              <w:autoSpaceDE/>
              <w:autoSpaceDN/>
              <w:bidi w:val="0"/>
              <w:spacing w:after="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 (B)</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投标文件所附证书证件要求</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证书证件需为原件清晰扫描件，并采用单位数字证书，按照招标文件要求加盖电子印章。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 (B)</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投标文件签字或盖章要求 </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取消在招标文件中采用个人数字证书和加盖个人电子印章要求，投标文件中需法定代表人、代理人签字或加盖电子印章的，</w:t>
            </w:r>
            <w:r>
              <w:rPr>
                <w:rFonts w:hint="eastAsia" w:ascii="宋体" w:hAnsi="宋体" w:cs="宋体"/>
                <w:color w:val="auto"/>
                <w:szCs w:val="21"/>
                <w:highlight w:val="none"/>
              </w:rPr>
              <w:t>应加盖个人电子印章或在线下完成后扫描上传</w:t>
            </w:r>
            <w:r>
              <w:rPr>
                <w:rFonts w:hint="eastAsia" w:ascii="宋体" w:hAnsi="宋体" w:eastAsia="宋体" w:cs="宋体"/>
                <w:color w:val="auto"/>
                <w:sz w:val="21"/>
                <w:szCs w:val="21"/>
                <w:highlight w:val="none"/>
              </w:rPr>
              <w:t>。投标文件按招标文件要求加盖单位电子印章。相关操作详见</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网站最新发布的</w:t>
            </w:r>
            <w:r>
              <w:rPr>
                <w:rFonts w:hint="eastAsia" w:ascii="宋体" w:hAnsi="宋体" w:cs="宋体"/>
                <w:color w:val="auto"/>
                <w:sz w:val="21"/>
                <w:szCs w:val="21"/>
                <w:highlight w:val="none"/>
                <w:lang w:eastAsia="zh-CN"/>
              </w:rPr>
              <w:t>建设工程全流程电子化项目操作指南</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4.1.1（A）</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投标文件加密要求</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4.1.1(B)</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投标文件加密要求</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网上递交的电子投标文件须进行加密。具体操作详见</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网站最新发布的</w:t>
            </w:r>
            <w:r>
              <w:rPr>
                <w:rFonts w:hint="eastAsia" w:ascii="宋体" w:hAnsi="宋体" w:cs="宋体"/>
                <w:color w:val="auto"/>
                <w:sz w:val="21"/>
                <w:szCs w:val="21"/>
                <w:highlight w:val="none"/>
                <w:lang w:eastAsia="zh-CN"/>
              </w:rPr>
              <w:t>建设工程全流程电子化项目操作指南</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封套上应载明的信息</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如递交备用光盘（或U盘）的，封套应标明如下信息：</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招标人名称：</w:t>
            </w:r>
            <w:r>
              <w:rPr>
                <w:rFonts w:hint="eastAsia" w:ascii="宋体" w:hAnsi="宋体" w:cs="宋体"/>
                <w:color w:val="auto"/>
                <w:sz w:val="21"/>
                <w:szCs w:val="21"/>
                <w:highlight w:val="none"/>
                <w:u w:val="single"/>
                <w:lang w:eastAsia="zh-CN"/>
              </w:rPr>
              <w:t>广州广粮坊食品科技有限公司</w:t>
            </w:r>
          </w:p>
          <w:p>
            <w:pPr>
              <w:keepNext w:val="0"/>
              <w:keepLines w:val="0"/>
              <w:pageBreakBefore w:val="0"/>
              <w:kinsoku/>
              <w:wordWrap/>
              <w:overflowPunct/>
              <w:topLinePunct w:val="0"/>
              <w:autoSpaceDE/>
              <w:autoSpaceDN/>
              <w:bidi w:val="0"/>
              <w:spacing w:line="360" w:lineRule="auto"/>
              <w:rPr>
                <w:rFonts w:hint="default" w:ascii="宋体" w:hAnsi="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招标人地址：</w:t>
            </w:r>
            <w:r>
              <w:rPr>
                <w:rFonts w:hint="eastAsia" w:ascii="宋体" w:hAnsi="宋体" w:cs="宋体"/>
                <w:color w:val="auto"/>
                <w:sz w:val="21"/>
                <w:szCs w:val="21"/>
                <w:highlight w:val="none"/>
                <w:u w:val="single"/>
                <w:lang w:val="en-US" w:eastAsia="zh-CN"/>
              </w:rPr>
              <w:t xml:space="preserve">             </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项目名称</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招标项目编号：</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分前不得开启（填入开标时间）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4.2.2（A）</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递交投标文件地点</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详见本项目招标公告。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投标文件是否退还</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否</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5.1（A）</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开标时间和地点</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5.1（B）</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开标时间和地点</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详见本项目招标公告。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5.2（4）（A）</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5.2（B）</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5.2.1主持人按下列程序进行开标：</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（1）宣布开标纪律；</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（2）公布在投标截止时间前递交投标文件的投标人名称；</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（3）宣布开标人、唱标人、记录人、监标人等有关人员姓名；</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（4）（B）投标人通过电子招标投标交易平台对已递交的电子投标文件进行解密，公布招标项目名称、投标人名称、投标保证金的递交情况、投标报价、监理服务期限及其他内容，并记录在案；</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（5）（B）投标人代表、招标人代表、监标人、记录人等有关人员在开标记录上签字确认；若有关人员不签字的，不影响开标程序；</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（6）开标结束。</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5.2.3开标时，两个（含两个）以上的投标人加密打包投标文件电脑机器特征码一致的，不参与下一程序，并由评标委员会否决其投标。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评标委员会推荐中标候选人的人数</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推荐的中标候选人数：</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中标候选人公示媒介及期限</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公示媒介：中国招标投标公共服务平台、广东省招标投标监管网、</w:t>
            </w:r>
            <w:r>
              <w:rPr>
                <w:rFonts w:hint="eastAsia" w:ascii="宋体" w:hAnsi="宋体" w:cs="宋体"/>
                <w:color w:val="auto"/>
                <w:szCs w:val="21"/>
                <w:highlight w:val="none"/>
              </w:rPr>
              <w:t>广州交易集团有限公司（广州公共资源交易中心）</w:t>
            </w:r>
            <w:r>
              <w:rPr>
                <w:rFonts w:hint="eastAsia" w:ascii="宋体" w:hAnsi="宋体" w:eastAsia="宋体" w:cs="宋体"/>
                <w:color w:val="auto"/>
                <w:sz w:val="21"/>
                <w:szCs w:val="21"/>
                <w:highlight w:val="none"/>
              </w:rPr>
              <w:t>网站公示</w:t>
            </w:r>
            <w:r>
              <w:rPr>
                <w:rFonts w:hint="eastAsia" w:ascii="宋体" w:hAnsi="宋体" w:cs="宋体"/>
                <w:color w:val="auto"/>
                <w:sz w:val="21"/>
                <w:szCs w:val="21"/>
                <w:highlight w:val="none"/>
                <w:lang w:eastAsia="zh-CN"/>
              </w:rPr>
              <w:t>、广州国企阳光采购信息发布平台</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公示期限：3日。</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注：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是否授权评标委员会确定中标人</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7.6.1</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是否要求中标人提交履约保证金：</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要求，</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中标人提供的履约保函为中标价款的10%，具体见合同相关条款。</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是否采用电子招标投标</w:t>
            </w:r>
          </w:p>
        </w:tc>
        <w:tc>
          <w:tcPr>
            <w:tcW w:w="5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否</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是，具体要求：</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1、具体操作详见</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网站最新发布的</w:t>
            </w:r>
            <w:r>
              <w:rPr>
                <w:rFonts w:hint="eastAsia" w:ascii="宋体" w:hAnsi="宋体" w:cs="宋体"/>
                <w:color w:val="auto"/>
                <w:sz w:val="21"/>
                <w:szCs w:val="21"/>
                <w:highlight w:val="none"/>
                <w:lang w:eastAsia="zh-CN"/>
              </w:rPr>
              <w:t>建设工程全流程电子化项目操作指南</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2、现场提交投标文件光盘备用</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投标人将按</w:t>
            </w:r>
            <w:r>
              <w:rPr>
                <w:rFonts w:hint="eastAsia" w:ascii="宋体" w:hAnsi="宋体" w:cs="宋体"/>
                <w:color w:val="auto"/>
                <w:sz w:val="21"/>
                <w:szCs w:val="21"/>
                <w:highlight w:val="none"/>
                <w:lang w:eastAsia="zh-CN"/>
              </w:rPr>
              <w:t>建设工程全流程电子化项目操作指南</w:t>
            </w:r>
            <w:r>
              <w:rPr>
                <w:rFonts w:hint="eastAsia" w:ascii="宋体" w:hAnsi="宋体" w:eastAsia="宋体" w:cs="宋体"/>
                <w:color w:val="auto"/>
                <w:sz w:val="21"/>
                <w:szCs w:val="21"/>
                <w:highlight w:val="none"/>
              </w:rPr>
              <w:t>的操作方法制作的非加密的电子投标文件刻入光盘（1份），在开标现场（投标截止时间前）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3、补救方案</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（1）投标文件解密失败的补救方案：</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在规定时间内，因投标人之外原因导致的电子投标文件解密失败，在开标现场读取光盘内容，继续开标程序。评标委员会对其投标文件的评审以光盘内容为准。</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（2）评标时突发情况的补救方案</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若遇不可抗力发生（如：网络瘫痪、服务器损坏、交易系统故障短期无法恢复等因素），由评标委员会开启现场递交的全部投标文件光盘，并按光盘内容进行评审。</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特别提示</w:t>
            </w:r>
          </w:p>
        </w:tc>
        <w:tc>
          <w:tcPr>
            <w:tcW w:w="8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投标人在本项目招标人的工程项目中存在下列行为的，将被拒绝</w:t>
            </w:r>
            <w:r>
              <w:rPr>
                <w:rFonts w:hint="eastAsia" w:ascii="宋体" w:hAnsi="宋体" w:cs="宋体"/>
                <w:color w:val="auto"/>
                <w:kern w:val="0"/>
                <w:sz w:val="21"/>
                <w:szCs w:val="21"/>
                <w:highlight w:val="none"/>
                <w:lang w:val="en-US" w:eastAsia="zh-CN"/>
              </w:rPr>
              <w:t>一年</w:t>
            </w:r>
            <w:r>
              <w:rPr>
                <w:rFonts w:hint="eastAsia" w:ascii="宋体" w:hAnsi="宋体" w:eastAsia="宋体" w:cs="宋体"/>
                <w:color w:val="auto"/>
                <w:kern w:val="0"/>
                <w:sz w:val="21"/>
                <w:szCs w:val="21"/>
                <w:highlight w:val="none"/>
              </w:rPr>
              <w:t>内参与我单位后续工程投标。（注：拒绝投标时限由招标人视严重程度确定，最低三个月起，自招标人发出通知之日起计）：</w:t>
            </w:r>
          </w:p>
          <w:p>
            <w:pPr>
              <w:keepNext w:val="0"/>
              <w:keepLines w:val="0"/>
              <w:pageBreakBefore w:val="0"/>
              <w:kinsoku/>
              <w:wordWrap/>
              <w:overflowPunct/>
              <w:topLinePunct w:val="0"/>
              <w:autoSpaceDE/>
              <w:autoSpaceDN/>
              <w:bidi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（1）将中标工程转包或者违法分包的；</w:t>
            </w:r>
          </w:p>
          <w:p>
            <w:pPr>
              <w:keepNext w:val="0"/>
              <w:keepLines w:val="0"/>
              <w:pageBreakBefore w:val="0"/>
              <w:kinsoku/>
              <w:wordWrap/>
              <w:overflowPunct/>
              <w:topLinePunct w:val="0"/>
              <w:autoSpaceDE/>
              <w:autoSpaceDN/>
              <w:bidi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（2）在中标工程中不执行质量、安全生产相关规定的，造成质量或安全事故的；</w:t>
            </w:r>
          </w:p>
          <w:p>
            <w:pPr>
              <w:keepNext w:val="0"/>
              <w:keepLines w:val="0"/>
              <w:pageBreakBefore w:val="0"/>
              <w:kinsoku/>
              <w:wordWrap/>
              <w:overflowPunct/>
              <w:topLinePunct w:val="0"/>
              <w:autoSpaceDE/>
              <w:autoSpaceDN/>
              <w:bidi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（3）出让投标资格的；</w:t>
            </w:r>
          </w:p>
          <w:p>
            <w:pPr>
              <w:keepNext w:val="0"/>
              <w:keepLines w:val="0"/>
              <w:pageBreakBefore w:val="0"/>
              <w:kinsoku/>
              <w:wordWrap/>
              <w:overflowPunct/>
              <w:topLinePunct w:val="0"/>
              <w:autoSpaceDE/>
              <w:autoSpaceDN/>
              <w:bidi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（4）存在围标或串标情形的；</w:t>
            </w:r>
          </w:p>
          <w:p>
            <w:pPr>
              <w:keepNext w:val="0"/>
              <w:keepLines w:val="0"/>
              <w:pageBreakBefore w:val="0"/>
              <w:kinsoku/>
              <w:wordWrap/>
              <w:overflowPunct/>
              <w:topLinePunct w:val="0"/>
              <w:autoSpaceDE/>
              <w:autoSpaceDN/>
              <w:bidi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（5）在投标文件中提供虚假材料的； </w:t>
            </w:r>
          </w:p>
          <w:p>
            <w:pPr>
              <w:keepNext w:val="0"/>
              <w:keepLines w:val="0"/>
              <w:pageBreakBefore w:val="0"/>
              <w:kinsoku/>
              <w:wordWrap/>
              <w:overflowPunct/>
              <w:topLinePunct w:val="0"/>
              <w:autoSpaceDE/>
              <w:autoSpaceDN/>
              <w:bidi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（6）存在少放、不放业绩、奖项等客观评审资料，减少自身竞争力情形的；</w:t>
            </w:r>
          </w:p>
          <w:p>
            <w:pPr>
              <w:keepNext w:val="0"/>
              <w:keepLines w:val="0"/>
              <w:pageBreakBefore w:val="0"/>
              <w:kinsoku/>
              <w:wordWrap/>
              <w:overflowPunct/>
              <w:topLinePunct w:val="0"/>
              <w:autoSpaceDE/>
              <w:autoSpaceDN/>
              <w:bidi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（7）存在行贿情形的;</w:t>
            </w:r>
          </w:p>
          <w:p>
            <w:pPr>
              <w:keepNext w:val="0"/>
              <w:keepLines w:val="0"/>
              <w:pageBreakBefore w:val="0"/>
              <w:kinsoku/>
              <w:wordWrap/>
              <w:overflowPunct/>
              <w:topLinePunct w:val="0"/>
              <w:autoSpaceDE/>
              <w:autoSpaceDN/>
              <w:bidi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（8）拖欠农民工工资的；</w:t>
            </w:r>
          </w:p>
          <w:p>
            <w:pPr>
              <w:keepNext w:val="0"/>
              <w:keepLines w:val="0"/>
              <w:pageBreakBefore w:val="0"/>
              <w:kinsoku/>
              <w:wordWrap/>
              <w:overflowPunct/>
              <w:topLinePunct w:val="0"/>
              <w:autoSpaceDE/>
              <w:autoSpaceDN/>
              <w:bidi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（9）为招标人提供监理服务过程中存在因过错行为被生效法律文书认定承担违约或侵权责任的；</w:t>
            </w:r>
          </w:p>
          <w:p>
            <w:pPr>
              <w:keepNext w:val="0"/>
              <w:keepLines w:val="0"/>
              <w:pageBreakBefore w:val="0"/>
              <w:kinsoku/>
              <w:wordWrap/>
              <w:overflowPunct/>
              <w:topLinePunct w:val="0"/>
              <w:autoSpaceDE/>
              <w:autoSpaceDN/>
              <w:bidi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（10）违反监理合同约定自行调换或未按照招标人要求及时更换项目总监的；</w:t>
            </w:r>
          </w:p>
          <w:p>
            <w:pPr>
              <w:keepNext w:val="0"/>
              <w:keepLines w:val="0"/>
              <w:pageBreakBefore w:val="0"/>
              <w:kinsoku/>
              <w:wordWrap/>
              <w:overflowPunct/>
              <w:topLinePunct w:val="0"/>
              <w:autoSpaceDE/>
              <w:autoSpaceDN/>
              <w:bidi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（11）委派的项目总监已在其他在建项目中任职且任职数量不符合相关规定并拒绝按照任职承诺书的规定更换的。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否决性条款</w:t>
            </w:r>
          </w:p>
        </w:tc>
        <w:tc>
          <w:tcPr>
            <w:tcW w:w="81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否决性条款汇总：</w:t>
            </w:r>
          </w:p>
          <w:p>
            <w:pPr>
              <w:tabs>
                <w:tab w:val="left" w:pos="7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否决性条款是指招标文件中规定的不予受理投标或者作无效标、废标以及不合格标处理等否定投标文件效力的条款。</w:t>
            </w:r>
          </w:p>
          <w:p>
            <w:pPr>
              <w:pStyle w:val="18"/>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t>1、拒绝受理投标文件的情形：</w:t>
            </w:r>
          </w:p>
          <w:p>
            <w:pPr>
              <w:tabs>
                <w:tab w:val="left" w:pos="7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（1）电子投标文件未在投标截止时间前完整上传并保存在</w:t>
            </w:r>
            <w:r>
              <w:rPr>
                <w:rFonts w:hint="eastAsia" w:ascii="宋体" w:hAnsi="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 xml:space="preserve">电子评标系统且取得回执的； </w:t>
            </w:r>
          </w:p>
          <w:p>
            <w:pPr>
              <w:tabs>
                <w:tab w:val="left" w:pos="7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（2）投标文件未按招标文件要求进行电子签章，并进行加密的；</w:t>
            </w:r>
          </w:p>
          <w:p>
            <w:pPr>
              <w:tabs>
                <w:tab w:val="left" w:pos="7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（3）因投标人原因造成电子投标文件未解密或逾期解密的。</w:t>
            </w:r>
          </w:p>
          <w:p>
            <w:pPr>
              <w:tabs>
                <w:tab w:val="left" w:pos="7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2、作无效投标的情形</w:t>
            </w:r>
          </w:p>
          <w:p>
            <w:pPr>
              <w:tabs>
                <w:tab w:val="left" w:pos="7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（1）投标文件不符合招标文件评标办法中形式评审标准、资格评审标准、响应性评审标准的要求；</w:t>
            </w:r>
          </w:p>
          <w:p>
            <w:pPr>
              <w:tabs>
                <w:tab w:val="left" w:pos="7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（2）第二章“投标人须知”第1.4.3项规定的任何一种情形的；</w:t>
            </w:r>
          </w:p>
          <w:p>
            <w:pPr>
              <w:tabs>
                <w:tab w:val="left" w:pos="7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（3）不按评标委员会要求澄清、说明或补正的；</w:t>
            </w:r>
          </w:p>
          <w:p>
            <w:pPr>
              <w:tabs>
                <w:tab w:val="left" w:pos="7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（4）投标人的报价明显低于其他投标报价，投标人不能合理说明或者不能提供相应证明材料的；</w:t>
            </w:r>
          </w:p>
          <w:p>
            <w:pPr>
              <w:tabs>
                <w:tab w:val="left" w:pos="7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（5）不对评标委员会修正后的价格进行书面确认；</w:t>
            </w:r>
          </w:p>
          <w:p>
            <w:pPr>
              <w:tabs>
                <w:tab w:val="left" w:pos="7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（6）未按招标文件要求提供投标保证金的。</w:t>
            </w:r>
          </w:p>
          <w:p>
            <w:pPr>
              <w:tabs>
                <w:tab w:val="left" w:pos="7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3、其他否定投标文件效力情形</w:t>
            </w:r>
          </w:p>
          <w:p>
            <w:pPr>
              <w:tabs>
                <w:tab w:val="left" w:pos="7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（1）两个（含两个）以上的投标人加密打包投标文件电脑机器码一致的；</w:t>
            </w:r>
          </w:p>
          <w:p>
            <w:pPr>
              <w:tabs>
                <w:tab w:val="left" w:pos="720"/>
              </w:tabs>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（2）串通投标或弄虚作假或有其他违法行为的。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3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其他费用</w:t>
            </w:r>
          </w:p>
        </w:tc>
        <w:tc>
          <w:tcPr>
            <w:tcW w:w="816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rPr>
                <w:color w:val="auto"/>
                <w:highlight w:val="none"/>
              </w:rPr>
            </w:pPr>
            <w:r>
              <w:rPr>
                <w:rFonts w:hint="eastAsia" w:ascii="宋体" w:hAnsi="宋体" w:cs="宋体"/>
                <w:color w:val="auto"/>
                <w:szCs w:val="21"/>
                <w:highlight w:val="none"/>
              </w:rPr>
              <w:t>中标人按相关规定</w:t>
            </w:r>
            <w:r>
              <w:rPr>
                <w:rFonts w:hint="eastAsia" w:ascii="宋体" w:hAnsi="宋体" w:cs="宋体"/>
                <w:color w:val="auto"/>
                <w:szCs w:val="21"/>
                <w:highlight w:val="none"/>
                <w:lang w:val="en-US" w:eastAsia="zh-CN"/>
              </w:rPr>
              <w:t>缴纳</w:t>
            </w:r>
            <w:r>
              <w:rPr>
                <w:rFonts w:hint="eastAsia" w:ascii="宋体" w:hAnsi="宋体" w:cs="宋体"/>
                <w:color w:val="auto"/>
                <w:szCs w:val="21"/>
                <w:highlight w:val="none"/>
              </w:rPr>
              <w:t>交易服务费，交易服务费的金额为中标总金额的0.9‰，其费用由中标人自行支付，招标人不另行支付。</w:t>
            </w:r>
          </w:p>
          <w:p>
            <w:pPr>
              <w:pStyle w:val="12"/>
              <w:rPr>
                <w:rFonts w:hint="default" w:eastAsia="宋体"/>
                <w:color w:val="auto"/>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eastAsiaTheme="minorEastAsia"/>
                <w:b w:val="0"/>
                <w:bCs w:val="0"/>
                <w:color w:val="auto"/>
                <w:sz w:val="21"/>
                <w:szCs w:val="21"/>
                <w:highlight w:val="none"/>
                <w:lang w:val="en-US" w:eastAsia="zh-CN"/>
              </w:rPr>
              <w:t>本项目招标代理费由</w:t>
            </w:r>
            <w:r>
              <w:rPr>
                <w:rFonts w:hint="eastAsia" w:ascii="宋体" w:hAnsi="宋体" w:cs="宋体" w:eastAsiaTheme="minorEastAsia"/>
                <w:b w:val="0"/>
                <w:bCs w:val="0"/>
                <w:color w:val="auto"/>
                <w:sz w:val="21"/>
                <w:szCs w:val="21"/>
                <w:highlight w:val="none"/>
              </w:rPr>
              <w:t>招标人支付。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03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企业综合诚信评价计分</w:t>
            </w:r>
          </w:p>
        </w:tc>
        <w:tc>
          <w:tcPr>
            <w:tcW w:w="81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1"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企业的诚信综合评价排名得分以投标截止当日广州市工程招标行业协会网站监理企业专栏上公布的企业60日诚信分得分为准。企业诚信综合诚信评价排名得分以监理-房建排名得分为准。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03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招标失败的情形</w:t>
            </w:r>
          </w:p>
        </w:tc>
        <w:tc>
          <w:tcPr>
            <w:tcW w:w="81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本项目采用资格后审方式，满足资格审查合格条件或通过初步评审的投标申请人不足3名时为招标失败。招标人分析招标失败原因，修正招标方案，报有关管理部门核准后，重新组织招标。</w:t>
            </w:r>
          </w:p>
          <w:p>
            <w:pPr>
              <w:pStyle w:val="23"/>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工程建设项目施工招标投标办法》第三十八条第三款规定：“依法必须进行施工招标的项目提交投标文件的投标人少于三个的，招标人在分析招标失败的原因并采取相应措施后，应当依法重新招标。重新招标后投标人仍少于三个的，属于必须审批、核准的工程建设项目，报经原审批、核准部门审批、核准后可以不再进行招标；其他工程建设项目，招标人可自行决定不再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037"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bookmarkStart w:id="121" w:name="_Toc184635071"/>
            <w:bookmarkStart w:id="122" w:name="_Toc393961865"/>
            <w:r>
              <w:rPr>
                <w:rFonts w:hint="eastAsia" w:ascii="宋体" w:hAnsi="宋体" w:eastAsia="宋体" w:cs="宋体"/>
                <w:color w:val="auto"/>
                <w:szCs w:val="21"/>
                <w:highlight w:val="none"/>
              </w:rPr>
              <w:t>中标候选人公示要求</w:t>
            </w:r>
          </w:p>
        </w:tc>
        <w:tc>
          <w:tcPr>
            <w:tcW w:w="8169" w:type="dxa"/>
            <w:gridSpan w:val="2"/>
            <w:vAlign w:val="center"/>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在产生中标候选人后，招标人将中标候选人的投标文件商务部分的电子版（报价清单、方案等涉及商业秘密的内容除外）在</w:t>
            </w:r>
            <w:r>
              <w:rPr>
                <w:rFonts w:hint="eastAsia" w:ascii="宋体" w:hAnsi="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037" w:type="dxa"/>
            <w:vAlign w:val="center"/>
          </w:tcPr>
          <w:p>
            <w:pPr>
              <w:spacing w:line="360" w:lineRule="auto"/>
              <w:jc w:val="cente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Cs w:val="21"/>
                <w:highlight w:val="none"/>
                <w:u w:val="single"/>
              </w:rPr>
              <w:t>监理机构人员配备要求</w:t>
            </w:r>
          </w:p>
        </w:tc>
        <w:tc>
          <w:tcPr>
            <w:tcW w:w="8169" w:type="dxa"/>
            <w:gridSpan w:val="2"/>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监理机构人员配备要求</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详见本须知后附表。</w:t>
            </w:r>
          </w:p>
        </w:tc>
      </w:tr>
    </w:tbl>
    <w:p>
      <w:pPr>
        <w:tabs>
          <w:tab w:val="left" w:pos="105"/>
        </w:tabs>
        <w:spacing w:line="360" w:lineRule="auto"/>
        <w:ind w:left="0" w:firstLine="0" w:firstLineChars="0"/>
        <w:rPr>
          <w:rFonts w:hint="eastAsia" w:ascii="宋体" w:hAnsi="宋体"/>
          <w:color w:val="auto"/>
          <w:sz w:val="24"/>
          <w:highlight w:val="none"/>
        </w:rPr>
      </w:pPr>
      <w:r>
        <w:rPr>
          <w:rFonts w:hint="eastAsia" w:ascii="宋体" w:hAnsi="宋体"/>
          <w:color w:val="auto"/>
          <w:sz w:val="24"/>
          <w:highlight w:val="none"/>
        </w:rPr>
        <w:br w:type="page"/>
      </w:r>
      <w:r>
        <w:rPr>
          <w:rFonts w:hint="eastAsia" w:ascii="宋体" w:hAnsi="宋体" w:cs="宋体"/>
          <w:color w:val="auto"/>
          <w:sz w:val="24"/>
          <w:szCs w:val="24"/>
          <w:highlight w:val="none"/>
          <w:u w:val="none"/>
        </w:rPr>
        <w:t>附表</w:t>
      </w:r>
      <w:r>
        <w:rPr>
          <w:rFonts w:hint="eastAsia" w:ascii="宋体" w:hAnsi="宋体" w:cs="宋体"/>
          <w:color w:val="auto"/>
          <w:sz w:val="24"/>
          <w:szCs w:val="24"/>
          <w:highlight w:val="none"/>
          <w:u w:val="none"/>
          <w:lang w:val="en-US" w:eastAsia="zh-CN"/>
        </w:rPr>
        <w:t>1</w:t>
      </w:r>
      <w:r>
        <w:rPr>
          <w:rFonts w:hint="eastAsia" w:ascii="宋体" w:hAnsi="宋体"/>
          <w:color w:val="auto"/>
          <w:sz w:val="24"/>
          <w:highlight w:val="none"/>
        </w:rPr>
        <w:t>监理机构人员配备要求：</w:t>
      </w:r>
    </w:p>
    <w:p>
      <w:pPr>
        <w:tabs>
          <w:tab w:val="left" w:pos="105"/>
        </w:tabs>
        <w:spacing w:line="360" w:lineRule="auto"/>
        <w:ind w:left="720"/>
        <w:jc w:val="center"/>
        <w:rPr>
          <w:rFonts w:ascii="宋体" w:hAnsi="宋体" w:cs="宋体"/>
          <w:b/>
          <w:color w:val="auto"/>
          <w:sz w:val="24"/>
          <w:szCs w:val="24"/>
          <w:highlight w:val="none"/>
        </w:rPr>
      </w:pPr>
      <w:r>
        <w:rPr>
          <w:rFonts w:hint="eastAsia" w:ascii="宋体" w:hAnsi="宋体" w:cs="宋体"/>
          <w:b/>
          <w:color w:val="auto"/>
          <w:sz w:val="24"/>
          <w:szCs w:val="24"/>
          <w:highlight w:val="none"/>
        </w:rPr>
        <w:t>监理机构人员配备要求表</w:t>
      </w:r>
    </w:p>
    <w:tbl>
      <w:tblPr>
        <w:tblStyle w:val="19"/>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000"/>
        <w:gridCol w:w="1360"/>
        <w:gridCol w:w="4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岗位</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最低要求数量</w:t>
            </w:r>
          </w:p>
        </w:tc>
        <w:tc>
          <w:tcPr>
            <w:tcW w:w="47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持证上岗要求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总监理工程师</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1名</w:t>
            </w:r>
          </w:p>
        </w:tc>
        <w:tc>
          <w:tcPr>
            <w:tcW w:w="4764" w:type="dxa"/>
            <w:tcBorders>
              <w:top w:val="single" w:color="auto" w:sz="4" w:space="0"/>
              <w:left w:val="single" w:color="auto" w:sz="4" w:space="0"/>
              <w:bottom w:val="single" w:color="auto" w:sz="4" w:space="0"/>
              <w:right w:val="single" w:color="auto" w:sz="4" w:space="0"/>
            </w:tcBorders>
            <w:noWrap w:val="0"/>
            <w:vAlign w:val="center"/>
          </w:tcPr>
          <w:p>
            <w:pPr>
              <w:pStyle w:val="18"/>
              <w:adjustRightInd w:val="0"/>
              <w:snapToGrid w:val="0"/>
              <w:spacing w:after="0"/>
              <w:ind w:left="0" w:leftChars="0" w:firstLine="0" w:firstLineChars="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资格要求与招标公告要求一致；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2</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总监代表</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1名</w:t>
            </w:r>
          </w:p>
        </w:tc>
        <w:tc>
          <w:tcPr>
            <w:tcW w:w="4764" w:type="dxa"/>
            <w:tcBorders>
              <w:top w:val="single" w:color="auto" w:sz="4" w:space="0"/>
              <w:left w:val="single" w:color="auto" w:sz="4" w:space="0"/>
              <w:bottom w:val="single" w:color="auto" w:sz="4" w:space="0"/>
              <w:right w:val="single" w:color="auto" w:sz="4" w:space="0"/>
            </w:tcBorders>
            <w:noWrap w:val="0"/>
            <w:vAlign w:val="center"/>
          </w:tcPr>
          <w:p>
            <w:pPr>
              <w:pStyle w:val="18"/>
              <w:adjustRightInd w:val="0"/>
              <w:snapToGrid w:val="0"/>
              <w:spacing w:after="0"/>
              <w:ind w:left="0" w:leftChars="0" w:firstLine="0" w:firstLineChars="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工程师或以上职称；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3</w:t>
            </w:r>
          </w:p>
        </w:tc>
        <w:tc>
          <w:tcPr>
            <w:tcW w:w="2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房建专业监理工程师</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w:t>
            </w:r>
            <w:r>
              <w:rPr>
                <w:rFonts w:hint="eastAsia" w:ascii="宋体" w:hAnsi="宋体"/>
                <w:color w:val="auto"/>
                <w:szCs w:val="21"/>
                <w:highlight w:val="none"/>
              </w:rPr>
              <w:t>名</w:t>
            </w:r>
          </w:p>
        </w:tc>
        <w:tc>
          <w:tcPr>
            <w:tcW w:w="4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adjustRightInd w:val="0"/>
              <w:snapToGrid w:val="0"/>
              <w:spacing w:after="0"/>
              <w:ind w:left="0" w:leftChars="0" w:firstLine="0" w:firstLineChars="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具备专业监理工程师或注册监理工程师，专业以注册证或专业监理工程师证或职称证或毕业证专业为准；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4</w:t>
            </w:r>
          </w:p>
        </w:tc>
        <w:tc>
          <w:tcPr>
            <w:tcW w:w="2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咨询工程师</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1名</w:t>
            </w:r>
          </w:p>
        </w:tc>
        <w:tc>
          <w:tcPr>
            <w:tcW w:w="4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adjustRightInd w:val="0"/>
              <w:snapToGrid w:val="0"/>
              <w:spacing w:after="0"/>
              <w:ind w:left="0" w:leftChars="0" w:firstLine="0" w:firstLineChars="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具备建筑专业的咨询工程师（投资）登记证书；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5</w:t>
            </w:r>
          </w:p>
        </w:tc>
        <w:tc>
          <w:tcPr>
            <w:tcW w:w="2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hAnsi="宋体"/>
                <w:color w:val="auto"/>
                <w:highlight w:val="none"/>
              </w:rPr>
              <w:t>机电专业监理工程师</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1</w:t>
            </w:r>
            <w:r>
              <w:rPr>
                <w:rFonts w:hint="eastAsia" w:ascii="宋体" w:hAnsi="宋体"/>
                <w:color w:val="auto"/>
                <w:highlight w:val="none"/>
              </w:rPr>
              <w:t>名</w:t>
            </w:r>
          </w:p>
        </w:tc>
        <w:tc>
          <w:tcPr>
            <w:tcW w:w="4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adjustRightInd w:val="0"/>
              <w:snapToGrid w:val="0"/>
              <w:spacing w:after="0"/>
              <w:ind w:left="0" w:leftChars="0" w:firstLine="0" w:firstLineChars="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具备专业监理工程师或注册监理工程师，专业以注册证或专业监理工程师证或职称证或毕业证专业为准；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2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default" w:ascii="宋体" w:hAnsi="Courier New" w:eastAsia="宋体" w:cs="Times New Roman"/>
                <w:color w:val="auto"/>
                <w:kern w:val="2"/>
                <w:sz w:val="21"/>
                <w:szCs w:val="21"/>
                <w:highlight w:val="none"/>
                <w:lang w:val="en-US" w:eastAsia="zh-CN" w:bidi="ar-SA"/>
              </w:rPr>
            </w:pPr>
            <w:r>
              <w:rPr>
                <w:rFonts w:hint="eastAsia" w:ascii="宋体" w:hAnsi="宋体" w:cs="宋体"/>
                <w:color w:val="auto"/>
                <w:szCs w:val="21"/>
                <w:highlight w:val="none"/>
              </w:rPr>
              <w:t>安全监理员或注册安全工程师</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名</w:t>
            </w:r>
          </w:p>
        </w:tc>
        <w:tc>
          <w:tcPr>
            <w:tcW w:w="4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adjustRightInd w:val="0"/>
              <w:snapToGrid w:val="0"/>
              <w:spacing w:after="0"/>
              <w:ind w:left="0" w:leftChars="0" w:firstLine="0" w:firstLineChars="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具备安全监理员证书或注册安全工程师注册证。</w:t>
            </w:r>
          </w:p>
          <w:p>
            <w:pPr>
              <w:pStyle w:val="18"/>
              <w:adjustRightInd w:val="0"/>
              <w:snapToGrid w:val="0"/>
              <w:spacing w:after="0"/>
              <w:ind w:left="0" w:leftChars="0" w:firstLine="0" w:firstLineChars="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要求施工期常驻工地。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2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造价工程师</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名</w:t>
            </w:r>
          </w:p>
        </w:tc>
        <w:tc>
          <w:tcPr>
            <w:tcW w:w="4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adjustRightInd w:val="0"/>
              <w:snapToGrid w:val="0"/>
              <w:spacing w:after="0"/>
              <w:ind w:left="0" w:leftChars="0" w:firstLine="0" w:firstLineChars="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具备二级注册造价工程师或以上资格。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2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监理员</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2</w:t>
            </w:r>
            <w:r>
              <w:rPr>
                <w:rFonts w:hint="eastAsia" w:ascii="宋体" w:hAnsi="宋体"/>
                <w:color w:val="auto"/>
                <w:szCs w:val="21"/>
                <w:highlight w:val="none"/>
              </w:rPr>
              <w:t>名</w:t>
            </w:r>
          </w:p>
        </w:tc>
        <w:tc>
          <w:tcPr>
            <w:tcW w:w="4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adjustRightInd w:val="0"/>
              <w:snapToGrid w:val="0"/>
              <w:spacing w:after="0"/>
              <w:ind w:left="0" w:leftChars="0" w:firstLine="0" w:firstLineChars="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具备监理员上岗证或培训证，专业为房屋建筑工程相关专业。</w:t>
            </w:r>
          </w:p>
          <w:p>
            <w:pPr>
              <w:pStyle w:val="18"/>
              <w:adjustRightInd w:val="0"/>
              <w:snapToGrid w:val="0"/>
              <w:spacing w:after="0"/>
              <w:ind w:left="0" w:leftChars="0" w:firstLine="0" w:firstLineChars="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或注册监理工程师证或专业监理工程师培训证。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总计</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名</w:t>
            </w:r>
          </w:p>
        </w:tc>
        <w:tc>
          <w:tcPr>
            <w:tcW w:w="4764" w:type="dxa"/>
            <w:tcBorders>
              <w:top w:val="single" w:color="auto" w:sz="4" w:space="0"/>
              <w:left w:val="single" w:color="auto" w:sz="4" w:space="0"/>
              <w:bottom w:val="single" w:color="auto" w:sz="4" w:space="0"/>
              <w:right w:val="single" w:color="auto" w:sz="4" w:space="0"/>
            </w:tcBorders>
            <w:noWrap w:val="0"/>
            <w:vAlign w:val="center"/>
          </w:tcPr>
          <w:p>
            <w:pPr>
              <w:pStyle w:val="18"/>
              <w:adjustRightInd w:val="0"/>
              <w:snapToGrid w:val="0"/>
              <w:spacing w:after="0"/>
              <w:ind w:left="0" w:leftChars="0" w:firstLine="0" w:firstLineChars="0"/>
              <w:jc w:val="left"/>
              <w:rPr>
                <w:rFonts w:hint="eastAsia" w:ascii="宋体" w:hAnsi="宋体"/>
                <w:color w:val="auto"/>
                <w:szCs w:val="21"/>
                <w:highlight w:val="none"/>
                <w:lang w:val="en-US" w:eastAsia="zh-CN"/>
              </w:rPr>
            </w:pPr>
          </w:p>
        </w:tc>
      </w:tr>
    </w:tbl>
    <w:p>
      <w:pPr>
        <w:spacing w:before="144" w:beforeLines="50" w:after="144" w:afterLines="50" w:line="276" w:lineRule="auto"/>
        <w:rPr>
          <w:rFonts w:hint="eastAsia" w:ascii="宋体" w:hAnsi="宋体" w:cs="宋体"/>
          <w:color w:val="auto"/>
          <w:szCs w:val="21"/>
          <w:highlight w:val="none"/>
        </w:rPr>
      </w:pPr>
      <w:r>
        <w:rPr>
          <w:rFonts w:hint="eastAsia" w:ascii="宋体" w:hAnsi="宋体" w:cs="宋体"/>
          <w:b/>
          <w:color w:val="auto"/>
          <w:szCs w:val="21"/>
          <w:highlight w:val="none"/>
        </w:rPr>
        <w:t>备注：</w:t>
      </w:r>
      <w:r>
        <w:rPr>
          <w:rFonts w:hint="eastAsia" w:ascii="宋体" w:hAnsi="宋体" w:cs="宋体"/>
          <w:color w:val="auto"/>
          <w:szCs w:val="21"/>
          <w:highlight w:val="none"/>
        </w:rPr>
        <w:t>①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可承担相应专业监理工程师岗位。</w:t>
      </w:r>
    </w:p>
    <w:p>
      <w:pPr>
        <w:pStyle w:val="18"/>
        <w:spacing w:after="144" w:afterLines="50"/>
        <w:ind w:left="0" w:leftChars="0" w:firstLine="0" w:firstLineChars="0"/>
        <w:rPr>
          <w:rFonts w:hint="eastAsia"/>
          <w:color w:val="auto"/>
          <w:highlight w:val="none"/>
          <w:lang w:eastAsia="zh-CN"/>
        </w:rPr>
      </w:pPr>
      <w:r>
        <w:rPr>
          <w:rFonts w:hint="eastAsia" w:ascii="宋体" w:hAnsi="宋体" w:cs="宋体"/>
          <w:color w:val="auto"/>
          <w:szCs w:val="21"/>
          <w:highlight w:val="none"/>
          <w:lang w:eastAsia="zh-CN"/>
        </w:rPr>
        <w:t>②</w:t>
      </w:r>
      <w:r>
        <w:rPr>
          <w:rFonts w:hint="eastAsia"/>
          <w:color w:val="auto"/>
          <w:highlight w:val="none"/>
          <w:lang w:eastAsia="zh-CN"/>
        </w:rPr>
        <w:t>按照《造价工程师职业资格制度规定》的规定，根据原人事部、原建设部发布的《造价工程师执业资格制度暂行规定》（人发〔1996〕77号）取得的造价工程师执业资格，并经注册且在有效期内的，等同于一级注册造价工程师。</w:t>
      </w:r>
    </w:p>
    <w:p>
      <w:pPr>
        <w:pStyle w:val="18"/>
        <w:spacing w:line="276" w:lineRule="auto"/>
        <w:ind w:left="0" w:leftChars="0" w:firstLine="0" w:firstLineChars="0"/>
        <w:rPr>
          <w:rFonts w:hint="eastAsia" w:ascii="宋体" w:hAnsi="宋体" w:cs="宋体"/>
          <w:color w:val="auto"/>
          <w:szCs w:val="21"/>
          <w:highlight w:val="none"/>
          <w:lang w:eastAsia="zh-CN"/>
        </w:rPr>
      </w:pPr>
      <w:r>
        <w:rPr>
          <w:rFonts w:hint="eastAsia" w:ascii="宋体" w:hAnsi="宋体" w:cs="宋体"/>
          <w:color w:val="auto"/>
          <w:szCs w:val="21"/>
          <w:highlight w:val="none"/>
        </w:rPr>
        <w:t>③</w:t>
      </w:r>
      <w:r>
        <w:rPr>
          <w:rFonts w:hint="eastAsia" w:ascii="宋体" w:hAnsi="宋体" w:cs="宋体"/>
          <w:color w:val="auto"/>
          <w:szCs w:val="21"/>
          <w:highlight w:val="none"/>
          <w:lang w:eastAsia="zh-CN"/>
        </w:rPr>
        <w:t>总监理工程师及监理机构人员资格、认证证书及社保证明等方面内容必须提供相应的证明材料；</w:t>
      </w:r>
      <w:r>
        <w:rPr>
          <w:rFonts w:ascii="宋体" w:hAnsi="宋体" w:cs="宋体"/>
          <w:color w:val="auto"/>
          <w:szCs w:val="21"/>
          <w:highlight w:val="none"/>
          <w:lang w:eastAsia="zh-CN"/>
        </w:rPr>
        <w:t>所投入人员必须为投标人本单位人员，</w:t>
      </w:r>
      <w:r>
        <w:rPr>
          <w:rFonts w:hint="eastAsia" w:ascii="宋体" w:hAnsi="宋体" w:cs="宋体"/>
          <w:color w:val="auto"/>
          <w:szCs w:val="21"/>
          <w:highlight w:val="none"/>
          <w:lang w:val="en-US" w:eastAsia="zh-CN"/>
        </w:rPr>
        <w:t>注册证或登记证或岗位证书需在本单位注册或登记。</w:t>
      </w:r>
      <w:r>
        <w:rPr>
          <w:rFonts w:ascii="宋体" w:hAnsi="宋体" w:cs="宋体"/>
          <w:color w:val="auto"/>
          <w:szCs w:val="21"/>
          <w:highlight w:val="none"/>
          <w:lang w:eastAsia="zh-CN"/>
        </w:rPr>
        <w:t>所有人员须</w:t>
      </w:r>
      <w:r>
        <w:rPr>
          <w:rFonts w:hint="eastAsia" w:ascii="宋体" w:hAnsi="宋体"/>
          <w:color w:val="auto"/>
          <w:highlight w:val="none"/>
        </w:rPr>
        <w:t>提供近</w:t>
      </w:r>
      <w:r>
        <w:rPr>
          <w:rFonts w:hint="eastAsia" w:ascii="宋体" w:hAnsi="宋体"/>
          <w:color w:val="auto"/>
          <w:highlight w:val="none"/>
          <w:lang w:eastAsia="zh-CN"/>
        </w:rPr>
        <w:t>三</w:t>
      </w:r>
      <w:r>
        <w:rPr>
          <w:rFonts w:hint="eastAsia" w:ascii="宋体" w:hAnsi="宋体"/>
          <w:color w:val="auto"/>
          <w:highlight w:val="none"/>
        </w:rPr>
        <w:t>个月（指202</w:t>
      </w:r>
      <w:r>
        <w:rPr>
          <w:rFonts w:hint="eastAsia" w:ascii="宋体" w:hAnsi="宋体"/>
          <w:color w:val="auto"/>
          <w:highlight w:val="none"/>
          <w:lang w:val="en-US" w:eastAsia="zh-CN"/>
        </w:rPr>
        <w:t>5</w:t>
      </w:r>
      <w:r>
        <w:rPr>
          <w:rFonts w:hint="eastAsia" w:ascii="宋体" w:hAnsi="宋体"/>
          <w:color w:val="auto"/>
          <w:highlight w:val="none"/>
        </w:rPr>
        <w:t>年</w:t>
      </w:r>
      <w:r>
        <w:rPr>
          <w:rFonts w:hint="eastAsia" w:ascii="宋体" w:hAnsi="宋体"/>
          <w:color w:val="auto"/>
          <w:highlight w:val="none"/>
          <w:lang w:val="en-US" w:eastAsia="zh-CN"/>
        </w:rPr>
        <w:t>4</w:t>
      </w:r>
      <w:r>
        <w:rPr>
          <w:rFonts w:hint="eastAsia" w:ascii="宋体" w:hAnsi="宋体"/>
          <w:color w:val="auto"/>
          <w:highlight w:val="none"/>
        </w:rPr>
        <w:t>月</w:t>
      </w:r>
      <w:r>
        <w:rPr>
          <w:rFonts w:hint="eastAsia" w:ascii="宋体" w:hAnsi="宋体"/>
          <w:color w:val="auto"/>
          <w:highlight w:val="none"/>
          <w:lang w:eastAsia="zh-CN"/>
        </w:rPr>
        <w:t>、</w:t>
      </w:r>
      <w:r>
        <w:rPr>
          <w:rFonts w:hint="eastAsia" w:ascii="宋体" w:hAnsi="宋体"/>
          <w:color w:val="auto"/>
          <w:highlight w:val="none"/>
          <w:lang w:val="en-US" w:eastAsia="zh-CN"/>
        </w:rPr>
        <w:t>5月、6月</w:t>
      </w:r>
      <w:r>
        <w:rPr>
          <w:rFonts w:hint="eastAsia" w:ascii="宋体" w:hAnsi="宋体"/>
          <w:color w:val="auto"/>
          <w:highlight w:val="none"/>
        </w:rPr>
        <w:t>）</w:t>
      </w:r>
      <w:r>
        <w:rPr>
          <w:rFonts w:ascii="宋体" w:hAnsi="宋体" w:cs="宋体"/>
          <w:color w:val="auto"/>
          <w:szCs w:val="21"/>
          <w:highlight w:val="none"/>
          <w:lang w:eastAsia="zh-CN"/>
        </w:rPr>
        <w:t>在本投标单位购买社保缴纳证明材料，提供证明资料的清晰扫描件并加盖投标单位电子印章。</w:t>
      </w:r>
    </w:p>
    <w:p>
      <w:pPr>
        <w:spacing w:line="276" w:lineRule="auto"/>
        <w:rPr>
          <w:rFonts w:hint="eastAsia" w:ascii="宋体" w:hAnsi="宋体" w:eastAsia="宋体" w:cs="宋体"/>
          <w:bCs w:val="0"/>
          <w:color w:val="auto"/>
          <w:spacing w:val="0"/>
          <w:szCs w:val="21"/>
          <w:highlight w:val="none"/>
        </w:rPr>
      </w:pPr>
      <w:r>
        <w:rPr>
          <w:rFonts w:hint="eastAsia" w:ascii="仿宋" w:hAnsi="仿宋" w:eastAsia="仿宋" w:cs="仿宋"/>
          <w:color w:val="auto"/>
          <w:szCs w:val="21"/>
          <w:highlight w:val="none"/>
        </w:rPr>
        <w:t>④</w:t>
      </w:r>
      <w:r>
        <w:rPr>
          <w:rFonts w:hint="eastAsia" w:ascii="宋体" w:hAnsi="宋体" w:eastAsia="宋体" w:cs="Times New Roman"/>
          <w:color w:val="auto"/>
          <w:szCs w:val="24"/>
          <w:highlight w:val="none"/>
        </w:rPr>
        <w:t>总监理工程师按法定要求出席履职。总监理工程师代表、</w:t>
      </w:r>
      <w:r>
        <w:rPr>
          <w:rFonts w:hint="eastAsia" w:ascii="宋体" w:hAnsi="宋体" w:eastAsia="宋体" w:cs="Times New Roman"/>
          <w:bCs w:val="0"/>
          <w:color w:val="auto"/>
          <w:spacing w:val="0"/>
          <w:szCs w:val="24"/>
          <w:highlight w:val="none"/>
        </w:rPr>
        <w:t>资</w:t>
      </w:r>
      <w:r>
        <w:rPr>
          <w:rFonts w:hint="eastAsia" w:ascii="宋体" w:hAnsi="宋体" w:eastAsia="宋体" w:cs="宋体"/>
          <w:bCs w:val="0"/>
          <w:color w:val="auto"/>
          <w:spacing w:val="0"/>
          <w:szCs w:val="21"/>
          <w:highlight w:val="none"/>
        </w:rPr>
        <w:t>料员、安全监理员或注册安全工程师必须在施工全过程常驻现场，其他监理人员应驻场的具体阶段由委托人和监理人在合同签订时具体协商确定。</w:t>
      </w:r>
    </w:p>
    <w:p>
      <w:pPr>
        <w:spacing w:line="276" w:lineRule="auto"/>
        <w:rPr>
          <w:rFonts w:ascii="宋体" w:hAnsi="宋体" w:cs="宋体"/>
          <w:color w:val="auto"/>
          <w:szCs w:val="21"/>
          <w:highlight w:val="none"/>
        </w:rPr>
      </w:pPr>
      <w:r>
        <w:rPr>
          <w:rFonts w:hint="eastAsia" w:ascii="宋体" w:hAnsi="宋体" w:eastAsia="宋体" w:cs="宋体"/>
          <w:color w:val="auto"/>
          <w:szCs w:val="21"/>
          <w:highlight w:val="none"/>
        </w:rPr>
        <w:t>⑤</w:t>
      </w:r>
      <w:r>
        <w:rPr>
          <w:rFonts w:hint="eastAsia" w:ascii="宋体" w:hAnsi="宋体" w:cs="宋体"/>
          <w:color w:val="auto"/>
          <w:szCs w:val="21"/>
          <w:highlight w:val="none"/>
        </w:rPr>
        <w:t>上述人员要求不作为形式评审、资格评审、响应性评审的审查依据，只作为综合评分表中的评审依据。</w:t>
      </w:r>
    </w:p>
    <w:p>
      <w:pPr>
        <w:pStyle w:val="4"/>
        <w:jc w:val="center"/>
        <w:outlineLvl w:val="1"/>
        <w:rPr>
          <w:rFonts w:ascii="宋体" w:cs="宋体"/>
          <w:color w:val="auto"/>
          <w:kern w:val="21"/>
          <w:sz w:val="30"/>
          <w:szCs w:val="30"/>
          <w:highlight w:val="none"/>
        </w:rPr>
      </w:pPr>
      <w:r>
        <w:rPr>
          <w:rFonts w:ascii="宋体" w:hAnsi="宋体"/>
          <w:color w:val="auto"/>
          <w:highlight w:val="none"/>
        </w:rPr>
        <w:br w:type="page"/>
      </w:r>
      <w:bookmarkStart w:id="123" w:name="_Toc14636"/>
      <w:bookmarkStart w:id="124" w:name="_Toc22899"/>
      <w:bookmarkStart w:id="125" w:name="_Toc19482"/>
      <w:bookmarkStart w:id="126" w:name="_Toc5329"/>
      <w:bookmarkStart w:id="127" w:name="_Toc7516"/>
      <w:bookmarkStart w:id="128" w:name="_Toc19265"/>
      <w:bookmarkStart w:id="129" w:name="_Toc11133"/>
      <w:bookmarkStart w:id="130" w:name="_Toc3954"/>
      <w:bookmarkStart w:id="131" w:name="_Toc3898"/>
      <w:bookmarkStart w:id="132" w:name="_Toc32126"/>
      <w:bookmarkStart w:id="133" w:name="_Toc21478"/>
      <w:bookmarkStart w:id="134" w:name="_Toc3790"/>
      <w:bookmarkStart w:id="135" w:name="_Toc6973"/>
      <w:bookmarkStart w:id="136" w:name="_Toc18101"/>
      <w:bookmarkStart w:id="137" w:name="_Toc25320"/>
      <w:bookmarkStart w:id="138" w:name="_Toc25846"/>
      <w:bookmarkStart w:id="139" w:name="_Toc16220"/>
      <w:bookmarkStart w:id="140" w:name="_Toc25160"/>
      <w:bookmarkStart w:id="141" w:name="_Toc1765"/>
      <w:bookmarkStart w:id="142" w:name="_Toc8807"/>
      <w:bookmarkStart w:id="143" w:name="_Toc21587"/>
      <w:bookmarkStart w:id="144" w:name="_Toc7526"/>
      <w:bookmarkStart w:id="145" w:name="_Toc13444"/>
      <w:bookmarkStart w:id="146" w:name="_Toc514170121"/>
      <w:bookmarkStart w:id="147" w:name="_Toc25165"/>
      <w:bookmarkStart w:id="148" w:name="_Toc20776"/>
      <w:bookmarkStart w:id="149" w:name="_Toc30533"/>
      <w:bookmarkStart w:id="150" w:name="_Toc9855"/>
      <w:r>
        <w:rPr>
          <w:rFonts w:hint="eastAsia" w:ascii="宋体" w:cs="宋体"/>
          <w:color w:val="auto"/>
          <w:kern w:val="21"/>
          <w:sz w:val="30"/>
          <w:szCs w:val="30"/>
          <w:highlight w:val="none"/>
        </w:rPr>
        <w:t>1. 总则</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spacing w:line="360" w:lineRule="auto"/>
        <w:ind w:left="237" w:right="-20" w:firstLine="283" w:firstLineChars="100"/>
        <w:jc w:val="left"/>
        <w:outlineLvl w:val="2"/>
        <w:rPr>
          <w:rFonts w:ascii="宋体" w:cs="宋体"/>
          <w:b/>
          <w:bCs/>
          <w:color w:val="auto"/>
          <w:sz w:val="28"/>
          <w:highlight w:val="none"/>
        </w:rPr>
      </w:pPr>
      <w:bookmarkStart w:id="151" w:name="_Toc21597"/>
      <w:bookmarkStart w:id="152" w:name="_Toc14230"/>
      <w:bookmarkStart w:id="153" w:name="_Toc27536"/>
      <w:r>
        <w:rPr>
          <w:rFonts w:hint="eastAsia" w:ascii="宋体" w:cs="宋体"/>
          <w:b/>
          <w:bCs/>
          <w:color w:val="auto"/>
          <w:spacing w:val="1"/>
          <w:sz w:val="28"/>
          <w:highlight w:val="none"/>
        </w:rPr>
        <w:t>1</w:t>
      </w:r>
      <w:r>
        <w:rPr>
          <w:rFonts w:hint="eastAsia" w:ascii="宋体" w:cs="宋体"/>
          <w:b/>
          <w:bCs/>
          <w:color w:val="auto"/>
          <w:sz w:val="28"/>
          <w:highlight w:val="none"/>
        </w:rPr>
        <w:t>.1招标项目</w:t>
      </w:r>
      <w:r>
        <w:rPr>
          <w:rFonts w:hint="eastAsia" w:ascii="宋体" w:cs="宋体"/>
          <w:b/>
          <w:bCs/>
          <w:color w:val="auto"/>
          <w:spacing w:val="-3"/>
          <w:sz w:val="28"/>
          <w:highlight w:val="none"/>
        </w:rPr>
        <w:t>概</w:t>
      </w:r>
      <w:r>
        <w:rPr>
          <w:rFonts w:hint="eastAsia" w:ascii="宋体" w:cs="宋体"/>
          <w:b/>
          <w:bCs/>
          <w:color w:val="auto"/>
          <w:sz w:val="28"/>
          <w:highlight w:val="none"/>
        </w:rPr>
        <w:t>况</w:t>
      </w:r>
      <w:bookmarkEnd w:id="151"/>
      <w:bookmarkEnd w:id="152"/>
      <w:bookmarkEnd w:id="153"/>
    </w:p>
    <w:p>
      <w:pPr>
        <w:spacing w:line="360" w:lineRule="auto"/>
        <w:ind w:left="100" w:right="42" w:firstLine="420"/>
        <w:jc w:val="left"/>
        <w:rPr>
          <w:rFonts w:hint="eastAsia" w:ascii="宋体" w:hAnsi="宋体" w:eastAsia="宋体" w:cs="宋体"/>
          <w:color w:val="auto"/>
          <w:highlight w:val="none"/>
        </w:rPr>
      </w:pPr>
      <w:r>
        <w:rPr>
          <w:rFonts w:hint="eastAsia" w:ascii="宋体" w:hAnsi="宋体" w:eastAsia="宋体" w:cs="宋体"/>
          <w:color w:val="auto"/>
          <w:highlight w:val="none"/>
        </w:rPr>
        <w:t>1.1.1根</w:t>
      </w:r>
      <w:r>
        <w:rPr>
          <w:rFonts w:hint="eastAsia" w:ascii="宋体" w:hAnsi="宋体" w:eastAsia="宋体" w:cs="宋体"/>
          <w:color w:val="auto"/>
          <w:spacing w:val="-10"/>
          <w:highlight w:val="none"/>
        </w:rPr>
        <w:t>据</w:t>
      </w:r>
      <w:r>
        <w:rPr>
          <w:rFonts w:hint="eastAsia" w:ascii="宋体" w:hAnsi="宋体" w:eastAsia="宋体" w:cs="宋体"/>
          <w:color w:val="auto"/>
          <w:highlight w:val="none"/>
        </w:rPr>
        <w:t>《</w:t>
      </w:r>
      <w:r>
        <w:rPr>
          <w:rFonts w:hint="eastAsia" w:ascii="宋体" w:hAnsi="宋体" w:eastAsia="宋体" w:cs="宋体"/>
          <w:color w:val="auto"/>
          <w:spacing w:val="-2"/>
          <w:highlight w:val="none"/>
        </w:rPr>
        <w:t>中</w:t>
      </w:r>
      <w:r>
        <w:rPr>
          <w:rFonts w:hint="eastAsia" w:ascii="宋体" w:hAnsi="宋体" w:eastAsia="宋体" w:cs="宋体"/>
          <w:color w:val="auto"/>
          <w:highlight w:val="none"/>
        </w:rPr>
        <w:t>华</w:t>
      </w:r>
      <w:r>
        <w:rPr>
          <w:rFonts w:hint="eastAsia" w:ascii="宋体" w:hAnsi="宋体" w:eastAsia="宋体" w:cs="宋体"/>
          <w:color w:val="auto"/>
          <w:spacing w:val="-2"/>
          <w:highlight w:val="none"/>
        </w:rPr>
        <w:t>人</w:t>
      </w:r>
      <w:r>
        <w:rPr>
          <w:rFonts w:hint="eastAsia" w:ascii="宋体" w:hAnsi="宋体" w:eastAsia="宋体" w:cs="宋体"/>
          <w:color w:val="auto"/>
          <w:highlight w:val="none"/>
        </w:rPr>
        <w:t>民</w:t>
      </w:r>
      <w:r>
        <w:rPr>
          <w:rFonts w:hint="eastAsia" w:ascii="宋体" w:hAnsi="宋体" w:eastAsia="宋体" w:cs="宋体"/>
          <w:color w:val="auto"/>
          <w:spacing w:val="-2"/>
          <w:highlight w:val="none"/>
        </w:rPr>
        <w:t>共和</w:t>
      </w:r>
      <w:r>
        <w:rPr>
          <w:rFonts w:hint="eastAsia" w:ascii="宋体" w:hAnsi="宋体" w:eastAsia="宋体" w:cs="宋体"/>
          <w:color w:val="auto"/>
          <w:highlight w:val="none"/>
        </w:rPr>
        <w:t>国招</w:t>
      </w:r>
      <w:r>
        <w:rPr>
          <w:rFonts w:hint="eastAsia" w:ascii="宋体" w:hAnsi="宋体" w:eastAsia="宋体" w:cs="宋体"/>
          <w:color w:val="auto"/>
          <w:spacing w:val="-2"/>
          <w:highlight w:val="none"/>
        </w:rPr>
        <w:t>标</w:t>
      </w:r>
      <w:r>
        <w:rPr>
          <w:rFonts w:hint="eastAsia" w:ascii="宋体" w:hAnsi="宋体" w:eastAsia="宋体" w:cs="宋体"/>
          <w:color w:val="auto"/>
          <w:highlight w:val="none"/>
        </w:rPr>
        <w:t>投</w:t>
      </w:r>
      <w:r>
        <w:rPr>
          <w:rFonts w:hint="eastAsia" w:ascii="宋体" w:hAnsi="宋体" w:eastAsia="宋体" w:cs="宋体"/>
          <w:color w:val="auto"/>
          <w:spacing w:val="-2"/>
          <w:highlight w:val="none"/>
        </w:rPr>
        <w:t>标</w:t>
      </w:r>
      <w:r>
        <w:rPr>
          <w:rFonts w:hint="eastAsia" w:ascii="宋体" w:hAnsi="宋体" w:eastAsia="宋体" w:cs="宋体"/>
          <w:color w:val="auto"/>
          <w:highlight w:val="none"/>
        </w:rPr>
        <w:t>法</w:t>
      </w:r>
      <w:r>
        <w:rPr>
          <w:rFonts w:hint="eastAsia" w:ascii="宋体" w:hAnsi="宋体" w:eastAsia="宋体" w:cs="宋体"/>
          <w:color w:val="auto"/>
          <w:spacing w:val="-106"/>
          <w:highlight w:val="none"/>
        </w:rPr>
        <w:t>》</w:t>
      </w:r>
      <w:r>
        <w:rPr>
          <w:rFonts w:hint="eastAsia" w:ascii="宋体" w:hAnsi="宋体" w:eastAsia="宋体" w:cs="宋体"/>
          <w:color w:val="auto"/>
          <w:spacing w:val="-115"/>
          <w:highlight w:val="none"/>
        </w:rPr>
        <w:t>、</w:t>
      </w:r>
      <w:r>
        <w:rPr>
          <w:rFonts w:hint="eastAsia" w:ascii="宋体" w:hAnsi="宋体" w:eastAsia="宋体" w:cs="宋体"/>
          <w:color w:val="auto"/>
          <w:spacing w:val="-2"/>
          <w:highlight w:val="none"/>
        </w:rPr>
        <w:t>》、《</w:t>
      </w:r>
      <w:r>
        <w:rPr>
          <w:rFonts w:hint="eastAsia" w:ascii="宋体" w:hAnsi="宋体" w:eastAsia="宋体" w:cs="宋体"/>
          <w:color w:val="auto"/>
          <w:highlight w:val="none"/>
        </w:rPr>
        <w:t>中</w:t>
      </w:r>
      <w:r>
        <w:rPr>
          <w:rFonts w:hint="eastAsia" w:ascii="宋体" w:hAnsi="宋体" w:eastAsia="宋体" w:cs="宋体"/>
          <w:color w:val="auto"/>
          <w:spacing w:val="-2"/>
          <w:highlight w:val="none"/>
        </w:rPr>
        <w:t>华人</w:t>
      </w:r>
      <w:r>
        <w:rPr>
          <w:rFonts w:hint="eastAsia" w:ascii="宋体" w:hAnsi="宋体" w:eastAsia="宋体" w:cs="宋体"/>
          <w:color w:val="auto"/>
          <w:highlight w:val="none"/>
        </w:rPr>
        <w:t>民共</w:t>
      </w:r>
      <w:r>
        <w:rPr>
          <w:rFonts w:hint="eastAsia" w:ascii="宋体" w:hAnsi="宋体" w:eastAsia="宋体" w:cs="宋体"/>
          <w:color w:val="auto"/>
          <w:spacing w:val="-2"/>
          <w:highlight w:val="none"/>
        </w:rPr>
        <w:t>和</w:t>
      </w:r>
      <w:r>
        <w:rPr>
          <w:rFonts w:hint="eastAsia" w:ascii="宋体" w:hAnsi="宋体" w:eastAsia="宋体" w:cs="宋体"/>
          <w:color w:val="auto"/>
          <w:highlight w:val="none"/>
        </w:rPr>
        <w:t>国</w:t>
      </w:r>
      <w:r>
        <w:rPr>
          <w:rFonts w:hint="eastAsia" w:ascii="宋体" w:hAnsi="宋体" w:eastAsia="宋体" w:cs="宋体"/>
          <w:color w:val="auto"/>
          <w:spacing w:val="-2"/>
          <w:highlight w:val="none"/>
        </w:rPr>
        <w:t>招</w:t>
      </w:r>
      <w:r>
        <w:rPr>
          <w:rFonts w:hint="eastAsia" w:ascii="宋体" w:hAnsi="宋体" w:eastAsia="宋体" w:cs="宋体"/>
          <w:color w:val="auto"/>
          <w:highlight w:val="none"/>
        </w:rPr>
        <w:t>标</w:t>
      </w:r>
      <w:r>
        <w:rPr>
          <w:rFonts w:hint="eastAsia" w:ascii="宋体" w:hAnsi="宋体" w:eastAsia="宋体" w:cs="宋体"/>
          <w:color w:val="auto"/>
          <w:spacing w:val="-2"/>
          <w:highlight w:val="none"/>
        </w:rPr>
        <w:t>投</w:t>
      </w:r>
      <w:r>
        <w:rPr>
          <w:rFonts w:hint="eastAsia" w:ascii="宋体" w:hAnsi="宋体" w:eastAsia="宋体" w:cs="宋体"/>
          <w:color w:val="auto"/>
          <w:highlight w:val="none"/>
        </w:rPr>
        <w:t>标</w:t>
      </w:r>
      <w:r>
        <w:rPr>
          <w:rFonts w:hint="eastAsia" w:ascii="宋体" w:hAnsi="宋体" w:eastAsia="宋体" w:cs="宋体"/>
          <w:color w:val="auto"/>
          <w:spacing w:val="-2"/>
          <w:highlight w:val="none"/>
        </w:rPr>
        <w:t>法</w:t>
      </w:r>
      <w:r>
        <w:rPr>
          <w:rFonts w:hint="eastAsia" w:ascii="宋体" w:hAnsi="宋体" w:eastAsia="宋体" w:cs="宋体"/>
          <w:color w:val="auto"/>
          <w:highlight w:val="none"/>
        </w:rPr>
        <w:t>实</w:t>
      </w:r>
      <w:r>
        <w:rPr>
          <w:rFonts w:hint="eastAsia" w:ascii="宋体" w:hAnsi="宋体" w:eastAsia="宋体" w:cs="宋体"/>
          <w:color w:val="auto"/>
          <w:spacing w:val="-2"/>
          <w:highlight w:val="none"/>
        </w:rPr>
        <w:t>施</w:t>
      </w:r>
      <w:r>
        <w:rPr>
          <w:rFonts w:hint="eastAsia" w:ascii="宋体" w:hAnsi="宋体" w:eastAsia="宋体" w:cs="宋体"/>
          <w:color w:val="auto"/>
          <w:highlight w:val="none"/>
        </w:rPr>
        <w:t>条</w:t>
      </w:r>
      <w:r>
        <w:rPr>
          <w:rFonts w:hint="eastAsia" w:ascii="宋体" w:hAnsi="宋体" w:eastAsia="宋体" w:cs="宋体"/>
          <w:color w:val="auto"/>
          <w:spacing w:val="-2"/>
          <w:highlight w:val="none"/>
        </w:rPr>
        <w:t>例</w:t>
      </w:r>
      <w:r>
        <w:rPr>
          <w:rFonts w:hint="eastAsia" w:ascii="宋体" w:hAnsi="宋体" w:eastAsia="宋体" w:cs="宋体"/>
          <w:color w:val="auto"/>
          <w:spacing w:val="-7"/>
          <w:highlight w:val="none"/>
        </w:rPr>
        <w:t>》</w:t>
      </w:r>
      <w:r>
        <w:rPr>
          <w:rFonts w:hint="eastAsia" w:ascii="宋体" w:hAnsi="宋体" w:eastAsia="宋体" w:cs="宋体"/>
          <w:color w:val="auto"/>
          <w:spacing w:val="-2"/>
          <w:highlight w:val="none"/>
        </w:rPr>
        <w:t>等</w:t>
      </w:r>
      <w:r>
        <w:rPr>
          <w:rFonts w:hint="eastAsia" w:ascii="宋体" w:hAnsi="宋体" w:eastAsia="宋体" w:cs="宋体"/>
          <w:color w:val="auto"/>
          <w:highlight w:val="none"/>
        </w:rPr>
        <w:t>有关法律</w:t>
      </w:r>
      <w:r>
        <w:rPr>
          <w:rFonts w:hint="eastAsia" w:ascii="宋体" w:hAnsi="宋体" w:eastAsia="宋体" w:cs="宋体"/>
          <w:color w:val="auto"/>
          <w:spacing w:val="-2"/>
          <w:highlight w:val="none"/>
        </w:rPr>
        <w:t>、</w:t>
      </w:r>
      <w:r>
        <w:rPr>
          <w:rFonts w:hint="eastAsia" w:ascii="宋体" w:hAnsi="宋体" w:eastAsia="宋体" w:cs="宋体"/>
          <w:color w:val="auto"/>
          <w:highlight w:val="none"/>
        </w:rPr>
        <w:t>法</w:t>
      </w:r>
      <w:r>
        <w:rPr>
          <w:rFonts w:hint="eastAsia" w:ascii="宋体" w:hAnsi="宋体" w:eastAsia="宋体" w:cs="宋体"/>
          <w:color w:val="auto"/>
          <w:spacing w:val="-2"/>
          <w:highlight w:val="none"/>
        </w:rPr>
        <w:t>规</w:t>
      </w:r>
      <w:r>
        <w:rPr>
          <w:rFonts w:hint="eastAsia" w:ascii="宋体" w:hAnsi="宋体" w:eastAsia="宋体" w:cs="宋体"/>
          <w:color w:val="auto"/>
          <w:highlight w:val="none"/>
        </w:rPr>
        <w:t>和</w:t>
      </w:r>
      <w:r>
        <w:rPr>
          <w:rFonts w:hint="eastAsia" w:ascii="宋体" w:hAnsi="宋体" w:eastAsia="宋体" w:cs="宋体"/>
          <w:color w:val="auto"/>
          <w:spacing w:val="-2"/>
          <w:highlight w:val="none"/>
        </w:rPr>
        <w:t>规</w:t>
      </w:r>
      <w:r>
        <w:rPr>
          <w:rFonts w:hint="eastAsia" w:ascii="宋体" w:hAnsi="宋体" w:eastAsia="宋体" w:cs="宋体"/>
          <w:color w:val="auto"/>
          <w:highlight w:val="none"/>
        </w:rPr>
        <w:t>章</w:t>
      </w:r>
      <w:r>
        <w:rPr>
          <w:rFonts w:hint="eastAsia" w:ascii="宋体" w:hAnsi="宋体" w:eastAsia="宋体" w:cs="宋体"/>
          <w:color w:val="auto"/>
          <w:spacing w:val="-2"/>
          <w:highlight w:val="none"/>
        </w:rPr>
        <w:t>的</w:t>
      </w:r>
      <w:r>
        <w:rPr>
          <w:rFonts w:hint="eastAsia" w:ascii="宋体" w:hAnsi="宋体" w:eastAsia="宋体" w:cs="宋体"/>
          <w:color w:val="auto"/>
          <w:highlight w:val="none"/>
        </w:rPr>
        <w:t>规</w:t>
      </w:r>
      <w:r>
        <w:rPr>
          <w:rFonts w:hint="eastAsia" w:ascii="宋体" w:hAnsi="宋体" w:eastAsia="宋体" w:cs="宋体"/>
          <w:color w:val="auto"/>
          <w:spacing w:val="-2"/>
          <w:highlight w:val="none"/>
        </w:rPr>
        <w:t>定</w:t>
      </w:r>
      <w:r>
        <w:rPr>
          <w:rFonts w:hint="eastAsia" w:ascii="宋体" w:hAnsi="宋体" w:eastAsia="宋体" w:cs="宋体"/>
          <w:color w:val="auto"/>
          <w:highlight w:val="none"/>
        </w:rPr>
        <w:t>，本</w:t>
      </w:r>
      <w:r>
        <w:rPr>
          <w:rFonts w:hint="eastAsia" w:ascii="宋体" w:hAnsi="宋体" w:eastAsia="宋体" w:cs="宋体"/>
          <w:color w:val="auto"/>
          <w:spacing w:val="-2"/>
          <w:highlight w:val="none"/>
        </w:rPr>
        <w:t>招</w:t>
      </w:r>
      <w:r>
        <w:rPr>
          <w:rFonts w:hint="eastAsia" w:ascii="宋体" w:hAnsi="宋体" w:eastAsia="宋体" w:cs="宋体"/>
          <w:color w:val="auto"/>
          <w:highlight w:val="none"/>
        </w:rPr>
        <w:t>标</w:t>
      </w:r>
      <w:r>
        <w:rPr>
          <w:rFonts w:hint="eastAsia" w:ascii="宋体" w:hAnsi="宋体" w:eastAsia="宋体" w:cs="宋体"/>
          <w:color w:val="auto"/>
          <w:spacing w:val="-2"/>
          <w:highlight w:val="none"/>
        </w:rPr>
        <w:t>项</w:t>
      </w:r>
      <w:r>
        <w:rPr>
          <w:rFonts w:hint="eastAsia" w:ascii="宋体" w:hAnsi="宋体" w:eastAsia="宋体" w:cs="宋体"/>
          <w:color w:val="auto"/>
          <w:highlight w:val="none"/>
        </w:rPr>
        <w:t>目</w:t>
      </w:r>
      <w:r>
        <w:rPr>
          <w:rFonts w:hint="eastAsia" w:ascii="宋体" w:hAnsi="宋体" w:eastAsia="宋体" w:cs="宋体"/>
          <w:color w:val="auto"/>
          <w:spacing w:val="-2"/>
          <w:highlight w:val="none"/>
        </w:rPr>
        <w:t>已</w:t>
      </w:r>
      <w:r>
        <w:rPr>
          <w:rFonts w:hint="eastAsia" w:ascii="宋体" w:hAnsi="宋体" w:eastAsia="宋体" w:cs="宋体"/>
          <w:color w:val="auto"/>
          <w:highlight w:val="none"/>
        </w:rPr>
        <w:t>具</w:t>
      </w:r>
      <w:r>
        <w:rPr>
          <w:rFonts w:hint="eastAsia" w:ascii="宋体" w:hAnsi="宋体" w:eastAsia="宋体" w:cs="宋体"/>
          <w:color w:val="auto"/>
          <w:spacing w:val="-2"/>
          <w:highlight w:val="none"/>
        </w:rPr>
        <w:t>备</w:t>
      </w:r>
      <w:r>
        <w:rPr>
          <w:rFonts w:hint="eastAsia" w:ascii="宋体" w:hAnsi="宋体" w:eastAsia="宋体" w:cs="宋体"/>
          <w:color w:val="auto"/>
          <w:highlight w:val="none"/>
        </w:rPr>
        <w:t>招</w:t>
      </w:r>
      <w:r>
        <w:rPr>
          <w:rFonts w:hint="eastAsia" w:ascii="宋体" w:hAnsi="宋体" w:eastAsia="宋体" w:cs="宋体"/>
          <w:color w:val="auto"/>
          <w:spacing w:val="-2"/>
          <w:highlight w:val="none"/>
        </w:rPr>
        <w:t>标</w:t>
      </w:r>
      <w:r>
        <w:rPr>
          <w:rFonts w:hint="eastAsia" w:ascii="宋体" w:hAnsi="宋体" w:eastAsia="宋体" w:cs="宋体"/>
          <w:color w:val="auto"/>
          <w:highlight w:val="none"/>
        </w:rPr>
        <w:t>条件</w:t>
      </w:r>
      <w:r>
        <w:rPr>
          <w:rFonts w:hint="eastAsia" w:ascii="宋体" w:hAnsi="宋体" w:eastAsia="宋体" w:cs="宋体"/>
          <w:color w:val="auto"/>
          <w:spacing w:val="-2"/>
          <w:highlight w:val="none"/>
        </w:rPr>
        <w:t>，</w:t>
      </w:r>
      <w:r>
        <w:rPr>
          <w:rFonts w:hint="eastAsia" w:ascii="宋体" w:hAnsi="宋体" w:eastAsia="宋体" w:cs="宋体"/>
          <w:color w:val="auto"/>
          <w:highlight w:val="none"/>
        </w:rPr>
        <w:t>现</w:t>
      </w:r>
      <w:r>
        <w:rPr>
          <w:rFonts w:hint="eastAsia" w:ascii="宋体" w:hAnsi="宋体" w:eastAsia="宋体" w:cs="宋体"/>
          <w:color w:val="auto"/>
          <w:spacing w:val="-2"/>
          <w:highlight w:val="none"/>
        </w:rPr>
        <w:t>对</w:t>
      </w:r>
      <w:r>
        <w:rPr>
          <w:rFonts w:hint="eastAsia" w:ascii="宋体" w:hAnsi="宋体" w:eastAsia="宋体" w:cs="宋体"/>
          <w:color w:val="auto"/>
          <w:highlight w:val="none"/>
        </w:rPr>
        <w:t>监</w:t>
      </w:r>
      <w:r>
        <w:rPr>
          <w:rFonts w:hint="eastAsia" w:ascii="宋体" w:hAnsi="宋体" w:eastAsia="宋体" w:cs="宋体"/>
          <w:color w:val="auto"/>
          <w:spacing w:val="-2"/>
          <w:highlight w:val="none"/>
        </w:rPr>
        <w:t>理</w:t>
      </w:r>
      <w:r>
        <w:rPr>
          <w:rFonts w:hint="eastAsia" w:ascii="宋体" w:hAnsi="宋体" w:eastAsia="宋体" w:cs="宋体"/>
          <w:color w:val="auto"/>
          <w:highlight w:val="none"/>
        </w:rPr>
        <w:t>进</w:t>
      </w:r>
      <w:r>
        <w:rPr>
          <w:rFonts w:hint="eastAsia" w:ascii="宋体" w:hAnsi="宋体" w:eastAsia="宋体" w:cs="宋体"/>
          <w:color w:val="auto"/>
          <w:spacing w:val="-2"/>
          <w:highlight w:val="none"/>
        </w:rPr>
        <w:t>行</w:t>
      </w:r>
      <w:r>
        <w:rPr>
          <w:rFonts w:hint="eastAsia" w:ascii="宋体" w:hAnsi="宋体" w:eastAsia="宋体" w:cs="宋体"/>
          <w:color w:val="auto"/>
          <w:highlight w:val="none"/>
        </w:rPr>
        <w:t>招</w:t>
      </w:r>
      <w:r>
        <w:rPr>
          <w:rFonts w:hint="eastAsia" w:ascii="宋体" w:hAnsi="宋体" w:eastAsia="宋体" w:cs="宋体"/>
          <w:color w:val="auto"/>
          <w:spacing w:val="-2"/>
          <w:highlight w:val="none"/>
        </w:rPr>
        <w:t>标</w:t>
      </w:r>
      <w:r>
        <w:rPr>
          <w:rFonts w:hint="eastAsia" w:ascii="宋体" w:hAnsi="宋体" w:eastAsia="宋体" w:cs="宋体"/>
          <w:color w:val="auto"/>
          <w:highlight w:val="none"/>
        </w:rPr>
        <w:t>。</w:t>
      </w:r>
    </w:p>
    <w:p>
      <w:pPr>
        <w:spacing w:line="360" w:lineRule="auto"/>
        <w:ind w:left="520" w:right="-20"/>
        <w:jc w:val="left"/>
        <w:rPr>
          <w:rFonts w:hint="eastAsia" w:ascii="宋体" w:hAnsi="宋体" w:eastAsia="宋体" w:cs="宋体"/>
          <w:color w:val="auto"/>
          <w:highlight w:val="none"/>
        </w:rPr>
      </w:pPr>
      <w:r>
        <w:rPr>
          <w:rFonts w:hint="eastAsia" w:ascii="宋体" w:hAnsi="宋体" w:eastAsia="宋体" w:cs="宋体"/>
          <w:color w:val="auto"/>
          <w:highlight w:val="none"/>
        </w:rPr>
        <w:t>1.1.2招</w:t>
      </w:r>
      <w:r>
        <w:rPr>
          <w:rFonts w:hint="eastAsia" w:ascii="宋体" w:hAnsi="宋体" w:eastAsia="宋体" w:cs="宋体"/>
          <w:color w:val="auto"/>
          <w:spacing w:val="-2"/>
          <w:highlight w:val="none"/>
        </w:rPr>
        <w:t>标</w:t>
      </w:r>
      <w:r>
        <w:rPr>
          <w:rFonts w:hint="eastAsia" w:ascii="宋体" w:hAnsi="宋体" w:eastAsia="宋体" w:cs="宋体"/>
          <w:color w:val="auto"/>
          <w:highlight w:val="none"/>
        </w:rPr>
        <w:t>人</w:t>
      </w:r>
      <w:r>
        <w:rPr>
          <w:rFonts w:hint="eastAsia" w:ascii="宋体" w:hAnsi="宋体" w:eastAsia="宋体" w:cs="宋体"/>
          <w:color w:val="auto"/>
          <w:spacing w:val="-2"/>
          <w:highlight w:val="none"/>
        </w:rPr>
        <w:t>：</w:t>
      </w:r>
      <w:r>
        <w:rPr>
          <w:rFonts w:hint="eastAsia" w:ascii="宋体" w:hAnsi="宋体" w:eastAsia="宋体" w:cs="宋体"/>
          <w:color w:val="auto"/>
          <w:highlight w:val="none"/>
        </w:rPr>
        <w:t>见</w:t>
      </w:r>
      <w:r>
        <w:rPr>
          <w:rFonts w:hint="eastAsia" w:ascii="宋体" w:hAnsi="宋体" w:eastAsia="宋体" w:cs="宋体"/>
          <w:color w:val="auto"/>
          <w:spacing w:val="-2"/>
          <w:highlight w:val="none"/>
        </w:rPr>
        <w:t>投</w:t>
      </w:r>
      <w:r>
        <w:rPr>
          <w:rFonts w:hint="eastAsia" w:ascii="宋体" w:hAnsi="宋体" w:eastAsia="宋体" w:cs="宋体"/>
          <w:color w:val="auto"/>
          <w:highlight w:val="none"/>
        </w:rPr>
        <w:t>标</w:t>
      </w:r>
      <w:r>
        <w:rPr>
          <w:rFonts w:hint="eastAsia" w:ascii="宋体" w:hAnsi="宋体" w:eastAsia="宋体" w:cs="宋体"/>
          <w:color w:val="auto"/>
          <w:spacing w:val="-2"/>
          <w:highlight w:val="none"/>
        </w:rPr>
        <w:t>人须</w:t>
      </w:r>
      <w:r>
        <w:rPr>
          <w:rFonts w:hint="eastAsia" w:ascii="宋体" w:hAnsi="宋体" w:eastAsia="宋体" w:cs="宋体"/>
          <w:color w:val="auto"/>
          <w:highlight w:val="none"/>
        </w:rPr>
        <w:t>知前</w:t>
      </w:r>
      <w:r>
        <w:rPr>
          <w:rFonts w:hint="eastAsia" w:ascii="宋体" w:hAnsi="宋体" w:eastAsia="宋体" w:cs="宋体"/>
          <w:color w:val="auto"/>
          <w:spacing w:val="-2"/>
          <w:highlight w:val="none"/>
        </w:rPr>
        <w:t>附</w:t>
      </w:r>
      <w:r>
        <w:rPr>
          <w:rFonts w:hint="eastAsia" w:ascii="宋体" w:hAnsi="宋体" w:eastAsia="宋体" w:cs="宋体"/>
          <w:color w:val="auto"/>
          <w:highlight w:val="none"/>
        </w:rPr>
        <w:t>表。</w:t>
      </w:r>
    </w:p>
    <w:p>
      <w:pPr>
        <w:spacing w:line="360" w:lineRule="auto"/>
        <w:ind w:left="520" w:right="-20"/>
        <w:jc w:val="left"/>
        <w:rPr>
          <w:rFonts w:hint="eastAsia" w:ascii="宋体" w:hAnsi="宋体" w:eastAsia="宋体" w:cs="宋体"/>
          <w:color w:val="auto"/>
          <w:highlight w:val="none"/>
        </w:rPr>
      </w:pPr>
      <w:r>
        <w:rPr>
          <w:rFonts w:hint="eastAsia" w:ascii="宋体" w:hAnsi="宋体" w:eastAsia="宋体" w:cs="宋体"/>
          <w:color w:val="auto"/>
          <w:highlight w:val="none"/>
        </w:rPr>
        <w:t>1.1.3招</w:t>
      </w:r>
      <w:r>
        <w:rPr>
          <w:rFonts w:hint="eastAsia" w:ascii="宋体" w:hAnsi="宋体" w:eastAsia="宋体" w:cs="宋体"/>
          <w:color w:val="auto"/>
          <w:spacing w:val="-2"/>
          <w:highlight w:val="none"/>
        </w:rPr>
        <w:t>标</w:t>
      </w:r>
      <w:r>
        <w:rPr>
          <w:rFonts w:hint="eastAsia" w:ascii="宋体" w:hAnsi="宋体" w:eastAsia="宋体" w:cs="宋体"/>
          <w:color w:val="auto"/>
          <w:highlight w:val="none"/>
        </w:rPr>
        <w:t>代</w:t>
      </w:r>
      <w:r>
        <w:rPr>
          <w:rFonts w:hint="eastAsia" w:ascii="宋体" w:hAnsi="宋体" w:eastAsia="宋体" w:cs="宋体"/>
          <w:color w:val="auto"/>
          <w:spacing w:val="-2"/>
          <w:highlight w:val="none"/>
        </w:rPr>
        <w:t>理</w:t>
      </w:r>
      <w:r>
        <w:rPr>
          <w:rFonts w:hint="eastAsia" w:ascii="宋体" w:hAnsi="宋体" w:eastAsia="宋体" w:cs="宋体"/>
          <w:color w:val="auto"/>
          <w:highlight w:val="none"/>
        </w:rPr>
        <w:t>机</w:t>
      </w:r>
      <w:r>
        <w:rPr>
          <w:rFonts w:hint="eastAsia" w:ascii="宋体" w:hAnsi="宋体" w:eastAsia="宋体" w:cs="宋体"/>
          <w:color w:val="auto"/>
          <w:spacing w:val="-2"/>
          <w:highlight w:val="none"/>
        </w:rPr>
        <w:t>构</w:t>
      </w:r>
      <w:r>
        <w:rPr>
          <w:rFonts w:hint="eastAsia" w:ascii="宋体" w:hAnsi="宋体" w:eastAsia="宋体" w:cs="宋体"/>
          <w:color w:val="auto"/>
          <w:highlight w:val="none"/>
        </w:rPr>
        <w:t>：</w:t>
      </w:r>
      <w:r>
        <w:rPr>
          <w:rFonts w:hint="eastAsia" w:ascii="宋体" w:hAnsi="宋体" w:eastAsia="宋体" w:cs="宋体"/>
          <w:color w:val="auto"/>
          <w:spacing w:val="-2"/>
          <w:highlight w:val="none"/>
        </w:rPr>
        <w:t>见投</w:t>
      </w:r>
      <w:r>
        <w:rPr>
          <w:rFonts w:hint="eastAsia" w:ascii="宋体" w:hAnsi="宋体" w:eastAsia="宋体" w:cs="宋体"/>
          <w:color w:val="auto"/>
          <w:highlight w:val="none"/>
        </w:rPr>
        <w:t>标人</w:t>
      </w:r>
      <w:r>
        <w:rPr>
          <w:rFonts w:hint="eastAsia" w:ascii="宋体" w:hAnsi="宋体" w:eastAsia="宋体" w:cs="宋体"/>
          <w:color w:val="auto"/>
          <w:spacing w:val="-2"/>
          <w:highlight w:val="none"/>
        </w:rPr>
        <w:t>须</w:t>
      </w:r>
      <w:r>
        <w:rPr>
          <w:rFonts w:hint="eastAsia" w:ascii="宋体" w:hAnsi="宋体" w:eastAsia="宋体" w:cs="宋体"/>
          <w:color w:val="auto"/>
          <w:highlight w:val="none"/>
        </w:rPr>
        <w:t>知</w:t>
      </w:r>
      <w:r>
        <w:rPr>
          <w:rFonts w:hint="eastAsia" w:ascii="宋体" w:hAnsi="宋体" w:eastAsia="宋体" w:cs="宋体"/>
          <w:color w:val="auto"/>
          <w:spacing w:val="-2"/>
          <w:highlight w:val="none"/>
        </w:rPr>
        <w:t>前</w:t>
      </w:r>
      <w:r>
        <w:rPr>
          <w:rFonts w:hint="eastAsia" w:ascii="宋体" w:hAnsi="宋体" w:eastAsia="宋体" w:cs="宋体"/>
          <w:color w:val="auto"/>
          <w:highlight w:val="none"/>
        </w:rPr>
        <w:t>附</w:t>
      </w:r>
      <w:r>
        <w:rPr>
          <w:rFonts w:hint="eastAsia" w:ascii="宋体" w:hAnsi="宋体" w:eastAsia="宋体" w:cs="宋体"/>
          <w:color w:val="auto"/>
          <w:spacing w:val="-2"/>
          <w:highlight w:val="none"/>
        </w:rPr>
        <w:t>表</w:t>
      </w:r>
      <w:r>
        <w:rPr>
          <w:rFonts w:hint="eastAsia" w:ascii="宋体" w:hAnsi="宋体" w:eastAsia="宋体" w:cs="宋体"/>
          <w:color w:val="auto"/>
          <w:highlight w:val="none"/>
        </w:rPr>
        <w:t>。</w:t>
      </w:r>
    </w:p>
    <w:p>
      <w:pPr>
        <w:spacing w:line="360" w:lineRule="auto"/>
        <w:ind w:left="520" w:right="-20"/>
        <w:jc w:val="left"/>
        <w:rPr>
          <w:rFonts w:hint="eastAsia" w:ascii="宋体" w:hAnsi="宋体" w:eastAsia="宋体" w:cs="宋体"/>
          <w:color w:val="auto"/>
          <w:highlight w:val="none"/>
        </w:rPr>
      </w:pPr>
      <w:r>
        <w:rPr>
          <w:rFonts w:hint="eastAsia" w:ascii="宋体" w:hAnsi="宋体" w:eastAsia="宋体" w:cs="宋体"/>
          <w:color w:val="auto"/>
          <w:highlight w:val="none"/>
        </w:rPr>
        <w:t>1.1.4招</w:t>
      </w:r>
      <w:r>
        <w:rPr>
          <w:rFonts w:hint="eastAsia" w:ascii="宋体" w:hAnsi="宋体" w:eastAsia="宋体" w:cs="宋体"/>
          <w:color w:val="auto"/>
          <w:spacing w:val="-2"/>
          <w:highlight w:val="none"/>
        </w:rPr>
        <w:t>标</w:t>
      </w:r>
      <w:r>
        <w:rPr>
          <w:rFonts w:hint="eastAsia" w:ascii="宋体" w:hAnsi="宋体" w:eastAsia="宋体" w:cs="宋体"/>
          <w:color w:val="auto"/>
          <w:highlight w:val="none"/>
        </w:rPr>
        <w:t>项</w:t>
      </w:r>
      <w:r>
        <w:rPr>
          <w:rFonts w:hint="eastAsia" w:ascii="宋体" w:hAnsi="宋体" w:eastAsia="宋体" w:cs="宋体"/>
          <w:color w:val="auto"/>
          <w:spacing w:val="-2"/>
          <w:highlight w:val="none"/>
        </w:rPr>
        <w:t>目</w:t>
      </w:r>
      <w:r>
        <w:rPr>
          <w:rFonts w:hint="eastAsia" w:ascii="宋体" w:hAnsi="宋体" w:eastAsia="宋体" w:cs="宋体"/>
          <w:color w:val="auto"/>
          <w:highlight w:val="none"/>
        </w:rPr>
        <w:t>名</w:t>
      </w:r>
      <w:r>
        <w:rPr>
          <w:rFonts w:hint="eastAsia" w:ascii="宋体" w:hAnsi="宋体" w:eastAsia="宋体" w:cs="宋体"/>
          <w:color w:val="auto"/>
          <w:spacing w:val="-2"/>
          <w:highlight w:val="none"/>
        </w:rPr>
        <w:t>称</w:t>
      </w:r>
      <w:r>
        <w:rPr>
          <w:rFonts w:hint="eastAsia" w:ascii="宋体" w:hAnsi="宋体" w:eastAsia="宋体" w:cs="宋体"/>
          <w:color w:val="auto"/>
          <w:highlight w:val="none"/>
        </w:rPr>
        <w:t>：</w:t>
      </w:r>
      <w:r>
        <w:rPr>
          <w:rFonts w:hint="eastAsia" w:ascii="宋体" w:hAnsi="宋体" w:eastAsia="宋体" w:cs="宋体"/>
          <w:color w:val="auto"/>
          <w:spacing w:val="-2"/>
          <w:highlight w:val="none"/>
        </w:rPr>
        <w:t>见投</w:t>
      </w:r>
      <w:r>
        <w:rPr>
          <w:rFonts w:hint="eastAsia" w:ascii="宋体" w:hAnsi="宋体" w:eastAsia="宋体" w:cs="宋体"/>
          <w:color w:val="auto"/>
          <w:highlight w:val="none"/>
        </w:rPr>
        <w:t>标人</w:t>
      </w:r>
      <w:r>
        <w:rPr>
          <w:rFonts w:hint="eastAsia" w:ascii="宋体" w:hAnsi="宋体" w:eastAsia="宋体" w:cs="宋体"/>
          <w:color w:val="auto"/>
          <w:spacing w:val="-2"/>
          <w:highlight w:val="none"/>
        </w:rPr>
        <w:t>须</w:t>
      </w:r>
      <w:r>
        <w:rPr>
          <w:rFonts w:hint="eastAsia" w:ascii="宋体" w:hAnsi="宋体" w:eastAsia="宋体" w:cs="宋体"/>
          <w:color w:val="auto"/>
          <w:highlight w:val="none"/>
        </w:rPr>
        <w:t>知</w:t>
      </w:r>
      <w:r>
        <w:rPr>
          <w:rFonts w:hint="eastAsia" w:ascii="宋体" w:hAnsi="宋体" w:eastAsia="宋体" w:cs="宋体"/>
          <w:color w:val="auto"/>
          <w:spacing w:val="-2"/>
          <w:highlight w:val="none"/>
        </w:rPr>
        <w:t>前</w:t>
      </w:r>
      <w:r>
        <w:rPr>
          <w:rFonts w:hint="eastAsia" w:ascii="宋体" w:hAnsi="宋体" w:eastAsia="宋体" w:cs="宋体"/>
          <w:color w:val="auto"/>
          <w:highlight w:val="none"/>
        </w:rPr>
        <w:t>附</w:t>
      </w:r>
      <w:r>
        <w:rPr>
          <w:rFonts w:hint="eastAsia" w:ascii="宋体" w:hAnsi="宋体" w:eastAsia="宋体" w:cs="宋体"/>
          <w:color w:val="auto"/>
          <w:spacing w:val="-2"/>
          <w:highlight w:val="none"/>
        </w:rPr>
        <w:t>表</w:t>
      </w:r>
      <w:r>
        <w:rPr>
          <w:rFonts w:hint="eastAsia" w:ascii="宋体" w:hAnsi="宋体" w:eastAsia="宋体" w:cs="宋体"/>
          <w:color w:val="auto"/>
          <w:highlight w:val="none"/>
        </w:rPr>
        <w:t>。</w:t>
      </w:r>
    </w:p>
    <w:p>
      <w:pPr>
        <w:spacing w:line="360" w:lineRule="auto"/>
        <w:ind w:left="520" w:right="-20"/>
        <w:jc w:val="left"/>
        <w:rPr>
          <w:rFonts w:hint="eastAsia" w:ascii="宋体" w:hAnsi="宋体" w:eastAsia="宋体" w:cs="宋体"/>
          <w:color w:val="auto"/>
          <w:highlight w:val="none"/>
        </w:rPr>
      </w:pPr>
      <w:r>
        <w:rPr>
          <w:rFonts w:hint="eastAsia" w:ascii="宋体" w:hAnsi="宋体" w:eastAsia="宋体" w:cs="宋体"/>
          <w:color w:val="auto"/>
          <w:highlight w:val="none"/>
        </w:rPr>
        <w:t>1.1.5项</w:t>
      </w:r>
      <w:r>
        <w:rPr>
          <w:rFonts w:hint="eastAsia" w:ascii="宋体" w:hAnsi="宋体" w:eastAsia="宋体" w:cs="宋体"/>
          <w:color w:val="auto"/>
          <w:spacing w:val="-2"/>
          <w:highlight w:val="none"/>
        </w:rPr>
        <w:t>目</w:t>
      </w:r>
      <w:r>
        <w:rPr>
          <w:rFonts w:hint="eastAsia" w:ascii="宋体" w:hAnsi="宋体" w:eastAsia="宋体" w:cs="宋体"/>
          <w:color w:val="auto"/>
          <w:highlight w:val="none"/>
        </w:rPr>
        <w:t>建</w:t>
      </w:r>
      <w:r>
        <w:rPr>
          <w:rFonts w:hint="eastAsia" w:ascii="宋体" w:hAnsi="宋体" w:eastAsia="宋体" w:cs="宋体"/>
          <w:color w:val="auto"/>
          <w:spacing w:val="-2"/>
          <w:highlight w:val="none"/>
        </w:rPr>
        <w:t>设</w:t>
      </w:r>
      <w:r>
        <w:rPr>
          <w:rFonts w:hint="eastAsia" w:ascii="宋体" w:hAnsi="宋体" w:eastAsia="宋体" w:cs="宋体"/>
          <w:color w:val="auto"/>
          <w:highlight w:val="none"/>
        </w:rPr>
        <w:t>地</w:t>
      </w:r>
      <w:r>
        <w:rPr>
          <w:rFonts w:hint="eastAsia" w:ascii="宋体" w:hAnsi="宋体" w:eastAsia="宋体" w:cs="宋体"/>
          <w:color w:val="auto"/>
          <w:spacing w:val="-2"/>
          <w:highlight w:val="none"/>
        </w:rPr>
        <w:t>点</w:t>
      </w:r>
      <w:r>
        <w:rPr>
          <w:rFonts w:hint="eastAsia" w:ascii="宋体" w:hAnsi="宋体" w:eastAsia="宋体" w:cs="宋体"/>
          <w:color w:val="auto"/>
          <w:highlight w:val="none"/>
        </w:rPr>
        <w:t>：</w:t>
      </w:r>
      <w:r>
        <w:rPr>
          <w:rFonts w:hint="eastAsia" w:ascii="宋体" w:hAnsi="宋体" w:eastAsia="宋体" w:cs="宋体"/>
          <w:color w:val="auto"/>
          <w:spacing w:val="-2"/>
          <w:highlight w:val="none"/>
        </w:rPr>
        <w:t>见投</w:t>
      </w:r>
      <w:r>
        <w:rPr>
          <w:rFonts w:hint="eastAsia" w:ascii="宋体" w:hAnsi="宋体" w:eastAsia="宋体" w:cs="宋体"/>
          <w:color w:val="auto"/>
          <w:highlight w:val="none"/>
        </w:rPr>
        <w:t>标人</w:t>
      </w:r>
      <w:r>
        <w:rPr>
          <w:rFonts w:hint="eastAsia" w:ascii="宋体" w:hAnsi="宋体" w:eastAsia="宋体" w:cs="宋体"/>
          <w:color w:val="auto"/>
          <w:spacing w:val="-2"/>
          <w:highlight w:val="none"/>
        </w:rPr>
        <w:t>须</w:t>
      </w:r>
      <w:r>
        <w:rPr>
          <w:rFonts w:hint="eastAsia" w:ascii="宋体" w:hAnsi="宋体" w:eastAsia="宋体" w:cs="宋体"/>
          <w:color w:val="auto"/>
          <w:highlight w:val="none"/>
        </w:rPr>
        <w:t>知</w:t>
      </w:r>
      <w:r>
        <w:rPr>
          <w:rFonts w:hint="eastAsia" w:ascii="宋体" w:hAnsi="宋体" w:eastAsia="宋体" w:cs="宋体"/>
          <w:color w:val="auto"/>
          <w:spacing w:val="-2"/>
          <w:highlight w:val="none"/>
        </w:rPr>
        <w:t>前</w:t>
      </w:r>
      <w:r>
        <w:rPr>
          <w:rFonts w:hint="eastAsia" w:ascii="宋体" w:hAnsi="宋体" w:eastAsia="宋体" w:cs="宋体"/>
          <w:color w:val="auto"/>
          <w:highlight w:val="none"/>
        </w:rPr>
        <w:t>附</w:t>
      </w:r>
      <w:r>
        <w:rPr>
          <w:rFonts w:hint="eastAsia" w:ascii="宋体" w:hAnsi="宋体" w:eastAsia="宋体" w:cs="宋体"/>
          <w:color w:val="auto"/>
          <w:spacing w:val="-2"/>
          <w:highlight w:val="none"/>
        </w:rPr>
        <w:t>表</w:t>
      </w:r>
      <w:r>
        <w:rPr>
          <w:rFonts w:hint="eastAsia" w:ascii="宋体" w:hAnsi="宋体" w:eastAsia="宋体" w:cs="宋体"/>
          <w:color w:val="auto"/>
          <w:highlight w:val="none"/>
        </w:rPr>
        <w:t>。</w:t>
      </w:r>
    </w:p>
    <w:p>
      <w:pPr>
        <w:spacing w:line="360" w:lineRule="auto"/>
        <w:ind w:left="520" w:right="-20"/>
        <w:jc w:val="left"/>
        <w:rPr>
          <w:rFonts w:hint="eastAsia" w:ascii="宋体" w:hAnsi="宋体" w:eastAsia="宋体" w:cs="宋体"/>
          <w:color w:val="auto"/>
          <w:highlight w:val="none"/>
        </w:rPr>
      </w:pPr>
      <w:r>
        <w:rPr>
          <w:rFonts w:hint="eastAsia" w:ascii="宋体" w:hAnsi="宋体" w:eastAsia="宋体" w:cs="宋体"/>
          <w:color w:val="auto"/>
          <w:highlight w:val="none"/>
        </w:rPr>
        <w:t>1.1.6项</w:t>
      </w:r>
      <w:r>
        <w:rPr>
          <w:rFonts w:hint="eastAsia" w:ascii="宋体" w:hAnsi="宋体" w:eastAsia="宋体" w:cs="宋体"/>
          <w:color w:val="auto"/>
          <w:spacing w:val="-2"/>
          <w:highlight w:val="none"/>
        </w:rPr>
        <w:t>目</w:t>
      </w:r>
      <w:r>
        <w:rPr>
          <w:rFonts w:hint="eastAsia" w:ascii="宋体" w:hAnsi="宋体" w:eastAsia="宋体" w:cs="宋体"/>
          <w:color w:val="auto"/>
          <w:highlight w:val="none"/>
        </w:rPr>
        <w:t>建</w:t>
      </w:r>
      <w:r>
        <w:rPr>
          <w:rFonts w:hint="eastAsia" w:ascii="宋体" w:hAnsi="宋体" w:eastAsia="宋体" w:cs="宋体"/>
          <w:color w:val="auto"/>
          <w:spacing w:val="-2"/>
          <w:highlight w:val="none"/>
        </w:rPr>
        <w:t>设</w:t>
      </w:r>
      <w:r>
        <w:rPr>
          <w:rFonts w:hint="eastAsia" w:ascii="宋体" w:hAnsi="宋体" w:eastAsia="宋体" w:cs="宋体"/>
          <w:color w:val="auto"/>
          <w:highlight w:val="none"/>
        </w:rPr>
        <w:t>规</w:t>
      </w:r>
      <w:r>
        <w:rPr>
          <w:rFonts w:hint="eastAsia" w:ascii="宋体" w:hAnsi="宋体" w:eastAsia="宋体" w:cs="宋体"/>
          <w:color w:val="auto"/>
          <w:spacing w:val="-2"/>
          <w:highlight w:val="none"/>
        </w:rPr>
        <w:t>模</w:t>
      </w:r>
      <w:r>
        <w:rPr>
          <w:rFonts w:hint="eastAsia" w:ascii="宋体" w:hAnsi="宋体" w:eastAsia="宋体" w:cs="宋体"/>
          <w:color w:val="auto"/>
          <w:highlight w:val="none"/>
        </w:rPr>
        <w:t>：</w:t>
      </w:r>
      <w:r>
        <w:rPr>
          <w:rFonts w:hint="eastAsia" w:ascii="宋体" w:hAnsi="宋体" w:eastAsia="宋体" w:cs="宋体"/>
          <w:color w:val="auto"/>
          <w:spacing w:val="-2"/>
          <w:highlight w:val="none"/>
        </w:rPr>
        <w:t>见投</w:t>
      </w:r>
      <w:r>
        <w:rPr>
          <w:rFonts w:hint="eastAsia" w:ascii="宋体" w:hAnsi="宋体" w:eastAsia="宋体" w:cs="宋体"/>
          <w:color w:val="auto"/>
          <w:highlight w:val="none"/>
        </w:rPr>
        <w:t>标人</w:t>
      </w:r>
      <w:r>
        <w:rPr>
          <w:rFonts w:hint="eastAsia" w:ascii="宋体" w:hAnsi="宋体" w:eastAsia="宋体" w:cs="宋体"/>
          <w:color w:val="auto"/>
          <w:spacing w:val="-2"/>
          <w:highlight w:val="none"/>
        </w:rPr>
        <w:t>须</w:t>
      </w:r>
      <w:r>
        <w:rPr>
          <w:rFonts w:hint="eastAsia" w:ascii="宋体" w:hAnsi="宋体" w:eastAsia="宋体" w:cs="宋体"/>
          <w:color w:val="auto"/>
          <w:highlight w:val="none"/>
        </w:rPr>
        <w:t>知</w:t>
      </w:r>
      <w:r>
        <w:rPr>
          <w:rFonts w:hint="eastAsia" w:ascii="宋体" w:hAnsi="宋体" w:eastAsia="宋体" w:cs="宋体"/>
          <w:color w:val="auto"/>
          <w:spacing w:val="-2"/>
          <w:highlight w:val="none"/>
        </w:rPr>
        <w:t>前</w:t>
      </w:r>
      <w:r>
        <w:rPr>
          <w:rFonts w:hint="eastAsia" w:ascii="宋体" w:hAnsi="宋体" w:eastAsia="宋体" w:cs="宋体"/>
          <w:color w:val="auto"/>
          <w:highlight w:val="none"/>
        </w:rPr>
        <w:t>附</w:t>
      </w:r>
      <w:r>
        <w:rPr>
          <w:rFonts w:hint="eastAsia" w:ascii="宋体" w:hAnsi="宋体" w:eastAsia="宋体" w:cs="宋体"/>
          <w:color w:val="auto"/>
          <w:spacing w:val="-2"/>
          <w:highlight w:val="none"/>
        </w:rPr>
        <w:t>表</w:t>
      </w:r>
      <w:r>
        <w:rPr>
          <w:rFonts w:hint="eastAsia" w:ascii="宋体" w:hAnsi="宋体" w:eastAsia="宋体" w:cs="宋体"/>
          <w:color w:val="auto"/>
          <w:highlight w:val="none"/>
        </w:rPr>
        <w:t>。</w:t>
      </w:r>
    </w:p>
    <w:p>
      <w:pPr>
        <w:spacing w:line="360" w:lineRule="auto"/>
        <w:ind w:left="520" w:right="-20"/>
        <w:jc w:val="left"/>
        <w:rPr>
          <w:rFonts w:hint="eastAsia" w:ascii="宋体" w:hAnsi="宋体" w:eastAsia="宋体" w:cs="宋体"/>
          <w:color w:val="auto"/>
          <w:highlight w:val="none"/>
        </w:rPr>
      </w:pPr>
      <w:r>
        <w:rPr>
          <w:rFonts w:hint="eastAsia" w:ascii="宋体" w:hAnsi="宋体" w:eastAsia="宋体" w:cs="宋体"/>
          <w:color w:val="auto"/>
          <w:highlight w:val="none"/>
        </w:rPr>
        <w:t>1.1.7工</w:t>
      </w:r>
      <w:r>
        <w:rPr>
          <w:rFonts w:hint="eastAsia" w:ascii="宋体" w:hAnsi="宋体" w:eastAsia="宋体" w:cs="宋体"/>
          <w:color w:val="auto"/>
          <w:spacing w:val="-2"/>
          <w:highlight w:val="none"/>
        </w:rPr>
        <w:t>程</w:t>
      </w:r>
      <w:r>
        <w:rPr>
          <w:rFonts w:hint="eastAsia" w:ascii="宋体" w:hAnsi="宋体" w:eastAsia="宋体" w:cs="宋体"/>
          <w:color w:val="auto"/>
          <w:highlight w:val="none"/>
        </w:rPr>
        <w:t>项</w:t>
      </w:r>
      <w:r>
        <w:rPr>
          <w:rFonts w:hint="eastAsia" w:ascii="宋体" w:hAnsi="宋体" w:eastAsia="宋体" w:cs="宋体"/>
          <w:color w:val="auto"/>
          <w:spacing w:val="-2"/>
          <w:highlight w:val="none"/>
        </w:rPr>
        <w:t>目</w:t>
      </w:r>
      <w:r>
        <w:rPr>
          <w:rFonts w:hint="eastAsia" w:ascii="宋体" w:hAnsi="宋体" w:eastAsia="宋体" w:cs="宋体"/>
          <w:color w:val="auto"/>
          <w:highlight w:val="none"/>
        </w:rPr>
        <w:t>施</w:t>
      </w:r>
      <w:r>
        <w:rPr>
          <w:rFonts w:hint="eastAsia" w:ascii="宋体" w:hAnsi="宋体" w:eastAsia="宋体" w:cs="宋体"/>
          <w:color w:val="auto"/>
          <w:spacing w:val="-2"/>
          <w:highlight w:val="none"/>
        </w:rPr>
        <w:t>工</w:t>
      </w:r>
      <w:r>
        <w:rPr>
          <w:rFonts w:hint="eastAsia" w:ascii="宋体" w:hAnsi="宋体" w:eastAsia="宋体" w:cs="宋体"/>
          <w:color w:val="auto"/>
          <w:highlight w:val="none"/>
        </w:rPr>
        <w:t>预</w:t>
      </w:r>
      <w:r>
        <w:rPr>
          <w:rFonts w:hint="eastAsia" w:ascii="宋体" w:hAnsi="宋体" w:eastAsia="宋体" w:cs="宋体"/>
          <w:color w:val="auto"/>
          <w:spacing w:val="-2"/>
          <w:highlight w:val="none"/>
        </w:rPr>
        <w:t>计开</w:t>
      </w:r>
      <w:r>
        <w:rPr>
          <w:rFonts w:hint="eastAsia" w:ascii="宋体" w:hAnsi="宋体" w:eastAsia="宋体" w:cs="宋体"/>
          <w:color w:val="auto"/>
          <w:highlight w:val="none"/>
        </w:rPr>
        <w:t>工日</w:t>
      </w:r>
      <w:r>
        <w:rPr>
          <w:rFonts w:hint="eastAsia" w:ascii="宋体" w:hAnsi="宋体" w:eastAsia="宋体" w:cs="宋体"/>
          <w:color w:val="auto"/>
          <w:spacing w:val="-2"/>
          <w:highlight w:val="none"/>
        </w:rPr>
        <w:t>期</w:t>
      </w:r>
      <w:r>
        <w:rPr>
          <w:rFonts w:hint="eastAsia" w:ascii="宋体" w:hAnsi="宋体" w:eastAsia="宋体" w:cs="宋体"/>
          <w:color w:val="auto"/>
          <w:highlight w:val="none"/>
        </w:rPr>
        <w:t>和</w:t>
      </w:r>
      <w:r>
        <w:rPr>
          <w:rFonts w:hint="eastAsia" w:ascii="宋体" w:hAnsi="宋体" w:eastAsia="宋体" w:cs="宋体"/>
          <w:color w:val="auto"/>
          <w:spacing w:val="-2"/>
          <w:highlight w:val="none"/>
        </w:rPr>
        <w:t>建</w:t>
      </w:r>
      <w:r>
        <w:rPr>
          <w:rFonts w:hint="eastAsia" w:ascii="宋体" w:hAnsi="宋体" w:eastAsia="宋体" w:cs="宋体"/>
          <w:color w:val="auto"/>
          <w:highlight w:val="none"/>
        </w:rPr>
        <w:t>设</w:t>
      </w:r>
      <w:r>
        <w:rPr>
          <w:rFonts w:hint="eastAsia" w:ascii="宋体" w:hAnsi="宋体" w:eastAsia="宋体" w:cs="宋体"/>
          <w:color w:val="auto"/>
          <w:spacing w:val="-2"/>
          <w:highlight w:val="none"/>
        </w:rPr>
        <w:t>周</w:t>
      </w:r>
      <w:r>
        <w:rPr>
          <w:rFonts w:hint="eastAsia" w:ascii="宋体" w:hAnsi="宋体" w:eastAsia="宋体" w:cs="宋体"/>
          <w:color w:val="auto"/>
          <w:highlight w:val="none"/>
        </w:rPr>
        <w:t>期</w:t>
      </w:r>
      <w:r>
        <w:rPr>
          <w:rFonts w:hint="eastAsia" w:ascii="宋体" w:hAnsi="宋体" w:eastAsia="宋体" w:cs="宋体"/>
          <w:color w:val="auto"/>
          <w:spacing w:val="-2"/>
          <w:highlight w:val="none"/>
        </w:rPr>
        <w:t>：</w:t>
      </w:r>
      <w:r>
        <w:rPr>
          <w:rFonts w:hint="eastAsia" w:ascii="宋体" w:hAnsi="宋体" w:eastAsia="宋体" w:cs="宋体"/>
          <w:color w:val="auto"/>
          <w:highlight w:val="none"/>
        </w:rPr>
        <w:t>见</w:t>
      </w:r>
      <w:r>
        <w:rPr>
          <w:rFonts w:hint="eastAsia" w:ascii="宋体" w:hAnsi="宋体" w:eastAsia="宋体" w:cs="宋体"/>
          <w:color w:val="auto"/>
          <w:spacing w:val="-2"/>
          <w:highlight w:val="none"/>
        </w:rPr>
        <w:t>投</w:t>
      </w:r>
      <w:r>
        <w:rPr>
          <w:rFonts w:hint="eastAsia" w:ascii="宋体" w:hAnsi="宋体" w:eastAsia="宋体" w:cs="宋体"/>
          <w:color w:val="auto"/>
          <w:highlight w:val="none"/>
        </w:rPr>
        <w:t>标人</w:t>
      </w:r>
      <w:r>
        <w:rPr>
          <w:rFonts w:hint="eastAsia" w:ascii="宋体" w:hAnsi="宋体" w:eastAsia="宋体" w:cs="宋体"/>
          <w:color w:val="auto"/>
          <w:spacing w:val="-2"/>
          <w:highlight w:val="none"/>
        </w:rPr>
        <w:t>须</w:t>
      </w:r>
      <w:r>
        <w:rPr>
          <w:rFonts w:hint="eastAsia" w:ascii="宋体" w:hAnsi="宋体" w:eastAsia="宋体" w:cs="宋体"/>
          <w:color w:val="auto"/>
          <w:highlight w:val="none"/>
        </w:rPr>
        <w:t>知</w:t>
      </w:r>
      <w:r>
        <w:rPr>
          <w:rFonts w:hint="eastAsia" w:ascii="宋体" w:hAnsi="宋体" w:eastAsia="宋体" w:cs="宋体"/>
          <w:color w:val="auto"/>
          <w:spacing w:val="-2"/>
          <w:highlight w:val="none"/>
        </w:rPr>
        <w:t>前</w:t>
      </w:r>
      <w:r>
        <w:rPr>
          <w:rFonts w:hint="eastAsia" w:ascii="宋体" w:hAnsi="宋体" w:eastAsia="宋体" w:cs="宋体"/>
          <w:color w:val="auto"/>
          <w:highlight w:val="none"/>
        </w:rPr>
        <w:t>附</w:t>
      </w:r>
      <w:r>
        <w:rPr>
          <w:rFonts w:hint="eastAsia" w:ascii="宋体" w:hAnsi="宋体" w:eastAsia="宋体" w:cs="宋体"/>
          <w:color w:val="auto"/>
          <w:spacing w:val="-2"/>
          <w:highlight w:val="none"/>
        </w:rPr>
        <w:t>表</w:t>
      </w:r>
      <w:r>
        <w:rPr>
          <w:rFonts w:hint="eastAsia" w:ascii="宋体" w:hAnsi="宋体" w:eastAsia="宋体" w:cs="宋体"/>
          <w:color w:val="auto"/>
          <w:highlight w:val="none"/>
        </w:rPr>
        <w:t>。</w:t>
      </w:r>
    </w:p>
    <w:p>
      <w:pPr>
        <w:spacing w:line="360" w:lineRule="auto"/>
        <w:ind w:left="520" w:right="-20"/>
        <w:jc w:val="left"/>
        <w:outlineLvl w:val="3"/>
        <w:rPr>
          <w:rFonts w:hint="eastAsia" w:ascii="宋体" w:hAnsi="宋体" w:eastAsia="宋体" w:cs="宋体"/>
          <w:color w:val="auto"/>
          <w:highlight w:val="none"/>
        </w:rPr>
      </w:pPr>
      <w:r>
        <w:rPr>
          <w:rFonts w:hint="eastAsia" w:ascii="宋体" w:hAnsi="宋体" w:eastAsia="宋体" w:cs="宋体"/>
          <w:color w:val="auto"/>
          <w:highlight w:val="none"/>
        </w:rPr>
        <w:t>1.1.8建</w:t>
      </w:r>
      <w:r>
        <w:rPr>
          <w:rFonts w:hint="eastAsia" w:ascii="宋体" w:hAnsi="宋体" w:eastAsia="宋体" w:cs="宋体"/>
          <w:color w:val="auto"/>
          <w:spacing w:val="-2"/>
          <w:highlight w:val="none"/>
        </w:rPr>
        <w:t>筑</w:t>
      </w:r>
      <w:r>
        <w:rPr>
          <w:rFonts w:hint="eastAsia" w:ascii="宋体" w:hAnsi="宋体" w:eastAsia="宋体" w:cs="宋体"/>
          <w:color w:val="auto"/>
          <w:highlight w:val="none"/>
        </w:rPr>
        <w:t>安</w:t>
      </w:r>
      <w:r>
        <w:rPr>
          <w:rFonts w:hint="eastAsia" w:ascii="宋体" w:hAnsi="宋体" w:eastAsia="宋体" w:cs="宋体"/>
          <w:color w:val="auto"/>
          <w:spacing w:val="-2"/>
          <w:highlight w:val="none"/>
        </w:rPr>
        <w:t>装</w:t>
      </w:r>
      <w:r>
        <w:rPr>
          <w:rFonts w:hint="eastAsia" w:ascii="宋体" w:hAnsi="宋体" w:eastAsia="宋体" w:cs="宋体"/>
          <w:color w:val="auto"/>
          <w:highlight w:val="none"/>
        </w:rPr>
        <w:t>工</w:t>
      </w:r>
      <w:r>
        <w:rPr>
          <w:rFonts w:hint="eastAsia" w:ascii="宋体" w:hAnsi="宋体" w:eastAsia="宋体" w:cs="宋体"/>
          <w:color w:val="auto"/>
          <w:spacing w:val="-2"/>
          <w:highlight w:val="none"/>
        </w:rPr>
        <w:t>程</w:t>
      </w:r>
      <w:r>
        <w:rPr>
          <w:rFonts w:hint="eastAsia" w:ascii="宋体" w:hAnsi="宋体" w:eastAsia="宋体" w:cs="宋体"/>
          <w:color w:val="auto"/>
          <w:highlight w:val="none"/>
        </w:rPr>
        <w:t>费</w:t>
      </w:r>
      <w:r>
        <w:rPr>
          <w:rFonts w:hint="eastAsia" w:ascii="宋体" w:hAnsi="宋体" w:eastAsia="宋体" w:cs="宋体"/>
          <w:color w:val="auto"/>
          <w:spacing w:val="-1"/>
          <w:highlight w:val="none"/>
        </w:rPr>
        <w:t>/</w:t>
      </w:r>
      <w:r>
        <w:rPr>
          <w:rFonts w:hint="eastAsia" w:ascii="宋体" w:hAnsi="宋体" w:eastAsia="宋体" w:cs="宋体"/>
          <w:color w:val="auto"/>
          <w:spacing w:val="-2"/>
          <w:highlight w:val="none"/>
        </w:rPr>
        <w:t>工</w:t>
      </w:r>
      <w:r>
        <w:rPr>
          <w:rFonts w:hint="eastAsia" w:ascii="宋体" w:hAnsi="宋体" w:eastAsia="宋体" w:cs="宋体"/>
          <w:color w:val="auto"/>
          <w:highlight w:val="none"/>
        </w:rPr>
        <w:t>程概</w:t>
      </w:r>
      <w:r>
        <w:rPr>
          <w:rFonts w:hint="eastAsia" w:ascii="宋体" w:hAnsi="宋体" w:eastAsia="宋体" w:cs="宋体"/>
          <w:color w:val="auto"/>
          <w:spacing w:val="-2"/>
          <w:highlight w:val="none"/>
        </w:rPr>
        <w:t>算</w:t>
      </w:r>
      <w:r>
        <w:rPr>
          <w:rFonts w:hint="eastAsia" w:ascii="宋体" w:hAnsi="宋体" w:eastAsia="宋体" w:cs="宋体"/>
          <w:color w:val="auto"/>
          <w:highlight w:val="none"/>
        </w:rPr>
        <w:t>：</w:t>
      </w:r>
      <w:r>
        <w:rPr>
          <w:rFonts w:hint="eastAsia" w:ascii="宋体" w:hAnsi="宋体" w:eastAsia="宋体" w:cs="宋体"/>
          <w:color w:val="auto"/>
          <w:spacing w:val="-2"/>
          <w:highlight w:val="none"/>
        </w:rPr>
        <w:t>见</w:t>
      </w:r>
      <w:r>
        <w:rPr>
          <w:rFonts w:hint="eastAsia" w:ascii="宋体" w:hAnsi="宋体" w:eastAsia="宋体" w:cs="宋体"/>
          <w:color w:val="auto"/>
          <w:highlight w:val="none"/>
        </w:rPr>
        <w:t>投</w:t>
      </w:r>
      <w:r>
        <w:rPr>
          <w:rFonts w:hint="eastAsia" w:ascii="宋体" w:hAnsi="宋体" w:eastAsia="宋体" w:cs="宋体"/>
          <w:color w:val="auto"/>
          <w:spacing w:val="-2"/>
          <w:highlight w:val="none"/>
        </w:rPr>
        <w:t>标</w:t>
      </w:r>
      <w:r>
        <w:rPr>
          <w:rFonts w:hint="eastAsia" w:ascii="宋体" w:hAnsi="宋体" w:eastAsia="宋体" w:cs="宋体"/>
          <w:color w:val="auto"/>
          <w:highlight w:val="none"/>
        </w:rPr>
        <w:t>人</w:t>
      </w:r>
      <w:r>
        <w:rPr>
          <w:rFonts w:hint="eastAsia" w:ascii="宋体" w:hAnsi="宋体" w:eastAsia="宋体" w:cs="宋体"/>
          <w:color w:val="auto"/>
          <w:spacing w:val="-2"/>
          <w:highlight w:val="none"/>
        </w:rPr>
        <w:t>须</w:t>
      </w:r>
      <w:r>
        <w:rPr>
          <w:rFonts w:hint="eastAsia" w:ascii="宋体" w:hAnsi="宋体" w:eastAsia="宋体" w:cs="宋体"/>
          <w:color w:val="auto"/>
          <w:highlight w:val="none"/>
        </w:rPr>
        <w:t>知</w:t>
      </w:r>
      <w:r>
        <w:rPr>
          <w:rFonts w:hint="eastAsia" w:ascii="宋体" w:hAnsi="宋体" w:eastAsia="宋体" w:cs="宋体"/>
          <w:color w:val="auto"/>
          <w:spacing w:val="-2"/>
          <w:highlight w:val="none"/>
        </w:rPr>
        <w:t>前</w:t>
      </w:r>
      <w:r>
        <w:rPr>
          <w:rFonts w:hint="eastAsia" w:ascii="宋体" w:hAnsi="宋体" w:eastAsia="宋体" w:cs="宋体"/>
          <w:color w:val="auto"/>
          <w:highlight w:val="none"/>
        </w:rPr>
        <w:t>附表。</w:t>
      </w:r>
    </w:p>
    <w:p>
      <w:pPr>
        <w:spacing w:line="360" w:lineRule="auto"/>
        <w:ind w:left="237" w:right="-20" w:firstLine="283" w:firstLineChars="100"/>
        <w:jc w:val="left"/>
        <w:outlineLvl w:val="2"/>
        <w:rPr>
          <w:rFonts w:ascii="宋体" w:cs="宋体"/>
          <w:b/>
          <w:bCs/>
          <w:color w:val="auto"/>
          <w:sz w:val="28"/>
          <w:highlight w:val="none"/>
        </w:rPr>
      </w:pPr>
      <w:bookmarkStart w:id="154" w:name="_Toc28804"/>
      <w:bookmarkStart w:id="155" w:name="_Toc17414"/>
      <w:bookmarkStart w:id="156" w:name="_Toc8075"/>
      <w:r>
        <w:rPr>
          <w:rFonts w:hint="eastAsia" w:ascii="宋体" w:cs="宋体"/>
          <w:b/>
          <w:bCs/>
          <w:color w:val="auto"/>
          <w:spacing w:val="1"/>
          <w:sz w:val="28"/>
          <w:highlight w:val="none"/>
        </w:rPr>
        <w:t>1</w:t>
      </w:r>
      <w:r>
        <w:rPr>
          <w:rFonts w:hint="eastAsia" w:ascii="宋体" w:cs="宋体"/>
          <w:b/>
          <w:bCs/>
          <w:color w:val="auto"/>
          <w:sz w:val="28"/>
          <w:highlight w:val="none"/>
        </w:rPr>
        <w:t>.2招标项目</w:t>
      </w:r>
      <w:r>
        <w:rPr>
          <w:rFonts w:hint="eastAsia" w:ascii="宋体" w:cs="宋体"/>
          <w:b/>
          <w:bCs/>
          <w:color w:val="auto"/>
          <w:spacing w:val="-3"/>
          <w:sz w:val="28"/>
          <w:highlight w:val="none"/>
        </w:rPr>
        <w:t>的</w:t>
      </w:r>
      <w:r>
        <w:rPr>
          <w:rFonts w:hint="eastAsia" w:ascii="宋体" w:cs="宋体"/>
          <w:b/>
          <w:bCs/>
          <w:color w:val="auto"/>
          <w:sz w:val="28"/>
          <w:highlight w:val="none"/>
        </w:rPr>
        <w:t>资</w:t>
      </w:r>
      <w:r>
        <w:rPr>
          <w:rFonts w:hint="eastAsia" w:ascii="宋体" w:cs="宋体"/>
          <w:b/>
          <w:bCs/>
          <w:color w:val="auto"/>
          <w:spacing w:val="-3"/>
          <w:sz w:val="28"/>
          <w:highlight w:val="none"/>
        </w:rPr>
        <w:t>金</w:t>
      </w:r>
      <w:r>
        <w:rPr>
          <w:rFonts w:hint="eastAsia" w:ascii="宋体" w:cs="宋体"/>
          <w:b/>
          <w:bCs/>
          <w:color w:val="auto"/>
          <w:sz w:val="28"/>
          <w:highlight w:val="none"/>
        </w:rPr>
        <w:t>来源和</w:t>
      </w:r>
      <w:r>
        <w:rPr>
          <w:rFonts w:hint="eastAsia" w:ascii="宋体" w:cs="宋体"/>
          <w:b/>
          <w:bCs/>
          <w:color w:val="auto"/>
          <w:spacing w:val="-3"/>
          <w:sz w:val="28"/>
          <w:highlight w:val="none"/>
        </w:rPr>
        <w:t>落</w:t>
      </w:r>
      <w:r>
        <w:rPr>
          <w:rFonts w:hint="eastAsia" w:ascii="宋体" w:cs="宋体"/>
          <w:b/>
          <w:bCs/>
          <w:color w:val="auto"/>
          <w:sz w:val="28"/>
          <w:highlight w:val="none"/>
        </w:rPr>
        <w:t>实情况</w:t>
      </w:r>
      <w:bookmarkEnd w:id="154"/>
      <w:bookmarkEnd w:id="155"/>
      <w:bookmarkEnd w:id="156"/>
    </w:p>
    <w:p>
      <w:pPr>
        <w:spacing w:line="360" w:lineRule="auto"/>
        <w:ind w:left="520" w:right="-20"/>
        <w:jc w:val="left"/>
        <w:rPr>
          <w:rFonts w:ascii="宋体" w:cs="宋体"/>
          <w:color w:val="auto"/>
          <w:highlight w:val="none"/>
        </w:rPr>
      </w:pPr>
      <w:r>
        <w:rPr>
          <w:rFonts w:hint="eastAsia" w:ascii="宋体" w:cs="宋体"/>
          <w:color w:val="auto"/>
          <w:highlight w:val="none"/>
        </w:rPr>
        <w:t>1.2.1资</w:t>
      </w:r>
      <w:r>
        <w:rPr>
          <w:rFonts w:hint="eastAsia" w:ascii="宋体" w:cs="宋体"/>
          <w:color w:val="auto"/>
          <w:spacing w:val="-2"/>
          <w:highlight w:val="none"/>
        </w:rPr>
        <w:t>金</w:t>
      </w:r>
      <w:r>
        <w:rPr>
          <w:rFonts w:hint="eastAsia" w:ascii="宋体" w:cs="宋体"/>
          <w:color w:val="auto"/>
          <w:highlight w:val="none"/>
        </w:rPr>
        <w:t>来</w:t>
      </w:r>
      <w:r>
        <w:rPr>
          <w:rFonts w:hint="eastAsia" w:ascii="宋体" w:cs="宋体"/>
          <w:color w:val="auto"/>
          <w:spacing w:val="-2"/>
          <w:highlight w:val="none"/>
        </w:rPr>
        <w:t>源</w:t>
      </w:r>
      <w:r>
        <w:rPr>
          <w:rFonts w:hint="eastAsia" w:ascii="宋体" w:cs="宋体"/>
          <w:color w:val="auto"/>
          <w:highlight w:val="none"/>
        </w:rPr>
        <w:t>及</w:t>
      </w:r>
      <w:r>
        <w:rPr>
          <w:rFonts w:hint="eastAsia" w:ascii="宋体" w:cs="宋体"/>
          <w:color w:val="auto"/>
          <w:spacing w:val="-2"/>
          <w:highlight w:val="none"/>
        </w:rPr>
        <w:t>比</w:t>
      </w:r>
      <w:r>
        <w:rPr>
          <w:rFonts w:hint="eastAsia" w:ascii="宋体" w:cs="宋体"/>
          <w:color w:val="auto"/>
          <w:highlight w:val="none"/>
        </w:rPr>
        <w:t>例</w:t>
      </w:r>
      <w:r>
        <w:rPr>
          <w:rFonts w:hint="eastAsia" w:ascii="宋体" w:cs="宋体"/>
          <w:color w:val="auto"/>
          <w:spacing w:val="-2"/>
          <w:highlight w:val="none"/>
        </w:rPr>
        <w:t>：见</w:t>
      </w:r>
      <w:r>
        <w:rPr>
          <w:rFonts w:hint="eastAsia" w:ascii="宋体" w:cs="宋体"/>
          <w:color w:val="auto"/>
          <w:highlight w:val="none"/>
        </w:rPr>
        <w:t>投标</w:t>
      </w:r>
      <w:r>
        <w:rPr>
          <w:rFonts w:hint="eastAsia" w:ascii="宋体" w:cs="宋体"/>
          <w:color w:val="auto"/>
          <w:spacing w:val="-2"/>
          <w:highlight w:val="none"/>
        </w:rPr>
        <w:t>人</w:t>
      </w:r>
      <w:r>
        <w:rPr>
          <w:rFonts w:hint="eastAsia" w:ascii="宋体" w:cs="宋体"/>
          <w:color w:val="auto"/>
          <w:highlight w:val="none"/>
        </w:rPr>
        <w:t>须</w:t>
      </w:r>
      <w:r>
        <w:rPr>
          <w:rFonts w:hint="eastAsia" w:ascii="宋体" w:cs="宋体"/>
          <w:color w:val="auto"/>
          <w:spacing w:val="-2"/>
          <w:highlight w:val="none"/>
        </w:rPr>
        <w:t>知</w:t>
      </w:r>
      <w:r>
        <w:rPr>
          <w:rFonts w:hint="eastAsia" w:ascii="宋体" w:cs="宋体"/>
          <w:color w:val="auto"/>
          <w:highlight w:val="none"/>
        </w:rPr>
        <w:t>前</w:t>
      </w:r>
      <w:r>
        <w:rPr>
          <w:rFonts w:hint="eastAsia" w:ascii="宋体" w:cs="宋体"/>
          <w:color w:val="auto"/>
          <w:spacing w:val="-2"/>
          <w:highlight w:val="none"/>
        </w:rPr>
        <w:t>附</w:t>
      </w:r>
      <w:r>
        <w:rPr>
          <w:rFonts w:hint="eastAsia" w:ascii="宋体" w:cs="宋体"/>
          <w:color w:val="auto"/>
          <w:highlight w:val="none"/>
        </w:rPr>
        <w:t>表。</w:t>
      </w:r>
    </w:p>
    <w:p>
      <w:pPr>
        <w:spacing w:line="360" w:lineRule="auto"/>
        <w:ind w:left="520" w:right="-20"/>
        <w:jc w:val="left"/>
        <w:rPr>
          <w:rFonts w:ascii="宋体" w:cs="宋体"/>
          <w:color w:val="auto"/>
          <w:highlight w:val="none"/>
        </w:rPr>
      </w:pPr>
      <w:r>
        <w:rPr>
          <w:rFonts w:hint="eastAsia" w:ascii="宋体" w:cs="宋体"/>
          <w:color w:val="auto"/>
          <w:highlight w:val="none"/>
        </w:rPr>
        <w:t>1.2.2资</w:t>
      </w:r>
      <w:r>
        <w:rPr>
          <w:rFonts w:hint="eastAsia" w:ascii="宋体" w:cs="宋体"/>
          <w:color w:val="auto"/>
          <w:spacing w:val="-2"/>
          <w:highlight w:val="none"/>
        </w:rPr>
        <w:t>金</w:t>
      </w:r>
      <w:r>
        <w:rPr>
          <w:rFonts w:hint="eastAsia" w:ascii="宋体" w:cs="宋体"/>
          <w:color w:val="auto"/>
          <w:highlight w:val="none"/>
        </w:rPr>
        <w:t>落</w:t>
      </w:r>
      <w:r>
        <w:rPr>
          <w:rFonts w:hint="eastAsia" w:ascii="宋体" w:cs="宋体"/>
          <w:color w:val="auto"/>
          <w:spacing w:val="-2"/>
          <w:highlight w:val="none"/>
        </w:rPr>
        <w:t>实</w:t>
      </w:r>
      <w:r>
        <w:rPr>
          <w:rFonts w:hint="eastAsia" w:ascii="宋体" w:cs="宋体"/>
          <w:color w:val="auto"/>
          <w:highlight w:val="none"/>
        </w:rPr>
        <w:t>情</w:t>
      </w:r>
      <w:r>
        <w:rPr>
          <w:rFonts w:hint="eastAsia" w:ascii="宋体" w:cs="宋体"/>
          <w:color w:val="auto"/>
          <w:spacing w:val="-2"/>
          <w:highlight w:val="none"/>
        </w:rPr>
        <w:t>况</w:t>
      </w:r>
      <w:r>
        <w:rPr>
          <w:rFonts w:hint="eastAsia" w:ascii="宋体" w:cs="宋体"/>
          <w:color w:val="auto"/>
          <w:highlight w:val="none"/>
        </w:rPr>
        <w:t>：</w:t>
      </w:r>
      <w:r>
        <w:rPr>
          <w:rFonts w:hint="eastAsia" w:ascii="宋体" w:cs="宋体"/>
          <w:color w:val="auto"/>
          <w:spacing w:val="-2"/>
          <w:highlight w:val="none"/>
        </w:rPr>
        <w:t>见投</w:t>
      </w:r>
      <w:r>
        <w:rPr>
          <w:rFonts w:hint="eastAsia" w:ascii="宋体" w:cs="宋体"/>
          <w:color w:val="auto"/>
          <w:highlight w:val="none"/>
        </w:rPr>
        <w:t>标人</w:t>
      </w:r>
      <w:r>
        <w:rPr>
          <w:rFonts w:hint="eastAsia" w:ascii="宋体" w:cs="宋体"/>
          <w:color w:val="auto"/>
          <w:spacing w:val="-2"/>
          <w:highlight w:val="none"/>
        </w:rPr>
        <w:t>须</w:t>
      </w:r>
      <w:r>
        <w:rPr>
          <w:rFonts w:hint="eastAsia" w:ascii="宋体" w:cs="宋体"/>
          <w:color w:val="auto"/>
          <w:highlight w:val="none"/>
        </w:rPr>
        <w:t>知</w:t>
      </w:r>
      <w:r>
        <w:rPr>
          <w:rFonts w:hint="eastAsia" w:ascii="宋体" w:cs="宋体"/>
          <w:color w:val="auto"/>
          <w:spacing w:val="-2"/>
          <w:highlight w:val="none"/>
        </w:rPr>
        <w:t>前</w:t>
      </w:r>
      <w:r>
        <w:rPr>
          <w:rFonts w:hint="eastAsia" w:ascii="宋体" w:cs="宋体"/>
          <w:color w:val="auto"/>
          <w:highlight w:val="none"/>
        </w:rPr>
        <w:t>附</w:t>
      </w:r>
      <w:r>
        <w:rPr>
          <w:rFonts w:hint="eastAsia" w:ascii="宋体" w:cs="宋体"/>
          <w:color w:val="auto"/>
          <w:spacing w:val="-2"/>
          <w:highlight w:val="none"/>
        </w:rPr>
        <w:t>表</w:t>
      </w:r>
      <w:r>
        <w:rPr>
          <w:rFonts w:hint="eastAsia" w:ascii="宋体" w:cs="宋体"/>
          <w:color w:val="auto"/>
          <w:highlight w:val="none"/>
        </w:rPr>
        <w:t>。</w:t>
      </w:r>
    </w:p>
    <w:p>
      <w:pPr>
        <w:spacing w:line="360" w:lineRule="auto"/>
        <w:ind w:left="237" w:right="-20" w:firstLine="283" w:firstLineChars="100"/>
        <w:jc w:val="left"/>
        <w:outlineLvl w:val="2"/>
        <w:rPr>
          <w:rFonts w:ascii="宋体" w:cs="宋体"/>
          <w:b/>
          <w:bCs/>
          <w:color w:val="auto"/>
          <w:sz w:val="28"/>
          <w:highlight w:val="none"/>
        </w:rPr>
      </w:pPr>
      <w:bookmarkStart w:id="157" w:name="_Toc9704"/>
      <w:bookmarkStart w:id="158" w:name="_Toc18192"/>
      <w:bookmarkStart w:id="159" w:name="_Toc16418"/>
      <w:r>
        <w:rPr>
          <w:rFonts w:hint="eastAsia" w:ascii="宋体" w:cs="宋体"/>
          <w:b/>
          <w:bCs/>
          <w:color w:val="auto"/>
          <w:spacing w:val="1"/>
          <w:sz w:val="28"/>
          <w:highlight w:val="none"/>
        </w:rPr>
        <w:t>1</w:t>
      </w:r>
      <w:r>
        <w:rPr>
          <w:rFonts w:hint="eastAsia" w:ascii="宋体" w:cs="宋体"/>
          <w:b/>
          <w:bCs/>
          <w:color w:val="auto"/>
          <w:sz w:val="28"/>
          <w:highlight w:val="none"/>
        </w:rPr>
        <w:t>.3招标范</w:t>
      </w:r>
      <w:r>
        <w:rPr>
          <w:rFonts w:hint="eastAsia" w:ascii="宋体" w:cs="宋体"/>
          <w:b/>
          <w:bCs/>
          <w:color w:val="auto"/>
          <w:spacing w:val="-3"/>
          <w:sz w:val="28"/>
          <w:highlight w:val="none"/>
        </w:rPr>
        <w:t>围</w:t>
      </w:r>
      <w:r>
        <w:rPr>
          <w:rFonts w:hint="eastAsia" w:ascii="宋体" w:cs="宋体"/>
          <w:b/>
          <w:bCs/>
          <w:color w:val="auto"/>
          <w:sz w:val="28"/>
          <w:highlight w:val="none"/>
        </w:rPr>
        <w:t>、监</w:t>
      </w:r>
      <w:r>
        <w:rPr>
          <w:rFonts w:hint="eastAsia" w:ascii="宋体" w:cs="宋体"/>
          <w:b/>
          <w:bCs/>
          <w:color w:val="auto"/>
          <w:spacing w:val="-2"/>
          <w:sz w:val="28"/>
          <w:highlight w:val="none"/>
        </w:rPr>
        <w:t>理</w:t>
      </w:r>
      <w:r>
        <w:rPr>
          <w:rFonts w:hint="eastAsia" w:ascii="宋体" w:cs="宋体"/>
          <w:b/>
          <w:bCs/>
          <w:color w:val="auto"/>
          <w:sz w:val="28"/>
          <w:highlight w:val="none"/>
        </w:rPr>
        <w:t>服务期</w:t>
      </w:r>
      <w:r>
        <w:rPr>
          <w:rFonts w:hint="eastAsia" w:ascii="宋体" w:cs="宋体"/>
          <w:b/>
          <w:bCs/>
          <w:color w:val="auto"/>
          <w:spacing w:val="-3"/>
          <w:sz w:val="28"/>
          <w:highlight w:val="none"/>
        </w:rPr>
        <w:t>限</w:t>
      </w:r>
      <w:r>
        <w:rPr>
          <w:rFonts w:hint="eastAsia" w:ascii="宋体" w:cs="宋体"/>
          <w:b/>
          <w:bCs/>
          <w:color w:val="auto"/>
          <w:sz w:val="28"/>
          <w:highlight w:val="none"/>
        </w:rPr>
        <w:t>和质</w:t>
      </w:r>
      <w:r>
        <w:rPr>
          <w:rFonts w:hint="eastAsia" w:ascii="宋体" w:cs="宋体"/>
          <w:b/>
          <w:bCs/>
          <w:color w:val="auto"/>
          <w:spacing w:val="-3"/>
          <w:sz w:val="28"/>
          <w:highlight w:val="none"/>
        </w:rPr>
        <w:t>量标</w:t>
      </w:r>
      <w:r>
        <w:rPr>
          <w:rFonts w:hint="eastAsia" w:ascii="宋体" w:cs="宋体"/>
          <w:b/>
          <w:bCs/>
          <w:color w:val="auto"/>
          <w:sz w:val="28"/>
          <w:highlight w:val="none"/>
        </w:rPr>
        <w:t>准</w:t>
      </w:r>
      <w:bookmarkEnd w:id="157"/>
      <w:bookmarkEnd w:id="158"/>
      <w:bookmarkEnd w:id="159"/>
    </w:p>
    <w:p>
      <w:pPr>
        <w:spacing w:line="360" w:lineRule="auto"/>
        <w:ind w:left="520" w:right="-20"/>
        <w:jc w:val="left"/>
        <w:rPr>
          <w:rFonts w:ascii="宋体" w:cs="宋体"/>
          <w:color w:val="auto"/>
          <w:highlight w:val="none"/>
        </w:rPr>
      </w:pPr>
      <w:r>
        <w:rPr>
          <w:rFonts w:hint="eastAsia" w:ascii="宋体" w:cs="宋体"/>
          <w:color w:val="auto"/>
          <w:highlight w:val="none"/>
        </w:rPr>
        <w:t>1.3.1招</w:t>
      </w:r>
      <w:r>
        <w:rPr>
          <w:rFonts w:hint="eastAsia" w:ascii="宋体" w:cs="宋体"/>
          <w:color w:val="auto"/>
          <w:spacing w:val="-2"/>
          <w:highlight w:val="none"/>
        </w:rPr>
        <w:t>标</w:t>
      </w:r>
      <w:r>
        <w:rPr>
          <w:rFonts w:hint="eastAsia" w:ascii="宋体" w:cs="宋体"/>
          <w:color w:val="auto"/>
          <w:highlight w:val="none"/>
        </w:rPr>
        <w:t>范</w:t>
      </w:r>
      <w:r>
        <w:rPr>
          <w:rFonts w:hint="eastAsia" w:ascii="宋体" w:cs="宋体"/>
          <w:color w:val="auto"/>
          <w:spacing w:val="-2"/>
          <w:highlight w:val="none"/>
        </w:rPr>
        <w:t>围</w:t>
      </w:r>
      <w:r>
        <w:rPr>
          <w:rFonts w:hint="eastAsia" w:ascii="宋体" w:cs="宋体"/>
          <w:color w:val="auto"/>
          <w:highlight w:val="none"/>
        </w:rPr>
        <w:t>：</w:t>
      </w:r>
      <w:r>
        <w:rPr>
          <w:rFonts w:hint="eastAsia" w:ascii="宋体" w:cs="宋体"/>
          <w:color w:val="auto"/>
          <w:spacing w:val="-2"/>
          <w:highlight w:val="none"/>
        </w:rPr>
        <w:t>见</w:t>
      </w:r>
      <w:r>
        <w:rPr>
          <w:rFonts w:hint="eastAsia" w:ascii="宋体" w:cs="宋体"/>
          <w:color w:val="auto"/>
          <w:highlight w:val="none"/>
        </w:rPr>
        <w:t>投</w:t>
      </w:r>
      <w:r>
        <w:rPr>
          <w:rFonts w:hint="eastAsia" w:ascii="宋体" w:cs="宋体"/>
          <w:color w:val="auto"/>
          <w:spacing w:val="-2"/>
          <w:highlight w:val="none"/>
        </w:rPr>
        <w:t>标人</w:t>
      </w:r>
      <w:r>
        <w:rPr>
          <w:rFonts w:hint="eastAsia" w:ascii="宋体" w:cs="宋体"/>
          <w:color w:val="auto"/>
          <w:highlight w:val="none"/>
        </w:rPr>
        <w:t>须知</w:t>
      </w:r>
      <w:r>
        <w:rPr>
          <w:rFonts w:hint="eastAsia" w:ascii="宋体" w:cs="宋体"/>
          <w:color w:val="auto"/>
          <w:spacing w:val="-2"/>
          <w:highlight w:val="none"/>
        </w:rPr>
        <w:t>前</w:t>
      </w:r>
      <w:r>
        <w:rPr>
          <w:rFonts w:hint="eastAsia" w:ascii="宋体" w:cs="宋体"/>
          <w:color w:val="auto"/>
          <w:highlight w:val="none"/>
        </w:rPr>
        <w:t>附</w:t>
      </w:r>
      <w:r>
        <w:rPr>
          <w:rFonts w:hint="eastAsia" w:ascii="宋体" w:cs="宋体"/>
          <w:color w:val="auto"/>
          <w:spacing w:val="-2"/>
          <w:highlight w:val="none"/>
        </w:rPr>
        <w:t>表</w:t>
      </w:r>
      <w:r>
        <w:rPr>
          <w:rFonts w:hint="eastAsia" w:ascii="宋体" w:cs="宋体"/>
          <w:color w:val="auto"/>
          <w:highlight w:val="none"/>
        </w:rPr>
        <w:t>。</w:t>
      </w:r>
    </w:p>
    <w:p>
      <w:pPr>
        <w:spacing w:line="360" w:lineRule="auto"/>
        <w:ind w:left="520" w:right="-20"/>
        <w:jc w:val="left"/>
        <w:rPr>
          <w:rFonts w:ascii="宋体" w:cs="宋体"/>
          <w:color w:val="auto"/>
          <w:highlight w:val="none"/>
        </w:rPr>
      </w:pPr>
      <w:r>
        <w:rPr>
          <w:rFonts w:hint="eastAsia" w:ascii="宋体" w:cs="宋体"/>
          <w:color w:val="auto"/>
          <w:highlight w:val="none"/>
        </w:rPr>
        <w:t>1.3.2监</w:t>
      </w:r>
      <w:r>
        <w:rPr>
          <w:rFonts w:hint="eastAsia" w:ascii="宋体" w:cs="宋体"/>
          <w:color w:val="auto"/>
          <w:spacing w:val="-2"/>
          <w:highlight w:val="none"/>
        </w:rPr>
        <w:t>理</w:t>
      </w:r>
      <w:r>
        <w:rPr>
          <w:rFonts w:hint="eastAsia" w:ascii="宋体" w:cs="宋体"/>
          <w:color w:val="auto"/>
          <w:highlight w:val="none"/>
        </w:rPr>
        <w:t>服</w:t>
      </w:r>
      <w:r>
        <w:rPr>
          <w:rFonts w:hint="eastAsia" w:ascii="宋体" w:cs="宋体"/>
          <w:color w:val="auto"/>
          <w:spacing w:val="-2"/>
          <w:highlight w:val="none"/>
        </w:rPr>
        <w:t>务</w:t>
      </w:r>
      <w:r>
        <w:rPr>
          <w:rFonts w:hint="eastAsia" w:ascii="宋体" w:cs="宋体"/>
          <w:color w:val="auto"/>
          <w:highlight w:val="none"/>
        </w:rPr>
        <w:t>期</w:t>
      </w:r>
      <w:r>
        <w:rPr>
          <w:rFonts w:hint="eastAsia" w:ascii="宋体" w:cs="宋体"/>
          <w:color w:val="auto"/>
          <w:spacing w:val="-2"/>
          <w:highlight w:val="none"/>
        </w:rPr>
        <w:t>限</w:t>
      </w:r>
      <w:r>
        <w:rPr>
          <w:rFonts w:hint="eastAsia" w:ascii="宋体" w:cs="宋体"/>
          <w:color w:val="auto"/>
          <w:highlight w:val="none"/>
        </w:rPr>
        <w:t>：</w:t>
      </w:r>
      <w:r>
        <w:rPr>
          <w:rFonts w:hint="eastAsia" w:ascii="宋体" w:cs="宋体"/>
          <w:color w:val="auto"/>
          <w:spacing w:val="-2"/>
          <w:highlight w:val="none"/>
        </w:rPr>
        <w:t>见投</w:t>
      </w:r>
      <w:r>
        <w:rPr>
          <w:rFonts w:hint="eastAsia" w:ascii="宋体" w:cs="宋体"/>
          <w:color w:val="auto"/>
          <w:highlight w:val="none"/>
        </w:rPr>
        <w:t>标人</w:t>
      </w:r>
      <w:r>
        <w:rPr>
          <w:rFonts w:hint="eastAsia" w:ascii="宋体" w:cs="宋体"/>
          <w:color w:val="auto"/>
          <w:spacing w:val="-2"/>
          <w:highlight w:val="none"/>
        </w:rPr>
        <w:t>须</w:t>
      </w:r>
      <w:r>
        <w:rPr>
          <w:rFonts w:hint="eastAsia" w:ascii="宋体" w:cs="宋体"/>
          <w:color w:val="auto"/>
          <w:highlight w:val="none"/>
        </w:rPr>
        <w:t>知</w:t>
      </w:r>
      <w:r>
        <w:rPr>
          <w:rFonts w:hint="eastAsia" w:ascii="宋体" w:cs="宋体"/>
          <w:color w:val="auto"/>
          <w:spacing w:val="-2"/>
          <w:highlight w:val="none"/>
        </w:rPr>
        <w:t>前</w:t>
      </w:r>
      <w:r>
        <w:rPr>
          <w:rFonts w:hint="eastAsia" w:ascii="宋体" w:cs="宋体"/>
          <w:color w:val="auto"/>
          <w:highlight w:val="none"/>
        </w:rPr>
        <w:t>附</w:t>
      </w:r>
      <w:r>
        <w:rPr>
          <w:rFonts w:hint="eastAsia" w:ascii="宋体" w:cs="宋体"/>
          <w:color w:val="auto"/>
          <w:spacing w:val="-2"/>
          <w:highlight w:val="none"/>
        </w:rPr>
        <w:t>表</w:t>
      </w:r>
      <w:r>
        <w:rPr>
          <w:rFonts w:hint="eastAsia" w:ascii="宋体" w:cs="宋体"/>
          <w:color w:val="auto"/>
          <w:highlight w:val="none"/>
        </w:rPr>
        <w:t>。</w:t>
      </w:r>
    </w:p>
    <w:p>
      <w:pPr>
        <w:spacing w:line="360" w:lineRule="auto"/>
        <w:ind w:left="520" w:right="-20"/>
        <w:jc w:val="left"/>
        <w:rPr>
          <w:rFonts w:ascii="宋体" w:cs="宋体"/>
          <w:color w:val="auto"/>
          <w:highlight w:val="none"/>
        </w:rPr>
      </w:pPr>
      <w:r>
        <w:rPr>
          <w:rFonts w:hint="eastAsia" w:ascii="宋体" w:cs="宋体"/>
          <w:color w:val="auto"/>
          <w:highlight w:val="none"/>
        </w:rPr>
        <w:t>1.3.3质</w:t>
      </w:r>
      <w:r>
        <w:rPr>
          <w:rFonts w:hint="eastAsia" w:ascii="宋体" w:cs="宋体"/>
          <w:color w:val="auto"/>
          <w:spacing w:val="-2"/>
          <w:highlight w:val="none"/>
        </w:rPr>
        <w:t>量</w:t>
      </w:r>
      <w:r>
        <w:rPr>
          <w:rFonts w:hint="eastAsia" w:ascii="宋体" w:cs="宋体"/>
          <w:color w:val="auto"/>
          <w:highlight w:val="none"/>
        </w:rPr>
        <w:t>标</w:t>
      </w:r>
      <w:r>
        <w:rPr>
          <w:rFonts w:hint="eastAsia" w:ascii="宋体" w:cs="宋体"/>
          <w:color w:val="auto"/>
          <w:spacing w:val="-2"/>
          <w:highlight w:val="none"/>
        </w:rPr>
        <w:t>准</w:t>
      </w:r>
      <w:r>
        <w:rPr>
          <w:rFonts w:hint="eastAsia" w:ascii="宋体" w:cs="宋体"/>
          <w:color w:val="auto"/>
          <w:highlight w:val="none"/>
        </w:rPr>
        <w:t>：</w:t>
      </w:r>
      <w:r>
        <w:rPr>
          <w:rFonts w:hint="eastAsia" w:ascii="宋体" w:cs="宋体"/>
          <w:color w:val="auto"/>
          <w:spacing w:val="-2"/>
          <w:highlight w:val="none"/>
        </w:rPr>
        <w:t>见</w:t>
      </w:r>
      <w:r>
        <w:rPr>
          <w:rFonts w:hint="eastAsia" w:ascii="宋体" w:cs="宋体"/>
          <w:color w:val="auto"/>
          <w:highlight w:val="none"/>
        </w:rPr>
        <w:t>投</w:t>
      </w:r>
      <w:r>
        <w:rPr>
          <w:rFonts w:hint="eastAsia" w:ascii="宋体" w:cs="宋体"/>
          <w:color w:val="auto"/>
          <w:spacing w:val="-2"/>
          <w:highlight w:val="none"/>
        </w:rPr>
        <w:t>标人</w:t>
      </w:r>
      <w:r>
        <w:rPr>
          <w:rFonts w:hint="eastAsia" w:ascii="宋体" w:cs="宋体"/>
          <w:color w:val="auto"/>
          <w:highlight w:val="none"/>
        </w:rPr>
        <w:t>须知</w:t>
      </w:r>
      <w:r>
        <w:rPr>
          <w:rFonts w:hint="eastAsia" w:ascii="宋体" w:cs="宋体"/>
          <w:color w:val="auto"/>
          <w:spacing w:val="-2"/>
          <w:highlight w:val="none"/>
        </w:rPr>
        <w:t>前</w:t>
      </w:r>
      <w:r>
        <w:rPr>
          <w:rFonts w:hint="eastAsia" w:ascii="宋体" w:cs="宋体"/>
          <w:color w:val="auto"/>
          <w:highlight w:val="none"/>
        </w:rPr>
        <w:t>附</w:t>
      </w:r>
      <w:r>
        <w:rPr>
          <w:rFonts w:hint="eastAsia" w:ascii="宋体" w:cs="宋体"/>
          <w:color w:val="auto"/>
          <w:spacing w:val="-2"/>
          <w:highlight w:val="none"/>
        </w:rPr>
        <w:t>表</w:t>
      </w:r>
      <w:r>
        <w:rPr>
          <w:rFonts w:hint="eastAsia" w:ascii="宋体" w:cs="宋体"/>
          <w:color w:val="auto"/>
          <w:highlight w:val="none"/>
        </w:rPr>
        <w:t>。</w:t>
      </w:r>
    </w:p>
    <w:p>
      <w:pPr>
        <w:spacing w:line="360" w:lineRule="auto"/>
        <w:ind w:left="237" w:right="-20" w:firstLine="283" w:firstLineChars="100"/>
        <w:jc w:val="left"/>
        <w:outlineLvl w:val="2"/>
        <w:rPr>
          <w:rFonts w:ascii="宋体" w:cs="宋体"/>
          <w:b/>
          <w:bCs/>
          <w:color w:val="auto"/>
          <w:sz w:val="28"/>
          <w:highlight w:val="none"/>
        </w:rPr>
      </w:pPr>
      <w:bookmarkStart w:id="160" w:name="_Toc19814"/>
      <w:bookmarkStart w:id="161" w:name="_Toc14642"/>
      <w:bookmarkStart w:id="162" w:name="_Toc7503"/>
      <w:r>
        <w:rPr>
          <w:rFonts w:hint="eastAsia" w:ascii="宋体" w:cs="宋体"/>
          <w:b/>
          <w:bCs/>
          <w:color w:val="auto"/>
          <w:spacing w:val="1"/>
          <w:sz w:val="28"/>
          <w:highlight w:val="none"/>
        </w:rPr>
        <w:t>1</w:t>
      </w:r>
      <w:r>
        <w:rPr>
          <w:rFonts w:hint="eastAsia" w:ascii="宋体" w:cs="宋体"/>
          <w:b/>
          <w:bCs/>
          <w:color w:val="auto"/>
          <w:sz w:val="28"/>
          <w:highlight w:val="none"/>
        </w:rPr>
        <w:t>.4投标人</w:t>
      </w:r>
      <w:r>
        <w:rPr>
          <w:rFonts w:hint="eastAsia" w:ascii="宋体" w:cs="宋体"/>
          <w:b/>
          <w:bCs/>
          <w:color w:val="auto"/>
          <w:spacing w:val="-3"/>
          <w:sz w:val="28"/>
          <w:highlight w:val="none"/>
        </w:rPr>
        <w:t>资</w:t>
      </w:r>
      <w:r>
        <w:rPr>
          <w:rFonts w:hint="eastAsia" w:ascii="宋体" w:cs="宋体"/>
          <w:b/>
          <w:bCs/>
          <w:color w:val="auto"/>
          <w:sz w:val="28"/>
          <w:highlight w:val="none"/>
        </w:rPr>
        <w:t>格要求</w:t>
      </w:r>
      <w:bookmarkEnd w:id="160"/>
      <w:bookmarkEnd w:id="161"/>
      <w:bookmarkEnd w:id="162"/>
    </w:p>
    <w:p>
      <w:pPr>
        <w:spacing w:line="360" w:lineRule="auto"/>
        <w:ind w:left="520" w:right="-20"/>
        <w:jc w:val="left"/>
        <w:outlineLvl w:val="3"/>
        <w:rPr>
          <w:rFonts w:ascii="宋体" w:cs="宋体"/>
          <w:color w:val="auto"/>
          <w:highlight w:val="none"/>
        </w:rPr>
      </w:pPr>
      <w:r>
        <w:rPr>
          <w:rFonts w:hint="eastAsia" w:ascii="宋体" w:cs="宋体"/>
          <w:color w:val="auto"/>
          <w:highlight w:val="none"/>
        </w:rPr>
        <w:t>1.4.1投标人应具备承担本招标项目资质条件、能力和信誉：</w:t>
      </w:r>
    </w:p>
    <w:p>
      <w:pPr>
        <w:spacing w:line="360" w:lineRule="auto"/>
        <w:ind w:left="378" w:right="4711"/>
        <w:jc w:val="center"/>
        <w:rPr>
          <w:rFonts w:ascii="宋体" w:cs="宋体"/>
          <w:color w:val="auto"/>
          <w:highlight w:val="none"/>
        </w:rPr>
      </w:pPr>
      <w:r>
        <w:rPr>
          <w:rFonts w:hint="eastAsia" w:ascii="宋体" w:cs="宋体"/>
          <w:color w:val="auto"/>
          <w:highlight w:val="none"/>
        </w:rPr>
        <w:t>（1）资质要求：见投标人须知前附表；</w:t>
      </w:r>
    </w:p>
    <w:p>
      <w:pPr>
        <w:spacing w:line="360" w:lineRule="auto"/>
        <w:ind w:left="378" w:right="4711"/>
        <w:jc w:val="center"/>
        <w:rPr>
          <w:rFonts w:ascii="宋体" w:cs="宋体"/>
          <w:color w:val="auto"/>
          <w:highlight w:val="none"/>
        </w:rPr>
      </w:pPr>
      <w:r>
        <w:rPr>
          <w:rFonts w:hint="eastAsia" w:ascii="宋体" w:cs="宋体"/>
          <w:color w:val="auto"/>
          <w:highlight w:val="none"/>
        </w:rPr>
        <w:t>（2）财务要求：见投标人须知前附表；</w:t>
      </w:r>
    </w:p>
    <w:p>
      <w:pPr>
        <w:spacing w:line="360" w:lineRule="auto"/>
        <w:ind w:left="378" w:right="4711"/>
        <w:jc w:val="center"/>
        <w:rPr>
          <w:rFonts w:ascii="宋体" w:cs="宋体"/>
          <w:color w:val="auto"/>
          <w:highlight w:val="none"/>
        </w:rPr>
      </w:pPr>
      <w:r>
        <w:rPr>
          <w:rFonts w:hint="eastAsia" w:ascii="宋体" w:cs="宋体"/>
          <w:color w:val="auto"/>
          <w:highlight w:val="none"/>
        </w:rPr>
        <w:t>（3）业绩要求：见投标人须知前附表；</w:t>
      </w:r>
    </w:p>
    <w:p>
      <w:pPr>
        <w:spacing w:line="360" w:lineRule="auto"/>
        <w:ind w:left="378" w:right="4711"/>
        <w:jc w:val="center"/>
        <w:rPr>
          <w:rFonts w:ascii="宋体" w:cs="宋体"/>
          <w:color w:val="auto"/>
          <w:highlight w:val="none"/>
        </w:rPr>
      </w:pPr>
      <w:r>
        <w:rPr>
          <w:rFonts w:hint="eastAsia" w:ascii="宋体" w:cs="宋体"/>
          <w:color w:val="auto"/>
          <w:highlight w:val="none"/>
        </w:rPr>
        <w:t>（4）信誉要求：见投标人须知前附表；</w:t>
      </w:r>
    </w:p>
    <w:p>
      <w:pPr>
        <w:spacing w:line="360" w:lineRule="auto"/>
        <w:ind w:left="0" w:leftChars="0" w:right="28" w:firstLine="420" w:firstLineChars="200"/>
        <w:rPr>
          <w:rFonts w:ascii="宋体" w:cs="宋体"/>
          <w:color w:val="auto"/>
          <w:highlight w:val="none"/>
        </w:rPr>
      </w:pPr>
      <w:r>
        <w:rPr>
          <w:rFonts w:hint="eastAsia" w:ascii="宋体" w:cs="宋体"/>
          <w:color w:val="auto"/>
          <w:highlight w:val="none"/>
        </w:rPr>
        <w:t>（5）总监理工程师的资格要求：应当具备工程注册监理工程师执业资格（如有），具体要求见投标人须知前附表；</w:t>
      </w:r>
    </w:p>
    <w:p>
      <w:pPr>
        <w:spacing w:line="360" w:lineRule="auto"/>
        <w:ind w:left="415" w:right="-20"/>
        <w:jc w:val="left"/>
        <w:rPr>
          <w:rFonts w:ascii="宋体" w:cs="宋体"/>
          <w:color w:val="auto"/>
          <w:highlight w:val="none"/>
        </w:rPr>
      </w:pPr>
      <w:r>
        <w:rPr>
          <w:rFonts w:hint="eastAsia" w:ascii="宋体" w:cs="宋体"/>
          <w:color w:val="auto"/>
          <w:highlight w:val="none"/>
        </w:rPr>
        <w:t>（6）其他主要人员要求：见投标人须知前附表。</w:t>
      </w:r>
    </w:p>
    <w:p>
      <w:pPr>
        <w:spacing w:line="360" w:lineRule="auto"/>
        <w:ind w:left="415" w:right="-20"/>
        <w:jc w:val="left"/>
        <w:rPr>
          <w:rFonts w:ascii="宋体" w:cs="宋体"/>
          <w:color w:val="auto"/>
          <w:highlight w:val="none"/>
        </w:rPr>
      </w:pPr>
      <w:r>
        <w:rPr>
          <w:rFonts w:hint="eastAsia" w:ascii="宋体" w:cs="宋体"/>
          <w:color w:val="auto"/>
          <w:highlight w:val="none"/>
        </w:rPr>
        <w:t>（7）试验检测仪器设备要求：见投标人须知前附表。</w:t>
      </w:r>
    </w:p>
    <w:p>
      <w:pPr>
        <w:spacing w:line="360" w:lineRule="auto"/>
        <w:ind w:left="520" w:right="40" w:hanging="106"/>
        <w:jc w:val="left"/>
        <w:rPr>
          <w:rFonts w:ascii="宋体" w:cs="宋体"/>
          <w:color w:val="auto"/>
          <w:highlight w:val="none"/>
        </w:rPr>
      </w:pPr>
      <w:r>
        <w:rPr>
          <w:rFonts w:hint="eastAsia" w:ascii="宋体" w:cs="宋体"/>
          <w:color w:val="auto"/>
          <w:highlight w:val="none"/>
        </w:rPr>
        <w:t>（8）其他要求：见投标人须知前附表。需要提交的相关证明材料见本章第 3.5 款的规定。</w:t>
      </w:r>
    </w:p>
    <w:p>
      <w:pPr>
        <w:spacing w:line="360" w:lineRule="auto"/>
        <w:ind w:left="100" w:right="40" w:firstLine="420"/>
        <w:jc w:val="left"/>
        <w:rPr>
          <w:rFonts w:ascii="宋体" w:cs="宋体"/>
          <w:color w:val="auto"/>
          <w:highlight w:val="none"/>
        </w:rPr>
      </w:pPr>
      <w:r>
        <w:rPr>
          <w:rFonts w:hint="eastAsia" w:ascii="宋体" w:cs="宋体"/>
          <w:color w:val="auto"/>
          <w:highlight w:val="none"/>
        </w:rPr>
        <w:t>1.4.2 投标人须知前附表规定接受联合体投标的，联合体除应符合本章第 1.4.1 项和投标人 须知前附表的要求外，还应遵守以下规定：</w:t>
      </w:r>
    </w:p>
    <w:p>
      <w:pPr>
        <w:spacing w:line="360" w:lineRule="auto"/>
        <w:ind w:left="100" w:right="43" w:firstLine="314"/>
        <w:jc w:val="left"/>
        <w:rPr>
          <w:rFonts w:ascii="宋体" w:cs="宋体"/>
          <w:color w:val="auto"/>
          <w:highlight w:val="none"/>
        </w:rPr>
      </w:pPr>
      <w:r>
        <w:rPr>
          <w:rFonts w:hint="eastAsia" w:ascii="宋体" w:cs="宋体"/>
          <w:color w:val="auto"/>
          <w:highlight w:val="none"/>
        </w:rPr>
        <w:t>（1）联合体各方应按招标文件提供的格式签订联合体协议书，明确联合体牵头人和各方权利义务，并承诺就中标项目向招标人承担连带责任；</w:t>
      </w:r>
    </w:p>
    <w:p>
      <w:pPr>
        <w:spacing w:line="360" w:lineRule="auto"/>
        <w:ind w:left="415" w:right="-20"/>
        <w:jc w:val="left"/>
        <w:rPr>
          <w:rFonts w:ascii="宋体" w:cs="宋体"/>
          <w:color w:val="auto"/>
          <w:highlight w:val="none"/>
        </w:rPr>
      </w:pPr>
      <w:r>
        <w:rPr>
          <w:rFonts w:hint="eastAsia" w:ascii="宋体" w:cs="宋体"/>
          <w:color w:val="auto"/>
          <w:highlight w:val="none"/>
        </w:rPr>
        <w:t>（2）由同一专业的单位组成的联合体，按照资质等级较低的单位确定资质等级；</w:t>
      </w:r>
    </w:p>
    <w:p>
      <w:pPr>
        <w:spacing w:line="360" w:lineRule="auto"/>
        <w:ind w:left="100" w:right="43" w:firstLine="314"/>
        <w:jc w:val="left"/>
        <w:rPr>
          <w:rFonts w:ascii="宋体" w:cs="宋体"/>
          <w:color w:val="auto"/>
          <w:highlight w:val="none"/>
        </w:rPr>
      </w:pPr>
      <w:r>
        <w:rPr>
          <w:rFonts w:hint="eastAsia" w:ascii="宋体" w:cs="宋体"/>
          <w:color w:val="auto"/>
          <w:highlight w:val="none"/>
        </w:rPr>
        <w:t>（3）联合体各方不得再以自己名义单独或参加其他联合体在本招标项目中投标，否则各相关投标均无效。</w:t>
      </w:r>
    </w:p>
    <w:p>
      <w:pPr>
        <w:spacing w:line="360" w:lineRule="auto"/>
        <w:ind w:left="520" w:right="-20"/>
        <w:jc w:val="left"/>
        <w:outlineLvl w:val="3"/>
        <w:rPr>
          <w:rFonts w:ascii="宋体" w:cs="宋体"/>
          <w:color w:val="auto"/>
          <w:highlight w:val="none"/>
        </w:rPr>
      </w:pPr>
      <w:r>
        <w:rPr>
          <w:rFonts w:hint="eastAsia" w:ascii="宋体" w:cs="宋体"/>
          <w:color w:val="auto"/>
          <w:highlight w:val="none"/>
        </w:rPr>
        <w:t>1.4.3 投标人不得存在下列情形之一：</w:t>
      </w:r>
    </w:p>
    <w:p>
      <w:pPr>
        <w:spacing w:line="360" w:lineRule="auto"/>
        <w:ind w:left="520" w:right="-20"/>
        <w:jc w:val="left"/>
        <w:rPr>
          <w:rFonts w:ascii="宋体" w:cs="宋体"/>
          <w:color w:val="auto"/>
          <w:highlight w:val="none"/>
        </w:rPr>
      </w:pPr>
      <w:r>
        <w:rPr>
          <w:rFonts w:hint="eastAsia" w:ascii="宋体" w:cs="宋体"/>
          <w:color w:val="auto"/>
          <w:highlight w:val="none"/>
        </w:rPr>
        <w:t>（1）为招标人不具有独立法人资格的附属机构（单位）；</w:t>
      </w:r>
    </w:p>
    <w:p>
      <w:pPr>
        <w:spacing w:line="360" w:lineRule="auto"/>
        <w:ind w:left="520" w:right="-20"/>
        <w:jc w:val="left"/>
        <w:rPr>
          <w:rFonts w:ascii="宋体" w:cs="宋体"/>
          <w:color w:val="auto"/>
          <w:highlight w:val="none"/>
        </w:rPr>
      </w:pPr>
      <w:r>
        <w:rPr>
          <w:rFonts w:hint="eastAsia" w:ascii="宋体" w:cs="宋体"/>
          <w:color w:val="auto"/>
          <w:highlight w:val="none"/>
        </w:rPr>
        <w:t>（2）与招标人存在利害关系且可能影响招标公正性；</w:t>
      </w:r>
    </w:p>
    <w:p>
      <w:pPr>
        <w:spacing w:line="360" w:lineRule="auto"/>
        <w:ind w:left="520" w:right="-20"/>
        <w:jc w:val="left"/>
        <w:rPr>
          <w:rFonts w:ascii="宋体" w:cs="宋体"/>
          <w:color w:val="auto"/>
          <w:highlight w:val="none"/>
        </w:rPr>
      </w:pPr>
      <w:r>
        <w:rPr>
          <w:rFonts w:hint="eastAsia" w:ascii="宋体" w:cs="宋体"/>
          <w:color w:val="auto"/>
          <w:highlight w:val="none"/>
        </w:rPr>
        <w:t>（3）与本招标项目的其他投标人为同一个单位负责人；</w:t>
      </w:r>
    </w:p>
    <w:p>
      <w:pPr>
        <w:spacing w:line="360" w:lineRule="auto"/>
        <w:ind w:left="520" w:right="-20"/>
        <w:jc w:val="left"/>
        <w:rPr>
          <w:rFonts w:ascii="宋体" w:cs="宋体"/>
          <w:color w:val="auto"/>
          <w:highlight w:val="none"/>
        </w:rPr>
      </w:pPr>
      <w:r>
        <w:rPr>
          <w:rFonts w:hint="eastAsia" w:ascii="宋体" w:cs="宋体"/>
          <w:color w:val="auto"/>
          <w:highlight w:val="none"/>
        </w:rPr>
        <w:t>（4）与本招标项目的其他投标人存在控股、管理关系；</w:t>
      </w:r>
    </w:p>
    <w:p>
      <w:pPr>
        <w:spacing w:line="360" w:lineRule="auto"/>
        <w:ind w:left="520" w:right="-20"/>
        <w:jc w:val="left"/>
        <w:rPr>
          <w:rFonts w:ascii="宋体" w:cs="宋体"/>
          <w:color w:val="auto"/>
          <w:highlight w:val="none"/>
        </w:rPr>
      </w:pPr>
      <w:r>
        <w:rPr>
          <w:rFonts w:hint="eastAsia" w:ascii="宋体" w:cs="宋体"/>
          <w:color w:val="auto"/>
          <w:highlight w:val="none"/>
        </w:rPr>
        <w:t>（5）为本招标项目的代建人；</w:t>
      </w:r>
    </w:p>
    <w:p>
      <w:pPr>
        <w:spacing w:line="360" w:lineRule="auto"/>
        <w:ind w:left="520" w:right="-20"/>
        <w:jc w:val="left"/>
        <w:rPr>
          <w:rFonts w:ascii="宋体" w:cs="宋体"/>
          <w:color w:val="auto"/>
          <w:highlight w:val="none"/>
        </w:rPr>
      </w:pPr>
      <w:r>
        <w:rPr>
          <w:rFonts w:hint="eastAsia" w:ascii="宋体" w:cs="宋体"/>
          <w:color w:val="auto"/>
          <w:highlight w:val="none"/>
        </w:rPr>
        <w:t>（6）为本招标项目的招标代理机构；</w:t>
      </w:r>
    </w:p>
    <w:p>
      <w:pPr>
        <w:spacing w:line="360" w:lineRule="auto"/>
        <w:ind w:left="520" w:right="-20"/>
        <w:jc w:val="left"/>
        <w:rPr>
          <w:rFonts w:ascii="宋体" w:cs="宋体"/>
          <w:color w:val="auto"/>
          <w:highlight w:val="none"/>
        </w:rPr>
      </w:pPr>
      <w:r>
        <w:rPr>
          <w:rFonts w:hint="eastAsia" w:ascii="宋体" w:cs="宋体"/>
          <w:color w:val="auto"/>
          <w:highlight w:val="none"/>
        </w:rPr>
        <w:t>（7）与本招标项目的代建人或招标代理机构同为一个法定代表人；</w:t>
      </w:r>
    </w:p>
    <w:p>
      <w:pPr>
        <w:spacing w:line="360" w:lineRule="auto"/>
        <w:ind w:left="520" w:right="-20"/>
        <w:jc w:val="left"/>
        <w:rPr>
          <w:rFonts w:ascii="宋体" w:cs="宋体"/>
          <w:color w:val="auto"/>
          <w:highlight w:val="none"/>
        </w:rPr>
      </w:pPr>
      <w:r>
        <w:rPr>
          <w:rFonts w:hint="eastAsia" w:ascii="宋体" w:cs="宋体"/>
          <w:color w:val="auto"/>
          <w:highlight w:val="none"/>
        </w:rPr>
        <w:t>（8）与本招标项目的代建人或招标代理机构存在控股或参股关系；</w:t>
      </w:r>
    </w:p>
    <w:p>
      <w:pPr>
        <w:spacing w:line="360" w:lineRule="auto"/>
        <w:ind w:left="520" w:right="-20"/>
        <w:jc w:val="left"/>
        <w:rPr>
          <w:rFonts w:ascii="宋体" w:cs="宋体"/>
          <w:color w:val="auto"/>
          <w:highlight w:val="none"/>
        </w:rPr>
      </w:pPr>
      <w:r>
        <w:rPr>
          <w:rFonts w:hint="eastAsia" w:ascii="宋体" w:cs="宋体"/>
          <w:color w:val="auto"/>
          <w:highlight w:val="none"/>
        </w:rPr>
        <w:t>（9）被依法暂停或者取消投标资格；</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zh-CN" w:eastAsia="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color w:val="auto"/>
          <w:highlight w:val="none"/>
          <w:lang w:eastAsia="zh-CN"/>
        </w:rPr>
        <w:t>）</w:t>
      </w:r>
    </w:p>
    <w:p>
      <w:pPr>
        <w:spacing w:line="360" w:lineRule="auto"/>
        <w:ind w:left="520" w:right="-20"/>
        <w:jc w:val="left"/>
        <w:rPr>
          <w:rFonts w:ascii="宋体" w:cs="宋体"/>
          <w:color w:val="auto"/>
          <w:highlight w:val="none"/>
        </w:rPr>
      </w:pPr>
      <w:r>
        <w:rPr>
          <w:rFonts w:hint="eastAsia" w:ascii="宋体" w:cs="宋体"/>
          <w:color w:val="auto"/>
          <w:highlight w:val="none"/>
        </w:rPr>
        <w:t>（1</w:t>
      </w:r>
      <w:r>
        <w:rPr>
          <w:rFonts w:hint="eastAsia" w:ascii="宋体" w:cs="宋体"/>
          <w:color w:val="auto"/>
          <w:highlight w:val="none"/>
          <w:lang w:val="en-US" w:eastAsia="zh-CN"/>
        </w:rPr>
        <w:t>0</w:t>
      </w:r>
      <w:r>
        <w:rPr>
          <w:rFonts w:hint="eastAsia" w:ascii="宋体" w:cs="宋体"/>
          <w:color w:val="auto"/>
          <w:highlight w:val="none"/>
        </w:rPr>
        <w:t>）被责令停产停业、暂扣或者吊销许可证、暂扣或者吊销执照；</w:t>
      </w:r>
    </w:p>
    <w:p>
      <w:pPr>
        <w:spacing w:line="360" w:lineRule="auto"/>
        <w:ind w:left="520" w:right="-20"/>
        <w:jc w:val="left"/>
        <w:rPr>
          <w:rFonts w:ascii="宋体" w:cs="宋体"/>
          <w:color w:val="auto"/>
          <w:highlight w:val="none"/>
        </w:rPr>
      </w:pPr>
      <w:r>
        <w:rPr>
          <w:rFonts w:hint="eastAsia" w:ascii="宋体" w:cs="宋体"/>
          <w:color w:val="auto"/>
          <w:highlight w:val="none"/>
        </w:rPr>
        <w:t>（1</w:t>
      </w:r>
      <w:r>
        <w:rPr>
          <w:rFonts w:hint="eastAsia" w:ascii="宋体" w:cs="宋体"/>
          <w:color w:val="auto"/>
          <w:highlight w:val="none"/>
          <w:lang w:val="en-US" w:eastAsia="zh-CN"/>
        </w:rPr>
        <w:t>1</w:t>
      </w:r>
      <w:r>
        <w:rPr>
          <w:rFonts w:hint="eastAsia" w:ascii="宋体" w:cs="宋体"/>
          <w:color w:val="auto"/>
          <w:highlight w:val="none"/>
        </w:rPr>
        <w:t>）进入清算程序，或被宣告破产，或其他丧失履约能力的情形；</w:t>
      </w:r>
    </w:p>
    <w:p>
      <w:pPr>
        <w:spacing w:line="360" w:lineRule="auto"/>
        <w:ind w:left="100" w:right="42" w:firstLine="420"/>
        <w:jc w:val="left"/>
        <w:rPr>
          <w:rFonts w:ascii="宋体" w:cs="宋体"/>
          <w:color w:val="auto"/>
          <w:highlight w:val="none"/>
        </w:rPr>
      </w:pPr>
      <w:r>
        <w:rPr>
          <w:rFonts w:hint="eastAsia" w:ascii="宋体" w:cs="宋体"/>
          <w:color w:val="auto"/>
          <w:highlight w:val="none"/>
        </w:rPr>
        <w:t>（1</w:t>
      </w:r>
      <w:r>
        <w:rPr>
          <w:rFonts w:hint="eastAsia" w:ascii="宋体" w:cs="宋体"/>
          <w:color w:val="auto"/>
          <w:highlight w:val="none"/>
          <w:lang w:val="en-US" w:eastAsia="zh-CN"/>
        </w:rPr>
        <w:t>2</w:t>
      </w:r>
      <w:r>
        <w:rPr>
          <w:rFonts w:hint="eastAsia" w:ascii="宋体" w:cs="宋体"/>
          <w:color w:val="auto"/>
          <w:highlight w:val="none"/>
        </w:rPr>
        <w:t>）在最近三年内发生重大监理质量问题</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“重大</w:t>
      </w:r>
      <w:r>
        <w:rPr>
          <w:rFonts w:hint="eastAsia" w:ascii="宋体" w:hAnsi="宋体" w:eastAsia="宋体" w:cs="宋体"/>
          <w:color w:val="auto"/>
          <w:highlight w:val="none"/>
          <w:u w:val="single"/>
          <w:lang w:val="en-US" w:eastAsia="zh-CN"/>
        </w:rPr>
        <w:t>监理</w:t>
      </w:r>
      <w:r>
        <w:rPr>
          <w:rFonts w:hint="eastAsia" w:ascii="宋体" w:hAnsi="宋体" w:eastAsia="宋体" w:cs="宋体"/>
          <w:color w:val="auto"/>
          <w:highlight w:val="none"/>
          <w:u w:val="single"/>
        </w:rPr>
        <w:t>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s="宋体"/>
          <w:color w:val="auto"/>
          <w:highlight w:val="none"/>
          <w:lang w:eastAsia="zh-CN"/>
        </w:rPr>
        <w:t>）</w:t>
      </w:r>
      <w:r>
        <w:rPr>
          <w:rFonts w:hint="eastAsia" w:ascii="宋体" w:cs="宋体"/>
          <w:color w:val="auto"/>
          <w:highlight w:val="none"/>
        </w:rPr>
        <w:t>；</w:t>
      </w:r>
    </w:p>
    <w:p>
      <w:pPr>
        <w:spacing w:line="360" w:lineRule="auto"/>
        <w:ind w:left="237" w:right="-20" w:firstLine="210" w:firstLineChars="100"/>
        <w:jc w:val="left"/>
        <w:rPr>
          <w:rFonts w:hint="eastAsia" w:ascii="宋体" w:cs="宋体"/>
          <w:color w:val="auto"/>
          <w:highlight w:val="none"/>
        </w:rPr>
      </w:pPr>
      <w:r>
        <w:rPr>
          <w:rFonts w:hint="eastAsia" w:ascii="宋体" w:cs="宋体"/>
          <w:color w:val="auto"/>
          <w:highlight w:val="none"/>
        </w:rPr>
        <w:t>（1</w:t>
      </w:r>
      <w:r>
        <w:rPr>
          <w:rFonts w:hint="eastAsia" w:ascii="宋体" w:cs="宋体"/>
          <w:color w:val="auto"/>
          <w:highlight w:val="none"/>
          <w:lang w:val="en-US" w:eastAsia="zh-CN"/>
        </w:rPr>
        <w:t>3</w:t>
      </w:r>
      <w:r>
        <w:rPr>
          <w:rFonts w:hint="eastAsia" w:ascii="宋体" w:cs="宋体"/>
          <w:color w:val="auto"/>
          <w:highlight w:val="none"/>
        </w:rPr>
        <w:t>）未被列入拖欠农民工工资失信联合惩戒对象名单（投标人无需提供资料，按投标截止时广州交易集团有限公司（广州公共资源交易中心）交易系统比对的结果进行评审）</w:t>
      </w:r>
    </w:p>
    <w:p>
      <w:pPr>
        <w:spacing w:line="360" w:lineRule="auto"/>
        <w:ind w:left="237" w:right="-20" w:firstLine="210" w:firstLineChars="100"/>
        <w:jc w:val="left"/>
        <w:rPr>
          <w:rFonts w:ascii="宋体" w:cs="宋体"/>
          <w:color w:val="auto"/>
          <w:highlight w:val="none"/>
        </w:rPr>
      </w:pPr>
      <w:r>
        <w:rPr>
          <w:rFonts w:hint="eastAsia" w:ascii="宋体" w:cs="宋体"/>
          <w:color w:val="auto"/>
          <w:highlight w:val="none"/>
        </w:rPr>
        <w:t>（1</w:t>
      </w:r>
      <w:r>
        <w:rPr>
          <w:rFonts w:hint="eastAsia" w:ascii="宋体" w:cs="宋体"/>
          <w:color w:val="auto"/>
          <w:highlight w:val="none"/>
          <w:lang w:val="en-US" w:eastAsia="zh-CN"/>
        </w:rPr>
        <w:t>4</w:t>
      </w:r>
      <w:r>
        <w:rPr>
          <w:rFonts w:hint="eastAsia" w:ascii="宋体" w:cs="宋体"/>
          <w:color w:val="auto"/>
          <w:highlight w:val="none"/>
        </w:rPr>
        <w:t>）法律法规或投标人须知前附表规定的其他情形。</w:t>
      </w:r>
    </w:p>
    <w:p>
      <w:pPr>
        <w:spacing w:line="360" w:lineRule="auto"/>
        <w:ind w:left="237" w:right="-20" w:firstLine="283" w:firstLineChars="100"/>
        <w:jc w:val="left"/>
        <w:outlineLvl w:val="2"/>
        <w:rPr>
          <w:rFonts w:ascii="宋体" w:cs="宋体"/>
          <w:b/>
          <w:bCs/>
          <w:color w:val="auto"/>
          <w:sz w:val="28"/>
          <w:highlight w:val="none"/>
        </w:rPr>
      </w:pPr>
      <w:bookmarkStart w:id="163" w:name="_Toc4191"/>
      <w:bookmarkStart w:id="164" w:name="_Toc19512"/>
      <w:bookmarkStart w:id="165" w:name="_Toc13098"/>
      <w:r>
        <w:rPr>
          <w:rFonts w:hint="eastAsia" w:ascii="宋体" w:cs="宋体"/>
          <w:b/>
          <w:bCs/>
          <w:color w:val="auto"/>
          <w:spacing w:val="1"/>
          <w:sz w:val="28"/>
          <w:highlight w:val="none"/>
        </w:rPr>
        <w:t>1</w:t>
      </w:r>
      <w:r>
        <w:rPr>
          <w:rFonts w:hint="eastAsia" w:ascii="宋体" w:cs="宋体"/>
          <w:b/>
          <w:bCs/>
          <w:color w:val="auto"/>
          <w:sz w:val="28"/>
          <w:highlight w:val="none"/>
        </w:rPr>
        <w:t>.5费用承担</w:t>
      </w:r>
      <w:bookmarkEnd w:id="163"/>
      <w:bookmarkEnd w:id="164"/>
      <w:bookmarkEnd w:id="165"/>
    </w:p>
    <w:p>
      <w:pPr>
        <w:spacing w:line="360" w:lineRule="auto"/>
        <w:ind w:left="520" w:right="-20"/>
        <w:jc w:val="left"/>
        <w:rPr>
          <w:rFonts w:ascii="宋体" w:cs="宋体"/>
          <w:color w:val="auto"/>
          <w:highlight w:val="none"/>
        </w:rPr>
      </w:pPr>
      <w:r>
        <w:rPr>
          <w:rFonts w:hint="eastAsia" w:ascii="宋体" w:cs="宋体"/>
          <w:color w:val="auto"/>
          <w:highlight w:val="none"/>
        </w:rPr>
        <w:t>投标</w:t>
      </w:r>
      <w:r>
        <w:rPr>
          <w:rFonts w:hint="eastAsia" w:ascii="宋体" w:cs="宋体"/>
          <w:color w:val="auto"/>
          <w:spacing w:val="-2"/>
          <w:highlight w:val="none"/>
        </w:rPr>
        <w:t>人</w:t>
      </w:r>
      <w:r>
        <w:rPr>
          <w:rFonts w:hint="eastAsia" w:ascii="宋体" w:cs="宋体"/>
          <w:color w:val="auto"/>
          <w:highlight w:val="none"/>
        </w:rPr>
        <w:t>准</w:t>
      </w:r>
      <w:r>
        <w:rPr>
          <w:rFonts w:hint="eastAsia" w:ascii="宋体" w:cs="宋体"/>
          <w:color w:val="auto"/>
          <w:spacing w:val="-2"/>
          <w:highlight w:val="none"/>
        </w:rPr>
        <w:t>备</w:t>
      </w:r>
      <w:r>
        <w:rPr>
          <w:rFonts w:hint="eastAsia" w:ascii="宋体" w:cs="宋体"/>
          <w:color w:val="auto"/>
          <w:highlight w:val="none"/>
        </w:rPr>
        <w:t>和</w:t>
      </w:r>
      <w:r>
        <w:rPr>
          <w:rFonts w:hint="eastAsia" w:ascii="宋体" w:cs="宋体"/>
          <w:color w:val="auto"/>
          <w:spacing w:val="-2"/>
          <w:highlight w:val="none"/>
        </w:rPr>
        <w:t>参</w:t>
      </w:r>
      <w:r>
        <w:rPr>
          <w:rFonts w:hint="eastAsia" w:ascii="宋体" w:cs="宋体"/>
          <w:color w:val="auto"/>
          <w:highlight w:val="none"/>
        </w:rPr>
        <w:t>加</w:t>
      </w:r>
      <w:r>
        <w:rPr>
          <w:rFonts w:hint="eastAsia" w:ascii="宋体" w:cs="宋体"/>
          <w:color w:val="auto"/>
          <w:spacing w:val="-2"/>
          <w:highlight w:val="none"/>
        </w:rPr>
        <w:t>投</w:t>
      </w:r>
      <w:r>
        <w:rPr>
          <w:rFonts w:hint="eastAsia" w:ascii="宋体" w:cs="宋体"/>
          <w:color w:val="auto"/>
          <w:highlight w:val="none"/>
        </w:rPr>
        <w:t>标</w:t>
      </w:r>
      <w:r>
        <w:rPr>
          <w:rFonts w:hint="eastAsia" w:ascii="宋体" w:cs="宋体"/>
          <w:color w:val="auto"/>
          <w:spacing w:val="-2"/>
          <w:highlight w:val="none"/>
        </w:rPr>
        <w:t>活</w:t>
      </w:r>
      <w:r>
        <w:rPr>
          <w:rFonts w:hint="eastAsia" w:ascii="宋体" w:cs="宋体"/>
          <w:color w:val="auto"/>
          <w:highlight w:val="none"/>
        </w:rPr>
        <w:t>动发</w:t>
      </w:r>
      <w:r>
        <w:rPr>
          <w:rFonts w:hint="eastAsia" w:ascii="宋体" w:cs="宋体"/>
          <w:color w:val="auto"/>
          <w:spacing w:val="-2"/>
          <w:highlight w:val="none"/>
        </w:rPr>
        <w:t>生</w:t>
      </w:r>
      <w:r>
        <w:rPr>
          <w:rFonts w:hint="eastAsia" w:ascii="宋体" w:cs="宋体"/>
          <w:color w:val="auto"/>
          <w:highlight w:val="none"/>
        </w:rPr>
        <w:t>的</w:t>
      </w:r>
      <w:r>
        <w:rPr>
          <w:rFonts w:hint="eastAsia" w:ascii="宋体" w:cs="宋体"/>
          <w:color w:val="auto"/>
          <w:spacing w:val="-2"/>
          <w:highlight w:val="none"/>
        </w:rPr>
        <w:t>费</w:t>
      </w:r>
      <w:r>
        <w:rPr>
          <w:rFonts w:hint="eastAsia" w:ascii="宋体" w:cs="宋体"/>
          <w:color w:val="auto"/>
          <w:highlight w:val="none"/>
        </w:rPr>
        <w:t>用</w:t>
      </w:r>
      <w:r>
        <w:rPr>
          <w:rFonts w:hint="eastAsia" w:ascii="宋体" w:cs="宋体"/>
          <w:color w:val="auto"/>
          <w:spacing w:val="-2"/>
          <w:highlight w:val="none"/>
        </w:rPr>
        <w:t>自</w:t>
      </w:r>
      <w:r>
        <w:rPr>
          <w:rFonts w:hint="eastAsia" w:ascii="宋体" w:cs="宋体"/>
          <w:color w:val="auto"/>
          <w:highlight w:val="none"/>
        </w:rPr>
        <w:t>理，不论是否中标，招标人均不予补偿。</w:t>
      </w:r>
    </w:p>
    <w:p>
      <w:pPr>
        <w:spacing w:line="360" w:lineRule="auto"/>
        <w:ind w:left="237" w:right="-20" w:firstLine="283" w:firstLineChars="100"/>
        <w:jc w:val="left"/>
        <w:outlineLvl w:val="2"/>
        <w:rPr>
          <w:rFonts w:ascii="宋体" w:cs="宋体"/>
          <w:b/>
          <w:bCs/>
          <w:color w:val="auto"/>
          <w:sz w:val="28"/>
          <w:highlight w:val="none"/>
        </w:rPr>
      </w:pPr>
      <w:bookmarkStart w:id="166" w:name="_Toc11383"/>
      <w:bookmarkStart w:id="167" w:name="_Toc10695"/>
      <w:bookmarkStart w:id="168" w:name="_Toc17350"/>
      <w:r>
        <w:rPr>
          <w:rFonts w:hint="eastAsia" w:ascii="宋体" w:cs="宋体"/>
          <w:b/>
          <w:bCs/>
          <w:color w:val="auto"/>
          <w:spacing w:val="1"/>
          <w:sz w:val="28"/>
          <w:highlight w:val="none"/>
        </w:rPr>
        <w:t>1</w:t>
      </w:r>
      <w:r>
        <w:rPr>
          <w:rFonts w:hint="eastAsia" w:ascii="宋体" w:cs="宋体"/>
          <w:b/>
          <w:bCs/>
          <w:color w:val="auto"/>
          <w:sz w:val="28"/>
          <w:highlight w:val="none"/>
        </w:rPr>
        <w:t>.6保密</w:t>
      </w:r>
      <w:bookmarkEnd w:id="166"/>
      <w:bookmarkEnd w:id="167"/>
      <w:bookmarkEnd w:id="168"/>
    </w:p>
    <w:p>
      <w:pPr>
        <w:spacing w:line="360" w:lineRule="auto"/>
        <w:ind w:left="100" w:right="43" w:firstLine="420"/>
        <w:jc w:val="left"/>
        <w:rPr>
          <w:rFonts w:ascii="宋体" w:cs="宋体"/>
          <w:color w:val="auto"/>
          <w:highlight w:val="none"/>
        </w:rPr>
      </w:pPr>
      <w:r>
        <w:rPr>
          <w:rFonts w:hint="eastAsia" w:ascii="宋体" w:cs="宋体"/>
          <w:color w:val="auto"/>
          <w:highlight w:val="none"/>
        </w:rPr>
        <w:t>参与招标投标活动</w:t>
      </w:r>
      <w:r>
        <w:rPr>
          <w:rFonts w:hint="eastAsia" w:ascii="宋体" w:cs="宋体"/>
          <w:color w:val="auto"/>
          <w:spacing w:val="-2"/>
          <w:highlight w:val="none"/>
        </w:rPr>
        <w:t>的</w:t>
      </w:r>
      <w:r>
        <w:rPr>
          <w:rFonts w:hint="eastAsia" w:ascii="宋体" w:cs="宋体"/>
          <w:color w:val="auto"/>
          <w:highlight w:val="none"/>
        </w:rPr>
        <w:t>各</w:t>
      </w:r>
      <w:r>
        <w:rPr>
          <w:rFonts w:hint="eastAsia" w:ascii="宋体" w:cs="宋体"/>
          <w:color w:val="auto"/>
          <w:spacing w:val="-2"/>
          <w:highlight w:val="none"/>
        </w:rPr>
        <w:t>方</w:t>
      </w:r>
      <w:r>
        <w:rPr>
          <w:rFonts w:hint="eastAsia" w:ascii="宋体" w:cs="宋体"/>
          <w:color w:val="auto"/>
          <w:highlight w:val="none"/>
        </w:rPr>
        <w:t>应对招标文件和投</w:t>
      </w:r>
      <w:r>
        <w:rPr>
          <w:rFonts w:hint="eastAsia" w:ascii="宋体" w:cs="宋体"/>
          <w:color w:val="auto"/>
          <w:spacing w:val="-2"/>
          <w:highlight w:val="none"/>
        </w:rPr>
        <w:t>标</w:t>
      </w:r>
      <w:r>
        <w:rPr>
          <w:rFonts w:hint="eastAsia" w:ascii="宋体" w:cs="宋体"/>
          <w:color w:val="auto"/>
          <w:highlight w:val="none"/>
        </w:rPr>
        <w:t>文</w:t>
      </w:r>
      <w:r>
        <w:rPr>
          <w:rFonts w:hint="eastAsia" w:ascii="宋体" w:cs="宋体"/>
          <w:color w:val="auto"/>
          <w:spacing w:val="-2"/>
          <w:highlight w:val="none"/>
        </w:rPr>
        <w:t>件</w:t>
      </w:r>
      <w:r>
        <w:rPr>
          <w:rFonts w:hint="eastAsia" w:ascii="宋体" w:cs="宋体"/>
          <w:color w:val="auto"/>
          <w:highlight w:val="none"/>
        </w:rPr>
        <w:t>中的商业和技术等</w:t>
      </w:r>
      <w:r>
        <w:rPr>
          <w:rFonts w:hint="eastAsia" w:ascii="宋体" w:cs="宋体"/>
          <w:color w:val="auto"/>
          <w:spacing w:val="-2"/>
          <w:highlight w:val="none"/>
        </w:rPr>
        <w:t>秘</w:t>
      </w:r>
      <w:r>
        <w:rPr>
          <w:rFonts w:hint="eastAsia" w:ascii="宋体" w:cs="宋体"/>
          <w:color w:val="auto"/>
          <w:highlight w:val="none"/>
        </w:rPr>
        <w:t>密</w:t>
      </w:r>
      <w:r>
        <w:rPr>
          <w:rFonts w:hint="eastAsia" w:ascii="宋体" w:cs="宋体"/>
          <w:color w:val="auto"/>
          <w:spacing w:val="-2"/>
          <w:highlight w:val="none"/>
        </w:rPr>
        <w:t>保</w:t>
      </w:r>
      <w:r>
        <w:rPr>
          <w:rFonts w:hint="eastAsia" w:ascii="宋体" w:cs="宋体"/>
          <w:color w:val="auto"/>
          <w:highlight w:val="none"/>
        </w:rPr>
        <w:t>密，否则应承担相</w:t>
      </w:r>
      <w:r>
        <w:rPr>
          <w:rFonts w:hint="eastAsia" w:ascii="宋体" w:cs="宋体"/>
          <w:color w:val="auto"/>
          <w:spacing w:val="-2"/>
          <w:highlight w:val="none"/>
        </w:rPr>
        <w:t>应</w:t>
      </w:r>
      <w:r>
        <w:rPr>
          <w:rFonts w:hint="eastAsia" w:ascii="宋体" w:cs="宋体"/>
          <w:color w:val="auto"/>
          <w:highlight w:val="none"/>
        </w:rPr>
        <w:t>的</w:t>
      </w:r>
      <w:r>
        <w:rPr>
          <w:rFonts w:hint="eastAsia" w:ascii="宋体" w:cs="宋体"/>
          <w:color w:val="auto"/>
          <w:spacing w:val="-2"/>
          <w:highlight w:val="none"/>
        </w:rPr>
        <w:t>法</w:t>
      </w:r>
      <w:r>
        <w:rPr>
          <w:rFonts w:hint="eastAsia" w:ascii="宋体" w:cs="宋体"/>
          <w:color w:val="auto"/>
          <w:highlight w:val="none"/>
        </w:rPr>
        <w:t>律</w:t>
      </w:r>
      <w:r>
        <w:rPr>
          <w:rFonts w:hint="eastAsia" w:ascii="宋体" w:cs="宋体"/>
          <w:color w:val="auto"/>
          <w:spacing w:val="-2"/>
          <w:highlight w:val="none"/>
        </w:rPr>
        <w:t>责</w:t>
      </w:r>
      <w:r>
        <w:rPr>
          <w:rFonts w:hint="eastAsia" w:ascii="宋体" w:cs="宋体"/>
          <w:color w:val="auto"/>
          <w:highlight w:val="none"/>
        </w:rPr>
        <w:t>任。</w:t>
      </w:r>
    </w:p>
    <w:p>
      <w:pPr>
        <w:spacing w:line="360" w:lineRule="auto"/>
        <w:ind w:left="237" w:right="-20" w:firstLine="281" w:firstLineChars="100"/>
        <w:jc w:val="left"/>
        <w:outlineLvl w:val="2"/>
        <w:rPr>
          <w:rFonts w:ascii="宋体" w:cs="宋体"/>
          <w:b/>
          <w:bCs/>
          <w:color w:val="auto"/>
          <w:kern w:val="21"/>
          <w:sz w:val="28"/>
          <w:highlight w:val="none"/>
        </w:rPr>
      </w:pPr>
      <w:bookmarkStart w:id="169" w:name="_Toc17392"/>
      <w:bookmarkStart w:id="170" w:name="_Toc19076"/>
      <w:bookmarkStart w:id="171" w:name="_Toc1947"/>
      <w:r>
        <w:rPr>
          <w:rFonts w:hint="eastAsia" w:ascii="宋体" w:cs="宋体"/>
          <w:b/>
          <w:bCs/>
          <w:color w:val="auto"/>
          <w:kern w:val="21"/>
          <w:sz w:val="28"/>
          <w:highlight w:val="none"/>
        </w:rPr>
        <w:t>1.7语言文字</w:t>
      </w:r>
      <w:bookmarkEnd w:id="169"/>
      <w:bookmarkEnd w:id="170"/>
      <w:bookmarkEnd w:id="171"/>
    </w:p>
    <w:p>
      <w:pPr>
        <w:spacing w:line="360" w:lineRule="auto"/>
        <w:ind w:left="520" w:right="-20"/>
        <w:jc w:val="left"/>
        <w:rPr>
          <w:rFonts w:ascii="宋体" w:cs="宋体"/>
          <w:color w:val="auto"/>
          <w:kern w:val="21"/>
          <w:highlight w:val="none"/>
        </w:rPr>
      </w:pPr>
      <w:r>
        <w:rPr>
          <w:rFonts w:hint="eastAsia" w:ascii="宋体" w:cs="宋体"/>
          <w:color w:val="auto"/>
          <w:kern w:val="21"/>
          <w:highlight w:val="none"/>
        </w:rPr>
        <w:t>招标投标文件使用的语言文字为中文。专用术语使用外文的，应附有中文注释。</w:t>
      </w:r>
    </w:p>
    <w:p>
      <w:pPr>
        <w:spacing w:line="360" w:lineRule="auto"/>
        <w:ind w:left="237" w:right="-20" w:firstLine="281" w:firstLineChars="100"/>
        <w:jc w:val="left"/>
        <w:outlineLvl w:val="2"/>
        <w:rPr>
          <w:rFonts w:ascii="宋体" w:cs="宋体"/>
          <w:b/>
          <w:bCs/>
          <w:color w:val="auto"/>
          <w:kern w:val="21"/>
          <w:sz w:val="28"/>
          <w:highlight w:val="none"/>
        </w:rPr>
      </w:pPr>
      <w:bookmarkStart w:id="172" w:name="_Toc2131"/>
      <w:bookmarkStart w:id="173" w:name="_Toc22163"/>
      <w:bookmarkStart w:id="174" w:name="_Toc9633"/>
      <w:r>
        <w:rPr>
          <w:rFonts w:hint="eastAsia" w:ascii="宋体" w:cs="宋体"/>
          <w:b/>
          <w:bCs/>
          <w:color w:val="auto"/>
          <w:kern w:val="21"/>
          <w:sz w:val="28"/>
          <w:highlight w:val="none"/>
        </w:rPr>
        <w:t>1.8计量单位</w:t>
      </w:r>
      <w:bookmarkEnd w:id="172"/>
      <w:bookmarkEnd w:id="173"/>
      <w:bookmarkEnd w:id="174"/>
    </w:p>
    <w:p>
      <w:pPr>
        <w:spacing w:line="360" w:lineRule="auto"/>
        <w:ind w:left="520" w:right="-20"/>
        <w:jc w:val="left"/>
        <w:rPr>
          <w:rFonts w:ascii="宋体" w:cs="宋体"/>
          <w:color w:val="auto"/>
          <w:kern w:val="21"/>
          <w:highlight w:val="none"/>
        </w:rPr>
      </w:pPr>
      <w:r>
        <w:rPr>
          <w:rFonts w:hint="eastAsia" w:ascii="宋体" w:cs="宋体"/>
          <w:color w:val="auto"/>
          <w:kern w:val="21"/>
          <w:highlight w:val="none"/>
        </w:rPr>
        <w:t>所有计量均采用中华人民共和国法定计量单位。</w:t>
      </w:r>
    </w:p>
    <w:p>
      <w:pPr>
        <w:spacing w:line="360" w:lineRule="auto"/>
        <w:ind w:left="237" w:right="-20" w:firstLine="281" w:firstLineChars="100"/>
        <w:jc w:val="left"/>
        <w:outlineLvl w:val="2"/>
        <w:rPr>
          <w:rFonts w:ascii="宋体" w:cs="宋体"/>
          <w:b/>
          <w:bCs/>
          <w:color w:val="auto"/>
          <w:kern w:val="21"/>
          <w:sz w:val="28"/>
          <w:highlight w:val="none"/>
        </w:rPr>
      </w:pPr>
      <w:bookmarkStart w:id="175" w:name="_Toc16499"/>
      <w:bookmarkStart w:id="176" w:name="_Toc26610"/>
      <w:bookmarkStart w:id="177" w:name="_Toc4025"/>
      <w:r>
        <w:rPr>
          <w:rFonts w:hint="eastAsia" w:ascii="宋体" w:cs="宋体"/>
          <w:b/>
          <w:bCs/>
          <w:color w:val="auto"/>
          <w:kern w:val="21"/>
          <w:sz w:val="28"/>
          <w:highlight w:val="none"/>
        </w:rPr>
        <w:t>1.9踏勘现场</w:t>
      </w:r>
      <w:bookmarkEnd w:id="175"/>
      <w:bookmarkEnd w:id="176"/>
      <w:bookmarkEnd w:id="177"/>
    </w:p>
    <w:p>
      <w:pPr>
        <w:spacing w:line="360" w:lineRule="auto"/>
        <w:ind w:left="100" w:right="42" w:firstLine="420"/>
        <w:jc w:val="left"/>
        <w:rPr>
          <w:rFonts w:ascii="宋体" w:cs="宋体"/>
          <w:color w:val="auto"/>
          <w:kern w:val="21"/>
          <w:highlight w:val="none"/>
        </w:rPr>
      </w:pPr>
      <w:r>
        <w:rPr>
          <w:rFonts w:hint="eastAsia" w:ascii="宋体" w:cs="宋体"/>
          <w:color w:val="auto"/>
          <w:kern w:val="21"/>
          <w:highlight w:val="none"/>
        </w:rPr>
        <w:t>1.9.1投标人须知前附表规定组织踏勘现场的，招标人按投标人须知前附表规定的时间、地点组织投标人踏勘项目现场。部分投标人未按时参加踏勘现场的，不影响踏勘现场的正常进行。</w:t>
      </w:r>
    </w:p>
    <w:p>
      <w:pPr>
        <w:spacing w:line="360" w:lineRule="auto"/>
        <w:ind w:left="520" w:right="-20"/>
        <w:jc w:val="left"/>
        <w:outlineLvl w:val="3"/>
        <w:rPr>
          <w:rFonts w:ascii="宋体" w:cs="宋体"/>
          <w:color w:val="auto"/>
          <w:kern w:val="21"/>
          <w:highlight w:val="none"/>
        </w:rPr>
      </w:pPr>
      <w:r>
        <w:rPr>
          <w:rFonts w:hint="eastAsia" w:ascii="宋体" w:cs="宋体"/>
          <w:color w:val="auto"/>
          <w:kern w:val="21"/>
          <w:highlight w:val="none"/>
        </w:rPr>
        <w:t>1.9.2投标人踏勘现场发生的费用自理。</w:t>
      </w:r>
    </w:p>
    <w:p>
      <w:pPr>
        <w:spacing w:line="360" w:lineRule="auto"/>
        <w:ind w:left="520" w:right="-20"/>
        <w:jc w:val="left"/>
        <w:rPr>
          <w:rFonts w:ascii="宋体" w:cs="宋体"/>
          <w:color w:val="auto"/>
          <w:kern w:val="21"/>
          <w:highlight w:val="none"/>
        </w:rPr>
      </w:pPr>
      <w:r>
        <w:rPr>
          <w:rFonts w:hint="eastAsia" w:ascii="宋体" w:cs="宋体"/>
          <w:color w:val="auto"/>
          <w:kern w:val="21"/>
          <w:highlight w:val="none"/>
        </w:rPr>
        <w:t>1.9.3除招标人的原因外，投标人自行负责在踏勘现场中所发生的人员伤亡和财产损失。</w:t>
      </w:r>
    </w:p>
    <w:p>
      <w:pPr>
        <w:spacing w:line="360" w:lineRule="auto"/>
        <w:ind w:left="100" w:right="39" w:firstLine="420"/>
        <w:jc w:val="left"/>
        <w:rPr>
          <w:rFonts w:ascii="宋体" w:cs="宋体"/>
          <w:color w:val="auto"/>
          <w:kern w:val="21"/>
          <w:highlight w:val="none"/>
        </w:rPr>
      </w:pPr>
      <w:r>
        <w:rPr>
          <w:rFonts w:hint="eastAsia" w:ascii="宋体" w:cs="宋体"/>
          <w:color w:val="auto"/>
          <w:kern w:val="21"/>
          <w:highlight w:val="none"/>
        </w:rPr>
        <w:t>1.9.4 招标人在踏勘现场中介绍的工程场地和相关的周边环境情况，供投标人在编制投标文 件时参考，招标人不对投标人据此作出的判断和决策负责。</w:t>
      </w:r>
    </w:p>
    <w:p>
      <w:pPr>
        <w:spacing w:line="360" w:lineRule="auto"/>
        <w:ind w:left="237" w:right="-20" w:firstLine="281" w:firstLineChars="100"/>
        <w:jc w:val="left"/>
        <w:outlineLvl w:val="2"/>
        <w:rPr>
          <w:rFonts w:ascii="宋体" w:cs="宋体"/>
          <w:b/>
          <w:bCs/>
          <w:color w:val="auto"/>
          <w:kern w:val="21"/>
          <w:sz w:val="28"/>
          <w:highlight w:val="none"/>
        </w:rPr>
      </w:pPr>
      <w:bookmarkStart w:id="178" w:name="_Toc1242"/>
      <w:bookmarkStart w:id="179" w:name="_Toc22318"/>
      <w:bookmarkStart w:id="180" w:name="_Toc4074"/>
      <w:r>
        <w:rPr>
          <w:rFonts w:hint="eastAsia" w:ascii="宋体" w:cs="宋体"/>
          <w:b/>
          <w:bCs/>
          <w:color w:val="auto"/>
          <w:kern w:val="21"/>
          <w:sz w:val="28"/>
          <w:highlight w:val="none"/>
        </w:rPr>
        <w:t>1.10投标预备会</w:t>
      </w:r>
      <w:bookmarkEnd w:id="178"/>
      <w:bookmarkEnd w:id="179"/>
      <w:bookmarkEnd w:id="180"/>
    </w:p>
    <w:p>
      <w:pPr>
        <w:spacing w:line="360" w:lineRule="auto"/>
        <w:ind w:left="100" w:right="43" w:firstLine="420"/>
        <w:jc w:val="left"/>
        <w:rPr>
          <w:rFonts w:ascii="宋体" w:cs="宋体"/>
          <w:color w:val="auto"/>
          <w:kern w:val="21"/>
          <w:highlight w:val="none"/>
        </w:rPr>
      </w:pPr>
      <w:r>
        <w:rPr>
          <w:rFonts w:hint="eastAsia" w:ascii="宋体" w:cs="宋体"/>
          <w:color w:val="auto"/>
          <w:kern w:val="21"/>
          <w:highlight w:val="none"/>
        </w:rPr>
        <w:t>1.10.1投标人须知前附表规定召开投标预备会的，招标人按投标人须知前附表规定的时间 和地点召开投标预备会，澄清投标人提出的问题。</w:t>
      </w:r>
    </w:p>
    <w:p>
      <w:pPr>
        <w:spacing w:line="360" w:lineRule="auto"/>
        <w:ind w:left="100" w:right="42" w:firstLine="420"/>
        <w:jc w:val="left"/>
        <w:rPr>
          <w:rFonts w:ascii="宋体" w:cs="宋体"/>
          <w:color w:val="auto"/>
          <w:kern w:val="21"/>
          <w:highlight w:val="none"/>
        </w:rPr>
      </w:pPr>
      <w:r>
        <w:rPr>
          <w:rFonts w:hint="eastAsia" w:ascii="宋体" w:cs="宋体"/>
          <w:color w:val="auto"/>
          <w:kern w:val="21"/>
          <w:highlight w:val="none"/>
        </w:rPr>
        <w:t>1.10.2投标人应按投标人须知前附表规定的时间和形式将提出的问题送达招标人，以便招 标人在会议期间澄清。</w:t>
      </w:r>
    </w:p>
    <w:p>
      <w:pPr>
        <w:spacing w:line="360" w:lineRule="auto"/>
        <w:ind w:left="100" w:right="43" w:firstLine="420"/>
        <w:jc w:val="left"/>
        <w:rPr>
          <w:rFonts w:ascii="宋体" w:cs="宋体"/>
          <w:color w:val="auto"/>
          <w:kern w:val="21"/>
          <w:highlight w:val="none"/>
        </w:rPr>
      </w:pPr>
      <w:r>
        <w:rPr>
          <w:rFonts w:hint="eastAsia" w:ascii="宋体" w:cs="宋体"/>
          <w:color w:val="auto"/>
          <w:kern w:val="21"/>
          <w:highlight w:val="none"/>
        </w:rPr>
        <w:t>1.10.3投标预备会后，招标人将对投标人所提问题的澄清，以投标人须知前附表规定的形式通知所有购买招标文件的投标人。该澄清内容为招标文件的组成部分。</w:t>
      </w:r>
    </w:p>
    <w:p>
      <w:pPr>
        <w:spacing w:line="360" w:lineRule="auto"/>
        <w:ind w:left="237" w:right="-20" w:firstLine="281" w:firstLineChars="100"/>
        <w:jc w:val="left"/>
        <w:outlineLvl w:val="2"/>
        <w:rPr>
          <w:rFonts w:ascii="宋体" w:cs="宋体"/>
          <w:b/>
          <w:bCs/>
          <w:color w:val="auto"/>
          <w:kern w:val="21"/>
          <w:sz w:val="28"/>
          <w:highlight w:val="none"/>
        </w:rPr>
      </w:pPr>
      <w:bookmarkStart w:id="181" w:name="_Toc10460"/>
      <w:bookmarkStart w:id="182" w:name="_Toc16115"/>
      <w:bookmarkStart w:id="183" w:name="_Toc23090"/>
      <w:r>
        <w:rPr>
          <w:rFonts w:hint="eastAsia" w:ascii="宋体" w:cs="宋体"/>
          <w:b/>
          <w:bCs/>
          <w:color w:val="auto"/>
          <w:kern w:val="21"/>
          <w:sz w:val="28"/>
          <w:highlight w:val="none"/>
        </w:rPr>
        <w:t>1.11分包</w:t>
      </w:r>
      <w:bookmarkEnd w:id="181"/>
      <w:bookmarkEnd w:id="182"/>
      <w:bookmarkEnd w:id="183"/>
    </w:p>
    <w:p>
      <w:pPr>
        <w:spacing w:line="360" w:lineRule="auto"/>
        <w:ind w:left="520" w:right="-20"/>
        <w:jc w:val="left"/>
        <w:rPr>
          <w:rFonts w:ascii="宋体" w:cs="宋体"/>
          <w:color w:val="auto"/>
          <w:kern w:val="21"/>
          <w:highlight w:val="none"/>
        </w:rPr>
      </w:pPr>
      <w:r>
        <w:rPr>
          <w:rFonts w:hint="eastAsia" w:ascii="宋体" w:cs="宋体"/>
          <w:color w:val="auto"/>
          <w:kern w:val="21"/>
          <w:highlight w:val="none"/>
        </w:rPr>
        <w:t>本项目严禁全部或部分分包。</w:t>
      </w:r>
    </w:p>
    <w:p>
      <w:pPr>
        <w:spacing w:line="360" w:lineRule="auto"/>
        <w:ind w:left="237" w:right="-20" w:firstLine="281" w:firstLineChars="100"/>
        <w:jc w:val="left"/>
        <w:outlineLvl w:val="2"/>
        <w:rPr>
          <w:rFonts w:ascii="宋体" w:cs="宋体"/>
          <w:b/>
          <w:bCs/>
          <w:color w:val="auto"/>
          <w:kern w:val="21"/>
          <w:sz w:val="28"/>
          <w:highlight w:val="none"/>
        </w:rPr>
      </w:pPr>
      <w:bookmarkStart w:id="184" w:name="_Toc14500"/>
      <w:bookmarkStart w:id="185" w:name="_Toc3880"/>
      <w:bookmarkStart w:id="186" w:name="_Toc19318"/>
      <w:r>
        <w:rPr>
          <w:rFonts w:hint="eastAsia" w:ascii="宋体" w:cs="宋体"/>
          <w:b/>
          <w:bCs/>
          <w:color w:val="auto"/>
          <w:kern w:val="21"/>
          <w:sz w:val="28"/>
          <w:highlight w:val="none"/>
        </w:rPr>
        <w:t>1.12响应和偏差</w:t>
      </w:r>
      <w:bookmarkEnd w:id="184"/>
      <w:bookmarkEnd w:id="185"/>
      <w:bookmarkEnd w:id="186"/>
    </w:p>
    <w:p>
      <w:pPr>
        <w:spacing w:line="360" w:lineRule="auto"/>
        <w:ind w:left="100" w:right="34" w:firstLine="420"/>
        <w:jc w:val="left"/>
        <w:rPr>
          <w:rFonts w:ascii="宋体" w:cs="宋体"/>
          <w:color w:val="auto"/>
          <w:kern w:val="21"/>
          <w:highlight w:val="none"/>
        </w:rPr>
      </w:pPr>
      <w:r>
        <w:rPr>
          <w:rFonts w:hint="eastAsia" w:ascii="宋体" w:cs="宋体"/>
          <w:color w:val="auto"/>
          <w:kern w:val="21"/>
          <w:highlight w:val="none"/>
        </w:rPr>
        <w:t>1.12.1投标文件应当对招标文件的实质性要求和条件作出满足性或更有利于招标人的响应， 否则，投标人的投标将被否决。实质性要求和条件见投标人须知前附表。</w:t>
      </w:r>
    </w:p>
    <w:p>
      <w:pPr>
        <w:spacing w:line="360" w:lineRule="auto"/>
        <w:ind w:left="520" w:right="-20"/>
        <w:jc w:val="left"/>
        <w:rPr>
          <w:rFonts w:ascii="宋体" w:cs="宋体"/>
          <w:color w:val="auto"/>
          <w:kern w:val="21"/>
          <w:highlight w:val="none"/>
        </w:rPr>
      </w:pPr>
      <w:r>
        <w:rPr>
          <w:rFonts w:hint="eastAsia" w:ascii="宋体" w:cs="宋体"/>
          <w:color w:val="auto"/>
          <w:kern w:val="21"/>
          <w:highlight w:val="none"/>
        </w:rPr>
        <w:t>1.12.2投标人应根据招标文件的要求提供投标监理大纲等内容以对招标文件作出响应。</w:t>
      </w:r>
    </w:p>
    <w:p>
      <w:pPr>
        <w:spacing w:line="360" w:lineRule="auto"/>
        <w:ind w:left="100" w:right="145" w:firstLine="434"/>
        <w:rPr>
          <w:rFonts w:ascii="宋体" w:cs="宋体"/>
          <w:color w:val="auto"/>
          <w:kern w:val="21"/>
          <w:highlight w:val="none"/>
        </w:rPr>
      </w:pPr>
      <w:r>
        <w:rPr>
          <w:rFonts w:hint="eastAsia" w:ascii="宋体" w:cs="宋体"/>
          <w:color w:val="auto"/>
          <w:kern w:val="21"/>
          <w:highlight w:val="none"/>
        </w:rPr>
        <w:t>1.12.3投标人须知前附表允许投标文件偏离招标文件某些要求的，偏差应当符合招标文件 规定的偏差范围和幅度。</w:t>
      </w:r>
    </w:p>
    <w:p>
      <w:pPr>
        <w:spacing w:line="360" w:lineRule="auto"/>
        <w:ind w:left="100" w:right="-20"/>
        <w:jc w:val="left"/>
        <w:outlineLvl w:val="1"/>
        <w:rPr>
          <w:rFonts w:ascii="宋体" w:cs="宋体"/>
          <w:b/>
          <w:color w:val="auto"/>
          <w:kern w:val="21"/>
          <w:sz w:val="28"/>
          <w:szCs w:val="28"/>
          <w:highlight w:val="none"/>
        </w:rPr>
      </w:pPr>
      <w:bookmarkStart w:id="187" w:name="_Toc10981"/>
      <w:bookmarkStart w:id="188" w:name="_Toc14773"/>
      <w:bookmarkStart w:id="189" w:name="_Toc15215"/>
      <w:bookmarkStart w:id="190" w:name="_Toc6072"/>
      <w:bookmarkStart w:id="191" w:name="_Toc16934"/>
      <w:bookmarkStart w:id="192" w:name="_Toc11074"/>
      <w:bookmarkStart w:id="193" w:name="_Toc26497"/>
      <w:bookmarkStart w:id="194" w:name="_Toc1245"/>
      <w:bookmarkStart w:id="195" w:name="_Toc11842"/>
      <w:bookmarkStart w:id="196" w:name="_Toc32161"/>
      <w:bookmarkStart w:id="197" w:name="_Toc8676"/>
      <w:bookmarkStart w:id="198" w:name="_Toc10083"/>
      <w:bookmarkStart w:id="199" w:name="_Toc16547"/>
      <w:bookmarkStart w:id="200" w:name="_Toc31531"/>
      <w:bookmarkStart w:id="201" w:name="_Toc28915"/>
      <w:bookmarkStart w:id="202" w:name="_Toc31325"/>
      <w:bookmarkStart w:id="203" w:name="_Toc14973"/>
      <w:bookmarkStart w:id="204" w:name="_Toc28103"/>
      <w:bookmarkStart w:id="205" w:name="_Toc24453"/>
      <w:bookmarkStart w:id="206" w:name="_Toc12284"/>
      <w:r>
        <w:rPr>
          <w:rFonts w:hint="eastAsia" w:ascii="宋体" w:cs="宋体"/>
          <w:b/>
          <w:color w:val="auto"/>
          <w:kern w:val="21"/>
          <w:sz w:val="28"/>
          <w:szCs w:val="28"/>
          <w:highlight w:val="none"/>
        </w:rPr>
        <w:t>2.招标文件</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spacing w:line="360" w:lineRule="auto"/>
        <w:ind w:left="237" w:right="-20" w:firstLine="281" w:firstLineChars="100"/>
        <w:jc w:val="left"/>
        <w:outlineLvl w:val="2"/>
        <w:rPr>
          <w:rFonts w:ascii="宋体" w:cs="宋体"/>
          <w:b/>
          <w:bCs/>
          <w:color w:val="auto"/>
          <w:kern w:val="21"/>
          <w:sz w:val="28"/>
          <w:highlight w:val="none"/>
        </w:rPr>
      </w:pPr>
      <w:bookmarkStart w:id="207" w:name="_Toc12604"/>
      <w:bookmarkStart w:id="208" w:name="_Toc14905"/>
      <w:bookmarkStart w:id="209" w:name="_Toc29790"/>
      <w:r>
        <w:rPr>
          <w:rFonts w:hint="eastAsia" w:ascii="宋体" w:cs="宋体"/>
          <w:b/>
          <w:bCs/>
          <w:color w:val="auto"/>
          <w:kern w:val="21"/>
          <w:sz w:val="28"/>
          <w:highlight w:val="none"/>
        </w:rPr>
        <w:t>2.1招标文件的组成</w:t>
      </w:r>
      <w:bookmarkEnd w:id="207"/>
      <w:bookmarkEnd w:id="208"/>
      <w:bookmarkEnd w:id="209"/>
    </w:p>
    <w:p>
      <w:pPr>
        <w:spacing w:line="360" w:lineRule="auto"/>
        <w:ind w:left="460" w:right="-20"/>
        <w:jc w:val="left"/>
        <w:rPr>
          <w:rFonts w:ascii="宋体" w:cs="宋体"/>
          <w:color w:val="auto"/>
          <w:kern w:val="21"/>
          <w:highlight w:val="none"/>
        </w:rPr>
      </w:pPr>
      <w:r>
        <w:rPr>
          <w:rFonts w:hint="eastAsia" w:ascii="宋体" w:cs="宋体"/>
          <w:color w:val="auto"/>
          <w:kern w:val="21"/>
          <w:highlight w:val="none"/>
        </w:rPr>
        <w:t>本招标文件包括：</w:t>
      </w:r>
    </w:p>
    <w:p>
      <w:pPr>
        <w:spacing w:line="360" w:lineRule="auto"/>
        <w:ind w:left="460" w:right="-20"/>
        <w:jc w:val="left"/>
        <w:rPr>
          <w:rFonts w:ascii="宋体" w:cs="宋体"/>
          <w:color w:val="auto"/>
          <w:kern w:val="21"/>
          <w:highlight w:val="none"/>
        </w:rPr>
      </w:pPr>
      <w:r>
        <w:rPr>
          <w:rFonts w:hint="eastAsia" w:ascii="宋体" w:cs="宋体"/>
          <w:color w:val="auto"/>
          <w:kern w:val="21"/>
          <w:highlight w:val="none"/>
        </w:rPr>
        <w:t>（1）招标公告（或投标邀请书）；</w:t>
      </w:r>
    </w:p>
    <w:p>
      <w:pPr>
        <w:spacing w:line="360" w:lineRule="auto"/>
        <w:ind w:left="460" w:right="-20"/>
        <w:jc w:val="left"/>
        <w:rPr>
          <w:rFonts w:ascii="宋体" w:cs="宋体"/>
          <w:color w:val="auto"/>
          <w:kern w:val="21"/>
          <w:highlight w:val="none"/>
        </w:rPr>
      </w:pPr>
      <w:r>
        <w:rPr>
          <w:rFonts w:hint="eastAsia" w:ascii="宋体" w:cs="宋体"/>
          <w:color w:val="auto"/>
          <w:kern w:val="21"/>
          <w:highlight w:val="none"/>
        </w:rPr>
        <w:t>（2）投标人须知；</w:t>
      </w:r>
    </w:p>
    <w:p>
      <w:pPr>
        <w:spacing w:line="360" w:lineRule="auto"/>
        <w:ind w:left="460" w:right="-20"/>
        <w:jc w:val="left"/>
        <w:rPr>
          <w:rFonts w:ascii="宋体" w:cs="宋体"/>
          <w:color w:val="auto"/>
          <w:kern w:val="21"/>
          <w:highlight w:val="none"/>
        </w:rPr>
      </w:pPr>
      <w:r>
        <w:rPr>
          <w:rFonts w:hint="eastAsia" w:ascii="宋体" w:cs="宋体"/>
          <w:color w:val="auto"/>
          <w:kern w:val="21"/>
          <w:highlight w:val="none"/>
        </w:rPr>
        <w:t>（3）评标办法；</w:t>
      </w:r>
    </w:p>
    <w:p>
      <w:pPr>
        <w:spacing w:line="360" w:lineRule="auto"/>
        <w:ind w:left="460" w:right="-20"/>
        <w:jc w:val="left"/>
        <w:rPr>
          <w:rFonts w:ascii="宋体" w:cs="宋体"/>
          <w:color w:val="auto"/>
          <w:kern w:val="21"/>
          <w:highlight w:val="none"/>
        </w:rPr>
      </w:pPr>
      <w:r>
        <w:rPr>
          <w:rFonts w:hint="eastAsia" w:ascii="宋体" w:cs="宋体"/>
          <w:color w:val="auto"/>
          <w:kern w:val="21"/>
          <w:highlight w:val="none"/>
        </w:rPr>
        <w:t>（4）合同条款及格式；</w:t>
      </w:r>
    </w:p>
    <w:p>
      <w:pPr>
        <w:spacing w:line="360" w:lineRule="auto"/>
        <w:ind w:left="460" w:right="-20"/>
        <w:jc w:val="left"/>
        <w:rPr>
          <w:rFonts w:ascii="宋体" w:cs="宋体"/>
          <w:color w:val="auto"/>
          <w:kern w:val="21"/>
          <w:highlight w:val="none"/>
        </w:rPr>
      </w:pPr>
      <w:r>
        <w:rPr>
          <w:rFonts w:hint="eastAsia" w:ascii="宋体" w:cs="宋体"/>
          <w:color w:val="auto"/>
          <w:kern w:val="21"/>
          <w:highlight w:val="none"/>
        </w:rPr>
        <w:t>（5）委托人要求；</w:t>
      </w:r>
    </w:p>
    <w:p>
      <w:pPr>
        <w:spacing w:line="360" w:lineRule="auto"/>
        <w:ind w:left="460" w:right="-20"/>
        <w:jc w:val="left"/>
        <w:rPr>
          <w:rFonts w:ascii="宋体" w:cs="宋体"/>
          <w:color w:val="auto"/>
          <w:kern w:val="21"/>
          <w:highlight w:val="none"/>
        </w:rPr>
      </w:pPr>
      <w:r>
        <w:rPr>
          <w:rFonts w:hint="eastAsia" w:ascii="宋体" w:cs="宋体"/>
          <w:color w:val="auto"/>
          <w:kern w:val="21"/>
          <w:highlight w:val="none"/>
        </w:rPr>
        <w:t>（6）投标文件格式；</w:t>
      </w:r>
    </w:p>
    <w:p>
      <w:pPr>
        <w:spacing w:line="360" w:lineRule="auto"/>
        <w:ind w:left="460" w:right="-20"/>
        <w:jc w:val="left"/>
        <w:rPr>
          <w:rFonts w:ascii="宋体" w:cs="宋体"/>
          <w:color w:val="auto"/>
          <w:kern w:val="21"/>
          <w:highlight w:val="none"/>
        </w:rPr>
      </w:pPr>
      <w:r>
        <w:rPr>
          <w:rFonts w:hint="eastAsia" w:ascii="宋体" w:cs="宋体"/>
          <w:color w:val="auto"/>
          <w:kern w:val="21"/>
          <w:highlight w:val="none"/>
        </w:rPr>
        <w:t>（7）投标人须知前附表规定的其他资料。</w:t>
      </w:r>
    </w:p>
    <w:p>
      <w:pPr>
        <w:spacing w:line="360" w:lineRule="auto"/>
        <w:ind w:left="100" w:right="139" w:firstLine="420"/>
        <w:rPr>
          <w:rFonts w:ascii="宋体" w:cs="宋体"/>
          <w:color w:val="auto"/>
          <w:kern w:val="21"/>
          <w:highlight w:val="none"/>
        </w:rPr>
      </w:pPr>
      <w:r>
        <w:rPr>
          <w:rFonts w:hint="eastAsia" w:ascii="宋体" w:cs="宋体"/>
          <w:color w:val="auto"/>
          <w:kern w:val="21"/>
          <w:highlight w:val="none"/>
        </w:rPr>
        <w:t>根据本章第 1.10 款、第 2.2 款和第 2.3 款对招标文件所作的澄清、修改，构成招标文件的组成部分。</w:t>
      </w:r>
    </w:p>
    <w:p>
      <w:pPr>
        <w:spacing w:line="360" w:lineRule="auto"/>
        <w:ind w:left="237" w:right="-20" w:firstLine="281" w:firstLineChars="100"/>
        <w:jc w:val="left"/>
        <w:outlineLvl w:val="2"/>
        <w:rPr>
          <w:rFonts w:ascii="宋体" w:cs="宋体"/>
          <w:b/>
          <w:bCs/>
          <w:color w:val="auto"/>
          <w:kern w:val="21"/>
          <w:sz w:val="28"/>
          <w:highlight w:val="none"/>
        </w:rPr>
      </w:pPr>
      <w:bookmarkStart w:id="210" w:name="_Toc30042"/>
      <w:bookmarkStart w:id="211" w:name="_Toc8657"/>
      <w:bookmarkStart w:id="212" w:name="_Toc30294"/>
      <w:r>
        <w:rPr>
          <w:rFonts w:hint="eastAsia" w:ascii="宋体" w:cs="宋体"/>
          <w:b/>
          <w:bCs/>
          <w:color w:val="auto"/>
          <w:kern w:val="21"/>
          <w:sz w:val="28"/>
          <w:highlight w:val="none"/>
        </w:rPr>
        <w:t>2.2招标文件的澄清</w:t>
      </w:r>
      <w:bookmarkEnd w:id="210"/>
      <w:bookmarkEnd w:id="211"/>
      <w:bookmarkEnd w:id="212"/>
    </w:p>
    <w:p>
      <w:pPr>
        <w:spacing w:line="360" w:lineRule="auto"/>
        <w:ind w:left="100" w:right="139" w:firstLine="420"/>
        <w:rPr>
          <w:rFonts w:ascii="宋体" w:cs="宋体"/>
          <w:color w:val="auto"/>
          <w:kern w:val="21"/>
          <w:highlight w:val="none"/>
        </w:rPr>
      </w:pPr>
      <w:r>
        <w:rPr>
          <w:rFonts w:hint="eastAsia" w:ascii="宋体" w:cs="宋体"/>
          <w:color w:val="auto"/>
          <w:kern w:val="21"/>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left="100" w:right="139" w:firstLine="420"/>
        <w:rPr>
          <w:rFonts w:ascii="宋体" w:cs="宋体"/>
          <w:color w:val="auto"/>
          <w:kern w:val="21"/>
          <w:highlight w:val="none"/>
        </w:rPr>
      </w:pPr>
      <w:r>
        <w:rPr>
          <w:rFonts w:hint="eastAsia" w:ascii="宋体" w:cs="宋体"/>
          <w:color w:val="auto"/>
          <w:kern w:val="21"/>
          <w:highlight w:val="none"/>
        </w:rPr>
        <w:t>2.2.2招标文件的澄清以投标人须知前附表规定的形式发给所有购买招标文件的投标人，但不指明澄清问题的来源。澄清发出的时间距本章第4.2.1 项规定的投标截止时间不足 15 日的，并且澄清内容可能影响投标文件编制的，将相应延长投标截止时间。</w:t>
      </w:r>
    </w:p>
    <w:p>
      <w:pPr>
        <w:spacing w:line="360" w:lineRule="auto"/>
        <w:ind w:left="100" w:right="44" w:firstLine="420"/>
        <w:rPr>
          <w:rFonts w:ascii="宋体" w:cs="宋体"/>
          <w:color w:val="auto"/>
          <w:kern w:val="21"/>
          <w:highlight w:val="none"/>
        </w:rPr>
      </w:pPr>
      <w:r>
        <w:rPr>
          <w:rFonts w:hint="eastAsia" w:ascii="宋体" w:cs="宋体"/>
          <w:color w:val="auto"/>
          <w:kern w:val="21"/>
          <w:highlight w:val="none"/>
        </w:rPr>
        <w:t>2.2.3投标人在收到澄清后，应按投标人须知前附表规定的时间和形式通知招标人，确认已收到该澄清。</w:t>
      </w:r>
    </w:p>
    <w:p>
      <w:pPr>
        <w:spacing w:line="360" w:lineRule="auto"/>
        <w:ind w:left="100" w:right="39" w:firstLine="420"/>
        <w:rPr>
          <w:rFonts w:ascii="宋体" w:cs="宋体"/>
          <w:color w:val="auto"/>
          <w:kern w:val="21"/>
          <w:highlight w:val="none"/>
        </w:rPr>
      </w:pPr>
      <w:r>
        <w:rPr>
          <w:rFonts w:hint="eastAsia" w:ascii="宋体" w:cs="宋体"/>
          <w:color w:val="auto"/>
          <w:kern w:val="21"/>
          <w:highlight w:val="none"/>
        </w:rPr>
        <w:t>2.2.4除非招标人认为确有必要答复，否则，招标人有权拒绝回复投标人在本章第 2.2.1 项 规定的时间后的任何澄清要求。</w:t>
      </w:r>
    </w:p>
    <w:p>
      <w:pPr>
        <w:spacing w:line="360" w:lineRule="auto"/>
        <w:ind w:left="195" w:right="5700"/>
        <w:jc w:val="center"/>
        <w:outlineLvl w:val="2"/>
        <w:rPr>
          <w:rFonts w:ascii="宋体" w:cs="宋体"/>
          <w:b/>
          <w:bCs/>
          <w:color w:val="auto"/>
          <w:kern w:val="21"/>
          <w:sz w:val="28"/>
          <w:highlight w:val="none"/>
        </w:rPr>
      </w:pPr>
      <w:bookmarkStart w:id="213" w:name="_Toc12450"/>
      <w:bookmarkStart w:id="214" w:name="_Toc32715"/>
      <w:bookmarkStart w:id="215" w:name="_Toc28325"/>
      <w:r>
        <w:rPr>
          <w:rFonts w:hint="eastAsia" w:ascii="宋体" w:cs="宋体"/>
          <w:b/>
          <w:bCs/>
          <w:color w:val="auto"/>
          <w:kern w:val="21"/>
          <w:sz w:val="28"/>
          <w:highlight w:val="none"/>
        </w:rPr>
        <w:t>2.3招标文件的修改</w:t>
      </w:r>
      <w:bookmarkEnd w:id="213"/>
      <w:bookmarkEnd w:id="214"/>
      <w:bookmarkEnd w:id="215"/>
    </w:p>
    <w:p>
      <w:pPr>
        <w:spacing w:line="360" w:lineRule="auto"/>
        <w:ind w:left="100" w:right="39" w:firstLine="420"/>
        <w:rPr>
          <w:rFonts w:ascii="宋体" w:cs="宋体"/>
          <w:color w:val="auto"/>
          <w:kern w:val="21"/>
          <w:highlight w:val="none"/>
        </w:rPr>
      </w:pPr>
      <w:r>
        <w:rPr>
          <w:rFonts w:hint="eastAsia" w:ascii="宋体" w:cs="宋体"/>
          <w:color w:val="auto"/>
          <w:kern w:val="21"/>
          <w:highlight w:val="none"/>
        </w:rPr>
        <w:t>2.3.1招标人以投标人须知前附表规定的形式修改招标文件，并通知所有已购买招标文件的 投标人。修改招标文件的时间距本章第 4.2.1 项规定的投标截止时间不足 15 日的，并且修改内容可能影响投标文件编制的，将相应延长投标截止时间。</w:t>
      </w:r>
    </w:p>
    <w:p>
      <w:pPr>
        <w:spacing w:line="360" w:lineRule="auto"/>
        <w:ind w:left="100" w:right="42" w:firstLine="392" w:firstLineChars="187"/>
        <w:rPr>
          <w:rFonts w:ascii="宋体" w:cs="宋体"/>
          <w:color w:val="auto"/>
          <w:kern w:val="21"/>
          <w:highlight w:val="none"/>
        </w:rPr>
      </w:pPr>
      <w:r>
        <w:rPr>
          <w:rFonts w:hint="eastAsia" w:ascii="宋体" w:cs="宋体"/>
          <w:color w:val="auto"/>
          <w:kern w:val="21"/>
          <w:highlight w:val="none"/>
        </w:rPr>
        <w:t>2.3.2投标人收到修改内容后，应按投标人须知前附表规定的时间和形式通知招标人，确认已收到该修改。</w:t>
      </w:r>
    </w:p>
    <w:p>
      <w:pPr>
        <w:spacing w:line="360" w:lineRule="auto"/>
        <w:ind w:left="190" w:right="5700"/>
        <w:jc w:val="center"/>
        <w:outlineLvl w:val="2"/>
        <w:rPr>
          <w:rFonts w:ascii="宋体" w:cs="宋体"/>
          <w:b/>
          <w:bCs/>
          <w:color w:val="auto"/>
          <w:kern w:val="21"/>
          <w:sz w:val="28"/>
          <w:highlight w:val="none"/>
        </w:rPr>
      </w:pPr>
      <w:bookmarkStart w:id="216" w:name="_Toc28209"/>
      <w:bookmarkStart w:id="217" w:name="_Toc25464"/>
      <w:bookmarkStart w:id="218" w:name="_Toc444"/>
      <w:r>
        <w:rPr>
          <w:rFonts w:hint="eastAsia" w:ascii="宋体" w:cs="宋体"/>
          <w:b/>
          <w:bCs/>
          <w:color w:val="auto"/>
          <w:kern w:val="21"/>
          <w:sz w:val="28"/>
          <w:highlight w:val="none"/>
        </w:rPr>
        <w:t>2.4招标文件的异议</w:t>
      </w:r>
      <w:bookmarkEnd w:id="216"/>
      <w:bookmarkEnd w:id="217"/>
      <w:bookmarkEnd w:id="218"/>
    </w:p>
    <w:p>
      <w:pPr>
        <w:spacing w:line="360" w:lineRule="auto"/>
        <w:ind w:left="100" w:right="39" w:firstLine="420"/>
        <w:rPr>
          <w:rFonts w:hint="eastAsia" w:ascii="宋体" w:cs="宋体"/>
          <w:color w:val="auto"/>
          <w:kern w:val="21"/>
          <w:highlight w:val="none"/>
        </w:rPr>
      </w:pPr>
      <w:r>
        <w:rPr>
          <w:rFonts w:hint="eastAsia" w:ascii="宋体" w:cs="宋体"/>
          <w:color w:val="auto"/>
          <w:kern w:val="21"/>
          <w:highlight w:val="none"/>
        </w:rPr>
        <w:t>投标人或者其他利害关系人对招标文件有异议的，应当在投标截止时间 10 日前以书面形式 提出。招标人将在收到异议之日起 3 日内作出答复；作出答复前，将暂停招标投标活动。</w:t>
      </w:r>
    </w:p>
    <w:p>
      <w:pPr>
        <w:snapToGrid w:val="0"/>
        <w:spacing w:line="360" w:lineRule="auto"/>
        <w:ind w:left="3" w:firstLine="421"/>
        <w:rPr>
          <w:rFonts w:ascii="宋体" w:hAnsi="宋体" w:cs="宋体"/>
          <w:color w:val="auto"/>
          <w:szCs w:val="21"/>
          <w:highlight w:val="none"/>
          <w:u w:val="single"/>
        </w:rPr>
      </w:pPr>
      <w:r>
        <w:rPr>
          <w:rFonts w:hint="eastAsia" w:ascii="宋体" w:hAnsi="宋体" w:cs="宋体"/>
          <w:color w:val="auto"/>
          <w:spacing w:val="-6"/>
          <w:szCs w:val="21"/>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pStyle w:val="12"/>
      </w:pPr>
    </w:p>
    <w:p>
      <w:pPr>
        <w:spacing w:line="360" w:lineRule="auto"/>
        <w:ind w:left="100" w:right="-20"/>
        <w:jc w:val="left"/>
        <w:outlineLvl w:val="1"/>
        <w:rPr>
          <w:rFonts w:hint="eastAsia" w:ascii="宋体" w:cs="宋体"/>
          <w:b/>
          <w:color w:val="auto"/>
          <w:kern w:val="21"/>
          <w:sz w:val="28"/>
          <w:szCs w:val="28"/>
          <w:highlight w:val="none"/>
        </w:rPr>
      </w:pPr>
      <w:bookmarkStart w:id="219" w:name="_Toc9161"/>
      <w:bookmarkStart w:id="220" w:name="_Toc17465"/>
      <w:bookmarkStart w:id="221" w:name="_Toc5741"/>
      <w:bookmarkStart w:id="222" w:name="_Toc173"/>
      <w:bookmarkStart w:id="223" w:name="_Toc28206"/>
      <w:bookmarkStart w:id="224" w:name="_Toc31689"/>
      <w:bookmarkStart w:id="225" w:name="_Toc24638"/>
      <w:bookmarkStart w:id="226" w:name="_Toc32384"/>
      <w:bookmarkStart w:id="227" w:name="_Toc14593"/>
      <w:bookmarkStart w:id="228" w:name="_Toc14674"/>
      <w:bookmarkStart w:id="229" w:name="_Toc15298"/>
      <w:bookmarkStart w:id="230" w:name="_Toc9833"/>
      <w:bookmarkStart w:id="231" w:name="_Toc15760"/>
      <w:bookmarkStart w:id="232" w:name="_Toc18335"/>
      <w:bookmarkStart w:id="233" w:name="_Toc942"/>
      <w:bookmarkStart w:id="234" w:name="_Toc602"/>
      <w:bookmarkStart w:id="235" w:name="_Toc27338"/>
      <w:bookmarkStart w:id="236" w:name="_Toc21339"/>
      <w:bookmarkStart w:id="237" w:name="_Toc11908"/>
      <w:bookmarkStart w:id="238" w:name="_Toc21687"/>
      <w:r>
        <w:rPr>
          <w:rFonts w:hint="eastAsia" w:ascii="宋体" w:cs="宋体"/>
          <w:b/>
          <w:color w:val="auto"/>
          <w:kern w:val="21"/>
          <w:sz w:val="28"/>
          <w:szCs w:val="28"/>
          <w:highlight w:val="none"/>
        </w:rPr>
        <w:t>3.投标文件</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spacing w:line="360" w:lineRule="auto"/>
        <w:ind w:left="100" w:right="-20" w:firstLine="562" w:firstLineChars="200"/>
        <w:jc w:val="left"/>
        <w:outlineLvl w:val="2"/>
        <w:rPr>
          <w:rFonts w:ascii="宋体" w:cs="宋体"/>
          <w:b/>
          <w:bCs/>
          <w:color w:val="auto"/>
          <w:kern w:val="21"/>
          <w:sz w:val="28"/>
          <w:highlight w:val="none"/>
        </w:rPr>
      </w:pPr>
      <w:bookmarkStart w:id="239" w:name="_Toc14130"/>
      <w:bookmarkStart w:id="240" w:name="_Toc32761"/>
      <w:bookmarkStart w:id="241" w:name="_Toc4170"/>
      <w:bookmarkStart w:id="242" w:name="_Toc8945"/>
      <w:bookmarkStart w:id="243" w:name="_Toc21455"/>
      <w:bookmarkStart w:id="244" w:name="_Toc16965"/>
      <w:r>
        <w:rPr>
          <w:rFonts w:hint="eastAsia" w:ascii="宋体" w:cs="宋体"/>
          <w:b/>
          <w:bCs/>
          <w:color w:val="auto"/>
          <w:kern w:val="21"/>
          <w:sz w:val="28"/>
          <w:highlight w:val="none"/>
        </w:rPr>
        <w:t>3.1投标文件的组成</w:t>
      </w:r>
      <w:bookmarkEnd w:id="239"/>
      <w:bookmarkEnd w:id="240"/>
      <w:bookmarkEnd w:id="241"/>
      <w:bookmarkEnd w:id="242"/>
      <w:bookmarkEnd w:id="243"/>
      <w:bookmarkEnd w:id="244"/>
    </w:p>
    <w:p>
      <w:pPr>
        <w:spacing w:line="360" w:lineRule="auto"/>
        <w:ind w:left="0" w:right="-20" w:firstLine="630" w:firstLineChars="300"/>
        <w:jc w:val="left"/>
        <w:outlineLvl w:val="3"/>
        <w:rPr>
          <w:rFonts w:ascii="宋体" w:cs="宋体"/>
          <w:color w:val="auto"/>
          <w:kern w:val="21"/>
          <w:highlight w:val="none"/>
        </w:rPr>
      </w:pPr>
      <w:r>
        <w:rPr>
          <w:rFonts w:hint="eastAsia" w:ascii="宋体" w:cs="宋体"/>
          <w:color w:val="auto"/>
          <w:kern w:val="21"/>
          <w:highlight w:val="none"/>
        </w:rPr>
        <w:t>3.1.1投标文件应包括下列内容：</w:t>
      </w:r>
    </w:p>
    <w:p>
      <w:pPr>
        <w:spacing w:line="360" w:lineRule="auto"/>
        <w:ind w:left="520" w:right="-20"/>
        <w:jc w:val="left"/>
        <w:rPr>
          <w:rFonts w:ascii="宋体" w:cs="宋体"/>
          <w:color w:val="auto"/>
          <w:kern w:val="21"/>
          <w:highlight w:val="none"/>
        </w:rPr>
      </w:pPr>
      <w:r>
        <w:rPr>
          <w:rFonts w:hint="eastAsia" w:ascii="宋体" w:cs="宋体"/>
          <w:color w:val="auto"/>
          <w:kern w:val="21"/>
          <w:highlight w:val="none"/>
        </w:rPr>
        <w:t>（1）投标函及投标函附录；</w:t>
      </w:r>
    </w:p>
    <w:p>
      <w:pPr>
        <w:spacing w:line="360" w:lineRule="auto"/>
        <w:ind w:left="520" w:right="-20"/>
        <w:jc w:val="left"/>
        <w:rPr>
          <w:rFonts w:ascii="宋体" w:cs="宋体"/>
          <w:color w:val="auto"/>
          <w:kern w:val="21"/>
          <w:highlight w:val="none"/>
        </w:rPr>
      </w:pPr>
      <w:r>
        <w:rPr>
          <w:rFonts w:hint="eastAsia" w:ascii="宋体" w:cs="宋体"/>
          <w:color w:val="auto"/>
          <w:kern w:val="21"/>
          <w:highlight w:val="none"/>
        </w:rPr>
        <w:t>（2）法定代表人身份证明书或授权委托书；</w:t>
      </w:r>
    </w:p>
    <w:p>
      <w:pPr>
        <w:spacing w:line="360" w:lineRule="auto"/>
        <w:ind w:left="520" w:right="-20"/>
        <w:jc w:val="left"/>
        <w:rPr>
          <w:rFonts w:ascii="宋体" w:cs="宋体"/>
          <w:color w:val="auto"/>
          <w:kern w:val="21"/>
          <w:highlight w:val="none"/>
        </w:rPr>
      </w:pPr>
      <w:r>
        <w:rPr>
          <w:rFonts w:hint="eastAsia" w:ascii="宋体" w:cs="宋体"/>
          <w:color w:val="auto"/>
          <w:kern w:val="21"/>
          <w:highlight w:val="none"/>
        </w:rPr>
        <w:t>（3）投标保证金；</w:t>
      </w:r>
    </w:p>
    <w:p>
      <w:pPr>
        <w:spacing w:line="360" w:lineRule="auto"/>
        <w:ind w:left="520" w:right="-20"/>
        <w:jc w:val="left"/>
        <w:rPr>
          <w:rFonts w:ascii="宋体" w:cs="宋体"/>
          <w:color w:val="auto"/>
          <w:kern w:val="21"/>
          <w:highlight w:val="none"/>
        </w:rPr>
      </w:pPr>
      <w:r>
        <w:rPr>
          <w:rFonts w:hint="eastAsia" w:ascii="宋体" w:cs="宋体"/>
          <w:color w:val="auto"/>
          <w:kern w:val="21"/>
          <w:highlight w:val="none"/>
        </w:rPr>
        <w:t>（4）监理报酬清单；</w:t>
      </w:r>
    </w:p>
    <w:p>
      <w:pPr>
        <w:spacing w:line="360" w:lineRule="auto"/>
        <w:ind w:left="520" w:right="-20"/>
        <w:jc w:val="left"/>
        <w:rPr>
          <w:rFonts w:ascii="宋体" w:cs="宋体"/>
          <w:color w:val="auto"/>
          <w:kern w:val="21"/>
          <w:highlight w:val="none"/>
        </w:rPr>
      </w:pPr>
      <w:r>
        <w:rPr>
          <w:rFonts w:hint="eastAsia" w:ascii="宋体" w:cs="宋体"/>
          <w:color w:val="auto"/>
          <w:kern w:val="21"/>
          <w:highlight w:val="none"/>
        </w:rPr>
        <w:t>（5）资格审查资料；</w:t>
      </w:r>
    </w:p>
    <w:p>
      <w:pPr>
        <w:spacing w:line="360" w:lineRule="auto"/>
        <w:ind w:left="520" w:right="-20"/>
        <w:jc w:val="left"/>
        <w:rPr>
          <w:rFonts w:ascii="宋体" w:cs="宋体"/>
          <w:color w:val="auto"/>
          <w:kern w:val="21"/>
          <w:highlight w:val="none"/>
        </w:rPr>
      </w:pPr>
      <w:r>
        <w:rPr>
          <w:rFonts w:hint="eastAsia" w:ascii="宋体" w:cs="宋体"/>
          <w:color w:val="auto"/>
          <w:kern w:val="21"/>
          <w:highlight w:val="none"/>
        </w:rPr>
        <w:t>（6）监理大纲；</w:t>
      </w:r>
    </w:p>
    <w:p>
      <w:pPr>
        <w:spacing w:line="360" w:lineRule="auto"/>
        <w:ind w:left="520" w:right="-20"/>
        <w:jc w:val="left"/>
        <w:rPr>
          <w:rFonts w:ascii="宋体" w:cs="宋体"/>
          <w:color w:val="auto"/>
          <w:kern w:val="21"/>
          <w:highlight w:val="none"/>
        </w:rPr>
      </w:pPr>
      <w:r>
        <w:rPr>
          <w:rFonts w:hint="eastAsia" w:ascii="宋体" w:cs="宋体"/>
          <w:color w:val="auto"/>
          <w:kern w:val="21"/>
          <w:highlight w:val="none"/>
        </w:rPr>
        <w:t>（7）投标人须知前附表规定的其他资料。</w:t>
      </w:r>
    </w:p>
    <w:p>
      <w:pPr>
        <w:spacing w:line="360" w:lineRule="auto"/>
        <w:ind w:left="-2" w:leftChars="-1" w:right="-20" w:firstLine="140" w:firstLineChars="67"/>
        <w:jc w:val="left"/>
        <w:rPr>
          <w:rFonts w:ascii="宋体" w:cs="宋体"/>
          <w:color w:val="auto"/>
          <w:kern w:val="21"/>
          <w:highlight w:val="none"/>
        </w:rPr>
      </w:pPr>
      <w:r>
        <w:rPr>
          <w:rFonts w:hint="eastAsia" w:ascii="宋体" w:cs="宋体"/>
          <w:color w:val="auto"/>
          <w:kern w:val="21"/>
          <w:highlight w:val="none"/>
        </w:rPr>
        <w:t>投标人在评标过程中作出的符合法律法规和招标文件规定的澄清确认，构成投标文件的组成部分。</w:t>
      </w:r>
    </w:p>
    <w:p>
      <w:pPr>
        <w:spacing w:line="360" w:lineRule="auto"/>
        <w:ind w:left="199" w:leftChars="95" w:right="-20" w:firstLine="420" w:firstLineChars="200"/>
        <w:jc w:val="left"/>
        <w:rPr>
          <w:rFonts w:ascii="宋体" w:cs="宋体"/>
          <w:color w:val="auto"/>
          <w:kern w:val="21"/>
          <w:highlight w:val="none"/>
        </w:rPr>
      </w:pPr>
      <w:r>
        <w:rPr>
          <w:rFonts w:hint="eastAsia" w:ascii="宋体" w:cs="宋体"/>
          <w:color w:val="auto"/>
          <w:kern w:val="21"/>
          <w:highlight w:val="none"/>
        </w:rPr>
        <w:t>3.1.2投标人须知前附表规定不接受联合体投标的，或投标人没有组成联合体的，投标文件不包括本章第3.1.1（3）目所指的联合体协议书。</w:t>
      </w:r>
    </w:p>
    <w:p>
      <w:pPr>
        <w:spacing w:line="360" w:lineRule="auto"/>
        <w:ind w:left="199" w:leftChars="95" w:right="41" w:firstLine="420" w:firstLineChars="200"/>
        <w:rPr>
          <w:rFonts w:ascii="宋体" w:cs="宋体"/>
          <w:color w:val="auto"/>
          <w:kern w:val="21"/>
          <w:highlight w:val="none"/>
        </w:rPr>
      </w:pPr>
      <w:r>
        <w:rPr>
          <w:rFonts w:hint="eastAsia" w:ascii="宋体" w:cs="宋体"/>
          <w:color w:val="auto"/>
          <w:kern w:val="21"/>
          <w:highlight w:val="none"/>
        </w:rPr>
        <w:t>3.1.3投标人须知前附表未要求提交投标保证金的，投标文件不包括本章第 3.1.1（4）目所指的投标保证金。</w:t>
      </w:r>
    </w:p>
    <w:p>
      <w:pPr>
        <w:spacing w:line="360" w:lineRule="auto"/>
        <w:ind w:left="237" w:right="-20" w:firstLine="281" w:firstLineChars="100"/>
        <w:jc w:val="left"/>
        <w:outlineLvl w:val="2"/>
        <w:rPr>
          <w:rFonts w:ascii="宋体" w:cs="宋体"/>
          <w:b/>
          <w:bCs/>
          <w:color w:val="auto"/>
          <w:kern w:val="21"/>
          <w:sz w:val="28"/>
          <w:highlight w:val="none"/>
        </w:rPr>
      </w:pPr>
      <w:bookmarkStart w:id="245" w:name="_Toc28351"/>
      <w:bookmarkStart w:id="246" w:name="_Toc8225"/>
      <w:bookmarkStart w:id="247" w:name="_Toc9638"/>
      <w:r>
        <w:rPr>
          <w:rFonts w:hint="eastAsia" w:ascii="宋体" w:cs="宋体"/>
          <w:b/>
          <w:bCs/>
          <w:color w:val="auto"/>
          <w:kern w:val="21"/>
          <w:sz w:val="28"/>
          <w:highlight w:val="none"/>
        </w:rPr>
        <w:t>3.2投标报价</w:t>
      </w:r>
      <w:bookmarkEnd w:id="245"/>
      <w:bookmarkEnd w:id="246"/>
      <w:bookmarkEnd w:id="247"/>
    </w:p>
    <w:p>
      <w:pPr>
        <w:spacing w:line="360" w:lineRule="auto"/>
        <w:ind w:left="100" w:right="40" w:firstLine="420"/>
        <w:rPr>
          <w:rFonts w:ascii="宋体" w:cs="宋体"/>
          <w:color w:val="auto"/>
          <w:kern w:val="21"/>
          <w:highlight w:val="none"/>
        </w:rPr>
      </w:pPr>
      <w:r>
        <w:rPr>
          <w:rFonts w:hint="eastAsia" w:ascii="宋体" w:cs="宋体"/>
          <w:color w:val="auto"/>
          <w:kern w:val="21"/>
          <w:highlight w:val="none"/>
        </w:rPr>
        <w:t>3.2.1投标报价应包括国家规定的增值税税金，除投标人须知前附表另有规定外，增值税税金按一般计税方法计算。投标人应按第六章“投标文件格式”的要求在投标函中进行报价并填写监理报酬清单。</w:t>
      </w:r>
    </w:p>
    <w:p>
      <w:pPr>
        <w:spacing w:line="360" w:lineRule="auto"/>
        <w:ind w:left="520" w:right="-20"/>
        <w:jc w:val="left"/>
        <w:rPr>
          <w:rFonts w:ascii="宋体" w:cs="宋体"/>
          <w:color w:val="auto"/>
          <w:kern w:val="21"/>
          <w:highlight w:val="none"/>
        </w:rPr>
      </w:pPr>
      <w:r>
        <w:rPr>
          <w:rFonts w:hint="eastAsia" w:ascii="宋体" w:cs="宋体"/>
          <w:color w:val="auto"/>
          <w:kern w:val="21"/>
          <w:highlight w:val="none"/>
        </w:rPr>
        <w:t>3.2.2投标人应充分了解该项目的总体情况以及影响投标报价的其他要素。</w:t>
      </w:r>
    </w:p>
    <w:p>
      <w:pPr>
        <w:spacing w:line="360" w:lineRule="auto"/>
        <w:ind w:left="100" w:right="39" w:firstLine="420"/>
        <w:rPr>
          <w:rFonts w:ascii="宋体" w:cs="宋体"/>
          <w:color w:val="auto"/>
          <w:kern w:val="21"/>
          <w:highlight w:val="none"/>
        </w:rPr>
      </w:pPr>
      <w:r>
        <w:rPr>
          <w:rFonts w:hint="eastAsia" w:ascii="宋体" w:cs="宋体"/>
          <w:color w:val="auto"/>
          <w:kern w:val="21"/>
          <w:highlight w:val="none"/>
        </w:rPr>
        <w:t>3.2.3本项目的报价方式见投标人须知前附表。投标人在投标截止时间前修改投标函中的投标报价总额，应同时修改投标文件“监理报酬清单”中的相应报价。此修改须符合本章第 4.3 款的有关要求。</w:t>
      </w:r>
    </w:p>
    <w:p>
      <w:pPr>
        <w:spacing w:line="360" w:lineRule="auto"/>
        <w:ind w:left="100" w:right="42" w:firstLine="420"/>
        <w:rPr>
          <w:rFonts w:ascii="宋体" w:cs="宋体"/>
          <w:color w:val="auto"/>
          <w:kern w:val="21"/>
          <w:highlight w:val="none"/>
        </w:rPr>
      </w:pPr>
      <w:r>
        <w:rPr>
          <w:rFonts w:hint="eastAsia" w:ascii="宋体" w:cs="宋体"/>
          <w:color w:val="auto"/>
          <w:kern w:val="21"/>
          <w:highlight w:val="none"/>
        </w:rPr>
        <w:t>3.2.4招标人设有最高投标限价的，投标人的投标报价不得超过最高投标限价，最高投标限价在投标人须知前附表中载明。</w:t>
      </w:r>
    </w:p>
    <w:p>
      <w:pPr>
        <w:spacing w:line="360" w:lineRule="auto"/>
        <w:ind w:left="520" w:right="-20"/>
        <w:jc w:val="left"/>
        <w:outlineLvl w:val="3"/>
        <w:rPr>
          <w:rFonts w:ascii="宋体" w:cs="宋体"/>
          <w:color w:val="auto"/>
          <w:kern w:val="21"/>
          <w:highlight w:val="none"/>
        </w:rPr>
      </w:pPr>
      <w:r>
        <w:rPr>
          <w:rFonts w:hint="eastAsia" w:ascii="宋体" w:cs="宋体"/>
          <w:color w:val="auto"/>
          <w:kern w:val="21"/>
          <w:highlight w:val="none"/>
        </w:rPr>
        <w:t>3.2.5投标报价的其他要求见投标人须知前附表。</w:t>
      </w:r>
    </w:p>
    <w:p>
      <w:pPr>
        <w:spacing w:line="360" w:lineRule="auto"/>
        <w:ind w:left="237" w:right="-20" w:firstLine="281" w:firstLineChars="100"/>
        <w:jc w:val="left"/>
        <w:outlineLvl w:val="2"/>
        <w:rPr>
          <w:rFonts w:ascii="宋体" w:cs="宋体"/>
          <w:b/>
          <w:bCs/>
          <w:color w:val="auto"/>
          <w:kern w:val="21"/>
          <w:sz w:val="28"/>
          <w:highlight w:val="none"/>
        </w:rPr>
      </w:pPr>
      <w:bookmarkStart w:id="248" w:name="_Toc1016"/>
      <w:bookmarkStart w:id="249" w:name="_Toc26365"/>
      <w:bookmarkStart w:id="250" w:name="_Toc12017"/>
      <w:r>
        <w:rPr>
          <w:rFonts w:hint="eastAsia" w:ascii="宋体" w:cs="宋体"/>
          <w:b/>
          <w:bCs/>
          <w:color w:val="auto"/>
          <w:kern w:val="21"/>
          <w:sz w:val="28"/>
          <w:highlight w:val="none"/>
        </w:rPr>
        <w:t>3.3投标有效期</w:t>
      </w:r>
      <w:bookmarkEnd w:id="248"/>
      <w:bookmarkEnd w:id="249"/>
      <w:bookmarkEnd w:id="250"/>
    </w:p>
    <w:p>
      <w:pPr>
        <w:spacing w:line="360" w:lineRule="auto"/>
        <w:ind w:left="520" w:right="-20"/>
        <w:jc w:val="left"/>
        <w:rPr>
          <w:rFonts w:ascii="宋体" w:cs="宋体"/>
          <w:color w:val="auto"/>
          <w:kern w:val="21"/>
          <w:highlight w:val="none"/>
        </w:rPr>
      </w:pPr>
      <w:r>
        <w:rPr>
          <w:rFonts w:hint="eastAsia" w:ascii="宋体" w:cs="宋体"/>
          <w:color w:val="auto"/>
          <w:kern w:val="21"/>
          <w:highlight w:val="none"/>
        </w:rPr>
        <w:t>3.3.1除投标人须知前附表另有规定外，投标有效期为 90 天。</w:t>
      </w:r>
    </w:p>
    <w:p>
      <w:pPr>
        <w:spacing w:line="360" w:lineRule="auto"/>
        <w:ind w:left="520" w:right="-20"/>
        <w:jc w:val="left"/>
        <w:rPr>
          <w:rFonts w:ascii="宋体" w:cs="宋体"/>
          <w:color w:val="auto"/>
          <w:kern w:val="21"/>
          <w:highlight w:val="none"/>
        </w:rPr>
      </w:pPr>
      <w:r>
        <w:rPr>
          <w:rFonts w:hint="eastAsia" w:ascii="宋体" w:cs="宋体"/>
          <w:color w:val="auto"/>
          <w:kern w:val="21"/>
          <w:highlight w:val="none"/>
        </w:rPr>
        <w:t>3.3.2在投标有效期内，投标人撤销投标文件的，应承担招标文件和法律规定的责任。</w:t>
      </w:r>
    </w:p>
    <w:p>
      <w:pPr>
        <w:spacing w:line="360" w:lineRule="auto"/>
        <w:ind w:left="100" w:right="39" w:firstLine="420"/>
        <w:rPr>
          <w:rFonts w:ascii="宋体" w:cs="宋体"/>
          <w:color w:val="auto"/>
          <w:kern w:val="21"/>
          <w:sz w:val="12"/>
          <w:highlight w:val="none"/>
        </w:rPr>
      </w:pPr>
      <w:r>
        <w:rPr>
          <w:rFonts w:hint="eastAsia" w:ascii="宋体" w:cs="宋体"/>
          <w:color w:val="auto"/>
          <w:kern w:val="21"/>
          <w:highlight w:val="none"/>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spacing w:line="360" w:lineRule="auto"/>
        <w:ind w:left="237" w:right="-20" w:firstLine="281" w:firstLineChars="100"/>
        <w:jc w:val="left"/>
        <w:outlineLvl w:val="2"/>
        <w:rPr>
          <w:rFonts w:ascii="宋体" w:cs="宋体"/>
          <w:b/>
          <w:bCs/>
          <w:color w:val="auto"/>
          <w:kern w:val="21"/>
          <w:sz w:val="28"/>
          <w:highlight w:val="none"/>
        </w:rPr>
      </w:pPr>
      <w:bookmarkStart w:id="251" w:name="_Toc25758"/>
      <w:bookmarkStart w:id="252" w:name="_Toc13579"/>
      <w:bookmarkStart w:id="253" w:name="_Toc25877"/>
      <w:r>
        <w:rPr>
          <w:rFonts w:hint="eastAsia" w:ascii="宋体" w:cs="宋体"/>
          <w:b/>
          <w:bCs/>
          <w:color w:val="auto"/>
          <w:kern w:val="21"/>
          <w:sz w:val="28"/>
          <w:highlight w:val="none"/>
        </w:rPr>
        <w:t>3.4投标保证金</w:t>
      </w:r>
      <w:bookmarkEnd w:id="251"/>
      <w:bookmarkEnd w:id="252"/>
      <w:bookmarkEnd w:id="253"/>
    </w:p>
    <w:p>
      <w:pPr>
        <w:spacing w:line="360" w:lineRule="auto"/>
        <w:ind w:left="100" w:right="41" w:firstLine="420"/>
        <w:rPr>
          <w:rFonts w:ascii="宋体" w:cs="宋体"/>
          <w:color w:val="auto"/>
          <w:kern w:val="21"/>
          <w:highlight w:val="none"/>
        </w:rPr>
      </w:pPr>
      <w:r>
        <w:rPr>
          <w:rFonts w:hint="eastAsia" w:ascii="宋体" w:cs="宋体"/>
          <w:color w:val="auto"/>
          <w:kern w:val="21"/>
          <w:highlight w:val="none"/>
        </w:rPr>
        <w:t>3.4.1投标人在递交投标文件的同时，应按投标人须知前附表规定的金额、形式和第六章“投标文件格式”规定的投标保证金格式递交投标保证金，并作为其投标文件的组成部分</w:t>
      </w:r>
      <w:r>
        <w:rPr>
          <w:rFonts w:hint="eastAsia" w:ascii="宋体" w:cs="宋体"/>
          <w:color w:val="auto"/>
          <w:kern w:val="21"/>
          <w:szCs w:val="21"/>
          <w:highlight w:val="none"/>
        </w:rPr>
        <w:t>。</w:t>
      </w:r>
      <w:r>
        <w:rPr>
          <w:rFonts w:hint="eastAsia" w:ascii="宋体" w:cs="宋体"/>
          <w:color w:val="auto"/>
          <w:spacing w:val="-2"/>
          <w:szCs w:val="21"/>
          <w:highlight w:val="none"/>
          <w:u w:val="single"/>
        </w:rPr>
        <w:t>投标保证金可采用现金、支票、保函或电子保函、投标保证保险、担保的形式提交，如采用现金或者支票形式提交的，应当从其基本账户转出，缴纳情况以开标时</w:t>
      </w:r>
      <w:r>
        <w:rPr>
          <w:rFonts w:hint="eastAsia" w:ascii="宋体" w:cs="宋体"/>
          <w:color w:val="auto"/>
          <w:spacing w:val="-2"/>
          <w:szCs w:val="21"/>
          <w:highlight w:val="none"/>
          <w:u w:val="single"/>
          <w:lang w:eastAsia="zh-CN"/>
        </w:rPr>
        <w:t>广州交易集团有限公司（广州公共资源交易中心）</w:t>
      </w:r>
      <w:r>
        <w:rPr>
          <w:rFonts w:hint="eastAsia" w:ascii="宋体" w:cs="宋体"/>
          <w:color w:val="auto"/>
          <w:spacing w:val="-2"/>
          <w:szCs w:val="21"/>
          <w:highlight w:val="none"/>
          <w:u w:val="single"/>
        </w:rPr>
        <w:t>数据库查询的信息为准。如采用保函、保险或担保等形式提交的，在开标前不强制要求提交相关文本原件，银行保函、保证保险或担保需开具给招标人（受益人也必须是招标人），投标人应在投标文件中提交保函或保险或担保原件扫描件并加盖投标人公章，并应符合投标人须知前附表的规定。</w:t>
      </w:r>
    </w:p>
    <w:p>
      <w:pPr>
        <w:spacing w:line="360" w:lineRule="auto"/>
        <w:ind w:left="520" w:right="-20"/>
        <w:jc w:val="left"/>
        <w:rPr>
          <w:rFonts w:ascii="宋体" w:cs="宋体"/>
          <w:color w:val="auto"/>
          <w:kern w:val="21"/>
          <w:highlight w:val="none"/>
        </w:rPr>
      </w:pPr>
      <w:r>
        <w:rPr>
          <w:rFonts w:hint="eastAsia" w:ascii="宋体" w:cs="宋体"/>
          <w:color w:val="auto"/>
          <w:kern w:val="21"/>
          <w:highlight w:val="none"/>
        </w:rPr>
        <w:t>3.4.2投标人不按本章第 3.4.1 项要求提交投标保证金的，评标委员会将否决其投标。</w:t>
      </w:r>
    </w:p>
    <w:p>
      <w:pPr>
        <w:spacing w:line="360" w:lineRule="auto"/>
        <w:ind w:left="100" w:right="119" w:firstLine="420"/>
        <w:rPr>
          <w:rFonts w:ascii="宋体" w:cs="宋体"/>
          <w:color w:val="auto"/>
          <w:kern w:val="21"/>
          <w:highlight w:val="none"/>
        </w:rPr>
      </w:pPr>
      <w:r>
        <w:rPr>
          <w:rFonts w:hint="eastAsia" w:ascii="宋体" w:cs="宋体"/>
          <w:color w:val="auto"/>
          <w:kern w:val="21"/>
          <w:highlight w:val="none"/>
        </w:rPr>
        <w:t>3.4.3招标人最迟将在与中标人签订合同后 5 日内，向未中标的投标人和中标人退还投标保证金。投标保证金以现金或者支票形式递交的，还应退还银行同期存款利息。</w:t>
      </w:r>
    </w:p>
    <w:p>
      <w:pPr>
        <w:spacing w:line="360" w:lineRule="auto"/>
        <w:ind w:left="520" w:right="-20"/>
        <w:jc w:val="left"/>
        <w:outlineLvl w:val="3"/>
        <w:rPr>
          <w:rFonts w:ascii="宋体" w:cs="宋体"/>
          <w:color w:val="auto"/>
          <w:kern w:val="21"/>
          <w:highlight w:val="none"/>
        </w:rPr>
      </w:pPr>
      <w:r>
        <w:rPr>
          <w:rFonts w:hint="eastAsia" w:ascii="宋体" w:cs="宋体"/>
          <w:color w:val="auto"/>
          <w:kern w:val="21"/>
          <w:highlight w:val="none"/>
        </w:rPr>
        <w:t>3.4.4有下列情形之一的，投标保证金将不予退还：</w:t>
      </w:r>
    </w:p>
    <w:p>
      <w:pPr>
        <w:spacing w:line="360" w:lineRule="auto"/>
        <w:ind w:left="415" w:right="-20"/>
        <w:jc w:val="left"/>
        <w:rPr>
          <w:rFonts w:ascii="宋体" w:cs="宋体"/>
          <w:color w:val="auto"/>
          <w:kern w:val="21"/>
          <w:highlight w:val="none"/>
        </w:rPr>
      </w:pPr>
      <w:r>
        <w:rPr>
          <w:rFonts w:hint="eastAsia" w:ascii="宋体" w:cs="宋体"/>
          <w:color w:val="auto"/>
          <w:kern w:val="21"/>
          <w:highlight w:val="none"/>
        </w:rPr>
        <w:t>（1）投标人在投标有效期内撤销投标文件；</w:t>
      </w:r>
    </w:p>
    <w:p>
      <w:pPr>
        <w:spacing w:line="360" w:lineRule="auto"/>
        <w:ind w:left="100" w:right="123" w:firstLine="314"/>
        <w:jc w:val="left"/>
        <w:rPr>
          <w:rFonts w:ascii="宋体" w:cs="宋体"/>
          <w:color w:val="auto"/>
          <w:kern w:val="21"/>
          <w:highlight w:val="none"/>
        </w:rPr>
      </w:pPr>
      <w:r>
        <w:rPr>
          <w:rFonts w:hint="eastAsia" w:ascii="宋体" w:cs="宋体"/>
          <w:color w:val="auto"/>
          <w:kern w:val="21"/>
          <w:highlight w:val="none"/>
        </w:rPr>
        <w:t>（2）中标人在收到中标通知书后，无正当理由不与招标人订立合同，在签订合同时向招标人提出附加条件，或者不按照招标文件要求提交履约保证金；</w:t>
      </w:r>
    </w:p>
    <w:p>
      <w:pPr>
        <w:spacing w:line="360" w:lineRule="auto"/>
        <w:ind w:left="415" w:right="-20"/>
        <w:jc w:val="left"/>
        <w:rPr>
          <w:rFonts w:ascii="宋体" w:cs="宋体"/>
          <w:color w:val="auto"/>
          <w:kern w:val="21"/>
          <w:highlight w:val="none"/>
        </w:rPr>
      </w:pPr>
      <w:r>
        <w:rPr>
          <w:rFonts w:hint="eastAsia" w:ascii="宋体" w:cs="宋体"/>
          <w:color w:val="auto"/>
          <w:kern w:val="21"/>
          <w:highlight w:val="none"/>
        </w:rPr>
        <w:t>（3）发生投标人须知前附表规定的其他可以不予退还投标保证金的情形。</w:t>
      </w:r>
    </w:p>
    <w:p>
      <w:pPr>
        <w:spacing w:line="360" w:lineRule="auto"/>
        <w:ind w:left="237" w:right="-20" w:firstLine="281" w:firstLineChars="100"/>
        <w:jc w:val="left"/>
        <w:outlineLvl w:val="2"/>
        <w:rPr>
          <w:rFonts w:ascii="宋体" w:cs="宋体"/>
          <w:b/>
          <w:bCs/>
          <w:color w:val="auto"/>
          <w:kern w:val="21"/>
          <w:sz w:val="28"/>
          <w:highlight w:val="none"/>
        </w:rPr>
      </w:pPr>
      <w:bookmarkStart w:id="254" w:name="_Toc32599"/>
      <w:bookmarkStart w:id="255" w:name="_Toc23697"/>
      <w:bookmarkStart w:id="256" w:name="_Toc7422"/>
      <w:r>
        <w:rPr>
          <w:rFonts w:hint="eastAsia" w:ascii="宋体" w:cs="宋体"/>
          <w:b/>
          <w:bCs/>
          <w:color w:val="auto"/>
          <w:kern w:val="21"/>
          <w:sz w:val="28"/>
          <w:highlight w:val="none"/>
        </w:rPr>
        <w:t>3.5资格审查资料（适用于未进行资格预审的）</w:t>
      </w:r>
      <w:bookmarkEnd w:id="254"/>
      <w:bookmarkEnd w:id="255"/>
      <w:bookmarkEnd w:id="256"/>
    </w:p>
    <w:p>
      <w:pPr>
        <w:spacing w:line="360" w:lineRule="auto"/>
        <w:ind w:left="100" w:right="123" w:firstLine="420"/>
        <w:rPr>
          <w:rFonts w:ascii="宋体" w:cs="宋体"/>
          <w:color w:val="auto"/>
          <w:kern w:val="21"/>
          <w:highlight w:val="none"/>
        </w:rPr>
      </w:pPr>
      <w:r>
        <w:rPr>
          <w:rFonts w:hint="eastAsia" w:ascii="宋体" w:cs="宋体"/>
          <w:color w:val="auto"/>
          <w:kern w:val="21"/>
          <w:highlight w:val="none"/>
        </w:rPr>
        <w:t>除投标人须知前附表另有规定外，投标人应按下列规定提供资格审查资料，以证明其满足本章第 1.4 款规定的资质、财务、业绩、信誉等要求。</w:t>
      </w:r>
    </w:p>
    <w:p>
      <w:pPr>
        <w:spacing w:line="360" w:lineRule="auto"/>
        <w:ind w:left="100" w:right="28" w:firstLine="420"/>
        <w:jc w:val="left"/>
        <w:rPr>
          <w:rFonts w:ascii="宋体" w:cs="宋体"/>
          <w:color w:val="auto"/>
          <w:kern w:val="21"/>
          <w:highlight w:val="none"/>
        </w:rPr>
      </w:pPr>
      <w:r>
        <w:rPr>
          <w:rFonts w:hint="eastAsia" w:ascii="宋体" w:cs="宋体"/>
          <w:color w:val="auto"/>
          <w:kern w:val="21"/>
          <w:highlight w:val="none"/>
        </w:rPr>
        <w:t>3.5.1“投标人基本情况表”应附投标人营业执照和组织机构代码证的扫描件（按照“三证合一”或“五证合一”登记制度进行登记的，可仅提供营业执照扫描件）、投标人监理资质证书副本等材料的扫描件。</w:t>
      </w:r>
    </w:p>
    <w:p>
      <w:pPr>
        <w:spacing w:line="360" w:lineRule="auto"/>
        <w:ind w:left="100" w:right="119" w:firstLine="420"/>
        <w:rPr>
          <w:rFonts w:ascii="宋体" w:cs="宋体"/>
          <w:color w:val="auto"/>
          <w:kern w:val="21"/>
          <w:highlight w:val="none"/>
        </w:rPr>
      </w:pPr>
      <w:r>
        <w:rPr>
          <w:rFonts w:hint="eastAsia" w:ascii="宋体" w:cs="宋体"/>
          <w:color w:val="auto"/>
          <w:kern w:val="21"/>
          <w:highlight w:val="none"/>
        </w:rPr>
        <w:t>3.5.2“近年财务状况表”应附经会计师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w:t>
      </w:r>
    </w:p>
    <w:p>
      <w:pPr>
        <w:spacing w:line="360" w:lineRule="auto"/>
        <w:ind w:left="100" w:right="124" w:firstLine="420"/>
        <w:rPr>
          <w:rFonts w:ascii="宋体" w:cs="宋体"/>
          <w:color w:val="auto"/>
          <w:kern w:val="21"/>
          <w:highlight w:val="none"/>
        </w:rPr>
      </w:pPr>
      <w:r>
        <w:rPr>
          <w:rFonts w:hint="eastAsia" w:ascii="宋体" w:cs="宋体"/>
          <w:color w:val="auto"/>
          <w:kern w:val="21"/>
          <w:highlight w:val="none"/>
        </w:rPr>
        <w:t>3.5.3“近年完成的类似监理项目情况表”应附中标通知书和（或）合同协议书、委托人出具的证明文件；具体时间要求见投标人须知前附表，每张表格只填写一个项目，并标明序号。</w:t>
      </w:r>
    </w:p>
    <w:p>
      <w:pPr>
        <w:spacing w:line="360" w:lineRule="auto"/>
        <w:ind w:left="100" w:right="122" w:firstLine="420"/>
        <w:rPr>
          <w:rFonts w:ascii="宋体" w:cs="宋体"/>
          <w:color w:val="auto"/>
          <w:kern w:val="21"/>
          <w:highlight w:val="none"/>
        </w:rPr>
      </w:pPr>
      <w:r>
        <w:rPr>
          <w:rFonts w:hint="eastAsia" w:ascii="宋体" w:cs="宋体"/>
          <w:color w:val="auto"/>
          <w:kern w:val="21"/>
          <w:highlight w:val="none"/>
        </w:rPr>
        <w:t>3.5.4“正在监理和新承接的项目情况表”应附中标通知书和（或）合同协议书扫描件。每张表格只填写一个项目，并标明序号。</w:t>
      </w:r>
    </w:p>
    <w:p>
      <w:pPr>
        <w:spacing w:line="360" w:lineRule="auto"/>
        <w:ind w:left="100" w:right="122" w:firstLine="420"/>
        <w:rPr>
          <w:rFonts w:ascii="宋体" w:cs="宋体"/>
          <w:color w:val="auto"/>
          <w:kern w:val="21"/>
          <w:highlight w:val="none"/>
        </w:rPr>
      </w:pPr>
      <w:r>
        <w:rPr>
          <w:rFonts w:hint="eastAsia" w:ascii="宋体" w:cs="宋体"/>
          <w:color w:val="auto"/>
          <w:kern w:val="21"/>
          <w:highlight w:val="none"/>
        </w:rPr>
        <w:t>3.5.5“近年发生的诉讼及仲裁情况”应说明投标人败诉的监理合同的相关情况，并附法院或仲裁机构作出的判决、裁决等有关法律文书扫描件，具体时间要求见投标人须知前附表。</w:t>
      </w:r>
    </w:p>
    <w:p>
      <w:pPr>
        <w:spacing w:line="360" w:lineRule="auto"/>
        <w:ind w:left="100" w:right="119" w:firstLine="420"/>
        <w:rPr>
          <w:rFonts w:ascii="宋体" w:cs="宋体"/>
          <w:color w:val="auto"/>
          <w:kern w:val="21"/>
          <w:highlight w:val="none"/>
        </w:rPr>
      </w:pPr>
      <w:r>
        <w:rPr>
          <w:rFonts w:hint="eastAsia" w:ascii="宋体" w:cs="宋体"/>
          <w:color w:val="auto"/>
          <w:kern w:val="21"/>
          <w:highlight w:val="none"/>
        </w:rPr>
        <w:t>3.5.6“拟委任的主要人员汇总表”应填报满足本章第 1.4.1 项规定的总监理工程师和其他主要人员的相关信息。“主要人员简历表”中总监理工程师应附身份证、学历证、职称证、注册监理工程师执业证书扫描件，管理过的项目业绩须附合同协议书扫描件</w:t>
      </w:r>
      <w:r>
        <w:rPr>
          <w:rFonts w:hint="eastAsia" w:ascii="宋体" w:cs="宋体"/>
          <w:color w:val="auto"/>
          <w:kern w:val="21"/>
          <w:highlight w:val="none"/>
          <w:u w:val="single"/>
        </w:rPr>
        <w:t>（如需）</w:t>
      </w:r>
      <w:r>
        <w:rPr>
          <w:rFonts w:hint="eastAsia" w:ascii="宋体" w:cs="宋体"/>
          <w:color w:val="auto"/>
          <w:kern w:val="21"/>
          <w:highlight w:val="none"/>
        </w:rPr>
        <w:t>；其他主要人员应附身份证、学历证、职称证、有关证书扫描件。</w:t>
      </w:r>
    </w:p>
    <w:p>
      <w:pPr>
        <w:spacing w:line="360" w:lineRule="auto"/>
        <w:ind w:left="100" w:right="141" w:firstLine="420"/>
        <w:rPr>
          <w:rFonts w:ascii="宋体" w:cs="宋体"/>
          <w:color w:val="auto"/>
          <w:kern w:val="21"/>
          <w:highlight w:val="none"/>
        </w:rPr>
      </w:pPr>
      <w:r>
        <w:rPr>
          <w:rFonts w:hint="eastAsia" w:ascii="宋体" w:cs="宋体"/>
          <w:color w:val="auto"/>
          <w:kern w:val="21"/>
          <w:highlight w:val="none"/>
        </w:rPr>
        <w:t>3.5.7“拟投入本项目的主要试验检测仪器设备表”应填报满足本章第 1.4.1项规定的试验检测仪器设备。</w:t>
      </w:r>
    </w:p>
    <w:p>
      <w:pPr>
        <w:spacing w:line="360" w:lineRule="auto"/>
        <w:ind w:left="100" w:right="139" w:firstLine="420"/>
        <w:rPr>
          <w:rFonts w:ascii="宋体" w:cs="宋体"/>
          <w:color w:val="auto"/>
          <w:kern w:val="21"/>
          <w:highlight w:val="none"/>
        </w:rPr>
      </w:pPr>
      <w:r>
        <w:rPr>
          <w:rFonts w:hint="eastAsia" w:ascii="宋体" w:cs="宋体"/>
          <w:color w:val="auto"/>
          <w:kern w:val="21"/>
          <w:highlight w:val="none"/>
        </w:rPr>
        <w:t>3.5.8投标人须知前附表规定接受联合体投标的，本章第 3.5.1 项至第 3.5.7项规定的表格和资料应包括联合体各方相关情况。</w:t>
      </w:r>
    </w:p>
    <w:p>
      <w:pPr>
        <w:spacing w:line="360" w:lineRule="auto"/>
        <w:ind w:left="237" w:right="-20" w:firstLine="281" w:firstLineChars="100"/>
        <w:jc w:val="left"/>
        <w:outlineLvl w:val="2"/>
        <w:rPr>
          <w:rFonts w:ascii="宋体" w:cs="宋体"/>
          <w:b/>
          <w:bCs/>
          <w:color w:val="auto"/>
          <w:kern w:val="21"/>
          <w:sz w:val="28"/>
          <w:highlight w:val="none"/>
        </w:rPr>
      </w:pPr>
      <w:bookmarkStart w:id="257" w:name="_Toc11235"/>
      <w:bookmarkStart w:id="258" w:name="_Toc5585"/>
      <w:bookmarkStart w:id="259" w:name="_Toc22512"/>
      <w:r>
        <w:rPr>
          <w:rFonts w:hint="eastAsia" w:ascii="宋体" w:cs="宋体"/>
          <w:b/>
          <w:bCs/>
          <w:color w:val="auto"/>
          <w:kern w:val="21"/>
          <w:sz w:val="28"/>
          <w:highlight w:val="none"/>
        </w:rPr>
        <w:t>3.6备选投标方案</w:t>
      </w:r>
      <w:bookmarkEnd w:id="257"/>
      <w:bookmarkEnd w:id="258"/>
      <w:bookmarkEnd w:id="259"/>
    </w:p>
    <w:p>
      <w:pPr>
        <w:spacing w:line="360" w:lineRule="auto"/>
        <w:ind w:left="100" w:right="142" w:firstLine="420"/>
        <w:rPr>
          <w:rFonts w:ascii="宋体" w:cs="宋体"/>
          <w:color w:val="auto"/>
          <w:kern w:val="21"/>
          <w:highlight w:val="none"/>
        </w:rPr>
      </w:pPr>
      <w:r>
        <w:rPr>
          <w:rFonts w:hint="eastAsia" w:ascii="宋体" w:cs="宋体"/>
          <w:color w:val="auto"/>
          <w:kern w:val="21"/>
          <w:highlight w:val="none"/>
        </w:rPr>
        <w:t>3.6.1除投标人须知前附表规定允许外，投标人不得递交备选投标方案，否则其投标将被否决。</w:t>
      </w:r>
    </w:p>
    <w:p>
      <w:pPr>
        <w:spacing w:line="360" w:lineRule="auto"/>
        <w:ind w:left="100" w:right="37" w:firstLine="420"/>
        <w:jc w:val="left"/>
        <w:rPr>
          <w:rFonts w:ascii="宋体" w:cs="宋体"/>
          <w:color w:val="auto"/>
          <w:kern w:val="21"/>
          <w:highlight w:val="none"/>
        </w:rPr>
      </w:pPr>
      <w:r>
        <w:rPr>
          <w:rFonts w:hint="eastAsia" w:ascii="宋体" w:cs="宋体"/>
          <w:color w:val="auto"/>
          <w:kern w:val="21"/>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left="100" w:right="142" w:firstLine="420"/>
        <w:rPr>
          <w:rFonts w:ascii="宋体" w:cs="宋体"/>
          <w:color w:val="auto"/>
          <w:kern w:val="21"/>
          <w:highlight w:val="none"/>
        </w:rPr>
      </w:pPr>
      <w:r>
        <w:rPr>
          <w:rFonts w:hint="eastAsia" w:ascii="宋体" w:cs="宋体"/>
          <w:color w:val="auto"/>
          <w:kern w:val="21"/>
          <w:highlight w:val="none"/>
        </w:rPr>
        <w:t>3.6.3投标人提供两个或两个以上投标报价，或者在投标文件中提供一个报价，但同时提供两个或两个以上监理方案的，视为提供备选方案。</w:t>
      </w:r>
    </w:p>
    <w:p>
      <w:pPr>
        <w:spacing w:line="360" w:lineRule="auto"/>
        <w:ind w:left="237" w:right="-20" w:firstLine="281" w:firstLineChars="100"/>
        <w:jc w:val="left"/>
        <w:outlineLvl w:val="2"/>
        <w:rPr>
          <w:rFonts w:ascii="宋体" w:cs="宋体"/>
          <w:b/>
          <w:bCs/>
          <w:color w:val="auto"/>
          <w:kern w:val="21"/>
          <w:sz w:val="28"/>
          <w:highlight w:val="none"/>
        </w:rPr>
      </w:pPr>
      <w:bookmarkStart w:id="260" w:name="_Toc15194"/>
      <w:bookmarkStart w:id="261" w:name="_Toc30579"/>
      <w:bookmarkStart w:id="262" w:name="_Toc31489"/>
      <w:r>
        <w:rPr>
          <w:rFonts w:hint="eastAsia" w:ascii="宋体" w:cs="宋体"/>
          <w:b/>
          <w:bCs/>
          <w:color w:val="auto"/>
          <w:kern w:val="21"/>
          <w:sz w:val="28"/>
          <w:highlight w:val="none"/>
        </w:rPr>
        <w:t>3.7投标文件的编制</w:t>
      </w:r>
      <w:bookmarkEnd w:id="260"/>
      <w:bookmarkEnd w:id="261"/>
      <w:bookmarkEnd w:id="262"/>
    </w:p>
    <w:p>
      <w:pPr>
        <w:spacing w:line="360" w:lineRule="auto"/>
        <w:ind w:left="100" w:right="142" w:firstLine="420"/>
        <w:rPr>
          <w:rFonts w:ascii="宋体" w:cs="宋体"/>
          <w:color w:val="auto"/>
          <w:kern w:val="21"/>
          <w:highlight w:val="none"/>
        </w:rPr>
      </w:pPr>
      <w:r>
        <w:rPr>
          <w:rFonts w:hint="eastAsia" w:ascii="宋体" w:cs="宋体"/>
          <w:color w:val="auto"/>
          <w:kern w:val="21"/>
          <w:highlight w:val="none"/>
        </w:rPr>
        <w:t>3.7.1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left="100" w:right="142" w:firstLine="420"/>
        <w:rPr>
          <w:rFonts w:ascii="宋体" w:cs="宋体"/>
          <w:color w:val="auto"/>
          <w:kern w:val="21"/>
          <w:highlight w:val="none"/>
        </w:rPr>
      </w:pPr>
      <w:r>
        <w:rPr>
          <w:rFonts w:hint="eastAsia" w:ascii="宋体" w:cs="宋体"/>
          <w:color w:val="auto"/>
          <w:kern w:val="21"/>
          <w:highlight w:val="none"/>
        </w:rPr>
        <w:t>3.7.2投标文件应当对招标文件有关监理服务期限、投标有效期、委托人要求、招标范围等实质性内容作出响应。</w:t>
      </w:r>
    </w:p>
    <w:p>
      <w:pPr>
        <w:spacing w:line="360" w:lineRule="auto"/>
        <w:ind w:left="100" w:right="42" w:firstLine="420"/>
        <w:rPr>
          <w:rFonts w:ascii="宋体" w:cs="宋体"/>
          <w:color w:val="auto"/>
          <w:kern w:val="21"/>
          <w:highlight w:val="none"/>
        </w:rPr>
      </w:pPr>
      <w:r>
        <w:rPr>
          <w:rFonts w:hint="eastAsia" w:ascii="宋体" w:cs="宋体"/>
          <w:color w:val="auto"/>
          <w:kern w:val="21"/>
          <w:highlight w:val="none"/>
        </w:rPr>
        <w:t>3.7.3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书，由代理人签字或加盖电子印章的，应附由法定代表人签署的授权委托书。签字或盖章的具体要求见投标人须知前附表。</w:t>
      </w:r>
    </w:p>
    <w:p>
      <w:pPr>
        <w:spacing w:line="360" w:lineRule="auto"/>
        <w:ind w:left="100" w:right="-20"/>
        <w:jc w:val="left"/>
        <w:outlineLvl w:val="1"/>
        <w:rPr>
          <w:rFonts w:ascii="宋体" w:cs="宋体"/>
          <w:b/>
          <w:color w:val="auto"/>
          <w:kern w:val="21"/>
          <w:sz w:val="28"/>
          <w:szCs w:val="28"/>
          <w:highlight w:val="none"/>
        </w:rPr>
      </w:pPr>
      <w:bookmarkStart w:id="263" w:name="_Toc2229"/>
      <w:bookmarkStart w:id="264" w:name="_Toc32437"/>
      <w:bookmarkStart w:id="265" w:name="_Toc25687"/>
      <w:bookmarkStart w:id="266" w:name="_Toc7479"/>
      <w:bookmarkStart w:id="267" w:name="_Toc11658"/>
      <w:bookmarkStart w:id="268" w:name="_Toc26596"/>
      <w:bookmarkStart w:id="269" w:name="_Toc18951"/>
      <w:bookmarkStart w:id="270" w:name="_Toc22261"/>
      <w:bookmarkStart w:id="271" w:name="_Toc24792"/>
      <w:bookmarkStart w:id="272" w:name="_Toc17622"/>
      <w:bookmarkStart w:id="273" w:name="_Toc30565"/>
      <w:bookmarkStart w:id="274" w:name="_Toc16161"/>
      <w:bookmarkStart w:id="275" w:name="_Toc19134"/>
      <w:bookmarkStart w:id="276" w:name="_Toc27615"/>
      <w:bookmarkStart w:id="277" w:name="_Toc9467"/>
      <w:bookmarkStart w:id="278" w:name="_Toc26136"/>
      <w:bookmarkStart w:id="279" w:name="_Toc29242"/>
      <w:bookmarkStart w:id="280" w:name="_Toc13722"/>
      <w:bookmarkStart w:id="281" w:name="_Toc9545"/>
      <w:bookmarkStart w:id="282" w:name="_Toc3761"/>
      <w:r>
        <w:rPr>
          <w:rFonts w:hint="eastAsia" w:ascii="宋体" w:cs="宋体"/>
          <w:b/>
          <w:color w:val="auto"/>
          <w:kern w:val="21"/>
          <w:sz w:val="28"/>
          <w:szCs w:val="28"/>
          <w:highlight w:val="none"/>
        </w:rPr>
        <w:t>4.投标</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spacing w:line="360" w:lineRule="auto"/>
        <w:ind w:left="237" w:right="-20" w:firstLine="281" w:firstLineChars="100"/>
        <w:jc w:val="left"/>
        <w:outlineLvl w:val="2"/>
        <w:rPr>
          <w:rFonts w:ascii="宋体" w:cs="宋体"/>
          <w:strike/>
          <w:dstrike w:val="0"/>
          <w:color w:val="auto"/>
          <w:kern w:val="21"/>
          <w:sz w:val="28"/>
          <w:szCs w:val="28"/>
          <w:highlight w:val="none"/>
        </w:rPr>
      </w:pPr>
      <w:bookmarkStart w:id="283" w:name="_Toc30717"/>
      <w:bookmarkStart w:id="284" w:name="_Toc28051"/>
      <w:bookmarkStart w:id="285" w:name="_Toc21120"/>
      <w:r>
        <w:rPr>
          <w:rFonts w:hint="eastAsia" w:ascii="宋体" w:cs="宋体"/>
          <w:b/>
          <w:bCs/>
          <w:color w:val="auto"/>
          <w:kern w:val="21"/>
          <w:sz w:val="28"/>
          <w:szCs w:val="28"/>
          <w:highlight w:val="none"/>
        </w:rPr>
        <w:t>4.1投标文件的密封和标记</w:t>
      </w:r>
      <w:bookmarkEnd w:id="283"/>
      <w:bookmarkEnd w:id="284"/>
      <w:bookmarkEnd w:id="285"/>
    </w:p>
    <w:p>
      <w:pPr>
        <w:spacing w:line="360" w:lineRule="auto"/>
        <w:ind w:left="100" w:right="39" w:firstLine="420"/>
        <w:rPr>
          <w:rFonts w:ascii="宋体" w:cs="宋体"/>
          <w:color w:val="auto"/>
          <w:kern w:val="21"/>
          <w:highlight w:val="none"/>
        </w:rPr>
      </w:pPr>
      <w:r>
        <w:rPr>
          <w:rFonts w:hint="eastAsia" w:ascii="宋体" w:cs="宋体"/>
          <w:color w:val="auto"/>
          <w:kern w:val="21"/>
          <w:highlight w:val="none"/>
        </w:rPr>
        <w:t>4.1.1投标人应当按照招标文件和电子招标投标交易平台的要求加密投标文件，具体要求见投标人须知前附表。</w:t>
      </w:r>
    </w:p>
    <w:p>
      <w:pPr>
        <w:spacing w:line="360" w:lineRule="auto"/>
        <w:ind w:left="520" w:right="-20"/>
        <w:jc w:val="left"/>
        <w:outlineLvl w:val="3"/>
        <w:rPr>
          <w:rFonts w:ascii="宋体" w:cs="宋体"/>
          <w:color w:val="auto"/>
          <w:kern w:val="21"/>
          <w:highlight w:val="none"/>
        </w:rPr>
      </w:pPr>
      <w:r>
        <w:rPr>
          <w:rFonts w:hint="eastAsia" w:ascii="宋体" w:cs="宋体"/>
          <w:color w:val="auto"/>
          <w:kern w:val="21"/>
          <w:highlight w:val="none"/>
        </w:rPr>
        <w:t>4.1.2投标文件封套上应写明的内容见投标人须知前附表。</w:t>
      </w:r>
    </w:p>
    <w:p>
      <w:pPr>
        <w:spacing w:line="360" w:lineRule="auto"/>
        <w:ind w:left="100" w:right="42" w:firstLine="420"/>
        <w:rPr>
          <w:rFonts w:ascii="宋体" w:cs="宋体"/>
          <w:color w:val="auto"/>
          <w:kern w:val="21"/>
          <w:highlight w:val="none"/>
        </w:rPr>
      </w:pPr>
      <w:r>
        <w:rPr>
          <w:rFonts w:hint="eastAsia" w:ascii="宋体" w:cs="宋体"/>
          <w:color w:val="auto"/>
          <w:kern w:val="21"/>
          <w:highlight w:val="none"/>
        </w:rPr>
        <w:t>4.1.3未按本章第 4.1.1 项要求密封的投标文件，招标人将予以拒收。</w:t>
      </w:r>
    </w:p>
    <w:p>
      <w:pPr>
        <w:spacing w:line="360" w:lineRule="auto"/>
        <w:ind w:left="237" w:right="-20" w:firstLine="281" w:firstLineChars="100"/>
        <w:jc w:val="left"/>
        <w:outlineLvl w:val="2"/>
        <w:rPr>
          <w:rFonts w:ascii="宋体" w:cs="宋体"/>
          <w:b/>
          <w:bCs/>
          <w:color w:val="auto"/>
          <w:kern w:val="21"/>
          <w:sz w:val="28"/>
          <w:highlight w:val="none"/>
        </w:rPr>
      </w:pPr>
      <w:bookmarkStart w:id="286" w:name="_Toc15211"/>
      <w:bookmarkStart w:id="287" w:name="_Toc2456"/>
      <w:bookmarkStart w:id="288" w:name="_Toc2894"/>
      <w:r>
        <w:rPr>
          <w:rFonts w:hint="eastAsia" w:ascii="宋体" w:cs="宋体"/>
          <w:b/>
          <w:bCs/>
          <w:color w:val="auto"/>
          <w:kern w:val="21"/>
          <w:sz w:val="28"/>
          <w:highlight w:val="none"/>
        </w:rPr>
        <w:t>4.2投标文件的递交</w:t>
      </w:r>
      <w:bookmarkEnd w:id="286"/>
      <w:bookmarkEnd w:id="287"/>
      <w:bookmarkEnd w:id="288"/>
    </w:p>
    <w:p>
      <w:pPr>
        <w:spacing w:line="360" w:lineRule="auto"/>
        <w:ind w:left="520" w:right="-20"/>
        <w:jc w:val="left"/>
        <w:rPr>
          <w:rFonts w:ascii="宋体" w:cs="宋体"/>
          <w:strike/>
          <w:dstrike w:val="0"/>
          <w:color w:val="auto"/>
          <w:kern w:val="21"/>
          <w:highlight w:val="none"/>
        </w:rPr>
      </w:pPr>
      <w:r>
        <w:rPr>
          <w:rFonts w:hint="eastAsia" w:ascii="宋体" w:cs="宋体"/>
          <w:color w:val="auto"/>
          <w:kern w:val="21"/>
          <w:highlight w:val="none"/>
        </w:rPr>
        <w:t>4.2.1投标人应在投标人须知前附表规定的投标截止时间前递交投标文件。</w:t>
      </w:r>
    </w:p>
    <w:p>
      <w:pPr>
        <w:spacing w:line="360" w:lineRule="auto"/>
        <w:ind w:left="520" w:right="-20"/>
        <w:jc w:val="left"/>
        <w:rPr>
          <w:rFonts w:ascii="宋体" w:cs="宋体"/>
          <w:color w:val="auto"/>
          <w:kern w:val="21"/>
          <w:highlight w:val="none"/>
        </w:rPr>
      </w:pPr>
      <w:r>
        <w:rPr>
          <w:rFonts w:hint="eastAsia" w:ascii="宋体" w:cs="宋体"/>
          <w:color w:val="auto"/>
          <w:kern w:val="21"/>
          <w:highlight w:val="none"/>
        </w:rPr>
        <w:t>4.2.2投标人通过下载招标文件的电子招标投标交易平台递交电子投标文件。</w:t>
      </w:r>
    </w:p>
    <w:p>
      <w:pPr>
        <w:spacing w:line="360" w:lineRule="auto"/>
        <w:ind w:left="520" w:right="-20"/>
        <w:jc w:val="left"/>
        <w:rPr>
          <w:rFonts w:ascii="宋体" w:cs="宋体"/>
          <w:color w:val="auto"/>
          <w:kern w:val="21"/>
          <w:highlight w:val="none"/>
        </w:rPr>
      </w:pPr>
      <w:r>
        <w:rPr>
          <w:rFonts w:hint="eastAsia" w:ascii="宋体" w:cs="宋体"/>
          <w:color w:val="auto"/>
          <w:kern w:val="21"/>
          <w:highlight w:val="none"/>
        </w:rPr>
        <w:t>4.2.3除投标人须知前附表另有规定外，投标人所递交的投标文件不予退还。</w:t>
      </w:r>
    </w:p>
    <w:p>
      <w:pPr>
        <w:spacing w:line="360" w:lineRule="auto"/>
        <w:ind w:left="100" w:right="39" w:firstLine="420"/>
        <w:jc w:val="left"/>
        <w:rPr>
          <w:rFonts w:ascii="宋体" w:cs="宋体"/>
          <w:strike/>
          <w:dstrike w:val="0"/>
          <w:color w:val="auto"/>
          <w:kern w:val="21"/>
          <w:highlight w:val="none"/>
        </w:rPr>
      </w:pPr>
      <w:r>
        <w:rPr>
          <w:rFonts w:hint="eastAsia" w:ascii="宋体" w:cs="宋体"/>
          <w:color w:val="auto"/>
          <w:kern w:val="21"/>
          <w:highlight w:val="none"/>
        </w:rPr>
        <w:t>4.2.4投标人完成电子投标文件上传后，电子招标投标交易平台即时向投标人发出递交回执通知。递交时间以递交回执通知载明的传输完成时间为准。</w:t>
      </w:r>
    </w:p>
    <w:p>
      <w:pPr>
        <w:spacing w:line="360" w:lineRule="auto"/>
        <w:ind w:left="100" w:right="42" w:firstLine="420"/>
        <w:rPr>
          <w:rFonts w:ascii="宋体" w:cs="宋体"/>
          <w:color w:val="auto"/>
          <w:kern w:val="21"/>
          <w:highlight w:val="none"/>
        </w:rPr>
      </w:pPr>
      <w:r>
        <w:rPr>
          <w:rFonts w:hint="eastAsia" w:ascii="宋体" w:cs="宋体"/>
          <w:color w:val="auto"/>
          <w:kern w:val="21"/>
          <w:highlight w:val="none"/>
        </w:rPr>
        <w:t>4.2.5逾期送达的投标文件，电子招标投标交易平台将予以拒收。</w:t>
      </w:r>
    </w:p>
    <w:p>
      <w:pPr>
        <w:spacing w:line="360" w:lineRule="auto"/>
        <w:ind w:left="100" w:right="42" w:firstLine="420"/>
        <w:outlineLvl w:val="2"/>
        <w:rPr>
          <w:rFonts w:ascii="宋体" w:cs="宋体"/>
          <w:b/>
          <w:bCs/>
          <w:color w:val="auto"/>
          <w:kern w:val="21"/>
          <w:sz w:val="28"/>
          <w:highlight w:val="none"/>
        </w:rPr>
      </w:pPr>
      <w:bookmarkStart w:id="289" w:name="_Toc10603"/>
      <w:bookmarkStart w:id="290" w:name="_Toc14412"/>
      <w:bookmarkStart w:id="291" w:name="_Toc16210"/>
      <w:r>
        <w:rPr>
          <w:rFonts w:hint="eastAsia" w:ascii="宋体" w:cs="宋体"/>
          <w:b/>
          <w:bCs/>
          <w:color w:val="auto"/>
          <w:kern w:val="21"/>
          <w:sz w:val="28"/>
          <w:highlight w:val="none"/>
        </w:rPr>
        <w:t>4.3投标文件的修改与撤回</w:t>
      </w:r>
      <w:bookmarkEnd w:id="289"/>
      <w:bookmarkEnd w:id="290"/>
      <w:bookmarkEnd w:id="291"/>
    </w:p>
    <w:p>
      <w:pPr>
        <w:spacing w:line="360" w:lineRule="auto"/>
        <w:ind w:left="100" w:right="34" w:firstLine="420"/>
        <w:jc w:val="left"/>
        <w:rPr>
          <w:rFonts w:ascii="宋体" w:cs="宋体"/>
          <w:strike/>
          <w:dstrike w:val="0"/>
          <w:color w:val="auto"/>
          <w:kern w:val="21"/>
          <w:highlight w:val="none"/>
        </w:rPr>
      </w:pPr>
      <w:r>
        <w:rPr>
          <w:rFonts w:hint="eastAsia" w:ascii="宋体" w:cs="宋体"/>
          <w:color w:val="auto"/>
          <w:kern w:val="21"/>
          <w:highlight w:val="none"/>
        </w:rPr>
        <w:t>4.3.1在本章第 4.2.1 项规定的投标截止时间前，投标人可以修改或撤回已递交的投标文件，但应以书面形式通知招标人。</w:t>
      </w:r>
    </w:p>
    <w:p>
      <w:pPr>
        <w:spacing w:line="360" w:lineRule="auto"/>
        <w:ind w:left="100" w:right="139" w:firstLine="420"/>
        <w:rPr>
          <w:rFonts w:ascii="宋体" w:cs="宋体"/>
          <w:color w:val="auto"/>
          <w:kern w:val="21"/>
          <w:highlight w:val="none"/>
        </w:rPr>
      </w:pPr>
      <w:r>
        <w:rPr>
          <w:rFonts w:hint="eastAsia" w:ascii="宋体" w:cs="宋体"/>
          <w:color w:val="auto"/>
          <w:kern w:val="21"/>
          <w:highlight w:val="none"/>
        </w:rPr>
        <w:t>4.3.2投标人修改或撤回已递交投标文件的通知，应按照本章第 3.7.3（B）项的要求加盖电子印章。电子招标投标交易平台收到通知后，即时向投标人发出确认回执通知。</w:t>
      </w:r>
    </w:p>
    <w:p>
      <w:pPr>
        <w:spacing w:line="360" w:lineRule="auto"/>
        <w:ind w:left="100" w:right="139" w:firstLine="420"/>
        <w:rPr>
          <w:rFonts w:ascii="宋体" w:cs="宋体"/>
          <w:color w:val="auto"/>
          <w:kern w:val="21"/>
          <w:highlight w:val="none"/>
        </w:rPr>
      </w:pPr>
      <w:r>
        <w:rPr>
          <w:rFonts w:hint="eastAsia" w:ascii="宋体" w:cs="宋体"/>
          <w:color w:val="auto"/>
          <w:kern w:val="21"/>
          <w:highlight w:val="none"/>
        </w:rPr>
        <w:t>4.3.3投标人撤回投标文件的，招标人自收到投标人书面撤回通知之日起 5 日内退还已收取的投标保证金。</w:t>
      </w:r>
    </w:p>
    <w:p>
      <w:pPr>
        <w:spacing w:line="360" w:lineRule="auto"/>
        <w:ind w:left="100" w:right="141" w:firstLine="420"/>
        <w:rPr>
          <w:rFonts w:ascii="宋体" w:cs="宋体"/>
          <w:color w:val="auto"/>
          <w:kern w:val="21"/>
          <w:highlight w:val="none"/>
        </w:rPr>
      </w:pPr>
      <w:r>
        <w:rPr>
          <w:rFonts w:hint="eastAsia" w:ascii="宋体" w:cs="宋体"/>
          <w:color w:val="auto"/>
          <w:kern w:val="21"/>
          <w:highlight w:val="none"/>
        </w:rPr>
        <w:t>4.3.4修改的内容为投标文件的组成部分。修改的投标文件应按照本章第 3 条、第 4 条的规定进行编制、密封、标记和递交，并标明“修改”字样。</w:t>
      </w:r>
    </w:p>
    <w:p>
      <w:pPr>
        <w:spacing w:line="360" w:lineRule="auto"/>
        <w:ind w:left="100" w:right="-20"/>
        <w:jc w:val="left"/>
        <w:outlineLvl w:val="1"/>
        <w:rPr>
          <w:rFonts w:ascii="宋体" w:cs="宋体"/>
          <w:b/>
          <w:color w:val="auto"/>
          <w:kern w:val="21"/>
          <w:sz w:val="28"/>
          <w:szCs w:val="28"/>
          <w:highlight w:val="none"/>
        </w:rPr>
      </w:pPr>
      <w:bookmarkStart w:id="292" w:name="_Toc23059"/>
      <w:bookmarkStart w:id="293" w:name="_Toc27052"/>
      <w:bookmarkStart w:id="294" w:name="_Toc1885"/>
      <w:bookmarkStart w:id="295" w:name="_Toc27825"/>
      <w:bookmarkStart w:id="296" w:name="_Toc28697"/>
      <w:bookmarkStart w:id="297" w:name="_Toc30157"/>
      <w:bookmarkStart w:id="298" w:name="_Toc24258"/>
      <w:bookmarkStart w:id="299" w:name="_Toc4786"/>
      <w:bookmarkStart w:id="300" w:name="_Toc19636"/>
      <w:bookmarkStart w:id="301" w:name="_Toc12408"/>
      <w:bookmarkStart w:id="302" w:name="_Toc11781"/>
      <w:bookmarkStart w:id="303" w:name="_Toc18398"/>
      <w:bookmarkStart w:id="304" w:name="_Toc18757"/>
      <w:bookmarkStart w:id="305" w:name="_Toc22417"/>
      <w:bookmarkStart w:id="306" w:name="_Toc27155"/>
      <w:bookmarkStart w:id="307" w:name="_Toc19387"/>
      <w:bookmarkStart w:id="308" w:name="_Toc23198"/>
      <w:bookmarkStart w:id="309" w:name="_Toc22131"/>
      <w:bookmarkStart w:id="310" w:name="_Toc2977"/>
      <w:bookmarkStart w:id="311" w:name="_Toc19637"/>
      <w:r>
        <w:rPr>
          <w:rFonts w:hint="eastAsia" w:ascii="宋体" w:cs="宋体"/>
          <w:b/>
          <w:color w:val="auto"/>
          <w:kern w:val="21"/>
          <w:sz w:val="28"/>
          <w:szCs w:val="28"/>
          <w:highlight w:val="none"/>
        </w:rPr>
        <w:t>5.开标</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spacing w:line="360" w:lineRule="auto"/>
        <w:ind w:left="237" w:right="-20" w:firstLine="281" w:firstLineChars="100"/>
        <w:jc w:val="left"/>
        <w:outlineLvl w:val="2"/>
        <w:rPr>
          <w:rFonts w:ascii="宋体" w:cs="宋体"/>
          <w:b/>
          <w:bCs/>
          <w:color w:val="auto"/>
          <w:kern w:val="21"/>
          <w:sz w:val="28"/>
          <w:highlight w:val="none"/>
        </w:rPr>
      </w:pPr>
      <w:bookmarkStart w:id="312" w:name="_Toc20819"/>
      <w:bookmarkStart w:id="313" w:name="_Toc28394"/>
      <w:bookmarkStart w:id="314" w:name="_Toc23759"/>
      <w:r>
        <w:rPr>
          <w:rFonts w:hint="eastAsia" w:ascii="宋体" w:cs="宋体"/>
          <w:b/>
          <w:bCs/>
          <w:color w:val="auto"/>
          <w:kern w:val="21"/>
          <w:sz w:val="28"/>
          <w:highlight w:val="none"/>
        </w:rPr>
        <w:t>5.1开标时间和地点</w:t>
      </w:r>
      <w:bookmarkEnd w:id="312"/>
      <w:bookmarkEnd w:id="313"/>
      <w:bookmarkEnd w:id="314"/>
    </w:p>
    <w:p>
      <w:pPr>
        <w:spacing w:line="360" w:lineRule="auto"/>
        <w:ind w:left="100" w:right="142" w:firstLine="420"/>
        <w:rPr>
          <w:rFonts w:ascii="宋体" w:cs="宋体"/>
          <w:color w:val="auto"/>
          <w:kern w:val="21"/>
          <w:highlight w:val="none"/>
          <w:u w:val="single"/>
        </w:rPr>
      </w:pPr>
      <w:r>
        <w:rPr>
          <w:rFonts w:hint="eastAsia" w:ascii="宋体" w:cs="宋体"/>
          <w:color w:val="auto"/>
          <w:kern w:val="21"/>
          <w:highlight w:val="none"/>
        </w:rPr>
        <w:t>招标人在本章第 4.2.1 项规定的投标截止时间（开标时间）,通过电子招标投标交易平台公开开标，</w:t>
      </w:r>
      <w:r>
        <w:rPr>
          <w:rFonts w:hint="eastAsia" w:ascii="宋体" w:cs="宋体"/>
          <w:color w:val="auto"/>
          <w:kern w:val="21"/>
          <w:highlight w:val="none"/>
          <w:u w:val="single"/>
        </w:rPr>
        <w:t>并邀请所有投标人的法定代表人（单位负责人）或其委托代理人准时参加。开标时，投标人代表有权出席开标会，也可以自主决定不参加开标会，若投标人代表对开标过程提出异议，该投标人代表须同时出示本人身份证原件。</w:t>
      </w:r>
    </w:p>
    <w:p>
      <w:pPr>
        <w:spacing w:line="360" w:lineRule="auto"/>
        <w:ind w:left="0" w:right="-20" w:firstLine="562" w:firstLineChars="200"/>
        <w:jc w:val="left"/>
        <w:outlineLvl w:val="2"/>
        <w:rPr>
          <w:rFonts w:ascii="宋体" w:cs="宋体"/>
          <w:b/>
          <w:bCs/>
          <w:color w:val="auto"/>
          <w:kern w:val="21"/>
          <w:sz w:val="28"/>
          <w:highlight w:val="none"/>
        </w:rPr>
      </w:pPr>
      <w:bookmarkStart w:id="315" w:name="_Toc25431"/>
      <w:bookmarkStart w:id="316" w:name="_Toc28689"/>
      <w:bookmarkStart w:id="317" w:name="_Toc14910"/>
      <w:r>
        <w:rPr>
          <w:rFonts w:hint="eastAsia" w:ascii="宋体" w:cs="宋体"/>
          <w:b/>
          <w:bCs/>
          <w:color w:val="auto"/>
          <w:kern w:val="21"/>
          <w:sz w:val="28"/>
          <w:highlight w:val="none"/>
        </w:rPr>
        <w:t>5.2开标程序</w:t>
      </w:r>
      <w:bookmarkEnd w:id="315"/>
      <w:bookmarkEnd w:id="316"/>
      <w:bookmarkEnd w:id="317"/>
    </w:p>
    <w:p>
      <w:pPr>
        <w:autoSpaceDE w:val="0"/>
        <w:spacing w:line="360" w:lineRule="auto"/>
        <w:ind w:firstLine="420" w:firstLineChars="200"/>
        <w:jc w:val="left"/>
        <w:outlineLvl w:val="3"/>
        <w:rPr>
          <w:rFonts w:ascii="宋体" w:cs="宋体"/>
          <w:color w:val="auto"/>
          <w:szCs w:val="21"/>
          <w:highlight w:val="none"/>
        </w:rPr>
      </w:pPr>
      <w:r>
        <w:rPr>
          <w:rFonts w:hint="eastAsia" w:ascii="宋体" w:cs="宋体"/>
          <w:color w:val="auto"/>
          <w:szCs w:val="21"/>
          <w:highlight w:val="none"/>
        </w:rPr>
        <w:t>5.2.1主持人按下列程序进行开标：</w:t>
      </w:r>
    </w:p>
    <w:p>
      <w:pPr>
        <w:autoSpaceDE w:val="0"/>
        <w:spacing w:line="360" w:lineRule="auto"/>
        <w:ind w:firstLine="420" w:firstLineChars="200"/>
        <w:jc w:val="left"/>
        <w:rPr>
          <w:rFonts w:ascii="宋体" w:cs="宋体"/>
          <w:color w:val="auto"/>
          <w:szCs w:val="21"/>
          <w:highlight w:val="none"/>
        </w:rPr>
      </w:pPr>
      <w:r>
        <w:rPr>
          <w:rFonts w:hint="eastAsia" w:ascii="宋体" w:cs="宋体"/>
          <w:color w:val="auto"/>
          <w:szCs w:val="21"/>
          <w:highlight w:val="none"/>
        </w:rPr>
        <w:t>（1）宣布开标纪律；</w:t>
      </w:r>
    </w:p>
    <w:p>
      <w:pPr>
        <w:autoSpaceDE w:val="0"/>
        <w:spacing w:line="360" w:lineRule="auto"/>
        <w:ind w:firstLine="420" w:firstLineChars="200"/>
        <w:jc w:val="left"/>
        <w:rPr>
          <w:rFonts w:ascii="宋体" w:cs="宋体"/>
          <w:color w:val="auto"/>
          <w:szCs w:val="21"/>
          <w:highlight w:val="none"/>
        </w:rPr>
      </w:pPr>
      <w:r>
        <w:rPr>
          <w:rFonts w:hint="eastAsia" w:ascii="宋体" w:cs="宋体"/>
          <w:color w:val="auto"/>
          <w:szCs w:val="21"/>
          <w:highlight w:val="none"/>
        </w:rPr>
        <w:t>（2）公布在投标截止时间前递交投标文件的投标人名称；</w:t>
      </w:r>
    </w:p>
    <w:p>
      <w:pPr>
        <w:autoSpaceDE w:val="0"/>
        <w:spacing w:line="360" w:lineRule="auto"/>
        <w:ind w:firstLine="420" w:firstLineChars="200"/>
        <w:jc w:val="left"/>
        <w:rPr>
          <w:rFonts w:ascii="宋体" w:cs="宋体"/>
          <w:color w:val="auto"/>
          <w:szCs w:val="21"/>
          <w:highlight w:val="none"/>
        </w:rPr>
      </w:pPr>
      <w:r>
        <w:rPr>
          <w:rFonts w:hint="eastAsia" w:ascii="宋体" w:cs="宋体"/>
          <w:color w:val="auto"/>
          <w:szCs w:val="21"/>
          <w:highlight w:val="none"/>
        </w:rPr>
        <w:t>（3）宣布开标人、唱标人、记录人、监标人等有关人员姓名；</w:t>
      </w:r>
    </w:p>
    <w:p>
      <w:pPr>
        <w:autoSpaceDE w:val="0"/>
        <w:spacing w:line="360" w:lineRule="auto"/>
        <w:ind w:firstLine="420" w:firstLineChars="200"/>
        <w:jc w:val="left"/>
        <w:rPr>
          <w:rFonts w:ascii="宋体" w:cs="宋体"/>
          <w:color w:val="auto"/>
          <w:szCs w:val="21"/>
          <w:highlight w:val="none"/>
        </w:rPr>
      </w:pPr>
      <w:r>
        <w:rPr>
          <w:rFonts w:hint="eastAsia" w:ascii="宋体" w:cs="宋体"/>
          <w:color w:val="auto"/>
          <w:szCs w:val="21"/>
          <w:highlight w:val="none"/>
        </w:rPr>
        <w:t>（4）</w:t>
      </w:r>
      <w:r>
        <w:rPr>
          <w:rFonts w:hint="eastAsia" w:ascii="宋体" w:cs="宋体"/>
          <w:color w:val="auto"/>
          <w:szCs w:val="21"/>
          <w:highlight w:val="none"/>
          <w:u w:val="single"/>
        </w:rPr>
        <w:t>在投标截止时间后</w:t>
      </w:r>
      <w:r>
        <w:rPr>
          <w:rFonts w:hint="eastAsia" w:ascii="宋体" w:cs="宋体"/>
          <w:b w:val="0"/>
          <w:bCs w:val="0"/>
          <w:color w:val="auto"/>
          <w:szCs w:val="21"/>
          <w:highlight w:val="none"/>
          <w:u w:val="single"/>
          <w:lang w:val="en-US" w:eastAsia="zh-CN"/>
        </w:rPr>
        <w:t>一</w:t>
      </w:r>
      <w:r>
        <w:rPr>
          <w:rFonts w:hint="eastAsia" w:ascii="宋体" w:cs="宋体"/>
          <w:b w:val="0"/>
          <w:bCs w:val="0"/>
          <w:color w:val="auto"/>
          <w:szCs w:val="21"/>
          <w:highlight w:val="none"/>
          <w:u w:val="single"/>
        </w:rPr>
        <w:t>小</w:t>
      </w:r>
      <w:r>
        <w:rPr>
          <w:rFonts w:hint="eastAsia" w:ascii="宋体" w:cs="宋体"/>
          <w:color w:val="auto"/>
          <w:szCs w:val="21"/>
          <w:highlight w:val="none"/>
          <w:u w:val="single"/>
        </w:rPr>
        <w:t>时内，投标人通过电子招标投标交易平台对已递交的电子投标文件进行解密，再由招标人或招标代理机构进行解密。解密完成后，公布招标项目名称、投标人名称、投标保证金的递交情况、投标报价、服务期限及其他内容，并记录在案；</w:t>
      </w:r>
    </w:p>
    <w:p>
      <w:pPr>
        <w:pStyle w:val="8"/>
        <w:kinsoku w:val="0"/>
        <w:overflowPunct w:val="0"/>
        <w:spacing w:line="360" w:lineRule="auto"/>
        <w:ind w:firstLine="420" w:firstLineChars="200"/>
        <w:rPr>
          <w:rFonts w:ascii="宋体" w:cs="宋体"/>
          <w:color w:val="auto"/>
          <w:sz w:val="21"/>
          <w:szCs w:val="21"/>
          <w:highlight w:val="none"/>
          <w:u w:val="single"/>
        </w:rPr>
      </w:pPr>
      <w:r>
        <w:rPr>
          <w:rFonts w:hint="eastAsia" w:ascii="宋体" w:cs="宋体"/>
          <w:color w:val="auto"/>
          <w:sz w:val="21"/>
          <w:szCs w:val="21"/>
          <w:highlight w:val="none"/>
          <w:u w:val="single"/>
        </w:rPr>
        <w:t>（5）投标人代表、招标人代表、监标人、记录人等有关人员在开标记录上签字确认；若有关人员不签字的，不影响开标程序；</w:t>
      </w:r>
    </w:p>
    <w:p>
      <w:pPr>
        <w:pStyle w:val="8"/>
        <w:kinsoku w:val="0"/>
        <w:overflowPunct w:val="0"/>
        <w:spacing w:line="360" w:lineRule="auto"/>
        <w:ind w:firstLine="420" w:firstLineChars="200"/>
        <w:rPr>
          <w:rFonts w:hint="eastAsia" w:ascii="宋体" w:cs="宋体"/>
          <w:color w:val="auto"/>
          <w:sz w:val="21"/>
          <w:szCs w:val="21"/>
          <w:highlight w:val="none"/>
        </w:rPr>
      </w:pPr>
      <w:r>
        <w:rPr>
          <w:rFonts w:hint="eastAsia" w:ascii="宋体" w:cs="宋体"/>
          <w:color w:val="auto"/>
          <w:sz w:val="21"/>
          <w:szCs w:val="21"/>
          <w:highlight w:val="none"/>
        </w:rPr>
        <w:t>（6）开标结束。</w:t>
      </w:r>
    </w:p>
    <w:p>
      <w:pPr>
        <w:pStyle w:val="8"/>
        <w:kinsoku w:val="0"/>
        <w:overflowPunct w:val="0"/>
        <w:spacing w:line="360" w:lineRule="auto"/>
        <w:ind w:firstLine="420" w:firstLineChars="200"/>
        <w:rPr>
          <w:rFonts w:ascii="宋体" w:cs="宋体"/>
          <w:color w:val="auto"/>
          <w:sz w:val="21"/>
          <w:szCs w:val="21"/>
          <w:highlight w:val="none"/>
        </w:rPr>
      </w:pPr>
      <w:r>
        <w:rPr>
          <w:rFonts w:hint="eastAsia" w:ascii="宋体" w:hAnsi="宋体" w:eastAsia="宋体" w:cs="宋体"/>
          <w:color w:val="auto"/>
          <w:sz w:val="21"/>
          <w:szCs w:val="21"/>
          <w:highlight w:val="none"/>
        </w:rPr>
        <w:t>5.2.2</w:t>
      </w:r>
      <w:r>
        <w:rPr>
          <w:rFonts w:hint="eastAsia" w:ascii="宋体" w:hAnsi="宋体" w:eastAsia="宋体" w:cs="宋体"/>
          <w:color w:val="auto"/>
          <w:sz w:val="21"/>
          <w:szCs w:val="21"/>
          <w:highlight w:val="none"/>
          <w:u w:val="single"/>
        </w:rPr>
        <w:t>投标截止时间前未完成投标文件传输的或因投标人之外的原因造成投标文件未解密的</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视为投标人其撤回投标文件。因投标人原因造成投标文件未解密的，或未在投标截止时间后</w:t>
      </w:r>
      <w:r>
        <w:rPr>
          <w:rFonts w:hint="eastAsia" w:ascii="宋体" w:hAnsi="宋体" w:eastAsia="宋体" w:cs="宋体"/>
          <w:color w:val="auto"/>
          <w:sz w:val="21"/>
          <w:szCs w:val="21"/>
          <w:highlight w:val="none"/>
          <w:u w:val="single"/>
          <w:lang w:val="en-US" w:eastAsia="zh-CN"/>
        </w:rPr>
        <w:t>一</w:t>
      </w:r>
      <w:r>
        <w:rPr>
          <w:rFonts w:hint="eastAsia" w:ascii="宋体" w:hAnsi="宋体" w:eastAsia="宋体" w:cs="宋体"/>
          <w:color w:val="auto"/>
          <w:sz w:val="21"/>
          <w:szCs w:val="21"/>
          <w:highlight w:val="none"/>
          <w:u w:val="single"/>
        </w:rPr>
        <w:t>小时内解密的，视为撤销其投标文件</w:t>
      </w:r>
      <w:r>
        <w:rPr>
          <w:rFonts w:hint="eastAsia" w:ascii="宋体" w:cs="宋体"/>
          <w:color w:val="auto"/>
          <w:sz w:val="21"/>
          <w:szCs w:val="21"/>
          <w:highlight w:val="none"/>
          <w:u w:val="single"/>
        </w:rPr>
        <w:t>。</w:t>
      </w:r>
    </w:p>
    <w:p>
      <w:pPr>
        <w:pStyle w:val="8"/>
        <w:kinsoku w:val="0"/>
        <w:overflowPunct w:val="0"/>
        <w:spacing w:line="360" w:lineRule="auto"/>
        <w:ind w:firstLine="420" w:firstLineChars="200"/>
        <w:rPr>
          <w:rFonts w:ascii="宋体" w:cs="宋体"/>
          <w:color w:val="auto"/>
          <w:sz w:val="21"/>
          <w:szCs w:val="21"/>
          <w:highlight w:val="none"/>
          <w:u w:val="single"/>
        </w:rPr>
      </w:pPr>
      <w:r>
        <w:rPr>
          <w:rFonts w:hint="eastAsia" w:ascii="宋体" w:cs="宋体"/>
          <w:color w:val="auto"/>
          <w:sz w:val="21"/>
          <w:szCs w:val="21"/>
          <w:highlight w:val="none"/>
          <w:u w:val="single"/>
        </w:rPr>
        <w:t>5.2.3开标时，两个（含两个）以上的投标人加密打包投标文件的电脑机器特征码一致的，不参与下一程序，并由评标委员会否决其投标。</w:t>
      </w:r>
    </w:p>
    <w:p>
      <w:pPr>
        <w:spacing w:line="360" w:lineRule="auto"/>
        <w:ind w:left="237" w:right="-20" w:firstLine="281" w:firstLineChars="100"/>
        <w:jc w:val="left"/>
        <w:outlineLvl w:val="2"/>
        <w:rPr>
          <w:rFonts w:ascii="宋体" w:cs="宋体"/>
          <w:b/>
          <w:bCs/>
          <w:color w:val="auto"/>
          <w:kern w:val="21"/>
          <w:sz w:val="28"/>
          <w:highlight w:val="none"/>
        </w:rPr>
      </w:pPr>
      <w:bookmarkStart w:id="318" w:name="_Toc14099"/>
      <w:bookmarkStart w:id="319" w:name="_Toc22416"/>
      <w:bookmarkStart w:id="320" w:name="_Toc13658"/>
      <w:r>
        <w:rPr>
          <w:rFonts w:hint="eastAsia" w:ascii="宋体" w:cs="宋体"/>
          <w:b/>
          <w:bCs/>
          <w:color w:val="auto"/>
          <w:kern w:val="21"/>
          <w:sz w:val="28"/>
          <w:highlight w:val="none"/>
        </w:rPr>
        <w:t>5.3开标异议</w:t>
      </w:r>
      <w:bookmarkEnd w:id="318"/>
      <w:bookmarkEnd w:id="319"/>
      <w:bookmarkEnd w:id="320"/>
    </w:p>
    <w:p>
      <w:pPr>
        <w:spacing w:line="360" w:lineRule="auto"/>
        <w:ind w:left="0" w:right="0" w:firstLine="420" w:firstLineChars="200"/>
        <w:jc w:val="left"/>
        <w:rPr>
          <w:rFonts w:ascii="宋体" w:cs="宋体"/>
          <w:color w:val="auto"/>
          <w:kern w:val="21"/>
          <w:highlight w:val="none"/>
        </w:rPr>
      </w:pPr>
      <w:r>
        <w:rPr>
          <w:rFonts w:hint="eastAsia" w:ascii="宋体" w:cs="宋体"/>
          <w:color w:val="auto"/>
          <w:kern w:val="21"/>
          <w:highlight w:val="none"/>
        </w:rPr>
        <w:t>开标时，投标人代表有权出席开标会，也可以自主决定不参加开标会，若投标人代表对开标过程提出异议，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spacing w:line="360" w:lineRule="auto"/>
        <w:ind w:left="100" w:right="-20"/>
        <w:jc w:val="left"/>
        <w:outlineLvl w:val="1"/>
        <w:rPr>
          <w:rFonts w:ascii="宋体" w:cs="宋体"/>
          <w:b/>
          <w:color w:val="auto"/>
          <w:kern w:val="21"/>
          <w:sz w:val="28"/>
          <w:szCs w:val="28"/>
          <w:highlight w:val="none"/>
        </w:rPr>
      </w:pPr>
      <w:bookmarkStart w:id="321" w:name="_Toc5554"/>
      <w:bookmarkStart w:id="322" w:name="_Toc22563"/>
      <w:bookmarkStart w:id="323" w:name="_Toc8062"/>
      <w:bookmarkStart w:id="324" w:name="_Toc12149"/>
      <w:bookmarkStart w:id="325" w:name="_Toc25847"/>
      <w:bookmarkStart w:id="326" w:name="_Toc22116"/>
      <w:bookmarkStart w:id="327" w:name="_Toc27860"/>
      <w:bookmarkStart w:id="328" w:name="_Toc25577"/>
      <w:bookmarkStart w:id="329" w:name="_Toc11422"/>
      <w:bookmarkStart w:id="330" w:name="_Toc8980"/>
      <w:bookmarkStart w:id="331" w:name="_Toc16309"/>
      <w:bookmarkStart w:id="332" w:name="_Toc19236"/>
      <w:bookmarkStart w:id="333" w:name="_Toc17440"/>
      <w:bookmarkStart w:id="334" w:name="_Toc31675"/>
      <w:bookmarkStart w:id="335" w:name="_Toc8354"/>
      <w:bookmarkStart w:id="336" w:name="_Toc8246"/>
      <w:bookmarkStart w:id="337" w:name="_Toc6020"/>
      <w:bookmarkStart w:id="338" w:name="_Toc2500"/>
      <w:bookmarkStart w:id="339" w:name="_Toc31484"/>
      <w:bookmarkStart w:id="340" w:name="_Toc11458"/>
      <w:r>
        <w:rPr>
          <w:rFonts w:hint="eastAsia" w:ascii="宋体" w:cs="宋体"/>
          <w:b/>
          <w:color w:val="auto"/>
          <w:kern w:val="21"/>
          <w:sz w:val="28"/>
          <w:szCs w:val="28"/>
          <w:highlight w:val="none"/>
        </w:rPr>
        <w:t>6.评标</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pPr>
        <w:spacing w:line="360" w:lineRule="auto"/>
        <w:ind w:left="237" w:right="-20" w:firstLine="281" w:firstLineChars="100"/>
        <w:jc w:val="left"/>
        <w:outlineLvl w:val="2"/>
        <w:rPr>
          <w:rFonts w:ascii="宋体" w:cs="宋体"/>
          <w:b/>
          <w:bCs/>
          <w:color w:val="auto"/>
          <w:kern w:val="21"/>
          <w:sz w:val="28"/>
          <w:highlight w:val="none"/>
        </w:rPr>
      </w:pPr>
      <w:bookmarkStart w:id="341" w:name="_Toc16986"/>
      <w:bookmarkStart w:id="342" w:name="_Toc17713"/>
      <w:bookmarkStart w:id="343" w:name="_Toc3663"/>
      <w:r>
        <w:rPr>
          <w:rFonts w:hint="eastAsia" w:ascii="宋体" w:cs="宋体"/>
          <w:b/>
          <w:bCs/>
          <w:color w:val="auto"/>
          <w:kern w:val="21"/>
          <w:sz w:val="28"/>
          <w:highlight w:val="none"/>
        </w:rPr>
        <w:t>6.1评标委员会</w:t>
      </w:r>
      <w:bookmarkEnd w:id="341"/>
      <w:bookmarkEnd w:id="342"/>
      <w:bookmarkEnd w:id="343"/>
    </w:p>
    <w:p>
      <w:pPr>
        <w:spacing w:line="360" w:lineRule="auto"/>
        <w:ind w:left="100" w:right="39" w:firstLine="420"/>
        <w:rPr>
          <w:rFonts w:ascii="宋体" w:cs="宋体"/>
          <w:color w:val="auto"/>
          <w:kern w:val="21"/>
          <w:highlight w:val="none"/>
        </w:rPr>
      </w:pPr>
      <w:r>
        <w:rPr>
          <w:rFonts w:hint="eastAsia" w:ascii="宋体" w:cs="宋体"/>
          <w:color w:val="auto"/>
          <w:kern w:val="21"/>
          <w:highlight w:val="none"/>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left="520" w:right="-20"/>
        <w:jc w:val="left"/>
        <w:outlineLvl w:val="3"/>
        <w:rPr>
          <w:rFonts w:ascii="宋体" w:cs="宋体"/>
          <w:color w:val="auto"/>
          <w:kern w:val="21"/>
          <w:highlight w:val="none"/>
        </w:rPr>
      </w:pPr>
      <w:r>
        <w:rPr>
          <w:rFonts w:hint="eastAsia" w:ascii="宋体" w:cs="宋体"/>
          <w:color w:val="auto"/>
          <w:kern w:val="21"/>
          <w:highlight w:val="none"/>
        </w:rPr>
        <w:t>6.1.2评标委员会成员有下列情形之一的，应当回避：</w:t>
      </w:r>
    </w:p>
    <w:p>
      <w:pPr>
        <w:spacing w:line="360" w:lineRule="auto"/>
        <w:ind w:right="-20" w:firstLine="420" w:firstLineChars="200"/>
        <w:jc w:val="left"/>
        <w:rPr>
          <w:rFonts w:ascii="宋体" w:cs="宋体"/>
          <w:color w:val="auto"/>
          <w:kern w:val="21"/>
          <w:highlight w:val="none"/>
        </w:rPr>
      </w:pPr>
      <w:r>
        <w:rPr>
          <w:rFonts w:hint="eastAsia" w:ascii="宋体" w:cs="宋体"/>
          <w:color w:val="auto"/>
          <w:kern w:val="21"/>
          <w:highlight w:val="none"/>
        </w:rPr>
        <w:t>（1）投标人或投标人主要负责人的近亲属；</w:t>
      </w:r>
    </w:p>
    <w:p>
      <w:pPr>
        <w:spacing w:line="360" w:lineRule="auto"/>
        <w:ind w:right="-20" w:firstLine="420" w:firstLineChars="200"/>
        <w:jc w:val="left"/>
        <w:rPr>
          <w:rFonts w:ascii="宋体" w:cs="宋体"/>
          <w:color w:val="auto"/>
          <w:kern w:val="21"/>
          <w:highlight w:val="none"/>
        </w:rPr>
      </w:pPr>
      <w:r>
        <w:rPr>
          <w:rFonts w:hint="eastAsia" w:ascii="宋体" w:cs="宋体"/>
          <w:color w:val="auto"/>
          <w:kern w:val="21"/>
          <w:highlight w:val="none"/>
        </w:rPr>
        <w:t>（2）项目主管部门或者行政监督部门的人员；</w:t>
      </w:r>
    </w:p>
    <w:p>
      <w:pPr>
        <w:spacing w:line="360" w:lineRule="auto"/>
        <w:ind w:right="-20" w:firstLine="420" w:firstLineChars="200"/>
        <w:jc w:val="left"/>
        <w:rPr>
          <w:rFonts w:ascii="宋体" w:cs="宋体"/>
          <w:color w:val="auto"/>
          <w:kern w:val="21"/>
          <w:highlight w:val="none"/>
        </w:rPr>
      </w:pPr>
      <w:r>
        <w:rPr>
          <w:rFonts w:hint="eastAsia" w:ascii="宋体" w:cs="宋体"/>
          <w:color w:val="auto"/>
          <w:kern w:val="21"/>
          <w:highlight w:val="none"/>
        </w:rPr>
        <w:t>（3）与投标人有经济利益关系，可能影响对投标公正评审的；</w:t>
      </w:r>
    </w:p>
    <w:p>
      <w:pPr>
        <w:spacing w:line="360" w:lineRule="auto"/>
        <w:ind w:right="44" w:firstLine="420" w:firstLineChars="200"/>
        <w:jc w:val="left"/>
        <w:rPr>
          <w:rFonts w:ascii="宋体" w:cs="宋体"/>
          <w:color w:val="auto"/>
          <w:kern w:val="21"/>
          <w:highlight w:val="none"/>
        </w:rPr>
      </w:pPr>
      <w:r>
        <w:rPr>
          <w:rFonts w:hint="eastAsia" w:ascii="宋体" w:cs="宋体"/>
          <w:color w:val="auto"/>
          <w:kern w:val="21"/>
          <w:highlight w:val="none"/>
        </w:rPr>
        <w:t>（4）曾因在招标、评标以及其他与招标投标有关活动中从事违法行为而受过行政处罚或刑事处罚的；</w:t>
      </w:r>
    </w:p>
    <w:p>
      <w:pPr>
        <w:spacing w:line="360" w:lineRule="auto"/>
        <w:ind w:right="-20" w:firstLine="420" w:firstLineChars="200"/>
        <w:jc w:val="left"/>
        <w:rPr>
          <w:rFonts w:ascii="宋体" w:cs="宋体"/>
          <w:color w:val="auto"/>
          <w:kern w:val="21"/>
          <w:highlight w:val="none"/>
        </w:rPr>
      </w:pPr>
      <w:r>
        <w:rPr>
          <w:rFonts w:hint="eastAsia" w:ascii="宋体" w:cs="宋体"/>
          <w:color w:val="auto"/>
          <w:kern w:val="21"/>
          <w:highlight w:val="none"/>
        </w:rPr>
        <w:t>（5）与投标人有其他利害关系。</w:t>
      </w:r>
    </w:p>
    <w:p>
      <w:pPr>
        <w:spacing w:line="360" w:lineRule="auto"/>
        <w:ind w:left="100" w:right="39" w:firstLine="420"/>
        <w:rPr>
          <w:rFonts w:ascii="宋体" w:cs="宋体"/>
          <w:color w:val="auto"/>
          <w:kern w:val="21"/>
          <w:highlight w:val="none"/>
        </w:rPr>
      </w:pPr>
      <w:r>
        <w:rPr>
          <w:rFonts w:hint="eastAsia" w:ascii="宋体" w:cs="宋体"/>
          <w:color w:val="auto"/>
          <w:kern w:val="21"/>
          <w:highlight w:val="none"/>
        </w:rPr>
        <w:t>6.1.3评标过程中，评标委员会成员有回避事由、擅离职守或者因健康等原因不能继续评标的，招标人有权更换。被更换的评标委员会成员作出的评审结论无效，由更换后的评标委员会成员重新进行评审。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ind w:left="237" w:right="-20" w:firstLine="281" w:firstLineChars="100"/>
        <w:jc w:val="left"/>
        <w:outlineLvl w:val="2"/>
        <w:rPr>
          <w:rFonts w:ascii="宋体" w:cs="宋体"/>
          <w:b/>
          <w:bCs/>
          <w:color w:val="auto"/>
          <w:kern w:val="21"/>
          <w:sz w:val="28"/>
          <w:highlight w:val="none"/>
        </w:rPr>
      </w:pPr>
      <w:bookmarkStart w:id="344" w:name="_Toc19268"/>
      <w:bookmarkStart w:id="345" w:name="_Toc24796"/>
      <w:bookmarkStart w:id="346" w:name="_Toc21480"/>
      <w:r>
        <w:rPr>
          <w:rFonts w:hint="eastAsia" w:ascii="宋体" w:cs="宋体"/>
          <w:b/>
          <w:bCs/>
          <w:color w:val="auto"/>
          <w:kern w:val="21"/>
          <w:sz w:val="28"/>
          <w:highlight w:val="none"/>
        </w:rPr>
        <w:t>6.2评标原则</w:t>
      </w:r>
      <w:bookmarkEnd w:id="344"/>
      <w:bookmarkEnd w:id="345"/>
      <w:bookmarkEnd w:id="346"/>
    </w:p>
    <w:p>
      <w:pPr>
        <w:spacing w:line="360" w:lineRule="auto"/>
        <w:ind w:left="520" w:right="-20"/>
        <w:jc w:val="left"/>
        <w:rPr>
          <w:rFonts w:ascii="宋体" w:cs="宋体"/>
          <w:color w:val="auto"/>
          <w:kern w:val="21"/>
          <w:highlight w:val="none"/>
        </w:rPr>
      </w:pPr>
      <w:r>
        <w:rPr>
          <w:rFonts w:hint="eastAsia" w:ascii="宋体" w:cs="宋体"/>
          <w:color w:val="auto"/>
          <w:kern w:val="21"/>
          <w:highlight w:val="none"/>
        </w:rPr>
        <w:t>评标活动遵循公平、公正、科学和择优的原则。</w:t>
      </w:r>
    </w:p>
    <w:p>
      <w:pPr>
        <w:spacing w:line="360" w:lineRule="auto"/>
        <w:ind w:left="237" w:right="-20" w:firstLine="281" w:firstLineChars="100"/>
        <w:jc w:val="left"/>
        <w:outlineLvl w:val="2"/>
        <w:rPr>
          <w:rFonts w:ascii="宋体" w:cs="宋体"/>
          <w:b/>
          <w:bCs/>
          <w:color w:val="auto"/>
          <w:kern w:val="21"/>
          <w:sz w:val="28"/>
          <w:highlight w:val="none"/>
        </w:rPr>
      </w:pPr>
      <w:bookmarkStart w:id="347" w:name="_Toc30660"/>
      <w:bookmarkStart w:id="348" w:name="_Toc10934"/>
      <w:bookmarkStart w:id="349" w:name="_Toc16305"/>
      <w:r>
        <w:rPr>
          <w:rFonts w:hint="eastAsia" w:ascii="宋体" w:cs="宋体"/>
          <w:b/>
          <w:bCs/>
          <w:color w:val="auto"/>
          <w:kern w:val="21"/>
          <w:sz w:val="28"/>
          <w:highlight w:val="none"/>
        </w:rPr>
        <w:t>6.3评标</w:t>
      </w:r>
      <w:bookmarkEnd w:id="347"/>
      <w:bookmarkEnd w:id="348"/>
      <w:bookmarkEnd w:id="349"/>
    </w:p>
    <w:p>
      <w:pPr>
        <w:spacing w:line="360" w:lineRule="auto"/>
        <w:ind w:left="100" w:right="39" w:firstLine="420"/>
        <w:rPr>
          <w:rFonts w:ascii="宋体" w:cs="宋体"/>
          <w:color w:val="auto"/>
          <w:kern w:val="21"/>
          <w:highlight w:val="none"/>
        </w:rPr>
      </w:pPr>
      <w:r>
        <w:rPr>
          <w:rFonts w:hint="eastAsia" w:ascii="宋体" w:cs="宋体"/>
          <w:color w:val="auto"/>
          <w:kern w:val="21"/>
          <w:highlight w:val="none"/>
        </w:rPr>
        <w:t>6.3.1</w:t>
      </w:r>
      <w:r>
        <w:rPr>
          <w:rFonts w:hint="eastAsia" w:ascii="宋体" w:hAnsi="宋体"/>
          <w:color w:val="auto"/>
          <w:highlight w:val="none"/>
        </w:rPr>
        <w:t>评标委员会成员</w:t>
      </w:r>
      <w:r>
        <w:rPr>
          <w:rFonts w:hint="eastAsia" w:ascii="宋体" w:hAnsi="宋体"/>
          <w:color w:val="auto"/>
          <w:highlight w:val="none"/>
          <w:lang w:val="en-US" w:eastAsia="zh-CN"/>
        </w:rPr>
        <w:t>签署附表《评标委员会成员声明》，</w:t>
      </w:r>
      <w:r>
        <w:rPr>
          <w:rFonts w:hint="eastAsia" w:ascii="宋体" w:cs="宋体"/>
          <w:color w:val="auto"/>
          <w:kern w:val="21"/>
          <w:highlight w:val="none"/>
        </w:rPr>
        <w:t>评标委员会按照第三章“评标办法”规定的方法、评审因素、标准和程序对投标文件进行评审。第三章“评标办法”没有规定的方法、评审因素和标准，不作为评标依据。</w:t>
      </w:r>
    </w:p>
    <w:p>
      <w:pPr>
        <w:spacing w:line="360" w:lineRule="auto"/>
        <w:ind w:left="100" w:right="39" w:firstLine="420"/>
        <w:rPr>
          <w:rFonts w:ascii="宋体" w:cs="宋体"/>
          <w:color w:val="auto"/>
          <w:kern w:val="21"/>
          <w:highlight w:val="none"/>
        </w:rPr>
      </w:pPr>
      <w:r>
        <w:rPr>
          <w:rFonts w:hint="eastAsia" w:ascii="宋体" w:cs="宋体"/>
          <w:color w:val="auto"/>
          <w:kern w:val="21"/>
          <w:highlight w:val="none"/>
        </w:rPr>
        <w:t>6.3.2评标完成后，评标委员会应当向招标人提交书面评标报告和中标候选人名单。评标委员会推荐中标候选人的人数见投标人须知前附表。</w:t>
      </w:r>
    </w:p>
    <w:p>
      <w:pPr>
        <w:spacing w:line="360" w:lineRule="auto"/>
        <w:ind w:left="100" w:right="-20"/>
        <w:jc w:val="left"/>
        <w:outlineLvl w:val="1"/>
        <w:rPr>
          <w:rFonts w:ascii="宋体" w:cs="宋体"/>
          <w:b/>
          <w:color w:val="auto"/>
          <w:kern w:val="21"/>
          <w:sz w:val="28"/>
          <w:szCs w:val="28"/>
          <w:highlight w:val="none"/>
        </w:rPr>
      </w:pPr>
      <w:bookmarkStart w:id="350" w:name="_Toc7805"/>
      <w:bookmarkStart w:id="351" w:name="_Toc2583"/>
      <w:bookmarkStart w:id="352" w:name="_Toc15375"/>
      <w:bookmarkStart w:id="353" w:name="_Toc19792"/>
      <w:bookmarkStart w:id="354" w:name="_Toc29648"/>
      <w:bookmarkStart w:id="355" w:name="_Toc13361"/>
      <w:bookmarkStart w:id="356" w:name="_Toc14929"/>
      <w:bookmarkStart w:id="357" w:name="_Toc29116"/>
      <w:bookmarkStart w:id="358" w:name="_Toc15891"/>
      <w:bookmarkStart w:id="359" w:name="_Toc24364"/>
      <w:bookmarkStart w:id="360" w:name="_Toc8840"/>
      <w:bookmarkStart w:id="361" w:name="_Toc25117"/>
      <w:bookmarkStart w:id="362" w:name="_Toc19423"/>
      <w:bookmarkStart w:id="363" w:name="_Toc22404"/>
      <w:bookmarkStart w:id="364" w:name="_Toc3140"/>
      <w:bookmarkStart w:id="365" w:name="_Toc10721"/>
      <w:bookmarkStart w:id="366" w:name="_Toc17505"/>
      <w:bookmarkStart w:id="367" w:name="_Toc20086"/>
      <w:bookmarkStart w:id="368" w:name="_Toc16578"/>
      <w:bookmarkStart w:id="369" w:name="_Toc13150"/>
      <w:r>
        <w:rPr>
          <w:rFonts w:hint="eastAsia" w:ascii="宋体" w:cs="宋体"/>
          <w:b/>
          <w:color w:val="auto"/>
          <w:kern w:val="21"/>
          <w:sz w:val="28"/>
          <w:szCs w:val="28"/>
          <w:highlight w:val="none"/>
        </w:rPr>
        <w:t>7.合同授予</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spacing w:line="360" w:lineRule="auto"/>
        <w:ind w:left="237" w:right="-20" w:firstLine="281" w:firstLineChars="100"/>
        <w:jc w:val="left"/>
        <w:outlineLvl w:val="2"/>
        <w:rPr>
          <w:rFonts w:ascii="宋体" w:cs="宋体"/>
          <w:b/>
          <w:bCs/>
          <w:color w:val="auto"/>
          <w:kern w:val="21"/>
          <w:sz w:val="28"/>
          <w:highlight w:val="none"/>
        </w:rPr>
      </w:pPr>
      <w:bookmarkStart w:id="370" w:name="_Toc19901"/>
      <w:bookmarkStart w:id="371" w:name="_Toc23924"/>
      <w:bookmarkStart w:id="372" w:name="_Toc30494"/>
      <w:r>
        <w:rPr>
          <w:rFonts w:hint="eastAsia" w:ascii="宋体" w:cs="宋体"/>
          <w:b/>
          <w:bCs/>
          <w:color w:val="auto"/>
          <w:kern w:val="21"/>
          <w:sz w:val="28"/>
          <w:highlight w:val="none"/>
        </w:rPr>
        <w:t>7.1中标候选人公示</w:t>
      </w:r>
      <w:bookmarkEnd w:id="370"/>
      <w:bookmarkEnd w:id="371"/>
      <w:bookmarkEnd w:id="372"/>
    </w:p>
    <w:p>
      <w:pPr>
        <w:spacing w:line="360" w:lineRule="auto"/>
        <w:ind w:left="100" w:right="39" w:firstLine="420"/>
        <w:rPr>
          <w:rFonts w:ascii="宋体" w:cs="宋体"/>
          <w:color w:val="auto"/>
          <w:kern w:val="21"/>
          <w:highlight w:val="none"/>
        </w:rPr>
      </w:pPr>
      <w:r>
        <w:rPr>
          <w:rFonts w:hint="eastAsia" w:ascii="宋体" w:cs="宋体"/>
          <w:color w:val="auto"/>
          <w:kern w:val="21"/>
          <w:highlight w:val="none"/>
        </w:rPr>
        <w:t>招标人在收到评标报告之日起 3 日内，按照投标人须知前附表规定的公示媒介和期限公示中标候选人，公示期不得少于 3 天。</w:t>
      </w:r>
    </w:p>
    <w:p>
      <w:pPr>
        <w:spacing w:line="360" w:lineRule="auto"/>
        <w:ind w:left="237" w:right="-20" w:firstLine="281" w:firstLineChars="100"/>
        <w:jc w:val="left"/>
        <w:outlineLvl w:val="2"/>
        <w:rPr>
          <w:rFonts w:ascii="宋体" w:cs="宋体"/>
          <w:b/>
          <w:bCs/>
          <w:color w:val="auto"/>
          <w:kern w:val="21"/>
          <w:sz w:val="28"/>
          <w:highlight w:val="none"/>
        </w:rPr>
      </w:pPr>
      <w:bookmarkStart w:id="373" w:name="_Toc15922"/>
      <w:bookmarkStart w:id="374" w:name="_Toc20648"/>
      <w:bookmarkStart w:id="375" w:name="_Toc13467"/>
      <w:r>
        <w:rPr>
          <w:rFonts w:hint="eastAsia" w:ascii="宋体" w:cs="宋体"/>
          <w:b/>
          <w:bCs/>
          <w:color w:val="auto"/>
          <w:kern w:val="21"/>
          <w:sz w:val="28"/>
          <w:highlight w:val="none"/>
        </w:rPr>
        <w:t>7.2评标结果异议</w:t>
      </w:r>
      <w:bookmarkEnd w:id="373"/>
      <w:bookmarkEnd w:id="374"/>
      <w:bookmarkEnd w:id="375"/>
    </w:p>
    <w:p>
      <w:pPr>
        <w:spacing w:line="360" w:lineRule="auto"/>
        <w:ind w:left="100" w:right="43" w:firstLine="420"/>
        <w:rPr>
          <w:rFonts w:ascii="宋体" w:cs="宋体"/>
          <w:color w:val="auto"/>
          <w:kern w:val="21"/>
          <w:highlight w:val="none"/>
        </w:rPr>
      </w:pPr>
      <w:r>
        <w:rPr>
          <w:rFonts w:hint="eastAsia" w:ascii="宋体" w:cs="宋体"/>
          <w:color w:val="auto"/>
          <w:kern w:val="21"/>
          <w:highlight w:val="none"/>
        </w:rPr>
        <w:t>投标人或者其他利害关系人对评标结果有异议的，应当在中标候选人公示期间提出。招标人将在收到异议之日起 3 日内作出答复；作出答复前，将暂停招标投标活动。</w:t>
      </w:r>
    </w:p>
    <w:p>
      <w:pPr>
        <w:spacing w:line="360" w:lineRule="auto"/>
        <w:ind w:left="237" w:right="-20" w:firstLine="281" w:firstLineChars="100"/>
        <w:jc w:val="left"/>
        <w:outlineLvl w:val="2"/>
        <w:rPr>
          <w:rFonts w:ascii="宋体" w:cs="宋体"/>
          <w:b/>
          <w:bCs/>
          <w:color w:val="auto"/>
          <w:kern w:val="21"/>
          <w:sz w:val="28"/>
          <w:highlight w:val="none"/>
        </w:rPr>
      </w:pPr>
      <w:bookmarkStart w:id="376" w:name="_Toc23513"/>
      <w:bookmarkStart w:id="377" w:name="_Toc17795"/>
      <w:bookmarkStart w:id="378" w:name="_Toc29668"/>
      <w:r>
        <w:rPr>
          <w:rFonts w:hint="eastAsia" w:ascii="宋体" w:cs="宋体"/>
          <w:b/>
          <w:bCs/>
          <w:color w:val="auto"/>
          <w:kern w:val="21"/>
          <w:sz w:val="28"/>
          <w:highlight w:val="none"/>
        </w:rPr>
        <w:t>7.3中标候选人履约能力审查</w:t>
      </w:r>
      <w:bookmarkEnd w:id="376"/>
      <w:bookmarkEnd w:id="377"/>
      <w:bookmarkEnd w:id="378"/>
    </w:p>
    <w:p>
      <w:pPr>
        <w:spacing w:line="360" w:lineRule="auto"/>
        <w:ind w:left="100" w:right="42" w:firstLine="420"/>
        <w:rPr>
          <w:rFonts w:ascii="宋体" w:cs="宋体"/>
          <w:color w:val="auto"/>
          <w:kern w:val="21"/>
          <w:highlight w:val="none"/>
        </w:rPr>
      </w:pPr>
      <w:r>
        <w:rPr>
          <w:rFonts w:hint="eastAsia" w:ascii="宋体" w:cs="宋体"/>
          <w:color w:val="auto"/>
          <w:kern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spacing w:line="360" w:lineRule="auto"/>
        <w:ind w:left="237" w:right="-20" w:firstLine="281" w:firstLineChars="100"/>
        <w:jc w:val="left"/>
        <w:outlineLvl w:val="2"/>
        <w:rPr>
          <w:rFonts w:ascii="宋体" w:cs="宋体"/>
          <w:b/>
          <w:bCs/>
          <w:color w:val="auto"/>
          <w:kern w:val="21"/>
          <w:sz w:val="28"/>
          <w:highlight w:val="none"/>
        </w:rPr>
      </w:pPr>
      <w:bookmarkStart w:id="379" w:name="_Toc13683"/>
      <w:bookmarkStart w:id="380" w:name="_Toc26811"/>
      <w:bookmarkStart w:id="381" w:name="_Toc22990"/>
      <w:r>
        <w:rPr>
          <w:rFonts w:hint="eastAsia" w:ascii="宋体" w:cs="宋体"/>
          <w:b/>
          <w:bCs/>
          <w:color w:val="auto"/>
          <w:kern w:val="21"/>
          <w:sz w:val="28"/>
          <w:highlight w:val="none"/>
        </w:rPr>
        <w:t>7.4定标</w:t>
      </w:r>
      <w:bookmarkEnd w:id="379"/>
      <w:bookmarkEnd w:id="380"/>
      <w:bookmarkEnd w:id="381"/>
    </w:p>
    <w:p>
      <w:pPr>
        <w:spacing w:line="360" w:lineRule="auto"/>
        <w:ind w:left="520" w:right="-20"/>
        <w:jc w:val="left"/>
        <w:rPr>
          <w:rFonts w:ascii="宋体" w:cs="宋体"/>
          <w:color w:val="auto"/>
          <w:kern w:val="21"/>
          <w:highlight w:val="none"/>
        </w:rPr>
      </w:pPr>
      <w:r>
        <w:rPr>
          <w:rFonts w:hint="eastAsia" w:ascii="宋体" w:cs="宋体"/>
          <w:color w:val="auto"/>
          <w:kern w:val="21"/>
          <w:highlight w:val="none"/>
        </w:rPr>
        <w:t>按照投标人须知前附表的规定，招标人或招标人授权的评标委员会依法确定中标人。</w:t>
      </w:r>
    </w:p>
    <w:p>
      <w:pPr>
        <w:spacing w:line="360" w:lineRule="auto"/>
        <w:ind w:left="237" w:right="-20" w:firstLine="281" w:firstLineChars="100"/>
        <w:jc w:val="left"/>
        <w:outlineLvl w:val="2"/>
        <w:rPr>
          <w:rFonts w:ascii="宋体" w:cs="宋体"/>
          <w:b/>
          <w:bCs/>
          <w:color w:val="auto"/>
          <w:kern w:val="21"/>
          <w:sz w:val="28"/>
          <w:highlight w:val="none"/>
        </w:rPr>
      </w:pPr>
      <w:bookmarkStart w:id="382" w:name="_Toc12129"/>
      <w:bookmarkStart w:id="383" w:name="_Toc3204"/>
      <w:bookmarkStart w:id="384" w:name="_Toc25629"/>
      <w:r>
        <w:rPr>
          <w:rFonts w:hint="eastAsia" w:ascii="宋体" w:cs="宋体"/>
          <w:b/>
          <w:bCs/>
          <w:color w:val="auto"/>
          <w:kern w:val="21"/>
          <w:sz w:val="28"/>
          <w:highlight w:val="none"/>
        </w:rPr>
        <w:t>7.5中标通知</w:t>
      </w:r>
      <w:bookmarkEnd w:id="382"/>
      <w:bookmarkEnd w:id="383"/>
      <w:bookmarkEnd w:id="384"/>
    </w:p>
    <w:p>
      <w:pPr>
        <w:spacing w:line="360" w:lineRule="auto"/>
        <w:ind w:left="100" w:right="39" w:firstLine="420"/>
        <w:rPr>
          <w:rFonts w:ascii="宋体" w:cs="宋体"/>
          <w:color w:val="auto"/>
          <w:kern w:val="21"/>
          <w:highlight w:val="none"/>
        </w:rPr>
      </w:pPr>
      <w:r>
        <w:rPr>
          <w:rFonts w:hint="eastAsia" w:ascii="宋体" w:cs="宋体"/>
          <w:color w:val="auto"/>
          <w:kern w:val="21"/>
          <w:highlight w:val="none"/>
        </w:rPr>
        <w:t>在本章第 3.3 款规定的投标有效期内，中标人自行于</w:t>
      </w:r>
      <w:r>
        <w:rPr>
          <w:rFonts w:hint="eastAsia" w:ascii="宋体" w:cs="宋体"/>
          <w:color w:val="auto"/>
          <w:kern w:val="21"/>
          <w:highlight w:val="none"/>
          <w:lang w:eastAsia="zh-CN"/>
        </w:rPr>
        <w:t>广州交易集团有限公司（广州公共资源交易中心）</w:t>
      </w:r>
      <w:r>
        <w:rPr>
          <w:rFonts w:hint="eastAsia" w:ascii="宋体" w:cs="宋体"/>
          <w:color w:val="auto"/>
          <w:kern w:val="21"/>
          <w:highlight w:val="none"/>
        </w:rPr>
        <w:t>交易平台下载中标通知书，同时招标人将中标结果通过</w:t>
      </w:r>
      <w:r>
        <w:rPr>
          <w:rFonts w:hint="eastAsia" w:ascii="宋体" w:cs="宋体"/>
          <w:color w:val="auto"/>
          <w:kern w:val="21"/>
          <w:highlight w:val="none"/>
          <w:lang w:eastAsia="zh-CN"/>
        </w:rPr>
        <w:t>广州交易集团有限公司（广州公共资源交易中心）</w:t>
      </w:r>
      <w:r>
        <w:rPr>
          <w:rFonts w:hint="eastAsia" w:ascii="宋体" w:cs="宋体"/>
          <w:color w:val="auto"/>
          <w:kern w:val="21"/>
          <w:highlight w:val="none"/>
        </w:rPr>
        <w:t>交易平台公开发布。中标人须对其投标文件真实性负责，并准备投标文件涉及的所有原件待查，如存在弄虚作假情况或原件不齐或与原件不符的，招标人有权取消其中标人资格，并上报建设行政主管部门。</w:t>
      </w:r>
    </w:p>
    <w:p>
      <w:pPr>
        <w:spacing w:line="360" w:lineRule="auto"/>
        <w:ind w:left="237" w:right="-20" w:firstLine="281" w:firstLineChars="100"/>
        <w:jc w:val="left"/>
        <w:outlineLvl w:val="2"/>
        <w:rPr>
          <w:rFonts w:ascii="宋体" w:cs="宋体"/>
          <w:b/>
          <w:bCs/>
          <w:color w:val="auto"/>
          <w:kern w:val="21"/>
          <w:sz w:val="28"/>
          <w:highlight w:val="none"/>
        </w:rPr>
      </w:pPr>
      <w:bookmarkStart w:id="385" w:name="_Toc30499"/>
      <w:bookmarkStart w:id="386" w:name="_Toc26974"/>
      <w:bookmarkStart w:id="387" w:name="_Toc3348"/>
      <w:r>
        <w:rPr>
          <w:rFonts w:hint="eastAsia" w:ascii="宋体" w:cs="宋体"/>
          <w:b/>
          <w:bCs/>
          <w:color w:val="auto"/>
          <w:kern w:val="21"/>
          <w:sz w:val="28"/>
          <w:highlight w:val="none"/>
        </w:rPr>
        <w:t>7.6履约保证金</w:t>
      </w:r>
      <w:bookmarkEnd w:id="385"/>
      <w:bookmarkEnd w:id="386"/>
      <w:bookmarkEnd w:id="387"/>
    </w:p>
    <w:p>
      <w:pPr>
        <w:spacing w:line="360" w:lineRule="auto"/>
        <w:ind w:right="-20" w:firstLine="420" w:firstLineChars="200"/>
        <w:jc w:val="left"/>
        <w:rPr>
          <w:rFonts w:ascii="宋体" w:cs="宋体"/>
          <w:color w:val="auto"/>
          <w:kern w:val="21"/>
          <w:highlight w:val="none"/>
        </w:rPr>
      </w:pPr>
      <w:r>
        <w:rPr>
          <w:rFonts w:hint="eastAsia" w:ascii="宋体" w:cs="宋体"/>
          <w:color w:val="auto"/>
          <w:kern w:val="21"/>
          <w:highlight w:val="none"/>
        </w:rPr>
        <w:t>7.6.1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pPr>
        <w:spacing w:line="360" w:lineRule="auto"/>
        <w:ind w:left="100" w:right="139" w:firstLine="420"/>
        <w:rPr>
          <w:rFonts w:ascii="宋体" w:cs="宋体"/>
          <w:color w:val="auto"/>
          <w:kern w:val="21"/>
          <w:highlight w:val="none"/>
        </w:rPr>
      </w:pPr>
      <w:r>
        <w:rPr>
          <w:rFonts w:hint="eastAsia" w:ascii="宋体" w:cs="宋体"/>
          <w:color w:val="auto"/>
          <w:kern w:val="21"/>
          <w:highlight w:val="none"/>
        </w:rPr>
        <w:t>7.6.2中标人不能按本章第 7.6.1 项要求提交履约保证金的，视为放弃中标，其投标保证金不予退还，给招标人造成的损失超过投标保证金数额的，中标人还应当对超过部分予以赔偿。</w:t>
      </w:r>
    </w:p>
    <w:p>
      <w:pPr>
        <w:spacing w:line="360" w:lineRule="auto"/>
        <w:ind w:left="237" w:right="-20" w:firstLine="281" w:firstLineChars="100"/>
        <w:jc w:val="left"/>
        <w:outlineLvl w:val="2"/>
        <w:rPr>
          <w:rFonts w:ascii="宋体" w:cs="宋体"/>
          <w:b/>
          <w:bCs/>
          <w:color w:val="auto"/>
          <w:kern w:val="21"/>
          <w:sz w:val="28"/>
          <w:highlight w:val="none"/>
        </w:rPr>
      </w:pPr>
      <w:bookmarkStart w:id="388" w:name="_Toc9727"/>
      <w:bookmarkStart w:id="389" w:name="_Toc16336"/>
      <w:bookmarkStart w:id="390" w:name="_Toc27438"/>
      <w:r>
        <w:rPr>
          <w:rFonts w:hint="eastAsia" w:ascii="宋体" w:cs="宋体"/>
          <w:b/>
          <w:bCs/>
          <w:color w:val="auto"/>
          <w:kern w:val="21"/>
          <w:sz w:val="28"/>
          <w:highlight w:val="none"/>
        </w:rPr>
        <w:t>7.7签订合同</w:t>
      </w:r>
      <w:bookmarkEnd w:id="388"/>
      <w:bookmarkEnd w:id="389"/>
      <w:bookmarkEnd w:id="390"/>
    </w:p>
    <w:p>
      <w:pPr>
        <w:spacing w:line="360" w:lineRule="auto"/>
        <w:ind w:left="100" w:right="139" w:firstLine="420"/>
        <w:rPr>
          <w:rFonts w:ascii="宋体" w:cs="宋体"/>
          <w:color w:val="auto"/>
          <w:kern w:val="21"/>
          <w:highlight w:val="none"/>
        </w:rPr>
      </w:pPr>
      <w:r>
        <w:rPr>
          <w:rFonts w:hint="eastAsia" w:ascii="宋体" w:cs="宋体"/>
          <w:color w:val="auto"/>
          <w:kern w:val="21"/>
          <w:highlight w:val="none"/>
        </w:rPr>
        <w:t>7.7.1招标人和中标人应当在中标通知书发出之日起 30 日内，根据招标文件和中标人的投标文件订立书面合同。中标人无正当理由拒签合同，</w:t>
      </w:r>
      <w:r>
        <w:rPr>
          <w:rFonts w:hint="eastAsia" w:ascii="宋体" w:cs="宋体"/>
          <w:color w:val="auto"/>
          <w:kern w:val="21"/>
          <w:highlight w:val="none"/>
          <w:lang w:val="en-US" w:eastAsia="zh-CN"/>
        </w:rPr>
        <w:t>或</w:t>
      </w:r>
      <w:r>
        <w:rPr>
          <w:rFonts w:hint="eastAsia" w:ascii="宋体" w:cs="宋体"/>
          <w:color w:val="auto"/>
          <w:kern w:val="21"/>
          <w:highlight w:val="none"/>
        </w:rPr>
        <w:t>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left="100" w:right="139" w:firstLine="420"/>
        <w:rPr>
          <w:rFonts w:ascii="宋体" w:cs="宋体"/>
          <w:color w:val="auto"/>
          <w:kern w:val="21"/>
          <w:highlight w:val="none"/>
        </w:rPr>
      </w:pPr>
      <w:r>
        <w:rPr>
          <w:rFonts w:hint="eastAsia" w:ascii="宋体" w:cs="宋体"/>
          <w:color w:val="auto"/>
          <w:kern w:val="21"/>
          <w:highlight w:val="none"/>
        </w:rPr>
        <w:t>7.7.2发出中标通知书后，招标人无正当理由拒签合同，或者在签订合同时向中标人提出附加条件的，招标人向中标人退还投标保证金；给中标人造成损失的，还应当赔偿损失。</w:t>
      </w:r>
    </w:p>
    <w:p>
      <w:pPr>
        <w:spacing w:line="348" w:lineRule="auto"/>
        <w:ind w:left="100" w:right="139" w:firstLine="420"/>
        <w:rPr>
          <w:rFonts w:ascii="宋体" w:cs="宋体"/>
          <w:color w:val="auto"/>
          <w:kern w:val="21"/>
          <w:highlight w:val="none"/>
        </w:rPr>
      </w:pPr>
      <w:r>
        <w:rPr>
          <w:rFonts w:hint="eastAsia" w:ascii="宋体" w:cs="宋体"/>
          <w:color w:val="auto"/>
          <w:kern w:val="21"/>
          <w:highlight w:val="none"/>
        </w:rPr>
        <w:t>7.7.3联合体中标的，联合体各方应当共同与招标人签订合同，就中标项目向招标人承担连带责任。</w:t>
      </w:r>
    </w:p>
    <w:p>
      <w:pPr>
        <w:spacing w:line="360" w:lineRule="auto"/>
        <w:ind w:left="100" w:right="-20" w:firstLine="281" w:firstLineChars="100"/>
        <w:jc w:val="left"/>
        <w:outlineLvl w:val="1"/>
        <w:rPr>
          <w:rFonts w:ascii="宋体" w:cs="宋体"/>
          <w:b/>
          <w:color w:val="auto"/>
          <w:kern w:val="21"/>
          <w:sz w:val="28"/>
          <w:szCs w:val="28"/>
          <w:highlight w:val="none"/>
        </w:rPr>
      </w:pPr>
      <w:bookmarkStart w:id="391" w:name="_Toc20173"/>
      <w:bookmarkStart w:id="392" w:name="_Toc19446"/>
      <w:bookmarkStart w:id="393" w:name="_Toc23354"/>
      <w:bookmarkStart w:id="394" w:name="_Toc3077"/>
      <w:bookmarkStart w:id="395" w:name="_Toc7514"/>
      <w:bookmarkStart w:id="396" w:name="_Toc2296"/>
      <w:bookmarkStart w:id="397" w:name="_Toc1232"/>
      <w:bookmarkStart w:id="398" w:name="_Toc23855"/>
      <w:bookmarkStart w:id="399" w:name="_Toc32442"/>
      <w:bookmarkStart w:id="400" w:name="_Toc4551"/>
      <w:bookmarkStart w:id="401" w:name="_Toc9468"/>
      <w:bookmarkStart w:id="402" w:name="_Toc31750"/>
      <w:bookmarkStart w:id="403" w:name="_Toc18550"/>
      <w:bookmarkStart w:id="404" w:name="_Toc14835"/>
      <w:bookmarkStart w:id="405" w:name="_Toc11025"/>
      <w:bookmarkStart w:id="406" w:name="_Toc16148"/>
      <w:bookmarkStart w:id="407" w:name="_Toc13200"/>
      <w:bookmarkStart w:id="408" w:name="_Toc14285"/>
      <w:bookmarkStart w:id="409" w:name="_Toc14269"/>
      <w:bookmarkStart w:id="410" w:name="_Toc3249"/>
      <w:r>
        <w:rPr>
          <w:rFonts w:hint="eastAsia" w:ascii="宋体" w:cs="宋体"/>
          <w:b/>
          <w:color w:val="auto"/>
          <w:kern w:val="21"/>
          <w:sz w:val="28"/>
          <w:szCs w:val="28"/>
          <w:highlight w:val="none"/>
        </w:rPr>
        <w:t>8.纪律和监督</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spacing w:line="348" w:lineRule="auto"/>
        <w:ind w:left="237" w:right="-20" w:firstLine="281" w:firstLineChars="100"/>
        <w:jc w:val="left"/>
        <w:outlineLvl w:val="2"/>
        <w:rPr>
          <w:rFonts w:ascii="宋体" w:cs="宋体"/>
          <w:b/>
          <w:bCs/>
          <w:color w:val="auto"/>
          <w:kern w:val="21"/>
          <w:sz w:val="28"/>
          <w:highlight w:val="none"/>
        </w:rPr>
      </w:pPr>
      <w:bookmarkStart w:id="411" w:name="_Toc31524"/>
      <w:bookmarkStart w:id="412" w:name="_Toc10170"/>
      <w:bookmarkStart w:id="413" w:name="_Toc29233"/>
      <w:r>
        <w:rPr>
          <w:rFonts w:hint="eastAsia" w:ascii="宋体" w:cs="宋体"/>
          <w:b/>
          <w:bCs/>
          <w:color w:val="auto"/>
          <w:kern w:val="21"/>
          <w:sz w:val="28"/>
          <w:highlight w:val="none"/>
        </w:rPr>
        <w:t>8.1对招标人的纪律要求</w:t>
      </w:r>
      <w:bookmarkEnd w:id="411"/>
      <w:bookmarkEnd w:id="412"/>
      <w:bookmarkEnd w:id="413"/>
    </w:p>
    <w:p>
      <w:pPr>
        <w:spacing w:line="348" w:lineRule="auto"/>
        <w:ind w:left="100" w:right="34" w:firstLine="420"/>
        <w:jc w:val="left"/>
        <w:rPr>
          <w:rFonts w:ascii="宋体" w:cs="宋体"/>
          <w:color w:val="auto"/>
          <w:kern w:val="21"/>
          <w:highlight w:val="none"/>
        </w:rPr>
      </w:pPr>
      <w:r>
        <w:rPr>
          <w:rFonts w:hint="eastAsia" w:ascii="宋体" w:cs="宋体"/>
          <w:color w:val="auto"/>
          <w:kern w:val="21"/>
          <w:highlight w:val="none"/>
        </w:rPr>
        <w:t>招标人不得泄露招标投标活动中应当保密的情况和资料，不得与投标人串通损害国家利益、社会公共利益或者他人合法权益。</w:t>
      </w:r>
    </w:p>
    <w:p>
      <w:pPr>
        <w:spacing w:line="348" w:lineRule="auto"/>
        <w:ind w:left="237" w:right="-20" w:firstLine="281" w:firstLineChars="100"/>
        <w:jc w:val="left"/>
        <w:outlineLvl w:val="2"/>
        <w:rPr>
          <w:rFonts w:ascii="宋体" w:cs="宋体"/>
          <w:b/>
          <w:bCs/>
          <w:color w:val="auto"/>
          <w:kern w:val="21"/>
          <w:sz w:val="28"/>
          <w:highlight w:val="none"/>
        </w:rPr>
      </w:pPr>
      <w:bookmarkStart w:id="414" w:name="_Toc21212"/>
      <w:bookmarkStart w:id="415" w:name="_Toc4857"/>
      <w:bookmarkStart w:id="416" w:name="_Toc14249"/>
      <w:r>
        <w:rPr>
          <w:rFonts w:hint="eastAsia" w:ascii="宋体" w:cs="宋体"/>
          <w:b/>
          <w:bCs/>
          <w:color w:val="auto"/>
          <w:kern w:val="21"/>
          <w:sz w:val="28"/>
          <w:highlight w:val="none"/>
        </w:rPr>
        <w:t>8.2对投标人的纪律要求</w:t>
      </w:r>
      <w:bookmarkEnd w:id="414"/>
      <w:bookmarkEnd w:id="415"/>
      <w:bookmarkEnd w:id="416"/>
    </w:p>
    <w:p>
      <w:pPr>
        <w:spacing w:line="348" w:lineRule="auto"/>
        <w:ind w:left="100" w:right="142" w:firstLine="420"/>
        <w:rPr>
          <w:rFonts w:ascii="宋体" w:cs="宋体"/>
          <w:color w:val="auto"/>
          <w:kern w:val="21"/>
          <w:highlight w:val="none"/>
        </w:rPr>
      </w:pPr>
      <w:r>
        <w:rPr>
          <w:rFonts w:hint="eastAsia" w:ascii="宋体" w:cs="宋体"/>
          <w:color w:val="auto"/>
          <w:kern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48" w:lineRule="auto"/>
        <w:ind w:left="237" w:right="-20" w:firstLine="281" w:firstLineChars="100"/>
        <w:jc w:val="left"/>
        <w:outlineLvl w:val="2"/>
        <w:rPr>
          <w:rFonts w:ascii="宋体" w:cs="宋体"/>
          <w:b/>
          <w:bCs/>
          <w:color w:val="auto"/>
          <w:kern w:val="21"/>
          <w:sz w:val="28"/>
          <w:highlight w:val="none"/>
        </w:rPr>
      </w:pPr>
      <w:bookmarkStart w:id="417" w:name="_Toc23583"/>
      <w:bookmarkStart w:id="418" w:name="_Toc11256"/>
      <w:bookmarkStart w:id="419" w:name="_Toc23480"/>
      <w:r>
        <w:rPr>
          <w:rFonts w:hint="eastAsia" w:ascii="宋体" w:cs="宋体"/>
          <w:b/>
          <w:bCs/>
          <w:color w:val="auto"/>
          <w:kern w:val="21"/>
          <w:sz w:val="28"/>
          <w:highlight w:val="none"/>
        </w:rPr>
        <w:t>8.3对评标委员会成员的纪律要求</w:t>
      </w:r>
      <w:bookmarkEnd w:id="417"/>
      <w:bookmarkEnd w:id="418"/>
      <w:bookmarkEnd w:id="419"/>
    </w:p>
    <w:p>
      <w:pPr>
        <w:spacing w:line="348" w:lineRule="auto"/>
        <w:ind w:left="100" w:right="-20" w:firstLine="420" w:firstLineChars="200"/>
        <w:jc w:val="left"/>
        <w:rPr>
          <w:rFonts w:ascii="宋体" w:cs="宋体"/>
          <w:color w:val="auto"/>
          <w:kern w:val="21"/>
          <w:highlight w:val="none"/>
        </w:rPr>
      </w:pPr>
      <w:r>
        <w:rPr>
          <w:rFonts w:hint="eastAsia" w:ascii="宋体" w:cs="宋体"/>
          <w:color w:val="auto"/>
          <w:kern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348" w:lineRule="auto"/>
        <w:ind w:left="237" w:right="-20" w:firstLine="281" w:firstLineChars="100"/>
        <w:jc w:val="left"/>
        <w:outlineLvl w:val="2"/>
        <w:rPr>
          <w:rFonts w:ascii="宋体" w:cs="宋体"/>
          <w:b/>
          <w:bCs/>
          <w:color w:val="auto"/>
          <w:kern w:val="21"/>
          <w:sz w:val="28"/>
          <w:highlight w:val="none"/>
        </w:rPr>
      </w:pPr>
      <w:bookmarkStart w:id="420" w:name="_Toc3482"/>
      <w:bookmarkStart w:id="421" w:name="_Toc27852"/>
      <w:bookmarkStart w:id="422" w:name="_Toc8551"/>
      <w:r>
        <w:rPr>
          <w:rFonts w:hint="eastAsia" w:ascii="宋体" w:cs="宋体"/>
          <w:b/>
          <w:bCs/>
          <w:color w:val="auto"/>
          <w:kern w:val="21"/>
          <w:sz w:val="28"/>
          <w:highlight w:val="none"/>
        </w:rPr>
        <w:t>8.4对与评标活动有关的工作人员的纪律要求</w:t>
      </w:r>
      <w:bookmarkEnd w:id="420"/>
      <w:bookmarkEnd w:id="421"/>
      <w:bookmarkEnd w:id="422"/>
    </w:p>
    <w:p>
      <w:pPr>
        <w:spacing w:line="348" w:lineRule="auto"/>
        <w:ind w:left="100" w:right="42" w:firstLine="420"/>
        <w:rPr>
          <w:rFonts w:ascii="宋体" w:cs="宋体"/>
          <w:color w:val="auto"/>
          <w:kern w:val="21"/>
          <w:highlight w:val="none"/>
        </w:rPr>
      </w:pPr>
      <w:r>
        <w:rPr>
          <w:rFonts w:hint="eastAsia" w:ascii="宋体" w:cs="宋体"/>
          <w:color w:val="auto"/>
          <w:kern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48" w:lineRule="auto"/>
        <w:ind w:left="237" w:right="-20" w:firstLine="281" w:firstLineChars="100"/>
        <w:jc w:val="left"/>
        <w:outlineLvl w:val="2"/>
        <w:rPr>
          <w:rFonts w:ascii="宋体" w:cs="宋体"/>
          <w:b/>
          <w:bCs/>
          <w:color w:val="auto"/>
          <w:kern w:val="21"/>
          <w:sz w:val="28"/>
          <w:highlight w:val="none"/>
        </w:rPr>
      </w:pPr>
      <w:bookmarkStart w:id="423" w:name="_Toc29388"/>
      <w:bookmarkStart w:id="424" w:name="_Toc19716"/>
      <w:bookmarkStart w:id="425" w:name="_Toc21957"/>
      <w:r>
        <w:rPr>
          <w:rFonts w:hint="eastAsia" w:ascii="宋体" w:cs="宋体"/>
          <w:b/>
          <w:bCs/>
          <w:color w:val="auto"/>
          <w:kern w:val="21"/>
          <w:sz w:val="28"/>
          <w:highlight w:val="none"/>
        </w:rPr>
        <w:t>8.5投诉</w:t>
      </w:r>
      <w:bookmarkEnd w:id="423"/>
      <w:bookmarkEnd w:id="424"/>
      <w:bookmarkEnd w:id="425"/>
    </w:p>
    <w:p>
      <w:pPr>
        <w:spacing w:line="348" w:lineRule="auto"/>
        <w:ind w:left="100" w:right="42" w:firstLine="420"/>
        <w:rPr>
          <w:rFonts w:ascii="宋体" w:cs="宋体"/>
          <w:color w:val="auto"/>
          <w:kern w:val="21"/>
          <w:highlight w:val="none"/>
        </w:rPr>
      </w:pPr>
      <w:r>
        <w:rPr>
          <w:rFonts w:hint="eastAsia" w:ascii="宋体" w:cs="宋体"/>
          <w:color w:val="auto"/>
          <w:kern w:val="21"/>
          <w:highlight w:val="none"/>
        </w:rPr>
        <w:t>8.5.1投标人或者其他利害关系人认为招标投标活动不符合法律、行政法规规定的，可以自知道或者应当知道之日起10日内向有关行政监督部门投诉。投诉应当有明确的请求和必要的证明材料。</w:t>
      </w:r>
    </w:p>
    <w:p>
      <w:pPr>
        <w:spacing w:line="348" w:lineRule="auto"/>
        <w:ind w:left="100" w:right="41" w:firstLine="420"/>
        <w:rPr>
          <w:rFonts w:ascii="宋体" w:cs="宋体"/>
          <w:color w:val="auto"/>
          <w:kern w:val="21"/>
          <w:highlight w:val="none"/>
        </w:rPr>
      </w:pPr>
      <w:r>
        <w:rPr>
          <w:rFonts w:hint="eastAsia" w:ascii="宋体" w:cs="宋体"/>
          <w:color w:val="auto"/>
          <w:kern w:val="21"/>
          <w:highlight w:val="none"/>
        </w:rPr>
        <w:t>8.5.2投标人或者其他利害关系人对招标文件、开标和评标结果提出投诉的，应当按照投标人须知第 2.4 款、第 5.3 款和第 7.2 款的规定先向招标人提出异议。异议答复期间不计算在第 8.5.1 项规定的期限内。</w:t>
      </w:r>
    </w:p>
    <w:p>
      <w:pPr>
        <w:spacing w:line="360" w:lineRule="auto"/>
        <w:ind w:left="100" w:right="-20" w:firstLine="281" w:firstLineChars="100"/>
        <w:jc w:val="left"/>
        <w:outlineLvl w:val="1"/>
        <w:rPr>
          <w:rFonts w:ascii="宋体" w:cs="宋体"/>
          <w:b/>
          <w:color w:val="auto"/>
          <w:kern w:val="21"/>
          <w:sz w:val="28"/>
          <w:szCs w:val="28"/>
          <w:highlight w:val="none"/>
        </w:rPr>
      </w:pPr>
      <w:bookmarkStart w:id="426" w:name="_Toc32078"/>
      <w:bookmarkStart w:id="427" w:name="_Toc17964"/>
      <w:bookmarkStart w:id="428" w:name="_Toc31715"/>
      <w:bookmarkStart w:id="429" w:name="_Toc5272"/>
      <w:bookmarkStart w:id="430" w:name="_Toc14025"/>
      <w:bookmarkStart w:id="431" w:name="_Toc32478"/>
      <w:bookmarkStart w:id="432" w:name="_Toc5129"/>
      <w:bookmarkStart w:id="433" w:name="_Toc23499"/>
      <w:bookmarkStart w:id="434" w:name="_Toc19276"/>
      <w:bookmarkStart w:id="435" w:name="_Toc25187"/>
      <w:bookmarkStart w:id="436" w:name="_Toc10260"/>
      <w:bookmarkStart w:id="437" w:name="_Toc14887"/>
      <w:bookmarkStart w:id="438" w:name="_Toc24333"/>
      <w:bookmarkStart w:id="439" w:name="_Toc8986"/>
      <w:bookmarkStart w:id="440" w:name="_Toc23692"/>
      <w:bookmarkStart w:id="441" w:name="_Toc2193"/>
      <w:bookmarkStart w:id="442" w:name="_Toc28791"/>
      <w:bookmarkStart w:id="443" w:name="_Toc16517"/>
      <w:bookmarkStart w:id="444" w:name="_Toc27042"/>
      <w:bookmarkStart w:id="445" w:name="_Toc15926"/>
      <w:r>
        <w:rPr>
          <w:rFonts w:hint="eastAsia" w:ascii="宋体" w:cs="宋体"/>
          <w:b/>
          <w:color w:val="auto"/>
          <w:kern w:val="21"/>
          <w:sz w:val="28"/>
          <w:szCs w:val="28"/>
          <w:highlight w:val="none"/>
        </w:rPr>
        <w:t>9.是否采用电子招标投标</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spacing w:line="348" w:lineRule="auto"/>
        <w:ind w:left="520" w:right="-20"/>
        <w:jc w:val="left"/>
        <w:rPr>
          <w:rFonts w:ascii="宋体" w:cs="宋体"/>
          <w:color w:val="auto"/>
          <w:kern w:val="21"/>
          <w:highlight w:val="none"/>
        </w:rPr>
      </w:pPr>
      <w:r>
        <w:rPr>
          <w:rFonts w:hint="eastAsia" w:ascii="宋体" w:cs="宋体"/>
          <w:color w:val="auto"/>
          <w:kern w:val="21"/>
          <w:highlight w:val="none"/>
        </w:rPr>
        <w:t>本招标项目是否采用电子招标投标方式，见投标人须知前附表。</w:t>
      </w:r>
    </w:p>
    <w:p>
      <w:pPr>
        <w:spacing w:line="360" w:lineRule="auto"/>
        <w:ind w:left="100" w:right="-20" w:firstLine="281" w:firstLineChars="100"/>
        <w:jc w:val="left"/>
        <w:outlineLvl w:val="1"/>
        <w:rPr>
          <w:rFonts w:ascii="宋体" w:cs="宋体"/>
          <w:b/>
          <w:color w:val="auto"/>
          <w:kern w:val="21"/>
          <w:sz w:val="28"/>
          <w:szCs w:val="28"/>
          <w:highlight w:val="none"/>
        </w:rPr>
      </w:pPr>
      <w:bookmarkStart w:id="446" w:name="_Toc4976"/>
      <w:bookmarkStart w:id="447" w:name="_Toc31872"/>
      <w:bookmarkStart w:id="448" w:name="_Toc11965"/>
      <w:bookmarkStart w:id="449" w:name="_Toc4181"/>
      <w:bookmarkStart w:id="450" w:name="_Toc15334"/>
      <w:bookmarkStart w:id="451" w:name="_Toc23482"/>
      <w:bookmarkStart w:id="452" w:name="_Toc24045"/>
      <w:bookmarkStart w:id="453" w:name="_Toc24702"/>
      <w:bookmarkStart w:id="454" w:name="_Toc5878"/>
      <w:bookmarkStart w:id="455" w:name="_Toc25106"/>
      <w:bookmarkStart w:id="456" w:name="_Toc1488"/>
      <w:bookmarkStart w:id="457" w:name="_Toc22817"/>
      <w:bookmarkStart w:id="458" w:name="_Toc10896"/>
      <w:bookmarkStart w:id="459" w:name="_Toc29351"/>
      <w:bookmarkStart w:id="460" w:name="_Toc29981"/>
      <w:bookmarkStart w:id="461" w:name="_Toc1061"/>
      <w:bookmarkStart w:id="462" w:name="_Toc16086"/>
      <w:bookmarkStart w:id="463" w:name="_Toc19612"/>
      <w:bookmarkStart w:id="464" w:name="_Toc2867"/>
      <w:bookmarkStart w:id="465" w:name="_Toc17225"/>
      <w:r>
        <w:rPr>
          <w:rFonts w:hint="eastAsia" w:ascii="宋体" w:cs="宋体"/>
          <w:b/>
          <w:color w:val="auto"/>
          <w:kern w:val="21"/>
          <w:sz w:val="28"/>
          <w:szCs w:val="28"/>
          <w:highlight w:val="none"/>
        </w:rPr>
        <w:t>10.需要补充的其他内容</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pPr>
        <w:spacing w:line="360" w:lineRule="auto"/>
        <w:ind w:left="520" w:right="-20"/>
        <w:jc w:val="left"/>
        <w:rPr>
          <w:rFonts w:ascii="宋体" w:hAnsi="宋体"/>
          <w:color w:val="auto"/>
          <w:highlight w:val="none"/>
        </w:rPr>
      </w:pPr>
      <w:r>
        <w:rPr>
          <w:rFonts w:ascii="宋体" w:hAnsi="宋体"/>
          <w:color w:val="auto"/>
          <w:highlight w:val="none"/>
        </w:rPr>
        <w:t>需要</w:t>
      </w:r>
      <w:r>
        <w:rPr>
          <w:rFonts w:ascii="宋体" w:hAnsi="宋体"/>
          <w:color w:val="auto"/>
          <w:spacing w:val="-2"/>
          <w:highlight w:val="none"/>
        </w:rPr>
        <w:t>补</w:t>
      </w:r>
      <w:r>
        <w:rPr>
          <w:rFonts w:ascii="宋体" w:hAnsi="宋体"/>
          <w:color w:val="auto"/>
          <w:highlight w:val="none"/>
        </w:rPr>
        <w:t>充</w:t>
      </w:r>
      <w:r>
        <w:rPr>
          <w:rFonts w:ascii="宋体" w:hAnsi="宋体"/>
          <w:color w:val="auto"/>
          <w:spacing w:val="-2"/>
          <w:highlight w:val="none"/>
        </w:rPr>
        <w:t>的</w:t>
      </w:r>
      <w:r>
        <w:rPr>
          <w:rFonts w:ascii="宋体" w:hAnsi="宋体"/>
          <w:color w:val="auto"/>
          <w:highlight w:val="none"/>
        </w:rPr>
        <w:t>其</w:t>
      </w:r>
      <w:r>
        <w:rPr>
          <w:rFonts w:ascii="宋体" w:hAnsi="宋体"/>
          <w:color w:val="auto"/>
          <w:spacing w:val="-2"/>
          <w:highlight w:val="none"/>
        </w:rPr>
        <w:t>他</w:t>
      </w:r>
      <w:r>
        <w:rPr>
          <w:rFonts w:ascii="宋体" w:hAnsi="宋体"/>
          <w:color w:val="auto"/>
          <w:highlight w:val="none"/>
        </w:rPr>
        <w:t>内</w:t>
      </w:r>
      <w:r>
        <w:rPr>
          <w:rFonts w:ascii="宋体" w:hAnsi="宋体"/>
          <w:color w:val="auto"/>
          <w:spacing w:val="-2"/>
          <w:highlight w:val="none"/>
        </w:rPr>
        <w:t>容</w:t>
      </w:r>
      <w:r>
        <w:rPr>
          <w:rFonts w:ascii="宋体" w:hAnsi="宋体"/>
          <w:color w:val="auto"/>
          <w:highlight w:val="none"/>
        </w:rPr>
        <w:t>：</w:t>
      </w:r>
      <w:r>
        <w:rPr>
          <w:rFonts w:ascii="宋体" w:hAnsi="宋体"/>
          <w:color w:val="auto"/>
          <w:spacing w:val="-2"/>
          <w:highlight w:val="none"/>
        </w:rPr>
        <w:t>见</w:t>
      </w:r>
      <w:r>
        <w:rPr>
          <w:rFonts w:ascii="宋体" w:hAnsi="宋体"/>
          <w:color w:val="auto"/>
          <w:highlight w:val="none"/>
        </w:rPr>
        <w:t>投标</w:t>
      </w:r>
      <w:r>
        <w:rPr>
          <w:rFonts w:ascii="宋体" w:hAnsi="宋体"/>
          <w:color w:val="auto"/>
          <w:spacing w:val="-2"/>
          <w:highlight w:val="none"/>
        </w:rPr>
        <w:t>人</w:t>
      </w:r>
      <w:r>
        <w:rPr>
          <w:rFonts w:ascii="宋体" w:hAnsi="宋体"/>
          <w:color w:val="auto"/>
          <w:highlight w:val="none"/>
        </w:rPr>
        <w:t>须</w:t>
      </w:r>
      <w:r>
        <w:rPr>
          <w:rFonts w:ascii="宋体" w:hAnsi="宋体"/>
          <w:color w:val="auto"/>
          <w:spacing w:val="-2"/>
          <w:highlight w:val="none"/>
        </w:rPr>
        <w:t>知</w:t>
      </w:r>
      <w:r>
        <w:rPr>
          <w:rFonts w:ascii="宋体" w:hAnsi="宋体"/>
          <w:color w:val="auto"/>
          <w:highlight w:val="none"/>
        </w:rPr>
        <w:t>前</w:t>
      </w:r>
      <w:r>
        <w:rPr>
          <w:rFonts w:ascii="宋体" w:hAnsi="宋体"/>
          <w:color w:val="auto"/>
          <w:spacing w:val="-2"/>
          <w:highlight w:val="none"/>
        </w:rPr>
        <w:t>附</w:t>
      </w:r>
      <w:r>
        <w:rPr>
          <w:rFonts w:ascii="宋体" w:hAnsi="宋体"/>
          <w:color w:val="auto"/>
          <w:highlight w:val="none"/>
        </w:rPr>
        <w:t>表。</w:t>
      </w:r>
    </w:p>
    <w:p>
      <w:pPr>
        <w:spacing w:line="240" w:lineRule="auto"/>
        <w:ind w:left="0" w:right="0"/>
        <w:jc w:val="left"/>
        <w:rPr>
          <w:rFonts w:ascii="宋体" w:hAnsi="宋体"/>
          <w:color w:val="auto"/>
          <w:highlight w:val="none"/>
        </w:rPr>
      </w:pPr>
      <w:r>
        <w:rPr>
          <w:rFonts w:ascii="宋体" w:hAnsi="宋体"/>
          <w:color w:val="auto"/>
          <w:highlight w:val="none"/>
        </w:rPr>
        <w:br w:type="page"/>
      </w:r>
    </w:p>
    <w:p>
      <w:pPr>
        <w:spacing w:before="120"/>
        <w:rPr>
          <w:rFonts w:hint="eastAsia" w:ascii="宋体" w:hAnsi="宋体" w:cs="宋体"/>
          <w:b/>
          <w:color w:val="auto"/>
          <w:sz w:val="24"/>
          <w:highlight w:val="none"/>
          <w:lang w:val="en-US" w:eastAsia="zh-CN"/>
        </w:rPr>
      </w:pPr>
      <w:r>
        <w:rPr>
          <w:rFonts w:hint="eastAsia" w:ascii="宋体" w:hAnsi="宋体" w:cs="宋体"/>
          <w:b/>
          <w:color w:val="auto"/>
          <w:sz w:val="24"/>
          <w:highlight w:val="none"/>
        </w:rPr>
        <w:t>附表</w:t>
      </w:r>
    </w:p>
    <w:p>
      <w:pPr>
        <w:pStyle w:val="17"/>
        <w:rPr>
          <w:rFonts w:hint="eastAsia" w:ascii="宋体" w:hAnsi="宋体" w:cs="宋体"/>
          <w:b/>
          <w:color w:val="auto"/>
          <w:sz w:val="24"/>
          <w:highlight w:val="none"/>
          <w:lang w:val="en-US" w:eastAsia="zh-CN"/>
        </w:rPr>
      </w:pPr>
    </w:p>
    <w:p>
      <w:pPr>
        <w:ind w:firstLine="640" w:firstLineChars="20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评标委员会成员声明</w:t>
      </w:r>
    </w:p>
    <w:p>
      <w:pPr>
        <w:rPr>
          <w:rFonts w:ascii="仿宋_GB2312" w:eastAsia="仿宋_GB2312"/>
          <w:color w:val="auto"/>
          <w:sz w:val="28"/>
          <w:szCs w:val="28"/>
          <w:highlight w:val="none"/>
        </w:rPr>
      </w:pPr>
      <w:r>
        <w:rPr>
          <w:rFonts w:hint="eastAsia" w:ascii="仿宋_GB2312" w:eastAsia="仿宋_GB2312"/>
          <w:color w:val="auto"/>
          <w:sz w:val="28"/>
          <w:szCs w:val="28"/>
          <w:highlight w:val="none"/>
          <w:u w:val="single"/>
        </w:rPr>
        <w:t xml:space="preserve">本项目招标人  </w:t>
      </w:r>
      <w:r>
        <w:rPr>
          <w:rFonts w:hint="eastAsia" w:ascii="仿宋_GB2312" w:eastAsia="仿宋_GB2312"/>
          <w:color w:val="auto"/>
          <w:sz w:val="28"/>
          <w:szCs w:val="28"/>
          <w:highlight w:val="none"/>
        </w:rPr>
        <w:t>：</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本人就参与</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项目的评标工作，作出郑重声明：</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如果本人违反上述声明内容，造成的后果由本人自行承担。</w:t>
      </w:r>
    </w:p>
    <w:p>
      <w:pPr>
        <w:ind w:firstLine="560" w:firstLineChars="200"/>
        <w:rPr>
          <w:rFonts w:ascii="仿宋_GB2312" w:eastAsia="仿宋_GB2312"/>
          <w:color w:val="auto"/>
          <w:sz w:val="28"/>
          <w:szCs w:val="28"/>
          <w:highlight w:val="none"/>
        </w:rPr>
      </w:pPr>
    </w:p>
    <w:p>
      <w:pPr>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                             声明人：</w:t>
      </w:r>
      <w:r>
        <w:rPr>
          <w:rFonts w:hint="eastAsia" w:ascii="仿宋_GB2312" w:eastAsia="仿宋_GB2312"/>
          <w:color w:val="auto"/>
          <w:sz w:val="28"/>
          <w:szCs w:val="28"/>
          <w:highlight w:val="none"/>
          <w:u w:val="single"/>
        </w:rPr>
        <w:t xml:space="preserve">（签名）  </w:t>
      </w:r>
    </w:p>
    <w:p>
      <w:pPr>
        <w:pStyle w:val="8"/>
        <w:sectPr>
          <w:footerReference r:id="rId5" w:type="default"/>
          <w:pgSz w:w="12240" w:h="15840"/>
          <w:pgMar w:top="1480" w:right="1680" w:bottom="920" w:left="1700" w:header="0" w:footer="721" w:gutter="0"/>
          <w:pgNumType w:fmt="decimal" w:start="1"/>
          <w:cols w:space="720" w:num="1"/>
        </w:sectPr>
      </w:pPr>
    </w:p>
    <w:p>
      <w:pPr>
        <w:spacing w:line="360" w:lineRule="auto"/>
        <w:ind w:left="357" w:right="-20"/>
        <w:jc w:val="left"/>
        <w:outlineLvl w:val="0"/>
        <w:rPr>
          <w:rFonts w:ascii="宋体" w:hAnsi="宋体"/>
          <w:color w:val="auto"/>
          <w:sz w:val="28"/>
          <w:highlight w:val="none"/>
        </w:rPr>
      </w:pPr>
      <w:bookmarkStart w:id="466" w:name="_Toc188"/>
      <w:bookmarkStart w:id="467" w:name="_Toc9099"/>
      <w:bookmarkStart w:id="468" w:name="_Toc5145"/>
      <w:bookmarkStart w:id="469" w:name="_Toc27099"/>
      <w:bookmarkStart w:id="470" w:name="_Toc7796"/>
      <w:bookmarkStart w:id="471" w:name="_Toc30344"/>
      <w:bookmarkStart w:id="472" w:name="_Toc9125"/>
      <w:bookmarkStart w:id="473" w:name="_Toc21875"/>
      <w:bookmarkStart w:id="474" w:name="_Toc114"/>
      <w:bookmarkStart w:id="475" w:name="_Toc26544"/>
      <w:r>
        <w:rPr>
          <w:rFonts w:ascii="宋体" w:hAnsi="宋体"/>
          <w:color w:val="auto"/>
          <w:position w:val="-4"/>
          <w:sz w:val="28"/>
          <w:highlight w:val="none"/>
        </w:rPr>
        <w:t>附件</w:t>
      </w:r>
      <w:r>
        <w:rPr>
          <w:rFonts w:hint="eastAsia" w:ascii="宋体" w:hAnsi="宋体"/>
          <w:color w:val="auto"/>
          <w:position w:val="-4"/>
          <w:sz w:val="28"/>
          <w:highlight w:val="none"/>
        </w:rPr>
        <w:t>一</w:t>
      </w:r>
      <w:r>
        <w:rPr>
          <w:rFonts w:ascii="宋体" w:hAnsi="宋体"/>
          <w:color w:val="auto"/>
          <w:spacing w:val="-3"/>
          <w:position w:val="-4"/>
          <w:sz w:val="28"/>
          <w:highlight w:val="none"/>
        </w:rPr>
        <w:t>：</w:t>
      </w:r>
      <w:r>
        <w:rPr>
          <w:rFonts w:ascii="宋体" w:hAnsi="宋体"/>
          <w:color w:val="auto"/>
          <w:position w:val="-4"/>
          <w:sz w:val="28"/>
          <w:highlight w:val="none"/>
        </w:rPr>
        <w:t>开标</w:t>
      </w:r>
      <w:r>
        <w:rPr>
          <w:rFonts w:ascii="宋体" w:hAnsi="宋体"/>
          <w:color w:val="auto"/>
          <w:spacing w:val="-3"/>
          <w:position w:val="-4"/>
          <w:sz w:val="28"/>
          <w:highlight w:val="none"/>
        </w:rPr>
        <w:t>记录</w:t>
      </w:r>
      <w:r>
        <w:rPr>
          <w:rFonts w:ascii="宋体" w:hAnsi="宋体"/>
          <w:color w:val="auto"/>
          <w:position w:val="-4"/>
          <w:sz w:val="28"/>
          <w:highlight w:val="none"/>
        </w:rPr>
        <w:t>表</w:t>
      </w:r>
      <w:bookmarkEnd w:id="466"/>
      <w:bookmarkEnd w:id="467"/>
      <w:bookmarkEnd w:id="468"/>
      <w:bookmarkEnd w:id="469"/>
      <w:bookmarkEnd w:id="470"/>
      <w:bookmarkEnd w:id="471"/>
      <w:bookmarkEnd w:id="472"/>
      <w:bookmarkEnd w:id="473"/>
      <w:bookmarkEnd w:id="474"/>
      <w:bookmarkEnd w:id="475"/>
    </w:p>
    <w:p>
      <w:pPr>
        <w:spacing w:line="360" w:lineRule="auto"/>
        <w:jc w:val="left"/>
        <w:rPr>
          <w:rFonts w:ascii="宋体" w:hAnsi="宋体"/>
          <w:color w:val="auto"/>
          <w:sz w:val="20"/>
          <w:highlight w:val="none"/>
        </w:rPr>
      </w:pPr>
    </w:p>
    <w:p>
      <w:pPr>
        <w:spacing w:before="12" w:line="360" w:lineRule="auto"/>
        <w:jc w:val="left"/>
        <w:rPr>
          <w:rFonts w:ascii="宋体" w:hAnsi="宋体"/>
          <w:color w:val="auto"/>
          <w:sz w:val="20"/>
          <w:highlight w:val="none"/>
        </w:rPr>
      </w:pPr>
    </w:p>
    <w:p>
      <w:pPr>
        <w:spacing w:line="360" w:lineRule="auto"/>
        <w:ind w:left="3799" w:right="3400"/>
        <w:rPr>
          <w:rFonts w:ascii="宋体" w:hAnsi="宋体"/>
          <w:color w:val="auto"/>
          <w:sz w:val="28"/>
          <w:highlight w:val="none"/>
        </w:rPr>
      </w:pPr>
      <w:r>
        <w:rPr>
          <w:rFonts w:ascii="宋体" w:hAnsi="宋体"/>
          <w:color w:val="auto"/>
          <w:sz w:val="28"/>
          <w:highlight w:val="none"/>
        </w:rPr>
        <w:t>开标记</w:t>
      </w:r>
      <w:r>
        <w:rPr>
          <w:rFonts w:ascii="宋体" w:hAnsi="宋体"/>
          <w:color w:val="auto"/>
          <w:spacing w:val="-3"/>
          <w:sz w:val="28"/>
          <w:highlight w:val="none"/>
        </w:rPr>
        <w:t>录</w:t>
      </w:r>
      <w:r>
        <w:rPr>
          <w:rFonts w:ascii="宋体" w:hAnsi="宋体"/>
          <w:color w:val="auto"/>
          <w:sz w:val="28"/>
          <w:highlight w:val="none"/>
        </w:rPr>
        <w:t>表</w:t>
      </w:r>
    </w:p>
    <w:p>
      <w:pPr>
        <w:spacing w:before="7" w:line="360" w:lineRule="auto"/>
        <w:jc w:val="left"/>
        <w:rPr>
          <w:rFonts w:ascii="宋体" w:hAnsi="宋体"/>
          <w:color w:val="auto"/>
          <w:sz w:val="14"/>
          <w:highlight w:val="none"/>
        </w:rPr>
      </w:pPr>
    </w:p>
    <w:p>
      <w:pPr>
        <w:tabs>
          <w:tab w:val="left" w:pos="3600"/>
          <w:tab w:val="left" w:pos="4760"/>
          <w:tab w:val="left" w:pos="5920"/>
          <w:tab w:val="left" w:pos="7060"/>
          <w:tab w:val="left" w:pos="8220"/>
        </w:tabs>
        <w:spacing w:line="360" w:lineRule="auto"/>
        <w:ind w:right="-20"/>
        <w:jc w:val="left"/>
        <w:rPr>
          <w:rFonts w:ascii="宋体" w:hAnsi="宋体"/>
          <w:color w:val="auto"/>
          <w:highlight w:val="none"/>
        </w:rPr>
      </w:pPr>
      <w:r>
        <w:rPr>
          <w:rFonts w:ascii="宋体" w:hAnsi="宋体"/>
          <w:color w:val="auto"/>
          <w:position w:val="-4"/>
          <w:highlight w:val="none"/>
        </w:rPr>
        <w:t>开标</w:t>
      </w:r>
      <w:r>
        <w:rPr>
          <w:rFonts w:ascii="宋体" w:hAnsi="宋体"/>
          <w:color w:val="auto"/>
          <w:spacing w:val="-2"/>
          <w:position w:val="-4"/>
          <w:highlight w:val="none"/>
        </w:rPr>
        <w:t>时</w:t>
      </w:r>
      <w:r>
        <w:rPr>
          <w:rFonts w:ascii="宋体" w:hAnsi="宋体"/>
          <w:color w:val="auto"/>
          <w:position w:val="-4"/>
          <w:highlight w:val="none"/>
        </w:rPr>
        <w:t>间</w:t>
      </w:r>
      <w:r>
        <w:rPr>
          <w:rFonts w:ascii="宋体" w:hAnsi="宋体"/>
          <w:color w:val="auto"/>
          <w:spacing w:val="-2"/>
          <w:position w:val="-4"/>
          <w:highlight w:val="none"/>
        </w:rPr>
        <w:t>：</w:t>
      </w:r>
      <w:r>
        <w:rPr>
          <w:rFonts w:ascii="宋体" w:hAnsi="宋体"/>
          <w:color w:val="auto"/>
          <w:position w:val="-4"/>
          <w:highlight w:val="none"/>
          <w:u w:val="single"/>
        </w:rPr>
        <w:t xml:space="preserve"> </w:t>
      </w:r>
      <w:r>
        <w:rPr>
          <w:rFonts w:ascii="宋体" w:hAnsi="宋体"/>
          <w:color w:val="auto"/>
          <w:spacing w:val="1"/>
          <w:position w:val="-4"/>
          <w:highlight w:val="none"/>
          <w:u w:val="single"/>
        </w:rPr>
        <w:t xml:space="preserve"> </w:t>
      </w:r>
      <w:r>
        <w:rPr>
          <w:rFonts w:ascii="宋体" w:hAnsi="宋体"/>
          <w:color w:val="auto"/>
          <w:position w:val="-4"/>
          <w:highlight w:val="none"/>
          <w:u w:val="single"/>
        </w:rPr>
        <w:tab/>
      </w:r>
      <w:r>
        <w:rPr>
          <w:rFonts w:ascii="宋体" w:hAnsi="宋体"/>
          <w:color w:val="auto"/>
          <w:position w:val="-4"/>
          <w:highlight w:val="none"/>
        </w:rPr>
        <w:t>年</w:t>
      </w:r>
      <w:r>
        <w:rPr>
          <w:rFonts w:ascii="宋体" w:hAnsi="宋体"/>
          <w:color w:val="auto"/>
          <w:position w:val="-4"/>
          <w:highlight w:val="none"/>
          <w:u w:val="single"/>
        </w:rPr>
        <w:t xml:space="preserve"> </w:t>
      </w:r>
      <w:r>
        <w:rPr>
          <w:rFonts w:ascii="宋体" w:hAnsi="宋体"/>
          <w:color w:val="auto"/>
          <w:spacing w:val="1"/>
          <w:position w:val="-4"/>
          <w:highlight w:val="none"/>
          <w:u w:val="single"/>
        </w:rPr>
        <w:t xml:space="preserve"> </w:t>
      </w:r>
      <w:r>
        <w:rPr>
          <w:rFonts w:ascii="宋体" w:hAnsi="宋体"/>
          <w:color w:val="auto"/>
          <w:position w:val="-4"/>
          <w:highlight w:val="none"/>
          <w:u w:val="single"/>
        </w:rPr>
        <w:tab/>
      </w:r>
      <w:r>
        <w:rPr>
          <w:rFonts w:ascii="宋体" w:hAnsi="宋体"/>
          <w:color w:val="auto"/>
          <w:position w:val="-4"/>
          <w:highlight w:val="none"/>
        </w:rPr>
        <w:t>月</w:t>
      </w:r>
      <w:r>
        <w:rPr>
          <w:rFonts w:ascii="宋体" w:hAnsi="宋体"/>
          <w:color w:val="auto"/>
          <w:position w:val="-4"/>
          <w:highlight w:val="none"/>
          <w:u w:val="single"/>
        </w:rPr>
        <w:t xml:space="preserve"> </w:t>
      </w:r>
      <w:r>
        <w:rPr>
          <w:rFonts w:ascii="宋体" w:hAnsi="宋体"/>
          <w:color w:val="auto"/>
          <w:spacing w:val="1"/>
          <w:position w:val="-4"/>
          <w:highlight w:val="none"/>
          <w:u w:val="single"/>
        </w:rPr>
        <w:t xml:space="preserve"> </w:t>
      </w:r>
      <w:r>
        <w:rPr>
          <w:rFonts w:ascii="宋体" w:hAnsi="宋体"/>
          <w:color w:val="auto"/>
          <w:position w:val="-4"/>
          <w:highlight w:val="none"/>
          <w:u w:val="single"/>
        </w:rPr>
        <w:tab/>
      </w:r>
      <w:r>
        <w:rPr>
          <w:rFonts w:ascii="宋体" w:hAnsi="宋体"/>
          <w:color w:val="auto"/>
          <w:position w:val="-4"/>
          <w:highlight w:val="none"/>
        </w:rPr>
        <w:t>日</w:t>
      </w:r>
      <w:r>
        <w:rPr>
          <w:rFonts w:ascii="宋体" w:hAnsi="宋体"/>
          <w:color w:val="auto"/>
          <w:position w:val="-4"/>
          <w:highlight w:val="none"/>
          <w:u w:val="single"/>
        </w:rPr>
        <w:t xml:space="preserve"> </w:t>
      </w:r>
      <w:r>
        <w:rPr>
          <w:rFonts w:ascii="宋体" w:hAnsi="宋体"/>
          <w:color w:val="auto"/>
          <w:spacing w:val="1"/>
          <w:position w:val="-4"/>
          <w:highlight w:val="none"/>
          <w:u w:val="single"/>
        </w:rPr>
        <w:t xml:space="preserve"> </w:t>
      </w:r>
      <w:r>
        <w:rPr>
          <w:rFonts w:ascii="宋体" w:hAnsi="宋体"/>
          <w:color w:val="auto"/>
          <w:position w:val="-4"/>
          <w:highlight w:val="none"/>
          <w:u w:val="single"/>
        </w:rPr>
        <w:tab/>
      </w:r>
      <w:r>
        <w:rPr>
          <w:rFonts w:ascii="宋体" w:hAnsi="宋体"/>
          <w:color w:val="auto"/>
          <w:position w:val="-4"/>
          <w:highlight w:val="none"/>
        </w:rPr>
        <w:t>时</w:t>
      </w:r>
      <w:r>
        <w:rPr>
          <w:rFonts w:ascii="宋体" w:hAnsi="宋体"/>
          <w:color w:val="auto"/>
          <w:position w:val="-4"/>
          <w:highlight w:val="none"/>
          <w:u w:val="single"/>
        </w:rPr>
        <w:t xml:space="preserve"> </w:t>
      </w:r>
      <w:r>
        <w:rPr>
          <w:rFonts w:ascii="宋体" w:hAnsi="宋体"/>
          <w:color w:val="auto"/>
          <w:spacing w:val="1"/>
          <w:position w:val="-4"/>
          <w:highlight w:val="none"/>
          <w:u w:val="single"/>
        </w:rPr>
        <w:t xml:space="preserve"> </w:t>
      </w:r>
      <w:r>
        <w:rPr>
          <w:rFonts w:ascii="宋体" w:hAnsi="宋体"/>
          <w:color w:val="auto"/>
          <w:position w:val="-4"/>
          <w:highlight w:val="none"/>
          <w:u w:val="single"/>
        </w:rPr>
        <w:tab/>
      </w:r>
      <w:r>
        <w:rPr>
          <w:rFonts w:ascii="宋体" w:hAnsi="宋体"/>
          <w:color w:val="auto"/>
          <w:position w:val="-4"/>
          <w:highlight w:val="none"/>
        </w:rPr>
        <w:t>分</w:t>
      </w:r>
    </w:p>
    <w:p>
      <w:pPr>
        <w:spacing w:before="1" w:line="360" w:lineRule="auto"/>
        <w:jc w:val="left"/>
        <w:rPr>
          <w:rFonts w:ascii="宋体" w:hAnsi="宋体"/>
          <w:color w:val="auto"/>
          <w:sz w:val="17"/>
          <w:highlight w:val="none"/>
        </w:rPr>
      </w:pPr>
    </w:p>
    <w:tbl>
      <w:tblPr>
        <w:tblStyle w:val="19"/>
        <w:tblW w:w="10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67"/>
        <w:gridCol w:w="1017"/>
        <w:gridCol w:w="1017"/>
        <w:gridCol w:w="900"/>
        <w:gridCol w:w="1166"/>
        <w:gridCol w:w="1166"/>
        <w:gridCol w:w="1000"/>
        <w:gridCol w:w="1017"/>
        <w:gridCol w:w="933"/>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exact"/>
          <w:jc w:val="center"/>
        </w:trPr>
        <w:tc>
          <w:tcPr>
            <w:tcW w:w="652" w:type="dxa"/>
            <w:shd w:val="clear" w:color="auto" w:fill="FFFFFF"/>
            <w:vAlign w:val="center"/>
          </w:tcPr>
          <w:p>
            <w:pPr>
              <w:adjustRightInd w:val="0"/>
              <w:snapToGrid w:val="0"/>
              <w:spacing w:line="360" w:lineRule="auto"/>
              <w:ind w:right="-20"/>
              <w:jc w:val="center"/>
              <w:rPr>
                <w:rFonts w:ascii="宋体" w:hAnsi="宋体"/>
                <w:color w:val="auto"/>
                <w:sz w:val="24"/>
                <w:highlight w:val="none"/>
              </w:rPr>
            </w:pPr>
            <w:r>
              <w:rPr>
                <w:rFonts w:ascii="宋体" w:hAnsi="宋体"/>
                <w:color w:val="auto"/>
                <w:sz w:val="18"/>
                <w:highlight w:val="none"/>
              </w:rPr>
              <w:t>序号</w:t>
            </w:r>
          </w:p>
        </w:tc>
        <w:tc>
          <w:tcPr>
            <w:tcW w:w="967" w:type="dxa"/>
            <w:shd w:val="clear" w:color="auto" w:fill="FFFFFF"/>
            <w:vAlign w:val="center"/>
          </w:tcPr>
          <w:p>
            <w:pPr>
              <w:adjustRightInd w:val="0"/>
              <w:snapToGrid w:val="0"/>
              <w:spacing w:line="360" w:lineRule="auto"/>
              <w:ind w:right="-20"/>
              <w:jc w:val="center"/>
              <w:rPr>
                <w:rFonts w:ascii="宋体" w:hAnsi="宋体"/>
                <w:color w:val="auto"/>
                <w:sz w:val="24"/>
                <w:highlight w:val="none"/>
              </w:rPr>
            </w:pPr>
            <w:r>
              <w:rPr>
                <w:rFonts w:ascii="宋体" w:hAnsi="宋体"/>
                <w:color w:val="auto"/>
                <w:sz w:val="18"/>
                <w:highlight w:val="none"/>
              </w:rPr>
              <w:t>投标人</w:t>
            </w:r>
          </w:p>
        </w:tc>
        <w:tc>
          <w:tcPr>
            <w:tcW w:w="1017" w:type="dxa"/>
            <w:shd w:val="clear" w:color="auto" w:fill="FFFFFF"/>
            <w:vAlign w:val="center"/>
          </w:tcPr>
          <w:p>
            <w:pPr>
              <w:adjustRightInd w:val="0"/>
              <w:snapToGrid w:val="0"/>
              <w:spacing w:line="360" w:lineRule="auto"/>
              <w:ind w:right="80"/>
              <w:jc w:val="center"/>
              <w:rPr>
                <w:rFonts w:ascii="宋体" w:hAnsi="宋体"/>
                <w:color w:val="auto"/>
                <w:sz w:val="18"/>
                <w:highlight w:val="none"/>
              </w:rPr>
            </w:pPr>
            <w:r>
              <w:rPr>
                <w:rFonts w:hint="eastAsia" w:ascii="宋体" w:hAnsi="宋体"/>
                <w:color w:val="auto"/>
                <w:sz w:val="18"/>
                <w:highlight w:val="none"/>
              </w:rPr>
              <w:t>机器码是否与其它投标人相同</w:t>
            </w:r>
          </w:p>
        </w:tc>
        <w:tc>
          <w:tcPr>
            <w:tcW w:w="1017" w:type="dxa"/>
            <w:shd w:val="clear" w:color="auto" w:fill="FFFFFF"/>
            <w:vAlign w:val="center"/>
          </w:tcPr>
          <w:p>
            <w:pPr>
              <w:adjustRightInd w:val="0"/>
              <w:snapToGrid w:val="0"/>
              <w:spacing w:line="360" w:lineRule="auto"/>
              <w:ind w:right="80"/>
              <w:jc w:val="center"/>
              <w:rPr>
                <w:rFonts w:ascii="宋体" w:hAnsi="宋体"/>
                <w:color w:val="auto"/>
                <w:sz w:val="18"/>
                <w:highlight w:val="none"/>
              </w:rPr>
            </w:pPr>
            <w:r>
              <w:rPr>
                <w:rFonts w:hint="eastAsia" w:ascii="宋体" w:hAnsi="宋体"/>
                <w:color w:val="auto"/>
                <w:sz w:val="18"/>
                <w:highlight w:val="none"/>
              </w:rPr>
              <w:t>投标文件</w:t>
            </w:r>
            <w:r>
              <w:rPr>
                <w:rFonts w:hint="eastAsia" w:ascii="宋体" w:hAnsi="宋体"/>
                <w:color w:val="auto"/>
                <w:sz w:val="18"/>
                <w:highlight w:val="none"/>
                <w:lang w:val="en-US" w:eastAsia="zh-CN"/>
              </w:rPr>
              <w:t>解密</w:t>
            </w:r>
            <w:r>
              <w:rPr>
                <w:rFonts w:ascii="宋体" w:hAnsi="宋体"/>
                <w:color w:val="auto"/>
                <w:sz w:val="18"/>
                <w:highlight w:val="none"/>
              </w:rPr>
              <w:t>情况</w:t>
            </w:r>
          </w:p>
        </w:tc>
        <w:tc>
          <w:tcPr>
            <w:tcW w:w="900" w:type="dxa"/>
            <w:shd w:val="clear" w:color="auto" w:fill="FFFFFF"/>
            <w:vAlign w:val="center"/>
          </w:tcPr>
          <w:p>
            <w:pPr>
              <w:adjustRightInd w:val="0"/>
              <w:snapToGrid w:val="0"/>
              <w:spacing w:line="360" w:lineRule="auto"/>
              <w:ind w:right="80"/>
              <w:jc w:val="center"/>
              <w:rPr>
                <w:rFonts w:ascii="宋体" w:hAnsi="宋体"/>
                <w:color w:val="auto"/>
                <w:sz w:val="24"/>
                <w:highlight w:val="none"/>
              </w:rPr>
            </w:pPr>
            <w:r>
              <w:rPr>
                <w:rFonts w:ascii="宋体" w:hAnsi="宋体"/>
                <w:color w:val="auto"/>
                <w:sz w:val="18"/>
                <w:highlight w:val="none"/>
              </w:rPr>
              <w:t>投标保证金</w:t>
            </w:r>
          </w:p>
        </w:tc>
        <w:tc>
          <w:tcPr>
            <w:tcW w:w="1166" w:type="dxa"/>
            <w:shd w:val="clear" w:color="auto" w:fill="FFFFFF"/>
            <w:vAlign w:val="center"/>
          </w:tcPr>
          <w:p>
            <w:pPr>
              <w:adjustRightInd w:val="0"/>
              <w:snapToGrid w:val="0"/>
              <w:spacing w:line="360" w:lineRule="auto"/>
              <w:ind w:right="-20"/>
              <w:jc w:val="center"/>
              <w:rPr>
                <w:rFonts w:ascii="宋体" w:hAnsi="宋体"/>
                <w:color w:val="auto"/>
                <w:sz w:val="18"/>
                <w:highlight w:val="none"/>
              </w:rPr>
            </w:pPr>
            <w:r>
              <w:rPr>
                <w:rFonts w:ascii="宋体" w:hAnsi="宋体"/>
                <w:color w:val="auto"/>
                <w:sz w:val="18"/>
                <w:highlight w:val="none"/>
              </w:rPr>
              <w:t>投标报价（</w:t>
            </w:r>
            <w:r>
              <w:rPr>
                <w:rFonts w:hint="eastAsia" w:ascii="宋体" w:hAnsi="宋体"/>
                <w:color w:val="auto"/>
                <w:sz w:val="18"/>
                <w:highlight w:val="none"/>
                <w:lang w:val="en-US" w:eastAsia="zh-CN"/>
              </w:rPr>
              <w:t>万</w:t>
            </w:r>
            <w:r>
              <w:rPr>
                <w:rFonts w:ascii="宋体" w:hAnsi="宋体"/>
                <w:color w:val="auto"/>
                <w:sz w:val="18"/>
                <w:highlight w:val="none"/>
              </w:rPr>
              <w:t>元）</w:t>
            </w:r>
          </w:p>
        </w:tc>
        <w:tc>
          <w:tcPr>
            <w:tcW w:w="1166" w:type="dxa"/>
            <w:shd w:val="clear" w:color="auto" w:fill="FFFFFF"/>
            <w:vAlign w:val="center"/>
          </w:tcPr>
          <w:p>
            <w:pPr>
              <w:adjustRightInd w:val="0"/>
              <w:snapToGrid w:val="0"/>
              <w:spacing w:line="360" w:lineRule="auto"/>
              <w:ind w:right="-20"/>
              <w:jc w:val="center"/>
              <w:rPr>
                <w:rFonts w:hint="eastAsia" w:ascii="宋体" w:hAnsi="宋体"/>
                <w:color w:val="auto"/>
                <w:sz w:val="18"/>
                <w:highlight w:val="none"/>
                <w:lang w:val="en-US" w:eastAsia="zh-CN"/>
              </w:rPr>
            </w:pPr>
            <w:r>
              <w:rPr>
                <w:rFonts w:hint="eastAsia" w:ascii="宋体" w:hAnsi="宋体"/>
                <w:color w:val="auto"/>
                <w:sz w:val="18"/>
                <w:highlight w:val="none"/>
                <w:lang w:val="en-US" w:eastAsia="zh-CN"/>
              </w:rPr>
              <w:t>费率</w:t>
            </w:r>
          </w:p>
          <w:p>
            <w:pPr>
              <w:adjustRightInd w:val="0"/>
              <w:snapToGrid w:val="0"/>
              <w:spacing w:line="360" w:lineRule="auto"/>
              <w:ind w:right="-20"/>
              <w:jc w:val="center"/>
              <w:rPr>
                <w:rFonts w:hint="eastAsia" w:ascii="宋体" w:hAnsi="宋体" w:eastAsia="宋体"/>
                <w:color w:val="auto"/>
                <w:sz w:val="24"/>
                <w:highlight w:val="none"/>
                <w:lang w:eastAsia="zh-CN"/>
              </w:rPr>
            </w:pPr>
            <w:r>
              <w:rPr>
                <w:rFonts w:hint="eastAsia" w:ascii="宋体" w:hAnsi="宋体"/>
                <w:color w:val="auto"/>
                <w:sz w:val="18"/>
                <w:highlight w:val="none"/>
                <w:lang w:val="en-US" w:eastAsia="zh-CN"/>
              </w:rPr>
              <w:t>（%）</w:t>
            </w:r>
          </w:p>
        </w:tc>
        <w:tc>
          <w:tcPr>
            <w:tcW w:w="1000" w:type="dxa"/>
            <w:shd w:val="clear" w:color="auto" w:fill="FFFFFF"/>
            <w:vAlign w:val="center"/>
          </w:tcPr>
          <w:p>
            <w:pPr>
              <w:adjustRightInd w:val="0"/>
              <w:snapToGrid w:val="0"/>
              <w:spacing w:line="360" w:lineRule="auto"/>
              <w:ind w:right="-20"/>
              <w:jc w:val="center"/>
              <w:rPr>
                <w:rFonts w:ascii="宋体" w:hAnsi="宋体"/>
                <w:color w:val="auto"/>
                <w:sz w:val="24"/>
                <w:highlight w:val="none"/>
              </w:rPr>
            </w:pPr>
            <w:r>
              <w:rPr>
                <w:rFonts w:ascii="宋体" w:hAnsi="宋体"/>
                <w:color w:val="auto"/>
                <w:sz w:val="18"/>
                <w:highlight w:val="none"/>
              </w:rPr>
              <w:t>总监理工程师</w:t>
            </w:r>
          </w:p>
        </w:tc>
        <w:tc>
          <w:tcPr>
            <w:tcW w:w="1017" w:type="dxa"/>
            <w:shd w:val="clear" w:color="auto" w:fill="FFFFFF"/>
            <w:vAlign w:val="center"/>
          </w:tcPr>
          <w:p>
            <w:pPr>
              <w:adjustRightInd w:val="0"/>
              <w:snapToGrid w:val="0"/>
              <w:spacing w:line="360" w:lineRule="auto"/>
              <w:ind w:right="77"/>
              <w:jc w:val="center"/>
              <w:rPr>
                <w:rFonts w:ascii="宋体" w:hAnsi="宋体"/>
                <w:color w:val="auto"/>
                <w:sz w:val="24"/>
                <w:highlight w:val="none"/>
              </w:rPr>
            </w:pPr>
            <w:r>
              <w:rPr>
                <w:rFonts w:ascii="宋体" w:hAnsi="宋体"/>
                <w:color w:val="auto"/>
                <w:sz w:val="18"/>
                <w:highlight w:val="none"/>
              </w:rPr>
              <w:t>监理服务期限</w:t>
            </w:r>
          </w:p>
        </w:tc>
        <w:tc>
          <w:tcPr>
            <w:tcW w:w="933" w:type="dxa"/>
            <w:shd w:val="clear" w:color="auto" w:fill="FFFFFF"/>
            <w:vAlign w:val="center"/>
          </w:tcPr>
          <w:p>
            <w:pPr>
              <w:adjustRightInd w:val="0"/>
              <w:snapToGrid w:val="0"/>
              <w:spacing w:line="360" w:lineRule="auto"/>
              <w:ind w:right="-20"/>
              <w:jc w:val="center"/>
              <w:rPr>
                <w:rFonts w:ascii="宋体" w:hAnsi="宋体"/>
                <w:color w:val="auto"/>
                <w:sz w:val="24"/>
                <w:highlight w:val="none"/>
              </w:rPr>
            </w:pPr>
            <w:r>
              <w:rPr>
                <w:rFonts w:ascii="宋体" w:hAnsi="宋体"/>
                <w:color w:val="auto"/>
                <w:sz w:val="18"/>
                <w:highlight w:val="none"/>
              </w:rPr>
              <w:t>投标人代表签名</w:t>
            </w:r>
          </w:p>
        </w:tc>
        <w:tc>
          <w:tcPr>
            <w:tcW w:w="801" w:type="dxa"/>
            <w:shd w:val="clear" w:color="auto" w:fill="FFFFFF"/>
            <w:vAlign w:val="center"/>
          </w:tcPr>
          <w:p>
            <w:pPr>
              <w:adjustRightInd w:val="0"/>
              <w:snapToGrid w:val="0"/>
              <w:spacing w:line="360" w:lineRule="auto"/>
              <w:ind w:right="-20"/>
              <w:jc w:val="center"/>
              <w:rPr>
                <w:rFonts w:ascii="宋体" w:hAnsi="宋体"/>
                <w:color w:val="auto"/>
                <w:sz w:val="24"/>
                <w:highlight w:val="none"/>
              </w:rPr>
            </w:pPr>
            <w:r>
              <w:rPr>
                <w:rFonts w:ascii="宋体" w:hAnsi="宋体"/>
                <w:color w:val="auto"/>
                <w:sz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652"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6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00"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166"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166"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00"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33"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801" w:type="dxa"/>
            <w:shd w:val="clear" w:color="auto" w:fill="FFFFFF"/>
            <w:vAlign w:val="center"/>
          </w:tcPr>
          <w:p>
            <w:pPr>
              <w:adjustRightInd w:val="0"/>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652"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6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00"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166"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166"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00"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33"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801" w:type="dxa"/>
            <w:shd w:val="clear" w:color="auto" w:fill="FFFFFF"/>
            <w:vAlign w:val="center"/>
          </w:tcPr>
          <w:p>
            <w:pPr>
              <w:adjustRightInd w:val="0"/>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652"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6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00"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166"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166"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00"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33"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801" w:type="dxa"/>
            <w:shd w:val="clear" w:color="auto" w:fill="FFFFFF"/>
            <w:vAlign w:val="center"/>
          </w:tcPr>
          <w:p>
            <w:pPr>
              <w:adjustRightInd w:val="0"/>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652"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6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00"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166"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166"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00"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33"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801" w:type="dxa"/>
            <w:shd w:val="clear" w:color="auto" w:fill="FFFFFF"/>
            <w:vAlign w:val="center"/>
          </w:tcPr>
          <w:p>
            <w:pPr>
              <w:adjustRightInd w:val="0"/>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652"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6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00"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166"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166"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00"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33"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801" w:type="dxa"/>
            <w:shd w:val="clear" w:color="auto" w:fill="FFFFFF"/>
            <w:vAlign w:val="center"/>
          </w:tcPr>
          <w:p>
            <w:pPr>
              <w:adjustRightInd w:val="0"/>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652"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6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00"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166"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166"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00"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33"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801" w:type="dxa"/>
            <w:shd w:val="clear" w:color="auto" w:fill="FFFFFF"/>
            <w:vAlign w:val="center"/>
          </w:tcPr>
          <w:p>
            <w:pPr>
              <w:adjustRightInd w:val="0"/>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652"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6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00"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166"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166"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00"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33"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801" w:type="dxa"/>
            <w:shd w:val="clear" w:color="auto" w:fill="FFFFFF"/>
            <w:vAlign w:val="center"/>
          </w:tcPr>
          <w:p>
            <w:pPr>
              <w:adjustRightInd w:val="0"/>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652"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6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00"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166"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166"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00"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33"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801" w:type="dxa"/>
            <w:shd w:val="clear" w:color="auto" w:fill="FFFFFF"/>
            <w:vAlign w:val="center"/>
          </w:tcPr>
          <w:p>
            <w:pPr>
              <w:adjustRightInd w:val="0"/>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652"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6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00"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166"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166"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00"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1017"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933" w:type="dxa"/>
            <w:shd w:val="clear" w:color="auto" w:fill="FFFFFF"/>
            <w:vAlign w:val="center"/>
          </w:tcPr>
          <w:p>
            <w:pPr>
              <w:adjustRightInd w:val="0"/>
              <w:snapToGrid w:val="0"/>
              <w:spacing w:line="360" w:lineRule="auto"/>
              <w:jc w:val="center"/>
              <w:rPr>
                <w:rFonts w:ascii="宋体" w:hAnsi="宋体"/>
                <w:color w:val="auto"/>
                <w:sz w:val="24"/>
                <w:highlight w:val="none"/>
              </w:rPr>
            </w:pPr>
          </w:p>
        </w:tc>
        <w:tc>
          <w:tcPr>
            <w:tcW w:w="801" w:type="dxa"/>
            <w:shd w:val="clear" w:color="auto" w:fill="FFFFFF"/>
            <w:vAlign w:val="center"/>
          </w:tcPr>
          <w:p>
            <w:pPr>
              <w:adjustRightInd w:val="0"/>
              <w:snapToGrid w:val="0"/>
              <w:spacing w:line="360" w:lineRule="auto"/>
              <w:jc w:val="center"/>
              <w:rPr>
                <w:rFonts w:ascii="宋体" w:hAnsi="宋体"/>
                <w:color w:val="auto"/>
                <w:sz w:val="24"/>
                <w:highlight w:val="none"/>
              </w:rPr>
            </w:pPr>
          </w:p>
        </w:tc>
      </w:tr>
    </w:tbl>
    <w:p>
      <w:pPr>
        <w:spacing w:line="360" w:lineRule="auto"/>
        <w:jc w:val="left"/>
        <w:rPr>
          <w:rFonts w:ascii="宋体" w:hAnsi="宋体"/>
          <w:color w:val="auto"/>
          <w:sz w:val="20"/>
          <w:highlight w:val="none"/>
        </w:rPr>
      </w:pPr>
    </w:p>
    <w:p>
      <w:pPr>
        <w:spacing w:line="360" w:lineRule="auto"/>
        <w:jc w:val="left"/>
        <w:rPr>
          <w:rFonts w:ascii="宋体" w:hAnsi="宋体"/>
          <w:color w:val="auto"/>
          <w:sz w:val="20"/>
          <w:highlight w:val="none"/>
        </w:rPr>
      </w:pPr>
    </w:p>
    <w:p>
      <w:pPr>
        <w:tabs>
          <w:tab w:val="left" w:pos="2200"/>
          <w:tab w:val="left" w:pos="3040"/>
          <w:tab w:val="left" w:pos="4620"/>
          <w:tab w:val="left" w:pos="5360"/>
          <w:tab w:val="left" w:pos="6940"/>
        </w:tabs>
        <w:spacing w:line="360" w:lineRule="auto"/>
        <w:ind w:left="220" w:right="-20"/>
        <w:jc w:val="left"/>
        <w:rPr>
          <w:rFonts w:ascii="宋体" w:hAnsi="宋体"/>
          <w:color w:val="auto"/>
          <w:highlight w:val="none"/>
        </w:rPr>
      </w:pPr>
      <w:r>
        <w:rPr>
          <w:rFonts w:ascii="宋体" w:hAnsi="宋体"/>
          <w:color w:val="auto"/>
          <w:position w:val="-2"/>
          <w:highlight w:val="none"/>
        </w:rPr>
        <w:t>招标</w:t>
      </w:r>
      <w:r>
        <w:rPr>
          <w:rFonts w:ascii="宋体" w:hAnsi="宋体"/>
          <w:color w:val="auto"/>
          <w:spacing w:val="-2"/>
          <w:position w:val="-2"/>
          <w:highlight w:val="none"/>
        </w:rPr>
        <w:t>人</w:t>
      </w:r>
      <w:r>
        <w:rPr>
          <w:rFonts w:ascii="宋体" w:hAnsi="宋体"/>
          <w:color w:val="auto"/>
          <w:position w:val="-2"/>
          <w:highlight w:val="none"/>
        </w:rPr>
        <w:t>代</w:t>
      </w:r>
      <w:r>
        <w:rPr>
          <w:rFonts w:ascii="宋体" w:hAnsi="宋体"/>
          <w:color w:val="auto"/>
          <w:spacing w:val="-2"/>
          <w:position w:val="-2"/>
          <w:highlight w:val="none"/>
        </w:rPr>
        <w:t>表</w:t>
      </w:r>
      <w:r>
        <w:rPr>
          <w:rFonts w:ascii="宋体" w:hAnsi="宋体"/>
          <w:color w:val="auto"/>
          <w:position w:val="-2"/>
          <w:highlight w:val="none"/>
        </w:rPr>
        <w:t>：</w:t>
      </w:r>
      <w:r>
        <w:rPr>
          <w:rFonts w:ascii="宋体" w:hAnsi="宋体"/>
          <w:color w:val="auto"/>
          <w:w w:val="201"/>
          <w:position w:val="-2"/>
          <w:highlight w:val="none"/>
          <w:u w:val="single"/>
        </w:rPr>
        <w:t xml:space="preserve"> </w:t>
      </w:r>
      <w:r>
        <w:rPr>
          <w:rFonts w:ascii="宋体" w:hAnsi="宋体"/>
          <w:color w:val="auto"/>
          <w:position w:val="-2"/>
          <w:highlight w:val="none"/>
          <w:u w:val="single"/>
        </w:rPr>
        <w:tab/>
      </w:r>
      <w:r>
        <w:rPr>
          <w:rFonts w:ascii="宋体" w:hAnsi="宋体"/>
          <w:color w:val="auto"/>
          <w:position w:val="-2"/>
          <w:highlight w:val="none"/>
        </w:rPr>
        <w:tab/>
      </w:r>
      <w:r>
        <w:rPr>
          <w:rFonts w:ascii="宋体" w:hAnsi="宋体"/>
          <w:color w:val="auto"/>
          <w:spacing w:val="-2"/>
          <w:position w:val="-2"/>
          <w:highlight w:val="none"/>
        </w:rPr>
        <w:t>记</w:t>
      </w:r>
      <w:r>
        <w:rPr>
          <w:rFonts w:ascii="宋体" w:hAnsi="宋体"/>
          <w:color w:val="auto"/>
          <w:position w:val="-2"/>
          <w:highlight w:val="none"/>
        </w:rPr>
        <w:t>录</w:t>
      </w:r>
      <w:r>
        <w:rPr>
          <w:rFonts w:ascii="宋体" w:hAnsi="宋体"/>
          <w:color w:val="auto"/>
          <w:spacing w:val="-2"/>
          <w:position w:val="-2"/>
          <w:highlight w:val="none"/>
        </w:rPr>
        <w:t>人</w:t>
      </w:r>
      <w:r>
        <w:rPr>
          <w:rFonts w:ascii="宋体" w:hAnsi="宋体"/>
          <w:color w:val="auto"/>
          <w:position w:val="-2"/>
          <w:highlight w:val="none"/>
        </w:rPr>
        <w:t>：</w:t>
      </w:r>
      <w:r>
        <w:rPr>
          <w:rFonts w:ascii="宋体" w:hAnsi="宋体"/>
          <w:color w:val="auto"/>
          <w:w w:val="201"/>
          <w:position w:val="-2"/>
          <w:highlight w:val="none"/>
          <w:u w:val="single"/>
        </w:rPr>
        <w:t xml:space="preserve"> </w:t>
      </w:r>
      <w:r>
        <w:rPr>
          <w:rFonts w:ascii="宋体" w:hAnsi="宋体"/>
          <w:color w:val="auto"/>
          <w:position w:val="-2"/>
          <w:highlight w:val="none"/>
          <w:u w:val="single"/>
        </w:rPr>
        <w:tab/>
      </w:r>
      <w:r>
        <w:rPr>
          <w:rFonts w:ascii="宋体" w:hAnsi="宋体"/>
          <w:color w:val="auto"/>
          <w:position w:val="-2"/>
          <w:highlight w:val="none"/>
        </w:rPr>
        <w:tab/>
      </w:r>
      <w:r>
        <w:rPr>
          <w:rFonts w:ascii="宋体" w:hAnsi="宋体"/>
          <w:color w:val="auto"/>
          <w:spacing w:val="-2"/>
          <w:position w:val="-2"/>
          <w:highlight w:val="none"/>
        </w:rPr>
        <w:t>监</w:t>
      </w:r>
      <w:r>
        <w:rPr>
          <w:rFonts w:ascii="宋体" w:hAnsi="宋体"/>
          <w:color w:val="auto"/>
          <w:position w:val="-2"/>
          <w:highlight w:val="none"/>
        </w:rPr>
        <w:t>标</w:t>
      </w:r>
      <w:r>
        <w:rPr>
          <w:rFonts w:ascii="宋体" w:hAnsi="宋体"/>
          <w:color w:val="auto"/>
          <w:spacing w:val="-2"/>
          <w:position w:val="-2"/>
          <w:highlight w:val="none"/>
        </w:rPr>
        <w:t>人</w:t>
      </w:r>
      <w:r>
        <w:rPr>
          <w:rFonts w:ascii="宋体" w:hAnsi="宋体"/>
          <w:color w:val="auto"/>
          <w:position w:val="-2"/>
          <w:highlight w:val="none"/>
        </w:rPr>
        <w:t>：</w:t>
      </w:r>
      <w:r>
        <w:rPr>
          <w:rFonts w:ascii="宋体" w:hAnsi="宋体"/>
          <w:color w:val="auto"/>
          <w:w w:val="201"/>
          <w:position w:val="-2"/>
          <w:highlight w:val="none"/>
          <w:u w:val="single"/>
        </w:rPr>
        <w:t xml:space="preserve"> </w:t>
      </w:r>
      <w:r>
        <w:rPr>
          <w:rFonts w:ascii="宋体" w:hAnsi="宋体"/>
          <w:color w:val="auto"/>
          <w:position w:val="-2"/>
          <w:highlight w:val="none"/>
          <w:u w:val="single"/>
        </w:rPr>
        <w:tab/>
      </w:r>
    </w:p>
    <w:p>
      <w:pPr>
        <w:spacing w:line="360" w:lineRule="auto"/>
        <w:jc w:val="left"/>
        <w:rPr>
          <w:rFonts w:ascii="宋体" w:hAnsi="宋体"/>
          <w:color w:val="auto"/>
          <w:sz w:val="15"/>
          <w:highlight w:val="none"/>
        </w:rPr>
      </w:pPr>
    </w:p>
    <w:p>
      <w:pPr>
        <w:spacing w:line="360" w:lineRule="auto"/>
        <w:jc w:val="left"/>
        <w:rPr>
          <w:rFonts w:ascii="宋体" w:hAnsi="宋体"/>
          <w:color w:val="auto"/>
          <w:sz w:val="20"/>
          <w:highlight w:val="none"/>
        </w:rPr>
      </w:pPr>
    </w:p>
    <w:p>
      <w:pPr>
        <w:tabs>
          <w:tab w:val="left" w:pos="720"/>
          <w:tab w:val="left" w:pos="1680"/>
          <w:tab w:val="left" w:pos="2620"/>
        </w:tabs>
        <w:spacing w:line="360" w:lineRule="auto"/>
        <w:ind w:right="96"/>
        <w:jc w:val="right"/>
        <w:rPr>
          <w:rFonts w:ascii="宋体" w:hAnsi="宋体"/>
          <w:color w:val="auto"/>
          <w:highlight w:val="none"/>
        </w:rPr>
      </w:pPr>
      <w:r>
        <w:rPr>
          <w:rFonts w:ascii="宋体" w:hAnsi="宋体"/>
          <w:color w:val="auto"/>
          <w:w w:val="201"/>
          <w:position w:val="-1"/>
          <w:highlight w:val="none"/>
          <w:u w:val="single"/>
        </w:rPr>
        <w:t xml:space="preserve"> </w:t>
      </w:r>
      <w:r>
        <w:rPr>
          <w:rFonts w:ascii="宋体" w:hAnsi="宋体"/>
          <w:color w:val="auto"/>
          <w:position w:val="-1"/>
          <w:highlight w:val="none"/>
          <w:u w:val="single"/>
        </w:rPr>
        <w:tab/>
      </w:r>
      <w:r>
        <w:rPr>
          <w:rFonts w:ascii="宋体" w:hAnsi="宋体"/>
          <w:color w:val="auto"/>
          <w:position w:val="-1"/>
          <w:highlight w:val="none"/>
        </w:rPr>
        <w:t>年</w:t>
      </w:r>
      <w:r>
        <w:rPr>
          <w:rFonts w:ascii="宋体" w:hAnsi="宋体"/>
          <w:color w:val="auto"/>
          <w:position w:val="-1"/>
          <w:highlight w:val="none"/>
          <w:u w:val="single"/>
        </w:rPr>
        <w:t xml:space="preserve"> </w:t>
      </w:r>
      <w:r>
        <w:rPr>
          <w:rFonts w:ascii="宋体" w:hAnsi="宋体"/>
          <w:color w:val="auto"/>
          <w:spacing w:val="1"/>
          <w:position w:val="-1"/>
          <w:highlight w:val="none"/>
          <w:u w:val="single"/>
        </w:rPr>
        <w:t xml:space="preserve"> </w:t>
      </w:r>
      <w:r>
        <w:rPr>
          <w:rFonts w:ascii="宋体" w:hAnsi="宋体"/>
          <w:color w:val="auto"/>
          <w:position w:val="-1"/>
          <w:highlight w:val="none"/>
          <w:u w:val="single"/>
        </w:rPr>
        <w:tab/>
      </w:r>
      <w:r>
        <w:rPr>
          <w:rFonts w:ascii="宋体" w:hAnsi="宋体"/>
          <w:color w:val="auto"/>
          <w:spacing w:val="-2"/>
          <w:position w:val="-1"/>
          <w:highlight w:val="none"/>
        </w:rPr>
        <w:t>月</w:t>
      </w:r>
      <w:r>
        <w:rPr>
          <w:rFonts w:ascii="宋体" w:hAnsi="宋体"/>
          <w:color w:val="auto"/>
          <w:position w:val="-1"/>
          <w:highlight w:val="none"/>
          <w:u w:val="single"/>
        </w:rPr>
        <w:t xml:space="preserve"> </w:t>
      </w:r>
      <w:r>
        <w:rPr>
          <w:rFonts w:ascii="宋体" w:hAnsi="宋体"/>
          <w:color w:val="auto"/>
          <w:spacing w:val="1"/>
          <w:position w:val="-1"/>
          <w:highlight w:val="none"/>
          <w:u w:val="single"/>
        </w:rPr>
        <w:t xml:space="preserve"> </w:t>
      </w:r>
      <w:r>
        <w:rPr>
          <w:rFonts w:ascii="宋体" w:hAnsi="宋体"/>
          <w:color w:val="auto"/>
          <w:position w:val="-1"/>
          <w:highlight w:val="none"/>
          <w:u w:val="single"/>
        </w:rPr>
        <w:tab/>
      </w:r>
      <w:r>
        <w:rPr>
          <w:rFonts w:ascii="宋体" w:hAnsi="宋体"/>
          <w:color w:val="auto"/>
          <w:position w:val="-1"/>
          <w:highlight w:val="none"/>
        </w:rPr>
        <w:t>日</w:t>
      </w:r>
    </w:p>
    <w:bookmarkEnd w:id="121"/>
    <w:bookmarkEnd w:id="122"/>
    <w:bookmarkEnd w:id="144"/>
    <w:bookmarkEnd w:id="145"/>
    <w:bookmarkEnd w:id="146"/>
    <w:bookmarkEnd w:id="147"/>
    <w:bookmarkEnd w:id="148"/>
    <w:bookmarkEnd w:id="149"/>
    <w:bookmarkEnd w:id="150"/>
    <w:p>
      <w:pPr>
        <w:spacing w:line="360" w:lineRule="auto"/>
        <w:ind w:left="237" w:right="-20"/>
        <w:jc w:val="left"/>
        <w:rPr>
          <w:rFonts w:ascii="宋体" w:hAnsi="宋体" w:cs="宋体"/>
          <w:color w:val="auto"/>
          <w:highlight w:val="none"/>
        </w:rPr>
      </w:pPr>
    </w:p>
    <w:p>
      <w:pPr>
        <w:spacing w:line="360" w:lineRule="auto"/>
        <w:ind w:left="237" w:right="-20"/>
        <w:jc w:val="left"/>
        <w:rPr>
          <w:rFonts w:ascii="宋体" w:hAnsi="宋体"/>
          <w:color w:val="auto"/>
          <w:sz w:val="28"/>
          <w:highlight w:val="none"/>
        </w:rPr>
      </w:pPr>
      <w:r>
        <w:rPr>
          <w:rFonts w:hint="eastAsia" w:ascii="宋体" w:hAnsi="宋体" w:cs="宋体"/>
          <w:color w:val="auto"/>
          <w:highlight w:val="none"/>
        </w:rPr>
        <w:t>注：具体以开标系统导出的表格数据为准。</w:t>
      </w:r>
      <w:r>
        <w:rPr>
          <w:rFonts w:hint="eastAsia" w:ascii="宋体" w:hAnsi="宋体" w:cs="宋体"/>
          <w:color w:val="auto"/>
          <w:highlight w:val="none"/>
        </w:rPr>
        <w:br w:type="page"/>
      </w:r>
      <w:r>
        <w:rPr>
          <w:rFonts w:ascii="宋体" w:hAnsi="宋体"/>
          <w:color w:val="auto"/>
          <w:position w:val="-4"/>
          <w:sz w:val="28"/>
          <w:highlight w:val="none"/>
        </w:rPr>
        <w:t>附件二</w:t>
      </w:r>
      <w:r>
        <w:rPr>
          <w:rFonts w:ascii="宋体" w:hAnsi="宋体"/>
          <w:color w:val="auto"/>
          <w:spacing w:val="-3"/>
          <w:position w:val="-4"/>
          <w:sz w:val="28"/>
          <w:highlight w:val="none"/>
        </w:rPr>
        <w:t>：</w:t>
      </w:r>
      <w:r>
        <w:rPr>
          <w:rFonts w:ascii="宋体" w:hAnsi="宋体"/>
          <w:color w:val="auto"/>
          <w:position w:val="-4"/>
          <w:sz w:val="28"/>
          <w:highlight w:val="none"/>
        </w:rPr>
        <w:t>问题</w:t>
      </w:r>
      <w:r>
        <w:rPr>
          <w:rFonts w:ascii="宋体" w:hAnsi="宋体"/>
          <w:color w:val="auto"/>
          <w:spacing w:val="-3"/>
          <w:position w:val="-4"/>
          <w:sz w:val="28"/>
          <w:highlight w:val="none"/>
        </w:rPr>
        <w:t>澄清</w:t>
      </w:r>
      <w:r>
        <w:rPr>
          <w:rFonts w:ascii="宋体" w:hAnsi="宋体"/>
          <w:color w:val="auto"/>
          <w:position w:val="-4"/>
          <w:sz w:val="28"/>
          <w:highlight w:val="none"/>
        </w:rPr>
        <w:t>通知</w:t>
      </w:r>
    </w:p>
    <w:p>
      <w:pPr>
        <w:spacing w:line="360" w:lineRule="auto"/>
        <w:jc w:val="left"/>
        <w:rPr>
          <w:rFonts w:ascii="宋体" w:hAnsi="宋体"/>
          <w:color w:val="auto"/>
          <w:sz w:val="20"/>
          <w:highlight w:val="none"/>
        </w:rPr>
      </w:pPr>
    </w:p>
    <w:p>
      <w:pPr>
        <w:spacing w:line="360" w:lineRule="auto"/>
        <w:jc w:val="left"/>
        <w:rPr>
          <w:rFonts w:ascii="宋体" w:hAnsi="宋体"/>
          <w:color w:val="auto"/>
          <w:sz w:val="20"/>
          <w:highlight w:val="none"/>
        </w:rPr>
      </w:pPr>
    </w:p>
    <w:p>
      <w:pPr>
        <w:spacing w:line="360" w:lineRule="auto"/>
        <w:jc w:val="left"/>
        <w:rPr>
          <w:rFonts w:ascii="宋体" w:hAnsi="宋体"/>
          <w:color w:val="auto"/>
          <w:sz w:val="20"/>
          <w:highlight w:val="none"/>
        </w:rPr>
      </w:pPr>
    </w:p>
    <w:p>
      <w:pPr>
        <w:spacing w:line="360" w:lineRule="auto"/>
        <w:ind w:left="3540" w:right="3536"/>
        <w:jc w:val="center"/>
        <w:rPr>
          <w:rFonts w:ascii="宋体" w:hAnsi="宋体"/>
          <w:color w:val="auto"/>
          <w:sz w:val="28"/>
          <w:highlight w:val="none"/>
        </w:rPr>
      </w:pPr>
      <w:r>
        <w:rPr>
          <w:rFonts w:ascii="宋体" w:hAnsi="宋体"/>
          <w:color w:val="auto"/>
          <w:sz w:val="28"/>
          <w:highlight w:val="none"/>
        </w:rPr>
        <w:t>问题澄</w:t>
      </w:r>
      <w:r>
        <w:rPr>
          <w:rFonts w:ascii="宋体" w:hAnsi="宋体"/>
          <w:color w:val="auto"/>
          <w:spacing w:val="-3"/>
          <w:sz w:val="28"/>
          <w:highlight w:val="none"/>
        </w:rPr>
        <w:t>清</w:t>
      </w:r>
      <w:r>
        <w:rPr>
          <w:rFonts w:ascii="宋体" w:hAnsi="宋体"/>
          <w:color w:val="auto"/>
          <w:sz w:val="28"/>
          <w:highlight w:val="none"/>
        </w:rPr>
        <w:t>通知</w:t>
      </w:r>
    </w:p>
    <w:p>
      <w:pPr>
        <w:tabs>
          <w:tab w:val="left" w:pos="5740"/>
        </w:tabs>
        <w:spacing w:before="62" w:line="360" w:lineRule="auto"/>
        <w:ind w:left="2808" w:right="2811"/>
        <w:jc w:val="center"/>
        <w:rPr>
          <w:rFonts w:ascii="宋体" w:hAnsi="宋体"/>
          <w:color w:val="auto"/>
          <w:highlight w:val="none"/>
        </w:rPr>
      </w:pPr>
      <w:r>
        <w:rPr>
          <w:rFonts w:ascii="宋体" w:hAnsi="宋体"/>
          <w:color w:val="auto"/>
          <w:position w:val="-4"/>
          <w:highlight w:val="none"/>
        </w:rPr>
        <w:t>（编</w:t>
      </w:r>
      <w:r>
        <w:rPr>
          <w:rFonts w:ascii="宋体" w:hAnsi="宋体"/>
          <w:color w:val="auto"/>
          <w:spacing w:val="-2"/>
          <w:position w:val="-4"/>
          <w:highlight w:val="none"/>
        </w:rPr>
        <w:t>号</w:t>
      </w:r>
      <w:r>
        <w:rPr>
          <w:rFonts w:ascii="宋体" w:hAnsi="宋体"/>
          <w:color w:val="auto"/>
          <w:position w:val="-4"/>
          <w:highlight w:val="none"/>
        </w:rPr>
        <w:t>：</w:t>
      </w:r>
      <w:r>
        <w:rPr>
          <w:rFonts w:ascii="宋体" w:hAnsi="宋体"/>
          <w:color w:val="auto"/>
          <w:position w:val="-4"/>
          <w:highlight w:val="none"/>
          <w:u w:val="single"/>
        </w:rPr>
        <w:t xml:space="preserve"> </w:t>
      </w:r>
      <w:r>
        <w:rPr>
          <w:rFonts w:ascii="宋体" w:hAnsi="宋体"/>
          <w:color w:val="auto"/>
          <w:spacing w:val="1"/>
          <w:position w:val="-4"/>
          <w:highlight w:val="none"/>
          <w:u w:val="single"/>
        </w:rPr>
        <w:t xml:space="preserve"> </w:t>
      </w:r>
      <w:r>
        <w:rPr>
          <w:rFonts w:ascii="宋体" w:hAnsi="宋体"/>
          <w:color w:val="auto"/>
          <w:position w:val="-4"/>
          <w:highlight w:val="none"/>
          <w:u w:val="single"/>
        </w:rPr>
        <w:tab/>
      </w:r>
      <w:r>
        <w:rPr>
          <w:rFonts w:ascii="宋体" w:hAnsi="宋体"/>
          <w:color w:val="auto"/>
          <w:position w:val="-4"/>
          <w:highlight w:val="none"/>
        </w:rPr>
        <w:t>）</w:t>
      </w:r>
    </w:p>
    <w:p>
      <w:pPr>
        <w:spacing w:before="7" w:line="360" w:lineRule="auto"/>
        <w:jc w:val="left"/>
        <w:rPr>
          <w:rFonts w:ascii="宋体" w:hAnsi="宋体"/>
          <w:color w:val="auto"/>
          <w:sz w:val="20"/>
          <w:highlight w:val="none"/>
        </w:rPr>
      </w:pPr>
    </w:p>
    <w:p>
      <w:pPr>
        <w:tabs>
          <w:tab w:val="left" w:pos="2300"/>
        </w:tabs>
        <w:spacing w:line="360" w:lineRule="auto"/>
        <w:ind w:left="100" w:right="-20"/>
        <w:jc w:val="left"/>
        <w:rPr>
          <w:rFonts w:ascii="宋体" w:cs="宋体"/>
          <w:color w:val="auto"/>
          <w:szCs w:val="21"/>
          <w:highlight w:val="none"/>
        </w:rPr>
      </w:pPr>
      <w:r>
        <w:rPr>
          <w:rFonts w:hint="eastAsia" w:ascii="宋体" w:cs="宋体"/>
          <w:color w:val="auto"/>
          <w:szCs w:val="21"/>
          <w:highlight w:val="none"/>
          <w:u w:val="single"/>
        </w:rPr>
        <w:tab/>
      </w:r>
      <w:r>
        <w:rPr>
          <w:rFonts w:hint="eastAsia" w:ascii="宋体" w:cs="宋体"/>
          <w:color w:val="auto"/>
          <w:szCs w:val="21"/>
          <w:highlight w:val="none"/>
        </w:rPr>
        <w:t>（投标人名称）：</w:t>
      </w:r>
    </w:p>
    <w:p>
      <w:pPr>
        <w:spacing w:line="360" w:lineRule="auto"/>
        <w:ind w:left="523" w:right="-20"/>
        <w:jc w:val="left"/>
        <w:rPr>
          <w:rFonts w:ascii="宋体" w:cs="宋体"/>
          <w:color w:val="auto"/>
          <w:szCs w:val="21"/>
          <w:highlight w:val="none"/>
        </w:rPr>
      </w:pPr>
      <w:r>
        <w:rPr>
          <w:rFonts w:hint="eastAsia" w:ascii="宋体" w:cs="宋体"/>
          <w:color w:val="auto"/>
          <w:szCs w:val="21"/>
          <w:highlight w:val="none"/>
        </w:rPr>
        <w:t>评标委员会对你方的投标文件进行了仔细的审查，现需你方对下列问题以书面形式予以澄</w:t>
      </w:r>
    </w:p>
    <w:p>
      <w:pPr>
        <w:spacing w:line="360" w:lineRule="auto"/>
        <w:ind w:left="100" w:right="-20"/>
        <w:jc w:val="left"/>
        <w:rPr>
          <w:rFonts w:ascii="宋体" w:cs="宋体"/>
          <w:color w:val="auto"/>
          <w:szCs w:val="21"/>
          <w:highlight w:val="none"/>
        </w:rPr>
      </w:pPr>
      <w:r>
        <w:rPr>
          <w:rFonts w:hint="eastAsia" w:ascii="宋体" w:cs="宋体"/>
          <w:color w:val="auto"/>
          <w:szCs w:val="21"/>
          <w:highlight w:val="none"/>
        </w:rPr>
        <w:t>清、说明或补正：</w:t>
      </w:r>
    </w:p>
    <w:p>
      <w:pPr>
        <w:spacing w:line="360" w:lineRule="auto"/>
        <w:ind w:left="523" w:right="-20"/>
        <w:jc w:val="left"/>
        <w:rPr>
          <w:rFonts w:ascii="宋体" w:cs="宋体"/>
          <w:color w:val="auto"/>
          <w:szCs w:val="21"/>
          <w:highlight w:val="none"/>
        </w:rPr>
      </w:pPr>
      <w:r>
        <w:rPr>
          <w:rFonts w:hint="eastAsia" w:ascii="宋体" w:cs="宋体"/>
          <w:color w:val="auto"/>
          <w:szCs w:val="21"/>
          <w:highlight w:val="none"/>
        </w:rPr>
        <w:t>1.</w:t>
      </w:r>
    </w:p>
    <w:p>
      <w:pPr>
        <w:spacing w:line="360" w:lineRule="auto"/>
        <w:ind w:left="523" w:right="-20"/>
        <w:jc w:val="left"/>
        <w:rPr>
          <w:rFonts w:ascii="宋体" w:cs="宋体"/>
          <w:color w:val="auto"/>
          <w:szCs w:val="21"/>
          <w:highlight w:val="none"/>
        </w:rPr>
      </w:pPr>
      <w:r>
        <w:rPr>
          <w:rFonts w:hint="eastAsia" w:ascii="宋体" w:cs="宋体"/>
          <w:color w:val="auto"/>
          <w:szCs w:val="21"/>
          <w:highlight w:val="none"/>
        </w:rPr>
        <w:t>2.</w:t>
      </w:r>
    </w:p>
    <w:p>
      <w:pPr>
        <w:spacing w:line="360" w:lineRule="auto"/>
        <w:ind w:left="628" w:right="-20"/>
        <w:jc w:val="left"/>
        <w:rPr>
          <w:rFonts w:ascii="宋体" w:cs="宋体"/>
          <w:color w:val="auto"/>
          <w:szCs w:val="21"/>
          <w:highlight w:val="none"/>
        </w:rPr>
      </w:pPr>
      <w:r>
        <w:rPr>
          <w:rFonts w:hint="eastAsia" w:ascii="宋体" w:cs="宋体"/>
          <w:color w:val="auto"/>
          <w:szCs w:val="21"/>
          <w:highlight w:val="none"/>
        </w:rPr>
        <w:t>......</w:t>
      </w:r>
    </w:p>
    <w:p>
      <w:pPr>
        <w:spacing w:line="360" w:lineRule="auto"/>
        <w:jc w:val="left"/>
        <w:rPr>
          <w:rFonts w:ascii="宋体" w:cs="宋体"/>
          <w:color w:val="auto"/>
          <w:szCs w:val="21"/>
          <w:highlight w:val="none"/>
        </w:rPr>
      </w:pPr>
    </w:p>
    <w:p>
      <w:pPr>
        <w:spacing w:line="360" w:lineRule="auto"/>
        <w:jc w:val="left"/>
        <w:rPr>
          <w:rFonts w:ascii="宋体" w:cs="宋体"/>
          <w:color w:val="auto"/>
          <w:szCs w:val="21"/>
          <w:highlight w:val="none"/>
        </w:rPr>
      </w:pPr>
    </w:p>
    <w:p>
      <w:pPr>
        <w:tabs>
          <w:tab w:val="left" w:pos="4600"/>
          <w:tab w:val="left" w:pos="5540"/>
          <w:tab w:val="left" w:pos="6480"/>
          <w:tab w:val="left" w:pos="7420"/>
        </w:tabs>
        <w:spacing w:line="360" w:lineRule="auto"/>
        <w:ind w:right="-23" w:firstLine="420" w:firstLineChars="200"/>
        <w:jc w:val="left"/>
        <w:rPr>
          <w:rFonts w:ascii="宋体" w:cs="宋体"/>
          <w:color w:val="auto"/>
          <w:szCs w:val="21"/>
          <w:highlight w:val="none"/>
        </w:rPr>
      </w:pPr>
      <w:r>
        <w:rPr>
          <w:rFonts w:hint="eastAsia" w:ascii="宋体" w:cs="宋体"/>
          <w:color w:val="auto"/>
          <w:szCs w:val="21"/>
          <w:highlight w:val="none"/>
        </w:rPr>
        <w:t>请将上述问题的澄清、说明或补正于年月日时前递交至（详细地址）或传真至（传真号码）或通过下载招标文件的电子招标交易平台上传。采用传真方式的，应在年月日时前将原件递交至（详细地址）。</w:t>
      </w:r>
    </w:p>
    <w:p>
      <w:pPr>
        <w:spacing w:line="360" w:lineRule="auto"/>
        <w:jc w:val="left"/>
        <w:rPr>
          <w:rFonts w:ascii="宋体" w:hAnsi="宋体"/>
          <w:color w:val="auto"/>
          <w:sz w:val="20"/>
          <w:highlight w:val="none"/>
        </w:rPr>
      </w:pPr>
    </w:p>
    <w:p>
      <w:pPr>
        <w:spacing w:line="360" w:lineRule="auto"/>
        <w:jc w:val="left"/>
        <w:rPr>
          <w:rFonts w:ascii="宋体" w:hAnsi="宋体"/>
          <w:color w:val="auto"/>
          <w:sz w:val="20"/>
          <w:highlight w:val="none"/>
        </w:rPr>
      </w:pPr>
    </w:p>
    <w:p>
      <w:pPr>
        <w:spacing w:line="360" w:lineRule="auto"/>
        <w:jc w:val="left"/>
        <w:rPr>
          <w:rFonts w:ascii="宋体" w:hAnsi="宋体"/>
          <w:color w:val="auto"/>
          <w:sz w:val="20"/>
          <w:highlight w:val="none"/>
        </w:rPr>
      </w:pPr>
    </w:p>
    <w:p>
      <w:pPr>
        <w:spacing w:before="9" w:line="360" w:lineRule="auto"/>
        <w:jc w:val="left"/>
        <w:rPr>
          <w:rFonts w:ascii="宋体" w:hAnsi="宋体"/>
          <w:color w:val="auto"/>
          <w:sz w:val="24"/>
          <w:highlight w:val="none"/>
        </w:rPr>
      </w:pPr>
    </w:p>
    <w:p>
      <w:pPr>
        <w:tabs>
          <w:tab w:val="left" w:pos="7020"/>
        </w:tabs>
        <w:spacing w:line="360" w:lineRule="auto"/>
        <w:ind w:left="2200" w:right="-20"/>
        <w:jc w:val="left"/>
        <w:rPr>
          <w:rFonts w:ascii="宋体" w:hAnsi="宋体"/>
          <w:color w:val="auto"/>
          <w:highlight w:val="none"/>
        </w:rPr>
      </w:pPr>
      <w:r>
        <w:rPr>
          <w:rFonts w:ascii="宋体" w:hAnsi="宋体"/>
          <w:color w:val="auto"/>
          <w:position w:val="-2"/>
          <w:highlight w:val="none"/>
        </w:rPr>
        <w:t>评标</w:t>
      </w:r>
      <w:r>
        <w:rPr>
          <w:rFonts w:ascii="宋体" w:hAnsi="宋体"/>
          <w:color w:val="auto"/>
          <w:spacing w:val="-2"/>
          <w:position w:val="-2"/>
          <w:highlight w:val="none"/>
        </w:rPr>
        <w:t>委</w:t>
      </w:r>
      <w:r>
        <w:rPr>
          <w:rFonts w:ascii="宋体" w:hAnsi="宋体"/>
          <w:color w:val="auto"/>
          <w:position w:val="-2"/>
          <w:highlight w:val="none"/>
        </w:rPr>
        <w:t>员</w:t>
      </w:r>
      <w:r>
        <w:rPr>
          <w:rFonts w:ascii="宋体" w:hAnsi="宋体"/>
          <w:color w:val="auto"/>
          <w:spacing w:val="-2"/>
          <w:position w:val="-2"/>
          <w:highlight w:val="none"/>
        </w:rPr>
        <w:t>会</w:t>
      </w:r>
      <w:r>
        <w:rPr>
          <w:rFonts w:ascii="宋体" w:hAnsi="宋体"/>
          <w:color w:val="auto"/>
          <w:position w:val="-2"/>
          <w:highlight w:val="none"/>
        </w:rPr>
        <w:t>授</w:t>
      </w:r>
      <w:r>
        <w:rPr>
          <w:rFonts w:ascii="宋体" w:hAnsi="宋体"/>
          <w:color w:val="auto"/>
          <w:spacing w:val="-2"/>
          <w:position w:val="-2"/>
          <w:highlight w:val="none"/>
        </w:rPr>
        <w:t>权</w:t>
      </w:r>
      <w:r>
        <w:rPr>
          <w:rFonts w:ascii="宋体" w:hAnsi="宋体"/>
          <w:color w:val="auto"/>
          <w:position w:val="-2"/>
          <w:highlight w:val="none"/>
        </w:rPr>
        <w:t>的</w:t>
      </w:r>
      <w:r>
        <w:rPr>
          <w:rFonts w:ascii="宋体" w:hAnsi="宋体"/>
          <w:color w:val="auto"/>
          <w:spacing w:val="-2"/>
          <w:position w:val="-2"/>
          <w:highlight w:val="none"/>
        </w:rPr>
        <w:t>招</w:t>
      </w:r>
      <w:r>
        <w:rPr>
          <w:rFonts w:ascii="宋体" w:hAnsi="宋体"/>
          <w:color w:val="auto"/>
          <w:position w:val="-2"/>
          <w:highlight w:val="none"/>
        </w:rPr>
        <w:t>标</w:t>
      </w:r>
      <w:r>
        <w:rPr>
          <w:rFonts w:ascii="宋体" w:hAnsi="宋体"/>
          <w:color w:val="auto"/>
          <w:spacing w:val="-2"/>
          <w:position w:val="-2"/>
          <w:highlight w:val="none"/>
        </w:rPr>
        <w:t>人</w:t>
      </w:r>
      <w:r>
        <w:rPr>
          <w:rFonts w:ascii="宋体" w:hAnsi="宋体"/>
          <w:color w:val="auto"/>
          <w:position w:val="-2"/>
          <w:highlight w:val="none"/>
        </w:rPr>
        <w:t>或招</w:t>
      </w:r>
      <w:r>
        <w:rPr>
          <w:rFonts w:ascii="宋体" w:hAnsi="宋体"/>
          <w:color w:val="auto"/>
          <w:spacing w:val="-2"/>
          <w:position w:val="-2"/>
          <w:highlight w:val="none"/>
        </w:rPr>
        <w:t>标</w:t>
      </w:r>
      <w:r>
        <w:rPr>
          <w:rFonts w:ascii="宋体" w:hAnsi="宋体"/>
          <w:color w:val="auto"/>
          <w:position w:val="-2"/>
          <w:highlight w:val="none"/>
        </w:rPr>
        <w:t>代</w:t>
      </w:r>
      <w:r>
        <w:rPr>
          <w:rFonts w:ascii="宋体" w:hAnsi="宋体"/>
          <w:color w:val="auto"/>
          <w:spacing w:val="-2"/>
          <w:position w:val="-2"/>
          <w:highlight w:val="none"/>
        </w:rPr>
        <w:t>理</w:t>
      </w:r>
      <w:r>
        <w:rPr>
          <w:rFonts w:ascii="宋体" w:hAnsi="宋体"/>
          <w:color w:val="auto"/>
          <w:position w:val="-2"/>
          <w:highlight w:val="none"/>
        </w:rPr>
        <w:t>机</w:t>
      </w:r>
      <w:r>
        <w:rPr>
          <w:rFonts w:ascii="宋体" w:hAnsi="宋体"/>
          <w:color w:val="auto"/>
          <w:spacing w:val="-2"/>
          <w:position w:val="-2"/>
          <w:highlight w:val="none"/>
        </w:rPr>
        <w:t>构</w:t>
      </w:r>
      <w:r>
        <w:rPr>
          <w:rFonts w:ascii="宋体" w:hAnsi="宋体"/>
          <w:color w:val="auto"/>
          <w:position w:val="-2"/>
          <w:highlight w:val="none"/>
        </w:rPr>
        <w:t>：</w:t>
      </w:r>
      <w:r>
        <w:rPr>
          <w:rFonts w:ascii="宋体" w:hAnsi="宋体"/>
          <w:color w:val="auto"/>
          <w:position w:val="-2"/>
          <w:highlight w:val="none"/>
          <w:u w:val="single"/>
        </w:rPr>
        <w:t xml:space="preserve"> </w:t>
      </w:r>
      <w:r>
        <w:rPr>
          <w:rFonts w:ascii="宋体" w:hAnsi="宋体"/>
          <w:color w:val="auto"/>
          <w:spacing w:val="1"/>
          <w:position w:val="-2"/>
          <w:highlight w:val="none"/>
          <w:u w:val="single"/>
        </w:rPr>
        <w:t xml:space="preserve"> </w:t>
      </w:r>
      <w:r>
        <w:rPr>
          <w:rFonts w:ascii="宋体" w:hAnsi="宋体"/>
          <w:color w:val="auto"/>
          <w:position w:val="-2"/>
          <w:highlight w:val="none"/>
          <w:u w:val="single"/>
        </w:rPr>
        <w:tab/>
      </w:r>
      <w:r>
        <w:rPr>
          <w:rFonts w:ascii="宋体" w:hAnsi="宋体"/>
          <w:color w:val="auto"/>
          <w:position w:val="-2"/>
          <w:highlight w:val="none"/>
        </w:rPr>
        <w:t>（签</w:t>
      </w:r>
      <w:r>
        <w:rPr>
          <w:rFonts w:ascii="宋体" w:hAnsi="宋体"/>
          <w:color w:val="auto"/>
          <w:spacing w:val="-2"/>
          <w:position w:val="-2"/>
          <w:highlight w:val="none"/>
        </w:rPr>
        <w:t>字</w:t>
      </w:r>
      <w:r>
        <w:rPr>
          <w:rFonts w:ascii="宋体" w:hAnsi="宋体"/>
          <w:color w:val="auto"/>
          <w:position w:val="-2"/>
          <w:highlight w:val="none"/>
        </w:rPr>
        <w:t>或</w:t>
      </w:r>
      <w:r>
        <w:rPr>
          <w:rFonts w:ascii="宋体" w:hAnsi="宋体"/>
          <w:color w:val="auto"/>
          <w:spacing w:val="-2"/>
          <w:position w:val="-2"/>
          <w:highlight w:val="none"/>
        </w:rPr>
        <w:t>盖</w:t>
      </w:r>
      <w:r>
        <w:rPr>
          <w:rFonts w:ascii="宋体" w:hAnsi="宋体"/>
          <w:color w:val="auto"/>
          <w:position w:val="-2"/>
          <w:highlight w:val="none"/>
        </w:rPr>
        <w:t>章）</w:t>
      </w:r>
    </w:p>
    <w:p>
      <w:pPr>
        <w:spacing w:line="360" w:lineRule="auto"/>
        <w:jc w:val="left"/>
        <w:rPr>
          <w:rFonts w:ascii="宋体" w:hAnsi="宋体"/>
          <w:color w:val="auto"/>
          <w:sz w:val="20"/>
          <w:highlight w:val="none"/>
        </w:rPr>
      </w:pPr>
    </w:p>
    <w:p>
      <w:pPr>
        <w:spacing w:line="360" w:lineRule="auto"/>
        <w:jc w:val="left"/>
        <w:rPr>
          <w:rFonts w:ascii="宋体" w:hAnsi="宋体"/>
          <w:color w:val="auto"/>
          <w:sz w:val="20"/>
          <w:highlight w:val="none"/>
        </w:rPr>
      </w:pPr>
    </w:p>
    <w:p>
      <w:pPr>
        <w:spacing w:before="10" w:line="360" w:lineRule="auto"/>
        <w:jc w:val="left"/>
        <w:rPr>
          <w:rFonts w:ascii="宋体" w:hAnsi="宋体"/>
          <w:color w:val="auto"/>
          <w:sz w:val="20"/>
          <w:highlight w:val="none"/>
        </w:rPr>
      </w:pPr>
    </w:p>
    <w:p>
      <w:pPr>
        <w:tabs>
          <w:tab w:val="left" w:pos="5800"/>
          <w:tab w:val="left" w:pos="6740"/>
          <w:tab w:val="left" w:pos="7680"/>
        </w:tabs>
        <w:spacing w:line="360" w:lineRule="auto"/>
        <w:ind w:left="4961" w:right="-20"/>
        <w:jc w:val="left"/>
        <w:rPr>
          <w:rFonts w:ascii="宋体" w:hAnsi="宋体"/>
          <w:color w:val="auto"/>
          <w:highlight w:val="none"/>
        </w:rPr>
      </w:pPr>
      <w:r>
        <w:rPr>
          <w:rFonts w:ascii="宋体" w:hAnsi="宋体"/>
          <w:color w:val="auto"/>
          <w:w w:val="201"/>
          <w:position w:val="-1"/>
          <w:highlight w:val="none"/>
          <w:u w:val="single"/>
        </w:rPr>
        <w:t xml:space="preserve"> </w:t>
      </w:r>
      <w:r>
        <w:rPr>
          <w:rFonts w:ascii="宋体" w:hAnsi="宋体"/>
          <w:color w:val="auto"/>
          <w:position w:val="-1"/>
          <w:highlight w:val="none"/>
          <w:u w:val="single"/>
        </w:rPr>
        <w:tab/>
      </w:r>
      <w:r>
        <w:rPr>
          <w:rFonts w:ascii="宋体" w:hAnsi="宋体"/>
          <w:color w:val="auto"/>
          <w:spacing w:val="-2"/>
          <w:position w:val="-1"/>
          <w:highlight w:val="none"/>
        </w:rPr>
        <w:t>年</w:t>
      </w:r>
      <w:r>
        <w:rPr>
          <w:rFonts w:ascii="宋体" w:hAnsi="宋体"/>
          <w:color w:val="auto"/>
          <w:position w:val="-1"/>
          <w:highlight w:val="none"/>
          <w:u w:val="single"/>
        </w:rPr>
        <w:t xml:space="preserve"> </w:t>
      </w:r>
      <w:r>
        <w:rPr>
          <w:rFonts w:ascii="宋体" w:hAnsi="宋体"/>
          <w:color w:val="auto"/>
          <w:spacing w:val="1"/>
          <w:position w:val="-1"/>
          <w:highlight w:val="none"/>
          <w:u w:val="single"/>
        </w:rPr>
        <w:t xml:space="preserve"> </w:t>
      </w:r>
      <w:r>
        <w:rPr>
          <w:rFonts w:ascii="宋体" w:hAnsi="宋体"/>
          <w:color w:val="auto"/>
          <w:position w:val="-1"/>
          <w:highlight w:val="none"/>
          <w:u w:val="single"/>
        </w:rPr>
        <w:tab/>
      </w:r>
      <w:r>
        <w:rPr>
          <w:rFonts w:ascii="宋体" w:hAnsi="宋体"/>
          <w:color w:val="auto"/>
          <w:position w:val="-1"/>
          <w:highlight w:val="none"/>
        </w:rPr>
        <w:t>月</w:t>
      </w:r>
      <w:r>
        <w:rPr>
          <w:rFonts w:ascii="宋体" w:hAnsi="宋体"/>
          <w:color w:val="auto"/>
          <w:position w:val="-1"/>
          <w:highlight w:val="none"/>
          <w:u w:val="single"/>
        </w:rPr>
        <w:t xml:space="preserve"> </w:t>
      </w:r>
      <w:r>
        <w:rPr>
          <w:rFonts w:ascii="宋体" w:hAnsi="宋体"/>
          <w:color w:val="auto"/>
          <w:spacing w:val="1"/>
          <w:position w:val="-1"/>
          <w:highlight w:val="none"/>
          <w:u w:val="single"/>
        </w:rPr>
        <w:t xml:space="preserve"> </w:t>
      </w:r>
      <w:r>
        <w:rPr>
          <w:rFonts w:ascii="宋体" w:hAnsi="宋体"/>
          <w:color w:val="auto"/>
          <w:position w:val="-1"/>
          <w:highlight w:val="none"/>
          <w:u w:val="single"/>
        </w:rPr>
        <w:tab/>
      </w:r>
      <w:r>
        <w:rPr>
          <w:rFonts w:ascii="宋体" w:hAnsi="宋体"/>
          <w:color w:val="auto"/>
          <w:position w:val="-1"/>
          <w:highlight w:val="none"/>
        </w:rPr>
        <w:t>日</w:t>
      </w:r>
    </w:p>
    <w:p>
      <w:pPr>
        <w:tabs>
          <w:tab w:val="left" w:pos="5800"/>
          <w:tab w:val="left" w:pos="6740"/>
          <w:tab w:val="left" w:pos="7680"/>
        </w:tabs>
        <w:spacing w:line="360" w:lineRule="auto"/>
        <w:ind w:left="4961" w:right="-20"/>
        <w:jc w:val="left"/>
        <w:rPr>
          <w:rFonts w:ascii="宋体" w:hAnsi="宋体"/>
          <w:color w:val="auto"/>
          <w:highlight w:val="none"/>
        </w:rPr>
        <w:sectPr>
          <w:pgSz w:w="12240" w:h="15840"/>
          <w:pgMar w:top="1380" w:right="1680" w:bottom="920" w:left="1700" w:header="0" w:footer="721" w:gutter="0"/>
          <w:pgNumType w:fmt="decimal"/>
          <w:cols w:space="720" w:num="1"/>
        </w:sectPr>
      </w:pPr>
    </w:p>
    <w:p>
      <w:pPr>
        <w:spacing w:line="360" w:lineRule="auto"/>
        <w:ind w:left="237" w:right="-20"/>
        <w:jc w:val="left"/>
        <w:rPr>
          <w:rFonts w:ascii="宋体" w:hAnsi="宋体"/>
          <w:color w:val="auto"/>
          <w:sz w:val="28"/>
          <w:highlight w:val="none"/>
        </w:rPr>
      </w:pPr>
      <w:r>
        <w:rPr>
          <w:rFonts w:ascii="宋体" w:hAnsi="宋体"/>
          <w:color w:val="auto"/>
          <w:position w:val="-4"/>
          <w:sz w:val="28"/>
          <w:highlight w:val="none"/>
        </w:rPr>
        <w:t>附件三</w:t>
      </w:r>
      <w:r>
        <w:rPr>
          <w:rFonts w:ascii="宋体" w:hAnsi="宋体"/>
          <w:color w:val="auto"/>
          <w:spacing w:val="-3"/>
          <w:position w:val="-4"/>
          <w:sz w:val="28"/>
          <w:highlight w:val="none"/>
        </w:rPr>
        <w:t>：</w:t>
      </w:r>
      <w:r>
        <w:rPr>
          <w:rFonts w:ascii="宋体" w:hAnsi="宋体"/>
          <w:color w:val="auto"/>
          <w:position w:val="-4"/>
          <w:sz w:val="28"/>
          <w:highlight w:val="none"/>
        </w:rPr>
        <w:t>问题</w:t>
      </w:r>
      <w:r>
        <w:rPr>
          <w:rFonts w:ascii="宋体" w:hAnsi="宋体"/>
          <w:color w:val="auto"/>
          <w:spacing w:val="-3"/>
          <w:position w:val="-4"/>
          <w:sz w:val="28"/>
          <w:highlight w:val="none"/>
        </w:rPr>
        <w:t>的澄</w:t>
      </w:r>
      <w:r>
        <w:rPr>
          <w:rFonts w:ascii="宋体" w:hAnsi="宋体"/>
          <w:color w:val="auto"/>
          <w:position w:val="-4"/>
          <w:sz w:val="28"/>
          <w:highlight w:val="none"/>
        </w:rPr>
        <w:t>清</w:t>
      </w:r>
    </w:p>
    <w:p>
      <w:pPr>
        <w:spacing w:before="9" w:line="360" w:lineRule="auto"/>
        <w:jc w:val="left"/>
        <w:rPr>
          <w:rFonts w:ascii="宋体" w:hAnsi="宋体"/>
          <w:color w:val="auto"/>
          <w:sz w:val="17"/>
          <w:highlight w:val="none"/>
        </w:rPr>
      </w:pPr>
    </w:p>
    <w:p>
      <w:pPr>
        <w:spacing w:line="360" w:lineRule="auto"/>
        <w:jc w:val="left"/>
        <w:rPr>
          <w:rFonts w:ascii="宋体" w:hAnsi="宋体"/>
          <w:color w:val="auto"/>
          <w:sz w:val="20"/>
          <w:highlight w:val="none"/>
        </w:rPr>
      </w:pPr>
    </w:p>
    <w:p>
      <w:pPr>
        <w:spacing w:line="360" w:lineRule="auto"/>
        <w:jc w:val="left"/>
        <w:rPr>
          <w:rFonts w:ascii="宋体" w:hAnsi="宋体"/>
          <w:color w:val="auto"/>
          <w:sz w:val="20"/>
          <w:highlight w:val="none"/>
        </w:rPr>
      </w:pPr>
    </w:p>
    <w:p>
      <w:pPr>
        <w:spacing w:line="360" w:lineRule="auto"/>
        <w:ind w:left="3679" w:right="3677"/>
        <w:jc w:val="center"/>
        <w:rPr>
          <w:rFonts w:ascii="宋体" w:hAnsi="宋体"/>
          <w:color w:val="auto"/>
          <w:sz w:val="28"/>
          <w:highlight w:val="none"/>
        </w:rPr>
      </w:pPr>
      <w:r>
        <w:rPr>
          <w:rFonts w:ascii="宋体" w:hAnsi="宋体"/>
          <w:color w:val="auto"/>
          <w:sz w:val="28"/>
          <w:highlight w:val="none"/>
        </w:rPr>
        <w:t>问题的</w:t>
      </w:r>
      <w:r>
        <w:rPr>
          <w:rFonts w:ascii="宋体" w:hAnsi="宋体"/>
          <w:color w:val="auto"/>
          <w:spacing w:val="-3"/>
          <w:sz w:val="28"/>
          <w:highlight w:val="none"/>
        </w:rPr>
        <w:t>澄</w:t>
      </w:r>
      <w:r>
        <w:rPr>
          <w:rFonts w:ascii="宋体" w:hAnsi="宋体"/>
          <w:color w:val="auto"/>
          <w:sz w:val="28"/>
          <w:highlight w:val="none"/>
        </w:rPr>
        <w:t>清</w:t>
      </w:r>
    </w:p>
    <w:p>
      <w:pPr>
        <w:tabs>
          <w:tab w:val="left" w:pos="5940"/>
        </w:tabs>
        <w:spacing w:before="19" w:line="360" w:lineRule="auto"/>
        <w:ind w:left="3567" w:right="-20"/>
        <w:jc w:val="left"/>
        <w:rPr>
          <w:rFonts w:ascii="宋体" w:hAnsi="宋体"/>
          <w:color w:val="auto"/>
          <w:highlight w:val="none"/>
        </w:rPr>
      </w:pPr>
      <w:r>
        <w:rPr>
          <w:rFonts w:ascii="宋体" w:hAnsi="宋体"/>
          <w:color w:val="auto"/>
          <w:position w:val="-4"/>
          <w:highlight w:val="none"/>
        </w:rPr>
        <w:t>（编</w:t>
      </w:r>
      <w:r>
        <w:rPr>
          <w:rFonts w:ascii="宋体" w:hAnsi="宋体"/>
          <w:color w:val="auto"/>
          <w:spacing w:val="-2"/>
          <w:position w:val="-4"/>
          <w:highlight w:val="none"/>
        </w:rPr>
        <w:t>号</w:t>
      </w:r>
      <w:r>
        <w:rPr>
          <w:rFonts w:ascii="宋体" w:hAnsi="宋体"/>
          <w:color w:val="auto"/>
          <w:position w:val="-4"/>
          <w:highlight w:val="none"/>
        </w:rPr>
        <w:t>：</w:t>
      </w:r>
      <w:r>
        <w:rPr>
          <w:rFonts w:ascii="宋体" w:hAnsi="宋体"/>
          <w:color w:val="auto"/>
          <w:position w:val="-4"/>
          <w:highlight w:val="none"/>
          <w:u w:val="single"/>
        </w:rPr>
        <w:t xml:space="preserve"> </w:t>
      </w:r>
      <w:r>
        <w:rPr>
          <w:rFonts w:ascii="宋体" w:hAnsi="宋体"/>
          <w:color w:val="auto"/>
          <w:spacing w:val="1"/>
          <w:position w:val="-4"/>
          <w:highlight w:val="none"/>
          <w:u w:val="single"/>
        </w:rPr>
        <w:t xml:space="preserve"> </w:t>
      </w:r>
      <w:r>
        <w:rPr>
          <w:rFonts w:ascii="宋体" w:hAnsi="宋体"/>
          <w:color w:val="auto"/>
          <w:position w:val="-4"/>
          <w:highlight w:val="none"/>
          <w:u w:val="single"/>
        </w:rPr>
        <w:tab/>
      </w:r>
      <w:r>
        <w:rPr>
          <w:rFonts w:ascii="宋体" w:hAnsi="宋体"/>
          <w:color w:val="auto"/>
          <w:position w:val="-4"/>
          <w:highlight w:val="none"/>
        </w:rPr>
        <w:t>）</w:t>
      </w:r>
    </w:p>
    <w:p>
      <w:pPr>
        <w:spacing w:before="4" w:line="360" w:lineRule="auto"/>
        <w:jc w:val="left"/>
        <w:rPr>
          <w:rFonts w:ascii="宋体" w:hAnsi="宋体"/>
          <w:color w:val="auto"/>
          <w:sz w:val="16"/>
          <w:highlight w:val="none"/>
        </w:rPr>
      </w:pPr>
    </w:p>
    <w:p>
      <w:pPr>
        <w:spacing w:line="360" w:lineRule="auto"/>
        <w:jc w:val="left"/>
        <w:rPr>
          <w:rFonts w:ascii="宋体" w:hAnsi="宋体"/>
          <w:color w:val="auto"/>
          <w:sz w:val="20"/>
          <w:highlight w:val="none"/>
        </w:rPr>
      </w:pPr>
    </w:p>
    <w:p>
      <w:pPr>
        <w:spacing w:line="360" w:lineRule="auto"/>
        <w:ind w:left="100" w:right="-20"/>
        <w:jc w:val="left"/>
        <w:rPr>
          <w:rFonts w:ascii="宋体" w:hAnsi="宋体"/>
          <w:color w:val="auto"/>
          <w:highlight w:val="none"/>
        </w:rPr>
      </w:pPr>
      <w:r>
        <w:rPr>
          <w:rFonts w:ascii="宋体" w:hAnsi="宋体"/>
          <w:color w:val="auto"/>
          <w:position w:val="-1"/>
          <w:highlight w:val="none"/>
        </w:rPr>
        <w:t>评标</w:t>
      </w:r>
      <w:r>
        <w:rPr>
          <w:rFonts w:ascii="宋体" w:hAnsi="宋体"/>
          <w:color w:val="auto"/>
          <w:spacing w:val="-2"/>
          <w:position w:val="-1"/>
          <w:highlight w:val="none"/>
        </w:rPr>
        <w:t>委</w:t>
      </w:r>
      <w:r>
        <w:rPr>
          <w:rFonts w:ascii="宋体" w:hAnsi="宋体"/>
          <w:color w:val="auto"/>
          <w:position w:val="-1"/>
          <w:highlight w:val="none"/>
        </w:rPr>
        <w:t>员</w:t>
      </w:r>
      <w:r>
        <w:rPr>
          <w:rFonts w:ascii="宋体" w:hAnsi="宋体"/>
          <w:color w:val="auto"/>
          <w:spacing w:val="-3"/>
          <w:position w:val="-1"/>
          <w:highlight w:val="none"/>
        </w:rPr>
        <w:t>会</w:t>
      </w:r>
      <w:r>
        <w:rPr>
          <w:rFonts w:ascii="宋体" w:hAnsi="宋体"/>
          <w:color w:val="auto"/>
          <w:position w:val="-1"/>
          <w:highlight w:val="none"/>
        </w:rPr>
        <w:t>：</w:t>
      </w:r>
    </w:p>
    <w:p>
      <w:pPr>
        <w:spacing w:before="8" w:line="360" w:lineRule="auto"/>
        <w:jc w:val="left"/>
        <w:rPr>
          <w:rFonts w:ascii="宋体" w:hAnsi="宋体"/>
          <w:color w:val="auto"/>
          <w:sz w:val="11"/>
          <w:highlight w:val="none"/>
        </w:rPr>
      </w:pPr>
    </w:p>
    <w:p>
      <w:pPr>
        <w:spacing w:line="360" w:lineRule="auto"/>
        <w:jc w:val="left"/>
        <w:rPr>
          <w:rFonts w:ascii="宋体" w:hAnsi="宋体"/>
          <w:color w:val="auto"/>
          <w:sz w:val="20"/>
          <w:highlight w:val="none"/>
        </w:rPr>
      </w:pPr>
    </w:p>
    <w:p>
      <w:pPr>
        <w:tabs>
          <w:tab w:val="left" w:pos="3460"/>
        </w:tabs>
        <w:spacing w:line="360" w:lineRule="auto"/>
        <w:ind w:left="523" w:right="-20"/>
        <w:jc w:val="left"/>
        <w:rPr>
          <w:rFonts w:ascii="宋体" w:hAnsi="宋体"/>
          <w:color w:val="auto"/>
          <w:highlight w:val="none"/>
        </w:rPr>
      </w:pPr>
      <w:r>
        <w:rPr>
          <w:rFonts w:ascii="宋体" w:hAnsi="宋体"/>
          <w:color w:val="auto"/>
          <w:spacing w:val="-2"/>
          <w:position w:val="-4"/>
          <w:highlight w:val="none"/>
        </w:rPr>
        <w:t>问</w:t>
      </w:r>
      <w:r>
        <w:rPr>
          <w:rFonts w:ascii="宋体" w:hAnsi="宋体"/>
          <w:color w:val="auto"/>
          <w:position w:val="-4"/>
          <w:highlight w:val="none"/>
        </w:rPr>
        <w:t>题</w:t>
      </w:r>
      <w:r>
        <w:rPr>
          <w:rFonts w:ascii="宋体" w:hAnsi="宋体"/>
          <w:color w:val="auto"/>
          <w:spacing w:val="-2"/>
          <w:position w:val="-4"/>
          <w:highlight w:val="none"/>
        </w:rPr>
        <w:t>澄</w:t>
      </w:r>
      <w:r>
        <w:rPr>
          <w:rFonts w:ascii="宋体" w:hAnsi="宋体"/>
          <w:color w:val="auto"/>
          <w:position w:val="-4"/>
          <w:highlight w:val="none"/>
        </w:rPr>
        <w:t>清</w:t>
      </w:r>
      <w:r>
        <w:rPr>
          <w:rFonts w:ascii="宋体" w:hAnsi="宋体"/>
          <w:color w:val="auto"/>
          <w:spacing w:val="-2"/>
          <w:position w:val="-4"/>
          <w:highlight w:val="none"/>
        </w:rPr>
        <w:t>通</w:t>
      </w:r>
      <w:r>
        <w:rPr>
          <w:rFonts w:ascii="宋体" w:hAnsi="宋体"/>
          <w:color w:val="auto"/>
          <w:position w:val="-4"/>
          <w:highlight w:val="none"/>
        </w:rPr>
        <w:t>知</w:t>
      </w:r>
      <w:r>
        <w:rPr>
          <w:rFonts w:ascii="宋体" w:hAnsi="宋体"/>
          <w:color w:val="auto"/>
          <w:spacing w:val="-2"/>
          <w:position w:val="-4"/>
          <w:highlight w:val="none"/>
        </w:rPr>
        <w:t>（</w:t>
      </w:r>
      <w:r>
        <w:rPr>
          <w:rFonts w:ascii="宋体" w:hAnsi="宋体"/>
          <w:color w:val="auto"/>
          <w:position w:val="-4"/>
          <w:highlight w:val="none"/>
        </w:rPr>
        <w:t>编</w:t>
      </w:r>
      <w:r>
        <w:rPr>
          <w:rFonts w:ascii="宋体" w:hAnsi="宋体"/>
          <w:color w:val="auto"/>
          <w:spacing w:val="-2"/>
          <w:position w:val="-4"/>
          <w:highlight w:val="none"/>
        </w:rPr>
        <w:t>号</w:t>
      </w:r>
      <w:r>
        <w:rPr>
          <w:rFonts w:ascii="宋体" w:hAnsi="宋体"/>
          <w:color w:val="auto"/>
          <w:position w:val="-4"/>
          <w:highlight w:val="none"/>
        </w:rPr>
        <w:t>：</w:t>
      </w:r>
      <w:r>
        <w:rPr>
          <w:rFonts w:ascii="宋体" w:hAnsi="宋体"/>
          <w:color w:val="auto"/>
          <w:position w:val="-4"/>
          <w:highlight w:val="none"/>
          <w:u w:val="single"/>
        </w:rPr>
        <w:t xml:space="preserve"> </w:t>
      </w:r>
      <w:r>
        <w:rPr>
          <w:rFonts w:ascii="宋体" w:hAnsi="宋体"/>
          <w:color w:val="auto"/>
          <w:spacing w:val="1"/>
          <w:position w:val="-4"/>
          <w:highlight w:val="none"/>
          <w:u w:val="single"/>
        </w:rPr>
        <w:t xml:space="preserve"> </w:t>
      </w:r>
      <w:r>
        <w:rPr>
          <w:rFonts w:ascii="宋体" w:hAnsi="宋体"/>
          <w:color w:val="auto"/>
          <w:position w:val="-4"/>
          <w:highlight w:val="none"/>
          <w:u w:val="single"/>
        </w:rPr>
        <w:tab/>
      </w:r>
      <w:r>
        <w:rPr>
          <w:rFonts w:ascii="宋体" w:hAnsi="宋体"/>
          <w:color w:val="auto"/>
          <w:position w:val="-4"/>
          <w:highlight w:val="none"/>
        </w:rPr>
        <w:t>）已收</w:t>
      </w:r>
      <w:r>
        <w:rPr>
          <w:rFonts w:ascii="宋体" w:hAnsi="宋体"/>
          <w:color w:val="auto"/>
          <w:spacing w:val="-2"/>
          <w:position w:val="-4"/>
          <w:highlight w:val="none"/>
        </w:rPr>
        <w:t>悉</w:t>
      </w:r>
      <w:r>
        <w:rPr>
          <w:rFonts w:ascii="宋体" w:hAnsi="宋体"/>
          <w:color w:val="auto"/>
          <w:position w:val="-4"/>
          <w:highlight w:val="none"/>
        </w:rPr>
        <w:t>，</w:t>
      </w:r>
      <w:r>
        <w:rPr>
          <w:rFonts w:ascii="宋体" w:hAnsi="宋体"/>
          <w:color w:val="auto"/>
          <w:spacing w:val="-2"/>
          <w:position w:val="-4"/>
          <w:highlight w:val="none"/>
        </w:rPr>
        <w:t>现</w:t>
      </w:r>
      <w:r>
        <w:rPr>
          <w:rFonts w:ascii="宋体" w:hAnsi="宋体"/>
          <w:color w:val="auto"/>
          <w:position w:val="-4"/>
          <w:highlight w:val="none"/>
        </w:rPr>
        <w:t>澄清</w:t>
      </w:r>
      <w:r>
        <w:rPr>
          <w:rFonts w:ascii="宋体" w:hAnsi="宋体"/>
          <w:color w:val="auto"/>
          <w:spacing w:val="-2"/>
          <w:position w:val="-4"/>
          <w:highlight w:val="none"/>
        </w:rPr>
        <w:t>、</w:t>
      </w:r>
      <w:r>
        <w:rPr>
          <w:rFonts w:ascii="宋体" w:hAnsi="宋体"/>
          <w:color w:val="auto"/>
          <w:position w:val="-4"/>
          <w:highlight w:val="none"/>
        </w:rPr>
        <w:t>说</w:t>
      </w:r>
      <w:r>
        <w:rPr>
          <w:rFonts w:ascii="宋体" w:hAnsi="宋体"/>
          <w:color w:val="auto"/>
          <w:spacing w:val="-2"/>
          <w:position w:val="-4"/>
          <w:highlight w:val="none"/>
        </w:rPr>
        <w:t>明</w:t>
      </w:r>
      <w:r>
        <w:rPr>
          <w:rFonts w:ascii="宋体" w:hAnsi="宋体"/>
          <w:color w:val="auto"/>
          <w:position w:val="-4"/>
          <w:highlight w:val="none"/>
        </w:rPr>
        <w:t>或</w:t>
      </w:r>
      <w:r>
        <w:rPr>
          <w:rFonts w:ascii="宋体" w:hAnsi="宋体"/>
          <w:color w:val="auto"/>
          <w:spacing w:val="-2"/>
          <w:position w:val="-4"/>
          <w:highlight w:val="none"/>
        </w:rPr>
        <w:t>补</w:t>
      </w:r>
      <w:r>
        <w:rPr>
          <w:rFonts w:ascii="宋体" w:hAnsi="宋体"/>
          <w:color w:val="auto"/>
          <w:position w:val="-4"/>
          <w:highlight w:val="none"/>
        </w:rPr>
        <w:t>正</w:t>
      </w:r>
      <w:r>
        <w:rPr>
          <w:rFonts w:ascii="宋体" w:hAnsi="宋体"/>
          <w:color w:val="auto"/>
          <w:spacing w:val="-2"/>
          <w:position w:val="-4"/>
          <w:highlight w:val="none"/>
        </w:rPr>
        <w:t>如</w:t>
      </w:r>
      <w:r>
        <w:rPr>
          <w:rFonts w:ascii="宋体" w:hAnsi="宋体"/>
          <w:color w:val="auto"/>
          <w:position w:val="-4"/>
          <w:highlight w:val="none"/>
        </w:rPr>
        <w:t>下：</w:t>
      </w:r>
    </w:p>
    <w:p>
      <w:pPr>
        <w:spacing w:before="2" w:line="360" w:lineRule="auto"/>
        <w:jc w:val="left"/>
        <w:rPr>
          <w:rFonts w:ascii="宋体" w:hAnsi="宋体"/>
          <w:color w:val="auto"/>
          <w:sz w:val="18"/>
          <w:highlight w:val="none"/>
        </w:rPr>
      </w:pPr>
    </w:p>
    <w:p>
      <w:pPr>
        <w:spacing w:before="34" w:line="360" w:lineRule="auto"/>
        <w:ind w:left="801" w:right="7809"/>
        <w:jc w:val="center"/>
        <w:rPr>
          <w:rFonts w:ascii="宋体" w:hAnsi="宋体"/>
          <w:color w:val="auto"/>
          <w:highlight w:val="none"/>
        </w:rPr>
      </w:pPr>
      <w:r>
        <w:rPr>
          <w:rFonts w:ascii="宋体" w:hAnsi="宋体"/>
          <w:color w:val="auto"/>
          <w:highlight w:val="none"/>
        </w:rPr>
        <w:t>1.</w:t>
      </w:r>
    </w:p>
    <w:p>
      <w:pPr>
        <w:spacing w:before="8" w:line="360" w:lineRule="auto"/>
        <w:jc w:val="left"/>
        <w:rPr>
          <w:rFonts w:ascii="宋体" w:hAnsi="宋体"/>
          <w:color w:val="auto"/>
          <w:sz w:val="19"/>
          <w:highlight w:val="none"/>
        </w:rPr>
      </w:pPr>
    </w:p>
    <w:p>
      <w:pPr>
        <w:spacing w:line="360" w:lineRule="auto"/>
        <w:ind w:left="801" w:right="7809"/>
        <w:jc w:val="center"/>
        <w:rPr>
          <w:rFonts w:ascii="宋体" w:hAnsi="宋体"/>
          <w:color w:val="auto"/>
          <w:highlight w:val="none"/>
        </w:rPr>
      </w:pPr>
      <w:r>
        <w:rPr>
          <w:rFonts w:ascii="宋体" w:hAnsi="宋体"/>
          <w:color w:val="auto"/>
          <w:highlight w:val="none"/>
        </w:rPr>
        <w:t>2.</w:t>
      </w:r>
    </w:p>
    <w:p>
      <w:pPr>
        <w:spacing w:before="8" w:line="360" w:lineRule="auto"/>
        <w:jc w:val="left"/>
        <w:rPr>
          <w:rFonts w:ascii="宋体" w:hAnsi="宋体"/>
          <w:color w:val="auto"/>
          <w:sz w:val="19"/>
          <w:highlight w:val="none"/>
        </w:rPr>
      </w:pPr>
    </w:p>
    <w:p>
      <w:pPr>
        <w:spacing w:line="360" w:lineRule="auto"/>
        <w:ind w:left="696" w:right="7809"/>
        <w:jc w:val="center"/>
        <w:rPr>
          <w:rFonts w:ascii="宋体" w:hAnsi="宋体"/>
          <w:color w:val="auto"/>
          <w:highlight w:val="none"/>
        </w:rPr>
      </w:pPr>
      <w:r>
        <w:rPr>
          <w:rFonts w:ascii="宋体" w:hAnsi="宋体"/>
          <w:color w:val="auto"/>
          <w:highlight w:val="none"/>
        </w:rPr>
        <w:t>.....</w:t>
      </w:r>
    </w:p>
    <w:p>
      <w:pPr>
        <w:spacing w:line="360" w:lineRule="auto"/>
        <w:jc w:val="left"/>
        <w:rPr>
          <w:rFonts w:ascii="宋体" w:hAnsi="宋体"/>
          <w:color w:val="auto"/>
          <w:sz w:val="20"/>
          <w:highlight w:val="none"/>
        </w:rPr>
      </w:pPr>
    </w:p>
    <w:p>
      <w:pPr>
        <w:spacing w:line="360" w:lineRule="auto"/>
        <w:jc w:val="left"/>
        <w:rPr>
          <w:rFonts w:ascii="宋体" w:hAnsi="宋体"/>
          <w:color w:val="auto"/>
          <w:sz w:val="20"/>
          <w:highlight w:val="none"/>
        </w:rPr>
      </w:pPr>
    </w:p>
    <w:p>
      <w:pPr>
        <w:spacing w:line="360" w:lineRule="auto"/>
        <w:ind w:left="100" w:right="43" w:firstLine="420"/>
        <w:jc w:val="left"/>
        <w:rPr>
          <w:rFonts w:ascii="宋体" w:hAnsi="宋体"/>
          <w:color w:val="auto"/>
          <w:highlight w:val="none"/>
        </w:rPr>
      </w:pPr>
      <w:r>
        <w:rPr>
          <w:rFonts w:ascii="宋体" w:hAnsi="宋体"/>
          <w:color w:val="auto"/>
          <w:highlight w:val="none"/>
        </w:rPr>
        <w:t>上述问题澄清、说</w:t>
      </w:r>
      <w:r>
        <w:rPr>
          <w:rFonts w:ascii="宋体" w:hAnsi="宋体"/>
          <w:color w:val="auto"/>
          <w:spacing w:val="-2"/>
          <w:highlight w:val="none"/>
        </w:rPr>
        <w:t>明</w:t>
      </w:r>
      <w:r>
        <w:rPr>
          <w:rFonts w:ascii="宋体" w:hAnsi="宋体"/>
          <w:color w:val="auto"/>
          <w:highlight w:val="none"/>
        </w:rPr>
        <w:t>或</w:t>
      </w:r>
      <w:r>
        <w:rPr>
          <w:rFonts w:ascii="宋体" w:hAnsi="宋体"/>
          <w:color w:val="auto"/>
          <w:spacing w:val="-2"/>
          <w:highlight w:val="none"/>
        </w:rPr>
        <w:t>补</w:t>
      </w:r>
      <w:r>
        <w:rPr>
          <w:rFonts w:ascii="宋体" w:hAnsi="宋体"/>
          <w:color w:val="auto"/>
          <w:highlight w:val="none"/>
        </w:rPr>
        <w:t>正，不改变我方投</w:t>
      </w:r>
      <w:r>
        <w:rPr>
          <w:rFonts w:ascii="宋体" w:hAnsi="宋体"/>
          <w:color w:val="auto"/>
          <w:spacing w:val="-2"/>
          <w:highlight w:val="none"/>
        </w:rPr>
        <w:t>标</w:t>
      </w:r>
      <w:r>
        <w:rPr>
          <w:rFonts w:ascii="宋体" w:hAnsi="宋体"/>
          <w:color w:val="auto"/>
          <w:highlight w:val="none"/>
        </w:rPr>
        <w:t>文</w:t>
      </w:r>
      <w:r>
        <w:rPr>
          <w:rFonts w:ascii="宋体" w:hAnsi="宋体"/>
          <w:color w:val="auto"/>
          <w:spacing w:val="-2"/>
          <w:highlight w:val="none"/>
        </w:rPr>
        <w:t>件</w:t>
      </w:r>
      <w:r>
        <w:rPr>
          <w:rFonts w:ascii="宋体" w:hAnsi="宋体"/>
          <w:color w:val="auto"/>
          <w:highlight w:val="none"/>
        </w:rPr>
        <w:t>的实质性内容，构</w:t>
      </w:r>
      <w:r>
        <w:rPr>
          <w:rFonts w:ascii="宋体" w:hAnsi="宋体"/>
          <w:color w:val="auto"/>
          <w:spacing w:val="-2"/>
          <w:highlight w:val="none"/>
        </w:rPr>
        <w:t>成</w:t>
      </w:r>
      <w:r>
        <w:rPr>
          <w:rFonts w:ascii="宋体" w:hAnsi="宋体"/>
          <w:color w:val="auto"/>
          <w:highlight w:val="none"/>
        </w:rPr>
        <w:t>我</w:t>
      </w:r>
      <w:r>
        <w:rPr>
          <w:rFonts w:ascii="宋体" w:hAnsi="宋体"/>
          <w:color w:val="auto"/>
          <w:spacing w:val="-2"/>
          <w:highlight w:val="none"/>
        </w:rPr>
        <w:t>方</w:t>
      </w:r>
      <w:r>
        <w:rPr>
          <w:rFonts w:ascii="宋体" w:hAnsi="宋体"/>
          <w:color w:val="auto"/>
          <w:highlight w:val="none"/>
        </w:rPr>
        <w:t>投标文件的组 成部</w:t>
      </w:r>
      <w:r>
        <w:rPr>
          <w:rFonts w:ascii="宋体" w:hAnsi="宋体"/>
          <w:color w:val="auto"/>
          <w:spacing w:val="-2"/>
          <w:highlight w:val="none"/>
        </w:rPr>
        <w:t>分</w:t>
      </w:r>
      <w:r>
        <w:rPr>
          <w:rFonts w:ascii="宋体" w:hAnsi="宋体"/>
          <w:color w:val="auto"/>
          <w:highlight w:val="none"/>
        </w:rPr>
        <w:t>。</w:t>
      </w:r>
    </w:p>
    <w:p>
      <w:pPr>
        <w:spacing w:before="7" w:line="360" w:lineRule="auto"/>
        <w:jc w:val="left"/>
        <w:rPr>
          <w:rFonts w:ascii="宋体" w:hAnsi="宋体"/>
          <w:color w:val="auto"/>
          <w:sz w:val="15"/>
          <w:highlight w:val="none"/>
        </w:rPr>
      </w:pPr>
    </w:p>
    <w:p>
      <w:pPr>
        <w:spacing w:line="360" w:lineRule="auto"/>
        <w:jc w:val="left"/>
        <w:rPr>
          <w:rFonts w:ascii="宋体" w:hAnsi="宋体"/>
          <w:color w:val="auto"/>
          <w:sz w:val="20"/>
          <w:highlight w:val="none"/>
        </w:rPr>
      </w:pPr>
    </w:p>
    <w:p>
      <w:pPr>
        <w:tabs>
          <w:tab w:val="left" w:pos="7380"/>
        </w:tabs>
        <w:spacing w:line="360" w:lineRule="auto"/>
        <w:ind w:left="3043" w:right="-20"/>
        <w:jc w:val="left"/>
        <w:rPr>
          <w:rFonts w:ascii="宋体" w:hAnsi="宋体"/>
          <w:color w:val="auto"/>
          <w:highlight w:val="none"/>
        </w:rPr>
      </w:pPr>
      <w:r>
        <w:rPr>
          <w:rFonts w:ascii="宋体" w:hAnsi="宋体"/>
          <w:color w:val="auto"/>
          <w:position w:val="-4"/>
          <w:highlight w:val="none"/>
        </w:rPr>
        <w:t>投</w:t>
      </w:r>
      <w:r>
        <w:rPr>
          <w:rFonts w:ascii="宋体" w:hAnsi="宋体"/>
          <w:color w:val="auto"/>
          <w:spacing w:val="-2"/>
          <w:position w:val="-4"/>
          <w:highlight w:val="none"/>
        </w:rPr>
        <w:t>标</w:t>
      </w:r>
      <w:r>
        <w:rPr>
          <w:rFonts w:ascii="宋体" w:hAnsi="宋体"/>
          <w:color w:val="auto"/>
          <w:position w:val="-4"/>
          <w:highlight w:val="none"/>
        </w:rPr>
        <w:t>人：</w:t>
      </w:r>
      <w:r>
        <w:rPr>
          <w:rFonts w:ascii="宋体" w:hAnsi="宋体"/>
          <w:color w:val="auto"/>
          <w:position w:val="-4"/>
          <w:highlight w:val="none"/>
          <w:u w:val="single"/>
        </w:rPr>
        <w:t xml:space="preserve"> </w:t>
      </w:r>
      <w:r>
        <w:rPr>
          <w:rFonts w:ascii="宋体" w:hAnsi="宋体"/>
          <w:color w:val="auto"/>
          <w:spacing w:val="1"/>
          <w:position w:val="-4"/>
          <w:highlight w:val="none"/>
          <w:u w:val="single"/>
        </w:rPr>
        <w:t xml:space="preserve"> </w:t>
      </w:r>
      <w:r>
        <w:rPr>
          <w:rFonts w:ascii="宋体" w:hAnsi="宋体"/>
          <w:color w:val="auto"/>
          <w:position w:val="-4"/>
          <w:highlight w:val="none"/>
          <w:u w:val="single"/>
        </w:rPr>
        <w:tab/>
      </w:r>
      <w:r>
        <w:rPr>
          <w:rFonts w:ascii="宋体" w:hAnsi="宋体"/>
          <w:color w:val="auto"/>
          <w:position w:val="-4"/>
          <w:highlight w:val="none"/>
        </w:rPr>
        <w:t>（盖</w:t>
      </w:r>
      <w:r>
        <w:rPr>
          <w:rFonts w:ascii="宋体" w:hAnsi="宋体"/>
          <w:color w:val="auto"/>
          <w:spacing w:val="-2"/>
          <w:position w:val="-4"/>
          <w:highlight w:val="none"/>
        </w:rPr>
        <w:t>单</w:t>
      </w:r>
      <w:r>
        <w:rPr>
          <w:rFonts w:ascii="宋体" w:hAnsi="宋体"/>
          <w:color w:val="auto"/>
          <w:position w:val="-4"/>
          <w:highlight w:val="none"/>
        </w:rPr>
        <w:t>位</w:t>
      </w:r>
      <w:r>
        <w:rPr>
          <w:rFonts w:ascii="宋体" w:hAnsi="宋体"/>
          <w:color w:val="auto"/>
          <w:spacing w:val="-2"/>
          <w:position w:val="-4"/>
          <w:highlight w:val="none"/>
        </w:rPr>
        <w:t>章</w:t>
      </w:r>
      <w:r>
        <w:rPr>
          <w:rFonts w:ascii="宋体" w:hAnsi="宋体"/>
          <w:color w:val="auto"/>
          <w:position w:val="-4"/>
          <w:highlight w:val="none"/>
        </w:rPr>
        <w:t>）</w:t>
      </w:r>
    </w:p>
    <w:p>
      <w:pPr>
        <w:spacing w:before="14" w:line="360" w:lineRule="auto"/>
        <w:jc w:val="left"/>
        <w:rPr>
          <w:rFonts w:ascii="宋体" w:hAnsi="宋体"/>
          <w:color w:val="auto"/>
          <w:sz w:val="26"/>
          <w:highlight w:val="none"/>
        </w:rPr>
      </w:pPr>
    </w:p>
    <w:p>
      <w:pPr>
        <w:tabs>
          <w:tab w:val="left" w:pos="6600"/>
        </w:tabs>
        <w:spacing w:line="360" w:lineRule="auto"/>
        <w:ind w:left="3041" w:right="-20"/>
        <w:jc w:val="left"/>
        <w:rPr>
          <w:rFonts w:ascii="宋体" w:hAnsi="宋体"/>
          <w:color w:val="auto"/>
          <w:highlight w:val="none"/>
        </w:rPr>
      </w:pPr>
      <w:r>
        <w:rPr>
          <w:rFonts w:ascii="宋体" w:hAnsi="宋体"/>
          <w:color w:val="auto"/>
          <w:position w:val="-2"/>
          <w:highlight w:val="none"/>
        </w:rPr>
        <w:t>法</w:t>
      </w:r>
      <w:r>
        <w:rPr>
          <w:rFonts w:ascii="宋体" w:hAnsi="宋体"/>
          <w:color w:val="auto"/>
          <w:spacing w:val="-2"/>
          <w:position w:val="-2"/>
          <w:highlight w:val="none"/>
        </w:rPr>
        <w:t>定</w:t>
      </w:r>
      <w:r>
        <w:rPr>
          <w:rFonts w:ascii="宋体" w:hAnsi="宋体"/>
          <w:color w:val="auto"/>
          <w:position w:val="-2"/>
          <w:highlight w:val="none"/>
        </w:rPr>
        <w:t>代</w:t>
      </w:r>
      <w:r>
        <w:rPr>
          <w:rFonts w:ascii="宋体" w:hAnsi="宋体"/>
          <w:color w:val="auto"/>
          <w:spacing w:val="-2"/>
          <w:position w:val="-2"/>
          <w:highlight w:val="none"/>
        </w:rPr>
        <w:t>表</w:t>
      </w:r>
      <w:r>
        <w:rPr>
          <w:rFonts w:ascii="宋体" w:hAnsi="宋体"/>
          <w:color w:val="auto"/>
          <w:position w:val="-2"/>
          <w:highlight w:val="none"/>
        </w:rPr>
        <w:t>人</w:t>
      </w:r>
      <w:r>
        <w:rPr>
          <w:rFonts w:ascii="宋体" w:hAnsi="宋体"/>
          <w:color w:val="auto"/>
          <w:spacing w:val="-2"/>
          <w:position w:val="-2"/>
          <w:highlight w:val="none"/>
        </w:rPr>
        <w:t>或</w:t>
      </w:r>
      <w:r>
        <w:rPr>
          <w:rFonts w:ascii="宋体" w:hAnsi="宋体"/>
          <w:color w:val="auto"/>
          <w:position w:val="-2"/>
          <w:highlight w:val="none"/>
        </w:rPr>
        <w:t>其</w:t>
      </w:r>
      <w:r>
        <w:rPr>
          <w:rFonts w:ascii="宋体" w:hAnsi="宋体"/>
          <w:color w:val="auto"/>
          <w:spacing w:val="-2"/>
          <w:position w:val="-2"/>
          <w:highlight w:val="none"/>
        </w:rPr>
        <w:t>委</w:t>
      </w:r>
      <w:r>
        <w:rPr>
          <w:rFonts w:ascii="宋体" w:hAnsi="宋体"/>
          <w:color w:val="auto"/>
          <w:position w:val="-2"/>
          <w:highlight w:val="none"/>
        </w:rPr>
        <w:t>托</w:t>
      </w:r>
      <w:r>
        <w:rPr>
          <w:rFonts w:ascii="宋体" w:hAnsi="宋体"/>
          <w:color w:val="auto"/>
          <w:spacing w:val="-2"/>
          <w:position w:val="-2"/>
          <w:highlight w:val="none"/>
        </w:rPr>
        <w:t>代理</w:t>
      </w:r>
      <w:r>
        <w:rPr>
          <w:rFonts w:ascii="宋体" w:hAnsi="宋体"/>
          <w:color w:val="auto"/>
          <w:position w:val="-2"/>
          <w:highlight w:val="none"/>
        </w:rPr>
        <w:t>人：</w:t>
      </w:r>
      <w:r>
        <w:rPr>
          <w:rFonts w:ascii="宋体" w:hAnsi="宋体"/>
          <w:color w:val="auto"/>
          <w:position w:val="-2"/>
          <w:highlight w:val="none"/>
          <w:u w:val="single"/>
        </w:rPr>
        <w:t xml:space="preserve"> </w:t>
      </w:r>
      <w:r>
        <w:rPr>
          <w:rFonts w:ascii="宋体" w:hAnsi="宋体"/>
          <w:color w:val="auto"/>
          <w:spacing w:val="1"/>
          <w:position w:val="-2"/>
          <w:highlight w:val="none"/>
          <w:u w:val="single"/>
        </w:rPr>
        <w:t xml:space="preserve"> </w:t>
      </w:r>
      <w:r>
        <w:rPr>
          <w:rFonts w:ascii="宋体" w:hAnsi="宋体"/>
          <w:color w:val="auto"/>
          <w:position w:val="-2"/>
          <w:highlight w:val="none"/>
          <w:u w:val="single"/>
        </w:rPr>
        <w:tab/>
      </w:r>
      <w:r>
        <w:rPr>
          <w:rFonts w:ascii="宋体" w:hAnsi="宋体"/>
          <w:color w:val="auto"/>
          <w:spacing w:val="-2"/>
          <w:position w:val="-2"/>
          <w:highlight w:val="none"/>
        </w:rPr>
        <w:t>（</w:t>
      </w:r>
      <w:r>
        <w:rPr>
          <w:rFonts w:ascii="宋体" w:hAnsi="宋体"/>
          <w:color w:val="auto"/>
          <w:position w:val="-2"/>
          <w:highlight w:val="none"/>
        </w:rPr>
        <w:t>签</w:t>
      </w:r>
      <w:r>
        <w:rPr>
          <w:rFonts w:ascii="宋体" w:hAnsi="宋体"/>
          <w:color w:val="auto"/>
          <w:spacing w:val="-2"/>
          <w:position w:val="-2"/>
          <w:highlight w:val="none"/>
        </w:rPr>
        <w:t>字</w:t>
      </w:r>
      <w:r>
        <w:rPr>
          <w:rFonts w:ascii="宋体" w:hAnsi="宋体"/>
          <w:color w:val="auto"/>
          <w:position w:val="-2"/>
          <w:highlight w:val="none"/>
        </w:rPr>
        <w:t>）</w:t>
      </w:r>
    </w:p>
    <w:p>
      <w:pPr>
        <w:spacing w:line="360" w:lineRule="auto"/>
        <w:jc w:val="left"/>
        <w:rPr>
          <w:rFonts w:ascii="宋体" w:hAnsi="宋体"/>
          <w:color w:val="auto"/>
          <w:sz w:val="20"/>
          <w:highlight w:val="none"/>
        </w:rPr>
      </w:pPr>
    </w:p>
    <w:p>
      <w:pPr>
        <w:tabs>
          <w:tab w:val="left" w:pos="6420"/>
          <w:tab w:val="left" w:pos="7480"/>
          <w:tab w:val="left" w:pos="8520"/>
        </w:tabs>
        <w:spacing w:line="360" w:lineRule="auto"/>
        <w:ind w:left="5595" w:right="-20"/>
        <w:jc w:val="left"/>
        <w:rPr>
          <w:rFonts w:ascii="宋体" w:hAnsi="宋体"/>
          <w:color w:val="auto"/>
          <w:highlight w:val="none"/>
        </w:rPr>
        <w:sectPr>
          <w:pgSz w:w="12240" w:h="15840"/>
          <w:pgMar w:top="1380" w:right="1680" w:bottom="920" w:left="1700" w:header="0" w:footer="721" w:gutter="0"/>
          <w:pgNumType w:fmt="decimal"/>
          <w:cols w:space="720" w:num="1"/>
        </w:sectPr>
      </w:pPr>
      <w:r>
        <w:rPr>
          <w:rFonts w:ascii="宋体" w:hAnsi="宋体"/>
          <w:color w:val="auto"/>
          <w:w w:val="201"/>
          <w:position w:val="-1"/>
          <w:highlight w:val="none"/>
          <w:u w:val="single"/>
        </w:rPr>
        <w:t xml:space="preserve"> </w:t>
      </w:r>
      <w:r>
        <w:rPr>
          <w:rFonts w:ascii="宋体" w:hAnsi="宋体"/>
          <w:color w:val="auto"/>
          <w:position w:val="-1"/>
          <w:highlight w:val="none"/>
          <w:u w:val="single"/>
        </w:rPr>
        <w:tab/>
      </w:r>
      <w:r>
        <w:rPr>
          <w:rFonts w:ascii="宋体" w:hAnsi="宋体"/>
          <w:color w:val="auto"/>
          <w:spacing w:val="-2"/>
          <w:position w:val="-1"/>
          <w:highlight w:val="none"/>
        </w:rPr>
        <w:t>年</w:t>
      </w:r>
      <w:r>
        <w:rPr>
          <w:rFonts w:ascii="宋体" w:hAnsi="宋体"/>
          <w:color w:val="auto"/>
          <w:position w:val="-1"/>
          <w:highlight w:val="none"/>
          <w:u w:val="single"/>
        </w:rPr>
        <w:t xml:space="preserve"> </w:t>
      </w:r>
      <w:r>
        <w:rPr>
          <w:rFonts w:ascii="宋体" w:hAnsi="宋体"/>
          <w:color w:val="auto"/>
          <w:spacing w:val="1"/>
          <w:position w:val="-1"/>
          <w:highlight w:val="none"/>
          <w:u w:val="single"/>
        </w:rPr>
        <w:t xml:space="preserve"> </w:t>
      </w:r>
      <w:r>
        <w:rPr>
          <w:rFonts w:ascii="宋体" w:hAnsi="宋体"/>
          <w:color w:val="auto"/>
          <w:position w:val="-1"/>
          <w:highlight w:val="none"/>
          <w:u w:val="single"/>
        </w:rPr>
        <w:tab/>
      </w:r>
      <w:r>
        <w:rPr>
          <w:rFonts w:ascii="宋体" w:hAnsi="宋体"/>
          <w:color w:val="auto"/>
          <w:position w:val="-1"/>
          <w:highlight w:val="none"/>
        </w:rPr>
        <w:t>月</w:t>
      </w:r>
      <w:r>
        <w:rPr>
          <w:rFonts w:ascii="宋体" w:hAnsi="宋体"/>
          <w:color w:val="auto"/>
          <w:position w:val="-1"/>
          <w:highlight w:val="none"/>
          <w:u w:val="single"/>
        </w:rPr>
        <w:t xml:space="preserve"> </w:t>
      </w:r>
      <w:r>
        <w:rPr>
          <w:rFonts w:ascii="宋体" w:hAnsi="宋体"/>
          <w:color w:val="auto"/>
          <w:spacing w:val="1"/>
          <w:position w:val="-1"/>
          <w:highlight w:val="none"/>
          <w:u w:val="single"/>
        </w:rPr>
        <w:t xml:space="preserve"> </w:t>
      </w:r>
      <w:r>
        <w:rPr>
          <w:rFonts w:ascii="宋体" w:hAnsi="宋体"/>
          <w:color w:val="auto"/>
          <w:position w:val="-1"/>
          <w:highlight w:val="none"/>
          <w:u w:val="single"/>
        </w:rPr>
        <w:tab/>
      </w:r>
      <w:r>
        <w:rPr>
          <w:rFonts w:ascii="宋体" w:hAnsi="宋体"/>
          <w:color w:val="auto"/>
          <w:position w:val="-1"/>
          <w:highlight w:val="none"/>
        </w:rPr>
        <w:t>日</w:t>
      </w:r>
    </w:p>
    <w:p>
      <w:pPr>
        <w:pStyle w:val="3"/>
        <w:outlineLvl w:val="0"/>
        <w:rPr>
          <w:color w:val="auto"/>
          <w:highlight w:val="none"/>
        </w:rPr>
      </w:pPr>
      <w:bookmarkStart w:id="476" w:name="_Toc4974"/>
      <w:bookmarkStart w:id="477" w:name="_Toc27539"/>
      <w:bookmarkStart w:id="478" w:name="_Toc20380"/>
      <w:bookmarkStart w:id="479" w:name="_Toc10286"/>
      <w:bookmarkStart w:id="480" w:name="_Toc15544"/>
      <w:bookmarkStart w:id="481" w:name="_Toc510"/>
      <w:bookmarkStart w:id="482" w:name="_Toc846"/>
      <w:bookmarkStart w:id="483" w:name="_Toc4086"/>
      <w:bookmarkStart w:id="484" w:name="_Toc24422"/>
      <w:bookmarkStart w:id="485" w:name="_Toc16484"/>
      <w:bookmarkStart w:id="486" w:name="_Toc19513"/>
      <w:bookmarkStart w:id="487" w:name="_Toc10104"/>
      <w:bookmarkStart w:id="488" w:name="_Toc32592"/>
      <w:bookmarkStart w:id="489" w:name="_Toc31234"/>
      <w:bookmarkStart w:id="490" w:name="_Toc27507"/>
      <w:bookmarkStart w:id="491" w:name="_Toc27162"/>
      <w:bookmarkStart w:id="492" w:name="_Toc14279"/>
      <w:bookmarkStart w:id="493" w:name="_Toc393961876"/>
      <w:bookmarkStart w:id="494" w:name="_Toc514170131"/>
      <w:bookmarkStart w:id="495" w:name="_Toc29063"/>
      <w:bookmarkStart w:id="496" w:name="_Toc10780"/>
      <w:bookmarkStart w:id="497" w:name="_Toc179"/>
      <w:bookmarkStart w:id="498" w:name="_Toc26373"/>
      <w:r>
        <w:rPr>
          <w:rFonts w:hint="eastAsia"/>
          <w:color w:val="auto"/>
          <w:highlight w:val="none"/>
        </w:rPr>
        <w:t>第三章  评标办法（综合评估法）</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outlineLvl w:val="9"/>
        <w:rPr>
          <w:color w:val="auto"/>
          <w:highlight w:val="none"/>
        </w:rPr>
      </w:pPr>
      <w:bookmarkStart w:id="499" w:name="_Toc26335"/>
      <w:bookmarkStart w:id="500" w:name="_Toc9184"/>
      <w:bookmarkStart w:id="501" w:name="_Toc26501"/>
      <w:bookmarkStart w:id="502" w:name="_Toc393961878"/>
      <w:bookmarkStart w:id="503" w:name="_Toc184635089"/>
      <w:r>
        <w:rPr>
          <w:rFonts w:hint="eastAsia"/>
          <w:color w:val="auto"/>
          <w:highlight w:val="none"/>
        </w:rPr>
        <w:t>评标办法前附表</w:t>
      </w:r>
      <w:bookmarkEnd w:id="499"/>
      <w:bookmarkEnd w:id="500"/>
      <w:bookmarkEnd w:id="501"/>
    </w:p>
    <w:tbl>
      <w:tblPr>
        <w:tblStyle w:val="19"/>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47"/>
        <w:gridCol w:w="738"/>
        <w:gridCol w:w="947"/>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48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4" w:hRule="exac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12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评标方法</w:t>
            </w: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中标候选人排序方法</w:t>
            </w:r>
          </w:p>
        </w:tc>
        <w:tc>
          <w:tcPr>
            <w:tcW w:w="548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招标文件实质性要求的投标文件，按照本章第2.2款规定的评分标准进行打分，并按得分由高到低顺序推荐中标候选人，排序的前一~三名为第一中标候选人、第二中标候选人和第三中标候选人。综合得分相等时，以投标报价低的优先；投标报价也相等的，以监理大纲得分高的优先；如果监理大纲得分也相等，则以综合诚信评价排名靠前的排前；如仍存在相同情况，</w:t>
            </w:r>
            <w:r>
              <w:rPr>
                <w:rFonts w:hint="eastAsia" w:ascii="宋体" w:hAnsi="宋体" w:cs="宋体"/>
                <w:color w:val="auto"/>
                <w:szCs w:val="21"/>
                <w:highlight w:val="none"/>
                <w:u w:val="single"/>
              </w:rPr>
              <w:t>则对具有相同情况的投标人，由评标委员会采用记名投票方式，以得票多的优先。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1"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2.1.1</w:t>
            </w:r>
          </w:p>
        </w:tc>
        <w:tc>
          <w:tcPr>
            <w:tcW w:w="1247"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形式评审</w:t>
            </w:r>
          </w:p>
          <w:p>
            <w:pPr>
              <w:jc w:val="center"/>
              <w:rPr>
                <w:rFonts w:ascii="宋体" w:hAnsi="宋体" w:cs="宋体"/>
                <w:color w:val="auto"/>
                <w:szCs w:val="21"/>
                <w:highlight w:val="none"/>
              </w:rPr>
            </w:pPr>
            <w:r>
              <w:rPr>
                <w:rFonts w:hint="eastAsia" w:ascii="宋体" w:hAnsi="宋体" w:cs="宋体"/>
                <w:color w:val="auto"/>
                <w:szCs w:val="21"/>
                <w:highlight w:val="none"/>
              </w:rPr>
              <w:t>标准</w:t>
            </w: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投标人名称</w:t>
            </w:r>
          </w:p>
        </w:tc>
        <w:tc>
          <w:tcPr>
            <w:tcW w:w="54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与营业执照、资质证书</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或备案证明文件</w:t>
            </w:r>
            <w:r>
              <w:rPr>
                <w:rFonts w:hint="eastAsia" w:ascii="宋体" w:hAnsi="宋体" w:eastAsia="宋体" w:cs="宋体"/>
                <w:color w:val="auto"/>
                <w:highlight w:val="none"/>
                <w:u w:val="single"/>
                <w:lang w:eastAsia="zh-CN"/>
              </w:rPr>
              <w:t>）</w:t>
            </w:r>
            <w:r>
              <w:rPr>
                <w:rFonts w:hint="eastAsia" w:ascii="宋体" w:hAnsi="宋体" w:cs="宋体"/>
                <w:color w:val="auto"/>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exact"/>
          <w:jc w:val="center"/>
        </w:trPr>
        <w:tc>
          <w:tcPr>
            <w:tcW w:w="821"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247"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投标函及投标函附录签字盖章</w:t>
            </w:r>
          </w:p>
        </w:tc>
        <w:tc>
          <w:tcPr>
            <w:tcW w:w="548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投标函及投标函附录格式及签字盖章符合招标文件要求，有法定代表人或其委托代理人签字（或盖章）和加盖单位公章。由法定代表人签字（或盖章）的，应附法定代表人身份证明书，由代理人签字（或盖章）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821"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247"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54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eastAsia="宋体" w:cs="宋体"/>
                <w:color w:val="auto"/>
                <w:highlight w:val="none"/>
                <w:u w:val="single"/>
              </w:rPr>
              <w:t>符合第六章“投标文件格式一《投标函及投标函附录》”的规定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821"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247"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olor w:val="auto"/>
                <w:szCs w:val="21"/>
                <w:highlight w:val="none"/>
              </w:rPr>
            </w:pPr>
            <w:r>
              <w:rPr>
                <w:rFonts w:hint="eastAsia" w:ascii="宋体" w:hAnsi="宋体" w:cs="宋体"/>
                <w:color w:val="auto"/>
                <w:szCs w:val="21"/>
                <w:highlight w:val="none"/>
              </w:rPr>
              <w:t>备选投标方案</w:t>
            </w:r>
          </w:p>
        </w:tc>
        <w:tc>
          <w:tcPr>
            <w:tcW w:w="548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s="宋体"/>
                <w:color w:val="auto"/>
                <w:szCs w:val="21"/>
                <w:highlight w:val="none"/>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821"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247"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投标人机器码</w:t>
            </w:r>
          </w:p>
        </w:tc>
        <w:tc>
          <w:tcPr>
            <w:tcW w:w="54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投标人与本项目其他投标人加密打包投标文件电脑机器特征码一致的(以广州交易集团有限公司（广州公共资源交易中心）评标系统的检索信息为准)将被否决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821" w:type="dxa"/>
            <w:vMerge w:val="restart"/>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2.1.2</w:t>
            </w:r>
          </w:p>
        </w:tc>
        <w:tc>
          <w:tcPr>
            <w:tcW w:w="1247" w:type="dxa"/>
            <w:vMerge w:val="restart"/>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资格评审</w:t>
            </w:r>
          </w:p>
          <w:p>
            <w:pPr>
              <w:jc w:val="center"/>
              <w:rPr>
                <w:rFonts w:ascii="宋体" w:hAnsi="宋体" w:cs="宋体"/>
                <w:color w:val="auto"/>
                <w:szCs w:val="21"/>
                <w:highlight w:val="none"/>
              </w:rPr>
            </w:pPr>
            <w:r>
              <w:rPr>
                <w:rFonts w:hint="eastAsia" w:ascii="宋体" w:hAnsi="宋体" w:cs="宋体"/>
                <w:color w:val="auto"/>
                <w:szCs w:val="21"/>
                <w:highlight w:val="none"/>
              </w:rPr>
              <w:t>标准</w:t>
            </w: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营业执照</w:t>
            </w:r>
          </w:p>
        </w:tc>
        <w:tc>
          <w:tcPr>
            <w:tcW w:w="54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符合第二章“投标人须知”第3.5.1项规定，应附投标人营业执照扫描件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21"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247"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资质要求</w:t>
            </w:r>
          </w:p>
        </w:tc>
        <w:tc>
          <w:tcPr>
            <w:tcW w:w="54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821"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247"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strike w:val="0"/>
                <w:color w:val="auto"/>
                <w:szCs w:val="21"/>
                <w:highlight w:val="none"/>
              </w:rPr>
              <w:t>财务要求</w:t>
            </w:r>
          </w:p>
        </w:tc>
        <w:tc>
          <w:tcPr>
            <w:tcW w:w="54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821"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247"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strike w:val="0"/>
                <w:color w:val="auto"/>
                <w:szCs w:val="21"/>
                <w:highlight w:val="none"/>
              </w:rPr>
              <w:t>业绩要求</w:t>
            </w:r>
          </w:p>
        </w:tc>
        <w:tc>
          <w:tcPr>
            <w:tcW w:w="548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821"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247"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strike w:val="0"/>
                <w:color w:val="auto"/>
                <w:szCs w:val="21"/>
                <w:highlight w:val="none"/>
              </w:rPr>
              <w:t>信誉要求</w:t>
            </w:r>
          </w:p>
        </w:tc>
        <w:tc>
          <w:tcPr>
            <w:tcW w:w="54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821" w:type="dxa"/>
            <w:vMerge w:val="continue"/>
            <w:tcBorders>
              <w:left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247" w:type="dxa"/>
            <w:vMerge w:val="continue"/>
            <w:tcBorders>
              <w:left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总监理工程师</w:t>
            </w:r>
          </w:p>
        </w:tc>
        <w:tc>
          <w:tcPr>
            <w:tcW w:w="54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821" w:type="dxa"/>
            <w:vMerge w:val="continue"/>
            <w:tcBorders>
              <w:left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247" w:type="dxa"/>
            <w:vMerge w:val="continue"/>
            <w:tcBorders>
              <w:left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其他要求</w:t>
            </w:r>
          </w:p>
        </w:tc>
        <w:tc>
          <w:tcPr>
            <w:tcW w:w="54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821" w:type="dxa"/>
            <w:vMerge w:val="continue"/>
            <w:tcBorders>
              <w:left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247" w:type="dxa"/>
            <w:vMerge w:val="continue"/>
            <w:tcBorders>
              <w:left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联合体投标人</w:t>
            </w:r>
          </w:p>
        </w:tc>
        <w:tc>
          <w:tcPr>
            <w:tcW w:w="54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符合第二章“投标人须知”第 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821" w:type="dxa"/>
            <w:vMerge w:val="continue"/>
            <w:tcBorders>
              <w:left w:val="single" w:color="auto" w:sz="4" w:space="0"/>
              <w:right w:val="single" w:color="auto" w:sz="4" w:space="0"/>
            </w:tcBorders>
          </w:tcPr>
          <w:p>
            <w:pPr>
              <w:widowControl/>
              <w:jc w:val="left"/>
              <w:rPr>
                <w:rFonts w:ascii="宋体" w:hAnsi="宋体" w:cs="宋体"/>
                <w:color w:val="auto"/>
                <w:szCs w:val="21"/>
                <w:highlight w:val="none"/>
              </w:rPr>
            </w:pPr>
          </w:p>
        </w:tc>
        <w:tc>
          <w:tcPr>
            <w:tcW w:w="1247" w:type="dxa"/>
            <w:vMerge w:val="continue"/>
            <w:tcBorders>
              <w:left w:val="single" w:color="auto" w:sz="4" w:space="0"/>
              <w:right w:val="single" w:color="auto" w:sz="4" w:space="0"/>
            </w:tcBorders>
          </w:tcPr>
          <w:p>
            <w:pPr>
              <w:widowControl/>
              <w:jc w:val="left"/>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360" w:lineRule="exact"/>
              <w:rPr>
                <w:rFonts w:ascii="宋体" w:hAnsi="宋体" w:cs="宋体"/>
                <w:color w:val="auto"/>
                <w:szCs w:val="21"/>
                <w:highlight w:val="none"/>
              </w:rPr>
            </w:pPr>
            <w:r>
              <w:rPr>
                <w:rFonts w:hint="eastAsia" w:ascii="宋体" w:hAnsi="宋体" w:cs="宋体"/>
                <w:color w:val="auto"/>
                <w:szCs w:val="21"/>
                <w:highlight w:val="none"/>
              </w:rPr>
              <w:t>不存在禁止投标的情形</w:t>
            </w:r>
          </w:p>
        </w:tc>
        <w:tc>
          <w:tcPr>
            <w:tcW w:w="548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不存在第二章“投标人须知”第 1.4.3 项规定的任何一种情形（以《投标申请人声明》为准）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821" w:type="dxa"/>
            <w:vMerge w:val="continue"/>
            <w:tcBorders>
              <w:left w:val="single" w:color="auto" w:sz="4" w:space="0"/>
              <w:right w:val="single" w:color="auto" w:sz="4" w:space="0"/>
            </w:tcBorders>
          </w:tcPr>
          <w:p>
            <w:pPr>
              <w:widowControl/>
              <w:jc w:val="left"/>
              <w:rPr>
                <w:rFonts w:ascii="宋体" w:hAnsi="宋体" w:cs="宋体"/>
                <w:color w:val="auto"/>
                <w:szCs w:val="21"/>
                <w:highlight w:val="none"/>
              </w:rPr>
            </w:pPr>
          </w:p>
        </w:tc>
        <w:tc>
          <w:tcPr>
            <w:tcW w:w="1247" w:type="dxa"/>
            <w:vMerge w:val="continue"/>
            <w:tcBorders>
              <w:left w:val="single" w:color="auto" w:sz="4" w:space="0"/>
              <w:right w:val="single" w:color="auto" w:sz="4" w:space="0"/>
            </w:tcBorders>
          </w:tcPr>
          <w:p>
            <w:pPr>
              <w:widowControl/>
              <w:jc w:val="left"/>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未被列入拖欠农民工工资失信联合惩戒对象名单</w:t>
            </w:r>
          </w:p>
        </w:tc>
        <w:tc>
          <w:tcPr>
            <w:tcW w:w="5484"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投标人无需提供资料，按投标截止时广州交易集团有限公司（广州公共资源交易中心）交易系统比对结果进行评审。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821"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2.1.3</w:t>
            </w:r>
          </w:p>
        </w:tc>
        <w:tc>
          <w:tcPr>
            <w:tcW w:w="1247"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响应性评审标准</w:t>
            </w: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投标报价</w:t>
            </w:r>
          </w:p>
        </w:tc>
        <w:tc>
          <w:tcPr>
            <w:tcW w:w="54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符合第二章“投标人须知”第 3.2 款规定进行投标报价的；对同一招标项目没有出现两个或以上的投标报价，且修正无依据；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247"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投标内容</w:t>
            </w:r>
          </w:p>
        </w:tc>
        <w:tc>
          <w:tcPr>
            <w:tcW w:w="54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符合第二章“投标人须知”第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247"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监理服务期限</w:t>
            </w:r>
          </w:p>
        </w:tc>
        <w:tc>
          <w:tcPr>
            <w:tcW w:w="54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符合第二章“投标人须知”第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247"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质量标准</w:t>
            </w:r>
          </w:p>
        </w:tc>
        <w:tc>
          <w:tcPr>
            <w:tcW w:w="54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符合第二章“投标人须知”第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247"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投标有效期</w:t>
            </w:r>
          </w:p>
        </w:tc>
        <w:tc>
          <w:tcPr>
            <w:tcW w:w="54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符合第二章“投标人须知”第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247"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投标保证金</w:t>
            </w:r>
          </w:p>
        </w:tc>
        <w:tc>
          <w:tcPr>
            <w:tcW w:w="54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符合第二章“投标人须知”第 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821"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247"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监理承诺</w:t>
            </w:r>
          </w:p>
        </w:tc>
        <w:tc>
          <w:tcPr>
            <w:tcW w:w="54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标函承诺书、项目监理机构配备情况（格式见第六章投标文件格式）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821"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247" w:type="dxa"/>
            <w:vMerge w:val="continue"/>
            <w:tcBorders>
              <w:left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串通投标情形</w:t>
            </w:r>
          </w:p>
        </w:tc>
        <w:tc>
          <w:tcPr>
            <w:tcW w:w="548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串通投标情形以《中华人民共和国招标投标法实施条例》规定为准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068"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条款内容</w:t>
            </w:r>
          </w:p>
        </w:tc>
        <w:tc>
          <w:tcPr>
            <w:tcW w:w="5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u w:val="single"/>
              </w:rPr>
            </w:pPr>
            <w:r>
              <w:rPr>
                <w:rFonts w:hint="eastAsia" w:ascii="宋体" w:hAnsi="宋体" w:cs="宋体"/>
                <w:b/>
                <w:bCs/>
                <w:color w:val="auto"/>
                <w:szCs w:val="21"/>
                <w:highlight w:val="none"/>
                <w:u w:val="singl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2068"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2.2.1</w:t>
            </w:r>
          </w:p>
          <w:p>
            <w:pPr>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权重分配及分值构成</w:t>
            </w:r>
          </w:p>
          <w:p>
            <w:pPr>
              <w:jc w:val="center"/>
              <w:rPr>
                <w:rFonts w:ascii="宋体" w:hAnsi="宋体" w:cs="宋体"/>
                <w:color w:val="auto"/>
                <w:szCs w:val="21"/>
                <w:highlight w:val="none"/>
              </w:rPr>
            </w:pPr>
            <w:r>
              <w:rPr>
                <w:rFonts w:hint="eastAsia" w:ascii="宋体" w:hAnsi="宋体" w:cs="宋体"/>
                <w:color w:val="auto"/>
                <w:szCs w:val="21"/>
                <w:highlight w:val="none"/>
              </w:rPr>
              <w:t>（总分100分）</w:t>
            </w:r>
          </w:p>
        </w:tc>
        <w:tc>
          <w:tcPr>
            <w:tcW w:w="548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highlight w:val="none"/>
                <w:u w:val="single"/>
              </w:rPr>
            </w:pPr>
            <w:r>
              <w:rPr>
                <w:rFonts w:hint="eastAsia" w:ascii="宋体" w:hAnsi="宋体" w:cs="宋体"/>
                <w:color w:val="auto"/>
                <w:highlight w:val="none"/>
                <w:u w:val="single"/>
              </w:rPr>
              <w:t>1、资信业绩部分：</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p>
          <w:p>
            <w:pPr>
              <w:rPr>
                <w:rFonts w:hint="eastAsia" w:ascii="宋体" w:hAnsi="宋体" w:cs="宋体"/>
                <w:color w:val="auto"/>
                <w:highlight w:val="none"/>
                <w:u w:val="single"/>
              </w:rPr>
            </w:pPr>
            <w:r>
              <w:rPr>
                <w:rFonts w:hint="eastAsia" w:ascii="宋体" w:hAnsi="宋体" w:cs="宋体"/>
                <w:color w:val="auto"/>
                <w:highlight w:val="none"/>
                <w:u w:val="single"/>
              </w:rPr>
              <w:t>2、监理大纲部分：</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p>
          <w:p>
            <w:pPr>
              <w:rPr>
                <w:rFonts w:hint="eastAsia" w:ascii="宋体" w:hAnsi="宋体" w:cs="宋体"/>
                <w:color w:val="auto"/>
                <w:highlight w:val="none"/>
                <w:u w:val="single"/>
              </w:rPr>
            </w:pPr>
            <w:r>
              <w:rPr>
                <w:rFonts w:hint="eastAsia" w:ascii="宋体" w:hAnsi="宋体" w:cs="宋体"/>
                <w:color w:val="auto"/>
                <w:highlight w:val="none"/>
                <w:u w:val="single"/>
              </w:rPr>
              <w:t>3、投标报价：</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p>
          <w:p>
            <w:pPr>
              <w:rPr>
                <w:rFonts w:hint="eastAsia" w:ascii="宋体" w:hAnsi="宋体" w:cs="宋体"/>
                <w:color w:val="auto"/>
                <w:highlight w:val="none"/>
                <w:u w:val="single"/>
              </w:rPr>
            </w:pPr>
            <w:bookmarkStart w:id="504" w:name="OLE_LINK2"/>
            <w:r>
              <w:rPr>
                <w:rFonts w:hint="eastAsia" w:ascii="宋体" w:hAnsi="宋体" w:cs="宋体"/>
                <w:color w:val="auto"/>
                <w:highlight w:val="none"/>
                <w:u w:val="single"/>
              </w:rPr>
              <w:t>4、其他评分因素（诚信综合评价）：</w:t>
            </w:r>
            <w:r>
              <w:rPr>
                <w:rFonts w:hint="eastAsia" w:ascii="宋体" w:hAnsi="宋体" w:cs="宋体"/>
                <w:color w:val="auto"/>
                <w:highlight w:val="none"/>
                <w:u w:val="single"/>
                <w:lang w:val="en-US" w:eastAsia="zh-CN"/>
              </w:rPr>
              <w:t>10分</w:t>
            </w:r>
          </w:p>
          <w:bookmarkEnd w:id="504"/>
          <w:p>
            <w:pPr>
              <w:rPr>
                <w:rFonts w:hint="eastAsia" w:ascii="宋体" w:hAnsi="宋体" w:cs="宋体"/>
                <w:color w:val="auto"/>
                <w:highlight w:val="none"/>
                <w:u w:val="single"/>
              </w:rPr>
            </w:pPr>
          </w:p>
          <w:p>
            <w:pPr>
              <w:numPr>
                <w:ilvl w:val="255"/>
                <w:numId w:val="0"/>
              </w:numPr>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注：1）投标人总得分=综合得分（A+B+C+D)。</w:t>
            </w:r>
          </w:p>
          <w:p>
            <w:pPr>
              <w:numPr>
                <w:ilvl w:val="255"/>
                <w:numId w:val="0"/>
              </w:num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2）投标报价的计算以含税的总报价作为评审价。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2" w:hRule="atLeast"/>
          <w:jc w:val="center"/>
        </w:trPr>
        <w:tc>
          <w:tcPr>
            <w:tcW w:w="2068"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2.2.2</w:t>
            </w:r>
          </w:p>
          <w:p>
            <w:pPr>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评标基准价计算方法</w:t>
            </w:r>
          </w:p>
        </w:tc>
        <w:tc>
          <w:tcPr>
            <w:tcW w:w="548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当通过形式评审、资格评审、响应性评审的有效投标人大于或等于5名且投标报价为有效投标价时，去掉一个最高价和一个最低价，取余下有效投标价的算术平均值作为评标基准价。当通过形式评审、资格评审、响应性评审的有效投标人小于5名大于等于3名时，取所有入围的有效投标价的算术平均值作为评标基准价。（有效投标人的投标报价</w:t>
            </w:r>
            <w:r>
              <w:rPr>
                <w:rFonts w:hint="eastAsia" w:ascii="宋体" w:hAnsi="宋体" w:cs="宋体"/>
                <w:color w:val="auto"/>
                <w:szCs w:val="21"/>
                <w:highlight w:val="none"/>
                <w:lang w:val="en-US" w:eastAsia="zh-CN"/>
              </w:rPr>
              <w:t>不在</w:t>
            </w:r>
            <w:r>
              <w:rPr>
                <w:rFonts w:hint="eastAsia" w:ascii="宋体" w:hAnsi="宋体" w:cs="宋体"/>
                <w:color w:val="auto"/>
                <w:szCs w:val="21"/>
                <w:highlight w:val="none"/>
              </w:rPr>
              <w:t>最高投标限价的[</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0%，100%]范围</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，不参与评标基准价的计算，当通过形式评审、资格评审、响应性评审的有效投标人投标报价均不在最高投标限价的[</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0%，100%]范围内，取最高投标限价*</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2068"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2.2.3</w:t>
            </w: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投标报价的偏差率计算公式</w:t>
            </w:r>
          </w:p>
        </w:tc>
        <w:tc>
          <w:tcPr>
            <w:tcW w:w="548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投标报价的偏差率=</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eastAsia="zh-CN"/>
              </w:rPr>
              <w:t>（</w:t>
            </w:r>
            <w:r>
              <w:rPr>
                <w:rFonts w:hint="eastAsia" w:ascii="宋体" w:hAnsi="宋体" w:cs="宋体"/>
                <w:color w:val="auto"/>
                <w:szCs w:val="21"/>
                <w:highlight w:val="none"/>
              </w:rPr>
              <w:t>有效投标报价-评标基准价</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w:t>
            </w:r>
            <w:r>
              <w:rPr>
                <w:rFonts w:hint="eastAsia" w:ascii="宋体" w:hAnsi="宋体" w:cs="宋体"/>
                <w:color w:val="auto"/>
                <w:szCs w:val="21"/>
                <w:highlight w:val="none"/>
              </w:rPr>
              <w:t>/评标基准价×100%</w:t>
            </w:r>
          </w:p>
          <w:p>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（偏差率出现小数点时，保留小数点后2位，第三位小数四舍五入）</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068"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评分因素（偏差率）</w:t>
            </w:r>
          </w:p>
        </w:tc>
        <w:tc>
          <w:tcPr>
            <w:tcW w:w="5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1" w:hRule="atLeast"/>
          <w:jc w:val="center"/>
        </w:trPr>
        <w:tc>
          <w:tcPr>
            <w:tcW w:w="821"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ind w:right="-20"/>
              <w:jc w:val="center"/>
              <w:rPr>
                <w:rFonts w:ascii="宋体" w:hAnsi="宋体"/>
                <w:color w:val="auto"/>
                <w:szCs w:val="21"/>
                <w:highlight w:val="none"/>
              </w:rPr>
            </w:pPr>
            <w:r>
              <w:rPr>
                <w:rFonts w:ascii="宋体" w:hAnsi="宋体"/>
                <w:color w:val="auto"/>
                <w:szCs w:val="21"/>
                <w:highlight w:val="none"/>
              </w:rPr>
              <w:t>2.2.4</w:t>
            </w:r>
          </w:p>
          <w:p>
            <w:pPr>
              <w:spacing w:before="88"/>
              <w:ind w:right="-20"/>
              <w:jc w:val="center"/>
              <w:rPr>
                <w:rFonts w:ascii="宋体" w:hAnsi="宋体" w:cs="宋体"/>
                <w:color w:val="auto"/>
                <w:szCs w:val="21"/>
                <w:highlight w:val="none"/>
              </w:rPr>
            </w:pPr>
            <w:r>
              <w:rPr>
                <w:rFonts w:ascii="宋体" w:hAnsi="宋体"/>
                <w:color w:val="auto"/>
                <w:szCs w:val="21"/>
                <w:highlight w:val="none"/>
              </w:rPr>
              <w:t>（1）</w:t>
            </w:r>
          </w:p>
        </w:tc>
        <w:tc>
          <w:tcPr>
            <w:tcW w:w="1247"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企业资信业绩评分标准</w:t>
            </w:r>
          </w:p>
          <w:p>
            <w:pPr>
              <w:spacing w:line="293" w:lineRule="auto"/>
              <w:ind w:right="59"/>
              <w:jc w:val="center"/>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30</w:t>
            </w:r>
            <w:r>
              <w:rPr>
                <w:rFonts w:hint="eastAsia" w:ascii="宋体" w:hAnsi="宋体" w:cs="宋体"/>
                <w:color w:val="auto"/>
                <w:highlight w:val="none"/>
              </w:rPr>
              <w:t>分）</w:t>
            </w: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szCs w:val="21"/>
                <w:highlight w:val="none"/>
              </w:rPr>
            </w:pPr>
            <w:r>
              <w:rPr>
                <w:rFonts w:hint="eastAsia" w:ascii="宋体" w:hAnsi="宋体"/>
                <w:szCs w:val="21"/>
                <w:highlight w:val="none"/>
              </w:rPr>
              <w:t>类似监理业绩</w:t>
            </w:r>
          </w:p>
          <w:p>
            <w:pPr>
              <w:jc w:val="center"/>
              <w:rPr>
                <w:rFonts w:ascii="宋体" w:hAnsi="宋体" w:cs="宋体"/>
                <w:color w:val="auto"/>
                <w:szCs w:val="21"/>
                <w:highlight w:val="none"/>
              </w:rPr>
            </w:pPr>
            <w:r>
              <w:rPr>
                <w:rFonts w:hint="eastAsia" w:ascii="宋体" w:hAnsi="宋体"/>
                <w:szCs w:val="21"/>
                <w:highlight w:val="none"/>
              </w:rPr>
              <w:t>（</w:t>
            </w:r>
            <w:r>
              <w:rPr>
                <w:rFonts w:hint="eastAsia" w:ascii="宋体" w:hAnsi="宋体"/>
                <w:szCs w:val="21"/>
                <w:highlight w:val="none"/>
                <w:lang w:val="en-US" w:eastAsia="zh-CN"/>
              </w:rPr>
              <w:t>8</w:t>
            </w:r>
            <w:r>
              <w:rPr>
                <w:rFonts w:hint="eastAsia" w:ascii="宋体" w:hAnsi="宋体"/>
                <w:szCs w:val="21"/>
                <w:highlight w:val="none"/>
              </w:rPr>
              <w:t>分）</w:t>
            </w:r>
          </w:p>
        </w:tc>
        <w:tc>
          <w:tcPr>
            <w:tcW w:w="548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afterLines="0" w:line="360" w:lineRule="auto"/>
              <w:ind w:left="0" w:leftChars="0" w:right="63" w:rightChars="30"/>
              <w:rPr>
                <w:rFonts w:hint="eastAsia" w:ascii="宋体" w:hAnsi="宋体" w:cs="宋体"/>
                <w:color w:val="auto"/>
                <w:szCs w:val="21"/>
                <w:highlight w:val="none"/>
              </w:rPr>
            </w:pPr>
            <w:r>
              <w:rPr>
                <w:rFonts w:hint="eastAsia" w:ascii="宋体" w:hAnsi="宋体" w:cs="宋体"/>
                <w:color w:val="auto"/>
                <w:szCs w:val="21"/>
                <w:highlight w:val="none"/>
              </w:rPr>
              <w:t>投标人自202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w:t>
            </w:r>
            <w:r>
              <w:rPr>
                <w:rFonts w:hint="eastAsia" w:ascii="宋体" w:hAnsi="宋体" w:cs="宋体"/>
                <w:color w:val="auto"/>
                <w:szCs w:val="21"/>
                <w:highlight w:val="none"/>
                <w:lang w:eastAsia="zh-CN"/>
              </w:rPr>
              <w:t>至投标截止之日</w:t>
            </w:r>
            <w:r>
              <w:rPr>
                <w:rFonts w:hint="eastAsia" w:ascii="宋体" w:hAnsi="宋体" w:cs="宋体"/>
                <w:color w:val="auto"/>
                <w:szCs w:val="21"/>
                <w:highlight w:val="none"/>
              </w:rPr>
              <w:t>，</w:t>
            </w:r>
            <w:r>
              <w:rPr>
                <w:rFonts w:hint="eastAsia" w:ascii="宋体" w:hAnsi="宋体" w:cs="宋体"/>
                <w:kern w:val="2"/>
                <w:sz w:val="21"/>
                <w:szCs w:val="22"/>
                <w:highlight w:val="none"/>
              </w:rPr>
              <w:t>完成过质量合格的类似房屋建筑工程监理业绩</w:t>
            </w:r>
            <w:r>
              <w:rPr>
                <w:rFonts w:hint="eastAsia" w:ascii="宋体" w:hAnsi="宋体" w:cs="宋体"/>
                <w:color w:val="auto"/>
                <w:szCs w:val="21"/>
                <w:highlight w:val="none"/>
              </w:rPr>
              <w:t>，每项得1分，本项最</w:t>
            </w:r>
            <w:r>
              <w:rPr>
                <w:rFonts w:hint="eastAsia" w:ascii="宋体" w:hAnsi="宋体" w:cs="宋体"/>
                <w:color w:val="auto"/>
                <w:szCs w:val="21"/>
                <w:highlight w:val="none"/>
                <w:lang w:val="en-US" w:eastAsia="zh-CN"/>
              </w:rPr>
              <w:t>高</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pPr>
              <w:autoSpaceDE w:val="0"/>
              <w:autoSpaceDN w:val="0"/>
              <w:adjustRightInd w:val="0"/>
              <w:snapToGrid w:val="0"/>
              <w:spacing w:line="360" w:lineRule="exact"/>
              <w:ind w:left="0" w:leftChars="0"/>
              <w:jc w:val="left"/>
              <w:rPr>
                <w:rFonts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kern w:val="2"/>
                <w:sz w:val="21"/>
                <w:szCs w:val="22"/>
                <w:highlight w:val="none"/>
              </w:rPr>
              <w:t>类似工程是指招标公告第</w:t>
            </w:r>
            <w:r>
              <w:rPr>
                <w:rFonts w:ascii="宋体" w:hAnsi="宋体" w:cs="宋体"/>
                <w:kern w:val="2"/>
                <w:sz w:val="21"/>
                <w:szCs w:val="22"/>
                <w:highlight w:val="none"/>
              </w:rPr>
              <w:t>3.1</w:t>
            </w:r>
            <w:r>
              <w:rPr>
                <w:rFonts w:hint="eastAsia" w:ascii="宋体" w:hAnsi="宋体" w:cs="宋体"/>
                <w:kern w:val="2"/>
                <w:sz w:val="21"/>
                <w:szCs w:val="22"/>
                <w:highlight w:val="none"/>
              </w:rPr>
              <w:t>点所述资质方能承接的工程。</w:t>
            </w:r>
            <w:r>
              <w:rPr>
                <w:rFonts w:hint="eastAsia" w:ascii="宋体" w:hAnsi="宋体" w:cs="宋体"/>
                <w:color w:val="auto"/>
                <w:szCs w:val="21"/>
                <w:highlight w:val="none"/>
              </w:rPr>
              <w:t>需同时提供中标通知书或免招标的相关证明、合同关键页</w:t>
            </w:r>
            <w:r>
              <w:rPr>
                <w:rFonts w:hint="eastAsia" w:ascii="宋体" w:hAnsi="宋体" w:cs="宋体"/>
                <w:color w:val="auto"/>
                <w:szCs w:val="21"/>
                <w:highlight w:val="none"/>
                <w:lang w:eastAsia="zh-CN"/>
              </w:rPr>
              <w:t>、</w:t>
            </w:r>
            <w:r>
              <w:rPr>
                <w:rFonts w:hint="eastAsia" w:ascii="宋体" w:hAnsi="宋体" w:cs="宋体"/>
                <w:kern w:val="2"/>
                <w:sz w:val="21"/>
                <w:szCs w:val="22"/>
                <w:highlight w:val="none"/>
              </w:rPr>
              <w:t>竣工验收报告或竣工验收资料（至少具有建设单位、设计、施工和监理单位盖章）等证明资料复印件。</w:t>
            </w:r>
            <w:r>
              <w:rPr>
                <w:rFonts w:hint="eastAsia" w:ascii="宋体" w:hAnsi="宋体" w:cs="宋体"/>
                <w:color w:val="auto"/>
                <w:szCs w:val="21"/>
                <w:highlight w:val="none"/>
              </w:rPr>
              <w:t>业绩时间</w:t>
            </w:r>
            <w:r>
              <w:rPr>
                <w:rFonts w:hint="eastAsia" w:ascii="宋体" w:hAnsi="宋体" w:cs="宋体"/>
                <w:color w:val="auto"/>
                <w:szCs w:val="21"/>
                <w:highlight w:val="none"/>
                <w:lang w:val="en-US" w:eastAsia="zh-CN"/>
              </w:rPr>
              <w:t>以</w:t>
            </w:r>
            <w:r>
              <w:rPr>
                <w:rFonts w:hint="eastAsia" w:ascii="宋体" w:hAnsi="宋体" w:cs="宋体"/>
                <w:kern w:val="2"/>
                <w:sz w:val="21"/>
                <w:szCs w:val="22"/>
                <w:highlight w:val="none"/>
              </w:rPr>
              <w:t>竣工验收报告或验收证明为准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1"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200" w:lineRule="exact"/>
              <w:jc w:val="left"/>
              <w:rPr>
                <w:rFonts w:ascii="宋体" w:hAnsi="宋体"/>
                <w:color w:val="auto"/>
                <w:szCs w:val="21"/>
                <w:highlight w:val="none"/>
              </w:rPr>
            </w:pPr>
          </w:p>
        </w:tc>
        <w:tc>
          <w:tcPr>
            <w:tcW w:w="124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before="5" w:line="100" w:lineRule="exact"/>
              <w:jc w:val="left"/>
              <w:rPr>
                <w:rFonts w:ascii="宋体" w:hAnsi="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szCs w:val="21"/>
                <w:highlight w:val="none"/>
              </w:rPr>
            </w:pPr>
            <w:r>
              <w:rPr>
                <w:rFonts w:hint="eastAsia" w:ascii="宋体" w:hAnsi="宋体"/>
                <w:szCs w:val="21"/>
                <w:highlight w:val="none"/>
              </w:rPr>
              <w:t>获奖监理业绩</w:t>
            </w:r>
          </w:p>
          <w:p>
            <w:pPr>
              <w:jc w:val="center"/>
              <w:rPr>
                <w:rFonts w:ascii="宋体" w:hAnsi="宋体" w:cs="宋体"/>
                <w:color w:val="auto"/>
                <w:szCs w:val="21"/>
                <w:highlight w:val="none"/>
              </w:rPr>
            </w:pPr>
            <w:r>
              <w:rPr>
                <w:rFonts w:hint="eastAsia" w:ascii="宋体" w:hAnsi="宋体"/>
                <w:szCs w:val="21"/>
                <w:highlight w:val="none"/>
              </w:rPr>
              <w:t>（</w:t>
            </w:r>
            <w:r>
              <w:rPr>
                <w:rFonts w:hint="eastAsia" w:ascii="宋体" w:hAnsi="宋体"/>
                <w:szCs w:val="21"/>
                <w:highlight w:val="none"/>
                <w:lang w:val="en-US" w:eastAsia="zh-CN"/>
              </w:rPr>
              <w:t>8</w:t>
            </w:r>
            <w:r>
              <w:rPr>
                <w:rFonts w:hint="eastAsia" w:ascii="宋体" w:hAnsi="宋体"/>
                <w:szCs w:val="21"/>
                <w:highlight w:val="none"/>
              </w:rPr>
              <w:t>分）</w:t>
            </w:r>
          </w:p>
        </w:tc>
        <w:tc>
          <w:tcPr>
            <w:tcW w:w="548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afterLines="0" w:line="360" w:lineRule="auto"/>
              <w:ind w:left="0" w:leftChars="0" w:right="63" w:rightChars="30"/>
              <w:rPr>
                <w:rFonts w:hint="eastAsia" w:ascii="宋体" w:hAnsi="宋体" w:cs="宋体"/>
                <w:color w:val="auto"/>
                <w:szCs w:val="21"/>
                <w:highlight w:val="none"/>
              </w:rPr>
            </w:pPr>
            <w:r>
              <w:rPr>
                <w:rFonts w:hint="eastAsia" w:ascii="宋体" w:hAnsi="宋体" w:cs="宋体"/>
                <w:color w:val="auto"/>
                <w:szCs w:val="21"/>
                <w:highlight w:val="none"/>
              </w:rPr>
              <w:t>投标人自202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w:t>
            </w:r>
            <w:r>
              <w:rPr>
                <w:rFonts w:hint="eastAsia" w:ascii="宋体" w:hAnsi="宋体" w:cs="宋体"/>
                <w:color w:val="auto"/>
                <w:szCs w:val="21"/>
                <w:highlight w:val="none"/>
                <w:lang w:eastAsia="zh-CN"/>
              </w:rPr>
              <w:t>至投标截止之日</w:t>
            </w:r>
            <w:r>
              <w:rPr>
                <w:rFonts w:hint="eastAsia" w:ascii="宋体" w:hAnsi="宋体" w:cs="宋体"/>
                <w:color w:val="auto"/>
                <w:szCs w:val="21"/>
                <w:highlight w:val="none"/>
              </w:rPr>
              <w:t>，承接过的房屋建筑工程监理项目获得过国家级奖项的，每个得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分；省级奖项的，每个得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分；市级奖项的，每个得0.5分。</w:t>
            </w:r>
            <w:r>
              <w:rPr>
                <w:rFonts w:hint="eastAsia" w:ascii="宋体" w:hAnsi="宋体" w:cs="宋体"/>
                <w:color w:val="auto"/>
                <w:szCs w:val="21"/>
                <w:highlight w:val="none"/>
                <w:lang w:val="en-US" w:eastAsia="zh-CN"/>
              </w:rPr>
              <w:t>本项</w:t>
            </w:r>
            <w:r>
              <w:rPr>
                <w:rFonts w:hint="eastAsia" w:ascii="宋体" w:hAnsi="宋体" w:cs="宋体"/>
                <w:color w:val="auto"/>
                <w:szCs w:val="21"/>
                <w:highlight w:val="none"/>
              </w:rPr>
              <w:t>最高得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pPr>
              <w:autoSpaceDE w:val="0"/>
              <w:autoSpaceDN w:val="0"/>
              <w:adjustRightInd w:val="0"/>
              <w:snapToGrid w:val="0"/>
              <w:spacing w:line="360" w:lineRule="exact"/>
              <w:ind w:left="0" w:leftChars="0"/>
              <w:jc w:val="left"/>
              <w:rPr>
                <w:rFonts w:ascii="宋体" w:hAnsi="宋体"/>
                <w:color w:val="auto"/>
                <w:szCs w:val="21"/>
                <w:highlight w:val="none"/>
              </w:rPr>
            </w:pPr>
            <w:r>
              <w:rPr>
                <w:rFonts w:hint="eastAsia" w:ascii="宋体" w:hAnsi="宋体" w:cs="宋体"/>
                <w:color w:val="auto"/>
                <w:szCs w:val="21"/>
                <w:highlight w:val="none"/>
                <w:lang w:val="en-US" w:eastAsia="zh-CN"/>
              </w:rPr>
              <w:t>注：①</w:t>
            </w:r>
            <w:r>
              <w:rPr>
                <w:rFonts w:hint="eastAsia" w:ascii="宋体" w:hAnsi="宋体" w:cs="宋体"/>
                <w:color w:val="auto"/>
                <w:szCs w:val="21"/>
                <w:highlight w:val="none"/>
              </w:rPr>
              <w:t>国家级奖项指：中国建设工程鲁班奖、国家优质工程（金质奖）、国家优质工程（银质奖）、国家优质工程奖、中国土木工程詹天佑奖。省或市级奖项指：</w:t>
            </w:r>
            <w:r>
              <w:rPr>
                <w:rFonts w:hint="eastAsia" w:ascii="宋体" w:hAnsi="宋体" w:cs="宋体"/>
                <w:color w:val="auto"/>
                <w:szCs w:val="21"/>
                <w:highlight w:val="none"/>
                <w:lang w:val="en-US" w:eastAsia="zh-CN"/>
              </w:rPr>
              <w:t>②</w:t>
            </w:r>
            <w:r>
              <w:rPr>
                <w:rFonts w:hint="eastAsia" w:ascii="宋体" w:hAnsi="宋体" w:cs="宋体"/>
                <w:color w:val="auto"/>
                <w:szCs w:val="21"/>
                <w:highlight w:val="none"/>
              </w:rPr>
              <w:t>由省、市级建设行政主管部门或行业协会颁发的质量类奖项，非质量类不予计算。③若颁发单位是行业协会，须同时提供该颁发单位在“中国社会组织公共服务平台”网站(https://chinanpo.mca.gov.cn)登记的查询结果截图，否则不予认定；④获奖时间以获奖证书颁奖时间为准。⑤只计算建筑工程奖项，其他非建筑工程项目，如：路桥、铁路、水利、电力、化工、冶金、市政等获奖不参与计分。⑥同一项目获不同奖项按获奖最高等级仅算计一次，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21"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2" w:right="2063"/>
              <w:jc w:val="center"/>
              <w:rPr>
                <w:rFonts w:ascii="宋体" w:hAnsi="宋体" w:cs="宋体"/>
                <w:color w:val="auto"/>
                <w:szCs w:val="21"/>
                <w:highlight w:val="none"/>
              </w:rPr>
            </w:pPr>
          </w:p>
        </w:tc>
        <w:tc>
          <w:tcPr>
            <w:tcW w:w="124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2" w:right="2063"/>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宋体" w:hAnsi="宋体" w:eastAsia="宋体"/>
                <w:szCs w:val="21"/>
                <w:highlight w:val="none"/>
                <w:lang w:val="en-US" w:eastAsia="zh-CN"/>
              </w:rPr>
            </w:pPr>
            <w:r>
              <w:rPr>
                <w:rFonts w:hint="eastAsia" w:ascii="宋体" w:hAnsi="宋体"/>
                <w:szCs w:val="21"/>
                <w:highlight w:val="none"/>
              </w:rPr>
              <w:t>总监理工程师</w:t>
            </w:r>
          </w:p>
          <w:p>
            <w:pPr>
              <w:jc w:val="center"/>
              <w:rPr>
                <w:rFonts w:hint="eastAsia" w:ascii="宋体" w:hAnsi="宋体"/>
                <w:b/>
                <w:bCs/>
                <w:szCs w:val="21"/>
                <w:highlight w:val="none"/>
              </w:rPr>
            </w:pPr>
            <w:r>
              <w:rPr>
                <w:rFonts w:hint="eastAsia" w:ascii="宋体" w:hAnsi="宋体"/>
                <w:szCs w:val="21"/>
                <w:highlight w:val="none"/>
              </w:rPr>
              <w:t>（</w:t>
            </w:r>
            <w:r>
              <w:rPr>
                <w:rFonts w:hint="eastAsia" w:ascii="宋体" w:hAnsi="宋体"/>
                <w:szCs w:val="21"/>
                <w:highlight w:val="none"/>
                <w:lang w:val="en-US" w:eastAsia="zh-CN"/>
              </w:rPr>
              <w:t xml:space="preserve"> 1 </w:t>
            </w:r>
            <w:r>
              <w:rPr>
                <w:rFonts w:hint="eastAsia" w:ascii="宋体" w:hAnsi="宋体"/>
                <w:szCs w:val="21"/>
                <w:highlight w:val="none"/>
              </w:rPr>
              <w:t>分）</w:t>
            </w:r>
          </w:p>
        </w:tc>
        <w:tc>
          <w:tcPr>
            <w:tcW w:w="5484" w:type="dxa"/>
            <w:tcBorders>
              <w:top w:val="single" w:color="auto" w:sz="4" w:space="0"/>
              <w:left w:val="single" w:color="auto" w:sz="4" w:space="0"/>
              <w:bottom w:val="single" w:color="auto" w:sz="4" w:space="0"/>
              <w:right w:val="single" w:color="auto" w:sz="4" w:space="0"/>
            </w:tcBorders>
            <w:vAlign w:val="center"/>
          </w:tcPr>
          <w:p>
            <w:pPr>
              <w:pStyle w:val="24"/>
              <w:tabs>
                <w:tab w:val="left" w:pos="310"/>
              </w:tabs>
              <w:jc w:val="left"/>
              <w:rPr>
                <w:rFonts w:hint="eastAsia" w:ascii="宋体" w:hAnsi="宋体" w:eastAsia="宋体" w:cs="宋体"/>
                <w:kern w:val="2"/>
                <w:sz w:val="21"/>
                <w:szCs w:val="21"/>
                <w:highlight w:val="none"/>
                <w:lang w:val="zh-TW" w:eastAsia="zh-CN" w:bidi="zh-TW"/>
              </w:rPr>
            </w:pPr>
            <w:r>
              <w:rPr>
                <w:rFonts w:hint="eastAsia" w:ascii="宋体" w:hAnsi="宋体" w:eastAsia="宋体" w:cs="宋体"/>
                <w:kern w:val="2"/>
                <w:sz w:val="21"/>
                <w:szCs w:val="21"/>
                <w:highlight w:val="none"/>
                <w:lang w:val="zh-TW" w:eastAsia="zh-CN" w:bidi="zh-TW"/>
              </w:rPr>
              <w:t>总监理工程师具有工程类专业</w:t>
            </w:r>
            <w:r>
              <w:rPr>
                <w:rFonts w:hint="eastAsia" w:ascii="宋体" w:hAnsi="宋体" w:eastAsia="宋体" w:cs="宋体"/>
                <w:kern w:val="2"/>
                <w:sz w:val="21"/>
                <w:szCs w:val="21"/>
                <w:highlight w:val="none"/>
                <w:lang w:val="en-US" w:eastAsia="zh-CN" w:bidi="zh-TW"/>
              </w:rPr>
              <w:t>高级</w:t>
            </w:r>
            <w:r>
              <w:rPr>
                <w:rFonts w:hint="eastAsia" w:ascii="宋体" w:hAnsi="宋体" w:eastAsia="宋体" w:cs="宋体"/>
                <w:kern w:val="2"/>
                <w:sz w:val="21"/>
                <w:szCs w:val="21"/>
                <w:highlight w:val="none"/>
                <w:lang w:val="zh-TW" w:eastAsia="zh-CN" w:bidi="zh-TW"/>
              </w:rPr>
              <w:t>工程师或以上职称的，得</w:t>
            </w:r>
            <w:r>
              <w:rPr>
                <w:rFonts w:hint="eastAsia" w:cs="宋体"/>
                <w:kern w:val="2"/>
                <w:sz w:val="21"/>
                <w:szCs w:val="21"/>
                <w:highlight w:val="none"/>
                <w:lang w:val="en-US" w:eastAsia="zh-CN" w:bidi="zh-TW"/>
              </w:rPr>
              <w:t>1</w:t>
            </w:r>
            <w:r>
              <w:rPr>
                <w:rFonts w:hint="eastAsia" w:ascii="宋体" w:hAnsi="宋体" w:eastAsia="宋体" w:cs="宋体"/>
                <w:kern w:val="2"/>
                <w:sz w:val="21"/>
                <w:szCs w:val="21"/>
                <w:highlight w:val="none"/>
                <w:lang w:val="zh-TW" w:eastAsia="zh-CN" w:bidi="zh-TW"/>
              </w:rPr>
              <w:t>分；具有工程类专业工程师中级技术职称的，得</w:t>
            </w:r>
            <w:r>
              <w:rPr>
                <w:rFonts w:hint="eastAsia" w:cs="宋体"/>
                <w:kern w:val="2"/>
                <w:sz w:val="21"/>
                <w:szCs w:val="21"/>
                <w:highlight w:val="none"/>
                <w:lang w:val="en-US" w:eastAsia="zh-CN" w:bidi="zh-TW"/>
              </w:rPr>
              <w:t>0.5</w:t>
            </w:r>
            <w:r>
              <w:rPr>
                <w:rFonts w:hint="eastAsia" w:ascii="宋体" w:hAnsi="宋体" w:eastAsia="宋体" w:cs="宋体"/>
                <w:kern w:val="2"/>
                <w:sz w:val="21"/>
                <w:szCs w:val="21"/>
                <w:highlight w:val="none"/>
                <w:lang w:val="zh-TW" w:eastAsia="zh-CN" w:bidi="zh-TW"/>
              </w:rPr>
              <w:t>分。本项最高得</w:t>
            </w:r>
            <w:r>
              <w:rPr>
                <w:rFonts w:hint="eastAsia" w:cs="宋体"/>
                <w:kern w:val="2"/>
                <w:sz w:val="21"/>
                <w:szCs w:val="21"/>
                <w:highlight w:val="none"/>
                <w:lang w:val="en-US" w:eastAsia="zh-CN" w:bidi="zh-TW"/>
              </w:rPr>
              <w:t>1</w:t>
            </w:r>
            <w:r>
              <w:rPr>
                <w:rFonts w:hint="eastAsia" w:ascii="宋体" w:hAnsi="宋体" w:eastAsia="宋体" w:cs="宋体"/>
                <w:kern w:val="2"/>
                <w:sz w:val="21"/>
                <w:szCs w:val="21"/>
                <w:highlight w:val="none"/>
                <w:lang w:val="zh-TW" w:eastAsia="zh-CN" w:bidi="zh-TW"/>
              </w:rPr>
              <w:t>分。</w:t>
            </w:r>
          </w:p>
          <w:p>
            <w:pPr>
              <w:pStyle w:val="24"/>
              <w:tabs>
                <w:tab w:val="left" w:pos="310"/>
              </w:tabs>
              <w:jc w:val="left"/>
              <w:rPr>
                <w:rFonts w:hint="eastAsia" w:ascii="宋体" w:hAnsi="宋体" w:eastAsia="宋体" w:cs="宋体"/>
                <w:b/>
                <w:bCs/>
                <w:kern w:val="2"/>
                <w:sz w:val="21"/>
                <w:szCs w:val="21"/>
                <w:highlight w:val="none"/>
                <w:lang w:val="zh-TW" w:eastAsia="zh-CN" w:bidi="zh-TW"/>
              </w:rPr>
            </w:pPr>
            <w:r>
              <w:rPr>
                <w:rFonts w:hint="eastAsia" w:ascii="宋体" w:hAnsi="宋体" w:eastAsia="宋体" w:cs="宋体"/>
                <w:kern w:val="2"/>
                <w:sz w:val="21"/>
                <w:szCs w:val="21"/>
                <w:highlight w:val="none"/>
                <w:lang w:val="zh-TW" w:eastAsia="zh-CN" w:bidi="zh-TW"/>
              </w:rPr>
              <w:t>注：须提供相关证书及社保等证明材料扫描件。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21"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2" w:right="2063"/>
              <w:jc w:val="center"/>
              <w:rPr>
                <w:rFonts w:ascii="宋体" w:hAnsi="宋体" w:cs="宋体"/>
                <w:color w:val="auto"/>
                <w:szCs w:val="21"/>
                <w:highlight w:val="none"/>
              </w:rPr>
            </w:pPr>
          </w:p>
        </w:tc>
        <w:tc>
          <w:tcPr>
            <w:tcW w:w="124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2" w:right="2063"/>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宋体" w:hAnsi="宋体" w:eastAsia="宋体"/>
                <w:szCs w:val="21"/>
                <w:highlight w:val="none"/>
                <w:lang w:val="en-US" w:eastAsia="zh-CN"/>
              </w:rPr>
            </w:pPr>
            <w:r>
              <w:rPr>
                <w:rFonts w:hint="eastAsia" w:ascii="宋体" w:hAnsi="宋体"/>
                <w:szCs w:val="21"/>
                <w:highlight w:val="none"/>
              </w:rPr>
              <w:t>总监理工程师</w:t>
            </w:r>
            <w:r>
              <w:rPr>
                <w:rFonts w:hint="eastAsia" w:ascii="宋体" w:hAnsi="宋体"/>
                <w:szCs w:val="21"/>
                <w:highlight w:val="none"/>
                <w:lang w:val="en-US" w:eastAsia="zh-CN"/>
              </w:rPr>
              <w:t>代表</w:t>
            </w:r>
          </w:p>
          <w:p>
            <w:pPr>
              <w:jc w:val="center"/>
              <w:rPr>
                <w:rFonts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val="en-US" w:eastAsia="zh-CN"/>
              </w:rPr>
              <w:t>1</w:t>
            </w:r>
            <w:r>
              <w:rPr>
                <w:rFonts w:hint="eastAsia" w:ascii="宋体" w:hAnsi="宋体"/>
                <w:szCs w:val="21"/>
                <w:highlight w:val="none"/>
              </w:rPr>
              <w:t>分）</w:t>
            </w:r>
          </w:p>
        </w:tc>
        <w:tc>
          <w:tcPr>
            <w:tcW w:w="548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2"/>
                <w:sz w:val="21"/>
                <w:szCs w:val="21"/>
                <w:highlight w:val="none"/>
                <w:lang w:val="zh-TW" w:eastAsia="zh-CN" w:bidi="zh-TW"/>
              </w:rPr>
            </w:pPr>
            <w:r>
              <w:rPr>
                <w:rFonts w:hint="eastAsia" w:ascii="宋体" w:hAnsi="宋体" w:eastAsia="宋体" w:cs="宋体"/>
                <w:kern w:val="2"/>
                <w:sz w:val="21"/>
                <w:szCs w:val="21"/>
                <w:highlight w:val="none"/>
                <w:lang w:val="zh-TW" w:eastAsia="zh-CN" w:bidi="zh-TW"/>
              </w:rPr>
              <w:t>总监代表具有工程类专业</w:t>
            </w:r>
            <w:r>
              <w:rPr>
                <w:rFonts w:hint="eastAsia" w:ascii="宋体" w:hAnsi="宋体" w:eastAsia="宋体" w:cs="宋体"/>
                <w:kern w:val="2"/>
                <w:sz w:val="21"/>
                <w:szCs w:val="21"/>
                <w:highlight w:val="none"/>
                <w:lang w:val="en-US" w:eastAsia="zh-CN" w:bidi="zh-TW"/>
              </w:rPr>
              <w:t>高级</w:t>
            </w:r>
            <w:r>
              <w:rPr>
                <w:rFonts w:hint="eastAsia" w:ascii="宋体" w:hAnsi="宋体" w:eastAsia="宋体" w:cs="宋体"/>
                <w:kern w:val="2"/>
                <w:sz w:val="21"/>
                <w:szCs w:val="21"/>
                <w:highlight w:val="none"/>
                <w:lang w:val="zh-TW" w:eastAsia="zh-CN" w:bidi="zh-TW"/>
              </w:rPr>
              <w:t>工程师或以上职称的，得</w:t>
            </w:r>
            <w:r>
              <w:rPr>
                <w:rFonts w:hint="eastAsia" w:ascii="宋体" w:hAnsi="宋体" w:cs="宋体"/>
                <w:kern w:val="2"/>
                <w:sz w:val="21"/>
                <w:szCs w:val="21"/>
                <w:highlight w:val="none"/>
                <w:lang w:val="en-US" w:eastAsia="zh-CN" w:bidi="zh-TW"/>
              </w:rPr>
              <w:t>1</w:t>
            </w:r>
            <w:r>
              <w:rPr>
                <w:rFonts w:hint="eastAsia" w:ascii="宋体" w:hAnsi="宋体" w:eastAsia="宋体" w:cs="宋体"/>
                <w:kern w:val="2"/>
                <w:sz w:val="21"/>
                <w:szCs w:val="21"/>
                <w:highlight w:val="none"/>
                <w:lang w:val="zh-TW" w:eastAsia="zh-CN" w:bidi="zh-TW"/>
              </w:rPr>
              <w:t>分；具有工程类专业工程师中级技术职称的，得</w:t>
            </w:r>
            <w:r>
              <w:rPr>
                <w:rFonts w:hint="eastAsia" w:ascii="宋体" w:hAnsi="宋体" w:cs="宋体"/>
                <w:kern w:val="2"/>
                <w:sz w:val="21"/>
                <w:szCs w:val="21"/>
                <w:highlight w:val="none"/>
                <w:lang w:val="en-US" w:eastAsia="zh-CN" w:bidi="zh-TW"/>
              </w:rPr>
              <w:t>0.5</w:t>
            </w:r>
            <w:r>
              <w:rPr>
                <w:rFonts w:hint="eastAsia" w:ascii="宋体" w:hAnsi="宋体" w:eastAsia="宋体" w:cs="宋体"/>
                <w:kern w:val="2"/>
                <w:sz w:val="21"/>
                <w:szCs w:val="21"/>
                <w:highlight w:val="none"/>
                <w:lang w:val="zh-TW" w:eastAsia="zh-CN" w:bidi="zh-TW"/>
              </w:rPr>
              <w:t>分。本项最高得</w:t>
            </w:r>
            <w:r>
              <w:rPr>
                <w:rFonts w:hint="eastAsia" w:ascii="宋体" w:hAnsi="宋体" w:cs="宋体"/>
                <w:kern w:val="2"/>
                <w:sz w:val="21"/>
                <w:szCs w:val="21"/>
                <w:highlight w:val="none"/>
                <w:lang w:val="en-US" w:eastAsia="zh-CN" w:bidi="zh-TW"/>
              </w:rPr>
              <w:t>1</w:t>
            </w:r>
            <w:r>
              <w:rPr>
                <w:rFonts w:hint="eastAsia" w:ascii="宋体" w:hAnsi="宋体" w:eastAsia="宋体" w:cs="宋体"/>
                <w:kern w:val="2"/>
                <w:sz w:val="21"/>
                <w:szCs w:val="21"/>
                <w:highlight w:val="none"/>
                <w:lang w:val="zh-TW" w:eastAsia="zh-CN" w:bidi="zh-TW"/>
              </w:rPr>
              <w:t>分。</w:t>
            </w:r>
          </w:p>
          <w:p>
            <w:pPr>
              <w:jc w:val="left"/>
              <w:rPr>
                <w:rFonts w:hint="eastAsia" w:ascii="宋体" w:hAnsi="宋体" w:eastAsia="宋体" w:cs="宋体"/>
                <w:kern w:val="2"/>
                <w:sz w:val="21"/>
                <w:szCs w:val="21"/>
                <w:highlight w:val="none"/>
                <w:lang w:val="zh-TW" w:eastAsia="zh-CN" w:bidi="zh-TW"/>
              </w:rPr>
            </w:pPr>
            <w:r>
              <w:rPr>
                <w:rFonts w:hint="eastAsia" w:ascii="宋体" w:hAnsi="宋体" w:eastAsia="宋体" w:cs="宋体"/>
                <w:kern w:val="2"/>
                <w:sz w:val="21"/>
                <w:szCs w:val="21"/>
                <w:highlight w:val="none"/>
                <w:lang w:val="zh-TW" w:eastAsia="zh-CN" w:bidi="zh-TW"/>
              </w:rPr>
              <w:t>注：须提供相关证书及社保等证明材料扫描件。</w:t>
            </w:r>
          </w:p>
          <w:p>
            <w:pPr>
              <w:pStyle w:val="24"/>
              <w:tabs>
                <w:tab w:val="left" w:pos="310"/>
              </w:tabs>
              <w:jc w:val="left"/>
              <w:rPr>
                <w:rFonts w:ascii="宋体" w:hAnsi="宋体" w:eastAsia="宋体" w:cs="宋体"/>
                <w:kern w:val="2"/>
                <w:sz w:val="21"/>
                <w:szCs w:val="21"/>
                <w:highlight w:val="none"/>
                <w:lang w:val="zh-TW"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821"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2" w:right="2063"/>
              <w:jc w:val="center"/>
              <w:rPr>
                <w:rFonts w:ascii="宋体" w:hAnsi="宋体" w:cs="宋体"/>
                <w:color w:val="auto"/>
                <w:szCs w:val="21"/>
                <w:highlight w:val="none"/>
              </w:rPr>
            </w:pPr>
          </w:p>
        </w:tc>
        <w:tc>
          <w:tcPr>
            <w:tcW w:w="124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2" w:right="2063"/>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工程监理服务团队</w:t>
            </w:r>
          </w:p>
          <w:p>
            <w:pPr>
              <w:jc w:val="center"/>
              <w:rPr>
                <w:rFonts w:ascii="宋体" w:hAnsi="宋体" w:eastAsia="宋体" w:cs="Times New Roman"/>
                <w:kern w:val="2"/>
                <w:sz w:val="21"/>
                <w:szCs w:val="21"/>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548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2"/>
                <w:sz w:val="21"/>
                <w:szCs w:val="21"/>
                <w:highlight w:val="none"/>
                <w:lang w:val="zh-TW" w:eastAsia="zh-CN" w:bidi="zh-TW"/>
              </w:rPr>
            </w:pPr>
            <w:r>
              <w:rPr>
                <w:rFonts w:hint="eastAsia" w:ascii="宋体" w:hAnsi="宋体" w:eastAsia="宋体" w:cs="宋体"/>
                <w:kern w:val="2"/>
                <w:sz w:val="21"/>
                <w:szCs w:val="21"/>
                <w:highlight w:val="none"/>
                <w:lang w:val="zh-TW" w:eastAsia="zh-CN" w:bidi="zh-TW"/>
              </w:rPr>
              <w:t>1、投标人满足本项目监理人员配备要求（附件1：监理机构人员配备要求表，不含总监、总监代表）得3分，否则不得分，本小项最高得3分；</w:t>
            </w:r>
          </w:p>
          <w:p>
            <w:pPr>
              <w:jc w:val="left"/>
              <w:rPr>
                <w:rFonts w:hint="eastAsia" w:ascii="宋体" w:hAnsi="宋体" w:eastAsia="宋体" w:cs="宋体"/>
                <w:kern w:val="2"/>
                <w:sz w:val="21"/>
                <w:szCs w:val="21"/>
                <w:highlight w:val="none"/>
                <w:lang w:val="zh-TW" w:eastAsia="zh-CN" w:bidi="zh-TW"/>
              </w:rPr>
            </w:pPr>
            <w:r>
              <w:rPr>
                <w:rFonts w:hint="eastAsia" w:ascii="宋体" w:hAnsi="宋体" w:eastAsia="宋体" w:cs="宋体"/>
                <w:kern w:val="2"/>
                <w:sz w:val="21"/>
                <w:szCs w:val="21"/>
                <w:highlight w:val="none"/>
                <w:lang w:val="zh-TW" w:eastAsia="zh-CN" w:bidi="zh-TW"/>
              </w:rPr>
              <w:t>2、投标人拟配备的监理人员（不含总监、总监代表）具有注册监理工程师或建筑工程类高级或以上职称的，每人得</w:t>
            </w:r>
            <w:r>
              <w:rPr>
                <w:rFonts w:hint="eastAsia" w:ascii="宋体" w:hAnsi="宋体" w:cs="宋体"/>
                <w:kern w:val="2"/>
                <w:sz w:val="21"/>
                <w:szCs w:val="21"/>
                <w:highlight w:val="none"/>
                <w:lang w:val="en-US" w:eastAsia="zh-CN" w:bidi="zh-TW"/>
              </w:rPr>
              <w:t>1</w:t>
            </w:r>
            <w:r>
              <w:rPr>
                <w:rFonts w:hint="eastAsia" w:ascii="宋体" w:hAnsi="宋体" w:eastAsia="宋体" w:cs="宋体"/>
                <w:kern w:val="2"/>
                <w:sz w:val="21"/>
                <w:szCs w:val="21"/>
                <w:highlight w:val="none"/>
                <w:lang w:val="zh-TW" w:eastAsia="zh-CN" w:bidi="zh-TW"/>
              </w:rPr>
              <w:t>分，本小项最高得</w:t>
            </w:r>
            <w:r>
              <w:rPr>
                <w:rFonts w:hint="eastAsia" w:ascii="宋体" w:hAnsi="宋体" w:cs="宋体"/>
                <w:kern w:val="2"/>
                <w:sz w:val="21"/>
                <w:szCs w:val="21"/>
                <w:highlight w:val="none"/>
                <w:lang w:val="en-US" w:eastAsia="zh-CN" w:bidi="zh-TW"/>
              </w:rPr>
              <w:t>2</w:t>
            </w:r>
            <w:r>
              <w:rPr>
                <w:rFonts w:hint="eastAsia" w:ascii="宋体" w:hAnsi="宋体" w:eastAsia="宋体" w:cs="宋体"/>
                <w:kern w:val="2"/>
                <w:sz w:val="21"/>
                <w:szCs w:val="21"/>
                <w:highlight w:val="none"/>
                <w:lang w:val="zh-TW" w:eastAsia="zh-CN" w:bidi="zh-TW"/>
              </w:rPr>
              <w:t>分；</w:t>
            </w:r>
          </w:p>
          <w:p>
            <w:pPr>
              <w:jc w:val="left"/>
              <w:rPr>
                <w:rFonts w:hint="eastAsia" w:ascii="宋体" w:hAnsi="宋体" w:eastAsia="宋体" w:cs="宋体"/>
                <w:kern w:val="2"/>
                <w:sz w:val="21"/>
                <w:szCs w:val="21"/>
                <w:highlight w:val="none"/>
                <w:lang w:val="zh-TW" w:eastAsia="zh-CN" w:bidi="zh-TW"/>
              </w:rPr>
            </w:pPr>
            <w:r>
              <w:rPr>
                <w:rFonts w:hint="eastAsia" w:ascii="宋体" w:hAnsi="宋体" w:eastAsia="宋体" w:cs="宋体"/>
                <w:kern w:val="2"/>
                <w:sz w:val="21"/>
                <w:szCs w:val="21"/>
                <w:highlight w:val="none"/>
                <w:lang w:val="zh-TW" w:eastAsia="zh-CN" w:bidi="zh-TW"/>
              </w:rPr>
              <w:t>本项最高得</w:t>
            </w:r>
            <w:r>
              <w:rPr>
                <w:rFonts w:hint="eastAsia" w:ascii="宋体" w:hAnsi="宋体" w:cs="宋体"/>
                <w:kern w:val="2"/>
                <w:sz w:val="21"/>
                <w:szCs w:val="21"/>
                <w:highlight w:val="none"/>
                <w:lang w:val="en-US" w:eastAsia="zh-CN" w:bidi="zh-TW"/>
              </w:rPr>
              <w:t>5</w:t>
            </w:r>
            <w:r>
              <w:rPr>
                <w:rFonts w:hint="eastAsia" w:ascii="宋体" w:hAnsi="宋体" w:eastAsia="宋体" w:cs="宋体"/>
                <w:kern w:val="2"/>
                <w:sz w:val="21"/>
                <w:szCs w:val="21"/>
                <w:highlight w:val="none"/>
                <w:lang w:val="zh-TW" w:eastAsia="zh-CN" w:bidi="zh-TW"/>
              </w:rPr>
              <w:t>分。</w:t>
            </w:r>
          </w:p>
          <w:p>
            <w:pPr>
              <w:jc w:val="left"/>
              <w:rPr>
                <w:rFonts w:hint="eastAsia" w:ascii="宋体" w:hAnsi="宋体" w:eastAsia="宋体" w:cs="宋体"/>
                <w:kern w:val="2"/>
                <w:sz w:val="21"/>
                <w:szCs w:val="21"/>
                <w:highlight w:val="none"/>
                <w:lang w:val="zh-TW" w:eastAsia="zh-CN" w:bidi="zh-TW"/>
              </w:rPr>
            </w:pPr>
          </w:p>
          <w:p>
            <w:pPr>
              <w:jc w:val="left"/>
              <w:rPr>
                <w:rFonts w:hint="eastAsia" w:ascii="宋体" w:hAnsi="宋体" w:eastAsia="宋体" w:cs="宋体"/>
                <w:kern w:val="2"/>
                <w:sz w:val="21"/>
                <w:szCs w:val="21"/>
                <w:highlight w:val="none"/>
                <w:lang w:val="zh-TW" w:eastAsia="zh-CN" w:bidi="zh-TW"/>
              </w:rPr>
            </w:pPr>
            <w:r>
              <w:rPr>
                <w:rFonts w:hint="eastAsia" w:ascii="宋体" w:hAnsi="宋体" w:eastAsia="宋体" w:cs="宋体"/>
                <w:kern w:val="2"/>
                <w:sz w:val="21"/>
                <w:szCs w:val="21"/>
                <w:highlight w:val="none"/>
                <w:lang w:val="zh-TW" w:eastAsia="zh-CN" w:bidi="zh-TW"/>
              </w:rPr>
              <w:t>注：须提供相关证书及社保等证明材料扫描件。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821"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2" w:right="2063"/>
              <w:jc w:val="center"/>
              <w:rPr>
                <w:rFonts w:ascii="宋体" w:hAnsi="宋体" w:cs="宋体"/>
                <w:color w:val="auto"/>
                <w:szCs w:val="21"/>
                <w:highlight w:val="none"/>
              </w:rPr>
            </w:pPr>
          </w:p>
        </w:tc>
        <w:tc>
          <w:tcPr>
            <w:tcW w:w="124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2" w:right="2063"/>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eastAsia="宋体" w:cs="Times New Roman"/>
                <w:kern w:val="2"/>
                <w:sz w:val="21"/>
                <w:szCs w:val="21"/>
                <w:highlight w:val="none"/>
                <w:lang w:val="en-US" w:eastAsia="zh-CN" w:bidi="ar-SA"/>
              </w:rPr>
            </w:pPr>
            <w:r>
              <w:rPr>
                <w:rFonts w:hint="eastAsia" w:ascii="宋体" w:hAnsi="宋体" w:cs="宋体"/>
                <w:color w:val="auto"/>
                <w:szCs w:val="21"/>
                <w:highlight w:val="none"/>
              </w:rPr>
              <w:t>企业科学技术能力</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4分</w:t>
            </w:r>
            <w:r>
              <w:rPr>
                <w:rFonts w:hint="eastAsia" w:ascii="宋体" w:hAnsi="宋体" w:cs="宋体"/>
                <w:color w:val="auto"/>
                <w:szCs w:val="21"/>
                <w:highlight w:val="none"/>
                <w:lang w:eastAsia="zh-CN"/>
              </w:rPr>
              <w:t>）</w:t>
            </w:r>
          </w:p>
        </w:tc>
        <w:tc>
          <w:tcPr>
            <w:tcW w:w="5484" w:type="dxa"/>
            <w:tcBorders>
              <w:top w:val="single" w:color="auto" w:sz="4" w:space="0"/>
              <w:left w:val="single" w:color="auto" w:sz="4" w:space="0"/>
              <w:bottom w:val="single" w:color="auto" w:sz="4" w:space="0"/>
              <w:right w:val="single" w:color="auto" w:sz="4" w:space="0"/>
            </w:tcBorders>
            <w:vAlign w:val="center"/>
          </w:tcPr>
          <w:p>
            <w:pPr>
              <w:pStyle w:val="24"/>
              <w:tabs>
                <w:tab w:val="left" w:pos="310"/>
              </w:tabs>
              <w:jc w:val="left"/>
              <w:rPr>
                <w:rFonts w:hint="eastAsia" w:ascii="宋体" w:hAnsi="宋体" w:eastAsia="宋体" w:cs="宋体"/>
                <w:kern w:val="2"/>
                <w:sz w:val="21"/>
                <w:szCs w:val="21"/>
                <w:highlight w:val="none"/>
                <w:lang w:val="zh-TW" w:eastAsia="zh-CN" w:bidi="zh-TW"/>
              </w:rPr>
            </w:pPr>
            <w:r>
              <w:rPr>
                <w:rFonts w:hint="eastAsia" w:ascii="宋体" w:hAnsi="宋体" w:eastAsia="宋体" w:cs="宋体"/>
                <w:kern w:val="2"/>
                <w:sz w:val="21"/>
                <w:szCs w:val="21"/>
                <w:highlight w:val="none"/>
                <w:lang w:val="zh-TW" w:eastAsia="zh-CN" w:bidi="zh-TW"/>
              </w:rPr>
              <w:t>投标人自2022年1月1日至投标截止之日，获得过省级(或以上)工程建筑领域科学技术奖励的，每有一项得2分，获得过市级工程建筑领域科学技术奖励的，每有一项得1分。本项最高得4分。</w:t>
            </w:r>
          </w:p>
          <w:p>
            <w:pPr>
              <w:pStyle w:val="24"/>
              <w:tabs>
                <w:tab w:val="left" w:pos="310"/>
              </w:tabs>
              <w:jc w:val="left"/>
              <w:rPr>
                <w:rFonts w:ascii="Times New Roman" w:hAnsi="Times New Roman" w:eastAsia="宋体" w:cs="Times New Roman"/>
                <w:kern w:val="2"/>
                <w:sz w:val="24"/>
                <w:szCs w:val="24"/>
                <w:highlight w:val="none"/>
                <w:lang w:val="en-US" w:eastAsia="zh-CN" w:bidi="ar-SA"/>
              </w:rPr>
            </w:pPr>
            <w:r>
              <w:rPr>
                <w:rFonts w:hint="eastAsia" w:ascii="宋体" w:hAnsi="宋体" w:eastAsia="宋体" w:cs="宋体"/>
                <w:kern w:val="2"/>
                <w:sz w:val="21"/>
                <w:szCs w:val="21"/>
                <w:highlight w:val="none"/>
                <w:lang w:val="zh-TW" w:eastAsia="zh-CN" w:bidi="zh-TW"/>
              </w:rPr>
              <w:t>注：①只计算土木建筑领域，其他非建筑工程领域，如：路桥、铁路、水利、电力、化工、冶金、市政等不参与计分。②颁发单位是行业协会或学会，须同时提供该颁发单位在“中国社会组织公共服务平台”网站(https://chinanpo.mca.gov.cn)登记的查询结果截图，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4" w:hRule="atLeast"/>
          <w:jc w:val="center"/>
        </w:trPr>
        <w:tc>
          <w:tcPr>
            <w:tcW w:w="821"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79" w:right="2059"/>
              <w:jc w:val="center"/>
              <w:rPr>
                <w:rFonts w:ascii="宋体" w:hAnsi="宋体" w:cs="宋体"/>
                <w:color w:val="auto"/>
                <w:szCs w:val="21"/>
                <w:highlight w:val="none"/>
              </w:rPr>
            </w:pPr>
          </w:p>
        </w:tc>
        <w:tc>
          <w:tcPr>
            <w:tcW w:w="124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79" w:right="2059"/>
              <w:jc w:val="center"/>
              <w:rPr>
                <w:rFonts w:ascii="宋体" w:hAnsi="宋体" w:cs="宋体"/>
                <w:color w:val="auto"/>
                <w:szCs w:val="21"/>
                <w:highlight w:val="none"/>
              </w:rPr>
            </w:pPr>
          </w:p>
        </w:tc>
        <w:tc>
          <w:tcPr>
            <w:tcW w:w="1685" w:type="dxa"/>
            <w:gridSpan w:val="2"/>
            <w:tcBorders>
              <w:top w:val="single" w:color="auto" w:sz="4" w:space="0"/>
              <w:left w:val="single" w:color="auto" w:sz="4" w:space="0"/>
              <w:right w:val="single" w:color="auto" w:sz="4" w:space="0"/>
            </w:tcBorders>
            <w:tcMar>
              <w:top w:w="0" w:type="dxa"/>
              <w:left w:w="57" w:type="dxa"/>
              <w:bottom w:w="0" w:type="dxa"/>
              <w:right w:w="57" w:type="dxa"/>
            </w:tcMar>
            <w:vAlign w:val="center"/>
          </w:tcPr>
          <w:p>
            <w:pPr>
              <w:jc w:val="center"/>
              <w:rPr>
                <w:rFonts w:ascii="宋体" w:hAnsi="宋体"/>
                <w:szCs w:val="21"/>
                <w:highlight w:val="none"/>
              </w:rPr>
            </w:pPr>
            <w:r>
              <w:rPr>
                <w:rFonts w:hint="eastAsia" w:ascii="宋体" w:hAnsi="宋体"/>
                <w:szCs w:val="21"/>
                <w:highlight w:val="none"/>
              </w:rPr>
              <w:t>纳税信用等级</w:t>
            </w:r>
          </w:p>
          <w:p>
            <w:pPr>
              <w:jc w:val="center"/>
              <w:rPr>
                <w:rFonts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分）</w:t>
            </w:r>
          </w:p>
        </w:tc>
        <w:tc>
          <w:tcPr>
            <w:tcW w:w="5484" w:type="dxa"/>
            <w:tcBorders>
              <w:top w:val="single" w:color="auto" w:sz="4" w:space="0"/>
              <w:left w:val="single" w:color="auto" w:sz="4" w:space="0"/>
              <w:bottom w:val="single" w:color="auto" w:sz="4" w:space="0"/>
              <w:right w:val="single" w:color="auto" w:sz="4" w:space="0"/>
            </w:tcBorders>
            <w:vAlign w:val="center"/>
          </w:tcPr>
          <w:p>
            <w:pPr>
              <w:pStyle w:val="24"/>
              <w:tabs>
                <w:tab w:val="left" w:pos="310"/>
              </w:tabs>
              <w:spacing w:line="240" w:lineRule="auto"/>
              <w:jc w:val="left"/>
              <w:rPr>
                <w:rFonts w:hint="eastAsia" w:ascii="宋体" w:hAnsi="宋体" w:eastAsia="宋体" w:cs="宋体"/>
                <w:kern w:val="2"/>
                <w:sz w:val="21"/>
                <w:szCs w:val="21"/>
                <w:highlight w:val="none"/>
                <w:lang w:val="zh-TW" w:eastAsia="zh-CN" w:bidi="zh-TW"/>
              </w:rPr>
            </w:pPr>
            <w:r>
              <w:rPr>
                <w:rFonts w:hint="eastAsia" w:ascii="宋体" w:hAnsi="宋体" w:eastAsia="宋体" w:cs="宋体"/>
                <w:kern w:val="2"/>
                <w:sz w:val="21"/>
                <w:szCs w:val="21"/>
                <w:highlight w:val="none"/>
                <w:lang w:val="zh-TW" w:eastAsia="zh-CN" w:bidi="zh-TW"/>
              </w:rPr>
              <w:t>投标人连续获得“纳税信用等级A级”（需包含2024年度）证书：</w:t>
            </w:r>
          </w:p>
          <w:p>
            <w:pPr>
              <w:pStyle w:val="24"/>
              <w:tabs>
                <w:tab w:val="left" w:pos="310"/>
              </w:tabs>
              <w:spacing w:line="240" w:lineRule="auto"/>
              <w:jc w:val="left"/>
              <w:rPr>
                <w:rFonts w:hint="eastAsia" w:ascii="宋体" w:hAnsi="宋体" w:eastAsia="宋体" w:cs="宋体"/>
                <w:kern w:val="2"/>
                <w:sz w:val="21"/>
                <w:szCs w:val="21"/>
                <w:highlight w:val="none"/>
                <w:lang w:val="zh-TW" w:eastAsia="zh-CN" w:bidi="zh-TW"/>
              </w:rPr>
            </w:pPr>
            <w:r>
              <w:rPr>
                <w:rFonts w:hint="eastAsia" w:ascii="宋体" w:hAnsi="宋体" w:eastAsia="宋体" w:cs="宋体"/>
                <w:kern w:val="2"/>
                <w:sz w:val="21"/>
                <w:szCs w:val="21"/>
                <w:highlight w:val="none"/>
                <w:lang w:val="zh-TW" w:eastAsia="zh-CN" w:bidi="zh-TW"/>
              </w:rPr>
              <w:t>连续5年（或以上）获得的得3分；</w:t>
            </w:r>
          </w:p>
          <w:p>
            <w:pPr>
              <w:pStyle w:val="24"/>
              <w:tabs>
                <w:tab w:val="left" w:pos="310"/>
              </w:tabs>
              <w:spacing w:line="240" w:lineRule="auto"/>
              <w:jc w:val="left"/>
              <w:rPr>
                <w:rFonts w:hint="eastAsia" w:ascii="宋体" w:hAnsi="宋体" w:eastAsia="宋体" w:cs="宋体"/>
                <w:kern w:val="2"/>
                <w:sz w:val="21"/>
                <w:szCs w:val="21"/>
                <w:highlight w:val="none"/>
                <w:lang w:val="zh-TW" w:eastAsia="zh-CN" w:bidi="zh-TW"/>
              </w:rPr>
            </w:pPr>
            <w:r>
              <w:rPr>
                <w:rFonts w:hint="eastAsia" w:ascii="宋体" w:hAnsi="宋体" w:eastAsia="宋体" w:cs="宋体"/>
                <w:kern w:val="2"/>
                <w:sz w:val="21"/>
                <w:szCs w:val="21"/>
                <w:highlight w:val="none"/>
                <w:lang w:val="zh-TW" w:eastAsia="zh-CN" w:bidi="zh-TW"/>
              </w:rPr>
              <w:t>连续3-4年获得的得2分；</w:t>
            </w:r>
          </w:p>
          <w:p>
            <w:pPr>
              <w:pStyle w:val="24"/>
              <w:tabs>
                <w:tab w:val="left" w:pos="310"/>
              </w:tabs>
              <w:spacing w:line="240" w:lineRule="auto"/>
              <w:jc w:val="left"/>
              <w:rPr>
                <w:rFonts w:hint="eastAsia" w:ascii="宋体" w:hAnsi="宋体" w:eastAsia="宋体" w:cs="宋体"/>
                <w:kern w:val="2"/>
                <w:sz w:val="21"/>
                <w:szCs w:val="21"/>
                <w:highlight w:val="none"/>
                <w:lang w:val="zh-TW" w:eastAsia="zh-CN" w:bidi="zh-TW"/>
              </w:rPr>
            </w:pPr>
            <w:r>
              <w:rPr>
                <w:rFonts w:hint="eastAsia" w:ascii="宋体" w:hAnsi="宋体" w:eastAsia="宋体" w:cs="宋体"/>
                <w:kern w:val="2"/>
                <w:sz w:val="21"/>
                <w:szCs w:val="21"/>
                <w:highlight w:val="none"/>
                <w:lang w:val="zh-TW" w:eastAsia="zh-CN" w:bidi="zh-TW"/>
              </w:rPr>
              <w:t>连续1-2年获得的得1分；</w:t>
            </w:r>
          </w:p>
          <w:p>
            <w:pPr>
              <w:pStyle w:val="24"/>
              <w:tabs>
                <w:tab w:val="left" w:pos="310"/>
              </w:tabs>
              <w:spacing w:line="240" w:lineRule="auto"/>
              <w:jc w:val="left"/>
              <w:rPr>
                <w:rFonts w:hint="eastAsia" w:ascii="宋体" w:hAnsi="宋体" w:eastAsia="宋体" w:cs="宋体"/>
                <w:kern w:val="2"/>
                <w:sz w:val="21"/>
                <w:szCs w:val="21"/>
                <w:highlight w:val="none"/>
                <w:lang w:val="zh-TW" w:eastAsia="zh-CN" w:bidi="zh-TW"/>
              </w:rPr>
            </w:pPr>
            <w:r>
              <w:rPr>
                <w:rFonts w:hint="eastAsia" w:ascii="宋体" w:hAnsi="宋体" w:eastAsia="宋体" w:cs="宋体"/>
                <w:kern w:val="2"/>
                <w:sz w:val="21"/>
                <w:szCs w:val="21"/>
                <w:highlight w:val="none"/>
                <w:lang w:val="zh-TW" w:eastAsia="zh-CN" w:bidi="zh-TW"/>
              </w:rPr>
              <w:t>未获得不得分。</w:t>
            </w:r>
          </w:p>
          <w:p>
            <w:pPr>
              <w:pStyle w:val="24"/>
              <w:tabs>
                <w:tab w:val="left" w:pos="310"/>
              </w:tabs>
              <w:spacing w:line="240" w:lineRule="auto"/>
              <w:jc w:val="left"/>
              <w:rPr>
                <w:rFonts w:hint="eastAsia" w:ascii="宋体" w:hAnsi="宋体" w:eastAsia="宋体" w:cs="宋体"/>
                <w:kern w:val="2"/>
                <w:sz w:val="21"/>
                <w:szCs w:val="21"/>
                <w:highlight w:val="none"/>
                <w:lang w:val="zh-TW" w:eastAsia="zh-CN" w:bidi="zh-TW"/>
              </w:rPr>
            </w:pPr>
            <w:r>
              <w:rPr>
                <w:rFonts w:hint="eastAsia" w:ascii="宋体" w:hAnsi="宋体" w:eastAsia="宋体" w:cs="宋体"/>
                <w:kern w:val="2"/>
                <w:sz w:val="21"/>
                <w:szCs w:val="21"/>
                <w:highlight w:val="none"/>
                <w:lang w:val="zh-TW" w:eastAsia="zh-CN" w:bidi="zh-TW"/>
              </w:rPr>
              <w:t>本项最高得3分。</w:t>
            </w:r>
          </w:p>
          <w:p>
            <w:pPr>
              <w:pStyle w:val="24"/>
              <w:tabs>
                <w:tab w:val="left" w:pos="310"/>
              </w:tabs>
              <w:spacing w:line="240" w:lineRule="auto"/>
              <w:jc w:val="left"/>
              <w:rPr>
                <w:rFonts w:hint="eastAsia" w:ascii="宋体" w:hAnsi="宋体" w:eastAsia="宋体" w:cs="宋体"/>
                <w:kern w:val="2"/>
                <w:sz w:val="21"/>
                <w:szCs w:val="21"/>
                <w:highlight w:val="none"/>
                <w:lang w:val="zh-TW" w:eastAsia="zh-CN" w:bidi="zh-TW"/>
              </w:rPr>
            </w:pPr>
            <w:r>
              <w:rPr>
                <w:rFonts w:hint="eastAsia" w:ascii="宋体" w:hAnsi="宋体" w:eastAsia="宋体" w:cs="宋体"/>
                <w:kern w:val="2"/>
                <w:sz w:val="21"/>
                <w:szCs w:val="21"/>
                <w:highlight w:val="none"/>
                <w:lang w:val="zh-TW" w:eastAsia="zh-CN" w:bidi="zh-TW"/>
              </w:rPr>
              <w:t>注：①纳税信用等级A级”证书若连续年份名次排列出现并列，则占用下一名次（如：连续年份相同的投标人有N个，则该N个投标人并列为第n名，下一名按第N+n名计算，依此类推）。</w:t>
            </w:r>
          </w:p>
          <w:p>
            <w:pPr>
              <w:pStyle w:val="24"/>
              <w:tabs>
                <w:tab w:val="left" w:pos="310"/>
              </w:tabs>
              <w:spacing w:line="240" w:lineRule="auto"/>
              <w:jc w:val="left"/>
              <w:rPr>
                <w:rFonts w:ascii="宋体" w:hAnsi="宋体" w:eastAsia="宋体" w:cs="宋体"/>
                <w:kern w:val="2"/>
                <w:sz w:val="21"/>
                <w:szCs w:val="21"/>
                <w:highlight w:val="none"/>
                <w:lang w:val="zh-TW" w:eastAsia="zh-CN" w:bidi="zh-TW"/>
              </w:rPr>
            </w:pPr>
            <w:r>
              <w:rPr>
                <w:rFonts w:hint="eastAsia" w:ascii="宋体" w:hAnsi="宋体" w:eastAsia="宋体" w:cs="宋体"/>
                <w:kern w:val="2"/>
                <w:sz w:val="21"/>
                <w:szCs w:val="21"/>
                <w:highlight w:val="none"/>
                <w:lang w:val="zh-TW" w:eastAsia="zh-CN" w:bidi="zh-TW"/>
              </w:rPr>
              <w:t>②须提供税务部门官网的查询结果网页截图（打印页）及税务部门颁发的荣誉证书。被评价单位必须为投标单位，且关联公司（含上级公司、子公司、分公司、控股及管理关系）的评价结果不予认可。不符合上述条件或未提供上述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1"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ind w:right="-20"/>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r>
              <w:rPr>
                <w:rFonts w:ascii="宋体" w:hAnsi="宋体"/>
                <w:color w:val="auto"/>
                <w:szCs w:val="21"/>
                <w:highlight w:val="none"/>
              </w:rPr>
              <w:t>.4</w:t>
            </w:r>
          </w:p>
          <w:p>
            <w:pPr>
              <w:spacing w:before="86"/>
              <w:ind w:right="-20"/>
              <w:jc w:val="center"/>
              <w:rPr>
                <w:rFonts w:ascii="宋体" w:hAnsi="宋体" w:cs="宋体"/>
                <w:color w:val="auto"/>
                <w:szCs w:val="21"/>
                <w:highlight w:val="none"/>
              </w:rPr>
            </w:pPr>
            <w:r>
              <w:rPr>
                <w:rFonts w:ascii="宋体" w:hAnsi="宋体"/>
                <w:color w:val="auto"/>
                <w:szCs w:val="21"/>
                <w:highlight w:val="none"/>
              </w:rPr>
              <w:t>（2）</w:t>
            </w:r>
          </w:p>
        </w:tc>
        <w:tc>
          <w:tcPr>
            <w:tcW w:w="1247"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92" w:lineRule="auto"/>
              <w:ind w:left="0" w:right="59"/>
              <w:jc w:val="center"/>
              <w:rPr>
                <w:rFonts w:ascii="宋体" w:hAnsi="宋体" w:cs="宋体"/>
                <w:color w:val="auto"/>
                <w:szCs w:val="21"/>
                <w:highlight w:val="none"/>
              </w:rPr>
            </w:pPr>
            <w:r>
              <w:rPr>
                <w:rFonts w:ascii="宋体" w:hAnsi="宋体"/>
                <w:color w:val="auto"/>
                <w:szCs w:val="21"/>
                <w:highlight w:val="none"/>
              </w:rPr>
              <w:t>监理</w:t>
            </w:r>
            <w:r>
              <w:rPr>
                <w:rFonts w:ascii="宋体" w:hAnsi="宋体"/>
                <w:color w:val="auto"/>
                <w:spacing w:val="-2"/>
                <w:szCs w:val="21"/>
                <w:highlight w:val="none"/>
              </w:rPr>
              <w:t>大</w:t>
            </w:r>
            <w:r>
              <w:rPr>
                <w:rFonts w:ascii="宋体" w:hAnsi="宋体"/>
                <w:color w:val="auto"/>
                <w:szCs w:val="21"/>
                <w:highlight w:val="none"/>
              </w:rPr>
              <w:t>纲评分</w:t>
            </w:r>
            <w:r>
              <w:rPr>
                <w:rFonts w:ascii="宋体" w:hAnsi="宋体"/>
                <w:color w:val="auto"/>
                <w:spacing w:val="-2"/>
                <w:szCs w:val="21"/>
                <w:highlight w:val="none"/>
              </w:rPr>
              <w:t>标</w:t>
            </w:r>
            <w:r>
              <w:rPr>
                <w:rFonts w:ascii="宋体" w:hAnsi="宋体"/>
                <w:color w:val="auto"/>
                <w:szCs w:val="21"/>
                <w:highlight w:val="none"/>
              </w:rPr>
              <w:t>准</w:t>
            </w:r>
            <w:r>
              <w:rPr>
                <w:rFonts w:hint="eastAsia" w:ascii="宋体" w:hAnsi="宋体"/>
                <w:color w:val="auto"/>
                <w:szCs w:val="21"/>
                <w:highlight w:val="none"/>
              </w:rPr>
              <w:t>（</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utoSpaceDE w:val="0"/>
              <w:autoSpaceDN w:val="0"/>
              <w:ind w:left="134" w:leftChars="64" w:right="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质量控制措施</w:t>
            </w:r>
          </w:p>
          <w:p>
            <w:pPr>
              <w:autoSpaceDE w:val="0"/>
              <w:autoSpaceDN w:val="0"/>
              <w:ind w:left="134" w:leftChars="64" w:right="74" w:rightChars="0"/>
              <w:jc w:val="center"/>
              <w:rPr>
                <w:rFonts w:ascii="宋体" w:hAnsi="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5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before="0" w:afterLines="0" w:line="360" w:lineRule="auto"/>
              <w:ind w:left="63" w:leftChars="30" w:right="63" w:rightChars="30" w:firstLine="0" w:firstLine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质量控制措施目标明确、方法合理可行、措施具体、针对性强。</w:t>
            </w:r>
          </w:p>
          <w:p>
            <w:pPr>
              <w:keepNext w:val="0"/>
              <w:keepLines w:val="0"/>
              <w:pageBreakBefore w:val="0"/>
              <w:widowControl/>
              <w:kinsoku/>
              <w:wordWrap/>
              <w:overflowPunct/>
              <w:topLinePunct w:val="0"/>
              <w:autoSpaceDE w:val="0"/>
              <w:autoSpaceDN w:val="0"/>
              <w:bidi w:val="0"/>
              <w:adjustRightInd/>
              <w:snapToGrid/>
              <w:spacing w:before="0" w:afterLines="0" w:line="360" w:lineRule="auto"/>
              <w:ind w:left="63" w:leftChars="30" w:right="63" w:rightChars="30" w:firstLine="0" w:firstLineChars="0"/>
              <w:jc w:val="left"/>
              <w:textAlignment w:val="auto"/>
              <w:outlineLvl w:val="9"/>
              <w:rPr>
                <w:rFonts w:ascii="宋体" w:hAnsi="宋体" w:cs="宋体"/>
                <w:color w:val="auto"/>
                <w:szCs w:val="21"/>
                <w:highlight w:val="none"/>
              </w:rPr>
            </w:pPr>
            <w:r>
              <w:rPr>
                <w:rFonts w:hint="eastAsia" w:ascii="宋体" w:hAnsi="宋体" w:eastAsia="宋体" w:cs="宋体"/>
                <w:color w:val="auto"/>
                <w:highlight w:val="none"/>
                <w:lang w:val="en-US" w:eastAsia="zh-CN"/>
              </w:rPr>
              <w:t>优得(4,5]分；良得(2.5,4]分；中得(1,2.5]分；差得[0,1]分；未提供的不得分；最高不超过5分。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21"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2" w:right="2063"/>
              <w:jc w:val="center"/>
              <w:rPr>
                <w:rFonts w:ascii="宋体" w:hAnsi="宋体" w:cs="宋体"/>
                <w:color w:val="auto"/>
                <w:szCs w:val="21"/>
                <w:highlight w:val="none"/>
              </w:rPr>
            </w:pPr>
          </w:p>
        </w:tc>
        <w:tc>
          <w:tcPr>
            <w:tcW w:w="124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2" w:right="2063"/>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utoSpaceDE w:val="0"/>
              <w:autoSpaceDN w:val="0"/>
              <w:ind w:left="134" w:leftChars="64" w:right="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进度控制措施</w:t>
            </w:r>
          </w:p>
          <w:p>
            <w:pPr>
              <w:autoSpaceDE w:val="0"/>
              <w:autoSpaceDN w:val="0"/>
              <w:ind w:left="134" w:leftChars="64" w:right="74" w:rightChars="0"/>
              <w:jc w:val="center"/>
              <w:rPr>
                <w:rFonts w:ascii="宋体" w:hAnsi="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5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before="0" w:afterLines="0" w:line="360" w:lineRule="auto"/>
              <w:ind w:left="63" w:leftChars="30" w:right="63" w:rightChars="30" w:firstLine="0" w:firstLineChars="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进度控制措施目标明确、方法合理可行、措施具体、针对性强。</w:t>
            </w:r>
          </w:p>
          <w:p>
            <w:pPr>
              <w:keepNext w:val="0"/>
              <w:keepLines w:val="0"/>
              <w:pageBreakBefore w:val="0"/>
              <w:widowControl/>
              <w:kinsoku/>
              <w:wordWrap/>
              <w:overflowPunct/>
              <w:topLinePunct w:val="0"/>
              <w:autoSpaceDE w:val="0"/>
              <w:autoSpaceDN w:val="0"/>
              <w:bidi w:val="0"/>
              <w:adjustRightInd/>
              <w:snapToGrid/>
              <w:spacing w:before="0" w:afterLines="0" w:line="360" w:lineRule="auto"/>
              <w:ind w:left="63" w:leftChars="30" w:right="63" w:rightChars="30" w:firstLine="0" w:firstLineChars="0"/>
              <w:jc w:val="left"/>
              <w:textAlignment w:val="auto"/>
              <w:outlineLvl w:val="9"/>
              <w:rPr>
                <w:rFonts w:ascii="宋体" w:hAnsi="宋体" w:cs="宋体"/>
                <w:color w:val="auto"/>
                <w:szCs w:val="21"/>
                <w:highlight w:val="none"/>
              </w:rPr>
            </w:pPr>
            <w:r>
              <w:rPr>
                <w:rFonts w:hint="eastAsia" w:ascii="宋体" w:hAnsi="宋体" w:eastAsia="宋体" w:cs="宋体"/>
                <w:color w:val="auto"/>
                <w:highlight w:val="none"/>
                <w:lang w:val="en-US" w:eastAsia="zh-CN"/>
              </w:rPr>
              <w:t>优得(4,5]分；良得(2.5,4]分；中得(1,2.5]分；差得[0,1]分；</w:t>
            </w:r>
            <w:r>
              <w:rPr>
                <w:rFonts w:hint="eastAsia" w:ascii="宋体" w:hAnsi="宋体" w:eastAsia="宋体" w:cs="宋体"/>
                <w:color w:val="auto"/>
                <w:highlight w:val="none"/>
              </w:rPr>
              <w:t>未提供的不得分；最高不超过</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21"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2" w:right="2063"/>
              <w:jc w:val="center"/>
              <w:rPr>
                <w:rFonts w:ascii="宋体" w:hAnsi="宋体" w:cs="宋体"/>
                <w:color w:val="auto"/>
                <w:szCs w:val="21"/>
                <w:highlight w:val="none"/>
              </w:rPr>
            </w:pPr>
          </w:p>
        </w:tc>
        <w:tc>
          <w:tcPr>
            <w:tcW w:w="124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2" w:right="2063"/>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utoSpaceDE w:val="0"/>
              <w:autoSpaceDN w:val="0"/>
              <w:ind w:left="134" w:leftChars="64" w:right="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投资</w:t>
            </w:r>
            <w:r>
              <w:rPr>
                <w:rFonts w:hint="eastAsia" w:ascii="宋体" w:hAnsi="宋体" w:eastAsia="宋体" w:cs="宋体"/>
                <w:color w:val="auto"/>
                <w:szCs w:val="21"/>
                <w:highlight w:val="none"/>
              </w:rPr>
              <w:t>控制措施</w:t>
            </w:r>
          </w:p>
          <w:p>
            <w:pPr>
              <w:autoSpaceDE w:val="0"/>
              <w:autoSpaceDN w:val="0"/>
              <w:ind w:left="134" w:leftChars="64" w:right="74" w:rightChars="0"/>
              <w:jc w:val="center"/>
              <w:rPr>
                <w:rFonts w:ascii="宋体" w:hAnsi="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5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before="0" w:afterLines="0" w:line="360" w:lineRule="auto"/>
              <w:ind w:left="63" w:leftChars="30" w:right="63" w:rightChars="30" w:firstLine="0" w:firstLineChars="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投资</w:t>
            </w:r>
            <w:r>
              <w:rPr>
                <w:rFonts w:hint="eastAsia" w:ascii="宋体" w:hAnsi="宋体" w:eastAsia="宋体" w:cs="宋体"/>
                <w:color w:val="auto"/>
                <w:highlight w:val="none"/>
              </w:rPr>
              <w:t>控制措施目标明确、方法合理可行、措施具体、针对性强。</w:t>
            </w:r>
          </w:p>
          <w:p>
            <w:pPr>
              <w:keepNext w:val="0"/>
              <w:keepLines w:val="0"/>
              <w:pageBreakBefore w:val="0"/>
              <w:widowControl/>
              <w:kinsoku/>
              <w:wordWrap/>
              <w:overflowPunct/>
              <w:topLinePunct w:val="0"/>
              <w:autoSpaceDE w:val="0"/>
              <w:autoSpaceDN w:val="0"/>
              <w:bidi w:val="0"/>
              <w:adjustRightInd/>
              <w:snapToGrid/>
              <w:spacing w:before="0" w:afterLines="0" w:line="360" w:lineRule="auto"/>
              <w:ind w:left="63" w:leftChars="30" w:right="63" w:rightChars="30" w:firstLine="0" w:firstLineChars="0"/>
              <w:jc w:val="left"/>
              <w:textAlignment w:val="auto"/>
              <w:outlineLvl w:val="9"/>
              <w:rPr>
                <w:rFonts w:ascii="宋体" w:hAnsi="宋体" w:cs="宋体"/>
                <w:color w:val="auto"/>
                <w:szCs w:val="21"/>
                <w:highlight w:val="none"/>
              </w:rPr>
            </w:pPr>
            <w:r>
              <w:rPr>
                <w:rFonts w:hint="eastAsia" w:ascii="宋体" w:hAnsi="宋体" w:eastAsia="宋体" w:cs="宋体"/>
                <w:color w:val="auto"/>
                <w:highlight w:val="none"/>
                <w:lang w:val="en-US" w:eastAsia="zh-CN"/>
              </w:rPr>
              <w:t>优得(3,4]分；良得(2,3]分；中得(1,2]分；差得[0,1]分；</w:t>
            </w:r>
            <w:r>
              <w:rPr>
                <w:rFonts w:hint="eastAsia" w:ascii="宋体" w:hAnsi="宋体" w:eastAsia="宋体" w:cs="宋体"/>
                <w:color w:val="auto"/>
                <w:highlight w:val="none"/>
              </w:rPr>
              <w:t>未提供的不得分；最高不超过</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1"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2" w:right="2063"/>
              <w:jc w:val="center"/>
              <w:rPr>
                <w:rFonts w:ascii="宋体" w:hAnsi="宋体" w:cs="宋体"/>
                <w:color w:val="auto"/>
                <w:szCs w:val="21"/>
                <w:highlight w:val="none"/>
              </w:rPr>
            </w:pPr>
          </w:p>
        </w:tc>
        <w:tc>
          <w:tcPr>
            <w:tcW w:w="124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2" w:right="2063"/>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utoSpaceDE w:val="0"/>
              <w:autoSpaceDN w:val="0"/>
              <w:ind w:left="134" w:leftChars="64" w:right="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安全控制措施</w:t>
            </w:r>
          </w:p>
          <w:p>
            <w:pPr>
              <w:autoSpaceDE w:val="0"/>
              <w:autoSpaceDN w:val="0"/>
              <w:ind w:left="134" w:leftChars="64" w:right="74" w:rightChars="0"/>
              <w:jc w:val="center"/>
              <w:rPr>
                <w:rFonts w:hint="eastAsia" w:ascii="宋体" w:hAnsi="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5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before="0" w:afterLines="0" w:line="360" w:lineRule="auto"/>
              <w:ind w:left="63" w:leftChars="30" w:right="63" w:rightChars="30" w:firstLine="0" w:firstLineChars="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安全控制措施目标明确、方法合理可行、措施具体、针对性强。</w:t>
            </w:r>
          </w:p>
          <w:p>
            <w:pPr>
              <w:keepNext w:val="0"/>
              <w:keepLines w:val="0"/>
              <w:pageBreakBefore w:val="0"/>
              <w:widowControl/>
              <w:kinsoku/>
              <w:wordWrap/>
              <w:overflowPunct/>
              <w:topLinePunct w:val="0"/>
              <w:autoSpaceDE w:val="0"/>
              <w:autoSpaceDN w:val="0"/>
              <w:bidi w:val="0"/>
              <w:adjustRightInd/>
              <w:snapToGrid/>
              <w:spacing w:before="0" w:afterLines="0" w:line="360" w:lineRule="auto"/>
              <w:ind w:left="63" w:leftChars="30" w:right="63" w:rightChars="30" w:firstLine="0" w:firstLineChars="0"/>
              <w:jc w:val="left"/>
              <w:textAlignment w:val="auto"/>
              <w:outlineLvl w:val="9"/>
              <w:rPr>
                <w:rFonts w:hint="eastAsia" w:ascii="宋体" w:hAnsi="宋体" w:cs="宋体"/>
                <w:color w:val="auto"/>
                <w:szCs w:val="21"/>
                <w:highlight w:val="none"/>
              </w:rPr>
            </w:pPr>
            <w:r>
              <w:rPr>
                <w:rFonts w:hint="eastAsia" w:ascii="宋体" w:hAnsi="宋体" w:eastAsia="宋体" w:cs="宋体"/>
                <w:color w:val="auto"/>
                <w:highlight w:val="none"/>
                <w:lang w:val="en-US" w:eastAsia="zh-CN"/>
              </w:rPr>
              <w:t>优得(3,4]分；良得(2,3]分；中得(1,2]分；差得[0,1]分；</w:t>
            </w:r>
            <w:r>
              <w:rPr>
                <w:rFonts w:hint="eastAsia" w:ascii="宋体" w:hAnsi="宋体" w:eastAsia="宋体" w:cs="宋体"/>
                <w:color w:val="auto"/>
                <w:highlight w:val="none"/>
              </w:rPr>
              <w:t>未提供的不得分；最高不超过</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1"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5" w:right="2060"/>
              <w:jc w:val="center"/>
              <w:rPr>
                <w:rFonts w:ascii="宋体" w:hAnsi="宋体" w:cs="宋体"/>
                <w:color w:val="auto"/>
                <w:szCs w:val="21"/>
                <w:highlight w:val="none"/>
              </w:rPr>
            </w:pPr>
          </w:p>
        </w:tc>
        <w:tc>
          <w:tcPr>
            <w:tcW w:w="124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5" w:right="2060"/>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utoSpaceDE w:val="0"/>
              <w:autoSpaceDN w:val="0"/>
              <w:ind w:left="134" w:leftChars="64" w:right="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合同、信息管理方案</w:t>
            </w:r>
          </w:p>
          <w:p>
            <w:pPr>
              <w:autoSpaceDE w:val="0"/>
              <w:autoSpaceDN w:val="0"/>
              <w:ind w:left="134" w:leftChars="64" w:right="74" w:rightChars="0"/>
              <w:jc w:val="center"/>
              <w:rPr>
                <w:rFonts w:ascii="宋体" w:hAnsi="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5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before="0" w:afterLines="0" w:line="360" w:lineRule="auto"/>
              <w:ind w:left="63" w:leftChars="30" w:right="63" w:rightChars="30" w:firstLine="0" w:firstLineChars="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合同管理、信息管理方法合理、针对性强。</w:t>
            </w:r>
          </w:p>
          <w:p>
            <w:pPr>
              <w:keepNext w:val="0"/>
              <w:keepLines w:val="0"/>
              <w:pageBreakBefore w:val="0"/>
              <w:widowControl/>
              <w:kinsoku/>
              <w:wordWrap/>
              <w:overflowPunct/>
              <w:topLinePunct w:val="0"/>
              <w:autoSpaceDE w:val="0"/>
              <w:autoSpaceDN w:val="0"/>
              <w:bidi w:val="0"/>
              <w:adjustRightInd/>
              <w:snapToGrid/>
              <w:spacing w:before="0" w:afterLines="0" w:line="360" w:lineRule="auto"/>
              <w:ind w:left="63" w:leftChars="30" w:right="63" w:rightChars="30" w:firstLine="0" w:firstLineChars="0"/>
              <w:jc w:val="left"/>
              <w:textAlignment w:val="auto"/>
              <w:outlineLvl w:val="9"/>
              <w:rPr>
                <w:rFonts w:ascii="宋体" w:hAnsi="宋体" w:cs="宋体"/>
                <w:color w:val="auto"/>
                <w:szCs w:val="21"/>
                <w:highlight w:val="none"/>
              </w:rPr>
            </w:pPr>
            <w:r>
              <w:rPr>
                <w:rFonts w:hint="eastAsia" w:ascii="宋体" w:hAnsi="宋体" w:eastAsia="宋体" w:cs="宋体"/>
                <w:color w:val="auto"/>
                <w:highlight w:val="none"/>
                <w:lang w:val="en-US" w:eastAsia="zh-CN"/>
              </w:rPr>
              <w:t>优得(2.5,3]分；良得(1.5,2.5]分；中得(0.5,1.5]分；差得[0,0.5]分；</w:t>
            </w:r>
            <w:r>
              <w:rPr>
                <w:rFonts w:hint="eastAsia" w:ascii="宋体" w:hAnsi="宋体" w:eastAsia="宋体" w:cs="宋体"/>
                <w:color w:val="auto"/>
                <w:highlight w:val="none"/>
              </w:rPr>
              <w:t>未提供的不得分；最高不超过3分。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21"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1" w:right="2056"/>
              <w:jc w:val="center"/>
              <w:rPr>
                <w:rFonts w:ascii="宋体" w:hAnsi="宋体" w:cs="宋体"/>
                <w:color w:val="auto"/>
                <w:szCs w:val="21"/>
                <w:highlight w:val="none"/>
              </w:rPr>
            </w:pPr>
          </w:p>
        </w:tc>
        <w:tc>
          <w:tcPr>
            <w:tcW w:w="124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1" w:right="2056"/>
              <w:jc w:val="center"/>
              <w:rPr>
                <w:rFonts w:ascii="宋体" w:hAnsi="宋体" w:cs="宋体"/>
                <w:color w:val="auto"/>
                <w:szCs w:val="21"/>
                <w:highlight w:val="none"/>
              </w:rPr>
            </w:pPr>
          </w:p>
        </w:tc>
        <w:tc>
          <w:tcPr>
            <w:tcW w:w="1685" w:type="dxa"/>
            <w:gridSpan w:val="2"/>
            <w:tcBorders>
              <w:top w:val="single" w:color="auto" w:sz="4" w:space="0"/>
              <w:left w:val="single" w:color="auto" w:sz="4" w:space="0"/>
              <w:right w:val="single" w:color="auto" w:sz="4" w:space="0"/>
            </w:tcBorders>
            <w:tcMar>
              <w:top w:w="0" w:type="dxa"/>
              <w:left w:w="57" w:type="dxa"/>
              <w:bottom w:w="0" w:type="dxa"/>
              <w:right w:w="57" w:type="dxa"/>
            </w:tcMar>
            <w:vAlign w:val="center"/>
          </w:tcPr>
          <w:p>
            <w:pPr>
              <w:autoSpaceDE w:val="0"/>
              <w:autoSpaceDN w:val="0"/>
              <w:ind w:left="134" w:leftChars="64" w:right="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组织协调方法及措施</w:t>
            </w:r>
          </w:p>
          <w:p>
            <w:pPr>
              <w:autoSpaceDE w:val="0"/>
              <w:autoSpaceDN w:val="0"/>
              <w:ind w:left="134" w:leftChars="64" w:right="74" w:rightChars="0"/>
              <w:jc w:val="center"/>
              <w:rPr>
                <w:rFonts w:ascii="宋体" w:hAnsi="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5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before="0" w:afterLines="0" w:line="360" w:lineRule="auto"/>
              <w:ind w:left="63" w:leftChars="30" w:right="63" w:rightChars="30" w:firstLine="0" w:firstLineChars="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方法合理有效，针对性强、措施具体。</w:t>
            </w:r>
          </w:p>
          <w:p>
            <w:pPr>
              <w:keepNext w:val="0"/>
              <w:keepLines w:val="0"/>
              <w:pageBreakBefore w:val="0"/>
              <w:widowControl/>
              <w:kinsoku/>
              <w:wordWrap/>
              <w:overflowPunct/>
              <w:topLinePunct w:val="0"/>
              <w:autoSpaceDE w:val="0"/>
              <w:autoSpaceDN w:val="0"/>
              <w:bidi w:val="0"/>
              <w:adjustRightInd/>
              <w:snapToGrid/>
              <w:spacing w:before="0" w:afterLines="0" w:line="360" w:lineRule="auto"/>
              <w:ind w:left="63" w:leftChars="30" w:right="63" w:rightChars="30" w:firstLine="0" w:firstLineChars="0"/>
              <w:jc w:val="left"/>
              <w:textAlignment w:val="auto"/>
              <w:outlineLvl w:val="9"/>
              <w:rPr>
                <w:rFonts w:ascii="宋体" w:hAnsi="宋体"/>
                <w:color w:val="auto"/>
                <w:szCs w:val="21"/>
                <w:highlight w:val="none"/>
              </w:rPr>
            </w:pPr>
            <w:r>
              <w:rPr>
                <w:rFonts w:hint="eastAsia" w:ascii="宋体" w:hAnsi="宋体" w:eastAsia="宋体" w:cs="宋体"/>
                <w:color w:val="auto"/>
                <w:highlight w:val="none"/>
                <w:lang w:val="en-US" w:eastAsia="zh-CN"/>
              </w:rPr>
              <w:t>优得(2.5,3]分；良得(1.5,2.5]分；中得(0.5,1.5]分；差得[0,0.5]分；</w:t>
            </w:r>
            <w:r>
              <w:rPr>
                <w:rFonts w:hint="eastAsia" w:ascii="宋体" w:hAnsi="宋体" w:eastAsia="宋体" w:cs="宋体"/>
                <w:color w:val="auto"/>
                <w:highlight w:val="none"/>
              </w:rPr>
              <w:t>未提供的不得分；最高不超过3分。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21"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5" w:right="2060"/>
              <w:jc w:val="center"/>
              <w:rPr>
                <w:rFonts w:ascii="宋体" w:hAnsi="宋体" w:cs="宋体"/>
                <w:color w:val="auto"/>
                <w:szCs w:val="21"/>
                <w:highlight w:val="none"/>
              </w:rPr>
            </w:pPr>
          </w:p>
        </w:tc>
        <w:tc>
          <w:tcPr>
            <w:tcW w:w="124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5" w:right="2060"/>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utoSpaceDE w:val="0"/>
              <w:autoSpaceDN w:val="0"/>
              <w:ind w:left="134" w:leftChars="64" w:right="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工作重点、难点分析</w:t>
            </w:r>
          </w:p>
          <w:p>
            <w:pPr>
              <w:autoSpaceDE w:val="0"/>
              <w:autoSpaceDN w:val="0"/>
              <w:ind w:left="134" w:leftChars="64" w:right="74" w:rightChars="0"/>
              <w:jc w:val="center"/>
              <w:rPr>
                <w:rFonts w:hint="eastAsia" w:ascii="宋体" w:hAnsi="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5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before="0" w:afterLines="0" w:line="360" w:lineRule="auto"/>
              <w:ind w:left="63" w:leftChars="30" w:right="63" w:rightChars="30" w:firstLine="0" w:firstLineChars="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工作重点、难点分析针对性强、措施具体、可操作。</w:t>
            </w:r>
          </w:p>
          <w:p>
            <w:pPr>
              <w:keepNext w:val="0"/>
              <w:keepLines w:val="0"/>
              <w:pageBreakBefore w:val="0"/>
              <w:widowControl/>
              <w:kinsoku/>
              <w:wordWrap/>
              <w:overflowPunct/>
              <w:topLinePunct w:val="0"/>
              <w:autoSpaceDE w:val="0"/>
              <w:autoSpaceDN w:val="0"/>
              <w:bidi w:val="0"/>
              <w:adjustRightInd/>
              <w:snapToGrid/>
              <w:spacing w:before="0" w:afterLines="0" w:line="360" w:lineRule="auto"/>
              <w:ind w:left="63" w:leftChars="30" w:right="63" w:rightChars="30" w:firstLine="0" w:firstLineChars="0"/>
              <w:jc w:val="left"/>
              <w:textAlignment w:val="auto"/>
              <w:outlineLvl w:val="9"/>
              <w:rPr>
                <w:rFonts w:hint="eastAsia" w:ascii="宋体" w:hAnsi="宋体" w:cs="宋体"/>
                <w:color w:val="auto"/>
                <w:highlight w:val="none"/>
              </w:rPr>
            </w:pPr>
            <w:r>
              <w:rPr>
                <w:rFonts w:hint="eastAsia" w:ascii="宋体" w:hAnsi="宋体" w:eastAsia="宋体" w:cs="宋体"/>
                <w:color w:val="auto"/>
                <w:highlight w:val="none"/>
                <w:lang w:val="en-US" w:eastAsia="zh-CN"/>
              </w:rPr>
              <w:t>优得(3,4]分；良得(2,3]分；中得(1,2]分；差得[0,1]分；</w:t>
            </w:r>
            <w:r>
              <w:rPr>
                <w:rFonts w:hint="eastAsia" w:ascii="宋体" w:hAnsi="宋体" w:eastAsia="宋体" w:cs="宋体"/>
                <w:color w:val="auto"/>
                <w:highlight w:val="none"/>
              </w:rPr>
              <w:t>未提供的不得分；最高不超过</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1"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5" w:right="2060"/>
              <w:jc w:val="center"/>
              <w:rPr>
                <w:rFonts w:ascii="宋体" w:hAnsi="宋体" w:cs="宋体"/>
                <w:color w:val="auto"/>
                <w:szCs w:val="21"/>
                <w:highlight w:val="none"/>
              </w:rPr>
            </w:pPr>
          </w:p>
        </w:tc>
        <w:tc>
          <w:tcPr>
            <w:tcW w:w="124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ind w:left="2085" w:right="2060"/>
              <w:jc w:val="center"/>
              <w:rPr>
                <w:rFonts w:ascii="宋体" w:hAnsi="宋体" w:cs="宋体"/>
                <w:color w:val="auto"/>
                <w:szCs w:val="21"/>
                <w:highlight w:val="none"/>
              </w:rPr>
            </w:pPr>
          </w:p>
        </w:tc>
        <w:tc>
          <w:tcPr>
            <w:tcW w:w="16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utoSpaceDE w:val="0"/>
              <w:autoSpaceDN w:val="0"/>
              <w:ind w:left="134" w:leftChars="64" w:right="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合理化建议</w:t>
            </w:r>
          </w:p>
          <w:p>
            <w:pPr>
              <w:autoSpaceDE w:val="0"/>
              <w:autoSpaceDN w:val="0"/>
              <w:ind w:left="134" w:leftChars="64" w:right="74" w:rightChars="0"/>
              <w:jc w:val="center"/>
              <w:rPr>
                <w:rFonts w:ascii="宋体" w:hAnsi="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5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before="0" w:afterLines="0" w:line="360" w:lineRule="auto"/>
              <w:ind w:left="63" w:leftChars="30" w:right="63" w:rightChars="30" w:firstLine="0" w:firstLineChars="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合理化建议合理有效、措施具体、可操作。</w:t>
            </w:r>
          </w:p>
          <w:p>
            <w:pPr>
              <w:keepNext w:val="0"/>
              <w:keepLines w:val="0"/>
              <w:pageBreakBefore w:val="0"/>
              <w:widowControl/>
              <w:kinsoku/>
              <w:wordWrap/>
              <w:overflowPunct/>
              <w:topLinePunct w:val="0"/>
              <w:autoSpaceDE w:val="0"/>
              <w:autoSpaceDN w:val="0"/>
              <w:bidi w:val="0"/>
              <w:adjustRightInd/>
              <w:snapToGrid/>
              <w:spacing w:before="0" w:afterLines="0" w:line="360" w:lineRule="auto"/>
              <w:ind w:left="63" w:leftChars="30" w:right="63" w:rightChars="30" w:firstLine="0" w:firstLineChars="0"/>
              <w:jc w:val="left"/>
              <w:textAlignment w:val="auto"/>
              <w:outlineLvl w:val="9"/>
              <w:rPr>
                <w:rFonts w:ascii="宋体" w:hAnsi="宋体"/>
                <w:color w:val="auto"/>
                <w:szCs w:val="21"/>
                <w:highlight w:val="none"/>
              </w:rPr>
            </w:pPr>
            <w:r>
              <w:rPr>
                <w:rFonts w:hint="eastAsia" w:ascii="宋体" w:hAnsi="宋体" w:eastAsia="宋体" w:cs="宋体"/>
                <w:color w:val="auto"/>
                <w:highlight w:val="none"/>
                <w:lang w:val="en-US" w:eastAsia="zh-CN"/>
              </w:rPr>
              <w:t>优得(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]分；良得(1.</w:t>
            </w:r>
            <w:r>
              <w:rPr>
                <w:rFonts w:hint="eastAsia" w:ascii="宋体" w:hAnsi="宋体" w:cs="宋体"/>
                <w:color w:val="auto"/>
                <w:highlight w:val="none"/>
                <w:lang w:val="en-US" w:eastAsia="zh-CN"/>
              </w:rPr>
              <w:t>0</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.5]分；中得(0.5,1.</w:t>
            </w:r>
            <w:r>
              <w:rPr>
                <w:rFonts w:hint="eastAsia" w:ascii="宋体" w:hAnsi="宋体" w:cs="宋体"/>
                <w:color w:val="auto"/>
                <w:highlight w:val="none"/>
                <w:lang w:val="en-US" w:eastAsia="zh-CN"/>
              </w:rPr>
              <w:t>0</w:t>
            </w:r>
            <w:r>
              <w:rPr>
                <w:rFonts w:hint="eastAsia" w:ascii="宋体" w:hAnsi="宋体" w:eastAsia="宋体" w:cs="宋体"/>
                <w:color w:val="auto"/>
                <w:highlight w:val="none"/>
                <w:lang w:val="en-US" w:eastAsia="zh-CN"/>
              </w:rPr>
              <w:t>]分；差得[0,0.5]分；</w:t>
            </w:r>
            <w:r>
              <w:rPr>
                <w:rFonts w:hint="eastAsia" w:ascii="宋体" w:hAnsi="宋体" w:eastAsia="宋体" w:cs="宋体"/>
                <w:color w:val="auto"/>
                <w:highlight w:val="none"/>
              </w:rPr>
              <w:t>未提供的不得分；最高不超过</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21"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2.2.4</w:t>
            </w:r>
          </w:p>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985" w:type="dxa"/>
            <w:gridSpan w:val="2"/>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投标报价评分标准</w:t>
            </w:r>
            <w:r>
              <w:rPr>
                <w:rFonts w:hint="eastAsia" w:ascii="宋体" w:hAnsi="宋体" w:cs="宋体"/>
                <w:color w:val="auto"/>
                <w:highlight w:val="none"/>
              </w:rPr>
              <w:t>(</w:t>
            </w:r>
            <w:r>
              <w:rPr>
                <w:rFonts w:hint="eastAsia" w:ascii="宋体" w:hAnsi="宋体" w:cs="宋体"/>
                <w:color w:val="auto"/>
                <w:highlight w:val="none"/>
                <w:lang w:val="en-US" w:eastAsia="zh-CN"/>
              </w:rPr>
              <w:t>30</w:t>
            </w:r>
            <w:r>
              <w:rPr>
                <w:rFonts w:hint="eastAsia" w:ascii="宋体" w:hAnsi="宋体" w:cs="宋体"/>
                <w:color w:val="auto"/>
                <w:highlight w:val="none"/>
              </w:rPr>
              <w:t>分)</w:t>
            </w:r>
          </w:p>
        </w:tc>
        <w:tc>
          <w:tcPr>
            <w:tcW w:w="9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偏差率</w:t>
            </w:r>
          </w:p>
        </w:tc>
        <w:tc>
          <w:tcPr>
            <w:tcW w:w="548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auto"/>
                <w:szCs w:val="21"/>
                <w:highlight w:val="none"/>
              </w:rPr>
            </w:pPr>
            <w:r>
              <w:rPr>
                <w:rFonts w:hint="eastAsia" w:ascii="宋体" w:hAnsi="宋体" w:cs="宋体"/>
                <w:color w:val="auto"/>
                <w:szCs w:val="21"/>
                <w:highlight w:val="none"/>
              </w:rPr>
              <w:t>投标报价的偏差率=（有效投标报价-评标基准价）/评标基准价×100%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821"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40" w:lineRule="exact"/>
              <w:jc w:val="center"/>
              <w:rPr>
                <w:rFonts w:ascii="宋体" w:hAnsi="宋体" w:cs="宋体"/>
                <w:color w:val="auto"/>
                <w:szCs w:val="21"/>
                <w:highlight w:val="none"/>
              </w:rPr>
            </w:pPr>
          </w:p>
        </w:tc>
        <w:tc>
          <w:tcPr>
            <w:tcW w:w="1985" w:type="dxa"/>
            <w:gridSpan w:val="2"/>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40" w:lineRule="exact"/>
              <w:jc w:val="center"/>
              <w:rPr>
                <w:rFonts w:ascii="宋体" w:hAnsi="宋体" w:cs="宋体"/>
                <w:color w:val="auto"/>
                <w:szCs w:val="21"/>
                <w:highlight w:val="none"/>
              </w:rPr>
            </w:pPr>
          </w:p>
        </w:tc>
        <w:tc>
          <w:tcPr>
            <w:tcW w:w="9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lang w:bidi="ar"/>
              </w:rPr>
              <w:t>计算方法</w:t>
            </w:r>
          </w:p>
        </w:tc>
        <w:tc>
          <w:tcPr>
            <w:tcW w:w="548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highlight w:val="none"/>
              </w:rPr>
              <w:t>以评标基准价作为计算各有效投标价得分的基础，当有效投标报价等于评标基准价时得</w:t>
            </w:r>
            <w:r>
              <w:rPr>
                <w:rFonts w:hint="eastAsia" w:ascii="宋体" w:hAnsi="宋体" w:cs="宋体"/>
                <w:color w:val="auto"/>
                <w:highlight w:val="none"/>
                <w:lang w:val="en-US" w:eastAsia="zh-CN"/>
              </w:rPr>
              <w:t>30</w:t>
            </w:r>
            <w:r>
              <w:rPr>
                <w:rFonts w:hint="eastAsia" w:ascii="宋体" w:hAnsi="宋体" w:cs="宋体"/>
                <w:color w:val="auto"/>
                <w:highlight w:val="none"/>
              </w:rPr>
              <w:t>分；有效投标报价与评标基准价相比，每上偏1%扣</w:t>
            </w:r>
            <w:r>
              <w:rPr>
                <w:rFonts w:hint="eastAsia" w:ascii="宋体" w:hAnsi="宋体" w:cs="宋体"/>
                <w:color w:val="auto"/>
                <w:highlight w:val="none"/>
                <w:lang w:val="en-US" w:eastAsia="zh-CN"/>
              </w:rPr>
              <w:t>0.5</w:t>
            </w:r>
            <w:r>
              <w:rPr>
                <w:rFonts w:hint="eastAsia" w:ascii="宋体" w:hAnsi="宋体" w:cs="宋体"/>
                <w:color w:val="auto"/>
                <w:highlight w:val="none"/>
              </w:rPr>
              <w:t>分，每下偏1%扣</w:t>
            </w:r>
            <w:r>
              <w:rPr>
                <w:rFonts w:hint="eastAsia" w:ascii="宋体" w:hAnsi="宋体" w:cs="宋体"/>
                <w:color w:val="auto"/>
                <w:highlight w:val="none"/>
                <w:lang w:val="en-US" w:eastAsia="zh-CN"/>
              </w:rPr>
              <w:t>0.3</w:t>
            </w:r>
            <w:r>
              <w:rPr>
                <w:rFonts w:hint="eastAsia" w:ascii="宋体" w:hAnsi="宋体" w:cs="宋体"/>
                <w:color w:val="auto"/>
                <w:highlight w:val="none"/>
              </w:rPr>
              <w:t>分。最多扣</w:t>
            </w:r>
            <w:r>
              <w:rPr>
                <w:rFonts w:hint="eastAsia" w:ascii="宋体" w:hAnsi="宋体" w:cs="宋体"/>
                <w:color w:val="auto"/>
                <w:highlight w:val="none"/>
                <w:lang w:val="en-US" w:eastAsia="zh-CN"/>
              </w:rPr>
              <w:t>30</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82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center"/>
              <w:textAlignment w:val="center"/>
              <w:rPr>
                <w:rFonts w:ascii="宋体" w:hAnsi="宋体" w:cs="宋体"/>
                <w:color w:val="auto"/>
                <w:szCs w:val="21"/>
                <w:highlight w:val="none"/>
              </w:rPr>
            </w:pPr>
            <w:bookmarkStart w:id="505" w:name="OLE_LINK3" w:colFirst="1" w:colLast="3"/>
            <w:r>
              <w:rPr>
                <w:rFonts w:hint="eastAsia" w:ascii="宋体" w:hAnsi="宋体" w:cs="宋体"/>
                <w:color w:val="auto"/>
                <w:szCs w:val="21"/>
                <w:highlight w:val="none"/>
                <w:lang w:bidi="ar"/>
              </w:rPr>
              <w:t>2.2.4</w:t>
            </w:r>
            <w:r>
              <w:rPr>
                <w:rFonts w:hint="eastAsia" w:ascii="宋体" w:hAnsi="宋体" w:cs="宋体"/>
                <w:color w:val="auto"/>
                <w:szCs w:val="21"/>
                <w:highlight w:val="none"/>
                <w:lang w:bidi="ar"/>
              </w:rPr>
              <w:br w:type="textWrapping"/>
            </w:r>
            <w:r>
              <w:rPr>
                <w:rFonts w:hint="eastAsia" w:ascii="宋体" w:hAnsi="宋体" w:cs="宋体"/>
                <w:color w:val="auto"/>
                <w:szCs w:val="21"/>
                <w:highlight w:val="none"/>
              </w:rPr>
              <w:t>（4）</w:t>
            </w:r>
          </w:p>
        </w:tc>
        <w:tc>
          <w:tcPr>
            <w:tcW w:w="198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其他因素</w:t>
            </w:r>
            <w:r>
              <w:rPr>
                <w:rFonts w:hint="eastAsia" w:ascii="宋体" w:hAnsi="宋体" w:cs="宋体"/>
                <w:color w:val="auto"/>
                <w:szCs w:val="21"/>
                <w:highlight w:val="none"/>
                <w:lang w:bidi="ar"/>
              </w:rPr>
              <w:br w:type="textWrapping"/>
            </w:r>
            <w:r>
              <w:rPr>
                <w:rFonts w:hint="eastAsia" w:ascii="宋体" w:hAnsi="宋体" w:cs="宋体"/>
                <w:color w:val="auto"/>
                <w:szCs w:val="21"/>
                <w:highlight w:val="none"/>
                <w:lang w:bidi="ar"/>
              </w:rPr>
              <w:t>评分标准</w:t>
            </w:r>
            <w:r>
              <w:rPr>
                <w:rFonts w:hint="eastAsia" w:ascii="宋体" w:hAnsi="宋体" w:cs="宋体"/>
                <w:color w:val="auto"/>
                <w:highlight w:val="none"/>
              </w:rPr>
              <w:t>（</w:t>
            </w:r>
            <w:r>
              <w:rPr>
                <w:rFonts w:hint="eastAsia" w:ascii="宋体" w:hAnsi="宋体" w:cs="宋体"/>
                <w:color w:val="auto"/>
                <w:highlight w:val="none"/>
                <w:lang w:val="en-US" w:eastAsia="zh-CN"/>
              </w:rPr>
              <w:t>10</w:t>
            </w:r>
            <w:r>
              <w:rPr>
                <w:rFonts w:hint="eastAsia" w:ascii="宋体" w:hAnsi="宋体" w:cs="宋体"/>
                <w:color w:val="auto"/>
                <w:highlight w:val="none"/>
              </w:rPr>
              <w:t>分）</w:t>
            </w:r>
          </w:p>
        </w:tc>
        <w:tc>
          <w:tcPr>
            <w:tcW w:w="9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企业诚信排名</w:t>
            </w:r>
          </w:p>
        </w:tc>
        <w:tc>
          <w:tcPr>
            <w:tcW w:w="548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b/>
                <w:color w:val="auto"/>
                <w:highlight w:val="none"/>
              </w:rPr>
              <w:t>投标人诚信综合评价得分=</w:t>
            </w:r>
            <w:r>
              <w:rPr>
                <w:rFonts w:hint="eastAsia" w:ascii="宋体" w:hAnsi="宋体" w:cs="宋体"/>
                <w:b w:val="0"/>
                <w:bCs w:val="0"/>
                <w:color w:val="auto"/>
                <w:highlight w:val="none"/>
                <w:u w:val="single"/>
                <w:lang w:val="en-US" w:eastAsia="zh-CN"/>
              </w:rPr>
              <w:t>企业的诚信综合评价排名得分×10%</w:t>
            </w:r>
            <w:r>
              <w:rPr>
                <w:rFonts w:hint="eastAsia" w:ascii="宋体" w:hAnsi="宋体" w:cs="宋体"/>
                <w:color w:val="auto"/>
                <w:highlight w:val="none"/>
              </w:rPr>
              <w:t>。企业的诚信综合评价排名得分以投标截止当日广州市工程招标行业协会网站监理企业专栏上公布的企业60日诚信分得分为准。企业诚信综合诚信评价排名得分以监理-房建排名得分为准。</w:t>
            </w:r>
          </w:p>
        </w:tc>
      </w:tr>
      <w:bookmarkEnd w:id="505"/>
    </w:tbl>
    <w:p>
      <w:pPr>
        <w:spacing w:line="360" w:lineRule="auto"/>
        <w:ind w:firstLine="420" w:firstLineChars="200"/>
        <w:rPr>
          <w:rFonts w:hint="eastAsia" w:ascii="宋体" w:hAnsi="宋体"/>
          <w:color w:val="auto"/>
          <w:highlight w:val="none"/>
        </w:rPr>
      </w:pPr>
    </w:p>
    <w:p>
      <w:pPr>
        <w:tabs>
          <w:tab w:val="left" w:pos="105"/>
        </w:tabs>
        <w:spacing w:line="360" w:lineRule="auto"/>
        <w:ind w:left="0"/>
        <w:jc w:val="left"/>
        <w:rPr>
          <w:rFonts w:ascii="宋体" w:hAnsi="宋体" w:cs="宋体"/>
          <w:b/>
          <w:color w:val="auto"/>
          <w:sz w:val="24"/>
          <w:szCs w:val="24"/>
          <w:highlight w:val="none"/>
        </w:rPr>
      </w:pPr>
      <w:r>
        <w:rPr>
          <w:rFonts w:hint="eastAsia" w:ascii="宋体" w:hAnsi="宋体" w:cs="宋体"/>
          <w:b/>
          <w:color w:val="auto"/>
          <w:sz w:val="24"/>
          <w:szCs w:val="24"/>
          <w:highlight w:val="none"/>
        </w:rPr>
        <w:t>附件1：</w:t>
      </w:r>
    </w:p>
    <w:p>
      <w:pPr>
        <w:tabs>
          <w:tab w:val="left" w:pos="105"/>
        </w:tabs>
        <w:spacing w:line="360" w:lineRule="auto"/>
        <w:ind w:left="720"/>
        <w:jc w:val="center"/>
        <w:rPr>
          <w:rFonts w:ascii="宋体" w:hAnsi="宋体" w:cs="宋体"/>
          <w:b/>
          <w:color w:val="auto"/>
          <w:sz w:val="24"/>
          <w:szCs w:val="24"/>
          <w:highlight w:val="none"/>
        </w:rPr>
      </w:pPr>
      <w:bookmarkStart w:id="506" w:name="OLE_LINK5"/>
      <w:bookmarkStart w:id="507" w:name="OLE_LINK1"/>
      <w:r>
        <w:rPr>
          <w:rFonts w:hint="eastAsia" w:ascii="宋体" w:hAnsi="宋体" w:cs="宋体"/>
          <w:b/>
          <w:color w:val="auto"/>
          <w:sz w:val="24"/>
          <w:szCs w:val="24"/>
          <w:highlight w:val="none"/>
        </w:rPr>
        <w:t>监理机构人员配备要求表</w:t>
      </w:r>
    </w:p>
    <w:tbl>
      <w:tblPr>
        <w:tblStyle w:val="19"/>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000"/>
        <w:gridCol w:w="1360"/>
        <w:gridCol w:w="4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岗位</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最低要求数量</w:t>
            </w:r>
          </w:p>
        </w:tc>
        <w:tc>
          <w:tcPr>
            <w:tcW w:w="47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持证上岗要求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总监理工程师</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1名</w:t>
            </w:r>
          </w:p>
        </w:tc>
        <w:tc>
          <w:tcPr>
            <w:tcW w:w="4764" w:type="dxa"/>
            <w:tcBorders>
              <w:top w:val="single" w:color="auto" w:sz="4" w:space="0"/>
              <w:left w:val="single" w:color="auto" w:sz="4" w:space="0"/>
              <w:bottom w:val="single" w:color="auto" w:sz="4" w:space="0"/>
              <w:right w:val="single" w:color="auto" w:sz="4" w:space="0"/>
            </w:tcBorders>
            <w:noWrap w:val="0"/>
            <w:vAlign w:val="center"/>
          </w:tcPr>
          <w:p>
            <w:pPr>
              <w:pStyle w:val="18"/>
              <w:adjustRightInd w:val="0"/>
              <w:snapToGrid w:val="0"/>
              <w:spacing w:after="0"/>
              <w:ind w:left="0" w:leftChars="0" w:firstLine="0" w:firstLineChars="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资格要求与招标公告要求一致；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2</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总监代表</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1名</w:t>
            </w:r>
          </w:p>
        </w:tc>
        <w:tc>
          <w:tcPr>
            <w:tcW w:w="4764" w:type="dxa"/>
            <w:tcBorders>
              <w:top w:val="single" w:color="auto" w:sz="4" w:space="0"/>
              <w:left w:val="single" w:color="auto" w:sz="4" w:space="0"/>
              <w:bottom w:val="single" w:color="auto" w:sz="4" w:space="0"/>
              <w:right w:val="single" w:color="auto" w:sz="4" w:space="0"/>
            </w:tcBorders>
            <w:noWrap w:val="0"/>
            <w:vAlign w:val="center"/>
          </w:tcPr>
          <w:p>
            <w:pPr>
              <w:pStyle w:val="18"/>
              <w:adjustRightInd w:val="0"/>
              <w:snapToGrid w:val="0"/>
              <w:spacing w:after="0"/>
              <w:ind w:left="0" w:leftChars="0" w:firstLine="0" w:firstLineChars="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工程师或以上职称；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3</w:t>
            </w:r>
          </w:p>
        </w:tc>
        <w:tc>
          <w:tcPr>
            <w:tcW w:w="2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房建专业监理工程师</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w:t>
            </w:r>
            <w:r>
              <w:rPr>
                <w:rFonts w:hint="eastAsia" w:ascii="宋体" w:hAnsi="宋体"/>
                <w:color w:val="auto"/>
                <w:szCs w:val="21"/>
                <w:highlight w:val="none"/>
              </w:rPr>
              <w:t>名</w:t>
            </w:r>
          </w:p>
        </w:tc>
        <w:tc>
          <w:tcPr>
            <w:tcW w:w="4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adjustRightInd w:val="0"/>
              <w:snapToGrid w:val="0"/>
              <w:spacing w:after="0"/>
              <w:ind w:left="0" w:leftChars="0" w:firstLine="0" w:firstLineChars="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具备专业监理工程师或注册监理工程师，专业以注册证或专业监理工程师证或职称证或毕业证专业为准；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4</w:t>
            </w:r>
          </w:p>
        </w:tc>
        <w:tc>
          <w:tcPr>
            <w:tcW w:w="2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咨询工程师</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1名</w:t>
            </w:r>
          </w:p>
        </w:tc>
        <w:tc>
          <w:tcPr>
            <w:tcW w:w="4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adjustRightInd w:val="0"/>
              <w:snapToGrid w:val="0"/>
              <w:spacing w:after="0"/>
              <w:ind w:left="0" w:leftChars="0" w:firstLine="0" w:firstLineChars="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具备建筑专业的咨询工程师（投资）登记证书；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5</w:t>
            </w:r>
          </w:p>
        </w:tc>
        <w:tc>
          <w:tcPr>
            <w:tcW w:w="2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hAnsi="宋体"/>
                <w:color w:val="auto"/>
                <w:highlight w:val="none"/>
              </w:rPr>
              <w:t>机电专业监理工程师</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1</w:t>
            </w:r>
            <w:r>
              <w:rPr>
                <w:rFonts w:hint="eastAsia" w:ascii="宋体" w:hAnsi="宋体"/>
                <w:color w:val="auto"/>
                <w:highlight w:val="none"/>
              </w:rPr>
              <w:t>名</w:t>
            </w:r>
          </w:p>
        </w:tc>
        <w:tc>
          <w:tcPr>
            <w:tcW w:w="4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adjustRightInd w:val="0"/>
              <w:snapToGrid w:val="0"/>
              <w:spacing w:after="0"/>
              <w:ind w:left="0" w:leftChars="0" w:firstLine="0" w:firstLineChars="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具备专业监理工程师或注册监理工程师，专业以注册证或专业监理工程师证或职称证或毕业证专业为准；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2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default" w:ascii="宋体" w:hAnsi="Courier New" w:eastAsia="宋体" w:cs="Times New Roman"/>
                <w:color w:val="auto"/>
                <w:kern w:val="2"/>
                <w:sz w:val="21"/>
                <w:szCs w:val="21"/>
                <w:highlight w:val="none"/>
                <w:lang w:val="en-US" w:eastAsia="zh-CN" w:bidi="ar-SA"/>
              </w:rPr>
            </w:pPr>
            <w:r>
              <w:rPr>
                <w:rFonts w:hint="eastAsia" w:ascii="宋体" w:hAnsi="宋体" w:cs="宋体"/>
                <w:color w:val="auto"/>
                <w:szCs w:val="21"/>
                <w:highlight w:val="none"/>
              </w:rPr>
              <w:t>安全监理员或注册安全工程师</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名</w:t>
            </w:r>
          </w:p>
        </w:tc>
        <w:tc>
          <w:tcPr>
            <w:tcW w:w="4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adjustRightInd w:val="0"/>
              <w:snapToGrid w:val="0"/>
              <w:spacing w:after="0"/>
              <w:ind w:left="0" w:leftChars="0" w:firstLine="0" w:firstLineChars="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具备安全监理员证书或注册安全工程师注册证。</w:t>
            </w:r>
          </w:p>
          <w:p>
            <w:pPr>
              <w:pStyle w:val="18"/>
              <w:adjustRightInd w:val="0"/>
              <w:snapToGrid w:val="0"/>
              <w:spacing w:after="0"/>
              <w:ind w:left="0" w:leftChars="0" w:firstLine="0" w:firstLineChars="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要求施工期常驻工地。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2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造价工程师</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名</w:t>
            </w:r>
          </w:p>
        </w:tc>
        <w:tc>
          <w:tcPr>
            <w:tcW w:w="4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adjustRightInd w:val="0"/>
              <w:snapToGrid w:val="0"/>
              <w:spacing w:after="0"/>
              <w:ind w:left="0" w:leftChars="0" w:firstLine="0" w:firstLineChars="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具备二级注册造价工程师或以上资格。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2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监理员</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2</w:t>
            </w:r>
            <w:r>
              <w:rPr>
                <w:rFonts w:hint="eastAsia" w:ascii="宋体" w:hAnsi="宋体"/>
                <w:color w:val="auto"/>
                <w:szCs w:val="21"/>
                <w:highlight w:val="none"/>
              </w:rPr>
              <w:t>名</w:t>
            </w:r>
          </w:p>
        </w:tc>
        <w:tc>
          <w:tcPr>
            <w:tcW w:w="4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adjustRightInd w:val="0"/>
              <w:snapToGrid w:val="0"/>
              <w:spacing w:after="0"/>
              <w:ind w:left="0" w:leftChars="0" w:firstLine="0" w:firstLineChars="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具备监理员上岗证或培训证，专业为房屋建筑工程相关专业。</w:t>
            </w:r>
          </w:p>
          <w:p>
            <w:pPr>
              <w:pStyle w:val="18"/>
              <w:adjustRightInd w:val="0"/>
              <w:snapToGrid w:val="0"/>
              <w:spacing w:after="0"/>
              <w:ind w:left="0" w:leftChars="0" w:firstLine="0" w:firstLineChars="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或注册监理工程师证或专业监理工程师培训证。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总计</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名</w:t>
            </w:r>
          </w:p>
        </w:tc>
        <w:tc>
          <w:tcPr>
            <w:tcW w:w="4764" w:type="dxa"/>
            <w:tcBorders>
              <w:top w:val="single" w:color="auto" w:sz="4" w:space="0"/>
              <w:left w:val="single" w:color="auto" w:sz="4" w:space="0"/>
              <w:bottom w:val="single" w:color="auto" w:sz="4" w:space="0"/>
              <w:right w:val="single" w:color="auto" w:sz="4" w:space="0"/>
            </w:tcBorders>
            <w:noWrap w:val="0"/>
            <w:vAlign w:val="center"/>
          </w:tcPr>
          <w:p>
            <w:pPr>
              <w:pStyle w:val="18"/>
              <w:adjustRightInd w:val="0"/>
              <w:snapToGrid w:val="0"/>
              <w:spacing w:after="0"/>
              <w:ind w:left="0" w:leftChars="0" w:firstLine="0" w:firstLineChars="0"/>
              <w:jc w:val="left"/>
              <w:rPr>
                <w:rFonts w:hint="eastAsia" w:ascii="宋体" w:hAnsi="宋体"/>
                <w:color w:val="auto"/>
                <w:szCs w:val="21"/>
                <w:highlight w:val="none"/>
                <w:lang w:val="en-US" w:eastAsia="zh-CN"/>
              </w:rPr>
            </w:pPr>
          </w:p>
        </w:tc>
      </w:tr>
      <w:bookmarkEnd w:id="506"/>
    </w:tbl>
    <w:p>
      <w:pPr>
        <w:spacing w:before="144" w:beforeLines="50" w:after="144" w:afterLines="50" w:line="276" w:lineRule="auto"/>
        <w:rPr>
          <w:rFonts w:hint="eastAsia" w:ascii="宋体" w:hAnsi="宋体" w:cs="宋体"/>
          <w:color w:val="auto"/>
          <w:szCs w:val="21"/>
          <w:highlight w:val="none"/>
        </w:rPr>
      </w:pPr>
      <w:r>
        <w:rPr>
          <w:rFonts w:hint="eastAsia" w:ascii="宋体" w:hAnsi="宋体" w:cs="宋体"/>
          <w:b/>
          <w:color w:val="auto"/>
          <w:szCs w:val="21"/>
          <w:highlight w:val="none"/>
        </w:rPr>
        <w:t>备注：</w:t>
      </w:r>
      <w:r>
        <w:rPr>
          <w:rFonts w:hint="eastAsia" w:ascii="宋体" w:hAnsi="宋体" w:cs="宋体"/>
          <w:color w:val="auto"/>
          <w:szCs w:val="21"/>
          <w:highlight w:val="none"/>
        </w:rPr>
        <w:t>①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可承担相应专业监理工程师岗位。</w:t>
      </w:r>
    </w:p>
    <w:p>
      <w:pPr>
        <w:pStyle w:val="18"/>
        <w:spacing w:after="144" w:afterLines="50"/>
        <w:ind w:left="0" w:leftChars="0" w:firstLine="0" w:firstLineChars="0"/>
        <w:rPr>
          <w:rFonts w:hint="eastAsia"/>
          <w:color w:val="auto"/>
          <w:highlight w:val="none"/>
          <w:lang w:eastAsia="zh-CN"/>
        </w:rPr>
      </w:pPr>
      <w:r>
        <w:rPr>
          <w:rFonts w:hint="eastAsia" w:ascii="宋体" w:hAnsi="宋体" w:cs="宋体"/>
          <w:color w:val="auto"/>
          <w:szCs w:val="21"/>
          <w:highlight w:val="none"/>
          <w:lang w:eastAsia="zh-CN"/>
        </w:rPr>
        <w:t>②</w:t>
      </w:r>
      <w:r>
        <w:rPr>
          <w:rFonts w:hint="eastAsia"/>
          <w:color w:val="auto"/>
          <w:highlight w:val="none"/>
          <w:lang w:eastAsia="zh-CN"/>
        </w:rPr>
        <w:t>按照《造价工程师职业资格制度规定》的规定，根据原人事部、原建设部发布的《造价工程师执业资格制度暂行规定》（人发〔1996〕77号）取得的造价工程师执业资格，并经注册且在有效期内的，等同于一级注册造价工程师。</w:t>
      </w:r>
    </w:p>
    <w:p>
      <w:pPr>
        <w:pStyle w:val="18"/>
        <w:spacing w:line="276" w:lineRule="auto"/>
        <w:ind w:left="0" w:leftChars="0" w:firstLine="0" w:firstLineChars="0"/>
        <w:rPr>
          <w:rFonts w:hint="eastAsia" w:ascii="宋体" w:hAnsi="宋体" w:cs="宋体"/>
          <w:color w:val="auto"/>
          <w:szCs w:val="21"/>
          <w:highlight w:val="none"/>
          <w:lang w:eastAsia="zh-CN"/>
        </w:rPr>
      </w:pPr>
      <w:r>
        <w:rPr>
          <w:rFonts w:hint="eastAsia" w:ascii="宋体" w:hAnsi="宋体" w:cs="宋体"/>
          <w:color w:val="auto"/>
          <w:szCs w:val="21"/>
          <w:highlight w:val="none"/>
        </w:rPr>
        <w:t>③</w:t>
      </w:r>
      <w:r>
        <w:rPr>
          <w:rFonts w:hint="eastAsia" w:ascii="宋体" w:hAnsi="宋体" w:cs="宋体"/>
          <w:color w:val="auto"/>
          <w:szCs w:val="21"/>
          <w:highlight w:val="none"/>
          <w:lang w:eastAsia="zh-CN"/>
        </w:rPr>
        <w:t>总监理工程师及监理机构人员资格、认证证书及社保证明等方面内容必须提供相应的证明材料；</w:t>
      </w:r>
      <w:r>
        <w:rPr>
          <w:rFonts w:ascii="宋体" w:hAnsi="宋体" w:cs="宋体"/>
          <w:color w:val="auto"/>
          <w:szCs w:val="21"/>
          <w:highlight w:val="none"/>
          <w:lang w:eastAsia="zh-CN"/>
        </w:rPr>
        <w:t>所投入人员必须为投标人本单位人员，</w:t>
      </w:r>
      <w:r>
        <w:rPr>
          <w:rFonts w:hint="eastAsia" w:ascii="宋体" w:hAnsi="宋体" w:cs="宋体"/>
          <w:color w:val="auto"/>
          <w:szCs w:val="21"/>
          <w:highlight w:val="none"/>
          <w:lang w:val="en-US" w:eastAsia="zh-CN"/>
        </w:rPr>
        <w:t>注册证或登记证或岗位证书需在本单位注册或登记。</w:t>
      </w:r>
      <w:r>
        <w:rPr>
          <w:rFonts w:ascii="宋体" w:hAnsi="宋体" w:cs="宋体"/>
          <w:color w:val="auto"/>
          <w:szCs w:val="21"/>
          <w:highlight w:val="none"/>
          <w:lang w:eastAsia="zh-CN"/>
        </w:rPr>
        <w:t>所有人员须</w:t>
      </w:r>
      <w:r>
        <w:rPr>
          <w:rFonts w:hint="eastAsia" w:ascii="宋体" w:hAnsi="宋体"/>
          <w:color w:val="auto"/>
          <w:highlight w:val="none"/>
        </w:rPr>
        <w:t>提供近</w:t>
      </w:r>
      <w:r>
        <w:rPr>
          <w:rFonts w:hint="eastAsia" w:ascii="宋体" w:hAnsi="宋体"/>
          <w:color w:val="auto"/>
          <w:highlight w:val="none"/>
          <w:lang w:eastAsia="zh-CN"/>
        </w:rPr>
        <w:t>三</w:t>
      </w:r>
      <w:r>
        <w:rPr>
          <w:rFonts w:hint="eastAsia" w:ascii="宋体" w:hAnsi="宋体"/>
          <w:color w:val="auto"/>
          <w:highlight w:val="none"/>
        </w:rPr>
        <w:t>个月（指202</w:t>
      </w:r>
      <w:r>
        <w:rPr>
          <w:rFonts w:hint="eastAsia" w:ascii="宋体" w:hAnsi="宋体"/>
          <w:color w:val="auto"/>
          <w:highlight w:val="none"/>
          <w:lang w:val="en-US" w:eastAsia="zh-CN"/>
        </w:rPr>
        <w:t>5</w:t>
      </w:r>
      <w:r>
        <w:rPr>
          <w:rFonts w:hint="eastAsia" w:ascii="宋体" w:hAnsi="宋体"/>
          <w:color w:val="auto"/>
          <w:highlight w:val="none"/>
        </w:rPr>
        <w:t>年</w:t>
      </w:r>
      <w:r>
        <w:rPr>
          <w:rFonts w:hint="eastAsia" w:ascii="宋体" w:hAnsi="宋体"/>
          <w:color w:val="auto"/>
          <w:highlight w:val="none"/>
          <w:lang w:val="en-US" w:eastAsia="zh-CN"/>
        </w:rPr>
        <w:t>4</w:t>
      </w:r>
      <w:r>
        <w:rPr>
          <w:rFonts w:hint="eastAsia" w:ascii="宋体" w:hAnsi="宋体"/>
          <w:color w:val="auto"/>
          <w:highlight w:val="none"/>
        </w:rPr>
        <w:t>月</w:t>
      </w:r>
      <w:r>
        <w:rPr>
          <w:rFonts w:hint="eastAsia" w:ascii="宋体" w:hAnsi="宋体"/>
          <w:color w:val="auto"/>
          <w:highlight w:val="none"/>
          <w:lang w:eastAsia="zh-CN"/>
        </w:rPr>
        <w:t>、</w:t>
      </w:r>
      <w:r>
        <w:rPr>
          <w:rFonts w:hint="eastAsia" w:ascii="宋体" w:hAnsi="宋体"/>
          <w:color w:val="auto"/>
          <w:highlight w:val="none"/>
          <w:lang w:val="en-US" w:eastAsia="zh-CN"/>
        </w:rPr>
        <w:t>5月、6月</w:t>
      </w:r>
      <w:r>
        <w:rPr>
          <w:rFonts w:hint="eastAsia" w:ascii="宋体" w:hAnsi="宋体"/>
          <w:color w:val="auto"/>
          <w:highlight w:val="none"/>
        </w:rPr>
        <w:t>）</w:t>
      </w:r>
      <w:r>
        <w:rPr>
          <w:rFonts w:ascii="宋体" w:hAnsi="宋体" w:cs="宋体"/>
          <w:color w:val="auto"/>
          <w:szCs w:val="21"/>
          <w:highlight w:val="none"/>
          <w:lang w:eastAsia="zh-CN"/>
        </w:rPr>
        <w:t>在本投标单位购买社保缴纳证明材料，提供证明资料的清晰扫描件并加盖投标单位电子印章，否则不计分。</w:t>
      </w:r>
    </w:p>
    <w:p>
      <w:pPr>
        <w:spacing w:line="276" w:lineRule="auto"/>
        <w:rPr>
          <w:rFonts w:hint="eastAsia" w:ascii="宋体" w:hAnsi="宋体" w:eastAsia="宋体" w:cs="宋体"/>
          <w:bCs w:val="0"/>
          <w:color w:val="auto"/>
          <w:spacing w:val="0"/>
          <w:szCs w:val="21"/>
          <w:highlight w:val="none"/>
        </w:rPr>
      </w:pPr>
      <w:r>
        <w:rPr>
          <w:rFonts w:hint="eastAsia" w:ascii="仿宋" w:hAnsi="仿宋" w:eastAsia="仿宋" w:cs="仿宋"/>
          <w:color w:val="auto"/>
          <w:szCs w:val="21"/>
          <w:highlight w:val="none"/>
        </w:rPr>
        <w:t>④</w:t>
      </w:r>
      <w:r>
        <w:rPr>
          <w:rFonts w:hint="eastAsia" w:ascii="宋体" w:hAnsi="宋体" w:eastAsia="宋体" w:cs="宋体"/>
          <w:color w:val="auto"/>
          <w:szCs w:val="21"/>
          <w:highlight w:val="none"/>
          <w:lang w:val="en-US" w:eastAsia="zh-CN"/>
        </w:rPr>
        <w:t>总监理工程师</w:t>
      </w:r>
      <w:r>
        <w:rPr>
          <w:rFonts w:hint="eastAsia" w:ascii="宋体" w:hAnsi="宋体" w:cs="宋体"/>
          <w:color w:val="auto"/>
          <w:szCs w:val="21"/>
          <w:highlight w:val="none"/>
          <w:lang w:val="en-US" w:eastAsia="zh-CN"/>
        </w:rPr>
        <w:t>按法定要求出席履职</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szCs w:val="21"/>
          <w:highlight w:val="none"/>
        </w:rPr>
        <w:t>总</w:t>
      </w:r>
      <w:r>
        <w:rPr>
          <w:rFonts w:hint="eastAsia" w:ascii="宋体" w:hAnsi="宋体" w:eastAsia="宋体" w:cs="宋体"/>
          <w:bCs w:val="0"/>
          <w:color w:val="auto"/>
          <w:spacing w:val="0"/>
          <w:szCs w:val="21"/>
          <w:highlight w:val="none"/>
          <w:lang w:val="en-US" w:eastAsia="zh-CN"/>
        </w:rPr>
        <w:t>监理工程师</w:t>
      </w:r>
      <w:r>
        <w:rPr>
          <w:rFonts w:hint="eastAsia" w:ascii="宋体" w:hAnsi="宋体" w:cs="宋体"/>
          <w:bCs w:val="0"/>
          <w:color w:val="auto"/>
          <w:spacing w:val="0"/>
          <w:szCs w:val="21"/>
          <w:highlight w:val="none"/>
          <w:lang w:val="en-US" w:eastAsia="zh-CN"/>
        </w:rPr>
        <w:t>代表</w:t>
      </w:r>
      <w:r>
        <w:rPr>
          <w:rFonts w:hint="eastAsia" w:ascii="宋体" w:hAnsi="宋体" w:eastAsia="宋体" w:cs="宋体"/>
          <w:bCs w:val="0"/>
          <w:color w:val="auto"/>
          <w:spacing w:val="0"/>
          <w:szCs w:val="21"/>
          <w:highlight w:val="none"/>
        </w:rPr>
        <w:t>、资料员、安全监理员或注册安全工程师必须在施工全过程常驻现场，其他监理人员应驻场的具体阶段由委托人和监理人在合同签订时具体协商确定。</w:t>
      </w:r>
    </w:p>
    <w:p>
      <w:pPr>
        <w:spacing w:line="276" w:lineRule="auto"/>
        <w:rPr>
          <w:rFonts w:ascii="宋体" w:hAnsi="宋体" w:cs="宋体"/>
          <w:color w:val="auto"/>
          <w:szCs w:val="21"/>
          <w:highlight w:val="none"/>
        </w:rPr>
      </w:pPr>
      <w:r>
        <w:rPr>
          <w:rFonts w:hint="eastAsia" w:ascii="宋体" w:hAnsi="宋体" w:eastAsia="宋体" w:cs="宋体"/>
          <w:color w:val="auto"/>
          <w:szCs w:val="21"/>
          <w:highlight w:val="none"/>
        </w:rPr>
        <w:t>⑤</w:t>
      </w:r>
      <w:r>
        <w:rPr>
          <w:rFonts w:hint="eastAsia" w:ascii="宋体" w:hAnsi="宋体" w:cs="宋体"/>
          <w:color w:val="auto"/>
          <w:szCs w:val="21"/>
          <w:highlight w:val="none"/>
        </w:rPr>
        <w:t>上述人员要求不作为形式评审、资格评审、响应性评审的审查依据，只作为综合评分表中的评审依据。</w:t>
      </w:r>
    </w:p>
    <w:bookmarkEnd w:id="507"/>
    <w:p>
      <w:pPr>
        <w:snapToGrid w:val="0"/>
        <w:spacing w:line="276" w:lineRule="auto"/>
        <w:ind w:firstLine="420" w:firstLineChars="200"/>
        <w:rPr>
          <w:rFonts w:ascii="宋体" w:hAnsi="宋体"/>
          <w:color w:val="auto"/>
          <w:szCs w:val="21"/>
          <w:highlight w:val="none"/>
        </w:rPr>
      </w:pPr>
    </w:p>
    <w:p>
      <w:pPr>
        <w:pStyle w:val="3"/>
        <w:rPr>
          <w:rFonts w:ascii="宋体" w:eastAsia="宋体" w:cs="宋体"/>
          <w:color w:val="auto"/>
          <w:highlight w:val="none"/>
        </w:rPr>
      </w:pPr>
      <w:r>
        <w:rPr>
          <w:rFonts w:ascii="宋体" w:hAnsi="宋体"/>
          <w:color w:val="auto"/>
          <w:szCs w:val="21"/>
          <w:highlight w:val="none"/>
        </w:rPr>
        <w:br w:type="page"/>
      </w:r>
      <w:bookmarkEnd w:id="502"/>
      <w:bookmarkEnd w:id="503"/>
      <w:bookmarkStart w:id="508" w:name="_Toc4542"/>
      <w:bookmarkStart w:id="509" w:name="_Toc13166"/>
      <w:bookmarkStart w:id="510" w:name="_Toc4396"/>
      <w:bookmarkStart w:id="511" w:name="_Toc3387"/>
      <w:bookmarkStart w:id="512" w:name="_Toc31344"/>
      <w:bookmarkStart w:id="513" w:name="_Toc32294"/>
      <w:bookmarkStart w:id="514" w:name="_Toc16027"/>
      <w:bookmarkStart w:id="515" w:name="_Toc20041"/>
      <w:bookmarkStart w:id="516" w:name="_Toc26662"/>
      <w:bookmarkStart w:id="517" w:name="_Toc8719"/>
      <w:bookmarkStart w:id="518" w:name="_Toc28470"/>
      <w:bookmarkStart w:id="519" w:name="_Toc27158"/>
      <w:bookmarkStart w:id="520" w:name="_Toc29897"/>
      <w:bookmarkStart w:id="521" w:name="_Toc5241"/>
      <w:r>
        <w:rPr>
          <w:rFonts w:hint="eastAsia" w:ascii="宋体" w:eastAsia="宋体" w:cs="宋体"/>
          <w:color w:val="auto"/>
          <w:spacing w:val="1"/>
          <w:highlight w:val="none"/>
        </w:rPr>
        <w:t>1</w:t>
      </w:r>
      <w:r>
        <w:rPr>
          <w:rFonts w:hint="eastAsia" w:ascii="宋体" w:eastAsia="宋体" w:cs="宋体"/>
          <w:color w:val="auto"/>
          <w:highlight w:val="none"/>
        </w:rPr>
        <w:t>.评标方法</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spacing w:line="360" w:lineRule="auto"/>
        <w:ind w:left="100" w:right="-20" w:firstLine="480" w:firstLineChars="200"/>
        <w:jc w:val="left"/>
        <w:outlineLvl w:val="9"/>
        <w:rPr>
          <w:rFonts w:ascii="宋体" w:cs="宋体"/>
          <w:color w:val="auto"/>
          <w:sz w:val="24"/>
          <w:highlight w:val="none"/>
        </w:rPr>
      </w:pPr>
      <w:bookmarkStart w:id="522" w:name="_Toc14766"/>
      <w:bookmarkStart w:id="523" w:name="_Toc24988"/>
      <w:r>
        <w:rPr>
          <w:rFonts w:hint="eastAsia" w:ascii="宋体" w:cs="宋体"/>
          <w:color w:val="auto"/>
          <w:sz w:val="24"/>
          <w:highlight w:val="none"/>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bookmarkEnd w:id="522"/>
      <w:bookmarkEnd w:id="523"/>
    </w:p>
    <w:p>
      <w:pPr>
        <w:spacing w:line="360" w:lineRule="auto"/>
        <w:ind w:left="100" w:right="-20"/>
        <w:jc w:val="left"/>
        <w:outlineLvl w:val="1"/>
        <w:rPr>
          <w:rFonts w:ascii="宋体" w:cs="宋体"/>
          <w:b/>
          <w:bCs/>
          <w:color w:val="auto"/>
          <w:sz w:val="30"/>
          <w:szCs w:val="30"/>
          <w:highlight w:val="none"/>
        </w:rPr>
      </w:pPr>
      <w:bookmarkStart w:id="524" w:name="_Toc20070"/>
      <w:bookmarkStart w:id="525" w:name="_Toc18787"/>
      <w:bookmarkStart w:id="526" w:name="_Toc30931"/>
      <w:bookmarkStart w:id="527" w:name="_Toc984"/>
      <w:bookmarkStart w:id="528" w:name="_Toc31687"/>
      <w:bookmarkStart w:id="529" w:name="_Toc21780"/>
      <w:bookmarkStart w:id="530" w:name="_Toc23100"/>
      <w:bookmarkStart w:id="531" w:name="_Toc8312"/>
      <w:bookmarkStart w:id="532" w:name="_Toc31831"/>
      <w:bookmarkStart w:id="533" w:name="_Toc1999"/>
      <w:bookmarkStart w:id="534" w:name="_Toc16443"/>
      <w:bookmarkStart w:id="535" w:name="_Toc11084"/>
      <w:r>
        <w:rPr>
          <w:rFonts w:hint="eastAsia" w:ascii="宋体" w:cs="宋体"/>
          <w:b/>
          <w:bCs/>
          <w:color w:val="auto"/>
          <w:sz w:val="30"/>
          <w:szCs w:val="30"/>
          <w:highlight w:val="none"/>
        </w:rPr>
        <w:t>2.评审标准</w:t>
      </w:r>
      <w:bookmarkEnd w:id="524"/>
      <w:bookmarkEnd w:id="525"/>
      <w:bookmarkEnd w:id="526"/>
      <w:bookmarkEnd w:id="527"/>
      <w:bookmarkEnd w:id="528"/>
      <w:bookmarkEnd w:id="529"/>
      <w:bookmarkEnd w:id="530"/>
      <w:bookmarkEnd w:id="531"/>
      <w:bookmarkEnd w:id="532"/>
      <w:bookmarkEnd w:id="533"/>
      <w:bookmarkEnd w:id="534"/>
      <w:bookmarkEnd w:id="535"/>
    </w:p>
    <w:p>
      <w:pPr>
        <w:spacing w:line="360" w:lineRule="auto"/>
        <w:ind w:left="237" w:right="-20"/>
        <w:jc w:val="left"/>
        <w:outlineLvl w:val="2"/>
        <w:rPr>
          <w:rFonts w:ascii="宋体" w:cs="宋体"/>
          <w:b/>
          <w:bCs/>
          <w:color w:val="auto"/>
          <w:sz w:val="28"/>
          <w:highlight w:val="none"/>
        </w:rPr>
      </w:pPr>
      <w:bookmarkStart w:id="536" w:name="_Toc2292"/>
      <w:bookmarkStart w:id="537" w:name="_Toc31292"/>
      <w:bookmarkStart w:id="538" w:name="_Toc20434"/>
      <w:r>
        <w:rPr>
          <w:rFonts w:hint="eastAsia" w:ascii="宋体" w:cs="宋体"/>
          <w:b/>
          <w:bCs/>
          <w:color w:val="auto"/>
          <w:sz w:val="28"/>
          <w:highlight w:val="none"/>
        </w:rPr>
        <w:t>2.1 初步评审标准</w:t>
      </w:r>
      <w:bookmarkEnd w:id="536"/>
      <w:bookmarkEnd w:id="537"/>
      <w:bookmarkEnd w:id="538"/>
    </w:p>
    <w:p>
      <w:pPr>
        <w:spacing w:line="360" w:lineRule="auto"/>
        <w:ind w:left="520" w:right="-20"/>
        <w:jc w:val="left"/>
        <w:rPr>
          <w:rFonts w:ascii="宋体" w:cs="宋体"/>
          <w:color w:val="auto"/>
          <w:highlight w:val="none"/>
        </w:rPr>
      </w:pPr>
      <w:r>
        <w:rPr>
          <w:rFonts w:hint="eastAsia" w:ascii="宋体" w:cs="宋体"/>
          <w:color w:val="auto"/>
          <w:highlight w:val="none"/>
        </w:rPr>
        <w:t>2.1.1 形式评审标准：见评标办法前附表。</w:t>
      </w:r>
    </w:p>
    <w:p>
      <w:pPr>
        <w:spacing w:line="360" w:lineRule="auto"/>
        <w:ind w:left="520" w:right="-20"/>
        <w:jc w:val="left"/>
        <w:rPr>
          <w:rFonts w:ascii="宋体" w:cs="宋体"/>
          <w:color w:val="auto"/>
          <w:highlight w:val="none"/>
        </w:rPr>
      </w:pPr>
      <w:r>
        <w:rPr>
          <w:rFonts w:hint="eastAsia" w:ascii="宋体" w:cs="宋体"/>
          <w:color w:val="auto"/>
          <w:highlight w:val="none"/>
        </w:rPr>
        <w:t>2.1.2 资格评审标准：见评标办法前附表。</w:t>
      </w:r>
    </w:p>
    <w:p>
      <w:pPr>
        <w:spacing w:line="360" w:lineRule="auto"/>
        <w:ind w:left="520" w:right="-20"/>
        <w:jc w:val="left"/>
        <w:rPr>
          <w:rFonts w:ascii="宋体" w:cs="宋体"/>
          <w:color w:val="auto"/>
          <w:highlight w:val="none"/>
        </w:rPr>
      </w:pPr>
      <w:r>
        <w:rPr>
          <w:rFonts w:hint="eastAsia" w:ascii="宋体" w:cs="宋体"/>
          <w:color w:val="auto"/>
          <w:highlight w:val="none"/>
        </w:rPr>
        <w:t>2.1.3 响应性评审标准：见评标办法前附表。</w:t>
      </w:r>
    </w:p>
    <w:p>
      <w:pPr>
        <w:spacing w:line="360" w:lineRule="auto"/>
        <w:ind w:left="237" w:right="-20"/>
        <w:jc w:val="left"/>
        <w:outlineLvl w:val="2"/>
        <w:rPr>
          <w:rFonts w:ascii="宋体" w:cs="宋体"/>
          <w:b/>
          <w:bCs/>
          <w:color w:val="auto"/>
          <w:sz w:val="28"/>
          <w:highlight w:val="none"/>
        </w:rPr>
      </w:pPr>
      <w:bookmarkStart w:id="539" w:name="_Toc30068"/>
      <w:bookmarkStart w:id="540" w:name="_Toc7172"/>
      <w:bookmarkStart w:id="541" w:name="_Toc8076"/>
      <w:r>
        <w:rPr>
          <w:rFonts w:hint="eastAsia" w:ascii="宋体" w:cs="宋体"/>
          <w:b/>
          <w:bCs/>
          <w:color w:val="auto"/>
          <w:sz w:val="28"/>
          <w:highlight w:val="none"/>
        </w:rPr>
        <w:t>2.2 分值构成与评分标准</w:t>
      </w:r>
      <w:bookmarkEnd w:id="539"/>
      <w:bookmarkEnd w:id="540"/>
      <w:bookmarkEnd w:id="541"/>
    </w:p>
    <w:p>
      <w:pPr>
        <w:spacing w:line="360" w:lineRule="auto"/>
        <w:ind w:left="520" w:right="-20"/>
        <w:jc w:val="left"/>
        <w:outlineLvl w:val="3"/>
        <w:rPr>
          <w:rFonts w:ascii="宋体" w:cs="宋体"/>
          <w:color w:val="auto"/>
          <w:highlight w:val="none"/>
        </w:rPr>
      </w:pPr>
      <w:r>
        <w:rPr>
          <w:rFonts w:hint="eastAsia" w:ascii="宋体" w:cs="宋体"/>
          <w:color w:val="auto"/>
          <w:highlight w:val="none"/>
        </w:rPr>
        <w:t>2.2.1 分值构成</w:t>
      </w:r>
    </w:p>
    <w:p>
      <w:pPr>
        <w:spacing w:line="360" w:lineRule="auto"/>
        <w:ind w:left="520" w:right="-20"/>
        <w:jc w:val="left"/>
        <w:rPr>
          <w:rFonts w:ascii="宋体" w:cs="宋体"/>
          <w:color w:val="auto"/>
          <w:highlight w:val="none"/>
        </w:rPr>
      </w:pPr>
      <w:r>
        <w:rPr>
          <w:rFonts w:hint="eastAsia" w:ascii="宋体" w:cs="宋体"/>
          <w:color w:val="auto"/>
          <w:highlight w:val="none"/>
        </w:rPr>
        <w:t>（1）资信业绩部分：见评标办法前附表；</w:t>
      </w:r>
    </w:p>
    <w:p>
      <w:pPr>
        <w:spacing w:line="360" w:lineRule="auto"/>
        <w:ind w:left="520" w:right="-20"/>
        <w:jc w:val="left"/>
        <w:rPr>
          <w:rFonts w:ascii="宋体" w:cs="宋体"/>
          <w:color w:val="auto"/>
          <w:highlight w:val="none"/>
        </w:rPr>
      </w:pPr>
      <w:r>
        <w:rPr>
          <w:rFonts w:hint="eastAsia" w:ascii="宋体" w:cs="宋体"/>
          <w:color w:val="auto"/>
          <w:highlight w:val="none"/>
        </w:rPr>
        <w:t>（2）监理大纲部分：见评标办法前附表；</w:t>
      </w:r>
    </w:p>
    <w:p>
      <w:pPr>
        <w:spacing w:line="360" w:lineRule="auto"/>
        <w:ind w:left="520" w:right="-20"/>
        <w:jc w:val="left"/>
        <w:rPr>
          <w:rFonts w:ascii="宋体" w:cs="宋体"/>
          <w:color w:val="auto"/>
          <w:highlight w:val="none"/>
        </w:rPr>
      </w:pPr>
      <w:r>
        <w:rPr>
          <w:rFonts w:hint="eastAsia" w:ascii="宋体" w:cs="宋体"/>
          <w:color w:val="auto"/>
          <w:highlight w:val="none"/>
        </w:rPr>
        <w:t>（3）投标报价：见评标办法前附表；</w:t>
      </w:r>
    </w:p>
    <w:p>
      <w:pPr>
        <w:spacing w:line="360" w:lineRule="auto"/>
        <w:ind w:left="520" w:right="-20"/>
        <w:jc w:val="left"/>
        <w:rPr>
          <w:rFonts w:ascii="宋体" w:cs="宋体"/>
          <w:color w:val="auto"/>
          <w:highlight w:val="none"/>
        </w:rPr>
      </w:pPr>
      <w:r>
        <w:rPr>
          <w:rFonts w:hint="eastAsia" w:ascii="宋体" w:cs="宋体"/>
          <w:color w:val="auto"/>
          <w:highlight w:val="none"/>
        </w:rPr>
        <w:t>（4）其他评分因素：见评标办法前附表。</w:t>
      </w:r>
    </w:p>
    <w:p>
      <w:pPr>
        <w:spacing w:line="360" w:lineRule="auto"/>
        <w:ind w:left="522"/>
        <w:jc w:val="left"/>
        <w:rPr>
          <w:rFonts w:ascii="宋体" w:cs="宋体"/>
          <w:color w:val="auto"/>
          <w:highlight w:val="none"/>
        </w:rPr>
      </w:pPr>
      <w:r>
        <w:rPr>
          <w:rFonts w:hint="eastAsia" w:ascii="宋体" w:cs="宋体"/>
          <w:color w:val="auto"/>
          <w:highlight w:val="none"/>
        </w:rPr>
        <w:t>2.2.2 评标基准价计算方法：见评标办法前附表。</w:t>
      </w:r>
    </w:p>
    <w:p>
      <w:pPr>
        <w:spacing w:line="360" w:lineRule="auto"/>
        <w:ind w:left="520" w:right="40"/>
        <w:jc w:val="left"/>
        <w:rPr>
          <w:rFonts w:ascii="宋体" w:cs="宋体"/>
          <w:color w:val="auto"/>
          <w:highlight w:val="none"/>
        </w:rPr>
      </w:pPr>
      <w:r>
        <w:rPr>
          <w:rFonts w:hint="eastAsia" w:ascii="宋体" w:cs="宋体"/>
          <w:color w:val="auto"/>
          <w:highlight w:val="none"/>
        </w:rPr>
        <w:t>2.2.3 投标报价的偏差率计算计算公式：见评标办法前附表。</w:t>
      </w:r>
    </w:p>
    <w:p>
      <w:pPr>
        <w:spacing w:line="360" w:lineRule="auto"/>
        <w:ind w:left="520" w:right="-20"/>
        <w:jc w:val="left"/>
        <w:rPr>
          <w:rFonts w:ascii="宋体" w:cs="宋体"/>
          <w:color w:val="auto"/>
          <w:highlight w:val="none"/>
        </w:rPr>
      </w:pPr>
      <w:r>
        <w:rPr>
          <w:rFonts w:hint="eastAsia" w:ascii="宋体" w:cs="宋体"/>
          <w:color w:val="auto"/>
          <w:highlight w:val="none"/>
        </w:rPr>
        <w:t>2.2.4 评分标准</w:t>
      </w:r>
    </w:p>
    <w:p>
      <w:pPr>
        <w:spacing w:line="360" w:lineRule="auto"/>
        <w:ind w:left="520" w:right="-20"/>
        <w:jc w:val="left"/>
        <w:rPr>
          <w:rFonts w:ascii="宋体" w:cs="宋体"/>
          <w:color w:val="auto"/>
          <w:highlight w:val="none"/>
        </w:rPr>
      </w:pPr>
      <w:r>
        <w:rPr>
          <w:rFonts w:hint="eastAsia" w:ascii="宋体" w:cs="宋体"/>
          <w:color w:val="auto"/>
          <w:highlight w:val="none"/>
        </w:rPr>
        <w:t>（1）资信业绩评分标准：见评标办法前附表；</w:t>
      </w:r>
    </w:p>
    <w:p>
      <w:pPr>
        <w:spacing w:line="360" w:lineRule="auto"/>
        <w:ind w:left="520" w:right="-20"/>
        <w:jc w:val="left"/>
        <w:rPr>
          <w:rFonts w:ascii="宋体" w:cs="宋体"/>
          <w:color w:val="auto"/>
          <w:highlight w:val="none"/>
        </w:rPr>
      </w:pPr>
      <w:r>
        <w:rPr>
          <w:rFonts w:hint="eastAsia" w:ascii="宋体" w:cs="宋体"/>
          <w:color w:val="auto"/>
          <w:highlight w:val="none"/>
        </w:rPr>
        <w:t>（2）监理大纲评分标准：见评标办法前附表；</w:t>
      </w:r>
    </w:p>
    <w:p>
      <w:pPr>
        <w:spacing w:line="360" w:lineRule="auto"/>
        <w:ind w:left="520" w:right="-20"/>
        <w:jc w:val="left"/>
        <w:rPr>
          <w:rFonts w:ascii="宋体" w:cs="宋体"/>
          <w:color w:val="auto"/>
          <w:highlight w:val="none"/>
        </w:rPr>
      </w:pPr>
      <w:r>
        <w:rPr>
          <w:rFonts w:hint="eastAsia" w:ascii="宋体" w:cs="宋体"/>
          <w:color w:val="auto"/>
          <w:highlight w:val="none"/>
        </w:rPr>
        <w:t>（3）投标报价评分标准：见评标办法前附表；</w:t>
      </w:r>
    </w:p>
    <w:p>
      <w:pPr>
        <w:spacing w:line="360" w:lineRule="auto"/>
        <w:ind w:left="520" w:right="-20"/>
        <w:jc w:val="left"/>
        <w:rPr>
          <w:rFonts w:ascii="宋体" w:cs="宋体"/>
          <w:color w:val="auto"/>
          <w:highlight w:val="none"/>
        </w:rPr>
      </w:pPr>
      <w:r>
        <w:rPr>
          <w:rFonts w:hint="eastAsia" w:ascii="宋体" w:cs="宋体"/>
          <w:color w:val="auto"/>
          <w:highlight w:val="none"/>
        </w:rPr>
        <w:t>（4）其他因素评分标准：见评标办法前附表。</w:t>
      </w:r>
    </w:p>
    <w:p>
      <w:pPr>
        <w:spacing w:line="360" w:lineRule="auto"/>
        <w:ind w:left="520" w:right="-20"/>
        <w:jc w:val="left"/>
        <w:rPr>
          <w:rFonts w:ascii="宋体" w:cs="宋体"/>
          <w:color w:val="auto"/>
          <w:highlight w:val="none"/>
        </w:rPr>
        <w:sectPr>
          <w:pgSz w:w="11906" w:h="16838"/>
          <w:pgMar w:top="1417" w:right="1417" w:bottom="1417" w:left="1417" w:header="850" w:footer="992" w:gutter="0"/>
          <w:pgNumType w:fmt="decimal"/>
          <w:cols w:space="720" w:num="1"/>
          <w:docGrid w:linePitch="285" w:charSpace="0"/>
        </w:sectPr>
      </w:pPr>
    </w:p>
    <w:p>
      <w:pPr>
        <w:spacing w:line="360" w:lineRule="auto"/>
        <w:ind w:left="100" w:right="-20"/>
        <w:jc w:val="left"/>
        <w:outlineLvl w:val="1"/>
        <w:rPr>
          <w:rFonts w:ascii="宋体" w:cs="宋体"/>
          <w:b/>
          <w:bCs/>
          <w:color w:val="auto"/>
          <w:sz w:val="30"/>
          <w:szCs w:val="30"/>
          <w:highlight w:val="none"/>
        </w:rPr>
      </w:pPr>
      <w:bookmarkStart w:id="542" w:name="_Toc21409"/>
      <w:bookmarkStart w:id="543" w:name="_Toc4603"/>
      <w:bookmarkStart w:id="544" w:name="_Toc5229"/>
      <w:bookmarkStart w:id="545" w:name="_Toc3926"/>
      <w:bookmarkStart w:id="546" w:name="_Toc2421"/>
      <w:bookmarkStart w:id="547" w:name="_Toc23580"/>
      <w:bookmarkStart w:id="548" w:name="_Toc26469"/>
      <w:bookmarkStart w:id="549" w:name="_Toc12771"/>
      <w:bookmarkStart w:id="550" w:name="_Toc29412"/>
      <w:bookmarkStart w:id="551" w:name="_Toc673"/>
      <w:bookmarkStart w:id="552" w:name="_Toc27547"/>
      <w:bookmarkStart w:id="553" w:name="_Toc30776"/>
      <w:bookmarkStart w:id="554" w:name="_Toc11432"/>
      <w:bookmarkStart w:id="555" w:name="_Toc6141"/>
      <w:bookmarkStart w:id="556" w:name="_Toc15457"/>
      <w:bookmarkStart w:id="557" w:name="_Toc4430"/>
      <w:bookmarkStart w:id="558" w:name="_Toc12879"/>
      <w:bookmarkStart w:id="559" w:name="_Toc26012"/>
      <w:bookmarkStart w:id="560" w:name="_Toc31897"/>
      <w:bookmarkStart w:id="561" w:name="_Toc19467"/>
      <w:r>
        <w:rPr>
          <w:rFonts w:hint="eastAsia" w:ascii="宋体" w:cs="宋体"/>
          <w:b/>
          <w:bCs/>
          <w:color w:val="auto"/>
          <w:sz w:val="30"/>
          <w:szCs w:val="30"/>
          <w:highlight w:val="none"/>
        </w:rPr>
        <w:t>3.评标程序</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pPr>
        <w:spacing w:line="360" w:lineRule="auto"/>
        <w:ind w:left="237" w:right="-20"/>
        <w:jc w:val="left"/>
        <w:outlineLvl w:val="2"/>
        <w:rPr>
          <w:rFonts w:ascii="宋体" w:cs="宋体"/>
          <w:b/>
          <w:bCs/>
          <w:color w:val="auto"/>
          <w:sz w:val="28"/>
          <w:highlight w:val="none"/>
        </w:rPr>
      </w:pPr>
      <w:bookmarkStart w:id="562" w:name="_Toc21292"/>
      <w:bookmarkStart w:id="563" w:name="_Toc7553"/>
      <w:bookmarkStart w:id="564" w:name="_Toc22074"/>
      <w:r>
        <w:rPr>
          <w:rFonts w:hint="eastAsia" w:ascii="宋体" w:cs="宋体"/>
          <w:b/>
          <w:bCs/>
          <w:color w:val="auto"/>
          <w:sz w:val="28"/>
          <w:highlight w:val="none"/>
        </w:rPr>
        <w:t>3.1 初步评审</w:t>
      </w:r>
      <w:bookmarkEnd w:id="562"/>
      <w:bookmarkEnd w:id="563"/>
      <w:bookmarkEnd w:id="564"/>
    </w:p>
    <w:p>
      <w:pPr>
        <w:spacing w:line="360" w:lineRule="auto"/>
        <w:ind w:left="100" w:right="39" w:firstLine="420"/>
        <w:jc w:val="left"/>
        <w:rPr>
          <w:rFonts w:ascii="宋体" w:cs="宋体"/>
          <w:color w:val="auto"/>
          <w:highlight w:val="none"/>
        </w:rPr>
      </w:pPr>
      <w:r>
        <w:rPr>
          <w:rFonts w:hint="eastAsia" w:ascii="宋体" w:cs="宋体"/>
          <w:color w:val="auto"/>
          <w:highlight w:val="none"/>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spacing w:line="360" w:lineRule="auto"/>
        <w:ind w:left="520" w:right="-20"/>
        <w:jc w:val="left"/>
        <w:rPr>
          <w:rFonts w:ascii="宋体" w:cs="宋体"/>
          <w:color w:val="auto"/>
          <w:highlight w:val="none"/>
        </w:rPr>
      </w:pPr>
      <w:r>
        <w:rPr>
          <w:rFonts w:hint="eastAsia" w:ascii="宋体" w:cs="宋体"/>
          <w:color w:val="auto"/>
          <w:highlight w:val="none"/>
        </w:rPr>
        <w:t>3.1.2 投标人有以下情形之一的，评标委员会应当否决其投标：</w:t>
      </w:r>
    </w:p>
    <w:p>
      <w:pPr>
        <w:spacing w:line="360" w:lineRule="auto"/>
        <w:ind w:left="100" w:right="139" w:firstLine="420"/>
        <w:jc w:val="left"/>
        <w:rPr>
          <w:rFonts w:ascii="宋体" w:cs="宋体"/>
          <w:color w:val="auto"/>
          <w:highlight w:val="none"/>
        </w:rPr>
      </w:pPr>
      <w:r>
        <w:rPr>
          <w:rFonts w:hint="eastAsia" w:ascii="宋体" w:cs="宋体"/>
          <w:color w:val="auto"/>
          <w:highlight w:val="none"/>
        </w:rPr>
        <w:t>（1）投标文件没有对招标文件的实质性要求和条件作出响应，或者对招标文件的偏差超出招标文件规定的偏差范围或最高项数；</w:t>
      </w:r>
    </w:p>
    <w:p>
      <w:pPr>
        <w:spacing w:line="360" w:lineRule="auto"/>
        <w:ind w:left="520" w:right="-20"/>
        <w:jc w:val="left"/>
        <w:rPr>
          <w:rFonts w:ascii="宋体" w:cs="宋体"/>
          <w:color w:val="auto"/>
          <w:highlight w:val="none"/>
        </w:rPr>
      </w:pPr>
      <w:r>
        <w:rPr>
          <w:rFonts w:hint="eastAsia" w:ascii="宋体" w:cs="宋体"/>
          <w:color w:val="auto"/>
          <w:highlight w:val="none"/>
        </w:rPr>
        <w:t>（2）有串通投标、弄虚作假、行贿等违法行为。</w:t>
      </w:r>
    </w:p>
    <w:p>
      <w:pPr>
        <w:spacing w:line="360" w:lineRule="auto"/>
        <w:ind w:left="100" w:right="139" w:firstLine="420"/>
        <w:jc w:val="left"/>
        <w:rPr>
          <w:rFonts w:ascii="宋体" w:cs="宋体"/>
          <w:color w:val="auto"/>
          <w:highlight w:val="none"/>
        </w:rPr>
      </w:pPr>
      <w:r>
        <w:rPr>
          <w:rFonts w:hint="eastAsia" w:ascii="宋体" w:cs="宋体"/>
          <w:color w:val="auto"/>
          <w:highlight w:val="none"/>
        </w:rPr>
        <w:t>3.1.3 投标报价有算术错误及其他错误的，评标委员会按以下原则要求投标人对投标报价进行修正，并要求投标人书面澄清确认。投标人拒不澄清确认的，评标委员会应当否决其投标：</w:t>
      </w:r>
    </w:p>
    <w:p>
      <w:pPr>
        <w:spacing w:line="360" w:lineRule="auto"/>
        <w:ind w:left="520" w:right="-20"/>
        <w:jc w:val="left"/>
        <w:rPr>
          <w:rFonts w:ascii="宋体" w:cs="宋体"/>
          <w:color w:val="auto"/>
          <w:highlight w:val="none"/>
        </w:rPr>
      </w:pPr>
      <w:r>
        <w:rPr>
          <w:rFonts w:hint="eastAsia" w:ascii="宋体" w:cs="宋体"/>
          <w:color w:val="auto"/>
          <w:highlight w:val="none"/>
        </w:rPr>
        <w:t>（1）投标文件中的大写金额与小写金额不一致的，以大写金额为准；</w:t>
      </w:r>
    </w:p>
    <w:p>
      <w:pPr>
        <w:spacing w:line="360" w:lineRule="auto"/>
        <w:ind w:left="100" w:right="142" w:firstLine="420"/>
        <w:jc w:val="left"/>
        <w:rPr>
          <w:rFonts w:hint="eastAsia" w:ascii="宋体" w:cs="宋体"/>
          <w:b w:val="0"/>
          <w:bCs w:val="0"/>
          <w:color w:val="auto"/>
          <w:highlight w:val="none"/>
          <w:u w:val="single"/>
        </w:rPr>
      </w:pPr>
      <w:r>
        <w:rPr>
          <w:rFonts w:hint="eastAsia" w:ascii="宋体" w:cs="宋体"/>
          <w:color w:val="auto"/>
          <w:highlight w:val="none"/>
        </w:rPr>
        <w:t>（2）总价金额与单价金额不一致的，以单价金额为准，但单价金额小数点有明显错误的除外。</w:t>
      </w:r>
    </w:p>
    <w:p>
      <w:pPr>
        <w:spacing w:before="37" w:line="360" w:lineRule="auto"/>
        <w:ind w:left="100" w:right="142" w:firstLine="420"/>
        <w:jc w:val="left"/>
        <w:rPr>
          <w:rFonts w:ascii="宋体"/>
          <w:color w:val="auto"/>
          <w:highlight w:val="none"/>
          <w:u w:val="single"/>
        </w:rPr>
      </w:pPr>
      <w:r>
        <w:rPr>
          <w:rFonts w:hint="eastAsia" w:ascii="宋体"/>
          <w:color w:val="auto"/>
          <w:highlight w:val="none"/>
          <w:u w:val="single"/>
        </w:rPr>
        <w:t>3.1.4 只有通过初步评审的投标人才能进入下一阶段详细评审。当通过初步评审的有效投标人不足三名时，招标人应当依法重新组织招标。</w:t>
      </w:r>
    </w:p>
    <w:p>
      <w:pPr>
        <w:spacing w:line="360" w:lineRule="auto"/>
        <w:ind w:left="237" w:right="-20"/>
        <w:jc w:val="left"/>
        <w:outlineLvl w:val="2"/>
        <w:rPr>
          <w:rFonts w:ascii="宋体" w:cs="宋体"/>
          <w:b/>
          <w:bCs/>
          <w:color w:val="auto"/>
          <w:sz w:val="28"/>
          <w:highlight w:val="none"/>
        </w:rPr>
      </w:pPr>
      <w:bookmarkStart w:id="565" w:name="_Toc2104"/>
      <w:bookmarkStart w:id="566" w:name="_Toc17096"/>
      <w:bookmarkStart w:id="567" w:name="_Toc163"/>
      <w:r>
        <w:rPr>
          <w:rFonts w:hint="eastAsia" w:ascii="宋体" w:cs="宋体"/>
          <w:b/>
          <w:bCs/>
          <w:color w:val="auto"/>
          <w:sz w:val="28"/>
          <w:highlight w:val="none"/>
        </w:rPr>
        <w:t>3.2 详细评审</w:t>
      </w:r>
      <w:bookmarkEnd w:id="565"/>
      <w:bookmarkEnd w:id="566"/>
      <w:bookmarkEnd w:id="567"/>
    </w:p>
    <w:p>
      <w:pPr>
        <w:spacing w:line="360" w:lineRule="auto"/>
        <w:ind w:left="520" w:right="-20"/>
        <w:jc w:val="left"/>
        <w:rPr>
          <w:rFonts w:ascii="宋体" w:cs="宋体"/>
          <w:color w:val="auto"/>
          <w:highlight w:val="none"/>
        </w:rPr>
      </w:pPr>
      <w:r>
        <w:rPr>
          <w:rFonts w:hint="eastAsia" w:ascii="宋体" w:cs="宋体"/>
          <w:color w:val="auto"/>
          <w:highlight w:val="none"/>
        </w:rPr>
        <w:t>3.2.1 评标委员会按本章第 2.2 款规定的量化因素和分值进行打分，并计算出综合评估得分。</w:t>
      </w:r>
    </w:p>
    <w:p>
      <w:pPr>
        <w:spacing w:line="360" w:lineRule="auto"/>
        <w:ind w:left="520" w:right="-20"/>
        <w:jc w:val="left"/>
        <w:rPr>
          <w:rFonts w:ascii="宋体" w:cs="宋体"/>
          <w:color w:val="auto"/>
          <w:highlight w:val="none"/>
        </w:rPr>
      </w:pPr>
      <w:r>
        <w:rPr>
          <w:rFonts w:hint="eastAsia" w:ascii="宋体" w:cs="宋体"/>
          <w:color w:val="auto"/>
          <w:highlight w:val="none"/>
        </w:rPr>
        <w:t>（1）按本章第 2.2.4（1）目规定的评审因素和分值对资信业绩部分计算出得分A；</w:t>
      </w:r>
    </w:p>
    <w:p>
      <w:pPr>
        <w:spacing w:line="360" w:lineRule="auto"/>
        <w:ind w:left="520" w:right="-20"/>
        <w:jc w:val="left"/>
        <w:rPr>
          <w:rFonts w:ascii="宋体" w:cs="宋体"/>
          <w:color w:val="auto"/>
          <w:highlight w:val="none"/>
        </w:rPr>
      </w:pPr>
      <w:r>
        <w:rPr>
          <w:rFonts w:hint="eastAsia" w:ascii="宋体" w:cs="宋体"/>
          <w:color w:val="auto"/>
          <w:highlight w:val="none"/>
        </w:rPr>
        <w:t>（2）按本章第 2.2.4（2）目规定的评审因素和分值对监理大纲部分计算出得分B；</w:t>
      </w:r>
    </w:p>
    <w:p>
      <w:pPr>
        <w:spacing w:line="360" w:lineRule="auto"/>
        <w:ind w:left="520" w:right="-20"/>
        <w:jc w:val="left"/>
        <w:rPr>
          <w:rFonts w:ascii="宋体" w:cs="宋体"/>
          <w:color w:val="auto"/>
          <w:highlight w:val="none"/>
        </w:rPr>
      </w:pPr>
      <w:r>
        <w:rPr>
          <w:rFonts w:hint="eastAsia" w:ascii="宋体" w:cs="宋体"/>
          <w:color w:val="auto"/>
          <w:highlight w:val="none"/>
        </w:rPr>
        <w:t>（3）按本章第 2.2.4（3）目规定的评审因素和分值对投标报价计算出得分C；</w:t>
      </w:r>
    </w:p>
    <w:p>
      <w:pPr>
        <w:spacing w:line="360" w:lineRule="auto"/>
        <w:ind w:left="520" w:right="-20"/>
        <w:jc w:val="left"/>
        <w:rPr>
          <w:rFonts w:ascii="宋体" w:cs="宋体"/>
          <w:color w:val="auto"/>
          <w:highlight w:val="none"/>
        </w:rPr>
      </w:pPr>
      <w:r>
        <w:rPr>
          <w:rFonts w:hint="eastAsia" w:ascii="宋体" w:cs="宋体"/>
          <w:color w:val="auto"/>
          <w:highlight w:val="none"/>
        </w:rPr>
        <w:t>（4）按本章第 2.2.4（4）目规定的评审因素和分值对其他部分计算出得分D。</w:t>
      </w:r>
    </w:p>
    <w:p>
      <w:pPr>
        <w:spacing w:line="360" w:lineRule="auto"/>
        <w:ind w:left="520" w:right="-20"/>
        <w:jc w:val="left"/>
        <w:rPr>
          <w:rFonts w:ascii="宋体" w:cs="宋体"/>
          <w:color w:val="auto"/>
          <w:highlight w:val="none"/>
        </w:rPr>
      </w:pPr>
      <w:r>
        <w:rPr>
          <w:rFonts w:hint="eastAsia" w:ascii="宋体" w:cs="宋体"/>
          <w:color w:val="auto"/>
          <w:highlight w:val="none"/>
        </w:rPr>
        <w:t>3.2.2 评分分值计算保留小数点后两位，小数点后第三位“四舍五入”。</w:t>
      </w:r>
    </w:p>
    <w:p>
      <w:pPr>
        <w:spacing w:line="360" w:lineRule="auto"/>
        <w:ind w:left="520" w:right="-20"/>
        <w:jc w:val="left"/>
        <w:outlineLvl w:val="3"/>
        <w:rPr>
          <w:rFonts w:hint="default" w:ascii="宋体" w:eastAsia="宋体" w:cs="宋体"/>
          <w:color w:val="auto"/>
          <w:highlight w:val="none"/>
          <w:lang w:val="en-US" w:eastAsia="zh-CN"/>
        </w:rPr>
      </w:pPr>
      <w:r>
        <w:rPr>
          <w:rFonts w:hint="eastAsia" w:ascii="宋体" w:cs="宋体"/>
          <w:color w:val="auto"/>
          <w:highlight w:val="none"/>
        </w:rPr>
        <w:t>3.2.3 投标人总得分＝A+B+C+D</w:t>
      </w:r>
    </w:p>
    <w:p>
      <w:pPr>
        <w:spacing w:line="360" w:lineRule="auto"/>
        <w:ind w:left="0" w:right="-20" w:firstLine="420" w:firstLineChars="200"/>
        <w:jc w:val="left"/>
        <w:rPr>
          <w:rFonts w:ascii="宋体" w:cs="宋体"/>
          <w:color w:val="auto"/>
          <w:highlight w:val="none"/>
        </w:rPr>
      </w:pPr>
      <w:r>
        <w:rPr>
          <w:rFonts w:hint="eastAsia" w:ascii="宋体" w:cs="宋体"/>
          <w:color w:val="auto"/>
          <w:highlight w:val="none"/>
        </w:rPr>
        <w:t>投标人总得分得分为各评委A+B+C+D的总分计取的算术平均分（分数出现小数点时，保留小数点后二位，第三位小数四舍五入）</w:t>
      </w:r>
    </w:p>
    <w:p>
      <w:pPr>
        <w:spacing w:line="360" w:lineRule="auto"/>
        <w:ind w:left="100" w:right="139" w:firstLine="420"/>
        <w:rPr>
          <w:rFonts w:ascii="宋体" w:cs="宋体"/>
          <w:color w:val="auto"/>
          <w:highlight w:val="none"/>
        </w:rPr>
      </w:pPr>
      <w:r>
        <w:rPr>
          <w:rFonts w:hint="eastAsia" w:ascii="宋体" w:cs="宋体"/>
          <w:color w:val="auto"/>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360" w:lineRule="auto"/>
        <w:ind w:left="237" w:right="-20"/>
        <w:jc w:val="left"/>
        <w:outlineLvl w:val="2"/>
        <w:rPr>
          <w:rFonts w:ascii="宋体" w:cs="宋体"/>
          <w:b/>
          <w:bCs/>
          <w:color w:val="auto"/>
          <w:sz w:val="28"/>
          <w:highlight w:val="none"/>
        </w:rPr>
      </w:pPr>
      <w:bookmarkStart w:id="568" w:name="_Toc2136"/>
      <w:bookmarkStart w:id="569" w:name="_Toc7242"/>
      <w:bookmarkStart w:id="570" w:name="_Toc28034"/>
      <w:r>
        <w:rPr>
          <w:rFonts w:hint="eastAsia" w:ascii="宋体" w:cs="宋体"/>
          <w:b/>
          <w:bCs/>
          <w:color w:val="auto"/>
          <w:sz w:val="28"/>
          <w:highlight w:val="none"/>
        </w:rPr>
        <w:t>3.3 投标文件的澄清</w:t>
      </w:r>
      <w:bookmarkEnd w:id="568"/>
      <w:bookmarkEnd w:id="569"/>
      <w:bookmarkEnd w:id="570"/>
    </w:p>
    <w:p>
      <w:pPr>
        <w:spacing w:line="360" w:lineRule="auto"/>
        <w:ind w:left="100" w:right="139" w:firstLine="420"/>
        <w:rPr>
          <w:rFonts w:ascii="宋体" w:cs="宋体"/>
          <w:color w:val="auto"/>
          <w:highlight w:val="none"/>
        </w:rPr>
      </w:pPr>
      <w:r>
        <w:rPr>
          <w:rFonts w:hint="eastAsia" w:ascii="宋体" w:cs="宋体"/>
          <w:color w:val="auto"/>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left="100" w:right="139" w:firstLine="420"/>
        <w:jc w:val="left"/>
        <w:rPr>
          <w:rFonts w:ascii="宋体" w:cs="宋体"/>
          <w:color w:val="auto"/>
          <w:highlight w:val="none"/>
        </w:rPr>
      </w:pPr>
      <w:r>
        <w:rPr>
          <w:rFonts w:hint="eastAsia" w:ascii="宋体" w:cs="宋体"/>
          <w:color w:val="auto"/>
          <w:highlight w:val="none"/>
        </w:rPr>
        <w:t>3.3.2 澄清、说明或补正不得超出投标文件的范围且不得改变投标文件的实质性内容，并构成投标文件的组成部分。</w:t>
      </w:r>
    </w:p>
    <w:p>
      <w:pPr>
        <w:spacing w:line="360" w:lineRule="auto"/>
        <w:ind w:left="100" w:right="34" w:firstLine="420"/>
        <w:jc w:val="left"/>
        <w:rPr>
          <w:rFonts w:ascii="宋体" w:cs="宋体"/>
          <w:color w:val="auto"/>
          <w:highlight w:val="none"/>
        </w:rPr>
      </w:pPr>
      <w:r>
        <w:rPr>
          <w:rFonts w:hint="eastAsia" w:ascii="宋体" w:cs="宋体"/>
          <w:color w:val="auto"/>
          <w:highlight w:val="none"/>
        </w:rPr>
        <w:t>3.3.3 评标委员会对投标人提交的澄清、说明或补正有疑问的，可以要求投标人进一步澄清、说明或补正，直至满足评标委员会的要求。</w:t>
      </w:r>
    </w:p>
    <w:p>
      <w:pPr>
        <w:spacing w:line="360" w:lineRule="auto"/>
        <w:ind w:left="237" w:right="-20"/>
        <w:jc w:val="left"/>
        <w:outlineLvl w:val="2"/>
        <w:rPr>
          <w:rFonts w:ascii="宋体" w:cs="宋体"/>
          <w:b/>
          <w:bCs/>
          <w:color w:val="auto"/>
          <w:sz w:val="28"/>
          <w:highlight w:val="none"/>
        </w:rPr>
      </w:pPr>
      <w:bookmarkStart w:id="571" w:name="_Toc14816"/>
      <w:bookmarkStart w:id="572" w:name="_Toc10646"/>
      <w:bookmarkStart w:id="573" w:name="_Toc14236"/>
      <w:r>
        <w:rPr>
          <w:rFonts w:hint="eastAsia" w:ascii="宋体" w:cs="宋体"/>
          <w:b/>
          <w:bCs/>
          <w:color w:val="auto"/>
          <w:sz w:val="28"/>
          <w:highlight w:val="none"/>
        </w:rPr>
        <w:t>3.4 评标结果</w:t>
      </w:r>
      <w:bookmarkEnd w:id="571"/>
      <w:bookmarkEnd w:id="572"/>
      <w:bookmarkEnd w:id="573"/>
    </w:p>
    <w:p>
      <w:pPr>
        <w:spacing w:line="360" w:lineRule="auto"/>
        <w:ind w:left="100" w:right="141" w:firstLine="420"/>
        <w:jc w:val="left"/>
        <w:rPr>
          <w:rFonts w:ascii="宋体" w:cs="宋体"/>
          <w:color w:val="auto"/>
          <w:highlight w:val="none"/>
        </w:rPr>
      </w:pPr>
      <w:r>
        <w:rPr>
          <w:rFonts w:hint="eastAsia" w:ascii="宋体" w:cs="宋体"/>
          <w:color w:val="auto"/>
          <w:highlight w:val="none"/>
        </w:rPr>
        <w:t>3.4.1 除第二章“投标人须知”前附表授权直接确定中标人外，评标委员会按照得分由高到低 的顺序推荐中标候选人，并标明排序。</w:t>
      </w:r>
    </w:p>
    <w:p>
      <w:pPr>
        <w:spacing w:line="360" w:lineRule="auto"/>
        <w:ind w:left="484" w:right="711"/>
        <w:jc w:val="left"/>
        <w:rPr>
          <w:rFonts w:ascii="宋体" w:cs="宋体"/>
          <w:color w:val="auto"/>
          <w:highlight w:val="none"/>
        </w:rPr>
      </w:pPr>
      <w:r>
        <w:rPr>
          <w:rFonts w:hint="eastAsia" w:ascii="宋体" w:cs="宋体"/>
          <w:color w:val="auto"/>
          <w:highlight w:val="none"/>
        </w:rPr>
        <w:t>3.4.2 评标委员会完成评标后，应当向招标人提交书面评标报告和中标候选人名单。</w:t>
      </w:r>
    </w:p>
    <w:p>
      <w:pPr>
        <w:pStyle w:val="3"/>
        <w:numPr>
          <w:ilvl w:val="0"/>
          <w:numId w:val="2"/>
        </w:numPr>
        <w:outlineLvl w:val="0"/>
        <w:rPr>
          <w:rFonts w:cs="宋体"/>
          <w:color w:val="auto"/>
          <w:sz w:val="28"/>
          <w:szCs w:val="28"/>
          <w:highlight w:val="none"/>
        </w:rPr>
      </w:pPr>
      <w:r>
        <w:rPr>
          <w:rFonts w:hint="eastAsia" w:ascii="宋体" w:cs="宋体"/>
          <w:color w:val="auto"/>
          <w:szCs w:val="21"/>
          <w:highlight w:val="none"/>
        </w:rPr>
        <w:br w:type="page"/>
      </w:r>
      <w:bookmarkStart w:id="574" w:name="_Toc8500"/>
      <w:bookmarkStart w:id="575" w:name="_Toc21368"/>
      <w:bookmarkStart w:id="576" w:name="_Toc28296"/>
      <w:bookmarkStart w:id="577" w:name="_Toc27723"/>
      <w:r>
        <w:rPr>
          <w:rFonts w:hint="eastAsia"/>
          <w:color w:val="auto"/>
          <w:highlight w:val="none"/>
        </w:rPr>
        <w:t xml:space="preserve"> </w:t>
      </w:r>
      <w:bookmarkStart w:id="578" w:name="_Toc22595"/>
      <w:bookmarkStart w:id="579" w:name="_Toc9340"/>
      <w:bookmarkStart w:id="580" w:name="_Toc32054"/>
      <w:bookmarkStart w:id="581" w:name="_Toc4205"/>
      <w:bookmarkStart w:id="582" w:name="_Toc1137"/>
      <w:bookmarkStart w:id="583" w:name="_Toc31583"/>
      <w:bookmarkStart w:id="584" w:name="_Toc12953"/>
      <w:bookmarkStart w:id="585" w:name="_Toc6085"/>
      <w:bookmarkStart w:id="586" w:name="_Toc15860"/>
      <w:bookmarkStart w:id="587" w:name="_Toc6263"/>
      <w:bookmarkStart w:id="588" w:name="_Toc391"/>
      <w:bookmarkStart w:id="589" w:name="_Toc22351"/>
      <w:bookmarkStart w:id="590" w:name="_Toc24819"/>
      <w:bookmarkStart w:id="591" w:name="_Toc11829"/>
      <w:r>
        <w:rPr>
          <w:rFonts w:hint="eastAsia"/>
          <w:color w:val="auto"/>
          <w:highlight w:val="none"/>
        </w:rPr>
        <w:t>合同条款及格式</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Pr>
          <w:rFonts w:hint="eastAsia" w:cs="宋体"/>
          <w:color w:val="auto"/>
          <w:sz w:val="28"/>
          <w:szCs w:val="28"/>
          <w:highlight w:val="none"/>
        </w:rPr>
        <w:t xml:space="preserve"> </w:t>
      </w:r>
    </w:p>
    <w:p>
      <w:pPr>
        <w:jc w:val="center"/>
        <w:outlineLvl w:val="9"/>
        <w:rPr>
          <w:rFonts w:cs="宋体"/>
          <w:color w:val="auto"/>
          <w:sz w:val="28"/>
          <w:szCs w:val="28"/>
          <w:highlight w:val="none"/>
        </w:rPr>
      </w:pPr>
      <w:bookmarkStart w:id="592" w:name="_Toc11417"/>
      <w:bookmarkStart w:id="593" w:name="_Toc19294"/>
      <w:bookmarkStart w:id="594" w:name="_Toc4621"/>
      <w:bookmarkStart w:id="595" w:name="_Toc12773"/>
      <w:bookmarkStart w:id="596" w:name="_Toc6013"/>
      <w:r>
        <w:rPr>
          <w:rFonts w:hint="eastAsia" w:cs="宋体"/>
          <w:color w:val="auto"/>
          <w:sz w:val="28"/>
          <w:szCs w:val="28"/>
          <w:highlight w:val="none"/>
        </w:rPr>
        <w:t>（另册）</w:t>
      </w:r>
      <w:bookmarkEnd w:id="592"/>
      <w:bookmarkEnd w:id="593"/>
      <w:bookmarkEnd w:id="594"/>
      <w:bookmarkEnd w:id="595"/>
      <w:bookmarkEnd w:id="596"/>
    </w:p>
    <w:p>
      <w:pPr>
        <w:widowControl/>
        <w:jc w:val="left"/>
        <w:rPr>
          <w:rFonts w:ascii="宋体" w:hAnsi="宋体" w:cs="宋体"/>
          <w:bCs/>
          <w:color w:val="auto"/>
          <w:kern w:val="0"/>
          <w:sz w:val="56"/>
          <w:szCs w:val="72"/>
          <w:highlight w:val="none"/>
        </w:rPr>
      </w:pPr>
      <w:r>
        <w:rPr>
          <w:rFonts w:ascii="宋体" w:hAnsi="宋体" w:cs="宋体"/>
          <w:bCs/>
          <w:color w:val="auto"/>
          <w:kern w:val="0"/>
          <w:sz w:val="56"/>
          <w:szCs w:val="72"/>
          <w:highlight w:val="none"/>
        </w:rPr>
        <w:br w:type="page"/>
      </w:r>
    </w:p>
    <w:p>
      <w:pPr>
        <w:pStyle w:val="2"/>
        <w:outlineLvl w:val="1"/>
        <w:rPr>
          <w:rFonts w:ascii="黑体" w:hAnsi="黑体" w:eastAsia="黑体" w:cs="黑体"/>
          <w:color w:val="auto"/>
          <w:spacing w:val="57"/>
          <w:highlight w:val="none"/>
        </w:rPr>
      </w:pPr>
      <w:bookmarkStart w:id="597" w:name="_Toc19027"/>
      <w:bookmarkStart w:id="598" w:name="_Toc5505"/>
      <w:bookmarkStart w:id="599" w:name="_Toc26163"/>
      <w:bookmarkStart w:id="600" w:name="_Toc4306"/>
      <w:bookmarkStart w:id="601" w:name="_Toc9331"/>
      <w:bookmarkStart w:id="602" w:name="_Toc7281"/>
      <w:bookmarkStart w:id="603" w:name="_Toc9237"/>
      <w:bookmarkStart w:id="604" w:name="_Toc15373"/>
      <w:bookmarkStart w:id="605" w:name="_Toc12128"/>
      <w:bookmarkStart w:id="606" w:name="_Toc17151"/>
      <w:bookmarkStart w:id="607" w:name="_Toc9169"/>
      <w:bookmarkStart w:id="608" w:name="_Toc19059"/>
      <w:bookmarkStart w:id="609" w:name="_Toc1562"/>
      <w:bookmarkStart w:id="610" w:name="_Toc8835"/>
      <w:r>
        <w:rPr>
          <w:rFonts w:hint="eastAsia" w:ascii="黑体" w:hAnsi="黑体" w:eastAsia="黑体" w:cs="黑体"/>
          <w:color w:val="auto"/>
          <w:spacing w:val="57"/>
          <w:highlight w:val="none"/>
        </w:rPr>
        <w:t>第二卷</w:t>
      </w:r>
      <w:bookmarkEnd w:id="597"/>
      <w:bookmarkEnd w:id="598"/>
      <w:bookmarkEnd w:id="599"/>
      <w:bookmarkEnd w:id="600"/>
      <w:bookmarkEnd w:id="601"/>
      <w:bookmarkEnd w:id="602"/>
      <w:bookmarkEnd w:id="603"/>
      <w:bookmarkEnd w:id="604"/>
      <w:bookmarkEnd w:id="605"/>
      <w:bookmarkEnd w:id="606"/>
      <w:bookmarkEnd w:id="607"/>
    </w:p>
    <w:p>
      <w:pPr>
        <w:pStyle w:val="3"/>
        <w:outlineLvl w:val="0"/>
        <w:rPr>
          <w:color w:val="auto"/>
          <w:sz w:val="24"/>
          <w:highlight w:val="none"/>
        </w:rPr>
      </w:pPr>
      <w:bookmarkStart w:id="611" w:name="_Toc26846"/>
      <w:bookmarkStart w:id="612" w:name="_Toc21262"/>
      <w:bookmarkStart w:id="613" w:name="_Toc32514"/>
      <w:bookmarkStart w:id="614" w:name="_Toc8374"/>
      <w:bookmarkStart w:id="615" w:name="_Toc25584"/>
      <w:bookmarkStart w:id="616" w:name="_Toc27648"/>
      <w:bookmarkStart w:id="617" w:name="_Toc2133"/>
      <w:bookmarkStart w:id="618" w:name="_Toc31880"/>
      <w:bookmarkStart w:id="619" w:name="_Toc15942"/>
      <w:bookmarkStart w:id="620" w:name="_Toc9338"/>
      <w:bookmarkStart w:id="621" w:name="_Toc2843"/>
      <w:bookmarkStart w:id="622" w:name="_Toc13254"/>
      <w:bookmarkStart w:id="623" w:name="_Toc21434"/>
      <w:bookmarkStart w:id="624" w:name="_Toc13436"/>
      <w:r>
        <w:rPr>
          <w:rFonts w:hint="eastAsia"/>
          <w:color w:val="auto"/>
          <w:sz w:val="24"/>
          <w:highlight w:val="none"/>
        </w:rPr>
        <w:t>第五章</w:t>
      </w:r>
      <w:r>
        <w:rPr>
          <w:color w:val="auto"/>
          <w:sz w:val="24"/>
          <w:highlight w:val="none"/>
        </w:rPr>
        <w:t xml:space="preserve">  </w:t>
      </w:r>
      <w:r>
        <w:rPr>
          <w:rFonts w:hint="eastAsia"/>
          <w:color w:val="auto"/>
          <w:sz w:val="24"/>
          <w:highlight w:val="none"/>
        </w:rPr>
        <w:t>委托人要求</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highlight w:val="none"/>
        </w:rPr>
      </w:pPr>
      <w:bookmarkStart w:id="625" w:name="_Toc892"/>
      <w:bookmarkStart w:id="626" w:name="_Toc20187"/>
      <w:bookmarkStart w:id="627" w:name="_Toc32522"/>
      <w:bookmarkStart w:id="628" w:name="_Toc697"/>
      <w:bookmarkStart w:id="629" w:name="_Toc1444"/>
      <w:bookmarkStart w:id="630" w:name="_Toc9576"/>
      <w:bookmarkStart w:id="631" w:name="_Toc28731"/>
      <w:bookmarkStart w:id="632" w:name="_Toc393961883"/>
      <w:r>
        <w:rPr>
          <w:rFonts w:hint="eastAsia" w:ascii="宋体" w:hAnsi="宋体" w:eastAsia="宋体" w:cs="宋体"/>
          <w:b/>
          <w:bCs/>
          <w:color w:val="auto"/>
          <w:highlight w:val="none"/>
        </w:rPr>
        <w:t>一、监理要求</w:t>
      </w:r>
      <w:bookmarkEnd w:id="625"/>
      <w:bookmarkEnd w:id="626"/>
      <w:bookmarkEnd w:id="627"/>
      <w:bookmarkEnd w:id="628"/>
    </w:p>
    <w:p>
      <w:pPr>
        <w:spacing w:line="360" w:lineRule="auto"/>
        <w:outlineLvl w:val="2"/>
        <w:rPr>
          <w:rFonts w:hint="eastAsia" w:ascii="宋体" w:hAnsi="宋体" w:eastAsia="宋体" w:cs="宋体"/>
          <w:b/>
          <w:bCs/>
          <w:color w:val="auto"/>
          <w:highlight w:val="none"/>
        </w:rPr>
      </w:pPr>
      <w:bookmarkStart w:id="633" w:name="_Toc15268"/>
      <w:bookmarkStart w:id="634" w:name="_Toc22500"/>
      <w:bookmarkStart w:id="635" w:name="_Toc26111"/>
      <w:r>
        <w:rPr>
          <w:rFonts w:hint="eastAsia" w:ascii="宋体" w:hAnsi="宋体" w:eastAsia="宋体" w:cs="宋体"/>
          <w:b/>
          <w:bCs/>
          <w:color w:val="auto"/>
          <w:highlight w:val="none"/>
        </w:rPr>
        <w:t>1. 项目概况：</w:t>
      </w:r>
      <w:bookmarkEnd w:id="633"/>
      <w:bookmarkEnd w:id="634"/>
      <w:bookmarkEnd w:id="635"/>
    </w:p>
    <w:p>
      <w:pPr>
        <w:spacing w:line="360" w:lineRule="auto"/>
        <w:ind w:firstLine="420" w:firstLineChars="200"/>
        <w:outlineLvl w:val="3"/>
        <w:rPr>
          <w:rFonts w:hint="eastAsia" w:ascii="宋体" w:hAnsi="宋体" w:eastAsia="宋体" w:cs="宋体"/>
          <w:bCs/>
          <w:color w:val="auto"/>
          <w:highlight w:val="none"/>
          <w:u w:val="single"/>
          <w:lang w:eastAsia="zh-CN"/>
        </w:rPr>
      </w:pPr>
      <w:r>
        <w:rPr>
          <w:rFonts w:hint="eastAsia" w:ascii="宋体" w:hAnsi="宋体" w:eastAsia="宋体" w:cs="宋体"/>
          <w:color w:val="auto"/>
          <w:highlight w:val="none"/>
        </w:rPr>
        <w:t>1.1项目名称：</w:t>
      </w:r>
      <w:r>
        <w:rPr>
          <w:rFonts w:hint="eastAsia" w:ascii="宋体" w:hAnsi="宋体" w:cs="宋体"/>
          <w:bCs/>
          <w:color w:val="auto"/>
          <w:highlight w:val="none"/>
          <w:u w:val="single"/>
          <w:lang w:eastAsia="zh-CN"/>
        </w:rPr>
        <w:t>岭南集团食品产业基地项目施工监理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建设规模：项目总占地面积约26295平方米，容积率2.52，总建筑面积67030平方米；其中预制烘焙产品生产车间（5F）19800平方米，小包装油生产车间（5F）11000平方米，科创中心（11F）11330平方米，油泵房300平方米，装卸区罩棚2000平方米，预留二期建设食品工厂（6F）19200平方米，油脂精炼生产车间（4F）3400平方米。</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主要建设内容；1.建设年生产规模为6,000吨烘焙预拌粉、6,000吨烘焙产品的生产线，及建设配套产能的包装车间；2.建设年设计产能为47,400吨的食用油生产线，包括植物油罐装生产线、包装车间，及配套产能的储存设施；建设科创中心。（最终以规划行政部门和报批报建批复为准）。</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1.3建设地点：</w:t>
      </w:r>
      <w:r>
        <w:rPr>
          <w:rFonts w:hint="eastAsia" w:ascii="宋体" w:hAnsi="宋体" w:eastAsia="宋体" w:cs="宋体"/>
          <w:color w:val="auto"/>
          <w:highlight w:val="none"/>
          <w:u w:val="single"/>
        </w:rPr>
        <w:t>广州市南沙区横沥镇广州市粮食储备加工中心南侧。</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本次招标监理服务期：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从中标通知书发出之日起算，至本项目工程</w:t>
      </w:r>
      <w:r>
        <w:rPr>
          <w:rFonts w:hint="eastAsia" w:ascii="宋体" w:hAnsi="宋体" w:eastAsia="宋体" w:cs="宋体"/>
          <w:color w:val="auto"/>
          <w:szCs w:val="21"/>
          <w:highlight w:val="none"/>
          <w:lang w:val="en-US" w:eastAsia="zh-CN"/>
        </w:rPr>
        <w:t>全部内容的</w:t>
      </w:r>
      <w:r>
        <w:rPr>
          <w:rFonts w:hint="eastAsia" w:ascii="宋体" w:hAnsi="宋体" w:eastAsia="宋体" w:cs="宋体"/>
          <w:color w:val="auto"/>
          <w:szCs w:val="21"/>
          <w:highlight w:val="none"/>
        </w:rPr>
        <w:t>保修期结束且本合同工程结算金额经招标人审定之日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以两者较晚时间为准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工程质量标准：合格</w:t>
      </w:r>
      <w:r>
        <w:rPr>
          <w:rFonts w:hint="eastAsia" w:ascii="宋体" w:hAnsi="宋体" w:cs="宋体"/>
          <w:color w:val="auto"/>
          <w:szCs w:val="21"/>
          <w:highlight w:val="none"/>
          <w:lang w:eastAsia="zh-CN"/>
        </w:rPr>
        <w:t>，打造高质量精品样板工程，确保获得“市级工程优质奖项”，争创“省级工程优质奖项”。</w:t>
      </w:r>
    </w:p>
    <w:p>
      <w:pPr>
        <w:numPr>
          <w:ilvl w:val="0"/>
          <w:numId w:val="3"/>
        </w:numPr>
        <w:spacing w:line="360" w:lineRule="auto"/>
        <w:outlineLvl w:val="2"/>
        <w:rPr>
          <w:rFonts w:hint="eastAsia" w:ascii="宋体" w:hAnsi="宋体" w:eastAsia="宋体" w:cs="宋体"/>
          <w:b/>
          <w:bCs/>
          <w:color w:val="auto"/>
          <w:highlight w:val="none"/>
        </w:rPr>
      </w:pPr>
      <w:bookmarkStart w:id="636" w:name="_Toc31104"/>
      <w:bookmarkStart w:id="637" w:name="_Toc8495"/>
      <w:bookmarkStart w:id="638" w:name="_Toc15276"/>
      <w:r>
        <w:rPr>
          <w:rFonts w:hint="eastAsia" w:ascii="宋体" w:hAnsi="宋体" w:eastAsia="宋体" w:cs="宋体"/>
          <w:b/>
          <w:bCs/>
          <w:color w:val="auto"/>
          <w:highlight w:val="none"/>
        </w:rPr>
        <w:t>监理范围及内容</w:t>
      </w:r>
      <w:bookmarkEnd w:id="636"/>
      <w:bookmarkEnd w:id="637"/>
      <w:bookmarkEnd w:id="638"/>
    </w:p>
    <w:p>
      <w:pPr>
        <w:spacing w:line="360" w:lineRule="auto"/>
        <w:ind w:firstLine="422" w:firstLineChars="200"/>
        <w:outlineLvl w:val="2"/>
        <w:rPr>
          <w:rFonts w:hint="default" w:ascii="宋体" w:hAnsi="宋体" w:eastAsia="宋体" w:cs="宋体"/>
          <w:color w:val="auto"/>
          <w:sz w:val="21"/>
          <w:highlight w:val="none"/>
          <w:lang w:val="en-US" w:eastAsia="zh-CN"/>
        </w:rPr>
      </w:pPr>
      <w:bookmarkStart w:id="639" w:name="_Toc5027"/>
      <w:bookmarkStart w:id="640" w:name="_Toc14431"/>
      <w:r>
        <w:rPr>
          <w:rFonts w:hint="eastAsia" w:ascii="宋体" w:hAnsi="宋体" w:cs="宋体"/>
          <w:b/>
          <w:bCs/>
          <w:color w:val="auto"/>
          <w:highlight w:val="none"/>
          <w:lang w:val="en-US" w:eastAsia="zh-CN"/>
        </w:rPr>
        <w:t>详见合同</w:t>
      </w:r>
      <w:bookmarkEnd w:id="639"/>
      <w:bookmarkEnd w:id="640"/>
    </w:p>
    <w:p>
      <w:pPr>
        <w:pStyle w:val="6"/>
        <w:spacing w:line="360" w:lineRule="auto"/>
        <w:ind w:firstLine="0"/>
        <w:outlineLvl w:val="2"/>
        <w:rPr>
          <w:rFonts w:hint="eastAsia" w:ascii="宋体" w:hAnsi="宋体" w:eastAsia="宋体" w:cs="宋体"/>
          <w:b/>
          <w:bCs/>
          <w:color w:val="auto"/>
          <w:highlight w:val="none"/>
        </w:rPr>
      </w:pPr>
      <w:bookmarkStart w:id="641" w:name="_Toc20504"/>
      <w:bookmarkStart w:id="642" w:name="_Toc9755"/>
      <w:bookmarkStart w:id="643" w:name="_Toc13233"/>
      <w:r>
        <w:rPr>
          <w:rFonts w:hint="eastAsia" w:ascii="宋体" w:hAnsi="宋体" w:eastAsia="宋体" w:cs="宋体"/>
          <w:b/>
          <w:bCs/>
          <w:color w:val="auto"/>
          <w:highlight w:val="none"/>
        </w:rPr>
        <w:t>3.监理依据</w:t>
      </w:r>
      <w:bookmarkEnd w:id="641"/>
      <w:bookmarkEnd w:id="642"/>
      <w:bookmarkEnd w:id="643"/>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（1）国家有关法律、法规、规章及规范性文件；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（2）国家有关技术标准、规范及规程；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（3）监理合同及其他有关合同文件；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（4）工程勘察、设计文件；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（5）与工程项目有关的函件。</w:t>
      </w:r>
    </w:p>
    <w:p>
      <w:pPr>
        <w:spacing w:line="360" w:lineRule="auto"/>
        <w:outlineLvl w:val="2"/>
        <w:rPr>
          <w:rFonts w:hint="eastAsia" w:ascii="宋体" w:hAnsi="宋体" w:eastAsia="宋体" w:cs="宋体"/>
          <w:b/>
          <w:bCs/>
          <w:color w:val="auto"/>
          <w:highlight w:val="none"/>
        </w:rPr>
      </w:pPr>
      <w:bookmarkStart w:id="644" w:name="_Toc4831"/>
      <w:bookmarkStart w:id="645" w:name="_Toc760"/>
      <w:bookmarkStart w:id="646" w:name="_Toc29722"/>
      <w:r>
        <w:rPr>
          <w:rFonts w:hint="eastAsia" w:ascii="宋体" w:hAnsi="宋体" w:eastAsia="宋体" w:cs="宋体"/>
          <w:b/>
          <w:bCs/>
          <w:color w:val="auto"/>
          <w:highlight w:val="none"/>
        </w:rPr>
        <w:t>4.其他要求</w:t>
      </w:r>
      <w:bookmarkEnd w:id="644"/>
      <w:bookmarkEnd w:id="645"/>
      <w:bookmarkEnd w:id="646"/>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详见本招标文件的第一章投标人须知和本工程委托监理合同的相关约定。</w:t>
      </w:r>
    </w:p>
    <w:p>
      <w:pPr>
        <w:spacing w:line="360" w:lineRule="auto"/>
        <w:outlineLvl w:val="2"/>
        <w:rPr>
          <w:rFonts w:hint="eastAsia" w:ascii="宋体" w:hAnsi="宋体" w:eastAsia="宋体" w:cs="宋体"/>
          <w:b/>
          <w:bCs/>
          <w:color w:val="auto"/>
          <w:highlight w:val="none"/>
        </w:rPr>
      </w:pPr>
      <w:bookmarkStart w:id="647" w:name="_Toc15464"/>
      <w:bookmarkStart w:id="648" w:name="_Toc22504"/>
      <w:bookmarkStart w:id="649" w:name="_Toc1468"/>
      <w:r>
        <w:rPr>
          <w:rFonts w:hint="eastAsia" w:ascii="宋体" w:hAnsi="宋体" w:eastAsia="宋体" w:cs="宋体"/>
          <w:b/>
          <w:bCs/>
          <w:color w:val="auto"/>
          <w:highlight w:val="none"/>
        </w:rPr>
        <w:t>5、适用规范标准</w:t>
      </w:r>
      <w:bookmarkEnd w:id="647"/>
      <w:bookmarkEnd w:id="648"/>
      <w:bookmarkEnd w:id="649"/>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《建设工程监理规范》及国家关于监理的法律、法规、规章及规范性文件。</w:t>
      </w:r>
    </w:p>
    <w:p>
      <w:pPr>
        <w:spacing w:line="360" w:lineRule="auto"/>
        <w:outlineLvl w:val="2"/>
        <w:rPr>
          <w:rFonts w:hint="eastAsia" w:ascii="宋体" w:hAnsi="宋体" w:eastAsia="宋体" w:cs="宋体"/>
          <w:b/>
          <w:bCs/>
          <w:color w:val="auto"/>
          <w:highlight w:val="none"/>
        </w:rPr>
      </w:pPr>
      <w:bookmarkStart w:id="650" w:name="_Toc17166"/>
      <w:bookmarkStart w:id="651" w:name="_Toc7974"/>
      <w:bookmarkStart w:id="652" w:name="_Toc28378"/>
      <w:r>
        <w:rPr>
          <w:rFonts w:hint="eastAsia" w:ascii="宋体" w:hAnsi="宋体" w:eastAsia="宋体" w:cs="宋体"/>
          <w:b/>
          <w:bCs/>
          <w:color w:val="auto"/>
          <w:highlight w:val="none"/>
        </w:rPr>
        <w:t>6、监理人需要自备的工作条件</w:t>
      </w:r>
      <w:bookmarkEnd w:id="650"/>
      <w:bookmarkEnd w:id="651"/>
      <w:bookmarkEnd w:id="652"/>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监理人员的生活用品、交通工具、通讯、办公用品、监理用具、保险等必备用品由监理人自行解决，在投标报价时应考虑此费用。</w:t>
      </w:r>
    </w:p>
    <w:p>
      <w:pPr>
        <w:spacing w:line="360" w:lineRule="auto"/>
        <w:rPr>
          <w:color w:val="auto"/>
          <w:highlight w:val="none"/>
        </w:rPr>
      </w:pPr>
      <w:r>
        <w:rPr>
          <w:color w:val="auto"/>
          <w:highlight w:val="none"/>
        </w:rPr>
        <w:br w:type="page"/>
      </w:r>
      <w:bookmarkStart w:id="653" w:name="_Toc2044"/>
      <w:bookmarkStart w:id="654" w:name="_Toc18043"/>
      <w:bookmarkStart w:id="655" w:name="_Toc12619"/>
      <w:bookmarkStart w:id="656" w:name="_Toc32471"/>
      <w:bookmarkStart w:id="657" w:name="_Toc28976"/>
      <w:bookmarkStart w:id="658" w:name="_Toc514170140"/>
      <w:bookmarkStart w:id="659" w:name="_Toc32612"/>
      <w:bookmarkStart w:id="660" w:name="_Toc32030"/>
    </w:p>
    <w:p>
      <w:pPr>
        <w:pStyle w:val="2"/>
        <w:rPr>
          <w:rFonts w:ascii="黑体" w:hAnsi="黑体" w:eastAsia="黑体" w:cs="黑体"/>
          <w:color w:val="auto"/>
          <w:spacing w:val="57"/>
          <w:highlight w:val="none"/>
        </w:rPr>
      </w:pPr>
      <w:bookmarkStart w:id="661" w:name="_Toc21935"/>
      <w:bookmarkStart w:id="662" w:name="_Toc30647"/>
      <w:bookmarkStart w:id="663" w:name="_Toc6731"/>
      <w:bookmarkStart w:id="664" w:name="_Toc27934"/>
      <w:bookmarkStart w:id="665" w:name="_Toc13596"/>
      <w:bookmarkStart w:id="666" w:name="_Toc2831"/>
      <w:bookmarkStart w:id="667" w:name="_Toc20317"/>
      <w:bookmarkStart w:id="668" w:name="_Toc12225"/>
      <w:bookmarkStart w:id="669" w:name="_Toc4309"/>
      <w:bookmarkStart w:id="670" w:name="_Toc20672"/>
      <w:bookmarkStart w:id="671" w:name="_Toc14858"/>
      <w:bookmarkStart w:id="672" w:name="_Toc22749"/>
      <w:bookmarkStart w:id="673" w:name="_Toc26821"/>
      <w:bookmarkStart w:id="674" w:name="_Toc20006"/>
      <w:r>
        <w:rPr>
          <w:rFonts w:hint="eastAsia" w:ascii="黑体" w:hAnsi="黑体" w:eastAsia="黑体" w:cs="黑体"/>
          <w:color w:val="auto"/>
          <w:spacing w:val="57"/>
          <w:highlight w:val="none"/>
        </w:rPr>
        <w:t>第三卷</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pPr>
        <w:pStyle w:val="3"/>
        <w:outlineLvl w:val="0"/>
        <w:rPr>
          <w:color w:val="auto"/>
          <w:szCs w:val="32"/>
          <w:highlight w:val="none"/>
        </w:rPr>
      </w:pPr>
      <w:bookmarkStart w:id="675" w:name="_Toc8508"/>
      <w:bookmarkStart w:id="676" w:name="_Toc15156"/>
      <w:bookmarkStart w:id="677" w:name="_Toc24279"/>
      <w:bookmarkStart w:id="678" w:name="_Toc7373"/>
      <w:bookmarkStart w:id="679" w:name="_Toc6598"/>
      <w:bookmarkStart w:id="680" w:name="_Toc27514"/>
      <w:bookmarkStart w:id="681" w:name="_Toc5969"/>
      <w:bookmarkStart w:id="682" w:name="_Toc26427"/>
      <w:bookmarkStart w:id="683" w:name="_Toc24907"/>
      <w:bookmarkStart w:id="684" w:name="_Toc13401"/>
      <w:bookmarkStart w:id="685" w:name="_Toc15837"/>
      <w:bookmarkStart w:id="686" w:name="_Toc28623"/>
      <w:bookmarkStart w:id="687" w:name="_Toc319"/>
      <w:bookmarkStart w:id="688" w:name="_Toc15035"/>
      <w:r>
        <w:rPr>
          <w:rFonts w:hint="eastAsia"/>
          <w:color w:val="auto"/>
          <w:szCs w:val="32"/>
          <w:highlight w:val="none"/>
        </w:rPr>
        <w:t>第六章</w:t>
      </w:r>
      <w:r>
        <w:rPr>
          <w:color w:val="auto"/>
          <w:szCs w:val="32"/>
          <w:highlight w:val="none"/>
        </w:rPr>
        <w:t xml:space="preserve">  </w:t>
      </w:r>
      <w:r>
        <w:rPr>
          <w:rFonts w:hint="eastAsia"/>
          <w:color w:val="auto"/>
          <w:szCs w:val="32"/>
          <w:highlight w:val="none"/>
        </w:rPr>
        <w:t>投标文件格式</w:t>
      </w:r>
      <w:bookmarkEnd w:id="629"/>
      <w:bookmarkEnd w:id="630"/>
      <w:bookmarkEnd w:id="631"/>
      <w:bookmarkEnd w:id="632"/>
      <w:bookmarkEnd w:id="653"/>
      <w:bookmarkEnd w:id="654"/>
      <w:bookmarkEnd w:id="655"/>
      <w:bookmarkEnd w:id="656"/>
      <w:bookmarkEnd w:id="657"/>
      <w:bookmarkEnd w:id="658"/>
      <w:bookmarkEnd w:id="659"/>
      <w:bookmarkEnd w:id="660"/>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pPr>
        <w:rPr>
          <w:rFonts w:ascii="宋体" w:hAnsi="宋体"/>
          <w:color w:val="auto"/>
          <w:sz w:val="20"/>
          <w:highlight w:val="none"/>
        </w:rPr>
      </w:pPr>
      <w:r>
        <w:rPr>
          <w:rFonts w:hint="eastAsia" w:ascii="宋体" w:hAnsi="宋体"/>
          <w:color w:val="auto"/>
          <w:szCs w:val="21"/>
          <w:highlight w:val="none"/>
        </w:rPr>
        <w:t xml:space="preserve"> </w:t>
      </w:r>
      <w:r>
        <w:rPr>
          <w:rFonts w:hint="eastAsia" w:ascii="宋体" w:hAnsi="宋体"/>
          <w:color w:val="auto"/>
          <w:szCs w:val="21"/>
          <w:highlight w:val="none"/>
        </w:rPr>
        <w:br w:type="page"/>
      </w:r>
    </w:p>
    <w:p>
      <w:pPr>
        <w:keepNext w:val="0"/>
        <w:keepLines w:val="0"/>
        <w:pageBreakBefore w:val="0"/>
        <w:widowControl w:val="0"/>
        <w:tabs>
          <w:tab w:val="left" w:pos="4390"/>
        </w:tabs>
        <w:kinsoku/>
        <w:wordWrap/>
        <w:overflowPunct/>
        <w:topLinePunct w:val="0"/>
        <w:autoSpaceDE/>
        <w:autoSpaceDN/>
        <w:bidi w:val="0"/>
        <w:adjustRightInd/>
        <w:snapToGrid/>
        <w:ind w:right="-23"/>
        <w:jc w:val="center"/>
        <w:textAlignment w:val="auto"/>
        <w:outlineLvl w:val="1"/>
        <w:rPr>
          <w:rFonts w:ascii="宋体" w:hAnsi="宋体"/>
          <w:color w:val="auto"/>
          <w:sz w:val="28"/>
          <w:highlight w:val="none"/>
        </w:rPr>
      </w:pPr>
      <w:r>
        <w:rPr>
          <w:rFonts w:hint="eastAsia" w:ascii="宋体" w:hAnsi="宋体"/>
          <w:color w:val="auto"/>
          <w:position w:val="-3"/>
          <w:sz w:val="44"/>
          <w:highlight w:val="none"/>
          <w:u w:val="single"/>
        </w:rPr>
        <w:t xml:space="preserve">        </w:t>
      </w:r>
      <w:bookmarkStart w:id="689" w:name="_Toc31771"/>
      <w:bookmarkStart w:id="690" w:name="_Toc4352"/>
      <w:bookmarkStart w:id="691" w:name="_Toc7069"/>
      <w:bookmarkStart w:id="692" w:name="_Toc6646"/>
      <w:r>
        <w:rPr>
          <w:rFonts w:ascii="宋体" w:hAnsi="宋体"/>
          <w:color w:val="auto"/>
          <w:position w:val="-3"/>
          <w:sz w:val="44"/>
          <w:highlight w:val="none"/>
        </w:rPr>
        <w:t>（项目</w:t>
      </w:r>
      <w:r>
        <w:rPr>
          <w:rFonts w:ascii="宋体" w:hAnsi="宋体"/>
          <w:color w:val="auto"/>
          <w:spacing w:val="-3"/>
          <w:position w:val="-3"/>
          <w:sz w:val="44"/>
          <w:highlight w:val="none"/>
        </w:rPr>
        <w:t>名</w:t>
      </w:r>
      <w:r>
        <w:rPr>
          <w:rFonts w:ascii="宋体" w:hAnsi="宋体"/>
          <w:color w:val="auto"/>
          <w:position w:val="-3"/>
          <w:sz w:val="44"/>
          <w:highlight w:val="none"/>
        </w:rPr>
        <w:t>称）招标</w:t>
      </w:r>
      <w:r>
        <w:rPr>
          <w:rFonts w:ascii="宋体" w:hAnsi="宋体"/>
          <w:color w:val="auto"/>
          <w:spacing w:val="-3"/>
          <w:position w:val="-3"/>
          <w:sz w:val="44"/>
          <w:highlight w:val="none"/>
        </w:rPr>
        <w:t>项</w:t>
      </w:r>
      <w:r>
        <w:rPr>
          <w:rFonts w:ascii="宋体" w:hAnsi="宋体"/>
          <w:color w:val="auto"/>
          <w:position w:val="-3"/>
          <w:sz w:val="44"/>
          <w:highlight w:val="none"/>
        </w:rPr>
        <w:t>目</w:t>
      </w:r>
      <w:bookmarkEnd w:id="689"/>
      <w:bookmarkEnd w:id="690"/>
      <w:bookmarkEnd w:id="691"/>
      <w:bookmarkEnd w:id="692"/>
    </w:p>
    <w:p>
      <w:pPr>
        <w:spacing w:before="7" w:line="100" w:lineRule="exact"/>
        <w:jc w:val="left"/>
        <w:rPr>
          <w:rFonts w:ascii="宋体" w:hAnsi="宋体"/>
          <w:color w:val="auto"/>
          <w:sz w:val="1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tabs>
          <w:tab w:val="left" w:pos="3780"/>
          <w:tab w:val="left" w:pos="4440"/>
          <w:tab w:val="left" w:pos="5100"/>
        </w:tabs>
        <w:spacing w:line="549" w:lineRule="exact"/>
        <w:ind w:left="3138" w:right="3116"/>
        <w:jc w:val="center"/>
        <w:rPr>
          <w:rFonts w:ascii="宋体" w:hAnsi="宋体"/>
          <w:color w:val="auto"/>
          <w:sz w:val="44"/>
          <w:highlight w:val="none"/>
        </w:rPr>
      </w:pPr>
    </w:p>
    <w:p>
      <w:pPr>
        <w:tabs>
          <w:tab w:val="left" w:pos="3780"/>
          <w:tab w:val="left" w:pos="4440"/>
          <w:tab w:val="left" w:pos="5100"/>
        </w:tabs>
        <w:spacing w:line="549" w:lineRule="exact"/>
        <w:ind w:left="3138" w:right="3116"/>
        <w:jc w:val="center"/>
        <w:rPr>
          <w:rFonts w:ascii="宋体" w:hAnsi="宋体"/>
          <w:color w:val="auto"/>
          <w:sz w:val="44"/>
          <w:highlight w:val="none"/>
        </w:rPr>
      </w:pPr>
    </w:p>
    <w:p>
      <w:pPr>
        <w:tabs>
          <w:tab w:val="left" w:pos="3780"/>
          <w:tab w:val="left" w:pos="4440"/>
          <w:tab w:val="left" w:pos="5100"/>
        </w:tabs>
        <w:spacing w:line="549" w:lineRule="exact"/>
        <w:ind w:left="3138" w:right="3116"/>
        <w:jc w:val="center"/>
        <w:rPr>
          <w:rFonts w:ascii="宋体" w:hAnsi="宋体"/>
          <w:color w:val="auto"/>
          <w:sz w:val="44"/>
          <w:highlight w:val="none"/>
        </w:rPr>
      </w:pPr>
    </w:p>
    <w:p>
      <w:pPr>
        <w:tabs>
          <w:tab w:val="left" w:pos="3780"/>
          <w:tab w:val="left" w:pos="4440"/>
          <w:tab w:val="left" w:pos="5100"/>
        </w:tabs>
        <w:spacing w:line="549" w:lineRule="exact"/>
        <w:ind w:left="3138" w:right="3116"/>
        <w:jc w:val="center"/>
        <w:rPr>
          <w:rFonts w:ascii="宋体" w:hAnsi="宋体"/>
          <w:color w:val="auto"/>
          <w:sz w:val="44"/>
          <w:highlight w:val="none"/>
        </w:rPr>
      </w:pPr>
    </w:p>
    <w:p>
      <w:pPr>
        <w:tabs>
          <w:tab w:val="left" w:pos="3780"/>
          <w:tab w:val="left" w:pos="4440"/>
          <w:tab w:val="left" w:pos="5100"/>
        </w:tabs>
        <w:spacing w:line="549" w:lineRule="exact"/>
        <w:ind w:left="3138" w:right="3116"/>
        <w:jc w:val="center"/>
        <w:rPr>
          <w:rFonts w:ascii="宋体" w:hAnsi="宋体"/>
          <w:color w:val="auto"/>
          <w:sz w:val="44"/>
          <w:highlight w:val="none"/>
        </w:rPr>
      </w:pPr>
    </w:p>
    <w:p>
      <w:pPr>
        <w:tabs>
          <w:tab w:val="left" w:pos="3780"/>
          <w:tab w:val="left" w:pos="4440"/>
          <w:tab w:val="left" w:pos="5100"/>
        </w:tabs>
        <w:spacing w:line="549" w:lineRule="exact"/>
        <w:ind w:left="3138" w:right="3116"/>
        <w:jc w:val="center"/>
        <w:rPr>
          <w:rFonts w:ascii="宋体" w:hAnsi="宋体"/>
          <w:color w:val="auto"/>
          <w:sz w:val="44"/>
          <w:highlight w:val="none"/>
        </w:rPr>
      </w:pPr>
    </w:p>
    <w:p>
      <w:pPr>
        <w:tabs>
          <w:tab w:val="left" w:pos="3780"/>
          <w:tab w:val="left" w:pos="4440"/>
          <w:tab w:val="left" w:pos="5100"/>
        </w:tabs>
        <w:spacing w:line="549" w:lineRule="exact"/>
        <w:ind w:left="3138" w:right="3116"/>
        <w:jc w:val="center"/>
        <w:rPr>
          <w:rFonts w:ascii="宋体" w:hAnsi="宋体"/>
          <w:color w:val="auto"/>
          <w:sz w:val="44"/>
          <w:highlight w:val="none"/>
        </w:rPr>
      </w:pPr>
    </w:p>
    <w:p>
      <w:pPr>
        <w:tabs>
          <w:tab w:val="left" w:pos="3780"/>
          <w:tab w:val="left" w:pos="4440"/>
          <w:tab w:val="left" w:pos="5100"/>
        </w:tabs>
        <w:spacing w:line="549" w:lineRule="exact"/>
        <w:ind w:left="3138" w:right="3116"/>
        <w:jc w:val="center"/>
        <w:rPr>
          <w:rFonts w:ascii="宋体" w:hAnsi="宋体"/>
          <w:color w:val="auto"/>
          <w:sz w:val="44"/>
          <w:highlight w:val="none"/>
        </w:rPr>
      </w:pPr>
      <w:r>
        <w:rPr>
          <w:rFonts w:ascii="宋体" w:hAnsi="宋体"/>
          <w:color w:val="auto"/>
          <w:sz w:val="44"/>
          <w:highlight w:val="none"/>
        </w:rPr>
        <w:t>投</w:t>
      </w:r>
      <w:r>
        <w:rPr>
          <w:rFonts w:ascii="宋体" w:hAnsi="宋体"/>
          <w:color w:val="auto"/>
          <w:sz w:val="44"/>
          <w:highlight w:val="none"/>
        </w:rPr>
        <w:tab/>
      </w:r>
      <w:r>
        <w:rPr>
          <w:rFonts w:ascii="宋体" w:hAnsi="宋体"/>
          <w:color w:val="auto"/>
          <w:sz w:val="44"/>
          <w:highlight w:val="none"/>
        </w:rPr>
        <w:t>标</w:t>
      </w:r>
      <w:r>
        <w:rPr>
          <w:rFonts w:ascii="宋体" w:hAnsi="宋体"/>
          <w:color w:val="auto"/>
          <w:sz w:val="44"/>
          <w:highlight w:val="none"/>
        </w:rPr>
        <w:tab/>
      </w:r>
      <w:r>
        <w:rPr>
          <w:rFonts w:ascii="宋体" w:hAnsi="宋体"/>
          <w:color w:val="auto"/>
          <w:sz w:val="44"/>
          <w:highlight w:val="none"/>
        </w:rPr>
        <w:t>文</w:t>
      </w:r>
      <w:r>
        <w:rPr>
          <w:rFonts w:ascii="宋体" w:hAnsi="宋体"/>
          <w:color w:val="auto"/>
          <w:sz w:val="44"/>
          <w:highlight w:val="none"/>
        </w:rPr>
        <w:tab/>
      </w:r>
      <w:r>
        <w:rPr>
          <w:rFonts w:ascii="宋体" w:hAnsi="宋体"/>
          <w:color w:val="auto"/>
          <w:w w:val="99"/>
          <w:sz w:val="44"/>
          <w:highlight w:val="none"/>
        </w:rPr>
        <w:t>件</w:t>
      </w: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pStyle w:val="6"/>
        <w:ind w:firstLine="0"/>
        <w:rPr>
          <w:rFonts w:ascii="宋体" w:hAnsi="宋体"/>
          <w:color w:val="auto"/>
          <w:sz w:val="20"/>
          <w:highlight w:val="none"/>
        </w:rPr>
      </w:pPr>
    </w:p>
    <w:p>
      <w:pPr>
        <w:spacing w:line="200" w:lineRule="exact"/>
        <w:jc w:val="left"/>
        <w:rPr>
          <w:rFonts w:ascii="宋体" w:hAnsi="宋体"/>
          <w:color w:val="auto"/>
          <w:sz w:val="20"/>
          <w:highlight w:val="none"/>
        </w:rPr>
      </w:pPr>
    </w:p>
    <w:p>
      <w:pPr>
        <w:spacing w:before="17" w:line="240" w:lineRule="exact"/>
        <w:jc w:val="left"/>
        <w:rPr>
          <w:rFonts w:ascii="宋体" w:hAnsi="宋体"/>
          <w:color w:val="auto"/>
          <w:sz w:val="24"/>
          <w:highlight w:val="none"/>
        </w:rPr>
      </w:pPr>
    </w:p>
    <w:p>
      <w:pPr>
        <w:tabs>
          <w:tab w:val="left" w:pos="5560"/>
          <w:tab w:val="left" w:pos="6940"/>
        </w:tabs>
        <w:spacing w:line="540" w:lineRule="atLeast"/>
        <w:ind w:left="1201" w:right="85"/>
        <w:jc w:val="left"/>
        <w:rPr>
          <w:rFonts w:ascii="宋体" w:hAnsi="宋体"/>
          <w:color w:val="auto"/>
          <w:sz w:val="28"/>
          <w:highlight w:val="none"/>
        </w:rPr>
      </w:pPr>
      <w:r>
        <w:rPr>
          <w:rFonts w:ascii="宋体" w:hAnsi="宋体"/>
          <w:color w:val="auto"/>
          <w:sz w:val="28"/>
          <w:highlight w:val="none"/>
        </w:rPr>
        <w:t>投标人：</w:t>
      </w:r>
      <w:r>
        <w:rPr>
          <w:rFonts w:ascii="宋体" w:hAnsi="宋体"/>
          <w:color w:val="auto"/>
          <w:sz w:val="28"/>
          <w:highlight w:val="none"/>
          <w:u w:val="single"/>
        </w:rPr>
        <w:tab/>
      </w:r>
      <w:r>
        <w:rPr>
          <w:rFonts w:ascii="宋体" w:hAnsi="宋体"/>
          <w:color w:val="auto"/>
          <w:sz w:val="28"/>
          <w:highlight w:val="none"/>
          <w:u w:val="single"/>
        </w:rPr>
        <w:tab/>
      </w:r>
      <w:r>
        <w:rPr>
          <w:rFonts w:ascii="宋体" w:hAnsi="宋体"/>
          <w:color w:val="auto"/>
          <w:sz w:val="28"/>
          <w:highlight w:val="none"/>
        </w:rPr>
        <w:t>（盖</w:t>
      </w:r>
      <w:r>
        <w:rPr>
          <w:rFonts w:ascii="宋体" w:hAnsi="宋体"/>
          <w:color w:val="auto"/>
          <w:spacing w:val="-3"/>
          <w:sz w:val="28"/>
          <w:highlight w:val="none"/>
        </w:rPr>
        <w:t>单</w:t>
      </w:r>
      <w:r>
        <w:rPr>
          <w:rFonts w:ascii="宋体" w:hAnsi="宋体"/>
          <w:color w:val="auto"/>
          <w:sz w:val="28"/>
          <w:highlight w:val="none"/>
        </w:rPr>
        <w:t>位</w:t>
      </w:r>
      <w:r>
        <w:rPr>
          <w:rFonts w:ascii="宋体" w:hAnsi="宋体"/>
          <w:color w:val="auto"/>
          <w:spacing w:val="-3"/>
          <w:sz w:val="28"/>
          <w:highlight w:val="none"/>
        </w:rPr>
        <w:t>章</w:t>
      </w:r>
      <w:r>
        <w:rPr>
          <w:rFonts w:ascii="宋体" w:hAnsi="宋体"/>
          <w:color w:val="auto"/>
          <w:sz w:val="28"/>
          <w:highlight w:val="none"/>
        </w:rPr>
        <w:t>） 法定代</w:t>
      </w:r>
      <w:r>
        <w:rPr>
          <w:rFonts w:ascii="宋体" w:hAnsi="宋体"/>
          <w:color w:val="auto"/>
          <w:spacing w:val="-3"/>
          <w:sz w:val="28"/>
          <w:highlight w:val="none"/>
        </w:rPr>
        <w:t>表</w:t>
      </w:r>
      <w:r>
        <w:rPr>
          <w:rFonts w:ascii="宋体" w:hAnsi="宋体"/>
          <w:color w:val="auto"/>
          <w:sz w:val="28"/>
          <w:highlight w:val="none"/>
        </w:rPr>
        <w:t>人或</w:t>
      </w:r>
      <w:r>
        <w:rPr>
          <w:rFonts w:ascii="宋体" w:hAnsi="宋体"/>
          <w:color w:val="auto"/>
          <w:spacing w:val="-3"/>
          <w:sz w:val="28"/>
          <w:highlight w:val="none"/>
        </w:rPr>
        <w:t>其委</w:t>
      </w:r>
      <w:r>
        <w:rPr>
          <w:rFonts w:ascii="宋体" w:hAnsi="宋体"/>
          <w:color w:val="auto"/>
          <w:sz w:val="28"/>
          <w:highlight w:val="none"/>
        </w:rPr>
        <w:t>托代理</w:t>
      </w:r>
      <w:r>
        <w:rPr>
          <w:rFonts w:ascii="宋体" w:hAnsi="宋体"/>
          <w:color w:val="auto"/>
          <w:spacing w:val="-3"/>
          <w:sz w:val="28"/>
          <w:highlight w:val="none"/>
        </w:rPr>
        <w:t>人</w:t>
      </w:r>
      <w:r>
        <w:rPr>
          <w:rFonts w:ascii="宋体" w:hAnsi="宋体"/>
          <w:color w:val="auto"/>
          <w:spacing w:val="1"/>
          <w:sz w:val="28"/>
          <w:highlight w:val="none"/>
        </w:rPr>
        <w:t>：</w:t>
      </w:r>
      <w:r>
        <w:rPr>
          <w:rFonts w:ascii="宋体" w:hAnsi="宋体"/>
          <w:color w:val="auto"/>
          <w:sz w:val="28"/>
          <w:highlight w:val="none"/>
          <w:u w:val="single"/>
        </w:rPr>
        <w:tab/>
      </w:r>
      <w:r>
        <w:rPr>
          <w:rFonts w:ascii="宋体" w:hAnsi="宋体"/>
          <w:color w:val="auto"/>
          <w:spacing w:val="-3"/>
          <w:sz w:val="28"/>
          <w:highlight w:val="none"/>
        </w:rPr>
        <w:t>（</w:t>
      </w:r>
      <w:r>
        <w:rPr>
          <w:rFonts w:ascii="宋体" w:hAnsi="宋体"/>
          <w:color w:val="auto"/>
          <w:sz w:val="28"/>
          <w:highlight w:val="none"/>
        </w:rPr>
        <w:t>签字）</w:t>
      </w:r>
    </w:p>
    <w:p>
      <w:pPr>
        <w:spacing w:before="5" w:line="130" w:lineRule="exact"/>
        <w:jc w:val="left"/>
        <w:rPr>
          <w:rFonts w:ascii="宋体" w:hAnsi="宋体"/>
          <w:color w:val="auto"/>
          <w:sz w:val="13"/>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tabs>
          <w:tab w:val="left" w:pos="3600"/>
          <w:tab w:val="left" w:pos="4620"/>
          <w:tab w:val="left" w:pos="5640"/>
        </w:tabs>
        <w:spacing w:line="373" w:lineRule="exact"/>
        <w:ind w:left="2877" w:right="-20"/>
        <w:jc w:val="left"/>
        <w:rPr>
          <w:rFonts w:ascii="宋体" w:hAnsi="宋体"/>
          <w:color w:val="auto"/>
          <w:sz w:val="28"/>
          <w:highlight w:val="none"/>
        </w:rPr>
        <w:sectPr>
          <w:headerReference r:id="rId6" w:type="default"/>
          <w:footerReference r:id="rId7" w:type="default"/>
          <w:pgSz w:w="12240" w:h="15840"/>
          <w:pgMar w:top="1480" w:right="1718" w:bottom="919" w:left="1718" w:header="680" w:footer="721" w:gutter="0"/>
          <w:pgNumType w:fmt="decimal"/>
          <w:cols w:space="720" w:num="1"/>
          <w:docGrid w:linePitch="286" w:charSpace="0"/>
        </w:sectPr>
      </w:pPr>
      <w:r>
        <w:rPr>
          <w:rFonts w:ascii="宋体" w:hAnsi="宋体"/>
          <w:color w:val="auto"/>
          <w:w w:val="200"/>
          <w:sz w:val="28"/>
          <w:highlight w:val="none"/>
          <w:u w:val="single"/>
        </w:rPr>
        <w:t xml:space="preserve"> </w:t>
      </w:r>
      <w:r>
        <w:rPr>
          <w:rFonts w:ascii="宋体" w:hAnsi="宋体"/>
          <w:color w:val="auto"/>
          <w:sz w:val="28"/>
          <w:highlight w:val="none"/>
          <w:u w:val="single"/>
        </w:rPr>
        <w:tab/>
      </w:r>
      <w:r>
        <w:rPr>
          <w:rFonts w:ascii="宋体" w:hAnsi="宋体"/>
          <w:color w:val="auto"/>
          <w:spacing w:val="2"/>
          <w:sz w:val="28"/>
          <w:highlight w:val="none"/>
        </w:rPr>
        <w:t>年</w:t>
      </w:r>
      <w:r>
        <w:rPr>
          <w:rFonts w:ascii="宋体" w:hAnsi="宋体"/>
          <w:color w:val="auto"/>
          <w:sz w:val="28"/>
          <w:highlight w:val="none"/>
          <w:u w:val="single"/>
        </w:rPr>
        <w:t xml:space="preserve">  </w:t>
      </w:r>
      <w:r>
        <w:rPr>
          <w:rFonts w:ascii="宋体" w:hAnsi="宋体"/>
          <w:color w:val="auto"/>
          <w:sz w:val="28"/>
          <w:highlight w:val="none"/>
          <w:u w:val="single"/>
        </w:rPr>
        <w:tab/>
      </w:r>
      <w:r>
        <w:rPr>
          <w:rFonts w:ascii="宋体" w:hAnsi="宋体"/>
          <w:color w:val="auto"/>
          <w:spacing w:val="2"/>
          <w:sz w:val="28"/>
          <w:highlight w:val="none"/>
        </w:rPr>
        <w:t>月</w:t>
      </w:r>
      <w:r>
        <w:rPr>
          <w:rFonts w:ascii="宋体" w:hAnsi="宋体"/>
          <w:color w:val="auto"/>
          <w:sz w:val="28"/>
          <w:highlight w:val="none"/>
          <w:u w:val="single"/>
        </w:rPr>
        <w:t xml:space="preserve">  </w:t>
      </w:r>
      <w:r>
        <w:rPr>
          <w:rFonts w:ascii="宋体" w:hAnsi="宋体"/>
          <w:color w:val="auto"/>
          <w:sz w:val="28"/>
          <w:highlight w:val="none"/>
          <w:u w:val="single"/>
        </w:rPr>
        <w:tab/>
      </w:r>
      <w:r>
        <w:rPr>
          <w:rFonts w:ascii="宋体" w:hAnsi="宋体"/>
          <w:color w:val="auto"/>
          <w:sz w:val="28"/>
          <w:highlight w:val="none"/>
        </w:rPr>
        <w:t>日</w:t>
      </w:r>
    </w:p>
    <w:p>
      <w:pPr>
        <w:spacing w:line="427" w:lineRule="exact"/>
        <w:ind w:right="15"/>
        <w:jc w:val="center"/>
        <w:rPr>
          <w:rFonts w:ascii="宋体" w:hAnsi="宋体" w:cs="宋体"/>
          <w:b/>
          <w:bCs/>
          <w:color w:val="auto"/>
          <w:spacing w:val="2"/>
          <w:w w:val="99"/>
          <w:position w:val="-4"/>
          <w:sz w:val="32"/>
          <w:highlight w:val="none"/>
        </w:rPr>
      </w:pPr>
      <w:r>
        <w:rPr>
          <w:rFonts w:hint="eastAsia" w:ascii="宋体" w:hAnsi="宋体" w:cs="宋体"/>
          <w:b/>
          <w:bCs/>
          <w:color w:val="auto"/>
          <w:spacing w:val="2"/>
          <w:w w:val="99"/>
          <w:position w:val="-4"/>
          <w:sz w:val="32"/>
          <w:highlight w:val="none"/>
        </w:rPr>
        <w:t>目  录</w:t>
      </w:r>
    </w:p>
    <w:p>
      <w:pPr>
        <w:pStyle w:val="6"/>
        <w:rPr>
          <w:color w:val="auto"/>
          <w:highlight w:val="none"/>
        </w:rPr>
      </w:pPr>
    </w:p>
    <w:p>
      <w:pPr>
        <w:spacing w:before="6" w:line="130" w:lineRule="exact"/>
        <w:jc w:val="left"/>
        <w:rPr>
          <w:rFonts w:ascii="宋体" w:hAnsi="宋体"/>
          <w:color w:val="auto"/>
          <w:sz w:val="13"/>
          <w:highlight w:val="none"/>
        </w:rPr>
      </w:pPr>
    </w:p>
    <w:p>
      <w:pPr>
        <w:pStyle w:val="25"/>
        <w:numPr>
          <w:ilvl w:val="0"/>
          <w:numId w:val="4"/>
        </w:numPr>
        <w:spacing w:line="360" w:lineRule="auto"/>
        <w:ind w:left="0" w:firstLine="0" w:firstLineChars="0"/>
        <w:rPr>
          <w:rFonts w:ascii="宋体" w:hAnsi="宋体"/>
          <w:color w:val="auto"/>
          <w:sz w:val="28"/>
          <w:szCs w:val="28"/>
          <w:highlight w:val="none"/>
        </w:rPr>
      </w:pPr>
      <w:r>
        <w:rPr>
          <w:rFonts w:ascii="宋体" w:hAnsi="宋体"/>
          <w:color w:val="auto"/>
          <w:spacing w:val="-2"/>
          <w:position w:val="-1"/>
          <w:sz w:val="28"/>
          <w:szCs w:val="28"/>
          <w:highlight w:val="none"/>
        </w:rPr>
        <w:t>投</w:t>
      </w:r>
      <w:r>
        <w:rPr>
          <w:rFonts w:ascii="宋体" w:hAnsi="宋体"/>
          <w:color w:val="auto"/>
          <w:position w:val="-1"/>
          <w:sz w:val="28"/>
          <w:szCs w:val="28"/>
          <w:highlight w:val="none"/>
        </w:rPr>
        <w:t>标</w:t>
      </w:r>
      <w:r>
        <w:rPr>
          <w:rFonts w:ascii="宋体" w:hAnsi="宋体"/>
          <w:color w:val="auto"/>
          <w:spacing w:val="-2"/>
          <w:position w:val="-1"/>
          <w:sz w:val="28"/>
          <w:szCs w:val="28"/>
          <w:highlight w:val="none"/>
        </w:rPr>
        <w:t>函</w:t>
      </w:r>
      <w:r>
        <w:rPr>
          <w:rFonts w:ascii="宋体" w:hAnsi="宋体"/>
          <w:color w:val="auto"/>
          <w:position w:val="-1"/>
          <w:sz w:val="28"/>
          <w:szCs w:val="28"/>
          <w:highlight w:val="none"/>
        </w:rPr>
        <w:t>及</w:t>
      </w:r>
      <w:r>
        <w:rPr>
          <w:rFonts w:ascii="宋体" w:hAnsi="宋体"/>
          <w:color w:val="auto"/>
          <w:spacing w:val="-2"/>
          <w:position w:val="-1"/>
          <w:sz w:val="28"/>
          <w:szCs w:val="28"/>
          <w:highlight w:val="none"/>
        </w:rPr>
        <w:t>投</w:t>
      </w:r>
      <w:r>
        <w:rPr>
          <w:rFonts w:ascii="宋体" w:hAnsi="宋体"/>
          <w:color w:val="auto"/>
          <w:position w:val="-1"/>
          <w:sz w:val="28"/>
          <w:szCs w:val="28"/>
          <w:highlight w:val="none"/>
        </w:rPr>
        <w:t>标</w:t>
      </w:r>
      <w:r>
        <w:rPr>
          <w:rFonts w:ascii="宋体" w:hAnsi="宋体"/>
          <w:color w:val="auto"/>
          <w:spacing w:val="-2"/>
          <w:position w:val="-1"/>
          <w:sz w:val="28"/>
          <w:szCs w:val="28"/>
          <w:highlight w:val="none"/>
        </w:rPr>
        <w:t>函</w:t>
      </w:r>
      <w:r>
        <w:rPr>
          <w:rFonts w:ascii="宋体" w:hAnsi="宋体"/>
          <w:color w:val="auto"/>
          <w:position w:val="-1"/>
          <w:sz w:val="28"/>
          <w:szCs w:val="28"/>
          <w:highlight w:val="none"/>
        </w:rPr>
        <w:t>附录</w:t>
      </w:r>
    </w:p>
    <w:p>
      <w:pPr>
        <w:numPr>
          <w:ilvl w:val="0"/>
          <w:numId w:val="4"/>
        </w:numPr>
        <w:spacing w:line="360" w:lineRule="auto"/>
        <w:ind w:left="0" w:firstLine="0"/>
        <w:jc w:val="left"/>
        <w:rPr>
          <w:rFonts w:ascii="宋体" w:hAnsi="宋体"/>
          <w:color w:val="auto"/>
          <w:sz w:val="28"/>
          <w:szCs w:val="28"/>
          <w:highlight w:val="none"/>
        </w:rPr>
      </w:pPr>
      <w:r>
        <w:rPr>
          <w:rFonts w:ascii="宋体" w:hAnsi="宋体"/>
          <w:color w:val="auto"/>
          <w:spacing w:val="-2"/>
          <w:sz w:val="28"/>
          <w:szCs w:val="28"/>
          <w:highlight w:val="none"/>
        </w:rPr>
        <w:t>法</w:t>
      </w:r>
      <w:r>
        <w:rPr>
          <w:rFonts w:ascii="宋体" w:hAnsi="宋体"/>
          <w:color w:val="auto"/>
          <w:sz w:val="28"/>
          <w:szCs w:val="28"/>
          <w:highlight w:val="none"/>
        </w:rPr>
        <w:t>定</w:t>
      </w:r>
      <w:r>
        <w:rPr>
          <w:rFonts w:ascii="宋体" w:hAnsi="宋体"/>
          <w:color w:val="auto"/>
          <w:spacing w:val="-2"/>
          <w:sz w:val="28"/>
          <w:szCs w:val="28"/>
          <w:highlight w:val="none"/>
        </w:rPr>
        <w:t>代</w:t>
      </w:r>
      <w:r>
        <w:rPr>
          <w:rFonts w:ascii="宋体" w:hAnsi="宋体"/>
          <w:color w:val="auto"/>
          <w:sz w:val="28"/>
          <w:szCs w:val="28"/>
          <w:highlight w:val="none"/>
        </w:rPr>
        <w:t>表</w:t>
      </w:r>
      <w:r>
        <w:rPr>
          <w:rFonts w:ascii="宋体" w:hAnsi="宋体"/>
          <w:color w:val="auto"/>
          <w:spacing w:val="-2"/>
          <w:sz w:val="28"/>
          <w:szCs w:val="28"/>
          <w:highlight w:val="none"/>
        </w:rPr>
        <w:t>人</w:t>
      </w:r>
      <w:r>
        <w:rPr>
          <w:rFonts w:ascii="宋体" w:hAnsi="宋体"/>
          <w:color w:val="auto"/>
          <w:sz w:val="28"/>
          <w:szCs w:val="28"/>
          <w:highlight w:val="none"/>
        </w:rPr>
        <w:t>身</w:t>
      </w:r>
      <w:r>
        <w:rPr>
          <w:rFonts w:ascii="宋体" w:hAnsi="宋体"/>
          <w:color w:val="auto"/>
          <w:spacing w:val="-2"/>
          <w:sz w:val="28"/>
          <w:szCs w:val="28"/>
          <w:highlight w:val="none"/>
        </w:rPr>
        <w:t>份</w:t>
      </w:r>
      <w:r>
        <w:rPr>
          <w:rFonts w:ascii="宋体" w:hAnsi="宋体"/>
          <w:color w:val="auto"/>
          <w:sz w:val="28"/>
          <w:szCs w:val="28"/>
          <w:highlight w:val="none"/>
        </w:rPr>
        <w:t>证</w:t>
      </w:r>
      <w:r>
        <w:rPr>
          <w:rFonts w:ascii="宋体" w:hAnsi="宋体"/>
          <w:color w:val="auto"/>
          <w:spacing w:val="-2"/>
          <w:sz w:val="28"/>
          <w:szCs w:val="28"/>
          <w:highlight w:val="none"/>
        </w:rPr>
        <w:t>明</w:t>
      </w:r>
      <w:r>
        <w:rPr>
          <w:rFonts w:ascii="宋体" w:hAnsi="宋体"/>
          <w:color w:val="auto"/>
          <w:sz w:val="28"/>
          <w:szCs w:val="28"/>
          <w:highlight w:val="none"/>
        </w:rPr>
        <w:t>、</w:t>
      </w:r>
      <w:r>
        <w:rPr>
          <w:rFonts w:ascii="宋体" w:hAnsi="宋体"/>
          <w:color w:val="auto"/>
          <w:spacing w:val="-2"/>
          <w:sz w:val="28"/>
          <w:szCs w:val="28"/>
          <w:highlight w:val="none"/>
        </w:rPr>
        <w:t>授</w:t>
      </w:r>
      <w:r>
        <w:rPr>
          <w:rFonts w:ascii="宋体" w:hAnsi="宋体"/>
          <w:color w:val="auto"/>
          <w:sz w:val="28"/>
          <w:szCs w:val="28"/>
          <w:highlight w:val="none"/>
        </w:rPr>
        <w:t>权</w:t>
      </w:r>
      <w:r>
        <w:rPr>
          <w:rFonts w:ascii="宋体" w:hAnsi="宋体"/>
          <w:color w:val="auto"/>
          <w:spacing w:val="-2"/>
          <w:sz w:val="28"/>
          <w:szCs w:val="28"/>
          <w:highlight w:val="none"/>
        </w:rPr>
        <w:t>委</w:t>
      </w:r>
      <w:r>
        <w:rPr>
          <w:rFonts w:ascii="宋体" w:hAnsi="宋体"/>
          <w:color w:val="auto"/>
          <w:sz w:val="28"/>
          <w:szCs w:val="28"/>
          <w:highlight w:val="none"/>
        </w:rPr>
        <w:t>托</w:t>
      </w:r>
      <w:r>
        <w:rPr>
          <w:rFonts w:ascii="宋体" w:hAnsi="宋体"/>
          <w:color w:val="auto"/>
          <w:spacing w:val="-2"/>
          <w:sz w:val="28"/>
          <w:szCs w:val="28"/>
          <w:highlight w:val="none"/>
        </w:rPr>
        <w:t>书</w:t>
      </w:r>
    </w:p>
    <w:p>
      <w:pPr>
        <w:numPr>
          <w:ilvl w:val="0"/>
          <w:numId w:val="4"/>
        </w:numPr>
        <w:spacing w:line="360" w:lineRule="auto"/>
        <w:ind w:left="0" w:firstLine="0"/>
        <w:jc w:val="left"/>
        <w:rPr>
          <w:rFonts w:ascii="宋体" w:hAnsi="宋体"/>
          <w:color w:val="auto"/>
          <w:spacing w:val="-2"/>
          <w:sz w:val="28"/>
          <w:szCs w:val="28"/>
          <w:highlight w:val="none"/>
        </w:rPr>
      </w:pPr>
      <w:r>
        <w:rPr>
          <w:rFonts w:ascii="宋体" w:hAnsi="宋体"/>
          <w:color w:val="auto"/>
          <w:spacing w:val="-2"/>
          <w:sz w:val="28"/>
          <w:szCs w:val="28"/>
          <w:highlight w:val="none"/>
        </w:rPr>
        <w:t>投标保证金</w:t>
      </w:r>
    </w:p>
    <w:p>
      <w:pPr>
        <w:numPr>
          <w:ilvl w:val="0"/>
          <w:numId w:val="4"/>
        </w:numPr>
        <w:spacing w:line="360" w:lineRule="auto"/>
        <w:ind w:left="0" w:firstLine="0"/>
        <w:jc w:val="left"/>
        <w:rPr>
          <w:rFonts w:ascii="宋体" w:hAnsi="宋体"/>
          <w:color w:val="auto"/>
          <w:spacing w:val="-2"/>
          <w:sz w:val="28"/>
          <w:szCs w:val="28"/>
          <w:highlight w:val="none"/>
        </w:rPr>
      </w:pPr>
      <w:r>
        <w:rPr>
          <w:rFonts w:ascii="宋体" w:hAnsi="宋体"/>
          <w:color w:val="auto"/>
          <w:spacing w:val="-2"/>
          <w:sz w:val="28"/>
          <w:szCs w:val="28"/>
          <w:highlight w:val="none"/>
        </w:rPr>
        <w:t>监理报酬清单</w:t>
      </w:r>
    </w:p>
    <w:p>
      <w:pPr>
        <w:numPr>
          <w:ilvl w:val="0"/>
          <w:numId w:val="4"/>
        </w:numPr>
        <w:spacing w:line="360" w:lineRule="auto"/>
        <w:ind w:left="0" w:firstLine="0"/>
        <w:jc w:val="left"/>
        <w:rPr>
          <w:rFonts w:ascii="宋体" w:hAnsi="宋体"/>
          <w:color w:val="auto"/>
          <w:spacing w:val="-2"/>
          <w:sz w:val="28"/>
          <w:szCs w:val="28"/>
          <w:highlight w:val="none"/>
        </w:rPr>
      </w:pPr>
      <w:r>
        <w:rPr>
          <w:rFonts w:ascii="宋体" w:hAnsi="宋体"/>
          <w:color w:val="auto"/>
          <w:spacing w:val="-2"/>
          <w:sz w:val="28"/>
          <w:szCs w:val="28"/>
          <w:highlight w:val="none"/>
        </w:rPr>
        <w:t>资格审查资料</w:t>
      </w:r>
    </w:p>
    <w:p>
      <w:pPr>
        <w:numPr>
          <w:ilvl w:val="0"/>
          <w:numId w:val="4"/>
        </w:numPr>
        <w:spacing w:line="360" w:lineRule="auto"/>
        <w:ind w:left="0" w:firstLine="0"/>
        <w:jc w:val="left"/>
        <w:rPr>
          <w:rFonts w:ascii="宋体" w:hAnsi="宋体"/>
          <w:color w:val="auto"/>
          <w:spacing w:val="-2"/>
          <w:sz w:val="28"/>
          <w:szCs w:val="28"/>
          <w:highlight w:val="none"/>
        </w:rPr>
      </w:pPr>
      <w:r>
        <w:rPr>
          <w:rFonts w:ascii="宋体" w:hAnsi="宋体"/>
          <w:color w:val="auto"/>
          <w:spacing w:val="-2"/>
          <w:sz w:val="28"/>
          <w:szCs w:val="28"/>
          <w:highlight w:val="none"/>
        </w:rPr>
        <w:t>监理大纲</w:t>
      </w:r>
    </w:p>
    <w:p>
      <w:pPr>
        <w:numPr>
          <w:ilvl w:val="0"/>
          <w:numId w:val="4"/>
        </w:numPr>
        <w:spacing w:line="360" w:lineRule="auto"/>
        <w:ind w:left="0" w:firstLine="0"/>
        <w:jc w:val="left"/>
        <w:rPr>
          <w:rFonts w:ascii="宋体" w:hAnsi="宋体"/>
          <w:color w:val="auto"/>
          <w:spacing w:val="-2"/>
          <w:sz w:val="28"/>
          <w:szCs w:val="28"/>
          <w:highlight w:val="none"/>
        </w:rPr>
      </w:pPr>
      <w:r>
        <w:rPr>
          <w:rFonts w:ascii="宋体" w:hAnsi="宋体"/>
          <w:color w:val="auto"/>
          <w:spacing w:val="-2"/>
          <w:sz w:val="28"/>
          <w:szCs w:val="28"/>
          <w:highlight w:val="none"/>
        </w:rPr>
        <w:t>公司简介</w:t>
      </w:r>
    </w:p>
    <w:p>
      <w:pPr>
        <w:numPr>
          <w:ilvl w:val="0"/>
          <w:numId w:val="4"/>
        </w:numPr>
        <w:spacing w:line="360" w:lineRule="auto"/>
        <w:ind w:left="0" w:firstLine="0"/>
        <w:jc w:val="left"/>
        <w:rPr>
          <w:rFonts w:ascii="宋体" w:hAnsi="宋体"/>
          <w:color w:val="auto"/>
          <w:spacing w:val="-2"/>
          <w:sz w:val="28"/>
          <w:szCs w:val="28"/>
          <w:highlight w:val="none"/>
        </w:rPr>
      </w:pPr>
      <w:r>
        <w:rPr>
          <w:rFonts w:ascii="宋体" w:hAnsi="宋体"/>
          <w:color w:val="auto"/>
          <w:spacing w:val="-2"/>
          <w:sz w:val="28"/>
          <w:szCs w:val="28"/>
          <w:highlight w:val="none"/>
        </w:rPr>
        <w:t>标函承诺书</w:t>
      </w:r>
    </w:p>
    <w:p>
      <w:pPr>
        <w:numPr>
          <w:ilvl w:val="0"/>
          <w:numId w:val="4"/>
        </w:numPr>
        <w:spacing w:line="360" w:lineRule="auto"/>
        <w:ind w:left="0" w:firstLine="0"/>
        <w:jc w:val="left"/>
        <w:rPr>
          <w:rFonts w:ascii="宋体" w:hAnsi="宋体"/>
          <w:color w:val="auto"/>
          <w:spacing w:val="-2"/>
          <w:sz w:val="28"/>
          <w:szCs w:val="28"/>
          <w:highlight w:val="none"/>
        </w:rPr>
      </w:pPr>
      <w:r>
        <w:rPr>
          <w:rFonts w:ascii="宋体" w:hAnsi="宋体"/>
          <w:color w:val="auto"/>
          <w:spacing w:val="-2"/>
          <w:sz w:val="28"/>
          <w:szCs w:val="28"/>
          <w:highlight w:val="none"/>
        </w:rPr>
        <w:t>项目监理机构配备情况</w:t>
      </w:r>
    </w:p>
    <w:p>
      <w:pPr>
        <w:pStyle w:val="25"/>
        <w:numPr>
          <w:ilvl w:val="0"/>
          <w:numId w:val="4"/>
        </w:numPr>
        <w:spacing w:line="360" w:lineRule="auto"/>
        <w:ind w:left="0" w:firstLine="0" w:firstLineChars="0"/>
        <w:rPr>
          <w:rFonts w:ascii="宋体" w:hAnsi="宋体"/>
          <w:color w:val="auto"/>
          <w:spacing w:val="-2"/>
          <w:sz w:val="28"/>
          <w:szCs w:val="28"/>
          <w:highlight w:val="none"/>
        </w:rPr>
      </w:pPr>
      <w:r>
        <w:rPr>
          <w:rFonts w:ascii="宋体" w:hAnsi="宋体"/>
          <w:color w:val="auto"/>
          <w:spacing w:val="-2"/>
          <w:sz w:val="28"/>
          <w:szCs w:val="28"/>
          <w:highlight w:val="none"/>
        </w:rPr>
        <w:t>拟投入本项目的主要试验检测仪器设备</w:t>
      </w:r>
    </w:p>
    <w:p>
      <w:pPr>
        <w:pStyle w:val="25"/>
        <w:numPr>
          <w:ilvl w:val="0"/>
          <w:numId w:val="4"/>
        </w:numPr>
        <w:spacing w:line="360" w:lineRule="auto"/>
        <w:ind w:left="0" w:firstLine="0" w:firstLineChars="0"/>
        <w:rPr>
          <w:rFonts w:ascii="宋体" w:hAnsi="宋体"/>
          <w:color w:val="auto"/>
          <w:spacing w:val="-2"/>
          <w:sz w:val="28"/>
          <w:szCs w:val="28"/>
          <w:highlight w:val="none"/>
        </w:rPr>
      </w:pPr>
      <w:r>
        <w:rPr>
          <w:rFonts w:hint="eastAsia"/>
          <w:color w:val="auto"/>
          <w:sz w:val="28"/>
          <w:szCs w:val="28"/>
          <w:highlight w:val="none"/>
        </w:rPr>
        <w:t>监理项目管理团队人员信息表</w:t>
      </w:r>
    </w:p>
    <w:p>
      <w:pPr>
        <w:pStyle w:val="6"/>
        <w:rPr>
          <w:color w:val="auto"/>
          <w:highlight w:val="none"/>
        </w:rPr>
      </w:pPr>
    </w:p>
    <w:p>
      <w:pPr>
        <w:pStyle w:val="6"/>
        <w:rPr>
          <w:color w:val="auto"/>
          <w:highlight w:val="none"/>
        </w:rPr>
        <w:sectPr>
          <w:headerReference r:id="rId8" w:type="default"/>
          <w:footerReference r:id="rId9" w:type="default"/>
          <w:pgSz w:w="12240" w:h="15840"/>
          <w:pgMar w:top="1480" w:right="1718" w:bottom="919" w:left="1718" w:header="0" w:footer="721" w:gutter="0"/>
          <w:pgNumType w:fmt="decimal"/>
          <w:cols w:space="720" w:num="1"/>
        </w:sectPr>
      </w:pPr>
    </w:p>
    <w:p>
      <w:pPr>
        <w:pStyle w:val="4"/>
        <w:outlineLvl w:val="1"/>
        <w:rPr>
          <w:color w:val="auto"/>
          <w:spacing w:val="20"/>
          <w:sz w:val="32"/>
          <w:highlight w:val="none"/>
        </w:rPr>
      </w:pPr>
      <w:bookmarkStart w:id="693" w:name="_Toc7468"/>
      <w:bookmarkStart w:id="694" w:name="_Toc21439"/>
      <w:bookmarkStart w:id="695" w:name="_Toc13149"/>
      <w:bookmarkStart w:id="696" w:name="_Toc30689"/>
      <w:bookmarkStart w:id="697" w:name="_Toc18033"/>
      <w:bookmarkStart w:id="698" w:name="_Toc32151"/>
      <w:bookmarkStart w:id="699" w:name="_Toc25341"/>
      <w:bookmarkStart w:id="700" w:name="_Toc32219"/>
      <w:bookmarkStart w:id="701" w:name="_Toc10224"/>
      <w:bookmarkStart w:id="702" w:name="_Toc9178"/>
      <w:r>
        <w:rPr>
          <w:color w:val="auto"/>
          <w:spacing w:val="20"/>
          <w:sz w:val="32"/>
          <w:highlight w:val="none"/>
        </w:rPr>
        <w:t>一、投标函及投标函附录</w:t>
      </w:r>
      <w:bookmarkEnd w:id="693"/>
      <w:bookmarkEnd w:id="694"/>
      <w:bookmarkEnd w:id="695"/>
      <w:bookmarkEnd w:id="696"/>
      <w:bookmarkEnd w:id="697"/>
      <w:bookmarkEnd w:id="698"/>
      <w:bookmarkEnd w:id="699"/>
      <w:bookmarkEnd w:id="700"/>
      <w:bookmarkEnd w:id="701"/>
      <w:bookmarkEnd w:id="702"/>
    </w:p>
    <w:p>
      <w:pPr>
        <w:spacing w:line="360" w:lineRule="auto"/>
        <w:ind w:left="237" w:right="-20"/>
        <w:jc w:val="center"/>
        <w:outlineLvl w:val="2"/>
        <w:rPr>
          <w:rFonts w:ascii="宋体" w:hAnsi="宋体"/>
          <w:b/>
          <w:bCs/>
          <w:color w:val="auto"/>
          <w:sz w:val="28"/>
          <w:highlight w:val="none"/>
        </w:rPr>
      </w:pPr>
      <w:bookmarkStart w:id="703" w:name="_Toc21693"/>
      <w:bookmarkStart w:id="704" w:name="_Toc2422"/>
      <w:bookmarkStart w:id="705" w:name="_Toc2735"/>
      <w:r>
        <w:rPr>
          <w:rFonts w:ascii="宋体" w:hAnsi="宋体"/>
          <w:b/>
          <w:bCs/>
          <w:color w:val="auto"/>
          <w:sz w:val="28"/>
          <w:highlight w:val="none"/>
        </w:rPr>
        <w:t>（一）</w:t>
      </w:r>
      <w:r>
        <w:rPr>
          <w:rFonts w:ascii="宋体" w:hAnsi="宋体"/>
          <w:b/>
          <w:bCs/>
          <w:color w:val="auto"/>
          <w:spacing w:val="-3"/>
          <w:sz w:val="28"/>
          <w:highlight w:val="none"/>
        </w:rPr>
        <w:t>投</w:t>
      </w:r>
      <w:r>
        <w:rPr>
          <w:rFonts w:ascii="宋体" w:hAnsi="宋体"/>
          <w:b/>
          <w:bCs/>
          <w:color w:val="auto"/>
          <w:sz w:val="28"/>
          <w:highlight w:val="none"/>
        </w:rPr>
        <w:t>标函</w:t>
      </w:r>
      <w:bookmarkEnd w:id="703"/>
      <w:bookmarkEnd w:id="704"/>
      <w:bookmarkEnd w:id="705"/>
    </w:p>
    <w:p>
      <w:pPr>
        <w:autoSpaceDE w:val="0"/>
        <w:autoSpaceDN w:val="0"/>
        <w:adjustRightInd w:val="0"/>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致</w:t>
      </w:r>
      <w:r>
        <w:rPr>
          <w:rFonts w:hint="eastAsia" w:ascii="宋体" w:hAnsi="宋体"/>
          <w:color w:val="auto"/>
          <w:kern w:val="0"/>
          <w:szCs w:val="21"/>
          <w:highlight w:val="none"/>
          <w:lang w:eastAsia="zh-CN"/>
        </w:rPr>
        <w:t>广州广粮坊食品科技有限公司</w:t>
      </w:r>
      <w:r>
        <w:rPr>
          <w:rFonts w:hint="eastAsia" w:ascii="宋体" w:hAnsi="宋体"/>
          <w:color w:val="auto"/>
          <w:kern w:val="0"/>
          <w:szCs w:val="21"/>
          <w:highlight w:val="none"/>
        </w:rPr>
        <w:t>（招标人）：</w:t>
      </w:r>
    </w:p>
    <w:p>
      <w:pPr>
        <w:pStyle w:val="6"/>
        <w:rPr>
          <w:color w:val="auto"/>
          <w:highlight w:val="none"/>
        </w:rPr>
      </w:pPr>
    </w:p>
    <w:p>
      <w:pPr>
        <w:autoSpaceDE w:val="0"/>
        <w:autoSpaceDN w:val="0"/>
        <w:adjustRightInd w:val="0"/>
        <w:spacing w:line="360" w:lineRule="auto"/>
        <w:ind w:firstLine="480"/>
        <w:jc w:val="left"/>
        <w:rPr>
          <w:rFonts w:ascii="宋体" w:hAnsi="宋体"/>
          <w:color w:val="auto"/>
          <w:kern w:val="0"/>
          <w:szCs w:val="21"/>
          <w:highlight w:val="none"/>
        </w:rPr>
      </w:pPr>
      <w:r>
        <w:rPr>
          <w:rFonts w:hint="eastAsia" w:ascii="宋体" w:hAnsi="宋体"/>
          <w:color w:val="auto"/>
          <w:kern w:val="0"/>
          <w:szCs w:val="21"/>
          <w:highlight w:val="none"/>
        </w:rPr>
        <w:t>1．我方已仔细研究了</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（项目名称）监理招标项目招标文件的全部内容，</w:t>
      </w:r>
      <w:r>
        <w:rPr>
          <w:rFonts w:hint="eastAsia" w:ascii="宋体" w:hAnsi="宋体"/>
          <w:color w:val="auto"/>
          <w:szCs w:val="21"/>
          <w:highlight w:val="none"/>
        </w:rPr>
        <w:t>愿意以《开标记录表》中的投标总报价和监理服务期限，</w:t>
      </w:r>
      <w:r>
        <w:rPr>
          <w:rFonts w:hint="eastAsia" w:ascii="宋体" w:hAnsi="宋体"/>
          <w:color w:val="auto"/>
          <w:kern w:val="0"/>
          <w:szCs w:val="21"/>
          <w:highlight w:val="none"/>
        </w:rPr>
        <w:t>按合同约定完成监理工作。</w:t>
      </w:r>
    </w:p>
    <w:p>
      <w:pPr>
        <w:autoSpaceDE w:val="0"/>
        <w:autoSpaceDN w:val="0"/>
        <w:adjustRightInd w:val="0"/>
        <w:spacing w:line="360" w:lineRule="auto"/>
        <w:ind w:firstLine="420" w:firstLineChars="200"/>
        <w:outlineLvl w:val="9"/>
        <w:rPr>
          <w:rFonts w:ascii="宋体" w:hAnsi="宋体" w:cs="宋体"/>
          <w:color w:val="auto"/>
          <w:kern w:val="0"/>
          <w:szCs w:val="21"/>
          <w:highlight w:val="none"/>
        </w:rPr>
      </w:pPr>
      <w:r>
        <w:rPr>
          <w:rFonts w:hint="eastAsia" w:ascii="宋体" w:hAnsi="宋体" w:cs="宋体"/>
          <w:color w:val="auto"/>
          <w:kern w:val="0"/>
          <w:szCs w:val="21"/>
          <w:highlight w:val="none"/>
        </w:rPr>
        <w:t>2．我方的投标文件包括下列内容：</w:t>
      </w:r>
    </w:p>
    <w:p>
      <w:pPr>
        <w:spacing w:line="295" w:lineRule="exact"/>
        <w:ind w:left="99" w:leftChars="47" w:right="-20" w:firstLine="319" w:firstLineChars="152"/>
        <w:jc w:val="left"/>
        <w:rPr>
          <w:rFonts w:ascii="宋体" w:hAnsi="宋体"/>
          <w:color w:val="auto"/>
          <w:highlight w:val="none"/>
        </w:rPr>
      </w:pPr>
      <w:r>
        <w:rPr>
          <w:rFonts w:hint="eastAsia" w:ascii="宋体" w:hAnsi="宋体" w:cs="宋体"/>
          <w:color w:val="auto"/>
          <w:kern w:val="0"/>
          <w:szCs w:val="21"/>
          <w:highlight w:val="none"/>
        </w:rPr>
        <w:t>（1）</w:t>
      </w:r>
      <w:r>
        <w:rPr>
          <w:rFonts w:ascii="宋体" w:hAnsi="宋体"/>
          <w:color w:val="auto"/>
          <w:spacing w:val="-2"/>
          <w:position w:val="-1"/>
          <w:highlight w:val="none"/>
        </w:rPr>
        <w:t>投</w:t>
      </w:r>
      <w:r>
        <w:rPr>
          <w:rFonts w:ascii="宋体" w:hAnsi="宋体"/>
          <w:color w:val="auto"/>
          <w:position w:val="-1"/>
          <w:highlight w:val="none"/>
        </w:rPr>
        <w:t>标</w:t>
      </w:r>
      <w:r>
        <w:rPr>
          <w:rFonts w:ascii="宋体" w:hAnsi="宋体"/>
          <w:color w:val="auto"/>
          <w:spacing w:val="-2"/>
          <w:position w:val="-1"/>
          <w:highlight w:val="none"/>
        </w:rPr>
        <w:t>函</w:t>
      </w:r>
      <w:r>
        <w:rPr>
          <w:rFonts w:ascii="宋体" w:hAnsi="宋体"/>
          <w:color w:val="auto"/>
          <w:position w:val="-1"/>
          <w:highlight w:val="none"/>
        </w:rPr>
        <w:t>及</w:t>
      </w:r>
      <w:r>
        <w:rPr>
          <w:rFonts w:ascii="宋体" w:hAnsi="宋体"/>
          <w:color w:val="auto"/>
          <w:spacing w:val="-2"/>
          <w:position w:val="-1"/>
          <w:highlight w:val="none"/>
        </w:rPr>
        <w:t>投</w:t>
      </w:r>
      <w:r>
        <w:rPr>
          <w:rFonts w:ascii="宋体" w:hAnsi="宋体"/>
          <w:color w:val="auto"/>
          <w:position w:val="-1"/>
          <w:highlight w:val="none"/>
        </w:rPr>
        <w:t>标</w:t>
      </w:r>
      <w:r>
        <w:rPr>
          <w:rFonts w:ascii="宋体" w:hAnsi="宋体"/>
          <w:color w:val="auto"/>
          <w:spacing w:val="-2"/>
          <w:position w:val="-1"/>
          <w:highlight w:val="none"/>
        </w:rPr>
        <w:t>函</w:t>
      </w:r>
      <w:r>
        <w:rPr>
          <w:rFonts w:ascii="宋体" w:hAnsi="宋体"/>
          <w:color w:val="auto"/>
          <w:position w:val="-1"/>
          <w:highlight w:val="none"/>
        </w:rPr>
        <w:t>附录</w:t>
      </w:r>
    </w:p>
    <w:p>
      <w:pPr>
        <w:spacing w:before="9" w:line="170" w:lineRule="exact"/>
        <w:ind w:left="99" w:leftChars="47" w:firstLine="258" w:firstLineChars="152"/>
        <w:jc w:val="left"/>
        <w:rPr>
          <w:rFonts w:ascii="宋体" w:hAnsi="宋体"/>
          <w:color w:val="auto"/>
          <w:sz w:val="17"/>
          <w:highlight w:val="none"/>
        </w:rPr>
      </w:pPr>
    </w:p>
    <w:p>
      <w:pPr>
        <w:spacing w:line="359" w:lineRule="auto"/>
        <w:ind w:left="99" w:leftChars="47" w:right="3389" w:firstLine="313" w:firstLineChars="152"/>
        <w:jc w:val="left"/>
        <w:rPr>
          <w:rFonts w:ascii="宋体" w:hAnsi="宋体"/>
          <w:color w:val="auto"/>
          <w:highlight w:val="none"/>
        </w:rPr>
      </w:pPr>
      <w:r>
        <w:rPr>
          <w:rFonts w:hint="eastAsia" w:ascii="宋体" w:hAnsi="宋体"/>
          <w:color w:val="auto"/>
          <w:spacing w:val="-2"/>
          <w:highlight w:val="none"/>
        </w:rPr>
        <w:t>（2）</w:t>
      </w:r>
      <w:r>
        <w:rPr>
          <w:rFonts w:ascii="宋体" w:hAnsi="宋体"/>
          <w:color w:val="auto"/>
          <w:spacing w:val="-2"/>
          <w:highlight w:val="none"/>
        </w:rPr>
        <w:t>法</w:t>
      </w:r>
      <w:r>
        <w:rPr>
          <w:rFonts w:ascii="宋体" w:hAnsi="宋体"/>
          <w:color w:val="auto"/>
          <w:highlight w:val="none"/>
        </w:rPr>
        <w:t>定</w:t>
      </w:r>
      <w:r>
        <w:rPr>
          <w:rFonts w:ascii="宋体" w:hAnsi="宋体"/>
          <w:color w:val="auto"/>
          <w:spacing w:val="-2"/>
          <w:highlight w:val="none"/>
        </w:rPr>
        <w:t>代</w:t>
      </w:r>
      <w:r>
        <w:rPr>
          <w:rFonts w:ascii="宋体" w:hAnsi="宋体"/>
          <w:color w:val="auto"/>
          <w:highlight w:val="none"/>
        </w:rPr>
        <w:t>表</w:t>
      </w:r>
      <w:r>
        <w:rPr>
          <w:rFonts w:ascii="宋体" w:hAnsi="宋体"/>
          <w:color w:val="auto"/>
          <w:spacing w:val="-2"/>
          <w:highlight w:val="none"/>
        </w:rPr>
        <w:t>人</w:t>
      </w:r>
      <w:r>
        <w:rPr>
          <w:rFonts w:ascii="宋体" w:hAnsi="宋体"/>
          <w:color w:val="auto"/>
          <w:highlight w:val="none"/>
        </w:rPr>
        <w:t>身</w:t>
      </w:r>
      <w:r>
        <w:rPr>
          <w:rFonts w:ascii="宋体" w:hAnsi="宋体"/>
          <w:color w:val="auto"/>
          <w:spacing w:val="-2"/>
          <w:highlight w:val="none"/>
        </w:rPr>
        <w:t>份</w:t>
      </w:r>
      <w:r>
        <w:rPr>
          <w:rFonts w:ascii="宋体" w:hAnsi="宋体"/>
          <w:color w:val="auto"/>
          <w:highlight w:val="none"/>
        </w:rPr>
        <w:t>证</w:t>
      </w:r>
      <w:r>
        <w:rPr>
          <w:rFonts w:ascii="宋体" w:hAnsi="宋体"/>
          <w:color w:val="auto"/>
          <w:spacing w:val="-2"/>
          <w:highlight w:val="none"/>
        </w:rPr>
        <w:t>明</w:t>
      </w:r>
      <w:r>
        <w:rPr>
          <w:rFonts w:ascii="宋体" w:hAnsi="宋体"/>
          <w:color w:val="auto"/>
          <w:highlight w:val="none"/>
        </w:rPr>
        <w:t>、</w:t>
      </w:r>
      <w:r>
        <w:rPr>
          <w:rFonts w:ascii="宋体" w:hAnsi="宋体"/>
          <w:color w:val="auto"/>
          <w:spacing w:val="-2"/>
          <w:highlight w:val="none"/>
        </w:rPr>
        <w:t>授</w:t>
      </w:r>
      <w:r>
        <w:rPr>
          <w:rFonts w:ascii="宋体" w:hAnsi="宋体"/>
          <w:color w:val="auto"/>
          <w:highlight w:val="none"/>
        </w:rPr>
        <w:t>权</w:t>
      </w:r>
      <w:r>
        <w:rPr>
          <w:rFonts w:ascii="宋体" w:hAnsi="宋体"/>
          <w:color w:val="auto"/>
          <w:spacing w:val="-2"/>
          <w:highlight w:val="none"/>
        </w:rPr>
        <w:t>委</w:t>
      </w:r>
      <w:r>
        <w:rPr>
          <w:rFonts w:ascii="宋体" w:hAnsi="宋体"/>
          <w:color w:val="auto"/>
          <w:highlight w:val="none"/>
        </w:rPr>
        <w:t>托</w:t>
      </w:r>
      <w:r>
        <w:rPr>
          <w:rFonts w:ascii="宋体" w:hAnsi="宋体"/>
          <w:color w:val="auto"/>
          <w:spacing w:val="-2"/>
          <w:highlight w:val="none"/>
        </w:rPr>
        <w:t>书</w:t>
      </w:r>
      <w:r>
        <w:rPr>
          <w:rFonts w:ascii="宋体" w:hAnsi="宋体"/>
          <w:color w:val="auto"/>
          <w:highlight w:val="none"/>
        </w:rPr>
        <w:t xml:space="preserve"> </w:t>
      </w:r>
    </w:p>
    <w:p>
      <w:pPr>
        <w:spacing w:line="359" w:lineRule="auto"/>
        <w:ind w:left="99" w:leftChars="47" w:right="3389" w:firstLine="313" w:firstLineChars="152"/>
        <w:jc w:val="left"/>
        <w:rPr>
          <w:rFonts w:ascii="宋体" w:hAnsi="宋体"/>
          <w:color w:val="auto"/>
          <w:spacing w:val="-2"/>
          <w:highlight w:val="none"/>
        </w:rPr>
      </w:pPr>
      <w:r>
        <w:rPr>
          <w:rFonts w:hint="eastAsia" w:ascii="宋体" w:hAnsi="宋体"/>
          <w:color w:val="auto"/>
          <w:spacing w:val="-2"/>
          <w:highlight w:val="none"/>
        </w:rPr>
        <w:t>（3）</w:t>
      </w:r>
      <w:r>
        <w:rPr>
          <w:rFonts w:ascii="宋体" w:hAnsi="宋体"/>
          <w:color w:val="auto"/>
          <w:spacing w:val="-2"/>
          <w:highlight w:val="none"/>
        </w:rPr>
        <w:t xml:space="preserve">投标保证金 </w:t>
      </w:r>
    </w:p>
    <w:p>
      <w:pPr>
        <w:spacing w:line="359" w:lineRule="auto"/>
        <w:ind w:left="99" w:leftChars="47" w:right="3389" w:firstLine="313" w:firstLineChars="152"/>
        <w:jc w:val="left"/>
        <w:rPr>
          <w:rFonts w:ascii="宋体" w:hAnsi="宋体"/>
          <w:color w:val="auto"/>
          <w:spacing w:val="-2"/>
          <w:highlight w:val="none"/>
        </w:rPr>
      </w:pPr>
      <w:r>
        <w:rPr>
          <w:rFonts w:hint="eastAsia" w:ascii="宋体" w:hAnsi="宋体"/>
          <w:color w:val="auto"/>
          <w:spacing w:val="-2"/>
          <w:highlight w:val="none"/>
        </w:rPr>
        <w:t>（4）</w:t>
      </w:r>
      <w:r>
        <w:rPr>
          <w:rFonts w:ascii="宋体" w:hAnsi="宋体"/>
          <w:color w:val="auto"/>
          <w:spacing w:val="-2"/>
          <w:highlight w:val="none"/>
        </w:rPr>
        <w:t xml:space="preserve">监理报酬清单 </w:t>
      </w:r>
    </w:p>
    <w:p>
      <w:pPr>
        <w:spacing w:line="359" w:lineRule="auto"/>
        <w:ind w:left="99" w:leftChars="47" w:right="3389" w:firstLine="313" w:firstLineChars="152"/>
        <w:jc w:val="left"/>
        <w:rPr>
          <w:rFonts w:ascii="宋体" w:hAnsi="宋体"/>
          <w:color w:val="auto"/>
          <w:spacing w:val="-2"/>
          <w:highlight w:val="none"/>
        </w:rPr>
      </w:pPr>
      <w:r>
        <w:rPr>
          <w:rFonts w:hint="eastAsia" w:ascii="宋体" w:hAnsi="宋体"/>
          <w:color w:val="auto"/>
          <w:spacing w:val="-2"/>
          <w:highlight w:val="none"/>
        </w:rPr>
        <w:t>（5）</w:t>
      </w:r>
      <w:r>
        <w:rPr>
          <w:rFonts w:ascii="宋体" w:hAnsi="宋体"/>
          <w:color w:val="auto"/>
          <w:spacing w:val="-2"/>
          <w:highlight w:val="none"/>
        </w:rPr>
        <w:t xml:space="preserve">资格审查资料 </w:t>
      </w:r>
    </w:p>
    <w:p>
      <w:pPr>
        <w:spacing w:line="359" w:lineRule="auto"/>
        <w:ind w:left="99" w:leftChars="47" w:right="3389" w:firstLine="313" w:firstLineChars="152"/>
        <w:jc w:val="left"/>
        <w:rPr>
          <w:rFonts w:ascii="宋体" w:hAnsi="宋体"/>
          <w:color w:val="auto"/>
          <w:spacing w:val="-2"/>
          <w:highlight w:val="none"/>
        </w:rPr>
      </w:pPr>
      <w:r>
        <w:rPr>
          <w:rFonts w:hint="eastAsia" w:ascii="宋体" w:hAnsi="宋体"/>
          <w:color w:val="auto"/>
          <w:spacing w:val="-2"/>
          <w:highlight w:val="none"/>
        </w:rPr>
        <w:t>（6）</w:t>
      </w:r>
      <w:r>
        <w:rPr>
          <w:rFonts w:ascii="宋体" w:hAnsi="宋体"/>
          <w:color w:val="auto"/>
          <w:spacing w:val="-2"/>
          <w:highlight w:val="none"/>
        </w:rPr>
        <w:t xml:space="preserve">监理大纲 </w:t>
      </w:r>
    </w:p>
    <w:p>
      <w:pPr>
        <w:spacing w:line="359" w:lineRule="auto"/>
        <w:ind w:left="99" w:leftChars="47" w:right="3389" w:firstLine="313" w:firstLineChars="152"/>
        <w:jc w:val="left"/>
        <w:rPr>
          <w:rFonts w:ascii="宋体" w:hAnsi="宋体"/>
          <w:color w:val="auto"/>
          <w:spacing w:val="-2"/>
          <w:highlight w:val="none"/>
        </w:rPr>
      </w:pPr>
      <w:r>
        <w:rPr>
          <w:rFonts w:hint="eastAsia" w:ascii="宋体" w:hAnsi="宋体"/>
          <w:color w:val="auto"/>
          <w:spacing w:val="-2"/>
          <w:highlight w:val="none"/>
        </w:rPr>
        <w:t>（7）</w:t>
      </w:r>
      <w:r>
        <w:rPr>
          <w:rFonts w:ascii="宋体" w:hAnsi="宋体"/>
          <w:color w:val="auto"/>
          <w:spacing w:val="-2"/>
          <w:highlight w:val="none"/>
        </w:rPr>
        <w:t>公司简介</w:t>
      </w:r>
    </w:p>
    <w:p>
      <w:pPr>
        <w:spacing w:line="359" w:lineRule="auto"/>
        <w:ind w:left="99" w:leftChars="47" w:right="3389" w:firstLine="313" w:firstLineChars="152"/>
        <w:jc w:val="left"/>
        <w:rPr>
          <w:rFonts w:ascii="宋体" w:hAnsi="宋体"/>
          <w:color w:val="auto"/>
          <w:spacing w:val="-2"/>
          <w:highlight w:val="none"/>
        </w:rPr>
      </w:pPr>
      <w:r>
        <w:rPr>
          <w:rFonts w:hint="eastAsia" w:ascii="宋体" w:hAnsi="宋体"/>
          <w:color w:val="auto"/>
          <w:spacing w:val="-2"/>
          <w:highlight w:val="none"/>
        </w:rPr>
        <w:t>（8）</w:t>
      </w:r>
      <w:r>
        <w:rPr>
          <w:rFonts w:ascii="宋体" w:hAnsi="宋体"/>
          <w:color w:val="auto"/>
          <w:spacing w:val="-2"/>
          <w:highlight w:val="none"/>
        </w:rPr>
        <w:t>标函承诺书；</w:t>
      </w:r>
    </w:p>
    <w:p>
      <w:pPr>
        <w:spacing w:line="359" w:lineRule="auto"/>
        <w:ind w:left="99" w:leftChars="47" w:right="3389" w:firstLine="313" w:firstLineChars="152"/>
        <w:jc w:val="left"/>
        <w:rPr>
          <w:rFonts w:ascii="宋体" w:hAnsi="宋体"/>
          <w:color w:val="auto"/>
          <w:spacing w:val="-2"/>
          <w:highlight w:val="none"/>
        </w:rPr>
      </w:pPr>
      <w:r>
        <w:rPr>
          <w:rFonts w:hint="eastAsia" w:ascii="宋体" w:hAnsi="宋体"/>
          <w:color w:val="auto"/>
          <w:spacing w:val="-2"/>
          <w:highlight w:val="none"/>
        </w:rPr>
        <w:t>（</w:t>
      </w:r>
      <w:r>
        <w:rPr>
          <w:rFonts w:hint="eastAsia" w:ascii="宋体" w:hAnsi="宋体"/>
          <w:color w:val="auto"/>
          <w:spacing w:val="-2"/>
          <w:highlight w:val="none"/>
          <w:lang w:val="en-US" w:eastAsia="zh-CN"/>
        </w:rPr>
        <w:t>9</w:t>
      </w:r>
      <w:r>
        <w:rPr>
          <w:rFonts w:hint="eastAsia" w:ascii="宋体" w:hAnsi="宋体"/>
          <w:color w:val="auto"/>
          <w:spacing w:val="-2"/>
          <w:highlight w:val="none"/>
        </w:rPr>
        <w:t>）</w:t>
      </w:r>
      <w:r>
        <w:rPr>
          <w:rFonts w:ascii="宋体" w:hAnsi="宋体"/>
          <w:color w:val="auto"/>
          <w:spacing w:val="-2"/>
          <w:highlight w:val="none"/>
        </w:rPr>
        <w:t>项目监理机构配备情况</w:t>
      </w:r>
      <w:r>
        <w:rPr>
          <w:rFonts w:hint="eastAsia" w:ascii="宋体" w:hAnsi="宋体"/>
          <w:color w:val="auto"/>
          <w:spacing w:val="-2"/>
          <w:highlight w:val="none"/>
        </w:rPr>
        <w:t>；</w:t>
      </w:r>
    </w:p>
    <w:p>
      <w:pPr>
        <w:spacing w:line="359" w:lineRule="auto"/>
        <w:ind w:left="99" w:leftChars="47" w:right="3389" w:firstLine="313" w:firstLineChars="152"/>
        <w:jc w:val="left"/>
        <w:rPr>
          <w:rFonts w:ascii="宋体" w:hAnsi="宋体"/>
          <w:color w:val="auto"/>
          <w:spacing w:val="-2"/>
          <w:highlight w:val="none"/>
        </w:rPr>
      </w:pPr>
      <w:r>
        <w:rPr>
          <w:rFonts w:hint="eastAsia" w:ascii="宋体" w:hAnsi="宋体"/>
          <w:color w:val="auto"/>
          <w:spacing w:val="-2"/>
          <w:highlight w:val="none"/>
        </w:rPr>
        <w:t>（1</w:t>
      </w:r>
      <w:r>
        <w:rPr>
          <w:rFonts w:hint="eastAsia" w:ascii="宋体" w:hAnsi="宋体"/>
          <w:color w:val="auto"/>
          <w:spacing w:val="-2"/>
          <w:highlight w:val="none"/>
          <w:lang w:val="en-US" w:eastAsia="zh-CN"/>
        </w:rPr>
        <w:t>0</w:t>
      </w:r>
      <w:r>
        <w:rPr>
          <w:rFonts w:hint="eastAsia" w:ascii="宋体" w:hAnsi="宋体"/>
          <w:color w:val="auto"/>
          <w:spacing w:val="-2"/>
          <w:highlight w:val="none"/>
        </w:rPr>
        <w:t>）</w:t>
      </w:r>
      <w:r>
        <w:rPr>
          <w:rFonts w:ascii="宋体" w:hAnsi="宋体"/>
          <w:color w:val="auto"/>
          <w:spacing w:val="-2"/>
          <w:highlight w:val="none"/>
        </w:rPr>
        <w:t>拟投入本项目的主要试验检测仪器设备</w:t>
      </w:r>
    </w:p>
    <w:p>
      <w:pPr>
        <w:spacing w:line="359" w:lineRule="auto"/>
        <w:ind w:left="99" w:leftChars="47" w:right="3389" w:firstLine="313" w:firstLineChars="152"/>
        <w:jc w:val="left"/>
        <w:rPr>
          <w:rFonts w:ascii="宋体" w:hAnsi="宋体"/>
          <w:color w:val="auto"/>
          <w:spacing w:val="-2"/>
          <w:highlight w:val="none"/>
        </w:rPr>
      </w:pPr>
      <w:r>
        <w:rPr>
          <w:rFonts w:hint="eastAsia" w:ascii="宋体" w:hAnsi="宋体"/>
          <w:color w:val="auto"/>
          <w:spacing w:val="-2"/>
          <w:highlight w:val="none"/>
        </w:rPr>
        <w:t>（1</w:t>
      </w:r>
      <w:r>
        <w:rPr>
          <w:rFonts w:hint="eastAsia" w:ascii="宋体" w:hAnsi="宋体"/>
          <w:color w:val="auto"/>
          <w:spacing w:val="-2"/>
          <w:highlight w:val="none"/>
          <w:lang w:val="en-US" w:eastAsia="zh-CN"/>
        </w:rPr>
        <w:t>1</w:t>
      </w:r>
      <w:r>
        <w:rPr>
          <w:rFonts w:hint="eastAsia" w:ascii="宋体" w:hAnsi="宋体"/>
          <w:color w:val="auto"/>
          <w:spacing w:val="-2"/>
          <w:highlight w:val="none"/>
        </w:rPr>
        <w:t>）监理项目管理团队人员信息表</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投标文件的上述组成部分如存在内容不一致的，以投标函为准。</w:t>
      </w:r>
    </w:p>
    <w:p>
      <w:pP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3．我方承诺在招标文件规定的投标有效期内不撤销投标文件。</w:t>
      </w:r>
    </w:p>
    <w:p>
      <w:pP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4．如我方中标，我方承诺：</w:t>
      </w:r>
    </w:p>
    <w:p>
      <w:pP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（1）在收到中标通知书后，在中标通知书规定的期限内与你方签订合同；</w:t>
      </w:r>
    </w:p>
    <w:p>
      <w:pP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（2）在签订合同时不向你方提出附加条件；</w:t>
      </w:r>
    </w:p>
    <w:p>
      <w:pP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（3）按照招标文件要求提交履约保证金；</w:t>
      </w:r>
    </w:p>
    <w:p>
      <w:pP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（4）在合同约定的期限内完成合同规定的全部义务。</w:t>
      </w:r>
    </w:p>
    <w:p>
      <w:pP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5．我方在此声明，所递交的投标文件及有关资料内容完整、真实和准确，且不存在第二章“投标人须知”第 1.4.3 项规定的任何一种情形。</w:t>
      </w:r>
    </w:p>
    <w:p>
      <w:pPr>
        <w:autoSpaceDE w:val="0"/>
        <w:autoSpaceDN w:val="0"/>
        <w:adjustRightInd w:val="0"/>
        <w:spacing w:line="360" w:lineRule="auto"/>
        <w:ind w:firstLine="2100" w:firstLineChars="1000"/>
        <w:rPr>
          <w:rFonts w:ascii="宋体" w:hAnsi="宋体"/>
          <w:color w:val="auto"/>
          <w:kern w:val="0"/>
          <w:szCs w:val="21"/>
          <w:highlight w:val="none"/>
        </w:rPr>
      </w:pPr>
    </w:p>
    <w:p>
      <w:pPr>
        <w:widowControl/>
        <w:jc w:val="left"/>
        <w:rPr>
          <w:rFonts w:ascii="宋体" w:hAnsi="宋体"/>
          <w:color w:val="auto"/>
          <w:kern w:val="0"/>
          <w:szCs w:val="21"/>
          <w:highlight w:val="none"/>
        </w:rPr>
      </w:pPr>
      <w:r>
        <w:rPr>
          <w:rFonts w:ascii="宋体" w:hAnsi="宋体"/>
          <w:color w:val="auto"/>
          <w:kern w:val="0"/>
          <w:szCs w:val="21"/>
          <w:highlight w:val="none"/>
        </w:rPr>
        <w:br w:type="page"/>
      </w:r>
    </w:p>
    <w:p>
      <w:pPr>
        <w:tabs>
          <w:tab w:val="left" w:pos="6660"/>
        </w:tabs>
        <w:autoSpaceDE w:val="0"/>
        <w:autoSpaceDN w:val="0"/>
        <w:adjustRightInd w:val="0"/>
        <w:spacing w:line="360" w:lineRule="auto"/>
        <w:jc w:val="right"/>
        <w:rPr>
          <w:rFonts w:ascii="宋体" w:hAnsi="宋体"/>
          <w:color w:val="auto"/>
          <w:kern w:val="0"/>
          <w:szCs w:val="21"/>
          <w:highlight w:val="none"/>
        </w:rPr>
      </w:pPr>
      <w:r>
        <w:rPr>
          <w:rFonts w:hint="eastAsia" w:ascii="宋体" w:hAnsi="宋体"/>
          <w:color w:val="auto"/>
          <w:kern w:val="0"/>
          <w:szCs w:val="21"/>
          <w:highlight w:val="none"/>
        </w:rPr>
        <w:t>投标人名称：</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（盖单位公章）</w:t>
      </w:r>
    </w:p>
    <w:p>
      <w:pPr>
        <w:autoSpaceDE w:val="0"/>
        <w:autoSpaceDN w:val="0"/>
        <w:adjustRightInd w:val="0"/>
        <w:spacing w:line="360" w:lineRule="auto"/>
        <w:ind w:firstLine="3990" w:firstLineChars="1900"/>
        <w:jc w:val="left"/>
        <w:rPr>
          <w:rFonts w:ascii="宋体" w:hAnsi="宋体"/>
          <w:color w:val="auto"/>
          <w:kern w:val="0"/>
          <w:szCs w:val="21"/>
          <w:highlight w:val="none"/>
          <w:u w:val="single"/>
        </w:rPr>
      </w:pPr>
      <w:r>
        <w:rPr>
          <w:rFonts w:hint="eastAsia" w:ascii="宋体" w:hAnsi="宋体"/>
          <w:color w:val="auto"/>
          <w:kern w:val="0"/>
          <w:szCs w:val="21"/>
          <w:highlight w:val="none"/>
        </w:rPr>
        <w:t>单位地址：</w:t>
      </w:r>
      <w:r>
        <w:rPr>
          <w:rFonts w:ascii="宋体" w:hAnsi="宋体"/>
          <w:color w:val="auto"/>
          <w:kern w:val="0"/>
          <w:szCs w:val="21"/>
          <w:highlight w:val="none"/>
          <w:u w:val="single"/>
        </w:rPr>
        <w:t xml:space="preserve">                          </w:t>
      </w:r>
    </w:p>
    <w:p>
      <w:pPr>
        <w:autoSpaceDE w:val="0"/>
        <w:autoSpaceDN w:val="0"/>
        <w:adjustRightInd w:val="0"/>
        <w:spacing w:line="360" w:lineRule="auto"/>
        <w:ind w:firstLine="3990" w:firstLineChars="1900"/>
        <w:jc w:val="left"/>
        <w:rPr>
          <w:rFonts w:ascii="宋体" w:hAnsi="宋体"/>
          <w:color w:val="auto"/>
          <w:kern w:val="0"/>
          <w:szCs w:val="21"/>
          <w:highlight w:val="none"/>
          <w:u w:val="single"/>
        </w:rPr>
      </w:pPr>
      <w:r>
        <w:rPr>
          <w:rFonts w:hint="eastAsia" w:ascii="宋体" w:hAnsi="宋体"/>
          <w:color w:val="auto"/>
          <w:kern w:val="0"/>
          <w:szCs w:val="21"/>
          <w:highlight w:val="none"/>
        </w:rPr>
        <w:t>法定代表人或其委托代理人：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（签字）</w:t>
      </w:r>
    </w:p>
    <w:p>
      <w:pPr>
        <w:autoSpaceDE w:val="0"/>
        <w:autoSpaceDN w:val="0"/>
        <w:adjustRightInd w:val="0"/>
        <w:spacing w:line="360" w:lineRule="auto"/>
        <w:ind w:firstLine="3990" w:firstLineChars="1900"/>
        <w:jc w:val="left"/>
        <w:rPr>
          <w:rFonts w:ascii="宋体" w:hAnsi="宋体"/>
          <w:color w:val="auto"/>
          <w:kern w:val="0"/>
          <w:szCs w:val="21"/>
          <w:highlight w:val="none"/>
        </w:rPr>
      </w:pPr>
      <w:r>
        <w:rPr>
          <w:rFonts w:hint="eastAsia" w:ascii="宋体" w:hAnsi="宋体"/>
          <w:color w:val="auto"/>
          <w:kern w:val="0"/>
          <w:szCs w:val="21"/>
          <w:highlight w:val="none"/>
        </w:rPr>
        <w:t>邮政编码：</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autoSpaceDE w:val="0"/>
        <w:autoSpaceDN w:val="0"/>
        <w:adjustRightInd w:val="0"/>
        <w:spacing w:line="360" w:lineRule="auto"/>
        <w:ind w:firstLine="3990" w:firstLineChars="1900"/>
        <w:jc w:val="left"/>
        <w:rPr>
          <w:rFonts w:ascii="宋体" w:hAnsi="宋体"/>
          <w:color w:val="auto"/>
          <w:kern w:val="0"/>
          <w:szCs w:val="21"/>
          <w:highlight w:val="none"/>
        </w:rPr>
      </w:pPr>
      <w:r>
        <w:rPr>
          <w:rFonts w:hint="eastAsia" w:ascii="宋体" w:hAnsi="宋体"/>
          <w:color w:val="auto"/>
          <w:kern w:val="0"/>
          <w:szCs w:val="21"/>
          <w:highlight w:val="none"/>
        </w:rPr>
        <w:t>电话：</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p>
    <w:p>
      <w:pPr>
        <w:autoSpaceDE w:val="0"/>
        <w:autoSpaceDN w:val="0"/>
        <w:adjustRightInd w:val="0"/>
        <w:spacing w:line="360" w:lineRule="auto"/>
        <w:ind w:firstLine="3990" w:firstLineChars="1900"/>
        <w:jc w:val="left"/>
        <w:rPr>
          <w:rFonts w:ascii="宋体" w:hAnsi="宋体"/>
          <w:color w:val="auto"/>
          <w:kern w:val="0"/>
          <w:szCs w:val="21"/>
          <w:highlight w:val="none"/>
          <w:u w:val="single"/>
        </w:rPr>
      </w:pPr>
      <w:r>
        <w:rPr>
          <w:rFonts w:hint="eastAsia" w:ascii="宋体" w:hAnsi="宋体"/>
          <w:color w:val="auto"/>
          <w:kern w:val="0"/>
          <w:szCs w:val="21"/>
          <w:highlight w:val="none"/>
        </w:rPr>
        <w:t>传真：</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autoSpaceDE w:val="0"/>
        <w:autoSpaceDN w:val="0"/>
        <w:adjustRightInd w:val="0"/>
        <w:spacing w:line="360" w:lineRule="auto"/>
        <w:ind w:firstLine="3990" w:firstLineChars="1900"/>
        <w:jc w:val="left"/>
        <w:rPr>
          <w:rFonts w:ascii="宋体" w:hAnsi="宋体"/>
          <w:color w:val="auto"/>
          <w:kern w:val="0"/>
          <w:szCs w:val="21"/>
          <w:highlight w:val="none"/>
          <w:u w:val="single"/>
        </w:rPr>
      </w:pPr>
      <w:r>
        <w:rPr>
          <w:rFonts w:hint="eastAsia" w:ascii="宋体" w:hAnsi="宋体"/>
          <w:color w:val="auto"/>
          <w:kern w:val="0"/>
          <w:szCs w:val="21"/>
          <w:highlight w:val="none"/>
        </w:rPr>
        <w:t>开户银行名称：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autoSpaceDE w:val="0"/>
        <w:autoSpaceDN w:val="0"/>
        <w:adjustRightInd w:val="0"/>
        <w:spacing w:line="360" w:lineRule="auto"/>
        <w:ind w:firstLine="3990" w:firstLineChars="1900"/>
        <w:jc w:val="left"/>
        <w:rPr>
          <w:rFonts w:ascii="宋体" w:hAnsi="宋体"/>
          <w:color w:val="auto"/>
          <w:kern w:val="0"/>
          <w:szCs w:val="21"/>
          <w:highlight w:val="none"/>
        </w:rPr>
      </w:pPr>
      <w:r>
        <w:rPr>
          <w:rFonts w:hint="eastAsia" w:ascii="宋体" w:hAnsi="宋体"/>
          <w:color w:val="auto"/>
          <w:kern w:val="0"/>
          <w:szCs w:val="21"/>
          <w:highlight w:val="none"/>
        </w:rPr>
        <w:t>开户银行帐号：</w:t>
      </w:r>
      <w:r>
        <w:rPr>
          <w:rFonts w:ascii="宋体" w:hAnsi="宋体"/>
          <w:color w:val="auto"/>
          <w:kern w:val="0"/>
          <w:szCs w:val="21"/>
          <w:highlight w:val="none"/>
          <w:u w:val="single"/>
        </w:rPr>
        <w:t xml:space="preserve">                        </w:t>
      </w:r>
    </w:p>
    <w:p>
      <w:pPr>
        <w:spacing w:line="360" w:lineRule="auto"/>
        <w:ind w:firstLine="3990" w:firstLineChars="1900"/>
        <w:jc w:val="left"/>
        <w:rPr>
          <w:rFonts w:ascii="宋体" w:hAnsi="宋体"/>
          <w:color w:val="auto"/>
          <w:kern w:val="0"/>
          <w:sz w:val="24"/>
          <w:highlight w:val="none"/>
        </w:rPr>
      </w:pPr>
      <w:r>
        <w:rPr>
          <w:rFonts w:hint="eastAsia" w:ascii="宋体" w:hAnsi="宋体"/>
          <w:color w:val="auto"/>
          <w:kern w:val="0"/>
          <w:szCs w:val="21"/>
          <w:highlight w:val="none"/>
        </w:rPr>
        <w:t>日</w:t>
      </w:r>
      <w:r>
        <w:rPr>
          <w:rFonts w:ascii="宋体" w:hAnsi="宋体"/>
          <w:color w:val="auto"/>
          <w:kern w:val="0"/>
          <w:szCs w:val="21"/>
          <w:highlight w:val="none"/>
        </w:rPr>
        <w:t xml:space="preserve">        </w:t>
      </w:r>
      <w:r>
        <w:rPr>
          <w:rFonts w:hint="eastAsia" w:ascii="宋体" w:hAnsi="宋体"/>
          <w:color w:val="auto"/>
          <w:kern w:val="0"/>
          <w:szCs w:val="21"/>
          <w:highlight w:val="none"/>
        </w:rPr>
        <w:t>期：</w:t>
      </w:r>
      <w:r>
        <w:rPr>
          <w:rFonts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ascii="宋体" w:hAnsi="宋体"/>
          <w:color w:val="auto"/>
          <w:kern w:val="0"/>
          <w:szCs w:val="21"/>
          <w:highlight w:val="non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月</w:t>
      </w:r>
      <w:r>
        <w:rPr>
          <w:rFonts w:ascii="宋体" w:hAnsi="宋体"/>
          <w:color w:val="auto"/>
          <w:kern w:val="0"/>
          <w:szCs w:val="21"/>
          <w:highlight w:val="none"/>
          <w:u w:val="single"/>
        </w:rPr>
        <w:t xml:space="preserve">     </w:t>
      </w:r>
      <w:r>
        <w:rPr>
          <w:rFonts w:hint="eastAsia" w:ascii="宋体" w:hAnsi="宋体"/>
          <w:color w:val="auto"/>
          <w:kern w:val="0"/>
          <w:szCs w:val="21"/>
          <w:highlight w:val="none"/>
        </w:rPr>
        <w:t>日</w:t>
      </w:r>
    </w:p>
    <w:p>
      <w:pPr>
        <w:spacing w:line="360" w:lineRule="auto"/>
        <w:rPr>
          <w:rFonts w:ascii="宋体" w:hAnsi="宋体"/>
          <w:b/>
          <w:color w:val="auto"/>
          <w:sz w:val="30"/>
          <w:szCs w:val="30"/>
          <w:highlight w:val="none"/>
        </w:rPr>
        <w:sectPr>
          <w:footerReference r:id="rId10" w:type="default"/>
          <w:pgSz w:w="12240" w:h="15840"/>
          <w:pgMar w:top="1480" w:right="1718" w:bottom="919" w:left="1718" w:header="850" w:footer="992" w:gutter="0"/>
          <w:pgNumType w:fmt="decimal"/>
          <w:cols w:space="720" w:num="1"/>
          <w:docGrid w:linePitch="312" w:charSpace="0"/>
        </w:sectPr>
      </w:pPr>
    </w:p>
    <w:p>
      <w:pPr>
        <w:spacing w:line="360" w:lineRule="auto"/>
        <w:ind w:left="237" w:right="-20"/>
        <w:jc w:val="center"/>
        <w:outlineLvl w:val="2"/>
        <w:rPr>
          <w:rFonts w:ascii="宋体" w:hAnsi="宋体"/>
          <w:b/>
          <w:bCs/>
          <w:color w:val="auto"/>
          <w:sz w:val="28"/>
          <w:highlight w:val="none"/>
        </w:rPr>
      </w:pPr>
      <w:bookmarkStart w:id="706" w:name="_Toc5752"/>
      <w:bookmarkStart w:id="707" w:name="_Toc5444"/>
      <w:bookmarkStart w:id="708" w:name="_Toc9956"/>
      <w:bookmarkStart w:id="709" w:name="_Toc29486"/>
      <w:bookmarkStart w:id="710" w:name="_Toc26354"/>
      <w:bookmarkStart w:id="711" w:name="_Toc514170142"/>
      <w:bookmarkStart w:id="712" w:name="_Toc24851"/>
      <w:bookmarkStart w:id="713" w:name="_Toc23223"/>
      <w:bookmarkStart w:id="714" w:name="_Toc504"/>
      <w:bookmarkStart w:id="715" w:name="_Toc10542"/>
      <w:r>
        <w:rPr>
          <w:rFonts w:hint="eastAsia" w:ascii="宋体" w:hAnsi="宋体"/>
          <w:b/>
          <w:bCs/>
          <w:color w:val="auto"/>
          <w:sz w:val="28"/>
          <w:highlight w:val="none"/>
        </w:rPr>
        <w:t>（二）投标函附录</w:t>
      </w:r>
      <w:bookmarkEnd w:id="706"/>
      <w:bookmarkEnd w:id="707"/>
      <w:bookmarkEnd w:id="708"/>
      <w:bookmarkEnd w:id="709"/>
      <w:bookmarkEnd w:id="710"/>
      <w:bookmarkEnd w:id="711"/>
      <w:bookmarkEnd w:id="712"/>
      <w:bookmarkEnd w:id="713"/>
      <w:bookmarkEnd w:id="714"/>
      <w:bookmarkEnd w:id="71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057"/>
        <w:gridCol w:w="2031"/>
        <w:gridCol w:w="3370"/>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66" w:hRule="atLeast"/>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20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b/>
                <w:color w:val="auto"/>
                <w:szCs w:val="21"/>
                <w:highlight w:val="none"/>
              </w:rPr>
            </w:pPr>
            <w:r>
              <w:rPr>
                <w:rFonts w:hint="eastAsia" w:ascii="宋体" w:hAnsi="宋体"/>
                <w:b/>
                <w:color w:val="auto"/>
                <w:szCs w:val="21"/>
                <w:highlight w:val="none"/>
              </w:rPr>
              <w:t>条款名称</w:t>
            </w:r>
          </w:p>
        </w:tc>
        <w:tc>
          <w:tcPr>
            <w:tcW w:w="33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b/>
                <w:color w:val="auto"/>
                <w:szCs w:val="21"/>
                <w:highlight w:val="none"/>
              </w:rPr>
            </w:pPr>
            <w:r>
              <w:rPr>
                <w:rFonts w:hint="eastAsia" w:ascii="宋体" w:hAnsi="宋体"/>
                <w:b/>
                <w:color w:val="auto"/>
                <w:szCs w:val="21"/>
                <w:highlight w:val="none"/>
              </w:rPr>
              <w:t>约定内容</w:t>
            </w:r>
          </w:p>
        </w:tc>
        <w:tc>
          <w:tcPr>
            <w:tcW w:w="2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b/>
                <w:color w:val="auto"/>
                <w:szCs w:val="21"/>
                <w:highlight w:val="none"/>
              </w:rPr>
            </w:pPr>
            <w:r>
              <w:rPr>
                <w:rFonts w:ascii="宋体" w:hAnsi="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66" w:hRule="atLeast"/>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20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4"/>
                <w:highlight w:val="none"/>
              </w:rPr>
            </w:pPr>
            <w:r>
              <w:rPr>
                <w:rFonts w:hint="eastAsia" w:ascii="宋体" w:hAnsi="宋体" w:cs="宋体"/>
                <w:color w:val="auto"/>
                <w:sz w:val="24"/>
                <w:highlight w:val="none"/>
              </w:rPr>
              <w:t>总监理工程师</w:t>
            </w:r>
          </w:p>
        </w:tc>
        <w:tc>
          <w:tcPr>
            <w:tcW w:w="33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left"/>
              <w:rPr>
                <w:rFonts w:ascii="宋体" w:hAnsi="宋体" w:cs="宋体"/>
                <w:bCs/>
                <w:color w:val="auto"/>
                <w:sz w:val="24"/>
                <w:highlight w:val="none"/>
                <w:u w:val="single"/>
              </w:rPr>
            </w:pPr>
            <w:r>
              <w:rPr>
                <w:rFonts w:hint="eastAsia" w:ascii="宋体" w:hAnsi="宋体" w:cs="宋体"/>
                <w:bCs/>
                <w:color w:val="auto"/>
                <w:sz w:val="24"/>
                <w:highlight w:val="none"/>
              </w:rPr>
              <w:t>姓名：</w:t>
            </w:r>
            <w:r>
              <w:rPr>
                <w:rFonts w:hint="eastAsia" w:ascii="宋体" w:hAnsi="宋体" w:cs="宋体"/>
                <w:bCs/>
                <w:color w:val="auto"/>
                <w:sz w:val="24"/>
                <w:highlight w:val="none"/>
                <w:u w:val="single"/>
              </w:rPr>
              <w:t xml:space="preserve">               </w:t>
            </w:r>
          </w:p>
          <w:p>
            <w:pPr>
              <w:jc w:val="left"/>
              <w:rPr>
                <w:rFonts w:ascii="宋体" w:hAnsi="宋体" w:cs="宋体"/>
                <w:bCs/>
                <w:color w:val="auto"/>
                <w:sz w:val="24"/>
                <w:highlight w:val="none"/>
              </w:rPr>
            </w:pPr>
            <w:r>
              <w:rPr>
                <w:rFonts w:hint="eastAsia" w:ascii="宋体" w:hAnsi="宋体" w:cs="宋体"/>
                <w:bCs/>
                <w:color w:val="auto"/>
                <w:sz w:val="24"/>
                <w:highlight w:val="none"/>
              </w:rPr>
              <w:t>技术职称：</w:t>
            </w:r>
            <w:r>
              <w:rPr>
                <w:rFonts w:hint="eastAsia" w:ascii="宋体" w:hAnsi="宋体" w:cs="宋体"/>
                <w:bCs/>
                <w:color w:val="auto"/>
                <w:sz w:val="24"/>
                <w:highlight w:val="none"/>
                <w:u w:val="single"/>
              </w:rPr>
              <w:t xml:space="preserve">           </w:t>
            </w:r>
          </w:p>
          <w:p>
            <w:pPr>
              <w:jc w:val="left"/>
              <w:rPr>
                <w:rFonts w:ascii="宋体" w:hAnsi="宋体" w:cs="宋体"/>
                <w:bCs/>
                <w:color w:val="auto"/>
                <w:sz w:val="24"/>
                <w:highlight w:val="none"/>
              </w:rPr>
            </w:pPr>
            <w:r>
              <w:rPr>
                <w:rFonts w:hint="eastAsia" w:ascii="宋体" w:hAnsi="宋体" w:cs="宋体"/>
                <w:bCs/>
                <w:color w:val="auto"/>
                <w:sz w:val="24"/>
                <w:highlight w:val="none"/>
              </w:rPr>
              <w:t>注册证号：</w:t>
            </w:r>
            <w:r>
              <w:rPr>
                <w:rFonts w:hint="eastAsia" w:ascii="宋体" w:hAnsi="宋体" w:cs="宋体"/>
                <w:bCs/>
                <w:color w:val="auto"/>
                <w:sz w:val="24"/>
                <w:highlight w:val="none"/>
                <w:u w:val="single"/>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66" w:hRule="atLeast"/>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20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4"/>
                <w:highlight w:val="none"/>
              </w:rPr>
            </w:pPr>
            <w:r>
              <w:rPr>
                <w:rFonts w:hint="eastAsia" w:ascii="宋体" w:hAnsi="宋体" w:cs="宋体"/>
                <w:color w:val="auto"/>
                <w:sz w:val="24"/>
                <w:highlight w:val="none"/>
              </w:rPr>
              <w:t>监理服务期限</w:t>
            </w:r>
          </w:p>
        </w:tc>
        <w:tc>
          <w:tcPr>
            <w:tcW w:w="33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left"/>
              <w:rPr>
                <w:rFonts w:ascii="宋体" w:hAnsi="宋体" w:cs="宋体"/>
                <w:bCs/>
                <w:color w:val="auto"/>
                <w:sz w:val="24"/>
                <w:highlight w:val="none"/>
              </w:rPr>
            </w:pPr>
            <w:r>
              <w:rPr>
                <w:rFonts w:hint="eastAsia" w:ascii="宋体" w:hAnsi="宋体" w:cs="宋体"/>
                <w:bCs/>
                <w:color w:val="auto"/>
                <w:sz w:val="24"/>
                <w:highlight w:val="none"/>
              </w:rPr>
              <w:t>按招标文件要求</w:t>
            </w:r>
          </w:p>
        </w:tc>
        <w:tc>
          <w:tcPr>
            <w:tcW w:w="2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66" w:hRule="atLeast"/>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20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4"/>
                <w:highlight w:val="none"/>
              </w:rPr>
            </w:pPr>
            <w:r>
              <w:rPr>
                <w:rFonts w:hint="eastAsia" w:ascii="宋体" w:hAnsi="宋体" w:cs="宋体"/>
                <w:color w:val="auto"/>
                <w:sz w:val="24"/>
                <w:highlight w:val="none"/>
              </w:rPr>
              <w:t>合同价款确定方式</w:t>
            </w:r>
          </w:p>
        </w:tc>
        <w:tc>
          <w:tcPr>
            <w:tcW w:w="33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left"/>
              <w:rPr>
                <w:rFonts w:ascii="宋体" w:hAnsi="宋体" w:cs="宋体"/>
                <w:bCs/>
                <w:color w:val="auto"/>
                <w:sz w:val="24"/>
                <w:highlight w:val="none"/>
              </w:rPr>
            </w:pPr>
            <w:r>
              <w:rPr>
                <w:rFonts w:hint="eastAsia" w:ascii="宋体" w:hAnsi="宋体" w:cs="宋体"/>
                <w:bCs/>
                <w:color w:val="auto"/>
                <w:sz w:val="24"/>
                <w:highlight w:val="none"/>
              </w:rPr>
              <w:t>按招标文件要求</w:t>
            </w:r>
          </w:p>
        </w:tc>
        <w:tc>
          <w:tcPr>
            <w:tcW w:w="2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66" w:hRule="atLeast"/>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20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4"/>
                <w:highlight w:val="none"/>
              </w:rPr>
            </w:pPr>
            <w:r>
              <w:rPr>
                <w:rFonts w:hint="eastAsia" w:ascii="宋体" w:hAnsi="宋体" w:cs="宋体"/>
                <w:color w:val="auto"/>
                <w:sz w:val="24"/>
                <w:highlight w:val="none"/>
              </w:rPr>
              <w:t>质量标准</w:t>
            </w:r>
          </w:p>
        </w:tc>
        <w:tc>
          <w:tcPr>
            <w:tcW w:w="33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left"/>
              <w:rPr>
                <w:rFonts w:ascii="宋体" w:hAnsi="宋体" w:cs="宋体"/>
                <w:bCs/>
                <w:color w:val="auto"/>
                <w:sz w:val="24"/>
                <w:highlight w:val="none"/>
              </w:rPr>
            </w:pPr>
            <w:r>
              <w:rPr>
                <w:rFonts w:hint="eastAsia" w:ascii="宋体" w:hAnsi="宋体" w:cs="宋体"/>
                <w:bCs/>
                <w:color w:val="auto"/>
                <w:sz w:val="24"/>
                <w:highlight w:val="none"/>
              </w:rPr>
              <w:t>合格</w:t>
            </w:r>
            <w:r>
              <w:rPr>
                <w:rFonts w:hint="eastAsia" w:ascii="宋体" w:hAnsi="宋体" w:cs="宋体"/>
                <w:bCs/>
                <w:color w:val="auto"/>
                <w:sz w:val="24"/>
                <w:highlight w:val="none"/>
                <w:lang w:eastAsia="zh-CN"/>
              </w:rPr>
              <w:t>，打造高质量精品样板工程，确保获得“市级工程优质奖项”，争创“省级工程优质奖项”</w:t>
            </w:r>
          </w:p>
        </w:tc>
        <w:tc>
          <w:tcPr>
            <w:tcW w:w="2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20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4"/>
                <w:highlight w:val="none"/>
              </w:rPr>
            </w:pPr>
            <w:r>
              <w:rPr>
                <w:rFonts w:hint="eastAsia" w:ascii="宋体" w:hAnsi="宋体" w:cs="宋体"/>
                <w:color w:val="auto"/>
                <w:sz w:val="24"/>
                <w:highlight w:val="none"/>
              </w:rPr>
              <w:t>监理工期</w:t>
            </w:r>
          </w:p>
        </w:tc>
        <w:tc>
          <w:tcPr>
            <w:tcW w:w="33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left"/>
              <w:rPr>
                <w:rFonts w:ascii="宋体" w:hAnsi="宋体" w:cs="宋体"/>
                <w:bCs/>
                <w:color w:val="auto"/>
                <w:sz w:val="24"/>
                <w:highlight w:val="none"/>
              </w:rPr>
            </w:pPr>
            <w:r>
              <w:rPr>
                <w:rFonts w:hint="eastAsia" w:ascii="宋体" w:hAnsi="宋体" w:cs="宋体"/>
                <w:bCs/>
                <w:color w:val="auto"/>
                <w:sz w:val="24"/>
                <w:highlight w:val="none"/>
              </w:rPr>
              <w:t>按招标文件要求（自监理中标之日起至工程保修期满的全过程）</w:t>
            </w:r>
          </w:p>
        </w:tc>
        <w:tc>
          <w:tcPr>
            <w:tcW w:w="2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057"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cs="宋体"/>
                <w:color w:val="auto"/>
                <w:sz w:val="24"/>
                <w:highlight w:val="none"/>
              </w:rPr>
            </w:pPr>
            <w:r>
              <w:rPr>
                <w:rFonts w:hint="eastAsia" w:ascii="宋体" w:hAnsi="宋体" w:cs="宋体"/>
                <w:color w:val="auto"/>
                <w:sz w:val="24"/>
                <w:highlight w:val="none"/>
              </w:rPr>
              <w:t>6</w:t>
            </w:r>
          </w:p>
        </w:tc>
        <w:tc>
          <w:tcPr>
            <w:tcW w:w="2031"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cs="宋体"/>
                <w:color w:val="auto"/>
                <w:sz w:val="24"/>
                <w:highlight w:val="none"/>
              </w:rPr>
            </w:pPr>
            <w:r>
              <w:rPr>
                <w:rFonts w:hint="eastAsia" w:ascii="宋体" w:hAnsi="宋体" w:cs="宋体"/>
                <w:color w:val="auto"/>
                <w:sz w:val="24"/>
                <w:highlight w:val="none"/>
              </w:rPr>
              <w:t>监理报价</w:t>
            </w:r>
          </w:p>
        </w:tc>
        <w:tc>
          <w:tcPr>
            <w:tcW w:w="33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lang w:val="en-US" w:eastAsia="zh-CN"/>
              </w:rPr>
              <w:t>含税总价</w:t>
            </w:r>
            <w:r>
              <w:rPr>
                <w:rFonts w:hint="eastAsia" w:ascii="宋体" w:hAnsi="宋体" w:cs="宋体"/>
                <w:bCs/>
                <w:color w:val="auto"/>
                <w:sz w:val="24"/>
                <w:highlight w:val="none"/>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万</w:t>
            </w:r>
            <w:r>
              <w:rPr>
                <w:rFonts w:hint="eastAsia" w:ascii="宋体" w:hAnsi="宋体" w:cs="宋体"/>
                <w:bCs/>
                <w:color w:val="auto"/>
                <w:sz w:val="24"/>
                <w:highlight w:val="none"/>
                <w:u w:val="none"/>
                <w:lang w:val="en-US" w:eastAsia="zh-CN"/>
              </w:rPr>
              <w:t>元</w:t>
            </w:r>
          </w:p>
          <w:p>
            <w:pPr>
              <w:jc w:val="left"/>
              <w:rPr>
                <w:rFonts w:hint="eastAsia" w:ascii="宋体" w:hAnsi="宋体" w:cs="宋体"/>
                <w:bCs/>
                <w:color w:val="auto"/>
                <w:sz w:val="24"/>
                <w:highlight w:val="none"/>
              </w:rPr>
            </w:pPr>
            <w:r>
              <w:rPr>
                <w:rFonts w:hint="eastAsia" w:ascii="宋体" w:hAnsi="宋体" w:cs="宋体"/>
                <w:bCs/>
                <w:color w:val="auto"/>
                <w:sz w:val="24"/>
                <w:highlight w:val="none"/>
                <w:u w:val="none"/>
                <w:lang w:val="en-US" w:eastAsia="zh-CN"/>
              </w:rPr>
              <w:t>费率：</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none"/>
                <w:lang w:val="en-US" w:eastAsia="zh-CN"/>
              </w:rPr>
              <w:t>%（费率在合同履行过程中不变）</w:t>
            </w:r>
          </w:p>
        </w:tc>
        <w:tc>
          <w:tcPr>
            <w:tcW w:w="2360"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b/>
                <w:color w:val="auto"/>
                <w:szCs w:val="21"/>
                <w:highlight w:val="none"/>
              </w:rPr>
            </w:pPr>
            <w:r>
              <w:rPr>
                <w:rFonts w:hint="eastAsia" w:ascii="宋体" w:hAnsi="宋体" w:cs="宋体"/>
                <w:bCs/>
                <w:color w:val="auto"/>
                <w:sz w:val="24"/>
                <w:highlight w:val="none"/>
                <w:u w:val="none"/>
                <w:lang w:val="en-US" w:eastAsia="zh-CN"/>
              </w:rPr>
              <w:t>费率：</w:t>
            </w:r>
            <w:r>
              <w:rPr>
                <w:rFonts w:hint="eastAsia" w:ascii="宋体" w:hAnsi="宋体" w:cs="宋体"/>
                <w:color w:val="auto"/>
                <w:kern w:val="0"/>
                <w:sz w:val="24"/>
                <w:highlight w:val="none"/>
                <w:lang w:bidi="ar"/>
              </w:rPr>
              <w:t>小数点后保留二位小数，第三位小数四舍五入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09" w:hRule="atLeast"/>
          <w:jc w:val="center"/>
        </w:trPr>
        <w:tc>
          <w:tcPr>
            <w:tcW w:w="1057" w:type="dxa"/>
            <w:tcBorders>
              <w:left w:val="single" w:color="auto" w:sz="4" w:space="0"/>
              <w:bottom w:val="single" w:color="auto" w:sz="4" w:space="0"/>
              <w:right w:val="single" w:color="auto" w:sz="4" w:space="0"/>
            </w:tcBorders>
            <w:shd w:val="clear" w:color="auto" w:fill="FFFFFF" w:themeFill="background1"/>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2031" w:type="dxa"/>
            <w:tcBorders>
              <w:left w:val="single" w:color="auto" w:sz="4" w:space="0"/>
              <w:bottom w:val="single" w:color="auto" w:sz="4" w:space="0"/>
              <w:right w:val="single" w:color="auto" w:sz="4" w:space="0"/>
            </w:tcBorders>
            <w:shd w:val="clear" w:color="auto" w:fill="FFFFFF" w:themeFill="background1"/>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33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80" w:lineRule="exact"/>
              <w:jc w:val="left"/>
              <w:rPr>
                <w:rFonts w:ascii="宋体" w:hAnsi="宋体" w:cs="宋体"/>
                <w:bCs/>
                <w:color w:val="auto"/>
                <w:sz w:val="24"/>
                <w:highlight w:val="none"/>
              </w:rPr>
            </w:pPr>
            <w:r>
              <w:rPr>
                <w:rFonts w:ascii="宋体" w:hAnsi="宋体" w:cs="宋体"/>
                <w:bCs/>
                <w:color w:val="auto"/>
                <w:sz w:val="24"/>
                <w:highlight w:val="none"/>
              </w:rPr>
              <w:t xml:space="preserve"> 90</w:t>
            </w:r>
            <w:r>
              <w:rPr>
                <w:rFonts w:hint="eastAsia" w:ascii="宋体" w:hAnsi="宋体" w:cs="宋体"/>
                <w:bCs/>
                <w:color w:val="auto"/>
                <w:sz w:val="24"/>
                <w:highlight w:val="none"/>
              </w:rPr>
              <w:t>日历天</w:t>
            </w:r>
          </w:p>
        </w:tc>
        <w:tc>
          <w:tcPr>
            <w:tcW w:w="2360" w:type="dxa"/>
            <w:tcBorders>
              <w:left w:val="single" w:color="auto" w:sz="4" w:space="0"/>
              <w:bottom w:val="single" w:color="auto" w:sz="4" w:space="0"/>
              <w:right w:val="single" w:color="auto" w:sz="4" w:space="0"/>
            </w:tcBorders>
            <w:shd w:val="clear" w:color="auto" w:fill="FFFFFF" w:themeFill="background1"/>
            <w:vAlign w:val="center"/>
          </w:tcPr>
          <w:p>
            <w:pPr>
              <w:spacing w:line="480" w:lineRule="exact"/>
              <w:jc w:val="center"/>
              <w:rPr>
                <w:rFonts w:ascii="宋体" w:hAnsi="宋体"/>
                <w:color w:val="auto"/>
                <w:szCs w:val="21"/>
                <w:highlight w:val="none"/>
              </w:rPr>
            </w:pPr>
            <w:r>
              <w:rPr>
                <w:rFonts w:hint="eastAsia" w:ascii="宋体" w:hAnsi="宋体"/>
                <w:color w:val="auto"/>
                <w:szCs w:val="21"/>
                <w:highlight w:val="none"/>
              </w:rPr>
              <w:t>从投标截止之日算起</w:t>
            </w:r>
          </w:p>
        </w:tc>
      </w:tr>
    </w:tbl>
    <w:p>
      <w:pPr>
        <w:spacing w:line="480" w:lineRule="exact"/>
        <w:rPr>
          <w:rFonts w:ascii="宋体" w:hAnsi="宋体"/>
          <w:color w:val="auto"/>
          <w:szCs w:val="21"/>
          <w:highlight w:val="none"/>
        </w:rPr>
      </w:pPr>
    </w:p>
    <w:p>
      <w:pPr>
        <w:spacing w:line="480" w:lineRule="exact"/>
        <w:ind w:firstLine="3150" w:firstLineChars="1500"/>
        <w:rPr>
          <w:rFonts w:ascii="宋体" w:hAnsi="宋体"/>
          <w:color w:val="auto"/>
          <w:szCs w:val="21"/>
          <w:highlight w:val="none"/>
          <w:u w:val="single"/>
        </w:rPr>
      </w:pPr>
      <w:r>
        <w:rPr>
          <w:rFonts w:hint="eastAsia" w:ascii="宋体" w:hAnsi="宋体"/>
          <w:color w:val="auto"/>
          <w:szCs w:val="21"/>
          <w:highlight w:val="none"/>
        </w:rPr>
        <w:t>投标人名称：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 xml:space="preserve"> </w:t>
      </w:r>
    </w:p>
    <w:p>
      <w:pPr>
        <w:tabs>
          <w:tab w:val="left" w:pos="9333"/>
        </w:tabs>
        <w:wordWrap w:val="0"/>
        <w:spacing w:line="480" w:lineRule="exact"/>
        <w:ind w:right="178" w:rightChars="85"/>
        <w:jc w:val="right"/>
        <w:rPr>
          <w:rFonts w:ascii="宋体" w:hAnsi="宋体"/>
          <w:color w:val="auto"/>
          <w:szCs w:val="21"/>
          <w:highlight w:val="none"/>
          <w:u w:val="single"/>
        </w:rPr>
      </w:pPr>
      <w:r>
        <w:rPr>
          <w:rFonts w:hint="eastAsia" w:ascii="宋体" w:hAnsi="宋体"/>
          <w:color w:val="auto"/>
          <w:szCs w:val="21"/>
          <w:highlight w:val="none"/>
        </w:rPr>
        <w:t xml:space="preserve">   </w:t>
      </w:r>
    </w:p>
    <w:p>
      <w:pPr>
        <w:spacing w:line="480" w:lineRule="exact"/>
        <w:ind w:firstLine="3885" w:firstLineChars="1850"/>
        <w:rPr>
          <w:rFonts w:ascii="宋体" w:hAnsi="宋体"/>
          <w:color w:val="auto"/>
          <w:sz w:val="24"/>
          <w:szCs w:val="20"/>
          <w:highlight w:val="none"/>
        </w:rPr>
      </w:pPr>
      <w:r>
        <w:rPr>
          <w:rFonts w:hint="eastAsia" w:ascii="宋体" w:hAnsi="宋体"/>
          <w:color w:val="auto"/>
          <w:highlight w:val="none"/>
        </w:rPr>
        <w:t>日</w:t>
      </w:r>
      <w:r>
        <w:rPr>
          <w:rFonts w:ascii="宋体" w:hAnsi="宋体"/>
          <w:color w:val="auto"/>
          <w:highlight w:val="none"/>
        </w:rPr>
        <w:t xml:space="preserve">    </w:t>
      </w:r>
      <w:r>
        <w:rPr>
          <w:rFonts w:hint="eastAsia" w:ascii="宋体" w:hAnsi="宋体"/>
          <w:color w:val="auto"/>
          <w:highlight w:val="none"/>
        </w:rPr>
        <w:t>期：</w:t>
      </w:r>
      <w:r>
        <w:rPr>
          <w:rFonts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ascii="宋体" w:hAnsi="宋体"/>
          <w:color w:val="auto"/>
          <w:kern w:val="0"/>
          <w:szCs w:val="21"/>
          <w:highlight w:val="none"/>
          <w:u w:val="single"/>
        </w:rPr>
        <w:t xml:space="preserve">    </w:t>
      </w:r>
      <w:r>
        <w:rPr>
          <w:rFonts w:hint="eastAsia" w:ascii="宋体" w:hAnsi="宋体"/>
          <w:color w:val="auto"/>
          <w:kern w:val="0"/>
          <w:szCs w:val="21"/>
          <w:highlight w:val="none"/>
        </w:rPr>
        <w:t>月</w:t>
      </w:r>
      <w:r>
        <w:rPr>
          <w:rFonts w:ascii="宋体" w:hAnsi="宋体"/>
          <w:color w:val="auto"/>
          <w:kern w:val="0"/>
          <w:szCs w:val="21"/>
          <w:highlight w:val="none"/>
          <w:u w:val="single"/>
        </w:rPr>
        <w:t xml:space="preserve">    </w:t>
      </w:r>
      <w:r>
        <w:rPr>
          <w:rFonts w:hint="eastAsia" w:ascii="宋体" w:hAnsi="宋体"/>
          <w:color w:val="auto"/>
          <w:kern w:val="0"/>
          <w:szCs w:val="21"/>
          <w:highlight w:val="none"/>
        </w:rPr>
        <w:t>日</w:t>
      </w:r>
    </w:p>
    <w:p>
      <w:pPr>
        <w:pStyle w:val="4"/>
        <w:outlineLvl w:val="1"/>
        <w:rPr>
          <w:color w:val="auto"/>
          <w:sz w:val="36"/>
          <w:szCs w:val="36"/>
          <w:highlight w:val="none"/>
        </w:rPr>
      </w:pPr>
      <w:r>
        <w:rPr>
          <w:rFonts w:hint="eastAsia"/>
          <w:color w:val="auto"/>
          <w:highlight w:val="none"/>
        </w:rPr>
        <w:br w:type="page"/>
      </w:r>
      <w:bookmarkStart w:id="716" w:name="_Toc3502"/>
      <w:bookmarkStart w:id="717" w:name="_Toc25512"/>
      <w:bookmarkStart w:id="718" w:name="_Toc10374"/>
      <w:bookmarkStart w:id="719" w:name="_Toc20421"/>
      <w:bookmarkStart w:id="720" w:name="_Toc11812"/>
      <w:bookmarkStart w:id="721" w:name="_Toc23644"/>
      <w:bookmarkStart w:id="722" w:name="_Toc28039"/>
      <w:bookmarkStart w:id="723" w:name="_Toc24914"/>
      <w:bookmarkStart w:id="724" w:name="_Toc7661"/>
      <w:bookmarkStart w:id="725" w:name="_Toc13695"/>
      <w:bookmarkStart w:id="726" w:name="_Toc12136"/>
      <w:bookmarkStart w:id="727" w:name="_Toc32367"/>
      <w:bookmarkStart w:id="728" w:name="_Toc31636"/>
      <w:bookmarkStart w:id="729" w:name="_Toc28648"/>
      <w:bookmarkStart w:id="730" w:name="_Toc25010"/>
      <w:bookmarkStart w:id="731" w:name="_Toc514170143"/>
      <w:bookmarkStart w:id="732" w:name="_Toc16396"/>
      <w:r>
        <w:rPr>
          <w:rFonts w:hint="eastAsia"/>
          <w:color w:val="auto"/>
          <w:spacing w:val="20"/>
          <w:sz w:val="32"/>
          <w:highlight w:val="none"/>
        </w:rPr>
        <w:t>二、法定代表人身份证明、授权委托书</w:t>
      </w:r>
      <w:bookmarkEnd w:id="716"/>
      <w:bookmarkEnd w:id="717"/>
      <w:bookmarkEnd w:id="718"/>
      <w:bookmarkEnd w:id="719"/>
      <w:bookmarkEnd w:id="720"/>
      <w:bookmarkEnd w:id="721"/>
      <w:bookmarkEnd w:id="722"/>
      <w:bookmarkEnd w:id="723"/>
      <w:bookmarkEnd w:id="724"/>
      <w:bookmarkEnd w:id="725"/>
    </w:p>
    <w:bookmarkEnd w:id="726"/>
    <w:bookmarkEnd w:id="727"/>
    <w:bookmarkEnd w:id="728"/>
    <w:bookmarkEnd w:id="729"/>
    <w:p>
      <w:pPr>
        <w:spacing w:line="463" w:lineRule="exact"/>
        <w:ind w:right="15"/>
        <w:jc w:val="center"/>
        <w:rPr>
          <w:rFonts w:ascii="宋体" w:hAnsi="宋体"/>
          <w:color w:val="auto"/>
          <w:spacing w:val="2"/>
          <w:w w:val="99"/>
          <w:position w:val="-1"/>
          <w:sz w:val="32"/>
          <w:highlight w:val="none"/>
        </w:rPr>
      </w:pPr>
    </w:p>
    <w:p>
      <w:pPr>
        <w:spacing w:line="463" w:lineRule="exact"/>
        <w:ind w:right="15"/>
        <w:jc w:val="center"/>
        <w:rPr>
          <w:rFonts w:ascii="宋体" w:hAnsi="宋体" w:cs="宋体"/>
          <w:b/>
          <w:bCs/>
          <w:color w:val="auto"/>
          <w:sz w:val="30"/>
          <w:szCs w:val="30"/>
          <w:highlight w:val="none"/>
        </w:rPr>
      </w:pPr>
      <w:r>
        <w:rPr>
          <w:rFonts w:hint="eastAsia" w:ascii="宋体" w:hAnsi="宋体"/>
          <w:color w:val="auto"/>
          <w:spacing w:val="2"/>
          <w:w w:val="99"/>
          <w:position w:val="-1"/>
          <w:sz w:val="32"/>
          <w:highlight w:val="none"/>
        </w:rPr>
        <w:t>法定代表人身份证明</w:t>
      </w:r>
    </w:p>
    <w:p>
      <w:pPr>
        <w:autoSpaceDE w:val="0"/>
        <w:autoSpaceDN w:val="0"/>
        <w:adjustRightInd w:val="0"/>
        <w:spacing w:line="480" w:lineRule="exact"/>
        <w:rPr>
          <w:rFonts w:ascii="宋体" w:hAnsi="宋体" w:cs="宋体"/>
          <w:color w:val="auto"/>
          <w:kern w:val="0"/>
          <w:sz w:val="32"/>
          <w:highlight w:val="none"/>
        </w:rPr>
      </w:pPr>
    </w:p>
    <w:p>
      <w:pPr>
        <w:autoSpaceDE w:val="0"/>
        <w:autoSpaceDN w:val="0"/>
        <w:adjustRightInd w:val="0"/>
        <w:spacing w:line="400" w:lineRule="exact"/>
        <w:ind w:firstLine="1365" w:firstLineChars="650"/>
        <w:rPr>
          <w:rFonts w:ascii="宋体" w:hAnsi="宋体" w:cs="宋体"/>
          <w:bCs/>
          <w:color w:val="auto"/>
          <w:kern w:val="0"/>
          <w:szCs w:val="21"/>
          <w:highlight w:val="none"/>
          <w:u w:val="single"/>
        </w:rPr>
      </w:pPr>
      <w:r>
        <w:rPr>
          <w:rFonts w:hint="eastAsia" w:ascii="宋体" w:hAnsi="宋体" w:cs="宋体"/>
          <w:bCs/>
          <w:color w:val="auto"/>
          <w:kern w:val="0"/>
          <w:szCs w:val="21"/>
          <w:highlight w:val="none"/>
        </w:rPr>
        <w:t>投 标 人：</w:t>
      </w:r>
      <w:r>
        <w:rPr>
          <w:rFonts w:hint="eastAsia" w:ascii="宋体" w:hAnsi="宋体" w:cs="宋体"/>
          <w:bCs/>
          <w:color w:val="auto"/>
          <w:kern w:val="0"/>
          <w:szCs w:val="21"/>
          <w:highlight w:val="none"/>
          <w:u w:val="single"/>
        </w:rPr>
        <w:t xml:space="preserve">                                             </w:t>
      </w:r>
    </w:p>
    <w:p>
      <w:pPr>
        <w:autoSpaceDE w:val="0"/>
        <w:autoSpaceDN w:val="0"/>
        <w:adjustRightInd w:val="0"/>
        <w:spacing w:line="400" w:lineRule="exact"/>
        <w:ind w:firstLine="1365" w:firstLineChars="650"/>
        <w:rPr>
          <w:rFonts w:ascii="宋体" w:hAnsi="宋体" w:cs="宋体"/>
          <w:bCs/>
          <w:color w:val="auto"/>
          <w:kern w:val="0"/>
          <w:szCs w:val="21"/>
          <w:highlight w:val="none"/>
        </w:rPr>
      </w:pPr>
    </w:p>
    <w:p>
      <w:pPr>
        <w:autoSpaceDE w:val="0"/>
        <w:autoSpaceDN w:val="0"/>
        <w:adjustRightInd w:val="0"/>
        <w:spacing w:line="400" w:lineRule="exact"/>
        <w:ind w:firstLine="1365" w:firstLineChars="650"/>
        <w:rPr>
          <w:rFonts w:ascii="宋体" w:hAnsi="宋体" w:cs="宋体"/>
          <w:bCs/>
          <w:color w:val="auto"/>
          <w:kern w:val="0"/>
          <w:szCs w:val="21"/>
          <w:highlight w:val="none"/>
          <w:u w:val="single"/>
        </w:rPr>
      </w:pPr>
      <w:r>
        <w:rPr>
          <w:rFonts w:hint="eastAsia" w:ascii="宋体" w:hAnsi="宋体" w:cs="宋体"/>
          <w:bCs/>
          <w:color w:val="auto"/>
          <w:kern w:val="0"/>
          <w:szCs w:val="21"/>
          <w:highlight w:val="none"/>
        </w:rPr>
        <w:t>姓 名：</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 xml:space="preserve"> 性 别：</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 龄：</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职 务：</w:t>
      </w:r>
      <w:r>
        <w:rPr>
          <w:rFonts w:hint="eastAsia" w:ascii="宋体" w:hAnsi="宋体" w:cs="宋体"/>
          <w:bCs/>
          <w:color w:val="auto"/>
          <w:kern w:val="0"/>
          <w:szCs w:val="21"/>
          <w:highlight w:val="none"/>
          <w:u w:val="single"/>
        </w:rPr>
        <w:t xml:space="preserve">      .</w:t>
      </w:r>
    </w:p>
    <w:p>
      <w:pPr>
        <w:autoSpaceDE w:val="0"/>
        <w:autoSpaceDN w:val="0"/>
        <w:adjustRightInd w:val="0"/>
        <w:spacing w:line="400" w:lineRule="exact"/>
        <w:ind w:firstLine="1365" w:firstLineChars="650"/>
        <w:rPr>
          <w:rFonts w:ascii="宋体" w:hAnsi="宋体" w:cs="宋体"/>
          <w:bCs/>
          <w:color w:val="auto"/>
          <w:kern w:val="0"/>
          <w:szCs w:val="21"/>
          <w:highlight w:val="none"/>
        </w:rPr>
      </w:pPr>
    </w:p>
    <w:p>
      <w:pPr>
        <w:autoSpaceDE w:val="0"/>
        <w:autoSpaceDN w:val="0"/>
        <w:adjustRightInd w:val="0"/>
        <w:spacing w:line="400" w:lineRule="exact"/>
        <w:ind w:firstLine="1365" w:firstLineChars="650"/>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系 </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（投标人名称）的法定代表人。</w:t>
      </w:r>
    </w:p>
    <w:p>
      <w:pPr>
        <w:autoSpaceDE w:val="0"/>
        <w:autoSpaceDN w:val="0"/>
        <w:adjustRightInd w:val="0"/>
        <w:spacing w:line="400" w:lineRule="exact"/>
        <w:ind w:firstLine="1365" w:firstLineChars="650"/>
        <w:rPr>
          <w:rFonts w:ascii="宋体" w:hAnsi="宋体" w:cs="宋体"/>
          <w:bCs/>
          <w:color w:val="auto"/>
          <w:kern w:val="0"/>
          <w:szCs w:val="21"/>
          <w:highlight w:val="none"/>
        </w:rPr>
      </w:pPr>
    </w:p>
    <w:p>
      <w:pPr>
        <w:autoSpaceDE w:val="0"/>
        <w:autoSpaceDN w:val="0"/>
        <w:adjustRightInd w:val="0"/>
        <w:spacing w:line="400" w:lineRule="exact"/>
        <w:ind w:firstLine="1365" w:firstLineChars="650"/>
        <w:rPr>
          <w:rFonts w:ascii="宋体" w:hAnsi="宋体" w:cs="宋体"/>
          <w:bCs/>
          <w:color w:val="auto"/>
          <w:kern w:val="0"/>
          <w:szCs w:val="21"/>
          <w:highlight w:val="none"/>
        </w:rPr>
      </w:pPr>
      <w:r>
        <w:rPr>
          <w:rFonts w:hint="eastAsia" w:ascii="宋体" w:hAnsi="宋体" w:cs="宋体"/>
          <w:bCs/>
          <w:color w:val="auto"/>
          <w:kern w:val="0"/>
          <w:szCs w:val="21"/>
          <w:highlight w:val="none"/>
        </w:rPr>
        <w:t>特此证明。</w:t>
      </w:r>
    </w:p>
    <w:p>
      <w:pPr>
        <w:autoSpaceDE w:val="0"/>
        <w:autoSpaceDN w:val="0"/>
        <w:adjustRightInd w:val="0"/>
        <w:spacing w:line="400" w:lineRule="exact"/>
        <w:rPr>
          <w:rFonts w:ascii="宋体" w:hAnsi="宋体" w:cs="宋体"/>
          <w:bCs/>
          <w:color w:val="auto"/>
          <w:kern w:val="0"/>
          <w:szCs w:val="21"/>
          <w:highlight w:val="none"/>
        </w:rPr>
      </w:pPr>
    </w:p>
    <w:p>
      <w:pPr>
        <w:autoSpaceDE w:val="0"/>
        <w:autoSpaceDN w:val="0"/>
        <w:adjustRightInd w:val="0"/>
        <w:spacing w:line="400" w:lineRule="exact"/>
        <w:ind w:firstLine="1274" w:firstLineChars="650"/>
        <w:rPr>
          <w:rFonts w:ascii="宋体" w:hAnsi="宋体" w:cs="微软雅黑"/>
          <w:color w:val="auto"/>
          <w:spacing w:val="-7"/>
          <w:highlight w:val="none"/>
        </w:rPr>
      </w:pPr>
      <w:r>
        <w:rPr>
          <w:rFonts w:ascii="宋体" w:hAnsi="宋体" w:cs="微软雅黑"/>
          <w:color w:val="auto"/>
          <w:spacing w:val="-7"/>
          <w:highlight w:val="none"/>
        </w:rPr>
        <w:t>附：法定代表人身份证复印件。</w:t>
      </w:r>
    </w:p>
    <w:p>
      <w:pPr>
        <w:autoSpaceDE w:val="0"/>
        <w:autoSpaceDN w:val="0"/>
        <w:adjustRightInd w:val="0"/>
        <w:spacing w:line="400" w:lineRule="exact"/>
        <w:ind w:firstLine="1274" w:firstLineChars="650"/>
        <w:rPr>
          <w:rFonts w:ascii="宋体" w:hAnsi="宋体" w:cs="宋体"/>
          <w:bCs/>
          <w:color w:val="auto"/>
          <w:kern w:val="0"/>
          <w:szCs w:val="21"/>
          <w:highlight w:val="none"/>
        </w:rPr>
      </w:pPr>
      <w:r>
        <w:rPr>
          <w:rFonts w:ascii="宋体" w:hAnsi="宋体" w:cs="微软雅黑"/>
          <w:color w:val="auto"/>
          <w:spacing w:val="-7"/>
          <w:highlight w:val="none"/>
        </w:rPr>
        <w:t>注：本身份证明需由投标人加盖单位公章。</w:t>
      </w:r>
    </w:p>
    <w:p>
      <w:pPr>
        <w:autoSpaceDE w:val="0"/>
        <w:autoSpaceDN w:val="0"/>
        <w:adjustRightInd w:val="0"/>
        <w:spacing w:line="400" w:lineRule="exact"/>
        <w:ind w:firstLine="3360" w:firstLineChars="1600"/>
        <w:rPr>
          <w:rFonts w:ascii="宋体" w:hAnsi="宋体" w:cs="宋体"/>
          <w:bCs/>
          <w:color w:val="auto"/>
          <w:kern w:val="0"/>
          <w:szCs w:val="21"/>
          <w:highlight w:val="none"/>
        </w:rPr>
      </w:pPr>
    </w:p>
    <w:p>
      <w:pPr>
        <w:autoSpaceDE w:val="0"/>
        <w:autoSpaceDN w:val="0"/>
        <w:adjustRightInd w:val="0"/>
        <w:spacing w:line="400" w:lineRule="exact"/>
        <w:ind w:firstLine="3360" w:firstLineChars="1600"/>
        <w:rPr>
          <w:rFonts w:ascii="宋体" w:hAnsi="宋体" w:cs="宋体"/>
          <w:bCs/>
          <w:color w:val="auto"/>
          <w:kern w:val="0"/>
          <w:szCs w:val="21"/>
          <w:highlight w:val="none"/>
        </w:rPr>
      </w:pPr>
      <w:r>
        <w:rPr>
          <w:rFonts w:hint="eastAsia" w:ascii="宋体" w:hAnsi="宋体" w:cs="宋体"/>
          <w:bCs/>
          <w:color w:val="auto"/>
          <w:kern w:val="0"/>
          <w:szCs w:val="21"/>
          <w:highlight w:val="none"/>
        </w:rPr>
        <w:t>投标人：</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（盖单位公章）</w:t>
      </w:r>
    </w:p>
    <w:p>
      <w:pPr>
        <w:autoSpaceDE w:val="0"/>
        <w:autoSpaceDN w:val="0"/>
        <w:adjustRightInd w:val="0"/>
        <w:spacing w:line="400" w:lineRule="exact"/>
        <w:ind w:firstLine="1365" w:firstLineChars="650"/>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w:t>
      </w:r>
    </w:p>
    <w:p>
      <w:pPr>
        <w:spacing w:line="480" w:lineRule="exact"/>
        <w:ind w:firstLine="3885" w:firstLineChars="1850"/>
        <w:rPr>
          <w:rFonts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rPr>
          <w:rFonts w:ascii="宋体" w:hAnsi="宋体"/>
          <w:b/>
          <w:color w:val="auto"/>
          <w:sz w:val="30"/>
          <w:szCs w:val="30"/>
          <w:highlight w:val="none"/>
        </w:rPr>
      </w:pPr>
    </w:p>
    <w:p>
      <w:pPr>
        <w:jc w:val="center"/>
        <w:rPr>
          <w:rFonts w:ascii="宋体" w:hAnsi="宋体"/>
          <w:b/>
          <w:bCs/>
          <w:color w:val="auto"/>
          <w:sz w:val="30"/>
          <w:szCs w:val="30"/>
          <w:highlight w:val="none"/>
        </w:rPr>
      </w:pPr>
    </w:p>
    <w:p>
      <w:pPr>
        <w:spacing w:line="463" w:lineRule="exact"/>
        <w:ind w:left="3251" w:right="3251"/>
        <w:jc w:val="center"/>
        <w:rPr>
          <w:rFonts w:ascii="宋体" w:hAnsi="宋体"/>
          <w:color w:val="auto"/>
          <w:w w:val="99"/>
          <w:position w:val="-1"/>
          <w:sz w:val="32"/>
          <w:highlight w:val="none"/>
        </w:rPr>
      </w:pPr>
      <w:r>
        <w:rPr>
          <w:rFonts w:hint="eastAsia" w:ascii="宋体" w:hAnsi="宋体"/>
          <w:b/>
          <w:bCs/>
          <w:color w:val="auto"/>
          <w:sz w:val="30"/>
          <w:szCs w:val="30"/>
          <w:highlight w:val="none"/>
        </w:rPr>
        <w:br w:type="page"/>
      </w:r>
      <w:bookmarkStart w:id="733" w:name="_Toc7629"/>
      <w:bookmarkStart w:id="734" w:name="_Toc23382"/>
      <w:bookmarkStart w:id="735" w:name="_Toc16423"/>
      <w:bookmarkStart w:id="736" w:name="_Toc32660"/>
      <w:r>
        <w:rPr>
          <w:rFonts w:ascii="宋体" w:hAnsi="宋体"/>
          <w:color w:val="auto"/>
          <w:spacing w:val="2"/>
          <w:w w:val="99"/>
          <w:position w:val="-1"/>
          <w:sz w:val="32"/>
          <w:highlight w:val="none"/>
        </w:rPr>
        <w:t>授权委</w:t>
      </w:r>
      <w:r>
        <w:rPr>
          <w:rFonts w:ascii="宋体" w:hAnsi="宋体"/>
          <w:color w:val="auto"/>
          <w:spacing w:val="3"/>
          <w:w w:val="99"/>
          <w:position w:val="-1"/>
          <w:sz w:val="32"/>
          <w:highlight w:val="none"/>
        </w:rPr>
        <w:t>托</w:t>
      </w:r>
      <w:r>
        <w:rPr>
          <w:rFonts w:ascii="宋体" w:hAnsi="宋体"/>
          <w:color w:val="auto"/>
          <w:w w:val="99"/>
          <w:position w:val="-1"/>
          <w:sz w:val="32"/>
          <w:highlight w:val="none"/>
        </w:rPr>
        <w:t>书</w:t>
      </w:r>
    </w:p>
    <w:p>
      <w:pPr>
        <w:pStyle w:val="6"/>
        <w:rPr>
          <w:color w:val="auto"/>
          <w:highlight w:val="none"/>
        </w:rPr>
      </w:pPr>
    </w:p>
    <w:p>
      <w:pPr>
        <w:pStyle w:val="6"/>
        <w:rPr>
          <w:color w:val="auto"/>
          <w:highlight w:val="none"/>
        </w:rPr>
      </w:pPr>
    </w:p>
    <w:p>
      <w:pPr>
        <w:tabs>
          <w:tab w:val="left" w:pos="2420"/>
          <w:tab w:val="left" w:pos="5580"/>
        </w:tabs>
        <w:spacing w:line="360" w:lineRule="auto"/>
        <w:ind w:left="520" w:right="-20"/>
        <w:jc w:val="left"/>
        <w:rPr>
          <w:rFonts w:ascii="宋体" w:hAnsi="宋体"/>
          <w:color w:val="auto"/>
          <w:sz w:val="21"/>
          <w:szCs w:val="21"/>
          <w:highlight w:val="none"/>
        </w:rPr>
      </w:pPr>
      <w:r>
        <w:rPr>
          <w:rFonts w:ascii="宋体" w:hAnsi="宋体"/>
          <w:color w:val="auto"/>
          <w:position w:val="-4"/>
          <w:sz w:val="21"/>
          <w:szCs w:val="21"/>
          <w:highlight w:val="none"/>
        </w:rPr>
        <w:t>本人</w:t>
      </w:r>
      <w:r>
        <w:rPr>
          <w:rFonts w:ascii="宋体" w:hAnsi="宋体"/>
          <w:color w:val="auto"/>
          <w:position w:val="-4"/>
          <w:sz w:val="21"/>
          <w:szCs w:val="21"/>
          <w:highlight w:val="none"/>
          <w:u w:val="single"/>
        </w:rPr>
        <w:t xml:space="preserve"> </w:t>
      </w:r>
      <w:r>
        <w:rPr>
          <w:rFonts w:ascii="宋体" w:hAnsi="宋体"/>
          <w:color w:val="auto"/>
          <w:spacing w:val="1"/>
          <w:position w:val="-4"/>
          <w:sz w:val="21"/>
          <w:szCs w:val="21"/>
          <w:highlight w:val="none"/>
          <w:u w:val="single"/>
        </w:rPr>
        <w:t xml:space="preserve"> </w:t>
      </w:r>
      <w:r>
        <w:rPr>
          <w:rFonts w:ascii="宋体" w:hAnsi="宋体"/>
          <w:color w:val="auto"/>
          <w:position w:val="-4"/>
          <w:sz w:val="21"/>
          <w:szCs w:val="21"/>
          <w:highlight w:val="none"/>
          <w:u w:val="single"/>
        </w:rPr>
        <w:tab/>
      </w:r>
      <w:r>
        <w:rPr>
          <w:rFonts w:ascii="宋体" w:hAnsi="宋体"/>
          <w:color w:val="auto"/>
          <w:position w:val="-4"/>
          <w:sz w:val="21"/>
          <w:szCs w:val="21"/>
          <w:highlight w:val="none"/>
        </w:rPr>
        <w:t>（</w:t>
      </w:r>
      <w:r>
        <w:rPr>
          <w:rFonts w:ascii="宋体" w:hAnsi="宋体"/>
          <w:color w:val="auto"/>
          <w:spacing w:val="-2"/>
          <w:position w:val="-4"/>
          <w:sz w:val="21"/>
          <w:szCs w:val="21"/>
          <w:highlight w:val="none"/>
        </w:rPr>
        <w:t>姓</w:t>
      </w:r>
      <w:r>
        <w:rPr>
          <w:rFonts w:ascii="宋体" w:hAnsi="宋体"/>
          <w:color w:val="auto"/>
          <w:position w:val="-4"/>
          <w:sz w:val="21"/>
          <w:szCs w:val="21"/>
          <w:highlight w:val="none"/>
        </w:rPr>
        <w:t>名）系</w:t>
      </w:r>
      <w:r>
        <w:rPr>
          <w:rFonts w:ascii="宋体" w:hAnsi="宋体"/>
          <w:color w:val="auto"/>
          <w:position w:val="-4"/>
          <w:sz w:val="21"/>
          <w:szCs w:val="21"/>
          <w:highlight w:val="none"/>
          <w:u w:val="single"/>
        </w:rPr>
        <w:t xml:space="preserve"> </w:t>
      </w:r>
      <w:r>
        <w:rPr>
          <w:rFonts w:ascii="宋体" w:hAnsi="宋体"/>
          <w:color w:val="auto"/>
          <w:spacing w:val="1"/>
          <w:position w:val="-4"/>
          <w:sz w:val="21"/>
          <w:szCs w:val="21"/>
          <w:highlight w:val="none"/>
          <w:u w:val="single"/>
        </w:rPr>
        <w:t xml:space="preserve"> </w:t>
      </w:r>
      <w:r>
        <w:rPr>
          <w:rFonts w:ascii="宋体" w:hAnsi="宋体"/>
          <w:color w:val="auto"/>
          <w:position w:val="-4"/>
          <w:sz w:val="21"/>
          <w:szCs w:val="21"/>
          <w:highlight w:val="none"/>
          <w:u w:val="single"/>
        </w:rPr>
        <w:tab/>
      </w:r>
      <w:r>
        <w:rPr>
          <w:rFonts w:ascii="宋体" w:hAnsi="宋体"/>
          <w:color w:val="auto"/>
          <w:position w:val="-4"/>
          <w:sz w:val="21"/>
          <w:szCs w:val="21"/>
          <w:highlight w:val="none"/>
        </w:rPr>
        <w:t>（投标人</w:t>
      </w:r>
      <w:r>
        <w:rPr>
          <w:rFonts w:ascii="宋体" w:hAnsi="宋体"/>
          <w:color w:val="auto"/>
          <w:spacing w:val="-2"/>
          <w:position w:val="-4"/>
          <w:sz w:val="21"/>
          <w:szCs w:val="21"/>
          <w:highlight w:val="none"/>
        </w:rPr>
        <w:t>名</w:t>
      </w:r>
      <w:r>
        <w:rPr>
          <w:rFonts w:ascii="宋体" w:hAnsi="宋体"/>
          <w:color w:val="auto"/>
          <w:position w:val="-4"/>
          <w:sz w:val="21"/>
          <w:szCs w:val="21"/>
          <w:highlight w:val="none"/>
        </w:rPr>
        <w:t>称）的</w:t>
      </w:r>
      <w:r>
        <w:rPr>
          <w:rFonts w:ascii="宋体" w:hAnsi="宋体"/>
          <w:color w:val="auto"/>
          <w:spacing w:val="-2"/>
          <w:position w:val="-4"/>
          <w:sz w:val="21"/>
          <w:szCs w:val="21"/>
          <w:highlight w:val="none"/>
        </w:rPr>
        <w:t>法定</w:t>
      </w:r>
      <w:r>
        <w:rPr>
          <w:rFonts w:ascii="宋体" w:hAnsi="宋体"/>
          <w:color w:val="auto"/>
          <w:position w:val="-4"/>
          <w:sz w:val="21"/>
          <w:szCs w:val="21"/>
          <w:highlight w:val="none"/>
        </w:rPr>
        <w:t>代表人</w:t>
      </w:r>
      <w:r>
        <w:rPr>
          <w:rFonts w:ascii="宋体" w:hAnsi="宋体"/>
          <w:color w:val="auto"/>
          <w:spacing w:val="-2"/>
          <w:position w:val="-4"/>
          <w:sz w:val="21"/>
          <w:szCs w:val="21"/>
          <w:highlight w:val="none"/>
        </w:rPr>
        <w:t>，</w:t>
      </w:r>
      <w:r>
        <w:rPr>
          <w:rFonts w:ascii="宋体" w:hAnsi="宋体"/>
          <w:color w:val="auto"/>
          <w:position w:val="-4"/>
          <w:sz w:val="21"/>
          <w:szCs w:val="21"/>
          <w:highlight w:val="none"/>
        </w:rPr>
        <w:t>现</w:t>
      </w:r>
    </w:p>
    <w:p>
      <w:pPr>
        <w:tabs>
          <w:tab w:val="left" w:pos="1780"/>
        </w:tabs>
        <w:spacing w:line="360" w:lineRule="auto"/>
        <w:ind w:left="100" w:right="-20"/>
        <w:jc w:val="left"/>
        <w:rPr>
          <w:rFonts w:ascii="宋体" w:hAnsi="宋体"/>
          <w:color w:val="auto"/>
          <w:sz w:val="21"/>
          <w:szCs w:val="21"/>
          <w:highlight w:val="none"/>
        </w:rPr>
      </w:pPr>
      <w:r>
        <w:rPr>
          <w:rFonts w:ascii="宋体" w:hAnsi="宋体"/>
          <w:color w:val="auto"/>
          <w:position w:val="-2"/>
          <w:sz w:val="21"/>
          <w:szCs w:val="21"/>
          <w:highlight w:val="none"/>
        </w:rPr>
        <w:t>委托</w:t>
      </w:r>
      <w:r>
        <w:rPr>
          <w:rFonts w:ascii="宋体" w:hAnsi="宋体"/>
          <w:color w:val="auto"/>
          <w:position w:val="-4"/>
          <w:sz w:val="21"/>
          <w:szCs w:val="21"/>
          <w:highlight w:val="none"/>
          <w:u w:val="single"/>
        </w:rPr>
        <w:t xml:space="preserve">  </w:t>
      </w:r>
      <w:r>
        <w:rPr>
          <w:rFonts w:ascii="宋体" w:hAnsi="宋体"/>
          <w:color w:val="auto"/>
          <w:position w:val="-4"/>
          <w:sz w:val="21"/>
          <w:szCs w:val="21"/>
          <w:highlight w:val="none"/>
          <w:u w:val="single"/>
        </w:rPr>
        <w:tab/>
      </w:r>
      <w:r>
        <w:rPr>
          <w:rFonts w:ascii="宋体" w:hAnsi="宋体"/>
          <w:color w:val="auto"/>
          <w:position w:val="-2"/>
          <w:sz w:val="21"/>
          <w:szCs w:val="21"/>
          <w:highlight w:val="none"/>
        </w:rPr>
        <w:t>（姓</w:t>
      </w:r>
      <w:r>
        <w:rPr>
          <w:rFonts w:ascii="宋体" w:hAnsi="宋体"/>
          <w:color w:val="auto"/>
          <w:spacing w:val="-2"/>
          <w:position w:val="-2"/>
          <w:sz w:val="21"/>
          <w:szCs w:val="21"/>
          <w:highlight w:val="none"/>
        </w:rPr>
        <w:t>名</w:t>
      </w:r>
      <w:r>
        <w:rPr>
          <w:rFonts w:ascii="宋体" w:hAnsi="宋体"/>
          <w:color w:val="auto"/>
          <w:position w:val="-2"/>
          <w:sz w:val="21"/>
          <w:szCs w:val="21"/>
          <w:highlight w:val="none"/>
        </w:rPr>
        <w:t>）为我方代</w:t>
      </w:r>
      <w:r>
        <w:rPr>
          <w:rFonts w:ascii="宋体" w:hAnsi="宋体"/>
          <w:color w:val="auto"/>
          <w:spacing w:val="-2"/>
          <w:position w:val="-2"/>
          <w:sz w:val="21"/>
          <w:szCs w:val="21"/>
          <w:highlight w:val="none"/>
        </w:rPr>
        <w:t>理</w:t>
      </w:r>
      <w:r>
        <w:rPr>
          <w:rFonts w:ascii="宋体" w:hAnsi="宋体"/>
          <w:color w:val="auto"/>
          <w:position w:val="-2"/>
          <w:sz w:val="21"/>
          <w:szCs w:val="21"/>
          <w:highlight w:val="none"/>
        </w:rPr>
        <w:t>人。代理</w:t>
      </w:r>
      <w:r>
        <w:rPr>
          <w:rFonts w:ascii="宋体" w:hAnsi="宋体"/>
          <w:color w:val="auto"/>
          <w:spacing w:val="-2"/>
          <w:position w:val="-2"/>
          <w:sz w:val="21"/>
          <w:szCs w:val="21"/>
          <w:highlight w:val="none"/>
        </w:rPr>
        <w:t>人</w:t>
      </w:r>
      <w:r>
        <w:rPr>
          <w:rFonts w:ascii="宋体" w:hAnsi="宋体"/>
          <w:color w:val="auto"/>
          <w:position w:val="-2"/>
          <w:sz w:val="21"/>
          <w:szCs w:val="21"/>
          <w:highlight w:val="none"/>
        </w:rPr>
        <w:t>根据授权，</w:t>
      </w:r>
      <w:r>
        <w:rPr>
          <w:rFonts w:ascii="宋体" w:hAnsi="宋体"/>
          <w:color w:val="auto"/>
          <w:spacing w:val="-2"/>
          <w:position w:val="-2"/>
          <w:sz w:val="21"/>
          <w:szCs w:val="21"/>
          <w:highlight w:val="none"/>
        </w:rPr>
        <w:t>以</w:t>
      </w:r>
      <w:r>
        <w:rPr>
          <w:rFonts w:ascii="宋体" w:hAnsi="宋体"/>
          <w:color w:val="auto"/>
          <w:position w:val="-2"/>
          <w:sz w:val="21"/>
          <w:szCs w:val="21"/>
          <w:highlight w:val="none"/>
        </w:rPr>
        <w:t>我方名义</w:t>
      </w:r>
      <w:r>
        <w:rPr>
          <w:rFonts w:ascii="宋体" w:hAnsi="宋体"/>
          <w:color w:val="auto"/>
          <w:spacing w:val="-2"/>
          <w:position w:val="-2"/>
          <w:sz w:val="21"/>
          <w:szCs w:val="21"/>
          <w:highlight w:val="none"/>
        </w:rPr>
        <w:t>签</w:t>
      </w:r>
      <w:r>
        <w:rPr>
          <w:rFonts w:ascii="宋体" w:hAnsi="宋体"/>
          <w:color w:val="auto"/>
          <w:position w:val="-2"/>
          <w:sz w:val="21"/>
          <w:szCs w:val="21"/>
          <w:highlight w:val="none"/>
        </w:rPr>
        <w:t>署、澄清确</w:t>
      </w:r>
      <w:r>
        <w:rPr>
          <w:rFonts w:ascii="宋体" w:hAnsi="宋体"/>
          <w:color w:val="auto"/>
          <w:spacing w:val="-2"/>
          <w:position w:val="-2"/>
          <w:sz w:val="21"/>
          <w:szCs w:val="21"/>
          <w:highlight w:val="none"/>
        </w:rPr>
        <w:t>认</w:t>
      </w:r>
      <w:r>
        <w:rPr>
          <w:rFonts w:ascii="宋体" w:hAnsi="宋体"/>
          <w:color w:val="auto"/>
          <w:position w:val="-2"/>
          <w:sz w:val="21"/>
          <w:szCs w:val="21"/>
          <w:highlight w:val="none"/>
        </w:rPr>
        <w:t>、递</w:t>
      </w:r>
    </w:p>
    <w:p>
      <w:pPr>
        <w:spacing w:line="360" w:lineRule="auto"/>
        <w:ind w:left="100" w:right="-20"/>
        <w:jc w:val="left"/>
        <w:rPr>
          <w:rFonts w:ascii="宋体" w:hAnsi="宋体"/>
          <w:color w:val="auto"/>
          <w:sz w:val="21"/>
          <w:szCs w:val="21"/>
          <w:highlight w:val="none"/>
        </w:rPr>
      </w:pPr>
      <w:r>
        <w:rPr>
          <w:rFonts w:ascii="宋体" w:hAnsi="宋体"/>
          <w:color w:val="auto"/>
          <w:position w:val="-1"/>
          <w:sz w:val="21"/>
          <w:szCs w:val="21"/>
          <w:highlight w:val="none"/>
        </w:rPr>
        <w:t>交、</w:t>
      </w:r>
      <w:r>
        <w:rPr>
          <w:rFonts w:ascii="宋体" w:hAnsi="宋体"/>
          <w:color w:val="auto"/>
          <w:spacing w:val="-2"/>
          <w:position w:val="-1"/>
          <w:sz w:val="21"/>
          <w:szCs w:val="21"/>
          <w:highlight w:val="none"/>
        </w:rPr>
        <w:t>撤</w:t>
      </w:r>
      <w:r>
        <w:rPr>
          <w:rFonts w:ascii="宋体" w:hAnsi="宋体"/>
          <w:color w:val="auto"/>
          <w:position w:val="-1"/>
          <w:sz w:val="21"/>
          <w:szCs w:val="21"/>
          <w:highlight w:val="none"/>
        </w:rPr>
        <w:t>回</w:t>
      </w:r>
      <w:r>
        <w:rPr>
          <w:rFonts w:ascii="宋体" w:hAnsi="宋体"/>
          <w:color w:val="auto"/>
          <w:spacing w:val="-2"/>
          <w:position w:val="-1"/>
          <w:sz w:val="21"/>
          <w:szCs w:val="21"/>
          <w:highlight w:val="none"/>
        </w:rPr>
        <w:t>、</w:t>
      </w:r>
      <w:r>
        <w:rPr>
          <w:rFonts w:ascii="宋体" w:hAnsi="宋体"/>
          <w:color w:val="auto"/>
          <w:position w:val="-1"/>
          <w:sz w:val="21"/>
          <w:szCs w:val="21"/>
          <w:highlight w:val="none"/>
        </w:rPr>
        <w:t>修</w:t>
      </w:r>
      <w:r>
        <w:rPr>
          <w:rFonts w:ascii="宋体" w:hAnsi="宋体"/>
          <w:color w:val="auto"/>
          <w:spacing w:val="-3"/>
          <w:position w:val="-1"/>
          <w:sz w:val="21"/>
          <w:szCs w:val="21"/>
          <w:highlight w:val="none"/>
        </w:rPr>
        <w:t>改</w:t>
      </w:r>
      <w:r>
        <w:rPr>
          <w:rFonts w:hint="eastAsia" w:ascii="宋体" w:hAnsi="宋体"/>
          <w:color w:val="auto"/>
          <w:position w:val="-2"/>
          <w:sz w:val="21"/>
          <w:szCs w:val="21"/>
          <w:highlight w:val="none"/>
          <w:u w:val="single"/>
        </w:rPr>
        <w:t xml:space="preserve">          （项目名称）</w:t>
      </w:r>
      <w:r>
        <w:rPr>
          <w:rFonts w:ascii="宋体" w:hAnsi="宋体"/>
          <w:color w:val="auto"/>
          <w:position w:val="-1"/>
          <w:sz w:val="21"/>
          <w:szCs w:val="21"/>
          <w:highlight w:val="none"/>
        </w:rPr>
        <w:t>招</w:t>
      </w:r>
      <w:r>
        <w:rPr>
          <w:rFonts w:ascii="宋体" w:hAnsi="宋体"/>
          <w:color w:val="auto"/>
          <w:spacing w:val="-2"/>
          <w:position w:val="-1"/>
          <w:sz w:val="21"/>
          <w:szCs w:val="21"/>
          <w:highlight w:val="none"/>
        </w:rPr>
        <w:t>标</w:t>
      </w:r>
      <w:r>
        <w:rPr>
          <w:rFonts w:ascii="宋体" w:hAnsi="宋体"/>
          <w:color w:val="auto"/>
          <w:position w:val="-1"/>
          <w:sz w:val="21"/>
          <w:szCs w:val="21"/>
          <w:highlight w:val="none"/>
        </w:rPr>
        <w:t>项目</w:t>
      </w:r>
      <w:r>
        <w:rPr>
          <w:rFonts w:ascii="宋体" w:hAnsi="宋体"/>
          <w:color w:val="auto"/>
          <w:spacing w:val="-2"/>
          <w:position w:val="-1"/>
          <w:sz w:val="21"/>
          <w:szCs w:val="21"/>
          <w:highlight w:val="none"/>
        </w:rPr>
        <w:t>投</w:t>
      </w:r>
      <w:r>
        <w:rPr>
          <w:rFonts w:ascii="宋体" w:hAnsi="宋体"/>
          <w:color w:val="auto"/>
          <w:position w:val="-1"/>
          <w:sz w:val="21"/>
          <w:szCs w:val="21"/>
          <w:highlight w:val="none"/>
        </w:rPr>
        <w:t>标</w:t>
      </w:r>
      <w:r>
        <w:rPr>
          <w:rFonts w:ascii="宋体" w:hAnsi="宋体"/>
          <w:color w:val="auto"/>
          <w:spacing w:val="-2"/>
          <w:position w:val="-1"/>
          <w:sz w:val="21"/>
          <w:szCs w:val="21"/>
          <w:highlight w:val="none"/>
        </w:rPr>
        <w:t>文</w:t>
      </w:r>
      <w:r>
        <w:rPr>
          <w:rFonts w:ascii="宋体" w:hAnsi="宋体"/>
          <w:color w:val="auto"/>
          <w:position w:val="-1"/>
          <w:sz w:val="21"/>
          <w:szCs w:val="21"/>
          <w:highlight w:val="none"/>
        </w:rPr>
        <w:t>件</w:t>
      </w:r>
      <w:r>
        <w:rPr>
          <w:rFonts w:ascii="宋体" w:hAnsi="宋体"/>
          <w:color w:val="auto"/>
          <w:spacing w:val="-2"/>
          <w:position w:val="-1"/>
          <w:sz w:val="21"/>
          <w:szCs w:val="21"/>
          <w:highlight w:val="none"/>
        </w:rPr>
        <w:t>、</w:t>
      </w:r>
      <w:r>
        <w:rPr>
          <w:rFonts w:ascii="宋体" w:hAnsi="宋体"/>
          <w:color w:val="auto"/>
          <w:position w:val="-1"/>
          <w:sz w:val="21"/>
          <w:szCs w:val="21"/>
          <w:highlight w:val="none"/>
        </w:rPr>
        <w:t>签</w:t>
      </w:r>
      <w:r>
        <w:rPr>
          <w:rFonts w:ascii="宋体" w:hAnsi="宋体"/>
          <w:color w:val="auto"/>
          <w:spacing w:val="-2"/>
          <w:position w:val="-1"/>
          <w:sz w:val="21"/>
          <w:szCs w:val="21"/>
          <w:highlight w:val="none"/>
        </w:rPr>
        <w:t>订</w:t>
      </w:r>
      <w:r>
        <w:rPr>
          <w:rFonts w:ascii="宋体" w:hAnsi="宋体"/>
          <w:color w:val="auto"/>
          <w:position w:val="-1"/>
          <w:sz w:val="21"/>
          <w:szCs w:val="21"/>
          <w:highlight w:val="none"/>
        </w:rPr>
        <w:t>合</w:t>
      </w:r>
      <w:r>
        <w:rPr>
          <w:rFonts w:ascii="宋体" w:hAnsi="宋体"/>
          <w:color w:val="auto"/>
          <w:spacing w:val="-2"/>
          <w:position w:val="-1"/>
          <w:sz w:val="21"/>
          <w:szCs w:val="21"/>
          <w:highlight w:val="none"/>
        </w:rPr>
        <w:t>同</w:t>
      </w:r>
      <w:r>
        <w:rPr>
          <w:rFonts w:ascii="宋体" w:hAnsi="宋体"/>
          <w:color w:val="auto"/>
          <w:position w:val="-1"/>
          <w:sz w:val="21"/>
          <w:szCs w:val="21"/>
          <w:highlight w:val="none"/>
        </w:rPr>
        <w:t>和处</w:t>
      </w:r>
      <w:r>
        <w:rPr>
          <w:rFonts w:ascii="宋体" w:hAnsi="宋体"/>
          <w:color w:val="auto"/>
          <w:spacing w:val="-2"/>
          <w:position w:val="-1"/>
          <w:sz w:val="21"/>
          <w:szCs w:val="21"/>
          <w:highlight w:val="none"/>
        </w:rPr>
        <w:t>理</w:t>
      </w:r>
      <w:r>
        <w:rPr>
          <w:rFonts w:ascii="宋体" w:hAnsi="宋体"/>
          <w:color w:val="auto"/>
          <w:position w:val="-1"/>
          <w:sz w:val="21"/>
          <w:szCs w:val="21"/>
          <w:highlight w:val="none"/>
        </w:rPr>
        <w:t>有</w:t>
      </w:r>
      <w:r>
        <w:rPr>
          <w:rFonts w:ascii="宋体" w:hAnsi="宋体"/>
          <w:color w:val="auto"/>
          <w:spacing w:val="-2"/>
          <w:position w:val="-1"/>
          <w:sz w:val="21"/>
          <w:szCs w:val="21"/>
          <w:highlight w:val="none"/>
        </w:rPr>
        <w:t>关</w:t>
      </w:r>
      <w:r>
        <w:rPr>
          <w:rFonts w:ascii="宋体" w:hAnsi="宋体"/>
          <w:color w:val="auto"/>
          <w:position w:val="-1"/>
          <w:sz w:val="21"/>
          <w:szCs w:val="21"/>
          <w:highlight w:val="none"/>
        </w:rPr>
        <w:t>事</w:t>
      </w:r>
      <w:r>
        <w:rPr>
          <w:rFonts w:ascii="宋体" w:hAnsi="宋体"/>
          <w:color w:val="auto"/>
          <w:spacing w:val="-2"/>
          <w:position w:val="-1"/>
          <w:sz w:val="21"/>
          <w:szCs w:val="21"/>
          <w:highlight w:val="none"/>
        </w:rPr>
        <w:t>宜</w:t>
      </w:r>
      <w:r>
        <w:rPr>
          <w:rFonts w:ascii="宋体" w:hAnsi="宋体"/>
          <w:color w:val="auto"/>
          <w:position w:val="-1"/>
          <w:sz w:val="21"/>
          <w:szCs w:val="21"/>
          <w:highlight w:val="none"/>
        </w:rPr>
        <w:t>，</w:t>
      </w:r>
      <w:r>
        <w:rPr>
          <w:rFonts w:ascii="宋体" w:hAnsi="宋体"/>
          <w:color w:val="auto"/>
          <w:spacing w:val="-2"/>
          <w:position w:val="-1"/>
          <w:sz w:val="21"/>
          <w:szCs w:val="21"/>
          <w:highlight w:val="none"/>
        </w:rPr>
        <w:t>其</w:t>
      </w:r>
      <w:r>
        <w:rPr>
          <w:rFonts w:ascii="宋体" w:hAnsi="宋体"/>
          <w:color w:val="auto"/>
          <w:position w:val="-1"/>
          <w:sz w:val="21"/>
          <w:szCs w:val="21"/>
          <w:highlight w:val="none"/>
        </w:rPr>
        <w:t>法</w:t>
      </w:r>
      <w:r>
        <w:rPr>
          <w:rFonts w:ascii="宋体" w:hAnsi="宋体"/>
          <w:color w:val="auto"/>
          <w:spacing w:val="-2"/>
          <w:position w:val="-1"/>
          <w:sz w:val="21"/>
          <w:szCs w:val="21"/>
          <w:highlight w:val="none"/>
        </w:rPr>
        <w:t>律</w:t>
      </w:r>
      <w:r>
        <w:rPr>
          <w:rFonts w:ascii="宋体" w:hAnsi="宋体"/>
          <w:color w:val="auto"/>
          <w:position w:val="-1"/>
          <w:sz w:val="21"/>
          <w:szCs w:val="21"/>
          <w:highlight w:val="none"/>
        </w:rPr>
        <w:t>后果</w:t>
      </w:r>
      <w:r>
        <w:rPr>
          <w:rFonts w:ascii="宋体" w:hAnsi="宋体"/>
          <w:color w:val="auto"/>
          <w:spacing w:val="-2"/>
          <w:position w:val="-1"/>
          <w:sz w:val="21"/>
          <w:szCs w:val="21"/>
          <w:highlight w:val="none"/>
        </w:rPr>
        <w:t>由</w:t>
      </w:r>
      <w:r>
        <w:rPr>
          <w:rFonts w:ascii="宋体" w:hAnsi="宋体"/>
          <w:color w:val="auto"/>
          <w:position w:val="-1"/>
          <w:sz w:val="21"/>
          <w:szCs w:val="21"/>
          <w:highlight w:val="none"/>
        </w:rPr>
        <w:t>我</w:t>
      </w:r>
      <w:r>
        <w:rPr>
          <w:rFonts w:ascii="宋体" w:hAnsi="宋体"/>
          <w:color w:val="auto"/>
          <w:spacing w:val="-2"/>
          <w:position w:val="-1"/>
          <w:sz w:val="21"/>
          <w:szCs w:val="21"/>
          <w:highlight w:val="none"/>
        </w:rPr>
        <w:t>方</w:t>
      </w:r>
      <w:r>
        <w:rPr>
          <w:rFonts w:ascii="宋体" w:hAnsi="宋体"/>
          <w:color w:val="auto"/>
          <w:position w:val="-1"/>
          <w:sz w:val="21"/>
          <w:szCs w:val="21"/>
          <w:highlight w:val="none"/>
        </w:rPr>
        <w:t>承</w:t>
      </w:r>
      <w:r>
        <w:rPr>
          <w:rFonts w:ascii="宋体" w:hAnsi="宋体"/>
          <w:color w:val="auto"/>
          <w:spacing w:val="-2"/>
          <w:position w:val="-1"/>
          <w:sz w:val="21"/>
          <w:szCs w:val="21"/>
          <w:highlight w:val="none"/>
        </w:rPr>
        <w:t>担</w:t>
      </w:r>
      <w:r>
        <w:rPr>
          <w:rFonts w:ascii="宋体" w:hAnsi="宋体"/>
          <w:color w:val="auto"/>
          <w:position w:val="-1"/>
          <w:sz w:val="21"/>
          <w:szCs w:val="21"/>
          <w:highlight w:val="none"/>
        </w:rPr>
        <w:t>。</w:t>
      </w:r>
    </w:p>
    <w:p>
      <w:pPr>
        <w:tabs>
          <w:tab w:val="left" w:pos="3560"/>
        </w:tabs>
        <w:spacing w:before="81" w:line="360" w:lineRule="auto"/>
        <w:ind w:left="100" w:right="-20"/>
        <w:jc w:val="left"/>
        <w:rPr>
          <w:rFonts w:ascii="宋体" w:hAnsi="宋体"/>
          <w:color w:val="auto"/>
          <w:sz w:val="21"/>
          <w:szCs w:val="21"/>
          <w:highlight w:val="none"/>
        </w:rPr>
      </w:pPr>
      <w:r>
        <w:rPr>
          <w:rFonts w:ascii="宋体" w:hAnsi="宋体"/>
          <w:color w:val="auto"/>
          <w:position w:val="-4"/>
          <w:sz w:val="21"/>
          <w:szCs w:val="21"/>
          <w:highlight w:val="none"/>
        </w:rPr>
        <w:t>委托</w:t>
      </w:r>
      <w:r>
        <w:rPr>
          <w:rFonts w:ascii="宋体" w:hAnsi="宋体"/>
          <w:color w:val="auto"/>
          <w:spacing w:val="-2"/>
          <w:position w:val="-4"/>
          <w:sz w:val="21"/>
          <w:szCs w:val="21"/>
          <w:highlight w:val="none"/>
        </w:rPr>
        <w:t>期</w:t>
      </w:r>
      <w:r>
        <w:rPr>
          <w:rFonts w:ascii="宋体" w:hAnsi="宋体"/>
          <w:color w:val="auto"/>
          <w:position w:val="-4"/>
          <w:sz w:val="21"/>
          <w:szCs w:val="21"/>
          <w:highlight w:val="none"/>
        </w:rPr>
        <w:t>限</w:t>
      </w:r>
      <w:r>
        <w:rPr>
          <w:rFonts w:ascii="宋体" w:hAnsi="宋体"/>
          <w:color w:val="auto"/>
          <w:spacing w:val="-3"/>
          <w:position w:val="-4"/>
          <w:sz w:val="21"/>
          <w:szCs w:val="21"/>
          <w:highlight w:val="none"/>
        </w:rPr>
        <w:t>：</w:t>
      </w:r>
      <w:r>
        <w:rPr>
          <w:rFonts w:ascii="宋体" w:hAnsi="宋体"/>
          <w:color w:val="auto"/>
          <w:position w:val="-4"/>
          <w:sz w:val="21"/>
          <w:szCs w:val="21"/>
          <w:highlight w:val="none"/>
          <w:u w:val="single"/>
        </w:rPr>
        <w:t xml:space="preserve"> </w:t>
      </w:r>
      <w:r>
        <w:rPr>
          <w:rFonts w:ascii="宋体" w:hAnsi="宋体"/>
          <w:color w:val="auto"/>
          <w:spacing w:val="1"/>
          <w:position w:val="-4"/>
          <w:sz w:val="21"/>
          <w:szCs w:val="21"/>
          <w:highlight w:val="none"/>
          <w:u w:val="single"/>
        </w:rPr>
        <w:t xml:space="preserve"> </w:t>
      </w:r>
      <w:r>
        <w:rPr>
          <w:rFonts w:ascii="宋体" w:hAnsi="宋体"/>
          <w:color w:val="auto"/>
          <w:position w:val="-4"/>
          <w:sz w:val="21"/>
          <w:szCs w:val="21"/>
          <w:highlight w:val="none"/>
          <w:u w:val="single"/>
        </w:rPr>
        <w:tab/>
      </w:r>
      <w:r>
        <w:rPr>
          <w:rFonts w:ascii="宋体" w:hAnsi="宋体"/>
          <w:color w:val="auto"/>
          <w:position w:val="-4"/>
          <w:sz w:val="21"/>
          <w:szCs w:val="21"/>
          <w:highlight w:val="none"/>
        </w:rPr>
        <w:t>。</w:t>
      </w:r>
    </w:p>
    <w:p>
      <w:pPr>
        <w:spacing w:before="8" w:line="360" w:lineRule="auto"/>
        <w:jc w:val="left"/>
        <w:rPr>
          <w:rFonts w:ascii="宋体" w:hAnsi="宋体"/>
          <w:color w:val="auto"/>
          <w:sz w:val="21"/>
          <w:szCs w:val="21"/>
          <w:highlight w:val="none"/>
        </w:rPr>
      </w:pPr>
    </w:p>
    <w:p>
      <w:pPr>
        <w:spacing w:line="360" w:lineRule="auto"/>
        <w:ind w:left="520" w:right="-20"/>
        <w:jc w:val="left"/>
        <w:rPr>
          <w:rFonts w:ascii="宋体" w:hAnsi="宋体"/>
          <w:color w:val="auto"/>
          <w:sz w:val="21"/>
          <w:szCs w:val="21"/>
          <w:highlight w:val="none"/>
        </w:rPr>
      </w:pPr>
      <w:r>
        <w:rPr>
          <w:rFonts w:ascii="宋体" w:hAnsi="宋体"/>
          <w:color w:val="auto"/>
          <w:position w:val="-1"/>
          <w:sz w:val="21"/>
          <w:szCs w:val="21"/>
          <w:highlight w:val="none"/>
        </w:rPr>
        <w:t>代理</w:t>
      </w:r>
      <w:r>
        <w:rPr>
          <w:rFonts w:ascii="宋体" w:hAnsi="宋体"/>
          <w:color w:val="auto"/>
          <w:spacing w:val="-2"/>
          <w:position w:val="-1"/>
          <w:sz w:val="21"/>
          <w:szCs w:val="21"/>
          <w:highlight w:val="none"/>
        </w:rPr>
        <w:t>人</w:t>
      </w:r>
      <w:r>
        <w:rPr>
          <w:rFonts w:ascii="宋体" w:hAnsi="宋体"/>
          <w:color w:val="auto"/>
          <w:position w:val="-1"/>
          <w:sz w:val="21"/>
          <w:szCs w:val="21"/>
          <w:highlight w:val="none"/>
        </w:rPr>
        <w:t>无</w:t>
      </w:r>
      <w:r>
        <w:rPr>
          <w:rFonts w:ascii="宋体" w:hAnsi="宋体"/>
          <w:color w:val="auto"/>
          <w:spacing w:val="-2"/>
          <w:position w:val="-1"/>
          <w:sz w:val="21"/>
          <w:szCs w:val="21"/>
          <w:highlight w:val="none"/>
        </w:rPr>
        <w:t>转</w:t>
      </w:r>
      <w:r>
        <w:rPr>
          <w:rFonts w:ascii="宋体" w:hAnsi="宋体"/>
          <w:color w:val="auto"/>
          <w:position w:val="-1"/>
          <w:sz w:val="21"/>
          <w:szCs w:val="21"/>
          <w:highlight w:val="none"/>
        </w:rPr>
        <w:t>委</w:t>
      </w:r>
      <w:r>
        <w:rPr>
          <w:rFonts w:ascii="宋体" w:hAnsi="宋体"/>
          <w:color w:val="auto"/>
          <w:spacing w:val="-2"/>
          <w:position w:val="-1"/>
          <w:sz w:val="21"/>
          <w:szCs w:val="21"/>
          <w:highlight w:val="none"/>
        </w:rPr>
        <w:t>托</w:t>
      </w:r>
      <w:r>
        <w:rPr>
          <w:rFonts w:ascii="宋体" w:hAnsi="宋体"/>
          <w:color w:val="auto"/>
          <w:position w:val="-1"/>
          <w:sz w:val="21"/>
          <w:szCs w:val="21"/>
          <w:highlight w:val="none"/>
        </w:rPr>
        <w:t>权。</w:t>
      </w:r>
    </w:p>
    <w:p>
      <w:pPr>
        <w:spacing w:before="10" w:line="360" w:lineRule="auto"/>
        <w:jc w:val="left"/>
        <w:rPr>
          <w:rFonts w:ascii="宋体" w:hAnsi="宋体"/>
          <w:color w:val="auto"/>
          <w:sz w:val="21"/>
          <w:szCs w:val="21"/>
          <w:highlight w:val="none"/>
        </w:rPr>
      </w:pPr>
    </w:p>
    <w:p>
      <w:pPr>
        <w:spacing w:line="360" w:lineRule="auto"/>
        <w:jc w:val="left"/>
        <w:rPr>
          <w:rFonts w:ascii="宋体" w:hAnsi="宋体"/>
          <w:color w:val="auto"/>
          <w:sz w:val="21"/>
          <w:szCs w:val="21"/>
          <w:highlight w:val="none"/>
        </w:rPr>
      </w:pPr>
    </w:p>
    <w:p>
      <w:pPr>
        <w:spacing w:line="360" w:lineRule="auto"/>
        <w:jc w:val="left"/>
        <w:rPr>
          <w:rFonts w:ascii="宋体" w:hAnsi="宋体"/>
          <w:color w:val="auto"/>
          <w:sz w:val="21"/>
          <w:szCs w:val="21"/>
          <w:highlight w:val="none"/>
        </w:rPr>
      </w:pPr>
    </w:p>
    <w:p>
      <w:pPr>
        <w:spacing w:line="360" w:lineRule="auto"/>
        <w:ind w:left="100" w:right="1117"/>
        <w:jc w:val="left"/>
        <w:rPr>
          <w:rFonts w:ascii="宋体" w:hAnsi="宋体"/>
          <w:color w:val="auto"/>
          <w:sz w:val="21"/>
          <w:szCs w:val="21"/>
          <w:highlight w:val="none"/>
        </w:rPr>
      </w:pPr>
      <w:r>
        <w:rPr>
          <w:rFonts w:ascii="宋体" w:hAnsi="宋体"/>
          <w:color w:val="auto"/>
          <w:sz w:val="21"/>
          <w:szCs w:val="21"/>
          <w:highlight w:val="none"/>
        </w:rPr>
        <w:t>附：</w:t>
      </w:r>
      <w:r>
        <w:rPr>
          <w:rFonts w:ascii="宋体" w:hAnsi="宋体"/>
          <w:color w:val="auto"/>
          <w:spacing w:val="-2"/>
          <w:sz w:val="21"/>
          <w:szCs w:val="21"/>
          <w:highlight w:val="none"/>
        </w:rPr>
        <w:t>法</w:t>
      </w:r>
      <w:r>
        <w:rPr>
          <w:rFonts w:ascii="宋体" w:hAnsi="宋体"/>
          <w:color w:val="auto"/>
          <w:sz w:val="21"/>
          <w:szCs w:val="21"/>
          <w:highlight w:val="none"/>
        </w:rPr>
        <w:t>定</w:t>
      </w:r>
      <w:r>
        <w:rPr>
          <w:rFonts w:ascii="宋体" w:hAnsi="宋体"/>
          <w:color w:val="auto"/>
          <w:spacing w:val="-2"/>
          <w:sz w:val="21"/>
          <w:szCs w:val="21"/>
          <w:highlight w:val="none"/>
        </w:rPr>
        <w:t>代</w:t>
      </w:r>
      <w:r>
        <w:rPr>
          <w:rFonts w:ascii="宋体" w:hAnsi="宋体"/>
          <w:color w:val="auto"/>
          <w:sz w:val="21"/>
          <w:szCs w:val="21"/>
          <w:highlight w:val="none"/>
        </w:rPr>
        <w:t>表</w:t>
      </w:r>
      <w:r>
        <w:rPr>
          <w:rFonts w:ascii="宋体" w:hAnsi="宋体"/>
          <w:color w:val="auto"/>
          <w:spacing w:val="-2"/>
          <w:sz w:val="21"/>
          <w:szCs w:val="21"/>
          <w:highlight w:val="none"/>
        </w:rPr>
        <w:t>人</w:t>
      </w:r>
      <w:r>
        <w:rPr>
          <w:rFonts w:ascii="宋体" w:hAnsi="宋体"/>
          <w:color w:val="auto"/>
          <w:sz w:val="21"/>
          <w:szCs w:val="21"/>
          <w:highlight w:val="none"/>
        </w:rPr>
        <w:t>身</w:t>
      </w:r>
      <w:r>
        <w:rPr>
          <w:rFonts w:ascii="宋体" w:hAnsi="宋体"/>
          <w:color w:val="auto"/>
          <w:spacing w:val="-2"/>
          <w:sz w:val="21"/>
          <w:szCs w:val="21"/>
          <w:highlight w:val="none"/>
        </w:rPr>
        <w:t>份</w:t>
      </w:r>
      <w:r>
        <w:rPr>
          <w:rFonts w:ascii="宋体" w:hAnsi="宋体"/>
          <w:color w:val="auto"/>
          <w:sz w:val="21"/>
          <w:szCs w:val="21"/>
          <w:highlight w:val="none"/>
        </w:rPr>
        <w:t>证</w:t>
      </w:r>
      <w:r>
        <w:rPr>
          <w:rFonts w:ascii="宋体" w:hAnsi="宋体"/>
          <w:color w:val="auto"/>
          <w:spacing w:val="-2"/>
          <w:sz w:val="21"/>
          <w:szCs w:val="21"/>
          <w:highlight w:val="none"/>
        </w:rPr>
        <w:t>复</w:t>
      </w:r>
      <w:r>
        <w:rPr>
          <w:rFonts w:ascii="宋体" w:hAnsi="宋体"/>
          <w:color w:val="auto"/>
          <w:sz w:val="21"/>
          <w:szCs w:val="21"/>
          <w:highlight w:val="none"/>
        </w:rPr>
        <w:t>印件</w:t>
      </w:r>
      <w:r>
        <w:rPr>
          <w:rFonts w:ascii="宋体" w:hAnsi="宋体"/>
          <w:color w:val="auto"/>
          <w:spacing w:val="-2"/>
          <w:sz w:val="21"/>
          <w:szCs w:val="21"/>
          <w:highlight w:val="none"/>
        </w:rPr>
        <w:t>及</w:t>
      </w:r>
      <w:r>
        <w:rPr>
          <w:rFonts w:ascii="宋体" w:hAnsi="宋体"/>
          <w:color w:val="auto"/>
          <w:sz w:val="21"/>
          <w:szCs w:val="21"/>
          <w:highlight w:val="none"/>
        </w:rPr>
        <w:t>委</w:t>
      </w:r>
      <w:r>
        <w:rPr>
          <w:rFonts w:ascii="宋体" w:hAnsi="宋体"/>
          <w:color w:val="auto"/>
          <w:spacing w:val="-2"/>
          <w:sz w:val="21"/>
          <w:szCs w:val="21"/>
          <w:highlight w:val="none"/>
        </w:rPr>
        <w:t>托</w:t>
      </w:r>
      <w:r>
        <w:rPr>
          <w:rFonts w:ascii="宋体" w:hAnsi="宋体"/>
          <w:color w:val="auto"/>
          <w:sz w:val="21"/>
          <w:szCs w:val="21"/>
          <w:highlight w:val="none"/>
        </w:rPr>
        <w:t>代</w:t>
      </w:r>
      <w:r>
        <w:rPr>
          <w:rFonts w:ascii="宋体" w:hAnsi="宋体"/>
          <w:color w:val="auto"/>
          <w:spacing w:val="-2"/>
          <w:sz w:val="21"/>
          <w:szCs w:val="21"/>
          <w:highlight w:val="none"/>
        </w:rPr>
        <w:t>理</w:t>
      </w:r>
      <w:r>
        <w:rPr>
          <w:rFonts w:ascii="宋体" w:hAnsi="宋体"/>
          <w:color w:val="auto"/>
          <w:sz w:val="21"/>
          <w:szCs w:val="21"/>
          <w:highlight w:val="none"/>
        </w:rPr>
        <w:t>人</w:t>
      </w:r>
      <w:r>
        <w:rPr>
          <w:rFonts w:ascii="宋体" w:hAnsi="宋体"/>
          <w:color w:val="auto"/>
          <w:spacing w:val="-2"/>
          <w:sz w:val="21"/>
          <w:szCs w:val="21"/>
          <w:highlight w:val="none"/>
        </w:rPr>
        <w:t>身</w:t>
      </w:r>
      <w:r>
        <w:rPr>
          <w:rFonts w:ascii="宋体" w:hAnsi="宋体"/>
          <w:color w:val="auto"/>
          <w:sz w:val="21"/>
          <w:szCs w:val="21"/>
          <w:highlight w:val="none"/>
        </w:rPr>
        <w:t>份</w:t>
      </w:r>
      <w:r>
        <w:rPr>
          <w:rFonts w:ascii="宋体" w:hAnsi="宋体"/>
          <w:color w:val="auto"/>
          <w:spacing w:val="-2"/>
          <w:sz w:val="21"/>
          <w:szCs w:val="21"/>
          <w:highlight w:val="none"/>
        </w:rPr>
        <w:t>证</w:t>
      </w:r>
      <w:r>
        <w:rPr>
          <w:rFonts w:ascii="宋体" w:hAnsi="宋体"/>
          <w:color w:val="auto"/>
          <w:sz w:val="21"/>
          <w:szCs w:val="21"/>
          <w:highlight w:val="none"/>
        </w:rPr>
        <w:t>复印件 注：</w:t>
      </w:r>
      <w:r>
        <w:rPr>
          <w:rFonts w:ascii="宋体" w:hAnsi="宋体"/>
          <w:color w:val="auto"/>
          <w:spacing w:val="-2"/>
          <w:sz w:val="21"/>
          <w:szCs w:val="21"/>
          <w:highlight w:val="none"/>
        </w:rPr>
        <w:t>本</w:t>
      </w:r>
      <w:r>
        <w:rPr>
          <w:rFonts w:ascii="宋体" w:hAnsi="宋体"/>
          <w:color w:val="auto"/>
          <w:sz w:val="21"/>
          <w:szCs w:val="21"/>
          <w:highlight w:val="none"/>
        </w:rPr>
        <w:t>授</w:t>
      </w:r>
      <w:r>
        <w:rPr>
          <w:rFonts w:ascii="宋体" w:hAnsi="宋体"/>
          <w:color w:val="auto"/>
          <w:spacing w:val="-2"/>
          <w:sz w:val="21"/>
          <w:szCs w:val="21"/>
          <w:highlight w:val="none"/>
        </w:rPr>
        <w:t>权</w:t>
      </w:r>
      <w:r>
        <w:rPr>
          <w:rFonts w:ascii="宋体" w:hAnsi="宋体"/>
          <w:color w:val="auto"/>
          <w:sz w:val="21"/>
          <w:szCs w:val="21"/>
          <w:highlight w:val="none"/>
        </w:rPr>
        <w:t>委</w:t>
      </w:r>
      <w:r>
        <w:rPr>
          <w:rFonts w:ascii="宋体" w:hAnsi="宋体"/>
          <w:color w:val="auto"/>
          <w:spacing w:val="-2"/>
          <w:sz w:val="21"/>
          <w:szCs w:val="21"/>
          <w:highlight w:val="none"/>
        </w:rPr>
        <w:t>托</w:t>
      </w:r>
      <w:r>
        <w:rPr>
          <w:rFonts w:ascii="宋体" w:hAnsi="宋体"/>
          <w:color w:val="auto"/>
          <w:sz w:val="21"/>
          <w:szCs w:val="21"/>
          <w:highlight w:val="none"/>
        </w:rPr>
        <w:t>书</w:t>
      </w:r>
      <w:r>
        <w:rPr>
          <w:rFonts w:ascii="宋体" w:hAnsi="宋体"/>
          <w:color w:val="auto"/>
          <w:spacing w:val="-2"/>
          <w:sz w:val="21"/>
          <w:szCs w:val="21"/>
          <w:highlight w:val="none"/>
        </w:rPr>
        <w:t>需</w:t>
      </w:r>
      <w:r>
        <w:rPr>
          <w:rFonts w:ascii="宋体" w:hAnsi="宋体"/>
          <w:color w:val="auto"/>
          <w:sz w:val="21"/>
          <w:szCs w:val="21"/>
          <w:highlight w:val="none"/>
        </w:rPr>
        <w:t>由</w:t>
      </w:r>
      <w:r>
        <w:rPr>
          <w:rFonts w:ascii="宋体" w:hAnsi="宋体"/>
          <w:color w:val="auto"/>
          <w:spacing w:val="-2"/>
          <w:sz w:val="21"/>
          <w:szCs w:val="21"/>
          <w:highlight w:val="none"/>
        </w:rPr>
        <w:t>投</w:t>
      </w:r>
      <w:r>
        <w:rPr>
          <w:rFonts w:ascii="宋体" w:hAnsi="宋体"/>
          <w:color w:val="auto"/>
          <w:sz w:val="21"/>
          <w:szCs w:val="21"/>
          <w:highlight w:val="none"/>
        </w:rPr>
        <w:t>标人</w:t>
      </w:r>
      <w:r>
        <w:rPr>
          <w:rFonts w:ascii="宋体" w:hAnsi="宋体"/>
          <w:color w:val="auto"/>
          <w:spacing w:val="-2"/>
          <w:sz w:val="21"/>
          <w:szCs w:val="21"/>
          <w:highlight w:val="none"/>
        </w:rPr>
        <w:t>加</w:t>
      </w:r>
      <w:r>
        <w:rPr>
          <w:rFonts w:ascii="宋体" w:hAnsi="宋体"/>
          <w:color w:val="auto"/>
          <w:sz w:val="21"/>
          <w:szCs w:val="21"/>
          <w:highlight w:val="none"/>
        </w:rPr>
        <w:t>盖</w:t>
      </w:r>
      <w:r>
        <w:rPr>
          <w:rFonts w:ascii="宋体" w:hAnsi="宋体"/>
          <w:color w:val="auto"/>
          <w:spacing w:val="-2"/>
          <w:sz w:val="21"/>
          <w:szCs w:val="21"/>
          <w:highlight w:val="none"/>
        </w:rPr>
        <w:t>单</w:t>
      </w:r>
      <w:r>
        <w:rPr>
          <w:rFonts w:ascii="宋体" w:hAnsi="宋体"/>
          <w:color w:val="auto"/>
          <w:sz w:val="21"/>
          <w:szCs w:val="21"/>
          <w:highlight w:val="none"/>
        </w:rPr>
        <w:t>位</w:t>
      </w:r>
      <w:r>
        <w:rPr>
          <w:rFonts w:ascii="宋体" w:hAnsi="宋体"/>
          <w:color w:val="auto"/>
          <w:spacing w:val="-2"/>
          <w:sz w:val="21"/>
          <w:szCs w:val="21"/>
          <w:highlight w:val="none"/>
        </w:rPr>
        <w:t>公</w:t>
      </w:r>
      <w:r>
        <w:rPr>
          <w:rFonts w:ascii="宋体" w:hAnsi="宋体"/>
          <w:color w:val="auto"/>
          <w:sz w:val="21"/>
          <w:szCs w:val="21"/>
          <w:highlight w:val="none"/>
        </w:rPr>
        <w:t>章</w:t>
      </w:r>
      <w:r>
        <w:rPr>
          <w:rFonts w:ascii="宋体" w:hAnsi="宋体"/>
          <w:color w:val="auto"/>
          <w:spacing w:val="-2"/>
          <w:sz w:val="21"/>
          <w:szCs w:val="21"/>
          <w:highlight w:val="none"/>
        </w:rPr>
        <w:t>并</w:t>
      </w:r>
      <w:r>
        <w:rPr>
          <w:rFonts w:ascii="宋体" w:hAnsi="宋体"/>
          <w:color w:val="auto"/>
          <w:sz w:val="21"/>
          <w:szCs w:val="21"/>
          <w:highlight w:val="none"/>
        </w:rPr>
        <w:t>由</w:t>
      </w:r>
      <w:r>
        <w:rPr>
          <w:rFonts w:ascii="宋体" w:hAnsi="宋体"/>
          <w:color w:val="auto"/>
          <w:spacing w:val="-2"/>
          <w:sz w:val="21"/>
          <w:szCs w:val="21"/>
          <w:highlight w:val="none"/>
        </w:rPr>
        <w:t>其</w:t>
      </w:r>
      <w:r>
        <w:rPr>
          <w:rFonts w:ascii="宋体" w:hAnsi="宋体"/>
          <w:color w:val="auto"/>
          <w:sz w:val="21"/>
          <w:szCs w:val="21"/>
          <w:highlight w:val="none"/>
        </w:rPr>
        <w:t>法定</w:t>
      </w:r>
      <w:r>
        <w:rPr>
          <w:rFonts w:ascii="宋体" w:hAnsi="宋体"/>
          <w:color w:val="auto"/>
          <w:spacing w:val="-2"/>
          <w:sz w:val="21"/>
          <w:szCs w:val="21"/>
          <w:highlight w:val="none"/>
        </w:rPr>
        <w:t>代</w:t>
      </w:r>
      <w:r>
        <w:rPr>
          <w:rFonts w:ascii="宋体" w:hAnsi="宋体"/>
          <w:color w:val="auto"/>
          <w:sz w:val="21"/>
          <w:szCs w:val="21"/>
          <w:highlight w:val="none"/>
        </w:rPr>
        <w:t>表</w:t>
      </w:r>
      <w:r>
        <w:rPr>
          <w:rFonts w:ascii="宋体" w:hAnsi="宋体"/>
          <w:color w:val="auto"/>
          <w:spacing w:val="-2"/>
          <w:sz w:val="21"/>
          <w:szCs w:val="21"/>
          <w:highlight w:val="none"/>
        </w:rPr>
        <w:t>人</w:t>
      </w:r>
      <w:r>
        <w:rPr>
          <w:rFonts w:ascii="宋体" w:hAnsi="宋体"/>
          <w:color w:val="auto"/>
          <w:sz w:val="21"/>
          <w:szCs w:val="21"/>
          <w:highlight w:val="none"/>
        </w:rPr>
        <w:t>和</w:t>
      </w:r>
      <w:r>
        <w:rPr>
          <w:rFonts w:ascii="宋体" w:hAnsi="宋体"/>
          <w:color w:val="auto"/>
          <w:spacing w:val="-2"/>
          <w:sz w:val="21"/>
          <w:szCs w:val="21"/>
          <w:highlight w:val="none"/>
        </w:rPr>
        <w:t>委</w:t>
      </w:r>
      <w:r>
        <w:rPr>
          <w:rFonts w:ascii="宋体" w:hAnsi="宋体"/>
          <w:color w:val="auto"/>
          <w:sz w:val="21"/>
          <w:szCs w:val="21"/>
          <w:highlight w:val="none"/>
        </w:rPr>
        <w:t>托</w:t>
      </w:r>
      <w:r>
        <w:rPr>
          <w:rFonts w:ascii="宋体" w:hAnsi="宋体"/>
          <w:color w:val="auto"/>
          <w:spacing w:val="-2"/>
          <w:sz w:val="21"/>
          <w:szCs w:val="21"/>
          <w:highlight w:val="none"/>
        </w:rPr>
        <w:t>代</w:t>
      </w:r>
      <w:r>
        <w:rPr>
          <w:rFonts w:ascii="宋体" w:hAnsi="宋体"/>
          <w:color w:val="auto"/>
          <w:sz w:val="21"/>
          <w:szCs w:val="21"/>
          <w:highlight w:val="none"/>
        </w:rPr>
        <w:t>理</w:t>
      </w:r>
      <w:r>
        <w:rPr>
          <w:rFonts w:ascii="宋体" w:hAnsi="宋体"/>
          <w:color w:val="auto"/>
          <w:spacing w:val="-2"/>
          <w:sz w:val="21"/>
          <w:szCs w:val="21"/>
          <w:highlight w:val="none"/>
        </w:rPr>
        <w:t>人</w:t>
      </w:r>
      <w:r>
        <w:rPr>
          <w:rFonts w:ascii="宋体" w:hAnsi="宋体"/>
          <w:color w:val="auto"/>
          <w:sz w:val="21"/>
          <w:szCs w:val="21"/>
          <w:highlight w:val="none"/>
        </w:rPr>
        <w:t>签字。</w:t>
      </w:r>
    </w:p>
    <w:p>
      <w:pPr>
        <w:spacing w:line="120" w:lineRule="exact"/>
        <w:jc w:val="left"/>
        <w:rPr>
          <w:rFonts w:ascii="宋体" w:hAnsi="宋体"/>
          <w:color w:val="auto"/>
          <w:sz w:val="12"/>
          <w:highlight w:val="none"/>
        </w:rPr>
      </w:pPr>
    </w:p>
    <w:p>
      <w:pPr>
        <w:tabs>
          <w:tab w:val="left" w:pos="3200"/>
          <w:tab w:val="left" w:pos="3620"/>
          <w:tab w:val="left" w:pos="7240"/>
        </w:tabs>
        <w:spacing w:line="337" w:lineRule="exact"/>
        <w:ind w:left="2794" w:right="-20"/>
        <w:jc w:val="left"/>
        <w:rPr>
          <w:rFonts w:ascii="宋体" w:hAnsi="宋体"/>
          <w:color w:val="auto"/>
          <w:highlight w:val="none"/>
        </w:rPr>
      </w:pPr>
      <w:r>
        <w:rPr>
          <w:rFonts w:ascii="宋体" w:hAnsi="宋体"/>
          <w:color w:val="auto"/>
          <w:position w:val="-4"/>
          <w:highlight w:val="none"/>
        </w:rPr>
        <w:t>投</w:t>
      </w:r>
      <w:r>
        <w:rPr>
          <w:rFonts w:ascii="宋体" w:hAnsi="宋体"/>
          <w:color w:val="auto"/>
          <w:position w:val="-4"/>
          <w:highlight w:val="none"/>
        </w:rPr>
        <w:tab/>
      </w:r>
      <w:r>
        <w:rPr>
          <w:rFonts w:ascii="宋体" w:hAnsi="宋体"/>
          <w:color w:val="auto"/>
          <w:position w:val="-4"/>
          <w:highlight w:val="none"/>
        </w:rPr>
        <w:t>标</w:t>
      </w:r>
      <w:r>
        <w:rPr>
          <w:rFonts w:ascii="宋体" w:hAnsi="宋体"/>
          <w:color w:val="auto"/>
          <w:position w:val="-4"/>
          <w:highlight w:val="none"/>
        </w:rPr>
        <w:tab/>
      </w:r>
      <w:r>
        <w:rPr>
          <w:rFonts w:ascii="宋体" w:hAnsi="宋体"/>
          <w:color w:val="auto"/>
          <w:spacing w:val="-2"/>
          <w:position w:val="-4"/>
          <w:highlight w:val="none"/>
        </w:rPr>
        <w:t>人：</w:t>
      </w:r>
      <w:r>
        <w:rPr>
          <w:rFonts w:ascii="宋体" w:hAnsi="宋体"/>
          <w:color w:val="auto"/>
          <w:position w:val="-4"/>
          <w:highlight w:val="none"/>
          <w:u w:val="single"/>
        </w:rPr>
        <w:t xml:space="preserve"> </w:t>
      </w:r>
      <w:r>
        <w:rPr>
          <w:rFonts w:ascii="宋体" w:hAnsi="宋体"/>
          <w:color w:val="auto"/>
          <w:spacing w:val="1"/>
          <w:position w:val="-4"/>
          <w:highlight w:val="none"/>
          <w:u w:val="single"/>
        </w:rPr>
        <w:t xml:space="preserve"> </w:t>
      </w:r>
      <w:r>
        <w:rPr>
          <w:rFonts w:ascii="宋体" w:hAnsi="宋体"/>
          <w:color w:val="auto"/>
          <w:position w:val="-4"/>
          <w:highlight w:val="none"/>
          <w:u w:val="single"/>
        </w:rPr>
        <w:tab/>
      </w:r>
      <w:r>
        <w:rPr>
          <w:rFonts w:ascii="宋体" w:hAnsi="宋体"/>
          <w:color w:val="auto"/>
          <w:position w:val="-4"/>
          <w:highlight w:val="none"/>
        </w:rPr>
        <w:t>（盖</w:t>
      </w:r>
      <w:r>
        <w:rPr>
          <w:rFonts w:ascii="宋体" w:hAnsi="宋体"/>
          <w:color w:val="auto"/>
          <w:spacing w:val="-2"/>
          <w:position w:val="-4"/>
          <w:highlight w:val="none"/>
        </w:rPr>
        <w:t>单</w:t>
      </w:r>
      <w:r>
        <w:rPr>
          <w:rFonts w:ascii="宋体" w:hAnsi="宋体"/>
          <w:color w:val="auto"/>
          <w:spacing w:val="1"/>
          <w:position w:val="-4"/>
          <w:highlight w:val="none"/>
        </w:rPr>
        <w:t>位</w:t>
      </w:r>
      <w:r>
        <w:rPr>
          <w:rFonts w:ascii="宋体" w:hAnsi="宋体"/>
          <w:color w:val="auto"/>
          <w:spacing w:val="-2"/>
          <w:position w:val="-4"/>
          <w:highlight w:val="none"/>
        </w:rPr>
        <w:t>章</w:t>
      </w:r>
      <w:r>
        <w:rPr>
          <w:rFonts w:ascii="宋体" w:hAnsi="宋体"/>
          <w:color w:val="auto"/>
          <w:position w:val="-4"/>
          <w:highlight w:val="none"/>
        </w:rPr>
        <w:t>）</w:t>
      </w: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before="10" w:line="200" w:lineRule="exact"/>
        <w:jc w:val="left"/>
        <w:rPr>
          <w:rFonts w:ascii="宋体" w:hAnsi="宋体"/>
          <w:color w:val="auto"/>
          <w:sz w:val="20"/>
          <w:highlight w:val="none"/>
        </w:rPr>
      </w:pPr>
    </w:p>
    <w:p>
      <w:pPr>
        <w:tabs>
          <w:tab w:val="left" w:pos="6400"/>
        </w:tabs>
        <w:spacing w:line="271" w:lineRule="exact"/>
        <w:ind w:left="2791" w:right="-20"/>
        <w:jc w:val="left"/>
        <w:rPr>
          <w:rFonts w:ascii="宋体" w:hAnsi="宋体"/>
          <w:color w:val="auto"/>
          <w:highlight w:val="none"/>
        </w:rPr>
      </w:pPr>
      <w:r>
        <w:rPr>
          <w:rFonts w:ascii="宋体" w:hAnsi="宋体"/>
          <w:color w:val="auto"/>
          <w:position w:val="-2"/>
          <w:highlight w:val="none"/>
        </w:rPr>
        <w:t>法定</w:t>
      </w:r>
      <w:r>
        <w:rPr>
          <w:rFonts w:ascii="宋体" w:hAnsi="宋体"/>
          <w:color w:val="auto"/>
          <w:spacing w:val="-2"/>
          <w:position w:val="-2"/>
          <w:highlight w:val="none"/>
        </w:rPr>
        <w:t>代</w:t>
      </w:r>
      <w:r>
        <w:rPr>
          <w:rFonts w:ascii="宋体" w:hAnsi="宋体"/>
          <w:color w:val="auto"/>
          <w:position w:val="-2"/>
          <w:highlight w:val="none"/>
        </w:rPr>
        <w:t>表</w:t>
      </w:r>
      <w:r>
        <w:rPr>
          <w:rFonts w:ascii="宋体" w:hAnsi="宋体"/>
          <w:color w:val="auto"/>
          <w:spacing w:val="-2"/>
          <w:position w:val="-2"/>
          <w:highlight w:val="none"/>
        </w:rPr>
        <w:t>人</w:t>
      </w:r>
      <w:r>
        <w:rPr>
          <w:rFonts w:ascii="宋体" w:hAnsi="宋体"/>
          <w:color w:val="auto"/>
          <w:spacing w:val="-3"/>
          <w:position w:val="-2"/>
          <w:highlight w:val="none"/>
        </w:rPr>
        <w:t>：</w:t>
      </w:r>
      <w:r>
        <w:rPr>
          <w:rFonts w:ascii="宋体" w:hAnsi="宋体"/>
          <w:color w:val="auto"/>
          <w:position w:val="-2"/>
          <w:highlight w:val="none"/>
          <w:u w:val="single"/>
        </w:rPr>
        <w:t xml:space="preserve"> </w:t>
      </w:r>
      <w:r>
        <w:rPr>
          <w:rFonts w:ascii="宋体" w:hAnsi="宋体"/>
          <w:color w:val="auto"/>
          <w:spacing w:val="1"/>
          <w:position w:val="-2"/>
          <w:highlight w:val="none"/>
          <w:u w:val="single"/>
        </w:rPr>
        <w:t xml:space="preserve"> </w:t>
      </w:r>
      <w:r>
        <w:rPr>
          <w:rFonts w:ascii="宋体" w:hAnsi="宋体"/>
          <w:color w:val="auto"/>
          <w:position w:val="-2"/>
          <w:highlight w:val="none"/>
          <w:u w:val="single"/>
        </w:rPr>
        <w:tab/>
      </w:r>
      <w:r>
        <w:rPr>
          <w:rFonts w:ascii="宋体" w:hAnsi="宋体"/>
          <w:color w:val="auto"/>
          <w:position w:val="-2"/>
          <w:highlight w:val="none"/>
        </w:rPr>
        <w:t>（签</w:t>
      </w:r>
      <w:r>
        <w:rPr>
          <w:rFonts w:ascii="宋体" w:hAnsi="宋体"/>
          <w:color w:val="auto"/>
          <w:spacing w:val="-2"/>
          <w:position w:val="-2"/>
          <w:highlight w:val="none"/>
        </w:rPr>
        <w:t>字</w:t>
      </w:r>
      <w:r>
        <w:rPr>
          <w:rFonts w:ascii="宋体" w:hAnsi="宋体"/>
          <w:color w:val="auto"/>
          <w:position w:val="-2"/>
          <w:highlight w:val="none"/>
        </w:rPr>
        <w:t>）</w:t>
      </w: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before="7" w:line="200" w:lineRule="exact"/>
        <w:jc w:val="left"/>
        <w:rPr>
          <w:rFonts w:ascii="宋体" w:hAnsi="宋体"/>
          <w:color w:val="auto"/>
          <w:sz w:val="20"/>
          <w:highlight w:val="none"/>
        </w:rPr>
      </w:pPr>
    </w:p>
    <w:p>
      <w:pPr>
        <w:tabs>
          <w:tab w:val="left" w:pos="8500"/>
        </w:tabs>
        <w:spacing w:line="271" w:lineRule="exact"/>
        <w:ind w:left="2794" w:right="-20"/>
        <w:jc w:val="left"/>
        <w:rPr>
          <w:rFonts w:ascii="宋体" w:hAnsi="宋体"/>
          <w:color w:val="auto"/>
          <w:highlight w:val="none"/>
        </w:rPr>
      </w:pPr>
      <w:r>
        <w:rPr>
          <w:rFonts w:ascii="宋体" w:hAnsi="宋体"/>
          <w:color w:val="auto"/>
          <w:position w:val="-2"/>
          <w:highlight w:val="none"/>
        </w:rPr>
        <w:t>身份</w:t>
      </w:r>
      <w:r>
        <w:rPr>
          <w:rFonts w:ascii="宋体" w:hAnsi="宋体"/>
          <w:color w:val="auto"/>
          <w:spacing w:val="-2"/>
          <w:position w:val="-2"/>
          <w:highlight w:val="none"/>
        </w:rPr>
        <w:t>证</w:t>
      </w:r>
      <w:r>
        <w:rPr>
          <w:rFonts w:ascii="宋体" w:hAnsi="宋体"/>
          <w:color w:val="auto"/>
          <w:position w:val="-2"/>
          <w:highlight w:val="none"/>
        </w:rPr>
        <w:t>号</w:t>
      </w:r>
      <w:r>
        <w:rPr>
          <w:rFonts w:ascii="宋体" w:hAnsi="宋体"/>
          <w:color w:val="auto"/>
          <w:spacing w:val="-2"/>
          <w:position w:val="-2"/>
          <w:highlight w:val="none"/>
        </w:rPr>
        <w:t>码</w:t>
      </w:r>
      <w:r>
        <w:rPr>
          <w:rFonts w:ascii="宋体" w:hAnsi="宋体"/>
          <w:color w:val="auto"/>
          <w:spacing w:val="-3"/>
          <w:position w:val="-2"/>
          <w:highlight w:val="none"/>
        </w:rPr>
        <w:t>：</w:t>
      </w:r>
      <w:r>
        <w:rPr>
          <w:rFonts w:ascii="宋体" w:hAnsi="宋体"/>
          <w:color w:val="auto"/>
          <w:w w:val="201"/>
          <w:position w:val="-2"/>
          <w:highlight w:val="none"/>
          <w:u w:val="single"/>
        </w:rPr>
        <w:t xml:space="preserve"> </w:t>
      </w:r>
      <w:r>
        <w:rPr>
          <w:rFonts w:ascii="宋体" w:hAnsi="宋体"/>
          <w:color w:val="auto"/>
          <w:position w:val="-2"/>
          <w:highlight w:val="none"/>
          <w:u w:val="single"/>
        </w:rPr>
        <w:tab/>
      </w: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before="10" w:line="200" w:lineRule="exact"/>
        <w:jc w:val="left"/>
        <w:rPr>
          <w:rFonts w:ascii="宋体" w:hAnsi="宋体"/>
          <w:color w:val="auto"/>
          <w:sz w:val="20"/>
          <w:highlight w:val="none"/>
        </w:rPr>
      </w:pPr>
    </w:p>
    <w:p>
      <w:pPr>
        <w:tabs>
          <w:tab w:val="left" w:pos="7660"/>
        </w:tabs>
        <w:spacing w:line="271" w:lineRule="exact"/>
        <w:ind w:left="2794" w:right="-20"/>
        <w:jc w:val="left"/>
        <w:rPr>
          <w:rFonts w:ascii="宋体" w:hAnsi="宋体"/>
          <w:color w:val="auto"/>
          <w:highlight w:val="none"/>
        </w:rPr>
      </w:pPr>
      <w:r>
        <w:rPr>
          <w:rFonts w:ascii="宋体" w:hAnsi="宋体"/>
          <w:color w:val="auto"/>
          <w:position w:val="-2"/>
          <w:highlight w:val="none"/>
        </w:rPr>
        <w:t>委托</w:t>
      </w:r>
      <w:r>
        <w:rPr>
          <w:rFonts w:ascii="宋体" w:hAnsi="宋体"/>
          <w:color w:val="auto"/>
          <w:spacing w:val="-2"/>
          <w:position w:val="-2"/>
          <w:highlight w:val="none"/>
        </w:rPr>
        <w:t>代</w:t>
      </w:r>
      <w:r>
        <w:rPr>
          <w:rFonts w:ascii="宋体" w:hAnsi="宋体"/>
          <w:color w:val="auto"/>
          <w:position w:val="-2"/>
          <w:highlight w:val="none"/>
        </w:rPr>
        <w:t>理</w:t>
      </w:r>
      <w:r>
        <w:rPr>
          <w:rFonts w:ascii="宋体" w:hAnsi="宋体"/>
          <w:color w:val="auto"/>
          <w:spacing w:val="-2"/>
          <w:position w:val="-2"/>
          <w:highlight w:val="none"/>
        </w:rPr>
        <w:t>人</w:t>
      </w:r>
      <w:r>
        <w:rPr>
          <w:rFonts w:ascii="宋体" w:hAnsi="宋体"/>
          <w:color w:val="auto"/>
          <w:spacing w:val="-3"/>
          <w:position w:val="-2"/>
          <w:highlight w:val="none"/>
        </w:rPr>
        <w:t>：</w:t>
      </w:r>
      <w:r>
        <w:rPr>
          <w:rFonts w:ascii="宋体" w:hAnsi="宋体"/>
          <w:color w:val="auto"/>
          <w:position w:val="-2"/>
          <w:highlight w:val="none"/>
          <w:u w:val="single"/>
        </w:rPr>
        <w:t xml:space="preserve"> </w:t>
      </w:r>
      <w:r>
        <w:rPr>
          <w:rFonts w:ascii="宋体" w:hAnsi="宋体"/>
          <w:color w:val="auto"/>
          <w:spacing w:val="1"/>
          <w:position w:val="-2"/>
          <w:highlight w:val="none"/>
          <w:u w:val="single"/>
        </w:rPr>
        <w:t xml:space="preserve"> </w:t>
      </w:r>
      <w:r>
        <w:rPr>
          <w:rFonts w:ascii="宋体" w:hAnsi="宋体"/>
          <w:color w:val="auto"/>
          <w:position w:val="-2"/>
          <w:highlight w:val="none"/>
          <w:u w:val="single"/>
        </w:rPr>
        <w:tab/>
      </w:r>
      <w:r>
        <w:rPr>
          <w:rFonts w:ascii="宋体" w:hAnsi="宋体"/>
          <w:color w:val="auto"/>
          <w:position w:val="-2"/>
          <w:highlight w:val="none"/>
        </w:rPr>
        <w:t>（签</w:t>
      </w:r>
      <w:r>
        <w:rPr>
          <w:rFonts w:ascii="宋体" w:hAnsi="宋体"/>
          <w:color w:val="auto"/>
          <w:spacing w:val="-2"/>
          <w:position w:val="-2"/>
          <w:highlight w:val="none"/>
        </w:rPr>
        <w:t>字</w:t>
      </w:r>
      <w:r>
        <w:rPr>
          <w:rFonts w:ascii="宋体" w:hAnsi="宋体"/>
          <w:color w:val="auto"/>
          <w:position w:val="-2"/>
          <w:highlight w:val="none"/>
        </w:rPr>
        <w:t>）</w:t>
      </w: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before="10" w:line="200" w:lineRule="exact"/>
        <w:jc w:val="left"/>
        <w:rPr>
          <w:rFonts w:ascii="宋体" w:hAnsi="宋体"/>
          <w:color w:val="auto"/>
          <w:sz w:val="20"/>
          <w:highlight w:val="none"/>
        </w:rPr>
      </w:pPr>
    </w:p>
    <w:p>
      <w:pPr>
        <w:tabs>
          <w:tab w:val="left" w:pos="8500"/>
        </w:tabs>
        <w:spacing w:line="271" w:lineRule="exact"/>
        <w:ind w:left="2794" w:right="-20"/>
        <w:jc w:val="left"/>
        <w:rPr>
          <w:rFonts w:ascii="宋体" w:hAnsi="宋体"/>
          <w:color w:val="auto"/>
          <w:highlight w:val="none"/>
        </w:rPr>
      </w:pPr>
      <w:r>
        <w:rPr>
          <w:rFonts w:ascii="宋体" w:hAnsi="宋体"/>
          <w:color w:val="auto"/>
          <w:position w:val="-2"/>
          <w:highlight w:val="none"/>
        </w:rPr>
        <w:t>身份</w:t>
      </w:r>
      <w:r>
        <w:rPr>
          <w:rFonts w:ascii="宋体" w:hAnsi="宋体"/>
          <w:color w:val="auto"/>
          <w:spacing w:val="-2"/>
          <w:position w:val="-2"/>
          <w:highlight w:val="none"/>
        </w:rPr>
        <w:t>证</w:t>
      </w:r>
      <w:r>
        <w:rPr>
          <w:rFonts w:ascii="宋体" w:hAnsi="宋体"/>
          <w:color w:val="auto"/>
          <w:position w:val="-2"/>
          <w:highlight w:val="none"/>
        </w:rPr>
        <w:t>号</w:t>
      </w:r>
      <w:r>
        <w:rPr>
          <w:rFonts w:ascii="宋体" w:hAnsi="宋体"/>
          <w:color w:val="auto"/>
          <w:spacing w:val="-2"/>
          <w:position w:val="-2"/>
          <w:highlight w:val="none"/>
        </w:rPr>
        <w:t>码</w:t>
      </w:r>
      <w:r>
        <w:rPr>
          <w:rFonts w:ascii="宋体" w:hAnsi="宋体"/>
          <w:color w:val="auto"/>
          <w:spacing w:val="-3"/>
          <w:position w:val="-2"/>
          <w:highlight w:val="none"/>
        </w:rPr>
        <w:t>：</w:t>
      </w:r>
      <w:r>
        <w:rPr>
          <w:rFonts w:ascii="宋体" w:hAnsi="宋体"/>
          <w:color w:val="auto"/>
          <w:w w:val="201"/>
          <w:position w:val="-2"/>
          <w:highlight w:val="none"/>
          <w:u w:val="single"/>
        </w:rPr>
        <w:t xml:space="preserve"> </w:t>
      </w:r>
      <w:r>
        <w:rPr>
          <w:rFonts w:ascii="宋体" w:hAnsi="宋体"/>
          <w:color w:val="auto"/>
          <w:position w:val="-2"/>
          <w:highlight w:val="none"/>
          <w:u w:val="single"/>
        </w:rPr>
        <w:tab/>
      </w: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line="200" w:lineRule="exact"/>
        <w:jc w:val="left"/>
        <w:rPr>
          <w:rFonts w:ascii="宋体" w:hAnsi="宋体"/>
          <w:color w:val="auto"/>
          <w:sz w:val="20"/>
          <w:highlight w:val="none"/>
        </w:rPr>
      </w:pPr>
    </w:p>
    <w:p>
      <w:pPr>
        <w:spacing w:before="9" w:line="240" w:lineRule="exact"/>
        <w:jc w:val="left"/>
        <w:rPr>
          <w:rFonts w:ascii="宋体" w:hAnsi="宋体"/>
          <w:color w:val="auto"/>
          <w:sz w:val="24"/>
          <w:highlight w:val="none"/>
        </w:rPr>
      </w:pPr>
    </w:p>
    <w:p>
      <w:pPr>
        <w:tabs>
          <w:tab w:val="left" w:pos="720"/>
          <w:tab w:val="left" w:pos="1680"/>
          <w:tab w:val="left" w:pos="2620"/>
        </w:tabs>
        <w:spacing w:line="295" w:lineRule="exact"/>
        <w:ind w:right="96"/>
        <w:jc w:val="right"/>
        <w:rPr>
          <w:rFonts w:ascii="宋体" w:hAnsi="宋体"/>
          <w:color w:val="auto"/>
          <w:highlight w:val="none"/>
        </w:rPr>
      </w:pPr>
      <w:r>
        <w:rPr>
          <w:rFonts w:ascii="宋体" w:hAnsi="宋体"/>
          <w:color w:val="auto"/>
          <w:w w:val="201"/>
          <w:position w:val="-1"/>
          <w:highlight w:val="none"/>
          <w:u w:val="single"/>
        </w:rPr>
        <w:t xml:space="preserve"> </w:t>
      </w:r>
      <w:r>
        <w:rPr>
          <w:rFonts w:ascii="宋体" w:hAnsi="宋体"/>
          <w:color w:val="auto"/>
          <w:position w:val="-1"/>
          <w:highlight w:val="none"/>
          <w:u w:val="single"/>
        </w:rPr>
        <w:tab/>
      </w:r>
      <w:r>
        <w:rPr>
          <w:rFonts w:ascii="宋体" w:hAnsi="宋体"/>
          <w:color w:val="auto"/>
          <w:position w:val="-1"/>
          <w:highlight w:val="none"/>
        </w:rPr>
        <w:t>年</w:t>
      </w:r>
      <w:r>
        <w:rPr>
          <w:rFonts w:ascii="宋体" w:hAnsi="宋体"/>
          <w:color w:val="auto"/>
          <w:position w:val="-1"/>
          <w:highlight w:val="none"/>
          <w:u w:val="single"/>
        </w:rPr>
        <w:t xml:space="preserve"> </w:t>
      </w:r>
      <w:r>
        <w:rPr>
          <w:rFonts w:ascii="宋体" w:hAnsi="宋体"/>
          <w:color w:val="auto"/>
          <w:spacing w:val="1"/>
          <w:position w:val="-1"/>
          <w:highlight w:val="none"/>
          <w:u w:val="single"/>
        </w:rPr>
        <w:t xml:space="preserve"> </w:t>
      </w:r>
      <w:r>
        <w:rPr>
          <w:rFonts w:ascii="宋体" w:hAnsi="宋体"/>
          <w:color w:val="auto"/>
          <w:position w:val="-1"/>
          <w:highlight w:val="none"/>
          <w:u w:val="single"/>
        </w:rPr>
        <w:tab/>
      </w:r>
      <w:r>
        <w:rPr>
          <w:rFonts w:ascii="宋体" w:hAnsi="宋体"/>
          <w:color w:val="auto"/>
          <w:spacing w:val="-2"/>
          <w:position w:val="-1"/>
          <w:highlight w:val="none"/>
        </w:rPr>
        <w:t>月</w:t>
      </w:r>
      <w:r>
        <w:rPr>
          <w:rFonts w:ascii="宋体" w:hAnsi="宋体"/>
          <w:color w:val="auto"/>
          <w:position w:val="-1"/>
          <w:highlight w:val="none"/>
          <w:u w:val="single"/>
        </w:rPr>
        <w:t xml:space="preserve"> </w:t>
      </w:r>
      <w:r>
        <w:rPr>
          <w:rFonts w:ascii="宋体" w:hAnsi="宋体"/>
          <w:color w:val="auto"/>
          <w:spacing w:val="1"/>
          <w:position w:val="-1"/>
          <w:highlight w:val="none"/>
          <w:u w:val="single"/>
        </w:rPr>
        <w:t xml:space="preserve"> </w:t>
      </w:r>
      <w:r>
        <w:rPr>
          <w:rFonts w:ascii="宋体" w:hAnsi="宋体"/>
          <w:color w:val="auto"/>
          <w:position w:val="-1"/>
          <w:highlight w:val="none"/>
          <w:u w:val="single"/>
        </w:rPr>
        <w:tab/>
      </w:r>
      <w:r>
        <w:rPr>
          <w:rFonts w:ascii="宋体" w:hAnsi="宋体"/>
          <w:color w:val="auto"/>
          <w:position w:val="-1"/>
          <w:highlight w:val="none"/>
        </w:rPr>
        <w:t>日</w:t>
      </w:r>
    </w:p>
    <w:bookmarkEnd w:id="733"/>
    <w:bookmarkEnd w:id="734"/>
    <w:bookmarkEnd w:id="735"/>
    <w:bookmarkEnd w:id="736"/>
    <w:p>
      <w:pPr>
        <w:spacing w:line="360" w:lineRule="auto"/>
        <w:rPr>
          <w:rFonts w:ascii="宋体" w:hAnsi="宋体" w:cs="宋体"/>
          <w:color w:val="auto"/>
          <w:kern w:val="0"/>
          <w:szCs w:val="21"/>
          <w:highlight w:val="none"/>
        </w:rPr>
      </w:pPr>
    </w:p>
    <w:p>
      <w:pPr>
        <w:autoSpaceDE w:val="0"/>
        <w:autoSpaceDN w:val="0"/>
        <w:adjustRightInd w:val="0"/>
        <w:spacing w:line="480" w:lineRule="exact"/>
        <w:jc w:val="left"/>
        <w:rPr>
          <w:rFonts w:ascii="宋体" w:hAnsi="宋体" w:cs="宋体"/>
          <w:color w:val="auto"/>
          <w:kern w:val="0"/>
          <w:szCs w:val="21"/>
          <w:highlight w:val="none"/>
        </w:rPr>
      </w:pPr>
    </w:p>
    <w:p>
      <w:pPr>
        <w:pStyle w:val="4"/>
        <w:outlineLvl w:val="1"/>
        <w:rPr>
          <w:color w:val="auto"/>
          <w:w w:val="99"/>
          <w:sz w:val="28"/>
          <w:szCs w:val="28"/>
          <w:highlight w:val="none"/>
        </w:rPr>
      </w:pPr>
      <w:r>
        <w:rPr>
          <w:rFonts w:hint="eastAsia" w:cs="宋体"/>
          <w:color w:val="auto"/>
          <w:sz w:val="30"/>
          <w:szCs w:val="30"/>
          <w:highlight w:val="none"/>
        </w:rPr>
        <w:br w:type="page"/>
      </w:r>
      <w:bookmarkStart w:id="737" w:name="_Toc17843"/>
      <w:bookmarkStart w:id="738" w:name="_Toc13604"/>
      <w:bookmarkStart w:id="739" w:name="_Toc2875"/>
      <w:bookmarkStart w:id="740" w:name="_Toc21147"/>
      <w:bookmarkStart w:id="741" w:name="_Toc13890"/>
      <w:bookmarkStart w:id="742" w:name="_Toc17301"/>
      <w:bookmarkStart w:id="743" w:name="_Toc15345"/>
      <w:bookmarkStart w:id="744" w:name="_Toc30814"/>
      <w:bookmarkStart w:id="745" w:name="_Toc17286"/>
      <w:bookmarkStart w:id="746" w:name="_Toc7608"/>
      <w:r>
        <w:rPr>
          <w:rFonts w:hint="eastAsia"/>
          <w:color w:val="auto"/>
          <w:spacing w:val="20"/>
          <w:sz w:val="32"/>
          <w:highlight w:val="none"/>
        </w:rPr>
        <w:t>三、投标保证金</w:t>
      </w:r>
      <w:bookmarkEnd w:id="737"/>
      <w:bookmarkEnd w:id="738"/>
      <w:bookmarkEnd w:id="739"/>
      <w:bookmarkEnd w:id="740"/>
      <w:bookmarkEnd w:id="741"/>
      <w:bookmarkEnd w:id="742"/>
      <w:bookmarkEnd w:id="743"/>
      <w:bookmarkEnd w:id="744"/>
      <w:bookmarkEnd w:id="745"/>
      <w:bookmarkEnd w:id="746"/>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s="宋体"/>
          <w:b/>
          <w:color w:val="auto"/>
          <w:sz w:val="21"/>
          <w:szCs w:val="21"/>
          <w:highlight w:val="none"/>
        </w:rPr>
      </w:pPr>
      <w:r>
        <w:rPr>
          <w:rFonts w:hint="eastAsia" w:ascii="宋体" w:cs="宋体"/>
          <w:color w:val="auto"/>
          <w:sz w:val="21"/>
          <w:szCs w:val="21"/>
          <w:highlight w:val="none"/>
        </w:rPr>
        <w:t>1、如采用现金、支票或汇票形式提交的，由</w:t>
      </w:r>
      <w:r>
        <w:rPr>
          <w:rFonts w:hint="eastAsia" w:ascii="宋体" w:cs="宋体"/>
          <w:color w:val="auto"/>
          <w:sz w:val="21"/>
          <w:szCs w:val="21"/>
          <w:highlight w:val="none"/>
          <w:lang w:eastAsia="zh-CN"/>
        </w:rPr>
        <w:t>广州交易集团有限公司（广州公共资源交易中心）</w:t>
      </w:r>
      <w:r>
        <w:rPr>
          <w:rFonts w:hint="eastAsia" w:ascii="宋体" w:cs="宋体"/>
          <w:color w:val="auto"/>
          <w:sz w:val="21"/>
          <w:szCs w:val="21"/>
          <w:highlight w:val="none"/>
        </w:rPr>
        <w:t>代收（保证金从投标人基本账户转账至</w:t>
      </w:r>
      <w:r>
        <w:rPr>
          <w:rFonts w:hint="eastAsia" w:ascii="宋体" w:cs="宋体"/>
          <w:color w:val="auto"/>
          <w:sz w:val="21"/>
          <w:szCs w:val="21"/>
          <w:highlight w:val="none"/>
          <w:lang w:eastAsia="zh-CN"/>
        </w:rPr>
        <w:t>广州交易集团有限公司（广州公共资源交易中心）</w:t>
      </w:r>
      <w:r>
        <w:rPr>
          <w:rFonts w:hint="eastAsia" w:ascii="宋体" w:cs="宋体"/>
          <w:color w:val="auto"/>
          <w:sz w:val="21"/>
          <w:szCs w:val="21"/>
          <w:highlight w:val="none"/>
        </w:rPr>
        <w:t>。）具体操作要求详见</w:t>
      </w:r>
      <w:r>
        <w:rPr>
          <w:rFonts w:hint="eastAsia" w:ascii="宋体" w:cs="宋体"/>
          <w:color w:val="auto"/>
          <w:sz w:val="21"/>
          <w:szCs w:val="21"/>
          <w:highlight w:val="none"/>
          <w:lang w:eastAsia="zh-CN"/>
        </w:rPr>
        <w:t>广州交易集团有限公司（广州公共资源交易中心）</w:t>
      </w:r>
      <w:r>
        <w:rPr>
          <w:rFonts w:hint="eastAsia" w:ascii="宋体" w:cs="宋体"/>
          <w:color w:val="auto"/>
          <w:sz w:val="21"/>
          <w:szCs w:val="21"/>
          <w:highlight w:val="none"/>
        </w:rPr>
        <w:t>最新的投标保证金缴纳操作流程及有关指引，递交事宜请自行咨询交易中心；请各投标人在投标文件递交截止时间前按上述金额递交至</w:t>
      </w:r>
      <w:r>
        <w:rPr>
          <w:rFonts w:hint="eastAsia" w:ascii="宋体" w:cs="宋体"/>
          <w:color w:val="auto"/>
          <w:sz w:val="21"/>
          <w:szCs w:val="21"/>
          <w:highlight w:val="none"/>
          <w:lang w:eastAsia="zh-CN"/>
        </w:rPr>
        <w:t>广州交易集团有限公司（广州公共资源交易中心）</w:t>
      </w:r>
      <w:r>
        <w:rPr>
          <w:rFonts w:hint="eastAsia" w:ascii="宋体" w:cs="宋体"/>
          <w:color w:val="auto"/>
          <w:sz w:val="21"/>
          <w:szCs w:val="21"/>
          <w:highlight w:val="none"/>
        </w:rPr>
        <w:t>，到账情况以开标时</w:t>
      </w:r>
      <w:r>
        <w:rPr>
          <w:rFonts w:hint="eastAsia" w:ascii="宋体" w:cs="宋体"/>
          <w:color w:val="auto"/>
          <w:sz w:val="21"/>
          <w:szCs w:val="21"/>
          <w:highlight w:val="none"/>
          <w:lang w:eastAsia="zh-CN"/>
        </w:rPr>
        <w:t>广州交易集团有限公司（广州公共资源交易中心）</w:t>
      </w:r>
      <w:r>
        <w:rPr>
          <w:rFonts w:hint="eastAsia" w:ascii="宋体" w:cs="宋体"/>
          <w:color w:val="auto"/>
          <w:sz w:val="21"/>
          <w:szCs w:val="21"/>
          <w:highlight w:val="none"/>
        </w:rPr>
        <w:t>数据库查询的信息为准。</w:t>
      </w:r>
      <w:r>
        <w:rPr>
          <w:rFonts w:hint="eastAsia" w:ascii="宋体" w:cs="宋体"/>
          <w:b/>
          <w:color w:val="auto"/>
          <w:sz w:val="21"/>
          <w:szCs w:val="21"/>
          <w:highlight w:val="none"/>
        </w:rPr>
        <w:t>（</w:t>
      </w:r>
      <w:r>
        <w:rPr>
          <w:rFonts w:hint="eastAsia" w:ascii="宋体"/>
          <w:b/>
          <w:color w:val="auto"/>
          <w:sz w:val="21"/>
          <w:szCs w:val="21"/>
          <w:highlight w:val="none"/>
        </w:rPr>
        <w:t>在此提供经</w:t>
      </w:r>
      <w:r>
        <w:rPr>
          <w:rFonts w:hint="eastAsia" w:ascii="宋体"/>
          <w:b/>
          <w:color w:val="auto"/>
          <w:sz w:val="21"/>
          <w:szCs w:val="21"/>
          <w:highlight w:val="none"/>
          <w:lang w:eastAsia="zh-CN"/>
        </w:rPr>
        <w:t>广州交易集团有限公司（广州公共资源交易中心）</w:t>
      </w:r>
      <w:r>
        <w:rPr>
          <w:rFonts w:hint="eastAsia" w:ascii="宋体"/>
          <w:b/>
          <w:color w:val="auto"/>
          <w:sz w:val="21"/>
          <w:szCs w:val="21"/>
          <w:highlight w:val="none"/>
        </w:rPr>
        <w:t>确认的保证金回执扫描件。</w:t>
      </w:r>
      <w:r>
        <w:rPr>
          <w:rFonts w:hint="eastAsia" w:ascii="宋体" w:cs="宋体"/>
          <w:b/>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s="宋体"/>
          <w:b/>
          <w:color w:val="auto"/>
          <w:sz w:val="21"/>
          <w:szCs w:val="21"/>
          <w:highlight w:val="none"/>
        </w:rPr>
      </w:pPr>
      <w:r>
        <w:rPr>
          <w:rFonts w:hint="eastAsia" w:ascii="宋体" w:cs="宋体"/>
          <w:color w:val="auto"/>
          <w:sz w:val="21"/>
          <w:szCs w:val="21"/>
          <w:highlight w:val="none"/>
        </w:rPr>
        <w:t>2、如采用投标保函、投标保证保险形式提交投标保证金的，投标保函或投标保证保险须开具给招标人（保险受益人须为招标人）。开标前可不提交纸质原件，但投标人应在投标文件中提交投标保函或投标保险的扫描件并加盖投标人电子印章，完成评标后，由中标候选人在中标候选人公示前向招标代理单位提交纸质原件并在网上公示。如投标人选择在开标前提交纸质原件的，可在投标截止时间前单独密封递交至开标室。</w:t>
      </w:r>
      <w:r>
        <w:rPr>
          <w:rFonts w:hint="eastAsia" w:ascii="宋体" w:cs="宋体"/>
          <w:b/>
          <w:color w:val="auto"/>
          <w:sz w:val="21"/>
          <w:szCs w:val="21"/>
          <w:highlight w:val="none"/>
        </w:rPr>
        <w:t>（</w:t>
      </w:r>
      <w:r>
        <w:rPr>
          <w:rFonts w:hint="eastAsia" w:ascii="宋体"/>
          <w:b/>
          <w:color w:val="auto"/>
          <w:sz w:val="21"/>
          <w:szCs w:val="21"/>
          <w:highlight w:val="none"/>
        </w:rPr>
        <w:t>在此提供保函或保险</w:t>
      </w:r>
      <w:r>
        <w:rPr>
          <w:rFonts w:hint="eastAsia" w:ascii="宋体" w:cs="宋体"/>
          <w:b/>
          <w:color w:val="auto"/>
          <w:sz w:val="21"/>
          <w:szCs w:val="21"/>
          <w:highlight w:val="none"/>
        </w:rPr>
        <w:t>等能够实现保证目的的资料扫描件）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 w:val="21"/>
          <w:szCs w:val="21"/>
          <w:highlight w:val="none"/>
        </w:rPr>
      </w:pPr>
      <w:r>
        <w:rPr>
          <w:rFonts w:hint="eastAsia" w:ascii="宋体" w:cs="宋体"/>
          <w:color w:val="auto"/>
          <w:sz w:val="21"/>
          <w:szCs w:val="21"/>
          <w:highlight w:val="none"/>
        </w:rPr>
        <w:t>（详见本招标文件第二章投标人须知前附表3.4.1）</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sectPr>
          <w:pgSz w:w="12240" w:h="15840"/>
          <w:pgMar w:top="1480" w:right="1718" w:bottom="919" w:left="1718" w:header="850" w:footer="992" w:gutter="0"/>
          <w:pgNumType w:fmt="decimal"/>
          <w:cols w:space="720" w:num="1"/>
          <w:docGrid w:linePitch="312" w:charSpace="0"/>
        </w:sectPr>
      </w:pPr>
    </w:p>
    <w:p>
      <w:pPr>
        <w:pStyle w:val="4"/>
        <w:outlineLvl w:val="1"/>
        <w:rPr>
          <w:color w:val="auto"/>
          <w:spacing w:val="20"/>
          <w:sz w:val="32"/>
          <w:highlight w:val="none"/>
        </w:rPr>
      </w:pPr>
      <w:bookmarkStart w:id="747" w:name="_Toc13068"/>
      <w:bookmarkStart w:id="748" w:name="_Toc1677"/>
      <w:bookmarkStart w:id="749" w:name="_Toc1871"/>
      <w:bookmarkStart w:id="750" w:name="_Toc28786"/>
      <w:bookmarkStart w:id="751" w:name="_Toc11268"/>
      <w:bookmarkStart w:id="752" w:name="_Toc30270"/>
      <w:bookmarkStart w:id="753" w:name="_Toc19094"/>
      <w:bookmarkStart w:id="754" w:name="_Toc21808"/>
      <w:bookmarkStart w:id="755" w:name="_Toc32164"/>
      <w:bookmarkStart w:id="756" w:name="_Toc25721"/>
      <w:bookmarkStart w:id="757" w:name="_Toc3349"/>
      <w:bookmarkStart w:id="758" w:name="_Toc28879"/>
      <w:bookmarkStart w:id="759" w:name="_Toc8884"/>
      <w:bookmarkStart w:id="760" w:name="_Toc28653"/>
      <w:r>
        <w:rPr>
          <w:rFonts w:hint="eastAsia"/>
          <w:color w:val="auto"/>
          <w:spacing w:val="20"/>
          <w:sz w:val="32"/>
          <w:highlight w:val="none"/>
        </w:rPr>
        <w:t>四、监理</w:t>
      </w:r>
      <w:r>
        <w:rPr>
          <w:rFonts w:hint="eastAsia"/>
          <w:color w:val="auto"/>
          <w:spacing w:val="20"/>
          <w:sz w:val="32"/>
          <w:highlight w:val="none"/>
          <w:lang w:val="en-US" w:eastAsia="zh-CN"/>
        </w:rPr>
        <w:t>服务报价</w:t>
      </w:r>
      <w:r>
        <w:rPr>
          <w:rFonts w:hint="eastAsia"/>
          <w:color w:val="auto"/>
          <w:spacing w:val="20"/>
          <w:sz w:val="32"/>
          <w:highlight w:val="none"/>
        </w:rPr>
        <w:t>清单</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tbl>
      <w:tblPr>
        <w:tblStyle w:val="19"/>
        <w:tblW w:w="8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4214"/>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17" w:type="dxa"/>
            <w:noWrap w:val="0"/>
            <w:vAlign w:val="center"/>
          </w:tcPr>
          <w:p>
            <w:pPr>
              <w:jc w:val="center"/>
              <w:rPr>
                <w:rFonts w:hint="eastAsia"/>
                <w:color w:val="auto"/>
                <w:highlight w:val="none"/>
              </w:rPr>
            </w:pPr>
            <w:r>
              <w:rPr>
                <w:rFonts w:hint="eastAsia"/>
                <w:color w:val="auto"/>
                <w:highlight w:val="none"/>
              </w:rPr>
              <w:t>序号</w:t>
            </w:r>
          </w:p>
        </w:tc>
        <w:tc>
          <w:tcPr>
            <w:tcW w:w="4214" w:type="dxa"/>
            <w:noWrap w:val="0"/>
            <w:vAlign w:val="center"/>
          </w:tcPr>
          <w:p>
            <w:pPr>
              <w:jc w:val="center"/>
              <w:rPr>
                <w:rFonts w:hint="eastAsia"/>
                <w:color w:val="auto"/>
                <w:highlight w:val="none"/>
              </w:rPr>
            </w:pPr>
            <w:r>
              <w:rPr>
                <w:rFonts w:hint="eastAsia"/>
                <w:color w:val="auto"/>
                <w:highlight w:val="none"/>
              </w:rPr>
              <w:t>项目名称</w:t>
            </w:r>
          </w:p>
        </w:tc>
        <w:tc>
          <w:tcPr>
            <w:tcW w:w="3717" w:type="dxa"/>
            <w:noWrap w:val="0"/>
            <w:vAlign w:val="center"/>
          </w:tcPr>
          <w:p>
            <w:pPr>
              <w:jc w:val="center"/>
              <w:rPr>
                <w:color w:val="auto"/>
                <w:highlight w:val="none"/>
              </w:rPr>
            </w:pPr>
            <w:r>
              <w:rPr>
                <w:rFonts w:hint="eastAsia"/>
                <w:color w:val="auto"/>
                <w:highlight w:val="none"/>
              </w:rPr>
              <w:t>含税</w:t>
            </w:r>
            <w:r>
              <w:rPr>
                <w:rFonts w:hint="eastAsia"/>
                <w:color w:val="auto"/>
                <w:highlight w:val="none"/>
                <w:lang w:val="en-US" w:eastAsia="zh-CN"/>
              </w:rPr>
              <w:t>总</w:t>
            </w:r>
            <w:r>
              <w:rPr>
                <w:rFonts w:hint="eastAsia"/>
                <w:color w:val="auto"/>
                <w:highlight w:val="none"/>
              </w:rPr>
              <w:t>价</w:t>
            </w:r>
          </w:p>
          <w:p>
            <w:pPr>
              <w:pStyle w:val="8"/>
              <w:jc w:val="center"/>
              <w:rPr>
                <w:rFonts w:hint="eastAsia"/>
                <w:color w:val="auto"/>
                <w:highlight w:val="none"/>
              </w:rPr>
            </w:pPr>
            <w:r>
              <w:rPr>
                <w:rFonts w:hint="eastAsia"/>
                <w:color w:val="auto"/>
                <w:highlight w:val="none"/>
              </w:rPr>
              <w:t>（</w:t>
            </w:r>
            <w:r>
              <w:rPr>
                <w:rFonts w:hint="eastAsia"/>
                <w:color w:val="auto"/>
                <w:highlight w:val="none"/>
                <w:lang w:val="en-US" w:eastAsia="zh-CN"/>
              </w:rPr>
              <w:t>万</w:t>
            </w:r>
            <w:r>
              <w:rPr>
                <w:rFonts w:hint="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17" w:type="dxa"/>
            <w:noWrap w:val="0"/>
            <w:vAlign w:val="center"/>
          </w:tcPr>
          <w:p>
            <w:pPr>
              <w:jc w:val="center"/>
              <w:rPr>
                <w:rFonts w:hint="eastAsia"/>
                <w:color w:val="auto"/>
                <w:highlight w:val="none"/>
              </w:rPr>
            </w:pPr>
            <w:r>
              <w:rPr>
                <w:rFonts w:hint="eastAsia"/>
                <w:color w:val="auto"/>
                <w:highlight w:val="none"/>
              </w:rPr>
              <w:t>1</w:t>
            </w:r>
          </w:p>
        </w:tc>
        <w:tc>
          <w:tcPr>
            <w:tcW w:w="4214" w:type="dxa"/>
            <w:noWrap w:val="0"/>
            <w:vAlign w:val="center"/>
          </w:tcPr>
          <w:p>
            <w:pPr>
              <w:jc w:val="center"/>
              <w:rPr>
                <w:rFonts w:hint="eastAsia"/>
                <w:color w:val="auto"/>
                <w:highlight w:val="none"/>
              </w:rPr>
            </w:pPr>
            <w:r>
              <w:rPr>
                <w:rFonts w:hint="eastAsia"/>
                <w:color w:val="auto"/>
                <w:highlight w:val="none"/>
              </w:rPr>
              <w:t>岭南集团食品产业基地项目施工监理</w:t>
            </w:r>
          </w:p>
        </w:tc>
        <w:tc>
          <w:tcPr>
            <w:tcW w:w="3717"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4731" w:type="dxa"/>
            <w:gridSpan w:val="2"/>
            <w:noWrap w:val="0"/>
            <w:vAlign w:val="center"/>
          </w:tcPr>
          <w:p>
            <w:pPr>
              <w:jc w:val="center"/>
              <w:rPr>
                <w:rFonts w:hint="eastAsia"/>
                <w:color w:val="auto"/>
                <w:highlight w:val="none"/>
              </w:rPr>
            </w:pPr>
            <w:r>
              <w:rPr>
                <w:rFonts w:hint="eastAsia"/>
                <w:color w:val="auto"/>
                <w:highlight w:val="none"/>
              </w:rPr>
              <w:t>合计</w:t>
            </w:r>
          </w:p>
        </w:tc>
        <w:tc>
          <w:tcPr>
            <w:tcW w:w="3717" w:type="dxa"/>
            <w:noWrap w:val="0"/>
            <w:vAlign w:val="center"/>
          </w:tcPr>
          <w:p>
            <w:pPr>
              <w:jc w:val="center"/>
              <w:rPr>
                <w:rFonts w:hint="eastAsia"/>
                <w:b/>
                <w:bCs/>
                <w:color w:val="auto"/>
                <w:highlight w:val="none"/>
              </w:rPr>
            </w:pPr>
          </w:p>
        </w:tc>
      </w:tr>
    </w:tbl>
    <w:p>
      <w:pPr>
        <w:rPr>
          <w:rFonts w:hint="eastAsia"/>
          <w:color w:val="auto"/>
          <w:highlight w:val="none"/>
        </w:rPr>
      </w:pPr>
    </w:p>
    <w:p>
      <w:pPr>
        <w:spacing w:line="360" w:lineRule="auto"/>
        <w:ind w:left="315" w:leftChars="150" w:firstLine="44" w:firstLineChars="21"/>
        <w:rPr>
          <w:rFonts w:ascii="宋体" w:hAnsi="宋体"/>
          <w:color w:val="auto"/>
          <w:highlight w:val="none"/>
        </w:rPr>
      </w:pPr>
    </w:p>
    <w:p>
      <w:pPr>
        <w:spacing w:line="360" w:lineRule="auto"/>
        <w:rPr>
          <w:rFonts w:hint="eastAsia" w:ascii="宋体" w:hAnsi="宋体"/>
          <w:color w:val="auto"/>
          <w:highlight w:val="none"/>
        </w:rPr>
      </w:pPr>
    </w:p>
    <w:p>
      <w:pPr>
        <w:spacing w:line="360" w:lineRule="auto"/>
        <w:ind w:left="315" w:leftChars="150" w:firstLine="44" w:firstLineChars="21"/>
        <w:rPr>
          <w:rFonts w:hint="eastAsia" w:ascii="宋体" w:hAnsi="宋体"/>
          <w:color w:val="auto"/>
          <w:highlight w:val="none"/>
        </w:rPr>
      </w:pPr>
      <w:r>
        <w:rPr>
          <w:rFonts w:hint="eastAsia" w:ascii="宋体" w:hAnsi="宋体"/>
          <w:color w:val="auto"/>
          <w:highlight w:val="none"/>
        </w:rPr>
        <w:t xml:space="preserve">备注：（1）以上报价含_______%税率。  </w:t>
      </w:r>
    </w:p>
    <w:p>
      <w:pPr>
        <w:rPr>
          <w:rFonts w:ascii="宋体" w:hAnsi="宋体"/>
          <w:b/>
          <w:color w:val="auto"/>
          <w:sz w:val="30"/>
          <w:szCs w:val="30"/>
          <w:highlight w:val="none"/>
        </w:rPr>
      </w:pPr>
    </w:p>
    <w:p>
      <w:pPr>
        <w:rPr>
          <w:rFonts w:ascii="宋体" w:hAnsi="宋体"/>
          <w:b/>
          <w:color w:val="auto"/>
          <w:sz w:val="30"/>
          <w:szCs w:val="30"/>
          <w:highlight w:val="none"/>
        </w:rPr>
      </w:pPr>
    </w:p>
    <w:p>
      <w:pPr>
        <w:rPr>
          <w:rFonts w:ascii="宋体" w:hAnsi="宋体"/>
          <w:b/>
          <w:color w:val="auto"/>
          <w:sz w:val="30"/>
          <w:szCs w:val="30"/>
          <w:highlight w:val="none"/>
        </w:rPr>
      </w:pPr>
    </w:p>
    <w:p>
      <w:pPr>
        <w:spacing w:line="360" w:lineRule="auto"/>
        <w:ind w:left="315" w:leftChars="150" w:firstLine="44" w:firstLineChars="21"/>
        <w:rPr>
          <w:rFonts w:ascii="宋体" w:hAnsi="宋体"/>
          <w:color w:val="auto"/>
          <w:szCs w:val="21"/>
          <w:highlight w:val="none"/>
        </w:rPr>
      </w:pPr>
    </w:p>
    <w:p>
      <w:pPr>
        <w:spacing w:line="360" w:lineRule="auto"/>
        <w:ind w:firstLine="3360" w:firstLineChars="1400"/>
        <w:rPr>
          <w:rFonts w:ascii="宋体" w:hAnsi="宋体"/>
          <w:color w:val="auto"/>
          <w:sz w:val="24"/>
          <w:highlight w:val="none"/>
          <w:u w:val="single"/>
        </w:rPr>
      </w:pPr>
      <w:r>
        <w:rPr>
          <w:rFonts w:hint="eastAsia" w:ascii="宋体" w:hAnsi="宋体"/>
          <w:color w:val="auto"/>
          <w:sz w:val="24"/>
          <w:highlight w:val="none"/>
        </w:rPr>
        <w:t>投标单位：</w:t>
      </w:r>
      <w:r>
        <w:rPr>
          <w:rFonts w:hint="eastAsia" w:ascii="宋体" w:hAnsi="宋体"/>
          <w:color w:val="auto"/>
          <w:sz w:val="24"/>
          <w:highlight w:val="none"/>
          <w:u w:val="single"/>
        </w:rPr>
        <w:t xml:space="preserve">                                 </w:t>
      </w:r>
    </w:p>
    <w:p>
      <w:pPr>
        <w:spacing w:line="360" w:lineRule="auto"/>
        <w:ind w:firstLine="5280" w:firstLineChars="2200"/>
        <w:rPr>
          <w:rFonts w:ascii="宋体" w:hAnsi="宋体"/>
          <w:color w:val="auto"/>
          <w:sz w:val="24"/>
          <w:highlight w:val="none"/>
          <w:u w:val="single"/>
        </w:rPr>
      </w:pPr>
      <w:r>
        <w:rPr>
          <w:rFonts w:hint="eastAsia" w:ascii="宋体" w:hAnsi="宋体"/>
          <w:color w:val="auto"/>
          <w:sz w:val="24"/>
          <w:highlight w:val="none"/>
        </w:rPr>
        <w:t>日期：      年     月     日</w:t>
      </w:r>
    </w:p>
    <w:p>
      <w:pPr>
        <w:rPr>
          <w:rFonts w:ascii="宋体" w:hAnsi="宋体"/>
          <w:b/>
          <w:color w:val="auto"/>
          <w:sz w:val="30"/>
          <w:szCs w:val="30"/>
          <w:highlight w:val="none"/>
        </w:rPr>
      </w:pPr>
    </w:p>
    <w:p>
      <w:pPr>
        <w:rPr>
          <w:rFonts w:ascii="宋体" w:hAnsi="宋体"/>
          <w:b/>
          <w:color w:val="auto"/>
          <w:szCs w:val="21"/>
          <w:highlight w:val="none"/>
        </w:rPr>
      </w:pPr>
    </w:p>
    <w:p>
      <w:pPr>
        <w:rPr>
          <w:rFonts w:ascii="宋体" w:hAnsi="宋体"/>
          <w:color w:val="auto"/>
          <w:highlight w:val="none"/>
        </w:rPr>
      </w:pPr>
    </w:p>
    <w:p>
      <w:pPr>
        <w:rPr>
          <w:rFonts w:ascii="宋体" w:hAnsi="宋体" w:cs="宋体"/>
          <w:color w:val="auto"/>
          <w:sz w:val="30"/>
          <w:szCs w:val="30"/>
          <w:highlight w:val="none"/>
        </w:rPr>
      </w:pPr>
      <w:bookmarkStart w:id="761" w:name="_Toc499812033"/>
      <w:bookmarkStart w:id="762" w:name="_Toc13348"/>
      <w:bookmarkStart w:id="763" w:name="_Toc14901"/>
      <w:bookmarkStart w:id="764" w:name="_Toc1357"/>
      <w:bookmarkStart w:id="765" w:name="_Toc11833"/>
    </w:p>
    <w:p>
      <w:pPr>
        <w:pStyle w:val="4"/>
        <w:outlineLvl w:val="1"/>
        <w:rPr>
          <w:color w:val="auto"/>
          <w:sz w:val="36"/>
          <w:szCs w:val="36"/>
          <w:highlight w:val="none"/>
        </w:rPr>
      </w:pPr>
      <w:r>
        <w:rPr>
          <w:rFonts w:hint="eastAsia"/>
          <w:color w:val="auto"/>
          <w:highlight w:val="none"/>
        </w:rPr>
        <w:br w:type="page"/>
      </w:r>
      <w:bookmarkStart w:id="766" w:name="_Toc10733"/>
      <w:bookmarkStart w:id="767" w:name="_Toc18322"/>
      <w:bookmarkStart w:id="768" w:name="_Toc8648"/>
      <w:bookmarkStart w:id="769" w:name="_Toc4253"/>
      <w:bookmarkStart w:id="770" w:name="_Toc16139"/>
      <w:bookmarkStart w:id="771" w:name="_Toc25923"/>
      <w:bookmarkStart w:id="772" w:name="_Toc14512"/>
      <w:bookmarkStart w:id="773" w:name="_Toc15983"/>
      <w:bookmarkStart w:id="774" w:name="_Toc4815"/>
      <w:bookmarkStart w:id="775" w:name="_Toc2913"/>
      <w:r>
        <w:rPr>
          <w:rFonts w:hint="eastAsia"/>
          <w:color w:val="auto"/>
          <w:spacing w:val="20"/>
          <w:sz w:val="32"/>
          <w:highlight w:val="none"/>
        </w:rPr>
        <w:t>五、资格审查资料</w:t>
      </w:r>
      <w:bookmarkEnd w:id="766"/>
      <w:bookmarkEnd w:id="767"/>
      <w:bookmarkEnd w:id="768"/>
      <w:bookmarkEnd w:id="769"/>
      <w:bookmarkEnd w:id="770"/>
      <w:bookmarkEnd w:id="771"/>
      <w:bookmarkEnd w:id="772"/>
      <w:bookmarkEnd w:id="773"/>
      <w:bookmarkEnd w:id="774"/>
      <w:bookmarkEnd w:id="775"/>
    </w:p>
    <w:p>
      <w:pPr>
        <w:rPr>
          <w:rFonts w:ascii="宋体" w:hAnsi="宋体" w:cs="宋体"/>
          <w:color w:val="auto"/>
          <w:sz w:val="30"/>
          <w:szCs w:val="30"/>
          <w:highlight w:val="none"/>
        </w:rPr>
      </w:pPr>
    </w:p>
    <w:tbl>
      <w:tblPr>
        <w:tblStyle w:val="19"/>
        <w:tblW w:w="9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5591"/>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47" w:type="dxa"/>
            <w:vAlign w:val="center"/>
          </w:tcPr>
          <w:p>
            <w:pPr>
              <w:tabs>
                <w:tab w:val="left" w:pos="720"/>
              </w:tabs>
              <w:snapToGrid w:val="0"/>
              <w:jc w:val="center"/>
              <w:rPr>
                <w:rFonts w:ascii="宋体" w:hAnsi="宋体"/>
                <w:b/>
                <w:bCs/>
                <w:color w:val="auto"/>
                <w:szCs w:val="21"/>
                <w:highlight w:val="none"/>
              </w:rPr>
            </w:pPr>
            <w:bookmarkStart w:id="776" w:name="_Hlk87713744"/>
            <w:r>
              <w:rPr>
                <w:rFonts w:hint="eastAsia" w:ascii="宋体" w:hAnsi="宋体"/>
                <w:b/>
                <w:bCs/>
                <w:color w:val="auto"/>
                <w:szCs w:val="21"/>
                <w:highlight w:val="none"/>
              </w:rPr>
              <w:t>序号</w:t>
            </w:r>
          </w:p>
        </w:tc>
        <w:tc>
          <w:tcPr>
            <w:tcW w:w="5591" w:type="dxa"/>
            <w:vAlign w:val="center"/>
          </w:tcPr>
          <w:p>
            <w:pPr>
              <w:tabs>
                <w:tab w:val="left" w:pos="720"/>
              </w:tabs>
              <w:snapToGrid w:val="0"/>
              <w:jc w:val="center"/>
              <w:rPr>
                <w:rFonts w:ascii="宋体" w:hAnsi="宋体"/>
                <w:b/>
                <w:bCs/>
                <w:color w:val="auto"/>
                <w:szCs w:val="21"/>
                <w:highlight w:val="none"/>
              </w:rPr>
            </w:pPr>
            <w:r>
              <w:rPr>
                <w:rFonts w:hint="eastAsia" w:ascii="宋体" w:hAnsi="宋体"/>
                <w:b/>
                <w:bCs/>
                <w:color w:val="auto"/>
                <w:szCs w:val="21"/>
                <w:highlight w:val="none"/>
              </w:rPr>
              <w:t>审查内容</w:t>
            </w:r>
          </w:p>
        </w:tc>
        <w:tc>
          <w:tcPr>
            <w:tcW w:w="2536" w:type="dxa"/>
            <w:vAlign w:val="center"/>
          </w:tcPr>
          <w:p>
            <w:pPr>
              <w:tabs>
                <w:tab w:val="left" w:pos="720"/>
              </w:tabs>
              <w:snapToGrid w:val="0"/>
              <w:jc w:val="center"/>
              <w:rPr>
                <w:rFonts w:ascii="宋体" w:hAnsi="宋体"/>
                <w:b/>
                <w:bCs/>
                <w:color w:val="auto"/>
                <w:szCs w:val="21"/>
                <w:highlight w:val="none"/>
              </w:rPr>
            </w:pPr>
            <w:r>
              <w:rPr>
                <w:rFonts w:hint="eastAsia" w:ascii="宋体" w:hAnsi="宋体"/>
                <w:b/>
                <w:bCs/>
                <w:color w:val="auto"/>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47" w:type="dxa"/>
            <w:vAlign w:val="center"/>
          </w:tcPr>
          <w:p>
            <w:pPr>
              <w:tabs>
                <w:tab w:val="left" w:pos="720"/>
              </w:tabs>
              <w:snapToGrid w:val="0"/>
              <w:jc w:val="center"/>
              <w:rPr>
                <w:rFonts w:ascii="宋体" w:hAnsi="宋体"/>
                <w:color w:val="auto"/>
                <w:szCs w:val="21"/>
                <w:highlight w:val="none"/>
              </w:rPr>
            </w:pPr>
            <w:r>
              <w:rPr>
                <w:rFonts w:hint="eastAsia" w:ascii="宋体" w:hAnsi="宋体"/>
                <w:color w:val="auto"/>
                <w:szCs w:val="21"/>
                <w:highlight w:val="none"/>
              </w:rPr>
              <w:t>1</w:t>
            </w:r>
          </w:p>
        </w:tc>
        <w:tc>
          <w:tcPr>
            <w:tcW w:w="5591" w:type="dxa"/>
            <w:vAlign w:val="center"/>
          </w:tcPr>
          <w:p>
            <w:pPr>
              <w:tabs>
                <w:tab w:val="left" w:pos="720"/>
              </w:tabs>
              <w:snapToGrid w:val="0"/>
              <w:rPr>
                <w:rFonts w:ascii="宋体" w:hAnsi="宋体"/>
                <w:color w:val="auto"/>
                <w:szCs w:val="21"/>
                <w:highlight w:val="none"/>
              </w:rPr>
            </w:pPr>
            <w:r>
              <w:rPr>
                <w:rFonts w:hint="eastAsia" w:ascii="宋体" w:hAnsi="宋体"/>
                <w:color w:val="auto"/>
                <w:szCs w:val="21"/>
                <w:highlight w:val="none"/>
              </w:rPr>
              <w:t>营业执照</w:t>
            </w:r>
          </w:p>
        </w:tc>
        <w:tc>
          <w:tcPr>
            <w:tcW w:w="2536" w:type="dxa"/>
            <w:vAlign w:val="center"/>
          </w:tcPr>
          <w:p>
            <w:pPr>
              <w:tabs>
                <w:tab w:val="left" w:pos="720"/>
              </w:tabs>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47" w:type="dxa"/>
            <w:vAlign w:val="center"/>
          </w:tcPr>
          <w:p>
            <w:pPr>
              <w:tabs>
                <w:tab w:val="left" w:pos="720"/>
              </w:tabs>
              <w:snapToGrid w:val="0"/>
              <w:jc w:val="center"/>
              <w:rPr>
                <w:rFonts w:ascii="宋体" w:hAnsi="宋体"/>
                <w:color w:val="auto"/>
                <w:szCs w:val="21"/>
                <w:highlight w:val="none"/>
              </w:rPr>
            </w:pPr>
            <w:r>
              <w:rPr>
                <w:rFonts w:hint="eastAsia" w:ascii="宋体" w:hAnsi="宋体"/>
                <w:color w:val="auto"/>
                <w:szCs w:val="21"/>
                <w:highlight w:val="none"/>
              </w:rPr>
              <w:t>2</w:t>
            </w:r>
          </w:p>
        </w:tc>
        <w:tc>
          <w:tcPr>
            <w:tcW w:w="5591" w:type="dxa"/>
            <w:vAlign w:val="center"/>
          </w:tcPr>
          <w:p>
            <w:pPr>
              <w:tabs>
                <w:tab w:val="left" w:pos="720"/>
              </w:tabs>
              <w:snapToGrid w:val="0"/>
              <w:rPr>
                <w:rFonts w:ascii="宋体" w:hAnsi="宋体"/>
                <w:color w:val="auto"/>
                <w:szCs w:val="21"/>
                <w:highlight w:val="none"/>
              </w:rPr>
            </w:pPr>
            <w:r>
              <w:rPr>
                <w:rFonts w:hint="eastAsia" w:ascii="宋体" w:hAnsi="宋体"/>
                <w:color w:val="auto"/>
                <w:szCs w:val="21"/>
                <w:highlight w:val="none"/>
              </w:rPr>
              <w:t>监理资质证书</w:t>
            </w:r>
          </w:p>
        </w:tc>
        <w:tc>
          <w:tcPr>
            <w:tcW w:w="2536" w:type="dxa"/>
            <w:vAlign w:val="center"/>
          </w:tcPr>
          <w:p>
            <w:pPr>
              <w:tabs>
                <w:tab w:val="left" w:pos="720"/>
              </w:tabs>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947" w:type="dxa"/>
            <w:vAlign w:val="center"/>
          </w:tcPr>
          <w:p>
            <w:pPr>
              <w:tabs>
                <w:tab w:val="left" w:pos="720"/>
              </w:tabs>
              <w:snapToGrid w:val="0"/>
              <w:jc w:val="center"/>
              <w:rPr>
                <w:rFonts w:ascii="宋体" w:hAnsi="宋体"/>
                <w:color w:val="auto"/>
                <w:szCs w:val="21"/>
                <w:highlight w:val="none"/>
              </w:rPr>
            </w:pPr>
            <w:r>
              <w:rPr>
                <w:rFonts w:hint="eastAsia" w:ascii="宋体" w:hAnsi="宋体"/>
                <w:color w:val="auto"/>
                <w:szCs w:val="21"/>
                <w:highlight w:val="none"/>
              </w:rPr>
              <w:t>3</w:t>
            </w:r>
          </w:p>
        </w:tc>
        <w:tc>
          <w:tcPr>
            <w:tcW w:w="5591" w:type="dxa"/>
            <w:vAlign w:val="center"/>
          </w:tcPr>
          <w:p>
            <w:pPr>
              <w:tabs>
                <w:tab w:val="left" w:pos="720"/>
              </w:tabs>
              <w:snapToGrid w:val="0"/>
              <w:rPr>
                <w:rFonts w:ascii="宋体" w:hAnsi="宋体"/>
                <w:color w:val="auto"/>
                <w:szCs w:val="21"/>
                <w:highlight w:val="none"/>
              </w:rPr>
            </w:pPr>
            <w:r>
              <w:rPr>
                <w:rFonts w:hint="eastAsia" w:ascii="宋体" w:hAnsi="宋体"/>
                <w:color w:val="auto"/>
                <w:szCs w:val="21"/>
                <w:highlight w:val="none"/>
              </w:rPr>
              <w:t>拟派项目总监理工程师资料</w:t>
            </w:r>
          </w:p>
        </w:tc>
        <w:tc>
          <w:tcPr>
            <w:tcW w:w="2536" w:type="dxa"/>
            <w:vAlign w:val="center"/>
          </w:tcPr>
          <w:p>
            <w:pPr>
              <w:tabs>
                <w:tab w:val="left" w:pos="720"/>
              </w:tabs>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47" w:type="dxa"/>
            <w:vAlign w:val="center"/>
          </w:tcPr>
          <w:p>
            <w:pPr>
              <w:tabs>
                <w:tab w:val="left" w:pos="720"/>
              </w:tabs>
              <w:snapToGrid w:val="0"/>
              <w:jc w:val="center"/>
              <w:rPr>
                <w:rFonts w:ascii="宋体" w:hAnsi="宋体"/>
                <w:color w:val="auto"/>
                <w:szCs w:val="21"/>
                <w:highlight w:val="none"/>
              </w:rPr>
            </w:pPr>
            <w:r>
              <w:rPr>
                <w:rFonts w:hint="eastAsia" w:ascii="宋体" w:hAnsi="宋体"/>
                <w:color w:val="auto"/>
                <w:szCs w:val="21"/>
                <w:highlight w:val="none"/>
              </w:rPr>
              <w:t>4</w:t>
            </w:r>
          </w:p>
        </w:tc>
        <w:tc>
          <w:tcPr>
            <w:tcW w:w="5591" w:type="dxa"/>
            <w:vAlign w:val="center"/>
          </w:tcPr>
          <w:p>
            <w:pPr>
              <w:tabs>
                <w:tab w:val="left" w:pos="720"/>
              </w:tabs>
              <w:snapToGrid w:val="0"/>
              <w:rPr>
                <w:rFonts w:ascii="宋体" w:hAnsi="宋体"/>
                <w:color w:val="auto"/>
                <w:szCs w:val="21"/>
                <w:highlight w:val="none"/>
              </w:rPr>
            </w:pPr>
            <w:r>
              <w:rPr>
                <w:rFonts w:hint="eastAsia" w:ascii="宋体" w:hAnsi="宋体"/>
                <w:color w:val="auto"/>
                <w:szCs w:val="21"/>
                <w:highlight w:val="none"/>
              </w:rPr>
              <w:t>投标申请人声明（后附格式）</w:t>
            </w:r>
          </w:p>
        </w:tc>
        <w:tc>
          <w:tcPr>
            <w:tcW w:w="2536" w:type="dxa"/>
            <w:vAlign w:val="center"/>
          </w:tcPr>
          <w:p>
            <w:pPr>
              <w:tabs>
                <w:tab w:val="left" w:pos="720"/>
              </w:tabs>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47" w:type="dxa"/>
            <w:vAlign w:val="center"/>
          </w:tcPr>
          <w:p>
            <w:pPr>
              <w:tabs>
                <w:tab w:val="left" w:pos="720"/>
              </w:tabs>
              <w:snapToGrid w:val="0"/>
              <w:jc w:val="center"/>
              <w:rPr>
                <w:rFonts w:ascii="宋体" w:hAnsi="宋体"/>
                <w:color w:val="auto"/>
                <w:szCs w:val="21"/>
                <w:highlight w:val="none"/>
              </w:rPr>
            </w:pPr>
          </w:p>
        </w:tc>
        <w:tc>
          <w:tcPr>
            <w:tcW w:w="5591" w:type="dxa"/>
            <w:vAlign w:val="center"/>
          </w:tcPr>
          <w:p>
            <w:pPr>
              <w:tabs>
                <w:tab w:val="left" w:pos="720"/>
              </w:tabs>
              <w:snapToGrid w:val="0"/>
              <w:rPr>
                <w:rFonts w:ascii="宋体" w:hAnsi="宋体"/>
                <w:color w:val="auto"/>
                <w:szCs w:val="21"/>
                <w:highlight w:val="none"/>
              </w:rPr>
            </w:pPr>
            <w:r>
              <w:rPr>
                <w:rFonts w:ascii="宋体" w:hAnsi="宋体" w:cs="Arial"/>
                <w:color w:val="auto"/>
                <w:szCs w:val="21"/>
                <w:highlight w:val="none"/>
              </w:rPr>
              <w:t>……</w:t>
            </w:r>
          </w:p>
        </w:tc>
        <w:tc>
          <w:tcPr>
            <w:tcW w:w="2536" w:type="dxa"/>
            <w:vAlign w:val="center"/>
          </w:tcPr>
          <w:p>
            <w:pPr>
              <w:tabs>
                <w:tab w:val="left" w:pos="720"/>
              </w:tabs>
              <w:snapToGrid w:val="0"/>
              <w:jc w:val="center"/>
              <w:rPr>
                <w:rFonts w:ascii="宋体" w:hAnsi="宋体"/>
                <w:color w:val="auto"/>
                <w:szCs w:val="21"/>
                <w:highlight w:val="none"/>
              </w:rPr>
            </w:pPr>
          </w:p>
        </w:tc>
      </w:tr>
      <w:bookmarkEnd w:id="776"/>
    </w:tbl>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注：资格审查详细资料附于本表后，并标明页码。</w:t>
      </w:r>
    </w:p>
    <w:p>
      <w:pPr>
        <w:ind w:firstLine="420" w:firstLineChars="200"/>
        <w:rPr>
          <w:rFonts w:ascii="宋体" w:hAnsi="宋体"/>
          <w:color w:val="auto"/>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w:t>
      </w:r>
      <w:r>
        <w:rPr>
          <w:rFonts w:hint="eastAsia" w:ascii="宋体" w:hAnsi="宋体"/>
          <w:color w:val="auto"/>
          <w:highlight w:val="none"/>
        </w:rPr>
        <w:t>投标申请人声明格式</w:t>
      </w:r>
      <w:r>
        <w:rPr>
          <w:rFonts w:hint="eastAsia" w:ascii="宋体" w:hAnsi="宋体" w:cs="宋体"/>
          <w:color w:val="auto"/>
          <w:szCs w:val="21"/>
          <w:highlight w:val="none"/>
        </w:rPr>
        <w:t>）</w:t>
      </w:r>
    </w:p>
    <w:p>
      <w:pPr>
        <w:widowControl/>
        <w:snapToGrid w:val="0"/>
        <w:spacing w:before="260" w:after="260" w:line="360" w:lineRule="auto"/>
        <w:ind w:right="384"/>
        <w:jc w:val="center"/>
        <w:outlineLvl w:val="9"/>
        <w:rPr>
          <w:rFonts w:ascii="宋体" w:hAnsi="宋体" w:cs="宋体"/>
          <w:b/>
          <w:color w:val="auto"/>
          <w:kern w:val="0"/>
          <w:sz w:val="32"/>
          <w:szCs w:val="32"/>
          <w:highlight w:val="none"/>
        </w:rPr>
      </w:pPr>
      <w:bookmarkStart w:id="777" w:name="_Toc19776"/>
      <w:bookmarkStart w:id="778" w:name="_Toc31167"/>
      <w:bookmarkStart w:id="779" w:name="_Toc16453"/>
      <w:r>
        <w:rPr>
          <w:rFonts w:hint="eastAsia" w:ascii="宋体" w:hAnsi="宋体" w:cs="宋体"/>
          <w:b/>
          <w:color w:val="auto"/>
          <w:kern w:val="0"/>
          <w:sz w:val="32"/>
          <w:szCs w:val="32"/>
          <w:highlight w:val="none"/>
        </w:rPr>
        <w:t>投标申请人声明</w:t>
      </w:r>
      <w:bookmarkEnd w:id="777"/>
      <w:bookmarkEnd w:id="778"/>
      <w:bookmarkEnd w:id="779"/>
    </w:p>
    <w:p>
      <w:pPr>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ascii="宋体" w:hAnsi="宋体" w:cs="宋体"/>
          <w:color w:val="auto"/>
          <w:kern w:val="0"/>
          <w:sz w:val="21"/>
          <w:szCs w:val="21"/>
          <w:highlight w:val="none"/>
        </w:rPr>
      </w:pPr>
      <w:r>
        <w:rPr>
          <w:rFonts w:hint="eastAsia" w:ascii="宋体" w:hAnsi="宋体" w:cs="宋体"/>
          <w:color w:val="auto"/>
          <w:kern w:val="0"/>
          <w:szCs w:val="21"/>
          <w:highlight w:val="none"/>
        </w:rPr>
        <w:t>广州市南沙区住房和城乡建设局及</w:t>
      </w:r>
      <w:r>
        <w:rPr>
          <w:rFonts w:hint="eastAsia" w:ascii="宋体" w:hAnsi="宋体" w:cs="宋体"/>
          <w:color w:val="auto"/>
          <w:kern w:val="0"/>
          <w:szCs w:val="21"/>
          <w:highlight w:val="none"/>
          <w:lang w:eastAsia="zh-CN"/>
        </w:rPr>
        <w:t>广州广粮坊食品科技有限公司</w:t>
      </w:r>
      <w:r>
        <w:rPr>
          <w:rFonts w:hint="eastAsia" w:ascii="宋体" w:hAnsi="宋体" w:cs="宋体"/>
          <w:color w:val="auto"/>
          <w:kern w:val="0"/>
          <w:sz w:val="21"/>
          <w:szCs w:val="21"/>
          <w:highlight w:val="none"/>
        </w:rPr>
        <w:t>：</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本公司就参加</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项目</w:t>
      </w:r>
      <w:r>
        <w:rPr>
          <w:rFonts w:ascii="宋体" w:hAnsi="宋体" w:cs="宋体"/>
          <w:color w:val="auto"/>
          <w:kern w:val="0"/>
          <w:sz w:val="21"/>
          <w:szCs w:val="21"/>
          <w:highlight w:val="none"/>
        </w:rPr>
        <w:t>投标工作，作出郑重声明：</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一、本公司保证投标登记材料及其后提供的一切材料都是真实的。</w:t>
      </w:r>
      <w:r>
        <w:rPr>
          <w:rFonts w:ascii="宋体" w:hAnsi="宋体" w:cs="宋体"/>
          <w:color w:val="auto"/>
          <w:kern w:val="0"/>
          <w:sz w:val="21"/>
          <w:szCs w:val="21"/>
          <w:highlight w:val="none"/>
        </w:rPr>
        <w:t>如我司成为本项目中标候选人，我司同意并授权招标人将我司投标文件商务部分的人员、业绩、奖项等资料进行公</w:t>
      </w:r>
      <w:r>
        <w:rPr>
          <w:rFonts w:hint="eastAsia" w:ascii="宋体" w:hAnsi="宋体" w:cs="宋体"/>
          <w:color w:val="auto"/>
          <w:kern w:val="0"/>
          <w:sz w:val="21"/>
          <w:szCs w:val="21"/>
          <w:highlight w:val="none"/>
        </w:rPr>
        <w:t>开</w:t>
      </w:r>
      <w:r>
        <w:rPr>
          <w:rFonts w:ascii="宋体" w:hAnsi="宋体" w:cs="宋体"/>
          <w:color w:val="auto"/>
          <w:kern w:val="0"/>
          <w:sz w:val="21"/>
          <w:szCs w:val="21"/>
          <w:highlight w:val="none"/>
        </w:rPr>
        <w:t>。</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三、本公司不存在招标文件第二章投标人须知第1.4.3项所规定的任何一种情形。</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四、本公司及其有隶属关系的机构，没有参加本项目招标文件的编写工作；本公司与本次招标的招标代理机构没有隶属关系或其他利害关系。</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kern w:val="0"/>
          <w:sz w:val="21"/>
          <w:szCs w:val="21"/>
          <w:highlight w:val="none"/>
        </w:rPr>
      </w:pPr>
      <w:bookmarkStart w:id="780" w:name="_Toc7692"/>
      <w:bookmarkStart w:id="781" w:name="_Toc32270"/>
      <w:bookmarkStart w:id="782" w:name="_Toc7000"/>
      <w:bookmarkStart w:id="783" w:name="_Toc29179"/>
      <w:bookmarkStart w:id="784" w:name="_Toc22527"/>
      <w:bookmarkStart w:id="785" w:name="_Toc15146"/>
      <w:bookmarkStart w:id="786" w:name="_Toc10521"/>
      <w:bookmarkStart w:id="787" w:name="_Toc32611"/>
      <w:r>
        <w:rPr>
          <w:rFonts w:hint="eastAsia" w:ascii="宋体" w:hAnsi="宋体" w:cs="宋体"/>
          <w:color w:val="auto"/>
          <w:kern w:val="0"/>
          <w:sz w:val="21"/>
          <w:szCs w:val="21"/>
          <w:highlight w:val="none"/>
          <w:lang w:val="en-US" w:eastAsia="zh-CN"/>
        </w:rPr>
        <w:t>五</w:t>
      </w:r>
      <w:r>
        <w:rPr>
          <w:rFonts w:ascii="宋体" w:hAnsi="宋体" w:cs="宋体"/>
          <w:color w:val="auto"/>
          <w:kern w:val="0"/>
          <w:sz w:val="21"/>
          <w:szCs w:val="21"/>
          <w:highlight w:val="none"/>
        </w:rPr>
        <w:t>、本公司承诺，中标后严格执行安全生产相关管理规定。</w:t>
      </w:r>
      <w:bookmarkEnd w:id="780"/>
      <w:bookmarkEnd w:id="781"/>
      <w:bookmarkEnd w:id="782"/>
      <w:bookmarkEnd w:id="783"/>
      <w:bookmarkEnd w:id="784"/>
      <w:bookmarkEnd w:id="785"/>
      <w:bookmarkEnd w:id="786"/>
      <w:bookmarkEnd w:id="787"/>
    </w:p>
    <w:p>
      <w:pPr>
        <w:keepNext w:val="0"/>
        <w:keepLines w:val="0"/>
        <w:pageBreakBefore w:val="0"/>
        <w:widowControl/>
        <w:shd w:val="clear" w:color="auto" w:fill="FFFFFF"/>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本公司违反上述承诺，或本声明陈述与事实不符，经查实，本公司愿意接受公开通报，愿意按照《广州市建筑市场信用管理办法》（穗建规字﹝20</w:t>
      </w:r>
      <w:r>
        <w:rPr>
          <w:rFonts w:hint="eastAsia" w:ascii="宋体" w:hAnsi="宋体" w:cs="宋体"/>
          <w:color w:val="auto"/>
          <w:kern w:val="0"/>
          <w:sz w:val="21"/>
          <w:szCs w:val="21"/>
          <w:highlight w:val="none"/>
          <w:lang w:val="en-US" w:eastAsia="zh-CN"/>
        </w:rPr>
        <w:t>19</w:t>
      </w:r>
      <w:r>
        <w:rPr>
          <w:rFonts w:hint="eastAsia" w:ascii="宋体" w:hAnsi="宋体" w:cs="宋体"/>
          <w:color w:val="auto"/>
          <w:kern w:val="0"/>
          <w:sz w:val="21"/>
          <w:szCs w:val="21"/>
          <w:highlight w:val="none"/>
        </w:rPr>
        <w:t>﹞16号）的规定被记录为失信信息，承担由此带来的一切后果，并自愿停止参加广州市行政辖区内的招标投标活动三个月。</w:t>
      </w:r>
    </w:p>
    <w:p>
      <w:pPr>
        <w:keepNext w:val="0"/>
        <w:keepLines w:val="0"/>
        <w:pageBreakBefore w:val="0"/>
        <w:widowControl/>
        <w:shd w:val="clear" w:color="auto" w:fill="FFFFFF"/>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特此声明。</w:t>
      </w:r>
    </w:p>
    <w:p>
      <w:pPr>
        <w:keepNext w:val="0"/>
        <w:keepLines w:val="0"/>
        <w:pageBreakBefore w:val="0"/>
        <w:kinsoku/>
        <w:wordWrap/>
        <w:overflowPunct/>
        <w:topLinePunct w:val="0"/>
        <w:autoSpaceDE/>
        <w:autoSpaceDN/>
        <w:bidi w:val="0"/>
        <w:adjustRightInd/>
        <w:snapToGrid w:val="0"/>
        <w:spacing w:line="360" w:lineRule="auto"/>
        <w:ind w:firstLine="3780" w:firstLineChars="1800"/>
        <w:textAlignment w:val="auto"/>
        <w:rPr>
          <w:rFonts w:ascii="宋体" w:hAnsi="宋体" w:cs="宋体"/>
          <w:color w:val="auto"/>
          <w:kern w:val="0"/>
          <w:sz w:val="21"/>
          <w:szCs w:val="21"/>
          <w:highlight w:val="none"/>
        </w:rPr>
      </w:pPr>
    </w:p>
    <w:p>
      <w:pPr>
        <w:keepNext w:val="0"/>
        <w:keepLines w:val="0"/>
        <w:pageBreakBefore w:val="0"/>
        <w:kinsoku/>
        <w:wordWrap/>
        <w:overflowPunct/>
        <w:topLinePunct w:val="0"/>
        <w:autoSpaceDE/>
        <w:autoSpaceDN/>
        <w:bidi w:val="0"/>
        <w:adjustRightInd/>
        <w:snapToGrid w:val="0"/>
        <w:spacing w:line="360" w:lineRule="auto"/>
        <w:ind w:firstLine="3780" w:firstLineChars="18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声明企业：            (企业公章)</w:t>
      </w:r>
    </w:p>
    <w:p>
      <w:pPr>
        <w:keepNext w:val="0"/>
        <w:keepLines w:val="0"/>
        <w:pageBreakBefore w:val="0"/>
        <w:kinsoku/>
        <w:wordWrap/>
        <w:overflowPunct/>
        <w:topLinePunct w:val="0"/>
        <w:autoSpaceDE/>
        <w:autoSpaceDN/>
        <w:bidi w:val="0"/>
        <w:adjustRightInd/>
        <w:snapToGrid w:val="0"/>
        <w:spacing w:line="360" w:lineRule="auto"/>
        <w:ind w:firstLine="3721" w:firstLineChars="1772"/>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法定代表人签字或盖章：</w:t>
      </w:r>
    </w:p>
    <w:p>
      <w:pPr>
        <w:keepNext w:val="0"/>
        <w:keepLines w:val="0"/>
        <w:pageBreakBefore w:val="0"/>
        <w:kinsoku/>
        <w:wordWrap/>
        <w:overflowPunct/>
        <w:topLinePunct w:val="0"/>
        <w:autoSpaceDE/>
        <w:autoSpaceDN/>
        <w:bidi w:val="0"/>
        <w:adjustRightInd/>
        <w:snapToGrid w:val="0"/>
        <w:spacing w:line="360" w:lineRule="auto"/>
        <w:ind w:firstLine="3721" w:firstLineChars="1772"/>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项目总监理工程师签字：</w:t>
      </w:r>
    </w:p>
    <w:p>
      <w:pPr>
        <w:keepNext w:val="0"/>
        <w:keepLines w:val="0"/>
        <w:pageBreakBefore w:val="0"/>
        <w:kinsoku/>
        <w:wordWrap/>
        <w:overflowPunct/>
        <w:topLinePunct w:val="0"/>
        <w:autoSpaceDE/>
        <w:autoSpaceDN/>
        <w:bidi w:val="0"/>
        <w:adjustRightInd/>
        <w:spacing w:line="360" w:lineRule="auto"/>
        <w:ind w:firstLine="4305" w:firstLineChars="205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年   月   日</w:t>
      </w:r>
    </w:p>
    <w:p>
      <w:pPr>
        <w:rPr>
          <w:color w:val="auto"/>
          <w:sz w:val="36"/>
          <w:szCs w:val="36"/>
          <w:highlight w:val="none"/>
        </w:rPr>
      </w:pPr>
      <w:bookmarkStart w:id="788" w:name="_Toc11380"/>
      <w:bookmarkStart w:id="789" w:name="_Toc24784"/>
      <w:bookmarkStart w:id="790" w:name="_Toc8313"/>
      <w:bookmarkStart w:id="791" w:name="_Toc29960"/>
      <w:r>
        <w:rPr>
          <w:rFonts w:hint="eastAsia"/>
          <w:color w:val="auto"/>
          <w:sz w:val="36"/>
          <w:szCs w:val="36"/>
          <w:highlight w:val="none"/>
        </w:rPr>
        <w:br w:type="page"/>
      </w:r>
    </w:p>
    <w:p>
      <w:pPr>
        <w:pStyle w:val="4"/>
        <w:outlineLvl w:val="1"/>
        <w:rPr>
          <w:color w:val="auto"/>
          <w:spacing w:val="20"/>
          <w:sz w:val="32"/>
          <w:highlight w:val="none"/>
        </w:rPr>
      </w:pPr>
      <w:bookmarkStart w:id="792" w:name="_Toc1378"/>
      <w:bookmarkStart w:id="793" w:name="_Toc7623"/>
      <w:bookmarkStart w:id="794" w:name="_Toc20879"/>
      <w:bookmarkStart w:id="795" w:name="_Toc11862"/>
      <w:bookmarkStart w:id="796" w:name="_Toc4944"/>
      <w:bookmarkStart w:id="797" w:name="_Toc25429"/>
      <w:bookmarkStart w:id="798" w:name="_Toc9674"/>
      <w:bookmarkStart w:id="799" w:name="_Toc14991"/>
      <w:bookmarkStart w:id="800" w:name="_Toc17337"/>
      <w:bookmarkStart w:id="801" w:name="_Toc4148"/>
      <w:r>
        <w:rPr>
          <w:rFonts w:hint="eastAsia"/>
          <w:color w:val="auto"/>
          <w:spacing w:val="20"/>
          <w:sz w:val="32"/>
          <w:highlight w:val="none"/>
        </w:rPr>
        <w:t>六、监理大纲</w:t>
      </w:r>
      <w:bookmarkEnd w:id="792"/>
      <w:bookmarkEnd w:id="793"/>
      <w:bookmarkEnd w:id="794"/>
      <w:bookmarkEnd w:id="795"/>
      <w:bookmarkEnd w:id="796"/>
      <w:bookmarkEnd w:id="797"/>
      <w:bookmarkEnd w:id="798"/>
      <w:bookmarkEnd w:id="799"/>
      <w:bookmarkEnd w:id="800"/>
      <w:bookmarkEnd w:id="801"/>
    </w:p>
    <w:p>
      <w:pPr>
        <w:rPr>
          <w:color w:val="auto"/>
          <w:highlight w:val="none"/>
        </w:rPr>
      </w:pPr>
    </w:p>
    <w:p>
      <w:pPr>
        <w:jc w:val="center"/>
        <w:rPr>
          <w:rFonts w:ascii="宋体" w:hAnsi="宋体" w:cs="宋体"/>
          <w:color w:val="auto"/>
          <w:sz w:val="30"/>
          <w:szCs w:val="30"/>
          <w:highlight w:val="none"/>
        </w:rPr>
      </w:pPr>
      <w:r>
        <w:rPr>
          <w:rFonts w:hint="eastAsia" w:ascii="宋体" w:hAnsi="宋体" w:cs="宋体"/>
          <w:color w:val="auto"/>
          <w:sz w:val="30"/>
          <w:szCs w:val="30"/>
          <w:highlight w:val="none"/>
        </w:rPr>
        <w:t>（格式自定）</w:t>
      </w:r>
    </w:p>
    <w:p>
      <w:pPr>
        <w:rPr>
          <w:rFonts w:ascii="宋体" w:cs="宋体"/>
          <w:color w:val="auto"/>
          <w:sz w:val="30"/>
          <w:szCs w:val="30"/>
          <w:highlight w:val="none"/>
        </w:rPr>
      </w:pPr>
      <w:r>
        <w:rPr>
          <w:rFonts w:hint="eastAsia" w:ascii="宋体" w:cs="宋体"/>
          <w:color w:val="auto"/>
          <w:sz w:val="30"/>
          <w:szCs w:val="30"/>
          <w:highlight w:val="none"/>
        </w:rPr>
        <w:t>编制要求：</w:t>
      </w:r>
    </w:p>
    <w:p>
      <w:pPr>
        <w:pStyle w:val="6"/>
        <w:rPr>
          <w:rFonts w:ascii="宋体" w:cs="宋体"/>
          <w:color w:val="auto"/>
          <w:highlight w:val="none"/>
        </w:rPr>
      </w:pPr>
    </w:p>
    <w:p>
      <w:pPr>
        <w:spacing w:line="360" w:lineRule="auto"/>
        <w:ind w:firstLine="864" w:firstLineChars="400"/>
        <w:rPr>
          <w:rFonts w:ascii="宋体" w:cs="宋体"/>
          <w:color w:val="auto"/>
          <w:sz w:val="22"/>
          <w:szCs w:val="21"/>
          <w:highlight w:val="none"/>
        </w:rPr>
      </w:pPr>
      <w:r>
        <w:rPr>
          <w:rFonts w:hint="eastAsia" w:ascii="宋体" w:cs="宋体"/>
          <w:color w:val="auto"/>
          <w:spacing w:val="-2"/>
          <w:sz w:val="22"/>
          <w:highlight w:val="none"/>
        </w:rPr>
        <w:t>1）监理范围、监理内容、监理依据、监理工作目标；</w:t>
      </w:r>
    </w:p>
    <w:p>
      <w:pPr>
        <w:spacing w:line="360" w:lineRule="auto"/>
        <w:ind w:firstLine="864" w:firstLineChars="400"/>
        <w:rPr>
          <w:rFonts w:ascii="宋体" w:cs="宋体"/>
          <w:color w:val="auto"/>
          <w:spacing w:val="-2"/>
          <w:sz w:val="22"/>
          <w:highlight w:val="none"/>
        </w:rPr>
      </w:pPr>
      <w:r>
        <w:rPr>
          <w:rFonts w:hint="eastAsia" w:ascii="宋体" w:cs="宋体"/>
          <w:color w:val="auto"/>
          <w:spacing w:val="-2"/>
          <w:sz w:val="22"/>
          <w:highlight w:val="none"/>
        </w:rPr>
        <w:t>2）现场项目监理人员架构表及人员进场计划、岗位职责；</w:t>
      </w:r>
    </w:p>
    <w:p>
      <w:pPr>
        <w:spacing w:line="360" w:lineRule="auto"/>
        <w:ind w:firstLine="864" w:firstLineChars="400"/>
        <w:rPr>
          <w:rFonts w:ascii="宋体" w:cs="宋体"/>
          <w:color w:val="auto"/>
          <w:spacing w:val="-2"/>
          <w:sz w:val="22"/>
          <w:highlight w:val="none"/>
        </w:rPr>
      </w:pPr>
      <w:r>
        <w:rPr>
          <w:rFonts w:hint="eastAsia" w:ascii="宋体" w:cs="宋体"/>
          <w:color w:val="auto"/>
          <w:spacing w:val="-2"/>
          <w:sz w:val="22"/>
          <w:highlight w:val="none"/>
        </w:rPr>
        <w:t>3）项目总监及总监代表个人资料，包括工作简历、注册监理工程师证书及上岗证、技术职称证书、身份证件等（项目总监一经确定，若非业主要求，不得更改，否则业主将按监理合同的约定追究其违约责任）；</w:t>
      </w:r>
    </w:p>
    <w:p>
      <w:pPr>
        <w:spacing w:line="360" w:lineRule="auto"/>
        <w:ind w:firstLine="864" w:firstLineChars="400"/>
        <w:rPr>
          <w:rFonts w:ascii="宋体" w:cs="宋体"/>
          <w:color w:val="auto"/>
          <w:spacing w:val="-2"/>
          <w:sz w:val="22"/>
          <w:highlight w:val="none"/>
        </w:rPr>
      </w:pPr>
      <w:r>
        <w:rPr>
          <w:rFonts w:hint="eastAsia" w:ascii="宋体" w:cs="宋体"/>
          <w:color w:val="auto"/>
          <w:spacing w:val="-2"/>
          <w:sz w:val="22"/>
          <w:highlight w:val="none"/>
        </w:rPr>
        <w:t>4）现场其他项目监理人员的配备情况及个人资历扫描件（附注册监理工程师证书及上岗证、身份证及职称证书等证明材料的扫描件）；</w:t>
      </w:r>
    </w:p>
    <w:p>
      <w:pPr>
        <w:spacing w:line="360" w:lineRule="auto"/>
        <w:ind w:firstLine="864" w:firstLineChars="400"/>
        <w:rPr>
          <w:rFonts w:ascii="宋体" w:cs="宋体"/>
          <w:color w:val="auto"/>
          <w:spacing w:val="-2"/>
          <w:sz w:val="22"/>
          <w:highlight w:val="none"/>
        </w:rPr>
      </w:pPr>
      <w:r>
        <w:rPr>
          <w:rFonts w:hint="eastAsia" w:ascii="宋体" w:cs="宋体"/>
          <w:color w:val="auto"/>
          <w:spacing w:val="-2"/>
          <w:sz w:val="22"/>
          <w:highlight w:val="none"/>
        </w:rPr>
        <w:t>5）详细论述拟在本工程监理过程中进行控制（质量、进度、造价、安全、环保等）、管理（合同、信息等）、协调所采用的手段、方法和措施；</w:t>
      </w:r>
    </w:p>
    <w:p>
      <w:pPr>
        <w:spacing w:line="360" w:lineRule="auto"/>
        <w:ind w:firstLine="864" w:firstLineChars="400"/>
        <w:rPr>
          <w:rFonts w:ascii="宋体" w:cs="宋体"/>
          <w:color w:val="auto"/>
          <w:spacing w:val="-2"/>
          <w:sz w:val="22"/>
          <w:highlight w:val="none"/>
        </w:rPr>
      </w:pPr>
      <w:r>
        <w:rPr>
          <w:rFonts w:hint="eastAsia" w:ascii="宋体" w:cs="宋体"/>
          <w:color w:val="auto"/>
          <w:spacing w:val="-2"/>
          <w:sz w:val="22"/>
          <w:highlight w:val="none"/>
        </w:rPr>
        <w:t>6）工程验收、移交、保修的管理；</w:t>
      </w:r>
    </w:p>
    <w:p>
      <w:pPr>
        <w:spacing w:line="360" w:lineRule="auto"/>
        <w:ind w:firstLine="864" w:firstLineChars="400"/>
        <w:rPr>
          <w:rFonts w:ascii="宋体" w:cs="宋体"/>
          <w:color w:val="auto"/>
          <w:spacing w:val="-2"/>
          <w:sz w:val="22"/>
          <w:highlight w:val="none"/>
        </w:rPr>
      </w:pPr>
      <w:r>
        <w:rPr>
          <w:rFonts w:hint="eastAsia" w:ascii="宋体" w:cs="宋体"/>
          <w:color w:val="auto"/>
          <w:spacing w:val="-2"/>
          <w:sz w:val="22"/>
          <w:highlight w:val="none"/>
        </w:rPr>
        <w:t>7）工程进度款、工程结算的管理；</w:t>
      </w:r>
    </w:p>
    <w:p>
      <w:pPr>
        <w:spacing w:line="360" w:lineRule="auto"/>
        <w:ind w:firstLine="864" w:firstLineChars="400"/>
        <w:rPr>
          <w:rFonts w:ascii="宋体" w:cs="宋体"/>
          <w:color w:val="auto"/>
          <w:spacing w:val="-2"/>
          <w:sz w:val="22"/>
          <w:highlight w:val="none"/>
        </w:rPr>
      </w:pPr>
      <w:r>
        <w:rPr>
          <w:rFonts w:hint="eastAsia" w:ascii="宋体" w:cs="宋体"/>
          <w:color w:val="auto"/>
          <w:spacing w:val="-2"/>
          <w:sz w:val="22"/>
          <w:highlight w:val="none"/>
          <w:lang w:val="en-US" w:eastAsia="zh-CN"/>
        </w:rPr>
        <w:t>8</w:t>
      </w:r>
      <w:r>
        <w:rPr>
          <w:rFonts w:hint="eastAsia" w:ascii="宋体" w:cs="宋体"/>
          <w:color w:val="auto"/>
          <w:spacing w:val="-2"/>
          <w:sz w:val="22"/>
          <w:highlight w:val="none"/>
        </w:rPr>
        <w:t>）针对本工程的难点、重点分析及提出相应的监理手段和措施。以及有价值的建议、意见（包括工程施工技术措施、建构筑物保护措施、文明施工等）及其处理措施；</w:t>
      </w:r>
    </w:p>
    <w:p>
      <w:pPr>
        <w:ind w:left="612" w:leftChars="200" w:right="672" w:rightChars="320" w:hanging="192" w:hangingChars="64"/>
        <w:jc w:val="center"/>
        <w:rPr>
          <w:rFonts w:ascii="宋体" w:hAnsi="宋体" w:cs="宋体"/>
          <w:color w:val="auto"/>
          <w:sz w:val="30"/>
          <w:szCs w:val="30"/>
          <w:highlight w:val="none"/>
        </w:rPr>
      </w:pPr>
    </w:p>
    <w:p>
      <w:pPr>
        <w:ind w:left="612" w:leftChars="200" w:right="672" w:rightChars="320" w:hanging="192" w:hangingChars="64"/>
        <w:jc w:val="center"/>
        <w:rPr>
          <w:rFonts w:ascii="宋体" w:hAnsi="宋体" w:cs="宋体"/>
          <w:color w:val="auto"/>
          <w:sz w:val="30"/>
          <w:szCs w:val="30"/>
          <w:highlight w:val="none"/>
        </w:rPr>
      </w:pPr>
    </w:p>
    <w:p>
      <w:pPr>
        <w:ind w:left="612" w:leftChars="200" w:hanging="192" w:hangingChars="64"/>
        <w:jc w:val="center"/>
        <w:rPr>
          <w:rFonts w:ascii="宋体" w:hAnsi="宋体" w:cs="宋体"/>
          <w:color w:val="auto"/>
          <w:sz w:val="30"/>
          <w:szCs w:val="30"/>
          <w:highlight w:val="none"/>
        </w:rPr>
      </w:pPr>
    </w:p>
    <w:p>
      <w:pPr>
        <w:pStyle w:val="4"/>
        <w:outlineLvl w:val="1"/>
        <w:rPr>
          <w:color w:val="auto"/>
          <w:highlight w:val="none"/>
        </w:rPr>
      </w:pPr>
      <w:r>
        <w:rPr>
          <w:rFonts w:hint="eastAsia"/>
          <w:color w:val="auto"/>
          <w:highlight w:val="none"/>
        </w:rPr>
        <w:br w:type="page"/>
      </w:r>
      <w:bookmarkStart w:id="802" w:name="_Toc15438"/>
      <w:bookmarkStart w:id="803" w:name="_Toc27045"/>
      <w:bookmarkStart w:id="804" w:name="_Toc848"/>
      <w:bookmarkStart w:id="805" w:name="_Toc16647"/>
      <w:bookmarkStart w:id="806" w:name="_Toc8036"/>
      <w:bookmarkStart w:id="807" w:name="_Toc17603"/>
      <w:bookmarkStart w:id="808" w:name="_Toc11177"/>
      <w:bookmarkStart w:id="809" w:name="_Toc11800"/>
      <w:bookmarkStart w:id="810" w:name="_Toc23461"/>
      <w:bookmarkStart w:id="811" w:name="_Toc22863"/>
      <w:r>
        <w:rPr>
          <w:rFonts w:hint="eastAsia"/>
          <w:color w:val="auto"/>
          <w:spacing w:val="20"/>
          <w:sz w:val="32"/>
          <w:highlight w:val="none"/>
        </w:rPr>
        <w:t>七、公司简介</w:t>
      </w:r>
      <w:bookmarkEnd w:id="802"/>
      <w:bookmarkEnd w:id="803"/>
      <w:bookmarkEnd w:id="804"/>
      <w:bookmarkEnd w:id="805"/>
      <w:bookmarkEnd w:id="806"/>
      <w:bookmarkEnd w:id="807"/>
      <w:bookmarkEnd w:id="808"/>
      <w:bookmarkEnd w:id="809"/>
      <w:bookmarkEnd w:id="810"/>
      <w:bookmarkEnd w:id="811"/>
    </w:p>
    <w:p>
      <w:pPr>
        <w:jc w:val="center"/>
        <w:rPr>
          <w:rFonts w:ascii="宋体" w:hAnsi="宋体" w:cs="宋体"/>
          <w:color w:val="auto"/>
          <w:sz w:val="30"/>
          <w:szCs w:val="30"/>
          <w:highlight w:val="none"/>
        </w:rPr>
      </w:pPr>
      <w:r>
        <w:rPr>
          <w:rFonts w:hint="eastAsia" w:ascii="宋体" w:hAnsi="宋体" w:cs="宋体"/>
          <w:color w:val="auto"/>
          <w:sz w:val="30"/>
          <w:szCs w:val="30"/>
          <w:highlight w:val="none"/>
        </w:rPr>
        <w:t>（格式自定）</w:t>
      </w:r>
    </w:p>
    <w:p>
      <w:pPr>
        <w:rPr>
          <w:rFonts w:ascii="宋体" w:hAnsi="宋体"/>
          <w:color w:val="auto"/>
          <w:spacing w:val="-2"/>
          <w:sz w:val="28"/>
          <w:szCs w:val="28"/>
          <w:highlight w:val="none"/>
        </w:rPr>
      </w:pPr>
    </w:p>
    <w:p>
      <w:pPr>
        <w:rPr>
          <w:rFonts w:ascii="宋体" w:hAnsi="宋体"/>
          <w:color w:val="auto"/>
          <w:spacing w:val="-2"/>
          <w:sz w:val="28"/>
          <w:szCs w:val="28"/>
          <w:highlight w:val="none"/>
        </w:rPr>
      </w:pPr>
      <w:r>
        <w:rPr>
          <w:rFonts w:hint="eastAsia" w:ascii="宋体" w:hAnsi="宋体"/>
          <w:color w:val="auto"/>
          <w:spacing w:val="-2"/>
          <w:sz w:val="28"/>
          <w:szCs w:val="28"/>
          <w:highlight w:val="none"/>
        </w:rPr>
        <w:t>编制要求：</w:t>
      </w:r>
    </w:p>
    <w:p>
      <w:pPr>
        <w:pStyle w:val="6"/>
        <w:rPr>
          <w:color w:val="auto"/>
          <w:highlight w:val="none"/>
        </w:rPr>
      </w:pPr>
    </w:p>
    <w:p>
      <w:pPr>
        <w:spacing w:line="360" w:lineRule="auto"/>
        <w:ind w:firstLine="824" w:firstLineChars="400"/>
        <w:rPr>
          <w:rFonts w:hint="eastAsia" w:ascii="宋体"/>
          <w:color w:val="auto"/>
          <w:spacing w:val="-2"/>
          <w:highlight w:val="none"/>
        </w:rPr>
      </w:pPr>
      <w:r>
        <w:rPr>
          <w:rFonts w:hint="eastAsia" w:ascii="宋体"/>
          <w:color w:val="auto"/>
          <w:spacing w:val="-2"/>
          <w:highlight w:val="none"/>
        </w:rPr>
        <w:t>1）公司组织构架；</w:t>
      </w:r>
    </w:p>
    <w:p>
      <w:pPr>
        <w:spacing w:line="360" w:lineRule="auto"/>
        <w:ind w:firstLine="824" w:firstLineChars="400"/>
        <w:rPr>
          <w:rFonts w:hint="eastAsia" w:ascii="宋体"/>
          <w:color w:val="auto"/>
          <w:spacing w:val="-2"/>
          <w:highlight w:val="none"/>
        </w:rPr>
      </w:pPr>
      <w:r>
        <w:rPr>
          <w:rFonts w:hint="eastAsia" w:ascii="宋体"/>
          <w:color w:val="auto"/>
          <w:spacing w:val="-2"/>
          <w:highlight w:val="none"/>
        </w:rPr>
        <w:t>2）公司法人营业执照及监理资质证书复印件；</w:t>
      </w:r>
    </w:p>
    <w:p>
      <w:pPr>
        <w:spacing w:line="360" w:lineRule="auto"/>
        <w:ind w:firstLine="824" w:firstLineChars="400"/>
        <w:rPr>
          <w:rFonts w:hint="eastAsia" w:ascii="宋体" w:hAnsi="Times New Roman" w:eastAsia="宋体" w:cs="Times New Roman"/>
          <w:color w:val="auto"/>
          <w:spacing w:val="-2"/>
          <w:highlight w:val="none"/>
        </w:rPr>
      </w:pPr>
      <w:r>
        <w:rPr>
          <w:rFonts w:hint="eastAsia" w:ascii="宋体"/>
          <w:color w:val="auto"/>
          <w:spacing w:val="-2"/>
          <w:highlight w:val="none"/>
        </w:rPr>
        <w:t>3）20</w:t>
      </w:r>
      <w:r>
        <w:rPr>
          <w:rFonts w:hint="eastAsia" w:ascii="宋体"/>
          <w:color w:val="auto"/>
          <w:spacing w:val="-2"/>
          <w:highlight w:val="none"/>
          <w:lang w:val="en-US" w:eastAsia="zh-CN"/>
        </w:rPr>
        <w:t>22</w:t>
      </w:r>
      <w:r>
        <w:rPr>
          <w:rFonts w:hint="eastAsia" w:ascii="宋体"/>
          <w:color w:val="auto"/>
          <w:spacing w:val="-2"/>
          <w:highlight w:val="none"/>
        </w:rPr>
        <w:t>年1月1日至</w:t>
      </w:r>
      <w:r>
        <w:rPr>
          <w:rFonts w:hint="eastAsia" w:ascii="宋体" w:hAnsi="Times New Roman" w:eastAsia="宋体" w:cs="Times New Roman"/>
          <w:color w:val="auto"/>
          <w:spacing w:val="-2"/>
          <w:highlight w:val="none"/>
        </w:rPr>
        <w:t>今主要类似监理项目的业绩及获奖情况；</w:t>
      </w:r>
    </w:p>
    <w:p>
      <w:pPr>
        <w:spacing w:line="360" w:lineRule="auto"/>
        <w:ind w:firstLine="824" w:firstLineChars="400"/>
        <w:rPr>
          <w:rFonts w:hint="eastAsia" w:ascii="宋体"/>
          <w:color w:val="auto"/>
          <w:spacing w:val="-2"/>
          <w:highlight w:val="none"/>
        </w:rPr>
      </w:pPr>
      <w:r>
        <w:rPr>
          <w:rFonts w:hint="eastAsia" w:ascii="宋体"/>
          <w:color w:val="auto"/>
          <w:spacing w:val="-2"/>
          <w:highlight w:val="none"/>
          <w:lang w:val="en-US" w:eastAsia="zh-CN"/>
        </w:rPr>
        <w:t>4</w:t>
      </w:r>
      <w:r>
        <w:rPr>
          <w:rFonts w:hint="eastAsia" w:ascii="宋体"/>
          <w:color w:val="auto"/>
          <w:spacing w:val="-2"/>
          <w:highlight w:val="none"/>
        </w:rPr>
        <w:t>）其它证明公司现有实力的材料。</w:t>
      </w:r>
    </w:p>
    <w:p>
      <w:pPr>
        <w:pStyle w:val="4"/>
        <w:outlineLvl w:val="1"/>
        <w:rPr>
          <w:color w:val="auto"/>
          <w:sz w:val="36"/>
          <w:szCs w:val="36"/>
          <w:highlight w:val="none"/>
        </w:rPr>
      </w:pPr>
      <w:r>
        <w:rPr>
          <w:rFonts w:hint="eastAsia"/>
          <w:color w:val="auto"/>
          <w:highlight w:val="none"/>
        </w:rPr>
        <w:br w:type="page"/>
      </w:r>
      <w:bookmarkStart w:id="812" w:name="_Toc5796"/>
      <w:bookmarkStart w:id="813" w:name="_Toc26642"/>
      <w:bookmarkStart w:id="814" w:name="_Toc32200"/>
      <w:bookmarkStart w:id="815" w:name="_Toc441"/>
      <w:bookmarkStart w:id="816" w:name="_Toc29505"/>
      <w:bookmarkStart w:id="817" w:name="_Toc31361"/>
      <w:bookmarkStart w:id="818" w:name="_Toc18456"/>
      <w:bookmarkStart w:id="819" w:name="_Toc20635"/>
      <w:bookmarkStart w:id="820" w:name="_Toc4452"/>
      <w:bookmarkStart w:id="821" w:name="_Toc31775"/>
      <w:r>
        <w:rPr>
          <w:rFonts w:hint="eastAsia"/>
          <w:color w:val="auto"/>
          <w:spacing w:val="20"/>
          <w:sz w:val="32"/>
          <w:highlight w:val="none"/>
        </w:rPr>
        <w:t>八、标函承诺书</w:t>
      </w:r>
      <w:bookmarkEnd w:id="761"/>
      <w:bookmarkEnd w:id="762"/>
      <w:bookmarkEnd w:id="788"/>
      <w:bookmarkEnd w:id="789"/>
      <w:bookmarkEnd w:id="790"/>
      <w:bookmarkEnd w:id="791"/>
      <w:bookmarkEnd w:id="812"/>
      <w:bookmarkEnd w:id="813"/>
      <w:bookmarkEnd w:id="814"/>
      <w:bookmarkEnd w:id="815"/>
      <w:bookmarkEnd w:id="816"/>
      <w:bookmarkEnd w:id="817"/>
      <w:bookmarkEnd w:id="818"/>
      <w:bookmarkEnd w:id="819"/>
      <w:bookmarkEnd w:id="820"/>
      <w:bookmarkEnd w:id="821"/>
    </w:p>
    <w:p>
      <w:pPr>
        <w:rPr>
          <w:rFonts w:ascii="宋体" w:hAnsi="宋体" w:cs="宋体"/>
          <w:bCs/>
          <w:color w:val="auto"/>
          <w:sz w:val="30"/>
          <w:szCs w:val="30"/>
          <w:highlight w:val="none"/>
        </w:rPr>
      </w:pPr>
    </w:p>
    <w:bookmarkEnd w:id="763"/>
    <w:bookmarkEnd w:id="764"/>
    <w:bookmarkEnd w:id="765"/>
    <w:p>
      <w:pPr>
        <w:rPr>
          <w:rFonts w:ascii="宋体" w:hAnsi="宋体"/>
          <w:color w:val="auto"/>
          <w:sz w:val="24"/>
          <w:highlight w:val="none"/>
        </w:rPr>
      </w:pPr>
      <w:r>
        <w:rPr>
          <w:rFonts w:hint="eastAsia" w:ascii="宋体" w:hAnsi="宋体"/>
          <w:color w:val="auto"/>
          <w:sz w:val="24"/>
          <w:highlight w:val="none"/>
        </w:rPr>
        <w:t>致：</w:t>
      </w:r>
      <w:r>
        <w:rPr>
          <w:rFonts w:hint="eastAsia" w:ascii="宋体" w:hAnsi="宋体" w:cs="宋体"/>
          <w:color w:val="auto"/>
          <w:sz w:val="24"/>
          <w:highlight w:val="none"/>
          <w:lang w:eastAsia="zh-CN"/>
        </w:rPr>
        <w:t>广州广粮坊食品科技有限公司</w:t>
      </w:r>
      <w:r>
        <w:rPr>
          <w:rFonts w:hint="eastAsia" w:ascii="宋体" w:hAnsi="宋体"/>
          <w:color w:val="auto"/>
          <w:sz w:val="24"/>
          <w:highlight w:val="none"/>
        </w:rPr>
        <w:t>：</w:t>
      </w:r>
    </w:p>
    <w:p>
      <w:pPr>
        <w:pStyle w:val="6"/>
        <w:rPr>
          <w:color w:val="auto"/>
          <w:highlight w:val="none"/>
        </w:rPr>
      </w:pPr>
    </w:p>
    <w:p>
      <w:pPr>
        <w:pStyle w:val="9"/>
        <w:spacing w:line="360" w:lineRule="auto"/>
        <w:ind w:firstLine="480" w:firstLineChars="200"/>
        <w:jc w:val="left"/>
        <w:rPr>
          <w:rFonts w:eastAsia="宋体"/>
          <w:color w:val="auto"/>
          <w:sz w:val="24"/>
          <w:highlight w:val="none"/>
        </w:rPr>
      </w:pPr>
      <w:r>
        <w:rPr>
          <w:rFonts w:hint="eastAsia" w:eastAsia="宋体"/>
          <w:color w:val="auto"/>
          <w:sz w:val="24"/>
          <w:highlight w:val="none"/>
        </w:rPr>
        <w:t>如果在本招标工程中我司中标，我司将积极响应贵单位提出的合同条件及招标文件的要求，并做出如下承诺：</w:t>
      </w:r>
    </w:p>
    <w:p>
      <w:pPr>
        <w:pStyle w:val="9"/>
        <w:ind w:firstLine="480" w:firstLineChars="200"/>
        <w:jc w:val="left"/>
        <w:rPr>
          <w:rFonts w:eastAsia="宋体"/>
          <w:color w:val="auto"/>
          <w:sz w:val="24"/>
          <w:highlight w:val="none"/>
        </w:rPr>
      </w:pPr>
      <w:r>
        <w:rPr>
          <w:rFonts w:hint="eastAsia" w:eastAsia="宋体"/>
          <w:color w:val="auto"/>
          <w:sz w:val="24"/>
          <w:highlight w:val="none"/>
        </w:rPr>
        <w:t>1、若我公司中标，我公司承诺按贵单位的有关建设管理制度和要求执行。</w:t>
      </w:r>
    </w:p>
    <w:p>
      <w:pPr>
        <w:pStyle w:val="9"/>
        <w:ind w:firstLine="480" w:firstLineChars="200"/>
        <w:jc w:val="left"/>
        <w:rPr>
          <w:rFonts w:hint="eastAsia" w:eastAsia="宋体"/>
          <w:color w:val="auto"/>
          <w:sz w:val="24"/>
          <w:highlight w:val="none"/>
        </w:rPr>
      </w:pPr>
      <w:r>
        <w:rPr>
          <w:rFonts w:hint="eastAsia" w:eastAsia="宋体"/>
          <w:color w:val="auto"/>
          <w:sz w:val="24"/>
          <w:highlight w:val="none"/>
        </w:rPr>
        <w:t>2、在工程施工期间，拟投入的工程质量检测</w:t>
      </w:r>
      <w:r>
        <w:rPr>
          <w:rFonts w:hint="eastAsia" w:eastAsia="宋体" w:cs="宋体"/>
          <w:color w:val="auto"/>
          <w:sz w:val="24"/>
          <w:highlight w:val="none"/>
        </w:rPr>
        <w:t>设备</w:t>
      </w:r>
      <w:r>
        <w:rPr>
          <w:rFonts w:hint="eastAsia" w:eastAsia="宋体"/>
          <w:color w:val="auto"/>
          <w:sz w:val="24"/>
          <w:highlight w:val="none"/>
        </w:rPr>
        <w:t>不少于下表中数量：</w:t>
      </w:r>
    </w:p>
    <w:p>
      <w:pPr>
        <w:pStyle w:val="10"/>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277"/>
        <w:gridCol w:w="1941"/>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vAlign w:val="center"/>
          </w:tcPr>
          <w:p>
            <w:pPr>
              <w:pStyle w:val="9"/>
              <w:spacing w:line="380" w:lineRule="exact"/>
              <w:ind w:firstLine="0"/>
              <w:jc w:val="center"/>
              <w:rPr>
                <w:rFonts w:eastAsia="宋体"/>
                <w:color w:val="auto"/>
                <w:sz w:val="24"/>
                <w:highlight w:val="none"/>
              </w:rPr>
            </w:pPr>
            <w:r>
              <w:rPr>
                <w:rFonts w:hint="eastAsia" w:eastAsia="宋体"/>
                <w:color w:val="auto"/>
                <w:sz w:val="24"/>
                <w:highlight w:val="none"/>
              </w:rPr>
              <w:t>设备名称及型号</w:t>
            </w:r>
          </w:p>
        </w:tc>
        <w:tc>
          <w:tcPr>
            <w:tcW w:w="2277" w:type="dxa"/>
            <w:vAlign w:val="center"/>
          </w:tcPr>
          <w:p>
            <w:pPr>
              <w:pStyle w:val="9"/>
              <w:spacing w:line="380" w:lineRule="exact"/>
              <w:ind w:firstLine="0"/>
              <w:jc w:val="center"/>
              <w:rPr>
                <w:rFonts w:eastAsia="宋体"/>
                <w:color w:val="auto"/>
                <w:sz w:val="24"/>
                <w:highlight w:val="none"/>
              </w:rPr>
            </w:pPr>
            <w:r>
              <w:rPr>
                <w:rFonts w:hint="eastAsia" w:eastAsia="宋体"/>
                <w:color w:val="auto"/>
                <w:sz w:val="24"/>
                <w:highlight w:val="none"/>
              </w:rPr>
              <w:t>正常施工情况下</w:t>
            </w:r>
          </w:p>
        </w:tc>
        <w:tc>
          <w:tcPr>
            <w:tcW w:w="1941" w:type="dxa"/>
            <w:vAlign w:val="center"/>
          </w:tcPr>
          <w:p>
            <w:pPr>
              <w:pStyle w:val="9"/>
              <w:spacing w:line="380" w:lineRule="exact"/>
              <w:ind w:firstLine="0"/>
              <w:jc w:val="center"/>
              <w:rPr>
                <w:rFonts w:eastAsia="宋体"/>
                <w:color w:val="auto"/>
                <w:sz w:val="24"/>
                <w:highlight w:val="none"/>
              </w:rPr>
            </w:pPr>
            <w:r>
              <w:rPr>
                <w:rFonts w:hint="eastAsia" w:eastAsia="宋体"/>
                <w:color w:val="auto"/>
                <w:sz w:val="24"/>
                <w:highlight w:val="none"/>
              </w:rPr>
              <w:t>施工低峰期</w:t>
            </w:r>
          </w:p>
        </w:tc>
        <w:tc>
          <w:tcPr>
            <w:tcW w:w="1768" w:type="dxa"/>
            <w:vAlign w:val="center"/>
          </w:tcPr>
          <w:p>
            <w:pPr>
              <w:pStyle w:val="9"/>
              <w:spacing w:line="380" w:lineRule="exact"/>
              <w:ind w:firstLine="0"/>
              <w:jc w:val="center"/>
              <w:rPr>
                <w:rFonts w:eastAsia="宋体"/>
                <w:color w:val="auto"/>
                <w:sz w:val="24"/>
                <w:highlight w:val="none"/>
              </w:rPr>
            </w:pPr>
            <w:r>
              <w:rPr>
                <w:rFonts w:hint="eastAsia" w:eastAsia="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tcPr>
          <w:p>
            <w:pPr>
              <w:pStyle w:val="9"/>
              <w:spacing w:line="380" w:lineRule="exact"/>
              <w:ind w:firstLine="0"/>
              <w:jc w:val="left"/>
              <w:rPr>
                <w:rFonts w:eastAsia="宋体"/>
                <w:color w:val="auto"/>
                <w:sz w:val="24"/>
                <w:highlight w:val="none"/>
              </w:rPr>
            </w:pPr>
          </w:p>
        </w:tc>
        <w:tc>
          <w:tcPr>
            <w:tcW w:w="2277" w:type="dxa"/>
          </w:tcPr>
          <w:p>
            <w:pPr>
              <w:pStyle w:val="9"/>
              <w:spacing w:line="380" w:lineRule="exact"/>
              <w:ind w:firstLine="0"/>
              <w:jc w:val="left"/>
              <w:rPr>
                <w:rFonts w:eastAsia="宋体"/>
                <w:color w:val="auto"/>
                <w:sz w:val="24"/>
                <w:highlight w:val="none"/>
              </w:rPr>
            </w:pPr>
          </w:p>
        </w:tc>
        <w:tc>
          <w:tcPr>
            <w:tcW w:w="1941" w:type="dxa"/>
          </w:tcPr>
          <w:p>
            <w:pPr>
              <w:pStyle w:val="9"/>
              <w:spacing w:line="380" w:lineRule="exact"/>
              <w:ind w:firstLine="0"/>
              <w:jc w:val="left"/>
              <w:rPr>
                <w:rFonts w:eastAsia="宋体"/>
                <w:color w:val="auto"/>
                <w:sz w:val="24"/>
                <w:highlight w:val="none"/>
              </w:rPr>
            </w:pPr>
          </w:p>
        </w:tc>
        <w:tc>
          <w:tcPr>
            <w:tcW w:w="1768" w:type="dxa"/>
          </w:tcPr>
          <w:p>
            <w:pPr>
              <w:pStyle w:val="9"/>
              <w:spacing w:line="380" w:lineRule="exact"/>
              <w:ind w:firstLine="0"/>
              <w:jc w:val="left"/>
              <w:rPr>
                <w:rFonts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tcPr>
          <w:p>
            <w:pPr>
              <w:pStyle w:val="9"/>
              <w:spacing w:line="380" w:lineRule="exact"/>
              <w:ind w:firstLine="0"/>
              <w:jc w:val="left"/>
              <w:rPr>
                <w:rFonts w:eastAsia="宋体"/>
                <w:color w:val="auto"/>
                <w:sz w:val="24"/>
                <w:highlight w:val="none"/>
              </w:rPr>
            </w:pPr>
          </w:p>
        </w:tc>
        <w:tc>
          <w:tcPr>
            <w:tcW w:w="2277" w:type="dxa"/>
          </w:tcPr>
          <w:p>
            <w:pPr>
              <w:pStyle w:val="9"/>
              <w:spacing w:line="380" w:lineRule="exact"/>
              <w:ind w:firstLine="0"/>
              <w:jc w:val="left"/>
              <w:rPr>
                <w:rFonts w:eastAsia="宋体"/>
                <w:color w:val="auto"/>
                <w:sz w:val="24"/>
                <w:highlight w:val="none"/>
              </w:rPr>
            </w:pPr>
          </w:p>
        </w:tc>
        <w:tc>
          <w:tcPr>
            <w:tcW w:w="1941" w:type="dxa"/>
          </w:tcPr>
          <w:p>
            <w:pPr>
              <w:pStyle w:val="9"/>
              <w:spacing w:line="380" w:lineRule="exact"/>
              <w:ind w:firstLine="0"/>
              <w:jc w:val="left"/>
              <w:rPr>
                <w:rFonts w:eastAsia="宋体"/>
                <w:color w:val="auto"/>
                <w:sz w:val="24"/>
                <w:highlight w:val="none"/>
              </w:rPr>
            </w:pPr>
          </w:p>
        </w:tc>
        <w:tc>
          <w:tcPr>
            <w:tcW w:w="1768" w:type="dxa"/>
          </w:tcPr>
          <w:p>
            <w:pPr>
              <w:pStyle w:val="9"/>
              <w:spacing w:line="380" w:lineRule="exact"/>
              <w:ind w:firstLine="0"/>
              <w:jc w:val="left"/>
              <w:rPr>
                <w:rFonts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tcPr>
          <w:p>
            <w:pPr>
              <w:pStyle w:val="9"/>
              <w:spacing w:line="380" w:lineRule="exact"/>
              <w:ind w:firstLine="0"/>
              <w:jc w:val="left"/>
              <w:rPr>
                <w:rFonts w:eastAsia="宋体"/>
                <w:color w:val="auto"/>
                <w:sz w:val="24"/>
                <w:highlight w:val="none"/>
              </w:rPr>
            </w:pPr>
          </w:p>
        </w:tc>
        <w:tc>
          <w:tcPr>
            <w:tcW w:w="2277" w:type="dxa"/>
          </w:tcPr>
          <w:p>
            <w:pPr>
              <w:pStyle w:val="9"/>
              <w:spacing w:line="380" w:lineRule="exact"/>
              <w:ind w:firstLine="0"/>
              <w:jc w:val="left"/>
              <w:rPr>
                <w:rFonts w:eastAsia="宋体"/>
                <w:color w:val="auto"/>
                <w:sz w:val="24"/>
                <w:highlight w:val="none"/>
              </w:rPr>
            </w:pPr>
          </w:p>
        </w:tc>
        <w:tc>
          <w:tcPr>
            <w:tcW w:w="1941" w:type="dxa"/>
          </w:tcPr>
          <w:p>
            <w:pPr>
              <w:pStyle w:val="9"/>
              <w:spacing w:line="380" w:lineRule="exact"/>
              <w:ind w:firstLine="0"/>
              <w:jc w:val="left"/>
              <w:rPr>
                <w:rFonts w:eastAsia="宋体"/>
                <w:color w:val="auto"/>
                <w:sz w:val="24"/>
                <w:highlight w:val="none"/>
              </w:rPr>
            </w:pPr>
          </w:p>
        </w:tc>
        <w:tc>
          <w:tcPr>
            <w:tcW w:w="1768" w:type="dxa"/>
          </w:tcPr>
          <w:p>
            <w:pPr>
              <w:pStyle w:val="9"/>
              <w:spacing w:line="380" w:lineRule="exact"/>
              <w:ind w:firstLine="0"/>
              <w:jc w:val="left"/>
              <w:rPr>
                <w:rFonts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tcPr>
          <w:p>
            <w:pPr>
              <w:pStyle w:val="9"/>
              <w:spacing w:line="380" w:lineRule="exact"/>
              <w:ind w:firstLine="0"/>
              <w:jc w:val="left"/>
              <w:rPr>
                <w:rFonts w:eastAsia="宋体"/>
                <w:color w:val="auto"/>
                <w:sz w:val="24"/>
                <w:highlight w:val="none"/>
              </w:rPr>
            </w:pPr>
          </w:p>
        </w:tc>
        <w:tc>
          <w:tcPr>
            <w:tcW w:w="2277" w:type="dxa"/>
          </w:tcPr>
          <w:p>
            <w:pPr>
              <w:pStyle w:val="9"/>
              <w:spacing w:line="380" w:lineRule="exact"/>
              <w:ind w:firstLine="0"/>
              <w:jc w:val="left"/>
              <w:rPr>
                <w:rFonts w:eastAsia="宋体"/>
                <w:color w:val="auto"/>
                <w:sz w:val="24"/>
                <w:highlight w:val="none"/>
              </w:rPr>
            </w:pPr>
          </w:p>
        </w:tc>
        <w:tc>
          <w:tcPr>
            <w:tcW w:w="1941" w:type="dxa"/>
          </w:tcPr>
          <w:p>
            <w:pPr>
              <w:pStyle w:val="9"/>
              <w:spacing w:line="380" w:lineRule="exact"/>
              <w:ind w:firstLine="0"/>
              <w:jc w:val="left"/>
              <w:rPr>
                <w:rFonts w:eastAsia="宋体"/>
                <w:color w:val="auto"/>
                <w:sz w:val="24"/>
                <w:highlight w:val="none"/>
              </w:rPr>
            </w:pPr>
          </w:p>
        </w:tc>
        <w:tc>
          <w:tcPr>
            <w:tcW w:w="1768" w:type="dxa"/>
          </w:tcPr>
          <w:p>
            <w:pPr>
              <w:pStyle w:val="9"/>
              <w:spacing w:line="380" w:lineRule="exact"/>
              <w:ind w:firstLine="0"/>
              <w:jc w:val="left"/>
              <w:rPr>
                <w:rFonts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tcPr>
          <w:p>
            <w:pPr>
              <w:pStyle w:val="9"/>
              <w:spacing w:line="380" w:lineRule="exact"/>
              <w:ind w:firstLine="0"/>
              <w:jc w:val="left"/>
              <w:rPr>
                <w:rFonts w:eastAsia="宋体"/>
                <w:color w:val="auto"/>
                <w:sz w:val="24"/>
                <w:highlight w:val="none"/>
              </w:rPr>
            </w:pPr>
          </w:p>
        </w:tc>
        <w:tc>
          <w:tcPr>
            <w:tcW w:w="2277" w:type="dxa"/>
          </w:tcPr>
          <w:p>
            <w:pPr>
              <w:pStyle w:val="9"/>
              <w:spacing w:line="380" w:lineRule="exact"/>
              <w:ind w:firstLine="0"/>
              <w:jc w:val="left"/>
              <w:rPr>
                <w:rFonts w:eastAsia="宋体"/>
                <w:color w:val="auto"/>
                <w:sz w:val="24"/>
                <w:highlight w:val="none"/>
              </w:rPr>
            </w:pPr>
          </w:p>
        </w:tc>
        <w:tc>
          <w:tcPr>
            <w:tcW w:w="1941" w:type="dxa"/>
          </w:tcPr>
          <w:p>
            <w:pPr>
              <w:pStyle w:val="9"/>
              <w:spacing w:line="380" w:lineRule="exact"/>
              <w:ind w:firstLine="0"/>
              <w:jc w:val="left"/>
              <w:rPr>
                <w:rFonts w:eastAsia="宋体"/>
                <w:color w:val="auto"/>
                <w:sz w:val="24"/>
                <w:highlight w:val="none"/>
              </w:rPr>
            </w:pPr>
          </w:p>
        </w:tc>
        <w:tc>
          <w:tcPr>
            <w:tcW w:w="1768" w:type="dxa"/>
          </w:tcPr>
          <w:p>
            <w:pPr>
              <w:pStyle w:val="9"/>
              <w:spacing w:line="380" w:lineRule="exact"/>
              <w:ind w:firstLine="0"/>
              <w:jc w:val="left"/>
              <w:rPr>
                <w:rFonts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tcPr>
          <w:p>
            <w:pPr>
              <w:pStyle w:val="9"/>
              <w:spacing w:line="380" w:lineRule="exact"/>
              <w:ind w:firstLine="0"/>
              <w:jc w:val="left"/>
              <w:rPr>
                <w:rFonts w:eastAsia="宋体"/>
                <w:color w:val="auto"/>
                <w:sz w:val="24"/>
                <w:highlight w:val="none"/>
              </w:rPr>
            </w:pPr>
          </w:p>
        </w:tc>
        <w:tc>
          <w:tcPr>
            <w:tcW w:w="2277" w:type="dxa"/>
          </w:tcPr>
          <w:p>
            <w:pPr>
              <w:pStyle w:val="9"/>
              <w:spacing w:line="380" w:lineRule="exact"/>
              <w:ind w:firstLine="0"/>
              <w:jc w:val="left"/>
              <w:rPr>
                <w:rFonts w:eastAsia="宋体"/>
                <w:color w:val="auto"/>
                <w:sz w:val="24"/>
                <w:highlight w:val="none"/>
              </w:rPr>
            </w:pPr>
          </w:p>
        </w:tc>
        <w:tc>
          <w:tcPr>
            <w:tcW w:w="1941" w:type="dxa"/>
          </w:tcPr>
          <w:p>
            <w:pPr>
              <w:pStyle w:val="9"/>
              <w:spacing w:line="380" w:lineRule="exact"/>
              <w:ind w:firstLine="0"/>
              <w:jc w:val="left"/>
              <w:rPr>
                <w:rFonts w:eastAsia="宋体"/>
                <w:color w:val="auto"/>
                <w:sz w:val="24"/>
                <w:highlight w:val="none"/>
              </w:rPr>
            </w:pPr>
          </w:p>
        </w:tc>
        <w:tc>
          <w:tcPr>
            <w:tcW w:w="1768" w:type="dxa"/>
          </w:tcPr>
          <w:p>
            <w:pPr>
              <w:pStyle w:val="9"/>
              <w:spacing w:line="380" w:lineRule="exact"/>
              <w:ind w:firstLine="0"/>
              <w:jc w:val="left"/>
              <w:rPr>
                <w:rFonts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tcPr>
          <w:p>
            <w:pPr>
              <w:pStyle w:val="9"/>
              <w:spacing w:line="380" w:lineRule="exact"/>
              <w:ind w:firstLine="0"/>
              <w:jc w:val="left"/>
              <w:rPr>
                <w:rFonts w:eastAsia="宋体"/>
                <w:color w:val="auto"/>
                <w:sz w:val="24"/>
                <w:highlight w:val="none"/>
              </w:rPr>
            </w:pPr>
          </w:p>
        </w:tc>
        <w:tc>
          <w:tcPr>
            <w:tcW w:w="2277" w:type="dxa"/>
          </w:tcPr>
          <w:p>
            <w:pPr>
              <w:pStyle w:val="9"/>
              <w:spacing w:line="380" w:lineRule="exact"/>
              <w:ind w:firstLine="0"/>
              <w:jc w:val="left"/>
              <w:rPr>
                <w:rFonts w:eastAsia="宋体"/>
                <w:color w:val="auto"/>
                <w:sz w:val="24"/>
                <w:highlight w:val="none"/>
              </w:rPr>
            </w:pPr>
          </w:p>
        </w:tc>
        <w:tc>
          <w:tcPr>
            <w:tcW w:w="1941" w:type="dxa"/>
          </w:tcPr>
          <w:p>
            <w:pPr>
              <w:pStyle w:val="9"/>
              <w:spacing w:line="380" w:lineRule="exact"/>
              <w:ind w:firstLine="0"/>
              <w:jc w:val="left"/>
              <w:rPr>
                <w:rFonts w:eastAsia="宋体"/>
                <w:color w:val="auto"/>
                <w:sz w:val="24"/>
                <w:highlight w:val="none"/>
              </w:rPr>
            </w:pPr>
          </w:p>
        </w:tc>
        <w:tc>
          <w:tcPr>
            <w:tcW w:w="1768" w:type="dxa"/>
          </w:tcPr>
          <w:p>
            <w:pPr>
              <w:pStyle w:val="9"/>
              <w:spacing w:line="380" w:lineRule="exact"/>
              <w:ind w:firstLine="0"/>
              <w:jc w:val="left"/>
              <w:rPr>
                <w:rFonts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tcPr>
          <w:p>
            <w:pPr>
              <w:pStyle w:val="9"/>
              <w:spacing w:line="380" w:lineRule="exact"/>
              <w:ind w:firstLine="0"/>
              <w:jc w:val="left"/>
              <w:rPr>
                <w:rFonts w:eastAsia="宋体"/>
                <w:color w:val="auto"/>
                <w:sz w:val="24"/>
                <w:highlight w:val="none"/>
              </w:rPr>
            </w:pPr>
          </w:p>
        </w:tc>
        <w:tc>
          <w:tcPr>
            <w:tcW w:w="2277" w:type="dxa"/>
          </w:tcPr>
          <w:p>
            <w:pPr>
              <w:pStyle w:val="9"/>
              <w:spacing w:line="380" w:lineRule="exact"/>
              <w:ind w:firstLine="0"/>
              <w:jc w:val="left"/>
              <w:rPr>
                <w:rFonts w:eastAsia="宋体"/>
                <w:color w:val="auto"/>
                <w:sz w:val="24"/>
                <w:highlight w:val="none"/>
              </w:rPr>
            </w:pPr>
          </w:p>
        </w:tc>
        <w:tc>
          <w:tcPr>
            <w:tcW w:w="1941" w:type="dxa"/>
          </w:tcPr>
          <w:p>
            <w:pPr>
              <w:pStyle w:val="9"/>
              <w:spacing w:line="380" w:lineRule="exact"/>
              <w:ind w:firstLine="0"/>
              <w:jc w:val="left"/>
              <w:rPr>
                <w:rFonts w:eastAsia="宋体"/>
                <w:color w:val="auto"/>
                <w:sz w:val="24"/>
                <w:highlight w:val="none"/>
              </w:rPr>
            </w:pPr>
          </w:p>
        </w:tc>
        <w:tc>
          <w:tcPr>
            <w:tcW w:w="1768" w:type="dxa"/>
          </w:tcPr>
          <w:p>
            <w:pPr>
              <w:pStyle w:val="9"/>
              <w:spacing w:line="380" w:lineRule="exact"/>
              <w:ind w:firstLine="0"/>
              <w:jc w:val="left"/>
              <w:rPr>
                <w:rFonts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tcPr>
          <w:p>
            <w:pPr>
              <w:pStyle w:val="9"/>
              <w:spacing w:line="380" w:lineRule="exact"/>
              <w:ind w:firstLine="0"/>
              <w:jc w:val="left"/>
              <w:rPr>
                <w:rFonts w:eastAsia="宋体"/>
                <w:color w:val="auto"/>
                <w:sz w:val="24"/>
                <w:highlight w:val="none"/>
              </w:rPr>
            </w:pPr>
          </w:p>
        </w:tc>
        <w:tc>
          <w:tcPr>
            <w:tcW w:w="2277" w:type="dxa"/>
          </w:tcPr>
          <w:p>
            <w:pPr>
              <w:pStyle w:val="9"/>
              <w:spacing w:line="380" w:lineRule="exact"/>
              <w:ind w:firstLine="0"/>
              <w:jc w:val="left"/>
              <w:rPr>
                <w:rFonts w:eastAsia="宋体"/>
                <w:color w:val="auto"/>
                <w:sz w:val="24"/>
                <w:highlight w:val="none"/>
              </w:rPr>
            </w:pPr>
          </w:p>
        </w:tc>
        <w:tc>
          <w:tcPr>
            <w:tcW w:w="1941" w:type="dxa"/>
          </w:tcPr>
          <w:p>
            <w:pPr>
              <w:pStyle w:val="9"/>
              <w:spacing w:line="380" w:lineRule="exact"/>
              <w:ind w:firstLine="0"/>
              <w:jc w:val="left"/>
              <w:rPr>
                <w:rFonts w:eastAsia="宋体"/>
                <w:color w:val="auto"/>
                <w:sz w:val="24"/>
                <w:highlight w:val="none"/>
              </w:rPr>
            </w:pPr>
          </w:p>
        </w:tc>
        <w:tc>
          <w:tcPr>
            <w:tcW w:w="1768" w:type="dxa"/>
          </w:tcPr>
          <w:p>
            <w:pPr>
              <w:pStyle w:val="9"/>
              <w:spacing w:line="380" w:lineRule="exact"/>
              <w:ind w:firstLine="0"/>
              <w:jc w:val="left"/>
              <w:rPr>
                <w:rFonts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tcPr>
          <w:p>
            <w:pPr>
              <w:pStyle w:val="9"/>
              <w:spacing w:line="380" w:lineRule="exact"/>
              <w:ind w:firstLine="0"/>
              <w:jc w:val="left"/>
              <w:rPr>
                <w:rFonts w:eastAsia="宋体"/>
                <w:color w:val="auto"/>
                <w:sz w:val="24"/>
                <w:highlight w:val="none"/>
              </w:rPr>
            </w:pPr>
          </w:p>
        </w:tc>
        <w:tc>
          <w:tcPr>
            <w:tcW w:w="2277" w:type="dxa"/>
          </w:tcPr>
          <w:p>
            <w:pPr>
              <w:pStyle w:val="9"/>
              <w:spacing w:line="380" w:lineRule="exact"/>
              <w:ind w:firstLine="0"/>
              <w:jc w:val="left"/>
              <w:rPr>
                <w:rFonts w:eastAsia="宋体"/>
                <w:color w:val="auto"/>
                <w:sz w:val="24"/>
                <w:highlight w:val="none"/>
              </w:rPr>
            </w:pPr>
          </w:p>
        </w:tc>
        <w:tc>
          <w:tcPr>
            <w:tcW w:w="1941" w:type="dxa"/>
          </w:tcPr>
          <w:p>
            <w:pPr>
              <w:pStyle w:val="9"/>
              <w:spacing w:line="380" w:lineRule="exact"/>
              <w:ind w:firstLine="0"/>
              <w:jc w:val="left"/>
              <w:rPr>
                <w:rFonts w:eastAsia="宋体"/>
                <w:color w:val="auto"/>
                <w:sz w:val="24"/>
                <w:highlight w:val="none"/>
              </w:rPr>
            </w:pPr>
          </w:p>
        </w:tc>
        <w:tc>
          <w:tcPr>
            <w:tcW w:w="1768" w:type="dxa"/>
          </w:tcPr>
          <w:p>
            <w:pPr>
              <w:pStyle w:val="9"/>
              <w:spacing w:line="380" w:lineRule="exact"/>
              <w:ind w:firstLine="0"/>
              <w:jc w:val="left"/>
              <w:rPr>
                <w:rFonts w:eastAsia="宋体"/>
                <w:color w:val="auto"/>
                <w:sz w:val="24"/>
                <w:highlight w:val="none"/>
              </w:rPr>
            </w:pPr>
          </w:p>
        </w:tc>
      </w:tr>
    </w:tbl>
    <w:p>
      <w:pPr>
        <w:pStyle w:val="9"/>
        <w:spacing w:line="380" w:lineRule="exact"/>
        <w:ind w:firstLine="0"/>
        <w:jc w:val="left"/>
        <w:rPr>
          <w:rFonts w:eastAsia="宋体"/>
          <w:color w:val="auto"/>
          <w:highlight w:val="none"/>
        </w:rPr>
      </w:pPr>
    </w:p>
    <w:tbl>
      <w:tblPr>
        <w:tblStyle w:val="19"/>
        <w:tblpPr w:leftFromText="180" w:rightFromText="180" w:vertAnchor="text" w:horzAnchor="page" w:tblpX="1282" w:tblpY="132"/>
        <w:tblOverlap w:val="never"/>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691"/>
        <w:gridCol w:w="768"/>
        <w:gridCol w:w="554"/>
        <w:gridCol w:w="500"/>
        <w:gridCol w:w="499"/>
        <w:gridCol w:w="499"/>
        <w:gridCol w:w="499"/>
        <w:gridCol w:w="499"/>
        <w:gridCol w:w="499"/>
        <w:gridCol w:w="499"/>
        <w:gridCol w:w="499"/>
        <w:gridCol w:w="499"/>
        <w:gridCol w:w="499"/>
        <w:gridCol w:w="499"/>
        <w:gridCol w:w="499"/>
        <w:gridCol w:w="499"/>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5" w:hRule="atLeast"/>
          <w:jc w:val="center"/>
        </w:trPr>
        <w:tc>
          <w:tcPr>
            <w:tcW w:w="567" w:type="dxa"/>
            <w:vMerge w:val="restart"/>
            <w:tcBorders>
              <w:top w:val="nil"/>
              <w:left w:val="nil"/>
              <w:right w:val="single" w:color="auto" w:sz="18" w:space="0"/>
            </w:tcBorders>
            <w:textDirection w:val="btLr"/>
            <w:vAlign w:val="center"/>
          </w:tcPr>
          <w:p>
            <w:pPr>
              <w:spacing w:line="240" w:lineRule="atLeast"/>
              <w:ind w:left="113" w:right="113"/>
              <w:jc w:val="center"/>
              <w:rPr>
                <w:rFonts w:ascii="宋体" w:hAnsi="宋体"/>
                <w:b/>
                <w:bCs/>
                <w:color w:val="auto"/>
                <w:highlight w:val="none"/>
              </w:rPr>
            </w:pPr>
            <w:r>
              <w:rPr>
                <w:rFonts w:hint="eastAsia" w:ascii="宋体" w:hAnsi="宋体"/>
                <w:color w:val="auto"/>
                <w:sz w:val="24"/>
                <w:highlight w:val="none"/>
              </w:rPr>
              <w:t>3、拟投入到本工程的主要监理人员如表：</w:t>
            </w:r>
          </w:p>
        </w:tc>
        <w:tc>
          <w:tcPr>
            <w:tcW w:w="691" w:type="dxa"/>
            <w:vMerge w:val="restart"/>
            <w:tcBorders>
              <w:top w:val="single" w:color="auto" w:sz="18" w:space="0"/>
              <w:left w:val="single" w:color="auto" w:sz="18" w:space="0"/>
              <w:right w:val="single" w:color="auto" w:sz="4" w:space="0"/>
            </w:tcBorders>
            <w:textDirection w:val="btLr"/>
            <w:vAlign w:val="center"/>
          </w:tcPr>
          <w:p>
            <w:pPr>
              <w:spacing w:line="360" w:lineRule="exact"/>
              <w:ind w:left="113" w:right="113"/>
              <w:jc w:val="center"/>
              <w:rPr>
                <w:rFonts w:ascii="宋体" w:hAnsi="宋体"/>
                <w:b/>
                <w:bCs/>
                <w:color w:val="auto"/>
                <w:highlight w:val="none"/>
              </w:rPr>
            </w:pPr>
            <w:r>
              <w:rPr>
                <w:rFonts w:hint="eastAsia" w:ascii="宋体" w:hAnsi="宋体"/>
                <w:b/>
                <w:bCs/>
                <w:color w:val="auto"/>
                <w:highlight w:val="none"/>
              </w:rPr>
              <w:t>投标人拟投入本工程的主要监理人员一览表</w:t>
            </w:r>
          </w:p>
        </w:tc>
        <w:tc>
          <w:tcPr>
            <w:tcW w:w="768" w:type="dxa"/>
            <w:tcBorders>
              <w:top w:val="single" w:color="auto" w:sz="18"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b/>
                <w:bCs/>
                <w:color w:val="auto"/>
                <w:sz w:val="24"/>
                <w:highlight w:val="none"/>
              </w:rPr>
            </w:pPr>
            <w:r>
              <w:rPr>
                <w:rFonts w:hint="eastAsia" w:ascii="宋体" w:hAnsi="宋体"/>
                <w:b/>
                <w:bCs/>
                <w:color w:val="auto"/>
                <w:sz w:val="24"/>
                <w:highlight w:val="none"/>
              </w:rPr>
              <w:t>从事工程建设监理工作简历及年限</w:t>
            </w:r>
          </w:p>
        </w:tc>
        <w:tc>
          <w:tcPr>
            <w:tcW w:w="554" w:type="dxa"/>
            <w:tcBorders>
              <w:top w:val="single" w:color="auto" w:sz="18"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500" w:type="dxa"/>
            <w:tcBorders>
              <w:top w:val="single" w:color="auto" w:sz="18"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18"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18"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18"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18"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18"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18"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18"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18"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18"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18"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18"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18"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18" w:space="0"/>
              <w:left w:val="single" w:color="auto" w:sz="4" w:space="0"/>
              <w:bottom w:val="single" w:color="auto" w:sz="4" w:space="0"/>
              <w:right w:val="single" w:color="auto" w:sz="18" w:space="0"/>
            </w:tcBorders>
            <w:textDirection w:val="btLr"/>
            <w:vAlign w:val="center"/>
          </w:tcPr>
          <w:p>
            <w:pPr>
              <w:spacing w:line="360" w:lineRule="exact"/>
              <w:ind w:left="113" w:right="113"/>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567" w:type="dxa"/>
            <w:vMerge w:val="continue"/>
            <w:tcBorders>
              <w:left w:val="nil"/>
              <w:right w:val="single" w:color="auto" w:sz="18" w:space="0"/>
            </w:tcBorders>
            <w:textDirection w:val="btLr"/>
            <w:vAlign w:val="center"/>
          </w:tcPr>
          <w:p>
            <w:pPr>
              <w:spacing w:line="360" w:lineRule="exact"/>
              <w:ind w:left="113" w:right="113"/>
              <w:jc w:val="center"/>
              <w:rPr>
                <w:rFonts w:ascii="宋体" w:hAnsi="宋体"/>
                <w:color w:val="auto"/>
                <w:sz w:val="24"/>
                <w:highlight w:val="none"/>
              </w:rPr>
            </w:pPr>
          </w:p>
        </w:tc>
        <w:tc>
          <w:tcPr>
            <w:tcW w:w="691" w:type="dxa"/>
            <w:vMerge w:val="continue"/>
            <w:tcBorders>
              <w:left w:val="single" w:color="auto" w:sz="18"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768"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b/>
                <w:bCs/>
                <w:color w:val="auto"/>
                <w:sz w:val="24"/>
                <w:highlight w:val="none"/>
              </w:rPr>
            </w:pPr>
            <w:r>
              <w:rPr>
                <w:rFonts w:hint="eastAsia" w:ascii="宋体" w:hAnsi="宋体"/>
                <w:b/>
                <w:bCs/>
                <w:color w:val="auto"/>
                <w:sz w:val="24"/>
                <w:highlight w:val="none"/>
              </w:rPr>
              <w:t>职称/资格证号</w:t>
            </w:r>
          </w:p>
        </w:tc>
        <w:tc>
          <w:tcPr>
            <w:tcW w:w="554"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500"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18" w:space="0"/>
            </w:tcBorders>
            <w:textDirection w:val="btLr"/>
            <w:vAlign w:val="center"/>
          </w:tcPr>
          <w:p>
            <w:pPr>
              <w:spacing w:line="360" w:lineRule="exact"/>
              <w:ind w:left="113" w:right="113"/>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567" w:type="dxa"/>
            <w:vMerge w:val="continue"/>
            <w:tcBorders>
              <w:left w:val="nil"/>
              <w:right w:val="single" w:color="auto" w:sz="18" w:space="0"/>
            </w:tcBorders>
            <w:textDirection w:val="btLr"/>
            <w:vAlign w:val="center"/>
          </w:tcPr>
          <w:p>
            <w:pPr>
              <w:spacing w:line="360" w:lineRule="exact"/>
              <w:ind w:left="113" w:right="113"/>
              <w:jc w:val="center"/>
              <w:rPr>
                <w:rFonts w:ascii="宋体" w:hAnsi="宋体"/>
                <w:color w:val="auto"/>
                <w:sz w:val="24"/>
                <w:highlight w:val="none"/>
              </w:rPr>
            </w:pPr>
          </w:p>
        </w:tc>
        <w:tc>
          <w:tcPr>
            <w:tcW w:w="691" w:type="dxa"/>
            <w:vMerge w:val="continue"/>
            <w:tcBorders>
              <w:left w:val="single" w:color="auto" w:sz="18"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768" w:type="dxa"/>
            <w:tcBorders>
              <w:top w:val="single" w:color="auto" w:sz="4" w:space="0"/>
              <w:left w:val="single" w:color="auto" w:sz="4" w:space="0"/>
              <w:bottom w:val="single" w:color="auto" w:sz="4" w:space="0"/>
              <w:right w:val="single" w:color="auto" w:sz="4" w:space="0"/>
            </w:tcBorders>
            <w:textDirection w:val="btLr"/>
            <w:vAlign w:val="center"/>
          </w:tcPr>
          <w:p>
            <w:pPr>
              <w:spacing w:line="300" w:lineRule="exact"/>
              <w:ind w:left="113" w:right="113"/>
              <w:jc w:val="center"/>
              <w:rPr>
                <w:rFonts w:ascii="宋体" w:hAnsi="宋体"/>
                <w:b/>
                <w:bCs/>
                <w:color w:val="auto"/>
                <w:sz w:val="24"/>
                <w:highlight w:val="none"/>
              </w:rPr>
            </w:pPr>
            <w:r>
              <w:rPr>
                <w:rFonts w:hint="eastAsia" w:ascii="宋体" w:hAnsi="宋体"/>
                <w:b/>
                <w:bCs/>
                <w:color w:val="auto"/>
                <w:sz w:val="24"/>
                <w:highlight w:val="none"/>
              </w:rPr>
              <w:t>专业资格/职称</w:t>
            </w:r>
          </w:p>
        </w:tc>
        <w:tc>
          <w:tcPr>
            <w:tcW w:w="554"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500"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18" w:space="0"/>
            </w:tcBorders>
            <w:textDirection w:val="btLr"/>
            <w:vAlign w:val="center"/>
          </w:tcPr>
          <w:p>
            <w:pPr>
              <w:spacing w:line="360" w:lineRule="exact"/>
              <w:ind w:left="113" w:right="113"/>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67" w:type="dxa"/>
            <w:vMerge w:val="continue"/>
            <w:tcBorders>
              <w:left w:val="nil"/>
              <w:right w:val="single" w:color="auto" w:sz="18" w:space="0"/>
            </w:tcBorders>
            <w:textDirection w:val="btLr"/>
            <w:vAlign w:val="center"/>
          </w:tcPr>
          <w:p>
            <w:pPr>
              <w:spacing w:line="360" w:lineRule="exact"/>
              <w:ind w:left="113" w:right="113"/>
              <w:jc w:val="center"/>
              <w:rPr>
                <w:rFonts w:ascii="宋体" w:hAnsi="宋体"/>
                <w:color w:val="auto"/>
                <w:sz w:val="24"/>
                <w:highlight w:val="none"/>
              </w:rPr>
            </w:pPr>
          </w:p>
        </w:tc>
        <w:tc>
          <w:tcPr>
            <w:tcW w:w="691" w:type="dxa"/>
            <w:vMerge w:val="continue"/>
            <w:tcBorders>
              <w:left w:val="single" w:color="auto" w:sz="18"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768"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b/>
                <w:bCs/>
                <w:color w:val="auto"/>
                <w:sz w:val="24"/>
                <w:highlight w:val="none"/>
              </w:rPr>
            </w:pPr>
            <w:r>
              <w:rPr>
                <w:rFonts w:hint="eastAsia" w:ascii="宋体" w:hAnsi="宋体"/>
                <w:b/>
                <w:bCs/>
                <w:color w:val="auto"/>
                <w:sz w:val="24"/>
                <w:highlight w:val="none"/>
              </w:rPr>
              <w:t>职务</w:t>
            </w:r>
          </w:p>
        </w:tc>
        <w:tc>
          <w:tcPr>
            <w:tcW w:w="554"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500"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18" w:space="0"/>
            </w:tcBorders>
            <w:textDirection w:val="btLr"/>
            <w:vAlign w:val="center"/>
          </w:tcPr>
          <w:p>
            <w:pPr>
              <w:spacing w:line="360" w:lineRule="exact"/>
              <w:ind w:left="113" w:right="113"/>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9" w:hRule="atLeast"/>
          <w:jc w:val="center"/>
        </w:trPr>
        <w:tc>
          <w:tcPr>
            <w:tcW w:w="567" w:type="dxa"/>
            <w:vMerge w:val="continue"/>
            <w:tcBorders>
              <w:left w:val="nil"/>
              <w:right w:val="single" w:color="auto" w:sz="18" w:space="0"/>
            </w:tcBorders>
            <w:textDirection w:val="btLr"/>
            <w:vAlign w:val="center"/>
          </w:tcPr>
          <w:p>
            <w:pPr>
              <w:spacing w:line="360" w:lineRule="exact"/>
              <w:ind w:left="113" w:right="113"/>
              <w:jc w:val="center"/>
              <w:rPr>
                <w:rFonts w:ascii="宋体" w:hAnsi="宋体"/>
                <w:color w:val="auto"/>
                <w:sz w:val="24"/>
                <w:highlight w:val="none"/>
              </w:rPr>
            </w:pPr>
          </w:p>
        </w:tc>
        <w:tc>
          <w:tcPr>
            <w:tcW w:w="691" w:type="dxa"/>
            <w:vMerge w:val="continue"/>
            <w:tcBorders>
              <w:left w:val="single" w:color="auto" w:sz="18"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768"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b/>
                <w:bCs/>
                <w:color w:val="auto"/>
                <w:sz w:val="24"/>
                <w:highlight w:val="none"/>
              </w:rPr>
            </w:pPr>
            <w:r>
              <w:rPr>
                <w:rFonts w:hint="eastAsia" w:ascii="宋体" w:hAnsi="宋体"/>
                <w:b/>
                <w:bCs/>
                <w:color w:val="auto"/>
                <w:sz w:val="24"/>
                <w:highlight w:val="none"/>
              </w:rPr>
              <w:t>身份证号</w:t>
            </w:r>
          </w:p>
        </w:tc>
        <w:tc>
          <w:tcPr>
            <w:tcW w:w="554"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500"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18" w:space="0"/>
            </w:tcBorders>
            <w:textDirection w:val="btLr"/>
            <w:vAlign w:val="center"/>
          </w:tcPr>
          <w:p>
            <w:pPr>
              <w:spacing w:line="360" w:lineRule="exact"/>
              <w:ind w:left="113" w:right="113"/>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567" w:type="dxa"/>
            <w:vMerge w:val="continue"/>
            <w:tcBorders>
              <w:left w:val="nil"/>
              <w:right w:val="single" w:color="auto" w:sz="18" w:space="0"/>
            </w:tcBorders>
            <w:textDirection w:val="btLr"/>
            <w:vAlign w:val="center"/>
          </w:tcPr>
          <w:p>
            <w:pPr>
              <w:spacing w:line="360" w:lineRule="exact"/>
              <w:ind w:left="113" w:right="113"/>
              <w:jc w:val="center"/>
              <w:rPr>
                <w:rFonts w:ascii="宋体" w:hAnsi="宋体"/>
                <w:color w:val="auto"/>
                <w:sz w:val="24"/>
                <w:highlight w:val="none"/>
              </w:rPr>
            </w:pPr>
          </w:p>
        </w:tc>
        <w:tc>
          <w:tcPr>
            <w:tcW w:w="691" w:type="dxa"/>
            <w:vMerge w:val="continue"/>
            <w:tcBorders>
              <w:left w:val="single" w:color="auto" w:sz="18"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768"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b/>
                <w:bCs/>
                <w:color w:val="auto"/>
                <w:sz w:val="24"/>
                <w:highlight w:val="none"/>
              </w:rPr>
            </w:pPr>
            <w:r>
              <w:rPr>
                <w:rFonts w:hint="eastAsia" w:ascii="宋体" w:hAnsi="宋体"/>
                <w:b/>
                <w:bCs/>
                <w:color w:val="auto"/>
                <w:sz w:val="24"/>
                <w:highlight w:val="none"/>
              </w:rPr>
              <w:t>姓名</w:t>
            </w:r>
          </w:p>
        </w:tc>
        <w:tc>
          <w:tcPr>
            <w:tcW w:w="554"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500"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499" w:type="dxa"/>
            <w:tcBorders>
              <w:top w:val="single" w:color="auto" w:sz="4" w:space="0"/>
              <w:left w:val="single" w:color="auto" w:sz="4" w:space="0"/>
              <w:bottom w:val="single" w:color="auto" w:sz="4" w:space="0"/>
              <w:right w:val="single" w:color="auto" w:sz="18" w:space="0"/>
            </w:tcBorders>
            <w:textDirection w:val="btLr"/>
            <w:vAlign w:val="center"/>
          </w:tcPr>
          <w:p>
            <w:pPr>
              <w:spacing w:line="360" w:lineRule="exact"/>
              <w:ind w:left="113" w:right="113"/>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567" w:type="dxa"/>
            <w:vMerge w:val="continue"/>
            <w:tcBorders>
              <w:left w:val="nil"/>
              <w:bottom w:val="nil"/>
              <w:right w:val="single" w:color="auto" w:sz="18" w:space="0"/>
            </w:tcBorders>
            <w:textDirection w:val="btLr"/>
            <w:vAlign w:val="center"/>
          </w:tcPr>
          <w:p>
            <w:pPr>
              <w:spacing w:line="360" w:lineRule="exact"/>
              <w:ind w:left="113" w:right="113"/>
              <w:jc w:val="center"/>
              <w:rPr>
                <w:rFonts w:ascii="宋体" w:hAnsi="宋体"/>
                <w:color w:val="auto"/>
                <w:sz w:val="24"/>
                <w:highlight w:val="none"/>
              </w:rPr>
            </w:pPr>
          </w:p>
        </w:tc>
        <w:tc>
          <w:tcPr>
            <w:tcW w:w="691" w:type="dxa"/>
            <w:vMerge w:val="continue"/>
            <w:tcBorders>
              <w:left w:val="single" w:color="auto" w:sz="18" w:space="0"/>
              <w:bottom w:val="single" w:color="auto" w:sz="18"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p>
        </w:tc>
        <w:tc>
          <w:tcPr>
            <w:tcW w:w="768" w:type="dxa"/>
            <w:tcBorders>
              <w:top w:val="single" w:color="auto" w:sz="4" w:space="0"/>
              <w:left w:val="single" w:color="auto" w:sz="4" w:space="0"/>
              <w:bottom w:val="single" w:color="auto" w:sz="18"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r>
              <w:rPr>
                <w:rFonts w:hint="eastAsia" w:ascii="宋体" w:hAnsi="宋体"/>
                <w:color w:val="auto"/>
                <w:sz w:val="24"/>
                <w:highlight w:val="none"/>
              </w:rPr>
              <w:t>序号</w:t>
            </w:r>
          </w:p>
        </w:tc>
        <w:tc>
          <w:tcPr>
            <w:tcW w:w="554" w:type="dxa"/>
            <w:tcBorders>
              <w:top w:val="single" w:color="auto" w:sz="4" w:space="0"/>
              <w:left w:val="single" w:color="auto" w:sz="4" w:space="0"/>
              <w:bottom w:val="single" w:color="auto" w:sz="18"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r>
              <w:rPr>
                <w:rFonts w:hint="eastAsia" w:ascii="宋体" w:hAnsi="宋体"/>
                <w:color w:val="auto"/>
                <w:sz w:val="24"/>
                <w:highlight w:val="none"/>
              </w:rPr>
              <w:t>1</w:t>
            </w:r>
          </w:p>
        </w:tc>
        <w:tc>
          <w:tcPr>
            <w:tcW w:w="500" w:type="dxa"/>
            <w:tcBorders>
              <w:top w:val="single" w:color="auto" w:sz="4" w:space="0"/>
              <w:left w:val="single" w:color="auto" w:sz="4" w:space="0"/>
              <w:bottom w:val="single" w:color="auto" w:sz="18"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r>
              <w:rPr>
                <w:rFonts w:hint="eastAsia" w:ascii="宋体" w:hAnsi="宋体"/>
                <w:color w:val="auto"/>
                <w:sz w:val="24"/>
                <w:highlight w:val="none"/>
              </w:rPr>
              <w:t>2</w:t>
            </w:r>
          </w:p>
        </w:tc>
        <w:tc>
          <w:tcPr>
            <w:tcW w:w="499" w:type="dxa"/>
            <w:tcBorders>
              <w:top w:val="single" w:color="auto" w:sz="4" w:space="0"/>
              <w:left w:val="single" w:color="auto" w:sz="4" w:space="0"/>
              <w:bottom w:val="single" w:color="auto" w:sz="18"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r>
              <w:rPr>
                <w:rFonts w:hint="eastAsia" w:ascii="宋体" w:hAnsi="宋体"/>
                <w:color w:val="auto"/>
                <w:sz w:val="24"/>
                <w:highlight w:val="none"/>
              </w:rPr>
              <w:t>3</w:t>
            </w:r>
          </w:p>
        </w:tc>
        <w:tc>
          <w:tcPr>
            <w:tcW w:w="499" w:type="dxa"/>
            <w:tcBorders>
              <w:top w:val="single" w:color="auto" w:sz="4" w:space="0"/>
              <w:left w:val="single" w:color="auto" w:sz="4" w:space="0"/>
              <w:bottom w:val="single" w:color="auto" w:sz="18"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r>
              <w:rPr>
                <w:rFonts w:hint="eastAsia" w:ascii="宋体" w:hAnsi="宋体"/>
                <w:color w:val="auto"/>
                <w:sz w:val="24"/>
                <w:highlight w:val="none"/>
              </w:rPr>
              <w:t>4</w:t>
            </w:r>
          </w:p>
        </w:tc>
        <w:tc>
          <w:tcPr>
            <w:tcW w:w="499" w:type="dxa"/>
            <w:tcBorders>
              <w:top w:val="single" w:color="auto" w:sz="4" w:space="0"/>
              <w:left w:val="single" w:color="auto" w:sz="4" w:space="0"/>
              <w:bottom w:val="single" w:color="auto" w:sz="18"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r>
              <w:rPr>
                <w:rFonts w:hint="eastAsia" w:ascii="宋体" w:hAnsi="宋体"/>
                <w:color w:val="auto"/>
                <w:sz w:val="24"/>
                <w:highlight w:val="none"/>
              </w:rPr>
              <w:t>5</w:t>
            </w:r>
          </w:p>
        </w:tc>
        <w:tc>
          <w:tcPr>
            <w:tcW w:w="499" w:type="dxa"/>
            <w:tcBorders>
              <w:top w:val="single" w:color="auto" w:sz="4" w:space="0"/>
              <w:left w:val="single" w:color="auto" w:sz="4" w:space="0"/>
              <w:bottom w:val="single" w:color="auto" w:sz="18"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r>
              <w:rPr>
                <w:rFonts w:hint="eastAsia" w:ascii="宋体" w:hAnsi="宋体"/>
                <w:color w:val="auto"/>
                <w:sz w:val="24"/>
                <w:highlight w:val="none"/>
              </w:rPr>
              <w:t>6</w:t>
            </w:r>
          </w:p>
        </w:tc>
        <w:tc>
          <w:tcPr>
            <w:tcW w:w="499" w:type="dxa"/>
            <w:tcBorders>
              <w:top w:val="single" w:color="auto" w:sz="4" w:space="0"/>
              <w:left w:val="single" w:color="auto" w:sz="4" w:space="0"/>
              <w:bottom w:val="single" w:color="auto" w:sz="18"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r>
              <w:rPr>
                <w:rFonts w:hint="eastAsia" w:ascii="宋体" w:hAnsi="宋体"/>
                <w:color w:val="auto"/>
                <w:sz w:val="24"/>
                <w:highlight w:val="none"/>
              </w:rPr>
              <w:t>7</w:t>
            </w:r>
          </w:p>
        </w:tc>
        <w:tc>
          <w:tcPr>
            <w:tcW w:w="499" w:type="dxa"/>
            <w:tcBorders>
              <w:top w:val="single" w:color="auto" w:sz="4" w:space="0"/>
              <w:left w:val="single" w:color="auto" w:sz="4" w:space="0"/>
              <w:bottom w:val="single" w:color="auto" w:sz="18"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r>
              <w:rPr>
                <w:rFonts w:hint="eastAsia" w:ascii="宋体" w:hAnsi="宋体"/>
                <w:color w:val="auto"/>
                <w:sz w:val="24"/>
                <w:highlight w:val="none"/>
              </w:rPr>
              <w:t>8</w:t>
            </w:r>
          </w:p>
        </w:tc>
        <w:tc>
          <w:tcPr>
            <w:tcW w:w="499" w:type="dxa"/>
            <w:tcBorders>
              <w:top w:val="single" w:color="auto" w:sz="4" w:space="0"/>
              <w:left w:val="single" w:color="auto" w:sz="4" w:space="0"/>
              <w:bottom w:val="single" w:color="auto" w:sz="18"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r>
              <w:rPr>
                <w:rFonts w:hint="eastAsia" w:ascii="宋体" w:hAnsi="宋体"/>
                <w:color w:val="auto"/>
                <w:sz w:val="24"/>
                <w:highlight w:val="none"/>
              </w:rPr>
              <w:t>9</w:t>
            </w:r>
          </w:p>
        </w:tc>
        <w:tc>
          <w:tcPr>
            <w:tcW w:w="499" w:type="dxa"/>
            <w:tcBorders>
              <w:top w:val="single" w:color="auto" w:sz="4" w:space="0"/>
              <w:left w:val="single" w:color="auto" w:sz="4" w:space="0"/>
              <w:bottom w:val="single" w:color="auto" w:sz="18"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r>
              <w:rPr>
                <w:rFonts w:hint="eastAsia" w:ascii="宋体" w:hAnsi="宋体"/>
                <w:color w:val="auto"/>
                <w:sz w:val="24"/>
                <w:highlight w:val="none"/>
              </w:rPr>
              <w:t>10</w:t>
            </w:r>
          </w:p>
        </w:tc>
        <w:tc>
          <w:tcPr>
            <w:tcW w:w="499" w:type="dxa"/>
            <w:tcBorders>
              <w:top w:val="single" w:color="auto" w:sz="4" w:space="0"/>
              <w:left w:val="single" w:color="auto" w:sz="4" w:space="0"/>
              <w:bottom w:val="single" w:color="auto" w:sz="18"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r>
              <w:rPr>
                <w:rFonts w:hint="eastAsia" w:ascii="宋体" w:hAnsi="宋体"/>
                <w:color w:val="auto"/>
                <w:sz w:val="24"/>
                <w:highlight w:val="none"/>
              </w:rPr>
              <w:t>11</w:t>
            </w:r>
          </w:p>
        </w:tc>
        <w:tc>
          <w:tcPr>
            <w:tcW w:w="499" w:type="dxa"/>
            <w:tcBorders>
              <w:top w:val="single" w:color="auto" w:sz="4" w:space="0"/>
              <w:left w:val="single" w:color="auto" w:sz="4" w:space="0"/>
              <w:bottom w:val="single" w:color="auto" w:sz="18"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r>
              <w:rPr>
                <w:rFonts w:hint="eastAsia" w:ascii="宋体" w:hAnsi="宋体"/>
                <w:color w:val="auto"/>
                <w:sz w:val="24"/>
                <w:highlight w:val="none"/>
              </w:rPr>
              <w:t>12</w:t>
            </w:r>
          </w:p>
        </w:tc>
        <w:tc>
          <w:tcPr>
            <w:tcW w:w="499" w:type="dxa"/>
            <w:tcBorders>
              <w:top w:val="single" w:color="auto" w:sz="4" w:space="0"/>
              <w:left w:val="single" w:color="auto" w:sz="4" w:space="0"/>
              <w:bottom w:val="single" w:color="auto" w:sz="18"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r>
              <w:rPr>
                <w:rFonts w:hint="eastAsia" w:ascii="宋体" w:hAnsi="宋体"/>
                <w:color w:val="auto"/>
                <w:sz w:val="24"/>
                <w:highlight w:val="none"/>
              </w:rPr>
              <w:t>13</w:t>
            </w:r>
          </w:p>
        </w:tc>
        <w:tc>
          <w:tcPr>
            <w:tcW w:w="499" w:type="dxa"/>
            <w:tcBorders>
              <w:top w:val="single" w:color="auto" w:sz="4" w:space="0"/>
              <w:left w:val="single" w:color="auto" w:sz="4" w:space="0"/>
              <w:bottom w:val="single" w:color="auto" w:sz="18" w:space="0"/>
              <w:right w:val="single" w:color="auto" w:sz="4" w:space="0"/>
            </w:tcBorders>
            <w:textDirection w:val="btLr"/>
            <w:vAlign w:val="center"/>
          </w:tcPr>
          <w:p>
            <w:pPr>
              <w:spacing w:line="360" w:lineRule="exact"/>
              <w:ind w:left="113" w:right="113"/>
              <w:jc w:val="center"/>
              <w:rPr>
                <w:rFonts w:ascii="宋体" w:hAnsi="宋体"/>
                <w:color w:val="auto"/>
                <w:sz w:val="24"/>
                <w:highlight w:val="none"/>
              </w:rPr>
            </w:pPr>
            <w:r>
              <w:rPr>
                <w:rFonts w:hint="eastAsia" w:ascii="宋体" w:hAnsi="宋体"/>
                <w:color w:val="auto"/>
                <w:sz w:val="24"/>
                <w:highlight w:val="none"/>
              </w:rPr>
              <w:t>14</w:t>
            </w:r>
          </w:p>
        </w:tc>
        <w:tc>
          <w:tcPr>
            <w:tcW w:w="499" w:type="dxa"/>
            <w:tcBorders>
              <w:top w:val="single" w:color="auto" w:sz="4" w:space="0"/>
              <w:left w:val="single" w:color="auto" w:sz="4" w:space="0"/>
              <w:bottom w:val="single" w:color="auto" w:sz="18" w:space="0"/>
              <w:right w:val="single" w:color="auto" w:sz="18" w:space="0"/>
            </w:tcBorders>
            <w:textDirection w:val="btLr"/>
            <w:vAlign w:val="center"/>
          </w:tcPr>
          <w:p>
            <w:pPr>
              <w:spacing w:line="360" w:lineRule="exact"/>
              <w:ind w:left="113" w:right="113"/>
              <w:jc w:val="center"/>
              <w:rPr>
                <w:rFonts w:ascii="宋体" w:hAnsi="宋体"/>
                <w:color w:val="auto"/>
                <w:sz w:val="24"/>
                <w:highlight w:val="none"/>
              </w:rPr>
            </w:pPr>
            <w:r>
              <w:rPr>
                <w:rFonts w:hint="eastAsia" w:ascii="宋体" w:hAnsi="宋体"/>
                <w:color w:val="auto"/>
                <w:sz w:val="24"/>
                <w:highlight w:val="none"/>
              </w:rPr>
              <w:t>15</w:t>
            </w:r>
          </w:p>
        </w:tc>
      </w:tr>
    </w:tbl>
    <w:p>
      <w:pPr>
        <w:rPr>
          <w:color w:val="auto"/>
          <w:sz w:val="24"/>
          <w:highlight w:val="none"/>
        </w:rPr>
      </w:pPr>
      <w:r>
        <w:rPr>
          <w:rFonts w:hint="eastAsia"/>
          <w:color w:val="auto"/>
          <w:sz w:val="24"/>
          <w:highlight w:val="none"/>
        </w:rPr>
        <w:br w:type="page"/>
      </w:r>
    </w:p>
    <w:p>
      <w:pPr>
        <w:pStyle w:val="9"/>
        <w:spacing w:line="360" w:lineRule="auto"/>
        <w:ind w:left="420" w:leftChars="200" w:firstLine="480"/>
        <w:jc w:val="left"/>
        <w:rPr>
          <w:rFonts w:eastAsia="宋体"/>
          <w:color w:val="auto"/>
          <w:sz w:val="24"/>
          <w:highlight w:val="none"/>
        </w:rPr>
      </w:pPr>
      <w:r>
        <w:rPr>
          <w:rFonts w:hint="eastAsia" w:eastAsia="宋体"/>
          <w:color w:val="auto"/>
          <w:sz w:val="24"/>
          <w:highlight w:val="none"/>
        </w:rPr>
        <w:t>4、公司</w:t>
      </w:r>
      <w:r>
        <w:rPr>
          <w:rFonts w:hint="eastAsia" w:eastAsia="宋体"/>
          <w:color w:val="auto"/>
          <w:sz w:val="24"/>
          <w:highlight w:val="none"/>
          <w:lang w:val="en-US" w:eastAsia="zh-CN"/>
        </w:rPr>
        <w:t>保证</w:t>
      </w:r>
      <w:r>
        <w:rPr>
          <w:rFonts w:hint="eastAsia" w:eastAsia="宋体"/>
          <w:color w:val="auto"/>
          <w:sz w:val="24"/>
          <w:highlight w:val="none"/>
        </w:rPr>
        <w:t>严格按照有关监理规范的要求开展监理工作，如果不能够按照此要求实施，我方自愿接受贵单位的制裁措施。</w:t>
      </w:r>
    </w:p>
    <w:p>
      <w:pPr>
        <w:pStyle w:val="9"/>
        <w:spacing w:line="360" w:lineRule="auto"/>
        <w:ind w:left="420" w:leftChars="200" w:firstLine="480"/>
        <w:jc w:val="left"/>
        <w:rPr>
          <w:rFonts w:eastAsia="宋体"/>
          <w:color w:val="auto"/>
          <w:sz w:val="24"/>
          <w:highlight w:val="none"/>
        </w:rPr>
      </w:pPr>
      <w:r>
        <w:rPr>
          <w:rFonts w:hint="eastAsia" w:eastAsia="宋体"/>
          <w:color w:val="auto"/>
          <w:sz w:val="24"/>
          <w:highlight w:val="none"/>
        </w:rPr>
        <w:t>5、我司保证在中标后，根据工程特点，编制本工程详细的监理规划和监理细则，并上报至贵单位。</w:t>
      </w:r>
    </w:p>
    <w:p>
      <w:pPr>
        <w:pStyle w:val="9"/>
        <w:spacing w:line="360" w:lineRule="auto"/>
        <w:ind w:left="420" w:leftChars="200" w:firstLine="480"/>
        <w:jc w:val="left"/>
        <w:rPr>
          <w:rFonts w:eastAsia="宋体"/>
          <w:color w:val="auto"/>
          <w:sz w:val="24"/>
          <w:highlight w:val="none"/>
        </w:rPr>
      </w:pPr>
    </w:p>
    <w:p>
      <w:pPr>
        <w:pStyle w:val="9"/>
        <w:spacing w:line="360" w:lineRule="auto"/>
        <w:ind w:left="420" w:leftChars="200" w:firstLine="480"/>
        <w:jc w:val="left"/>
        <w:rPr>
          <w:rFonts w:eastAsia="宋体"/>
          <w:color w:val="auto"/>
          <w:sz w:val="24"/>
          <w:highlight w:val="none"/>
        </w:rPr>
      </w:pPr>
    </w:p>
    <w:p>
      <w:pPr>
        <w:pStyle w:val="9"/>
        <w:spacing w:line="360" w:lineRule="auto"/>
        <w:ind w:left="420" w:leftChars="200" w:firstLine="480"/>
        <w:jc w:val="left"/>
        <w:rPr>
          <w:rFonts w:eastAsia="宋体"/>
          <w:color w:val="auto"/>
          <w:sz w:val="24"/>
          <w:highlight w:val="none"/>
        </w:rPr>
      </w:pPr>
      <w:r>
        <w:rPr>
          <w:rFonts w:hint="eastAsia" w:eastAsia="宋体"/>
          <w:color w:val="auto"/>
          <w:sz w:val="24"/>
          <w:highlight w:val="none"/>
        </w:rPr>
        <w:t>单    位：（公章）</w:t>
      </w:r>
    </w:p>
    <w:p>
      <w:pPr>
        <w:pStyle w:val="9"/>
        <w:spacing w:line="360" w:lineRule="auto"/>
        <w:ind w:left="420" w:leftChars="200" w:firstLine="480"/>
        <w:jc w:val="left"/>
        <w:rPr>
          <w:rFonts w:eastAsia="宋体"/>
          <w:color w:val="auto"/>
          <w:sz w:val="24"/>
          <w:highlight w:val="none"/>
        </w:rPr>
      </w:pPr>
      <w:r>
        <w:rPr>
          <w:rFonts w:hint="eastAsia" w:eastAsia="宋体"/>
          <w:color w:val="auto"/>
          <w:sz w:val="24"/>
          <w:highlight w:val="none"/>
        </w:rPr>
        <w:t>法人代表：（签名或盖章）</w:t>
      </w:r>
    </w:p>
    <w:p>
      <w:pPr>
        <w:pStyle w:val="9"/>
        <w:spacing w:line="360" w:lineRule="auto"/>
        <w:ind w:left="420" w:leftChars="200" w:firstLine="480"/>
        <w:jc w:val="left"/>
        <w:rPr>
          <w:rFonts w:eastAsia="宋体"/>
          <w:color w:val="auto"/>
          <w:sz w:val="24"/>
          <w:highlight w:val="none"/>
        </w:rPr>
      </w:pPr>
      <w:r>
        <w:rPr>
          <w:rFonts w:hint="eastAsia" w:eastAsia="宋体"/>
          <w:color w:val="auto"/>
          <w:sz w:val="24"/>
          <w:highlight w:val="none"/>
        </w:rPr>
        <w:t xml:space="preserve">                                          年    月    日</w:t>
      </w:r>
    </w:p>
    <w:p>
      <w:pPr>
        <w:pStyle w:val="9"/>
        <w:spacing w:line="360" w:lineRule="auto"/>
        <w:ind w:left="420" w:leftChars="200" w:firstLine="480"/>
        <w:jc w:val="left"/>
        <w:rPr>
          <w:rFonts w:eastAsia="宋体"/>
          <w:color w:val="auto"/>
          <w:sz w:val="24"/>
          <w:highlight w:val="none"/>
        </w:rPr>
      </w:pPr>
    </w:p>
    <w:p>
      <w:pPr>
        <w:pStyle w:val="9"/>
        <w:spacing w:line="360" w:lineRule="auto"/>
        <w:ind w:left="420" w:leftChars="200" w:firstLine="480"/>
        <w:jc w:val="left"/>
        <w:rPr>
          <w:rFonts w:eastAsia="宋体"/>
          <w:color w:val="auto"/>
          <w:sz w:val="24"/>
          <w:highlight w:val="none"/>
        </w:rPr>
      </w:pPr>
    </w:p>
    <w:p>
      <w:pPr>
        <w:pStyle w:val="9"/>
        <w:spacing w:line="360" w:lineRule="auto"/>
        <w:ind w:left="420" w:leftChars="200" w:firstLine="480"/>
        <w:jc w:val="left"/>
        <w:rPr>
          <w:rFonts w:eastAsia="宋体"/>
          <w:color w:val="auto"/>
          <w:sz w:val="24"/>
          <w:highlight w:val="none"/>
        </w:rPr>
      </w:pPr>
      <w:r>
        <w:rPr>
          <w:rFonts w:hint="eastAsia" w:eastAsia="宋体"/>
          <w:color w:val="auto"/>
          <w:sz w:val="24"/>
          <w:highlight w:val="none"/>
        </w:rPr>
        <w:t xml:space="preserve">注：标函承诺书作为投标文件的“响应性评审”文件，投标人应如实填写，中标后必须按填报内容如期实施。工程的建设单位将经常核验投标人是否按填报内容实施，行政管理机构也将随时抽查。   </w:t>
      </w:r>
    </w:p>
    <w:p>
      <w:pPr>
        <w:pStyle w:val="9"/>
        <w:spacing w:line="240" w:lineRule="auto"/>
        <w:ind w:left="420" w:leftChars="200" w:firstLine="0"/>
        <w:jc w:val="left"/>
        <w:rPr>
          <w:rFonts w:eastAsia="宋体"/>
          <w:color w:val="auto"/>
          <w:sz w:val="28"/>
          <w:highlight w:val="none"/>
        </w:rPr>
      </w:pPr>
    </w:p>
    <w:p>
      <w:pPr>
        <w:ind w:left="360"/>
        <w:rPr>
          <w:rFonts w:ascii="宋体" w:hAnsi="宋体"/>
          <w:color w:val="auto"/>
          <w:sz w:val="24"/>
          <w:highlight w:val="none"/>
        </w:rPr>
      </w:pPr>
    </w:p>
    <w:p>
      <w:pPr>
        <w:ind w:left="0"/>
        <w:rPr>
          <w:rFonts w:ascii="宋体" w:hAnsi="宋体"/>
          <w:color w:val="auto"/>
          <w:sz w:val="24"/>
          <w:highlight w:val="none"/>
        </w:rPr>
      </w:pPr>
      <w:r>
        <w:rPr>
          <w:rFonts w:ascii="宋体" w:hAnsi="宋体"/>
          <w:color w:val="auto"/>
          <w:sz w:val="24"/>
          <w:highlight w:val="none"/>
        </w:rPr>
        <w:br w:type="page"/>
      </w:r>
    </w:p>
    <w:p>
      <w:pPr>
        <w:pStyle w:val="4"/>
        <w:outlineLvl w:val="1"/>
        <w:rPr>
          <w:color w:val="auto"/>
          <w:spacing w:val="20"/>
          <w:sz w:val="32"/>
          <w:highlight w:val="none"/>
        </w:rPr>
      </w:pPr>
      <w:bookmarkStart w:id="822" w:name="_Toc22995"/>
      <w:bookmarkStart w:id="823" w:name="_Toc19993"/>
      <w:bookmarkStart w:id="824" w:name="_Toc30227"/>
      <w:bookmarkStart w:id="825" w:name="_Toc13393"/>
      <w:bookmarkStart w:id="826" w:name="_Toc17745"/>
      <w:bookmarkStart w:id="827" w:name="_Toc6768"/>
      <w:bookmarkStart w:id="828" w:name="_Toc16078"/>
      <w:bookmarkStart w:id="829" w:name="_Toc31618"/>
      <w:bookmarkStart w:id="830" w:name="_Toc28722"/>
      <w:bookmarkStart w:id="831" w:name="_Toc22693"/>
      <w:bookmarkStart w:id="832" w:name="_Toc1091"/>
      <w:bookmarkStart w:id="833" w:name="_Toc8241"/>
      <w:bookmarkStart w:id="834" w:name="_Toc17121"/>
      <w:bookmarkStart w:id="835" w:name="_Toc23944"/>
      <w:r>
        <w:rPr>
          <w:rFonts w:hint="eastAsia"/>
          <w:color w:val="auto"/>
          <w:spacing w:val="20"/>
          <w:sz w:val="32"/>
          <w:highlight w:val="none"/>
          <w:lang w:val="en-US" w:eastAsia="zh-CN"/>
        </w:rPr>
        <w:t>九</w:t>
      </w:r>
      <w:r>
        <w:rPr>
          <w:rFonts w:hint="eastAsia"/>
          <w:color w:val="auto"/>
          <w:spacing w:val="20"/>
          <w:sz w:val="32"/>
          <w:highlight w:val="none"/>
        </w:rPr>
        <w:t>、项目监理机构配备情况</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pPr>
        <w:pStyle w:val="16"/>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现场组织机构设计合理。项目总监具有注册监理工程师证书，现场监理人员的数量和资质满足本招标工程的要求。</w:t>
      </w:r>
    </w:p>
    <w:p>
      <w:pPr>
        <w:pStyle w:val="16"/>
        <w:spacing w:line="360" w:lineRule="auto"/>
        <w:ind w:firstLine="562" w:firstLineChars="200"/>
        <w:rPr>
          <w:rFonts w:ascii="宋体" w:hAnsi="宋体"/>
          <w:b/>
          <w:color w:val="auto"/>
          <w:sz w:val="28"/>
          <w:szCs w:val="28"/>
          <w:highlight w:val="none"/>
        </w:rPr>
      </w:pPr>
    </w:p>
    <w:p>
      <w:pPr>
        <w:tabs>
          <w:tab w:val="left" w:pos="0"/>
        </w:tabs>
        <w:spacing w:line="360" w:lineRule="auto"/>
        <w:ind w:right="-210"/>
        <w:rPr>
          <w:rFonts w:ascii="宋体" w:hAnsi="宋体"/>
          <w:color w:val="auto"/>
          <w:sz w:val="28"/>
          <w:szCs w:val="28"/>
          <w:highlight w:val="none"/>
        </w:rPr>
      </w:pPr>
      <w:r>
        <w:rPr>
          <w:rFonts w:hint="eastAsia" w:ascii="宋体" w:hAnsi="宋体"/>
          <w:color w:val="auto"/>
          <w:sz w:val="28"/>
          <w:szCs w:val="28"/>
          <w:highlight w:val="none"/>
        </w:rPr>
        <w:t>1、项目监理机构配备情况表</w:t>
      </w:r>
    </w:p>
    <w:p>
      <w:pPr>
        <w:tabs>
          <w:tab w:val="left" w:pos="0"/>
        </w:tabs>
        <w:spacing w:line="360" w:lineRule="auto"/>
        <w:ind w:right="-212"/>
        <w:rPr>
          <w:rFonts w:ascii="宋体" w:hAnsi="宋体"/>
          <w:color w:val="auto"/>
          <w:sz w:val="28"/>
          <w:szCs w:val="28"/>
          <w:highlight w:val="none"/>
        </w:rPr>
      </w:pPr>
      <w:r>
        <w:rPr>
          <w:rFonts w:hint="eastAsia" w:ascii="宋体" w:hAnsi="宋体"/>
          <w:color w:val="auto"/>
          <w:sz w:val="28"/>
          <w:szCs w:val="28"/>
          <w:highlight w:val="none"/>
        </w:rPr>
        <w:t>2、项目总监简历表</w:t>
      </w:r>
    </w:p>
    <w:p>
      <w:pPr>
        <w:tabs>
          <w:tab w:val="left" w:pos="0"/>
        </w:tabs>
        <w:spacing w:line="360" w:lineRule="auto"/>
        <w:ind w:right="-212"/>
        <w:rPr>
          <w:rFonts w:ascii="宋体" w:hAnsi="宋体"/>
          <w:color w:val="auto"/>
          <w:sz w:val="28"/>
          <w:szCs w:val="28"/>
          <w:highlight w:val="none"/>
        </w:rPr>
      </w:pPr>
      <w:r>
        <w:rPr>
          <w:rFonts w:hint="eastAsia" w:ascii="宋体" w:hAnsi="宋体"/>
          <w:color w:val="auto"/>
          <w:sz w:val="28"/>
          <w:szCs w:val="28"/>
          <w:highlight w:val="none"/>
        </w:rPr>
        <w:t>3、项目总监代表简历表</w:t>
      </w:r>
    </w:p>
    <w:p>
      <w:pPr>
        <w:tabs>
          <w:tab w:val="left" w:pos="0"/>
        </w:tabs>
        <w:spacing w:line="360" w:lineRule="auto"/>
        <w:ind w:right="-212"/>
        <w:rPr>
          <w:rFonts w:ascii="宋体" w:hAnsi="宋体"/>
          <w:color w:val="auto"/>
          <w:sz w:val="24"/>
          <w:highlight w:val="none"/>
        </w:rPr>
      </w:pPr>
      <w:r>
        <w:rPr>
          <w:rFonts w:hint="eastAsia" w:ascii="宋体" w:hAnsi="宋体"/>
          <w:color w:val="auto"/>
          <w:sz w:val="28"/>
          <w:szCs w:val="28"/>
          <w:highlight w:val="none"/>
        </w:rPr>
        <w:t>4、项目管理机构配备情况辅助说明资料</w:t>
      </w:r>
    </w:p>
    <w:p>
      <w:pPr>
        <w:rPr>
          <w:rFonts w:ascii="宋体" w:hAnsi="宋体"/>
          <w:color w:val="auto"/>
          <w:sz w:val="24"/>
          <w:highlight w:val="none"/>
        </w:rPr>
      </w:pPr>
    </w:p>
    <w:p>
      <w:pPr>
        <w:pStyle w:val="5"/>
        <w:ind w:firstLine="160" w:firstLineChars="50"/>
        <w:outlineLvl w:val="2"/>
        <w:rPr>
          <w:rFonts w:ascii="宋体" w:hAnsi="宋体"/>
          <w:b w:val="0"/>
          <w:bCs w:val="0"/>
          <w:color w:val="auto"/>
          <w:sz w:val="32"/>
          <w:highlight w:val="none"/>
        </w:rPr>
      </w:pPr>
      <w:r>
        <w:rPr>
          <w:rFonts w:ascii="宋体" w:hAnsi="宋体"/>
          <w:b w:val="0"/>
          <w:bCs w:val="0"/>
          <w:color w:val="auto"/>
          <w:sz w:val="32"/>
          <w:highlight w:val="none"/>
        </w:rPr>
        <w:br w:type="page"/>
      </w:r>
      <w:bookmarkStart w:id="836" w:name="_Toc18025"/>
      <w:bookmarkStart w:id="837" w:name="_Toc22390"/>
      <w:bookmarkStart w:id="838" w:name="_Toc32354"/>
      <w:bookmarkStart w:id="839" w:name="_Toc20553"/>
      <w:bookmarkStart w:id="840" w:name="_Toc28328"/>
      <w:r>
        <w:rPr>
          <w:rFonts w:hint="eastAsia" w:ascii="宋体" w:hAnsi="宋体"/>
          <w:color w:val="auto"/>
          <w:sz w:val="32"/>
          <w:highlight w:val="none"/>
        </w:rPr>
        <w:t>1、</w:t>
      </w:r>
      <w:bookmarkEnd w:id="836"/>
      <w:r>
        <w:rPr>
          <w:rFonts w:hint="eastAsia" w:ascii="宋体" w:hAnsi="宋体"/>
          <w:color w:val="auto"/>
          <w:sz w:val="32"/>
          <w:highlight w:val="none"/>
        </w:rPr>
        <w:t>项目监理机构配备情况表</w:t>
      </w:r>
      <w:bookmarkEnd w:id="837"/>
      <w:bookmarkEnd w:id="838"/>
      <w:bookmarkEnd w:id="839"/>
      <w:bookmarkEnd w:id="840"/>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6"/>
        <w:gridCol w:w="686"/>
        <w:gridCol w:w="1207"/>
        <w:gridCol w:w="686"/>
        <w:gridCol w:w="860"/>
        <w:gridCol w:w="773"/>
        <w:gridCol w:w="1555"/>
        <w:gridCol w:w="106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90"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职务</w:t>
            </w:r>
          </w:p>
        </w:tc>
        <w:tc>
          <w:tcPr>
            <w:tcW w:w="686"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686"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职称</w:t>
            </w:r>
          </w:p>
        </w:tc>
        <w:tc>
          <w:tcPr>
            <w:tcW w:w="5081" w:type="dxa"/>
            <w:gridSpan w:val="5"/>
            <w:vAlign w:val="center"/>
          </w:tcPr>
          <w:p>
            <w:pPr>
              <w:jc w:val="center"/>
              <w:rPr>
                <w:rFonts w:ascii="宋体" w:hAnsi="宋体"/>
                <w:color w:val="auto"/>
                <w:sz w:val="24"/>
                <w:highlight w:val="none"/>
              </w:rPr>
            </w:pPr>
            <w:r>
              <w:rPr>
                <w:rFonts w:hint="eastAsia" w:ascii="宋体" w:hAnsi="宋体"/>
                <w:color w:val="auto"/>
                <w:sz w:val="24"/>
                <w:highlight w:val="none"/>
              </w:rPr>
              <w:t>执业或职业资格证明</w:t>
            </w:r>
          </w:p>
        </w:tc>
        <w:tc>
          <w:tcPr>
            <w:tcW w:w="231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已承担完工</w:t>
            </w:r>
          </w:p>
          <w:p>
            <w:pPr>
              <w:jc w:val="center"/>
              <w:rPr>
                <w:rFonts w:ascii="宋体" w:hAnsi="宋体"/>
                <w:color w:val="auto"/>
                <w:sz w:val="24"/>
                <w:highlight w:val="none"/>
              </w:rPr>
            </w:pPr>
            <w:r>
              <w:rPr>
                <w:rFonts w:hint="eastAsia" w:ascii="宋体" w:hAnsi="宋体"/>
                <w:color w:val="auto"/>
                <w:sz w:val="24"/>
                <w:highlight w:val="none"/>
              </w:rPr>
              <w:t>工 程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90" w:type="dxa"/>
            <w:vMerge w:val="continue"/>
          </w:tcPr>
          <w:p>
            <w:pPr>
              <w:rPr>
                <w:rFonts w:ascii="宋体" w:hAnsi="宋体"/>
                <w:color w:val="auto"/>
                <w:sz w:val="24"/>
                <w:highlight w:val="none"/>
              </w:rPr>
            </w:pPr>
          </w:p>
        </w:tc>
        <w:tc>
          <w:tcPr>
            <w:tcW w:w="686" w:type="dxa"/>
            <w:vMerge w:val="continue"/>
          </w:tcPr>
          <w:p>
            <w:pPr>
              <w:rPr>
                <w:rFonts w:ascii="宋体" w:hAnsi="宋体"/>
                <w:color w:val="auto"/>
                <w:sz w:val="24"/>
                <w:highlight w:val="none"/>
              </w:rPr>
            </w:pPr>
          </w:p>
        </w:tc>
        <w:tc>
          <w:tcPr>
            <w:tcW w:w="686" w:type="dxa"/>
            <w:vMerge w:val="continue"/>
          </w:tcPr>
          <w:p>
            <w:pPr>
              <w:rPr>
                <w:rFonts w:ascii="宋体" w:hAnsi="宋体"/>
                <w:color w:val="auto"/>
                <w:sz w:val="24"/>
                <w:highlight w:val="none"/>
              </w:rPr>
            </w:pPr>
          </w:p>
        </w:tc>
        <w:tc>
          <w:tcPr>
            <w:tcW w:w="1207" w:type="dxa"/>
            <w:vAlign w:val="center"/>
          </w:tcPr>
          <w:p>
            <w:pPr>
              <w:jc w:val="center"/>
              <w:rPr>
                <w:rFonts w:ascii="宋体" w:hAnsi="宋体"/>
                <w:color w:val="auto"/>
                <w:sz w:val="24"/>
                <w:highlight w:val="none"/>
              </w:rPr>
            </w:pPr>
            <w:r>
              <w:rPr>
                <w:rFonts w:hint="eastAsia" w:ascii="宋体" w:hAnsi="宋体"/>
                <w:color w:val="auto"/>
                <w:sz w:val="24"/>
                <w:highlight w:val="none"/>
              </w:rPr>
              <w:t>证书名称</w:t>
            </w:r>
          </w:p>
        </w:tc>
        <w:tc>
          <w:tcPr>
            <w:tcW w:w="686" w:type="dxa"/>
            <w:vAlign w:val="center"/>
          </w:tcPr>
          <w:p>
            <w:pPr>
              <w:jc w:val="center"/>
              <w:rPr>
                <w:rFonts w:ascii="宋体" w:hAnsi="宋体"/>
                <w:color w:val="auto"/>
                <w:sz w:val="24"/>
                <w:highlight w:val="none"/>
              </w:rPr>
            </w:pPr>
            <w:r>
              <w:rPr>
                <w:rFonts w:hint="eastAsia" w:ascii="宋体" w:hAnsi="宋体"/>
                <w:color w:val="auto"/>
                <w:sz w:val="24"/>
                <w:highlight w:val="none"/>
              </w:rPr>
              <w:t>级别</w:t>
            </w:r>
          </w:p>
        </w:tc>
        <w:tc>
          <w:tcPr>
            <w:tcW w:w="860" w:type="dxa"/>
            <w:vAlign w:val="center"/>
          </w:tcPr>
          <w:p>
            <w:pPr>
              <w:jc w:val="center"/>
              <w:rPr>
                <w:rFonts w:ascii="宋体" w:hAnsi="宋体"/>
                <w:color w:val="auto"/>
                <w:sz w:val="24"/>
                <w:highlight w:val="none"/>
              </w:rPr>
            </w:pPr>
            <w:r>
              <w:rPr>
                <w:rFonts w:hint="eastAsia" w:ascii="宋体" w:hAnsi="宋体"/>
                <w:color w:val="auto"/>
                <w:sz w:val="24"/>
                <w:highlight w:val="none"/>
              </w:rPr>
              <w:t>证号</w:t>
            </w:r>
          </w:p>
        </w:tc>
        <w:tc>
          <w:tcPr>
            <w:tcW w:w="773" w:type="dxa"/>
            <w:vAlign w:val="center"/>
          </w:tcPr>
          <w:p>
            <w:pPr>
              <w:jc w:val="center"/>
              <w:rPr>
                <w:rFonts w:ascii="宋体" w:hAnsi="宋体"/>
                <w:color w:val="auto"/>
                <w:sz w:val="24"/>
                <w:highlight w:val="none"/>
              </w:rPr>
            </w:pPr>
            <w:r>
              <w:rPr>
                <w:rFonts w:hint="eastAsia" w:ascii="宋体" w:hAnsi="宋体"/>
                <w:color w:val="auto"/>
                <w:sz w:val="24"/>
                <w:highlight w:val="none"/>
              </w:rPr>
              <w:t>专业</w:t>
            </w:r>
          </w:p>
        </w:tc>
        <w:tc>
          <w:tcPr>
            <w:tcW w:w="1555" w:type="dxa"/>
            <w:vAlign w:val="center"/>
          </w:tcPr>
          <w:p>
            <w:pPr>
              <w:jc w:val="center"/>
              <w:rPr>
                <w:rFonts w:ascii="宋体" w:hAnsi="宋体"/>
                <w:color w:val="auto"/>
                <w:sz w:val="24"/>
                <w:highlight w:val="none"/>
              </w:rPr>
            </w:pPr>
            <w:r>
              <w:rPr>
                <w:rFonts w:hint="eastAsia" w:ascii="宋体" w:hAnsi="宋体"/>
                <w:color w:val="auto"/>
                <w:sz w:val="24"/>
                <w:highlight w:val="none"/>
              </w:rPr>
              <w:t>原服务单位</w:t>
            </w:r>
          </w:p>
        </w:tc>
        <w:tc>
          <w:tcPr>
            <w:tcW w:w="1065" w:type="dxa"/>
            <w:vAlign w:val="center"/>
          </w:tcPr>
          <w:p>
            <w:pPr>
              <w:jc w:val="center"/>
              <w:rPr>
                <w:rFonts w:ascii="宋体" w:hAnsi="宋体"/>
                <w:color w:val="auto"/>
                <w:sz w:val="24"/>
                <w:highlight w:val="none"/>
              </w:rPr>
            </w:pPr>
            <w:r>
              <w:rPr>
                <w:rFonts w:hint="eastAsia" w:ascii="宋体" w:hAnsi="宋体"/>
                <w:color w:val="auto"/>
                <w:sz w:val="24"/>
                <w:highlight w:val="none"/>
              </w:rPr>
              <w:t>项目数</w:t>
            </w:r>
          </w:p>
        </w:tc>
        <w:tc>
          <w:tcPr>
            <w:tcW w:w="1245" w:type="dxa"/>
            <w:vAlign w:val="center"/>
          </w:tcPr>
          <w:p>
            <w:pPr>
              <w:jc w:val="center"/>
              <w:rPr>
                <w:rFonts w:ascii="宋体" w:hAnsi="宋体"/>
                <w:color w:val="auto"/>
                <w:sz w:val="24"/>
                <w:highlight w:val="none"/>
              </w:rPr>
            </w:pPr>
            <w:r>
              <w:rPr>
                <w:rFonts w:hint="eastAsia" w:ascii="宋体" w:hAnsi="宋体"/>
                <w:color w:val="auto"/>
                <w:sz w:val="24"/>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1207"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860" w:type="dxa"/>
          </w:tcPr>
          <w:p>
            <w:pPr>
              <w:rPr>
                <w:rFonts w:ascii="宋体" w:hAnsi="宋体"/>
                <w:color w:val="auto"/>
                <w:sz w:val="24"/>
                <w:highlight w:val="none"/>
              </w:rPr>
            </w:pPr>
          </w:p>
        </w:tc>
        <w:tc>
          <w:tcPr>
            <w:tcW w:w="773" w:type="dxa"/>
          </w:tcPr>
          <w:p>
            <w:pPr>
              <w:rPr>
                <w:rFonts w:ascii="宋体" w:hAnsi="宋体"/>
                <w:color w:val="auto"/>
                <w:sz w:val="24"/>
                <w:highlight w:val="none"/>
              </w:rPr>
            </w:pPr>
          </w:p>
        </w:tc>
        <w:tc>
          <w:tcPr>
            <w:tcW w:w="1555" w:type="dxa"/>
          </w:tcPr>
          <w:p>
            <w:pPr>
              <w:rPr>
                <w:rFonts w:ascii="宋体" w:hAnsi="宋体"/>
                <w:color w:val="auto"/>
                <w:sz w:val="24"/>
                <w:highlight w:val="none"/>
              </w:rPr>
            </w:pPr>
          </w:p>
        </w:tc>
        <w:tc>
          <w:tcPr>
            <w:tcW w:w="1065" w:type="dxa"/>
          </w:tcPr>
          <w:p>
            <w:pPr>
              <w:rPr>
                <w:rFonts w:ascii="宋体" w:hAnsi="宋体"/>
                <w:color w:val="auto"/>
                <w:sz w:val="24"/>
                <w:highlight w:val="none"/>
              </w:rPr>
            </w:pPr>
          </w:p>
        </w:tc>
        <w:tc>
          <w:tcPr>
            <w:tcW w:w="1245"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1207"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860" w:type="dxa"/>
          </w:tcPr>
          <w:p>
            <w:pPr>
              <w:rPr>
                <w:rFonts w:ascii="宋体" w:hAnsi="宋体"/>
                <w:color w:val="auto"/>
                <w:sz w:val="24"/>
                <w:highlight w:val="none"/>
              </w:rPr>
            </w:pPr>
          </w:p>
        </w:tc>
        <w:tc>
          <w:tcPr>
            <w:tcW w:w="773" w:type="dxa"/>
          </w:tcPr>
          <w:p>
            <w:pPr>
              <w:rPr>
                <w:rFonts w:ascii="宋体" w:hAnsi="宋体"/>
                <w:color w:val="auto"/>
                <w:sz w:val="24"/>
                <w:highlight w:val="none"/>
              </w:rPr>
            </w:pPr>
          </w:p>
        </w:tc>
        <w:tc>
          <w:tcPr>
            <w:tcW w:w="1555" w:type="dxa"/>
          </w:tcPr>
          <w:p>
            <w:pPr>
              <w:rPr>
                <w:rFonts w:ascii="宋体" w:hAnsi="宋体"/>
                <w:color w:val="auto"/>
                <w:sz w:val="24"/>
                <w:highlight w:val="none"/>
              </w:rPr>
            </w:pPr>
          </w:p>
        </w:tc>
        <w:tc>
          <w:tcPr>
            <w:tcW w:w="1065" w:type="dxa"/>
          </w:tcPr>
          <w:p>
            <w:pPr>
              <w:rPr>
                <w:rFonts w:ascii="宋体" w:hAnsi="宋体"/>
                <w:color w:val="auto"/>
                <w:sz w:val="24"/>
                <w:highlight w:val="none"/>
              </w:rPr>
            </w:pPr>
          </w:p>
        </w:tc>
        <w:tc>
          <w:tcPr>
            <w:tcW w:w="1245"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1207"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860" w:type="dxa"/>
          </w:tcPr>
          <w:p>
            <w:pPr>
              <w:rPr>
                <w:rFonts w:ascii="宋体" w:hAnsi="宋体"/>
                <w:color w:val="auto"/>
                <w:sz w:val="24"/>
                <w:highlight w:val="none"/>
              </w:rPr>
            </w:pPr>
          </w:p>
        </w:tc>
        <w:tc>
          <w:tcPr>
            <w:tcW w:w="773" w:type="dxa"/>
          </w:tcPr>
          <w:p>
            <w:pPr>
              <w:rPr>
                <w:rFonts w:ascii="宋体" w:hAnsi="宋体"/>
                <w:color w:val="auto"/>
                <w:sz w:val="24"/>
                <w:highlight w:val="none"/>
              </w:rPr>
            </w:pPr>
          </w:p>
        </w:tc>
        <w:tc>
          <w:tcPr>
            <w:tcW w:w="1555" w:type="dxa"/>
          </w:tcPr>
          <w:p>
            <w:pPr>
              <w:rPr>
                <w:rFonts w:ascii="宋体" w:hAnsi="宋体"/>
                <w:color w:val="auto"/>
                <w:sz w:val="24"/>
                <w:highlight w:val="none"/>
              </w:rPr>
            </w:pPr>
          </w:p>
        </w:tc>
        <w:tc>
          <w:tcPr>
            <w:tcW w:w="1065" w:type="dxa"/>
          </w:tcPr>
          <w:p>
            <w:pPr>
              <w:rPr>
                <w:rFonts w:ascii="宋体" w:hAnsi="宋体"/>
                <w:color w:val="auto"/>
                <w:sz w:val="24"/>
                <w:highlight w:val="none"/>
              </w:rPr>
            </w:pPr>
          </w:p>
        </w:tc>
        <w:tc>
          <w:tcPr>
            <w:tcW w:w="1245"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1207"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860" w:type="dxa"/>
          </w:tcPr>
          <w:p>
            <w:pPr>
              <w:rPr>
                <w:rFonts w:ascii="宋体" w:hAnsi="宋体"/>
                <w:color w:val="auto"/>
                <w:sz w:val="24"/>
                <w:highlight w:val="none"/>
              </w:rPr>
            </w:pPr>
          </w:p>
        </w:tc>
        <w:tc>
          <w:tcPr>
            <w:tcW w:w="773" w:type="dxa"/>
          </w:tcPr>
          <w:p>
            <w:pPr>
              <w:rPr>
                <w:rFonts w:ascii="宋体" w:hAnsi="宋体"/>
                <w:color w:val="auto"/>
                <w:sz w:val="24"/>
                <w:highlight w:val="none"/>
              </w:rPr>
            </w:pPr>
          </w:p>
        </w:tc>
        <w:tc>
          <w:tcPr>
            <w:tcW w:w="1555" w:type="dxa"/>
          </w:tcPr>
          <w:p>
            <w:pPr>
              <w:rPr>
                <w:rFonts w:ascii="宋体" w:hAnsi="宋体"/>
                <w:color w:val="auto"/>
                <w:sz w:val="24"/>
                <w:highlight w:val="none"/>
              </w:rPr>
            </w:pPr>
          </w:p>
        </w:tc>
        <w:tc>
          <w:tcPr>
            <w:tcW w:w="1065" w:type="dxa"/>
          </w:tcPr>
          <w:p>
            <w:pPr>
              <w:rPr>
                <w:rFonts w:ascii="宋体" w:hAnsi="宋体"/>
                <w:color w:val="auto"/>
                <w:sz w:val="24"/>
                <w:highlight w:val="none"/>
              </w:rPr>
            </w:pPr>
          </w:p>
        </w:tc>
        <w:tc>
          <w:tcPr>
            <w:tcW w:w="1245"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1207"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860" w:type="dxa"/>
          </w:tcPr>
          <w:p>
            <w:pPr>
              <w:rPr>
                <w:rFonts w:ascii="宋体" w:hAnsi="宋体"/>
                <w:color w:val="auto"/>
                <w:sz w:val="24"/>
                <w:highlight w:val="none"/>
              </w:rPr>
            </w:pPr>
          </w:p>
        </w:tc>
        <w:tc>
          <w:tcPr>
            <w:tcW w:w="773" w:type="dxa"/>
          </w:tcPr>
          <w:p>
            <w:pPr>
              <w:rPr>
                <w:rFonts w:ascii="宋体" w:hAnsi="宋体"/>
                <w:color w:val="auto"/>
                <w:sz w:val="24"/>
                <w:highlight w:val="none"/>
              </w:rPr>
            </w:pPr>
          </w:p>
        </w:tc>
        <w:tc>
          <w:tcPr>
            <w:tcW w:w="1555" w:type="dxa"/>
          </w:tcPr>
          <w:p>
            <w:pPr>
              <w:rPr>
                <w:rFonts w:ascii="宋体" w:hAnsi="宋体"/>
                <w:color w:val="auto"/>
                <w:sz w:val="24"/>
                <w:highlight w:val="none"/>
              </w:rPr>
            </w:pPr>
          </w:p>
        </w:tc>
        <w:tc>
          <w:tcPr>
            <w:tcW w:w="1065" w:type="dxa"/>
          </w:tcPr>
          <w:p>
            <w:pPr>
              <w:rPr>
                <w:rFonts w:ascii="宋体" w:hAnsi="宋体"/>
                <w:color w:val="auto"/>
                <w:sz w:val="24"/>
                <w:highlight w:val="none"/>
              </w:rPr>
            </w:pPr>
          </w:p>
        </w:tc>
        <w:tc>
          <w:tcPr>
            <w:tcW w:w="1245"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1207"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860" w:type="dxa"/>
          </w:tcPr>
          <w:p>
            <w:pPr>
              <w:rPr>
                <w:rFonts w:ascii="宋体" w:hAnsi="宋体"/>
                <w:color w:val="auto"/>
                <w:sz w:val="24"/>
                <w:highlight w:val="none"/>
              </w:rPr>
            </w:pPr>
          </w:p>
        </w:tc>
        <w:tc>
          <w:tcPr>
            <w:tcW w:w="773" w:type="dxa"/>
          </w:tcPr>
          <w:p>
            <w:pPr>
              <w:rPr>
                <w:rFonts w:ascii="宋体" w:hAnsi="宋体"/>
                <w:color w:val="auto"/>
                <w:sz w:val="24"/>
                <w:highlight w:val="none"/>
              </w:rPr>
            </w:pPr>
          </w:p>
        </w:tc>
        <w:tc>
          <w:tcPr>
            <w:tcW w:w="1555" w:type="dxa"/>
          </w:tcPr>
          <w:p>
            <w:pPr>
              <w:rPr>
                <w:rFonts w:ascii="宋体" w:hAnsi="宋体"/>
                <w:color w:val="auto"/>
                <w:sz w:val="24"/>
                <w:highlight w:val="none"/>
              </w:rPr>
            </w:pPr>
          </w:p>
        </w:tc>
        <w:tc>
          <w:tcPr>
            <w:tcW w:w="1065" w:type="dxa"/>
          </w:tcPr>
          <w:p>
            <w:pPr>
              <w:rPr>
                <w:rFonts w:ascii="宋体" w:hAnsi="宋体"/>
                <w:color w:val="auto"/>
                <w:sz w:val="24"/>
                <w:highlight w:val="none"/>
              </w:rPr>
            </w:pPr>
          </w:p>
        </w:tc>
        <w:tc>
          <w:tcPr>
            <w:tcW w:w="1245"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1207"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860" w:type="dxa"/>
          </w:tcPr>
          <w:p>
            <w:pPr>
              <w:rPr>
                <w:rFonts w:ascii="宋体" w:hAnsi="宋体"/>
                <w:color w:val="auto"/>
                <w:sz w:val="24"/>
                <w:highlight w:val="none"/>
              </w:rPr>
            </w:pPr>
          </w:p>
        </w:tc>
        <w:tc>
          <w:tcPr>
            <w:tcW w:w="773" w:type="dxa"/>
          </w:tcPr>
          <w:p>
            <w:pPr>
              <w:rPr>
                <w:rFonts w:ascii="宋体" w:hAnsi="宋体"/>
                <w:color w:val="auto"/>
                <w:sz w:val="24"/>
                <w:highlight w:val="none"/>
              </w:rPr>
            </w:pPr>
          </w:p>
        </w:tc>
        <w:tc>
          <w:tcPr>
            <w:tcW w:w="1555" w:type="dxa"/>
          </w:tcPr>
          <w:p>
            <w:pPr>
              <w:rPr>
                <w:rFonts w:ascii="宋体" w:hAnsi="宋体"/>
                <w:color w:val="auto"/>
                <w:sz w:val="24"/>
                <w:highlight w:val="none"/>
              </w:rPr>
            </w:pPr>
          </w:p>
        </w:tc>
        <w:tc>
          <w:tcPr>
            <w:tcW w:w="1065" w:type="dxa"/>
          </w:tcPr>
          <w:p>
            <w:pPr>
              <w:rPr>
                <w:rFonts w:ascii="宋体" w:hAnsi="宋体"/>
                <w:color w:val="auto"/>
                <w:sz w:val="24"/>
                <w:highlight w:val="none"/>
              </w:rPr>
            </w:pPr>
          </w:p>
        </w:tc>
        <w:tc>
          <w:tcPr>
            <w:tcW w:w="1245"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1207"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860" w:type="dxa"/>
          </w:tcPr>
          <w:p>
            <w:pPr>
              <w:rPr>
                <w:rFonts w:ascii="宋体" w:hAnsi="宋体"/>
                <w:color w:val="auto"/>
                <w:sz w:val="24"/>
                <w:highlight w:val="none"/>
              </w:rPr>
            </w:pPr>
          </w:p>
        </w:tc>
        <w:tc>
          <w:tcPr>
            <w:tcW w:w="773" w:type="dxa"/>
          </w:tcPr>
          <w:p>
            <w:pPr>
              <w:rPr>
                <w:rFonts w:ascii="宋体" w:hAnsi="宋体"/>
                <w:color w:val="auto"/>
                <w:sz w:val="24"/>
                <w:highlight w:val="none"/>
              </w:rPr>
            </w:pPr>
          </w:p>
        </w:tc>
        <w:tc>
          <w:tcPr>
            <w:tcW w:w="1555" w:type="dxa"/>
          </w:tcPr>
          <w:p>
            <w:pPr>
              <w:rPr>
                <w:rFonts w:ascii="宋体" w:hAnsi="宋体"/>
                <w:color w:val="auto"/>
                <w:sz w:val="24"/>
                <w:highlight w:val="none"/>
              </w:rPr>
            </w:pPr>
          </w:p>
        </w:tc>
        <w:tc>
          <w:tcPr>
            <w:tcW w:w="1065" w:type="dxa"/>
          </w:tcPr>
          <w:p>
            <w:pPr>
              <w:rPr>
                <w:rFonts w:ascii="宋体" w:hAnsi="宋体"/>
                <w:color w:val="auto"/>
                <w:sz w:val="24"/>
                <w:highlight w:val="none"/>
              </w:rPr>
            </w:pPr>
          </w:p>
        </w:tc>
        <w:tc>
          <w:tcPr>
            <w:tcW w:w="1245"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1207"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860" w:type="dxa"/>
          </w:tcPr>
          <w:p>
            <w:pPr>
              <w:rPr>
                <w:rFonts w:ascii="宋体" w:hAnsi="宋体"/>
                <w:color w:val="auto"/>
                <w:sz w:val="24"/>
                <w:highlight w:val="none"/>
              </w:rPr>
            </w:pPr>
          </w:p>
        </w:tc>
        <w:tc>
          <w:tcPr>
            <w:tcW w:w="773" w:type="dxa"/>
          </w:tcPr>
          <w:p>
            <w:pPr>
              <w:rPr>
                <w:rFonts w:ascii="宋体" w:hAnsi="宋体"/>
                <w:color w:val="auto"/>
                <w:sz w:val="24"/>
                <w:highlight w:val="none"/>
              </w:rPr>
            </w:pPr>
          </w:p>
        </w:tc>
        <w:tc>
          <w:tcPr>
            <w:tcW w:w="1555" w:type="dxa"/>
          </w:tcPr>
          <w:p>
            <w:pPr>
              <w:rPr>
                <w:rFonts w:ascii="宋体" w:hAnsi="宋体"/>
                <w:color w:val="auto"/>
                <w:sz w:val="24"/>
                <w:highlight w:val="none"/>
              </w:rPr>
            </w:pPr>
          </w:p>
        </w:tc>
        <w:tc>
          <w:tcPr>
            <w:tcW w:w="1065" w:type="dxa"/>
          </w:tcPr>
          <w:p>
            <w:pPr>
              <w:rPr>
                <w:rFonts w:ascii="宋体" w:hAnsi="宋体"/>
                <w:color w:val="auto"/>
                <w:sz w:val="24"/>
                <w:highlight w:val="none"/>
              </w:rPr>
            </w:pPr>
          </w:p>
        </w:tc>
        <w:tc>
          <w:tcPr>
            <w:tcW w:w="1245"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1207"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860" w:type="dxa"/>
          </w:tcPr>
          <w:p>
            <w:pPr>
              <w:rPr>
                <w:rFonts w:ascii="宋体" w:hAnsi="宋体"/>
                <w:color w:val="auto"/>
                <w:sz w:val="24"/>
                <w:highlight w:val="none"/>
              </w:rPr>
            </w:pPr>
          </w:p>
        </w:tc>
        <w:tc>
          <w:tcPr>
            <w:tcW w:w="773" w:type="dxa"/>
          </w:tcPr>
          <w:p>
            <w:pPr>
              <w:rPr>
                <w:rFonts w:ascii="宋体" w:hAnsi="宋体"/>
                <w:color w:val="auto"/>
                <w:sz w:val="24"/>
                <w:highlight w:val="none"/>
              </w:rPr>
            </w:pPr>
          </w:p>
        </w:tc>
        <w:tc>
          <w:tcPr>
            <w:tcW w:w="1555" w:type="dxa"/>
          </w:tcPr>
          <w:p>
            <w:pPr>
              <w:rPr>
                <w:rFonts w:ascii="宋体" w:hAnsi="宋体"/>
                <w:color w:val="auto"/>
                <w:sz w:val="24"/>
                <w:highlight w:val="none"/>
              </w:rPr>
            </w:pPr>
          </w:p>
        </w:tc>
        <w:tc>
          <w:tcPr>
            <w:tcW w:w="1065" w:type="dxa"/>
          </w:tcPr>
          <w:p>
            <w:pPr>
              <w:rPr>
                <w:rFonts w:ascii="宋体" w:hAnsi="宋体"/>
                <w:color w:val="auto"/>
                <w:sz w:val="24"/>
                <w:highlight w:val="none"/>
              </w:rPr>
            </w:pPr>
          </w:p>
        </w:tc>
        <w:tc>
          <w:tcPr>
            <w:tcW w:w="1245"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1207"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860" w:type="dxa"/>
          </w:tcPr>
          <w:p>
            <w:pPr>
              <w:rPr>
                <w:rFonts w:ascii="宋体" w:hAnsi="宋体"/>
                <w:color w:val="auto"/>
                <w:sz w:val="24"/>
                <w:highlight w:val="none"/>
              </w:rPr>
            </w:pPr>
          </w:p>
        </w:tc>
        <w:tc>
          <w:tcPr>
            <w:tcW w:w="773" w:type="dxa"/>
          </w:tcPr>
          <w:p>
            <w:pPr>
              <w:rPr>
                <w:rFonts w:ascii="宋体" w:hAnsi="宋体"/>
                <w:color w:val="auto"/>
                <w:sz w:val="24"/>
                <w:highlight w:val="none"/>
              </w:rPr>
            </w:pPr>
          </w:p>
        </w:tc>
        <w:tc>
          <w:tcPr>
            <w:tcW w:w="1555" w:type="dxa"/>
          </w:tcPr>
          <w:p>
            <w:pPr>
              <w:rPr>
                <w:rFonts w:ascii="宋体" w:hAnsi="宋体"/>
                <w:color w:val="auto"/>
                <w:sz w:val="24"/>
                <w:highlight w:val="none"/>
              </w:rPr>
            </w:pPr>
          </w:p>
        </w:tc>
        <w:tc>
          <w:tcPr>
            <w:tcW w:w="1065" w:type="dxa"/>
          </w:tcPr>
          <w:p>
            <w:pPr>
              <w:rPr>
                <w:rFonts w:ascii="宋体" w:hAnsi="宋体"/>
                <w:color w:val="auto"/>
                <w:sz w:val="24"/>
                <w:highlight w:val="none"/>
              </w:rPr>
            </w:pPr>
          </w:p>
        </w:tc>
        <w:tc>
          <w:tcPr>
            <w:tcW w:w="1245"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1207"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860" w:type="dxa"/>
          </w:tcPr>
          <w:p>
            <w:pPr>
              <w:rPr>
                <w:rFonts w:ascii="宋体" w:hAnsi="宋体"/>
                <w:color w:val="auto"/>
                <w:sz w:val="24"/>
                <w:highlight w:val="none"/>
              </w:rPr>
            </w:pPr>
          </w:p>
        </w:tc>
        <w:tc>
          <w:tcPr>
            <w:tcW w:w="773" w:type="dxa"/>
          </w:tcPr>
          <w:p>
            <w:pPr>
              <w:rPr>
                <w:rFonts w:ascii="宋体" w:hAnsi="宋体"/>
                <w:color w:val="auto"/>
                <w:sz w:val="24"/>
                <w:highlight w:val="none"/>
              </w:rPr>
            </w:pPr>
          </w:p>
        </w:tc>
        <w:tc>
          <w:tcPr>
            <w:tcW w:w="1555" w:type="dxa"/>
          </w:tcPr>
          <w:p>
            <w:pPr>
              <w:rPr>
                <w:rFonts w:ascii="宋体" w:hAnsi="宋体"/>
                <w:color w:val="auto"/>
                <w:sz w:val="24"/>
                <w:highlight w:val="none"/>
              </w:rPr>
            </w:pPr>
          </w:p>
        </w:tc>
        <w:tc>
          <w:tcPr>
            <w:tcW w:w="1065" w:type="dxa"/>
          </w:tcPr>
          <w:p>
            <w:pPr>
              <w:rPr>
                <w:rFonts w:ascii="宋体" w:hAnsi="宋体"/>
                <w:color w:val="auto"/>
                <w:sz w:val="24"/>
                <w:highlight w:val="none"/>
              </w:rPr>
            </w:pPr>
          </w:p>
        </w:tc>
        <w:tc>
          <w:tcPr>
            <w:tcW w:w="1245"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1207"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860" w:type="dxa"/>
          </w:tcPr>
          <w:p>
            <w:pPr>
              <w:rPr>
                <w:rFonts w:ascii="宋体" w:hAnsi="宋体"/>
                <w:color w:val="auto"/>
                <w:sz w:val="24"/>
                <w:highlight w:val="none"/>
              </w:rPr>
            </w:pPr>
          </w:p>
        </w:tc>
        <w:tc>
          <w:tcPr>
            <w:tcW w:w="773" w:type="dxa"/>
          </w:tcPr>
          <w:p>
            <w:pPr>
              <w:rPr>
                <w:rFonts w:ascii="宋体" w:hAnsi="宋体"/>
                <w:color w:val="auto"/>
                <w:sz w:val="24"/>
                <w:highlight w:val="none"/>
              </w:rPr>
            </w:pPr>
          </w:p>
        </w:tc>
        <w:tc>
          <w:tcPr>
            <w:tcW w:w="1555" w:type="dxa"/>
          </w:tcPr>
          <w:p>
            <w:pPr>
              <w:rPr>
                <w:rFonts w:ascii="宋体" w:hAnsi="宋体"/>
                <w:color w:val="auto"/>
                <w:sz w:val="24"/>
                <w:highlight w:val="none"/>
              </w:rPr>
            </w:pPr>
          </w:p>
        </w:tc>
        <w:tc>
          <w:tcPr>
            <w:tcW w:w="1065" w:type="dxa"/>
          </w:tcPr>
          <w:p>
            <w:pPr>
              <w:rPr>
                <w:rFonts w:ascii="宋体" w:hAnsi="宋体"/>
                <w:color w:val="auto"/>
                <w:sz w:val="24"/>
                <w:highlight w:val="none"/>
              </w:rPr>
            </w:pPr>
          </w:p>
        </w:tc>
        <w:tc>
          <w:tcPr>
            <w:tcW w:w="1245"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1207" w:type="dxa"/>
          </w:tcPr>
          <w:p>
            <w:pPr>
              <w:rPr>
                <w:rFonts w:ascii="宋体" w:hAnsi="宋体"/>
                <w:color w:val="auto"/>
                <w:sz w:val="24"/>
                <w:highlight w:val="none"/>
              </w:rPr>
            </w:pPr>
          </w:p>
        </w:tc>
        <w:tc>
          <w:tcPr>
            <w:tcW w:w="686" w:type="dxa"/>
          </w:tcPr>
          <w:p>
            <w:pPr>
              <w:rPr>
                <w:rFonts w:ascii="宋体" w:hAnsi="宋体"/>
                <w:color w:val="auto"/>
                <w:sz w:val="24"/>
                <w:highlight w:val="none"/>
              </w:rPr>
            </w:pPr>
          </w:p>
        </w:tc>
        <w:tc>
          <w:tcPr>
            <w:tcW w:w="860" w:type="dxa"/>
          </w:tcPr>
          <w:p>
            <w:pPr>
              <w:rPr>
                <w:rFonts w:ascii="宋体" w:hAnsi="宋体"/>
                <w:color w:val="auto"/>
                <w:sz w:val="24"/>
                <w:highlight w:val="none"/>
              </w:rPr>
            </w:pPr>
          </w:p>
        </w:tc>
        <w:tc>
          <w:tcPr>
            <w:tcW w:w="773" w:type="dxa"/>
          </w:tcPr>
          <w:p>
            <w:pPr>
              <w:rPr>
                <w:rFonts w:ascii="宋体" w:hAnsi="宋体"/>
                <w:color w:val="auto"/>
                <w:sz w:val="24"/>
                <w:highlight w:val="none"/>
              </w:rPr>
            </w:pPr>
          </w:p>
        </w:tc>
        <w:tc>
          <w:tcPr>
            <w:tcW w:w="1555" w:type="dxa"/>
          </w:tcPr>
          <w:p>
            <w:pPr>
              <w:rPr>
                <w:rFonts w:ascii="宋体" w:hAnsi="宋体"/>
                <w:color w:val="auto"/>
                <w:sz w:val="24"/>
                <w:highlight w:val="none"/>
              </w:rPr>
            </w:pPr>
          </w:p>
        </w:tc>
        <w:tc>
          <w:tcPr>
            <w:tcW w:w="1065" w:type="dxa"/>
          </w:tcPr>
          <w:p>
            <w:pPr>
              <w:rPr>
                <w:rFonts w:ascii="宋体" w:hAnsi="宋体"/>
                <w:color w:val="auto"/>
                <w:sz w:val="24"/>
                <w:highlight w:val="none"/>
              </w:rPr>
            </w:pPr>
          </w:p>
        </w:tc>
        <w:tc>
          <w:tcPr>
            <w:tcW w:w="1245"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453" w:type="dxa"/>
            <w:gridSpan w:val="10"/>
          </w:tcPr>
          <w:p>
            <w:pPr>
              <w:ind w:firstLine="360"/>
              <w:rPr>
                <w:rFonts w:ascii="宋体" w:hAnsi="宋体"/>
                <w:color w:val="auto"/>
                <w:sz w:val="24"/>
                <w:highlight w:val="none"/>
              </w:rPr>
            </w:pPr>
            <w:r>
              <w:rPr>
                <w:rFonts w:hint="eastAsia" w:ascii="宋体" w:hAnsi="宋体"/>
                <w:color w:val="auto"/>
                <w:sz w:val="24"/>
                <w:highlight w:val="none"/>
              </w:rPr>
              <w:t xml:space="preserve">一旦我单位中标，将实行项目总监负责制，我方保证并配备上述项目监理机构。上述填报内容真实，若不真实，愿按有关规定接受处理。项目管理班子机构设置、职责分工等情况另附资料说明。             </w:t>
            </w:r>
          </w:p>
        </w:tc>
      </w:tr>
    </w:tbl>
    <w:p>
      <w:pPr>
        <w:rPr>
          <w:rFonts w:ascii="宋体" w:hAnsi="宋体"/>
          <w:color w:val="auto"/>
          <w:highlight w:val="none"/>
        </w:rPr>
      </w:pPr>
    </w:p>
    <w:p>
      <w:pPr>
        <w:rPr>
          <w:rFonts w:ascii="宋体" w:hAnsi="宋体"/>
          <w:color w:val="auto"/>
          <w:highlight w:val="none"/>
        </w:rPr>
      </w:pPr>
    </w:p>
    <w:p>
      <w:pPr>
        <w:pStyle w:val="5"/>
        <w:ind w:firstLine="480" w:firstLineChars="150"/>
        <w:outlineLvl w:val="2"/>
        <w:rPr>
          <w:rFonts w:ascii="宋体" w:hAnsi="宋体"/>
          <w:b w:val="0"/>
          <w:bCs w:val="0"/>
          <w:color w:val="auto"/>
          <w:sz w:val="32"/>
          <w:highlight w:val="none"/>
        </w:rPr>
      </w:pPr>
      <w:r>
        <w:rPr>
          <w:rFonts w:ascii="宋体" w:hAnsi="宋体"/>
          <w:b w:val="0"/>
          <w:bCs w:val="0"/>
          <w:color w:val="auto"/>
          <w:sz w:val="32"/>
          <w:highlight w:val="none"/>
        </w:rPr>
        <w:br w:type="page"/>
      </w:r>
      <w:bookmarkStart w:id="841" w:name="_Toc22610"/>
      <w:bookmarkStart w:id="842" w:name="_Toc10581"/>
      <w:bookmarkStart w:id="843" w:name="_Toc16251"/>
      <w:bookmarkStart w:id="844" w:name="_Toc1167"/>
      <w:bookmarkStart w:id="845" w:name="_Toc26376"/>
      <w:r>
        <w:rPr>
          <w:rFonts w:hint="eastAsia" w:ascii="宋体" w:hAnsi="宋体"/>
          <w:color w:val="auto"/>
          <w:sz w:val="32"/>
          <w:highlight w:val="none"/>
        </w:rPr>
        <w:t>2、项目总监简历表</w:t>
      </w:r>
      <w:bookmarkEnd w:id="841"/>
      <w:bookmarkEnd w:id="842"/>
      <w:bookmarkEnd w:id="843"/>
      <w:bookmarkEnd w:id="844"/>
      <w:bookmarkEnd w:id="84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760"/>
        <w:gridCol w:w="920"/>
        <w:gridCol w:w="185"/>
        <w:gridCol w:w="695"/>
        <w:gridCol w:w="145"/>
        <w:gridCol w:w="555"/>
        <w:gridCol w:w="1125"/>
        <w:gridCol w:w="435"/>
        <w:gridCol w:w="645"/>
        <w:gridCol w:w="40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2610" w:type="dxa"/>
            <w:gridSpan w:val="4"/>
            <w:vAlign w:val="center"/>
          </w:tcPr>
          <w:p>
            <w:pPr>
              <w:jc w:val="center"/>
              <w:rPr>
                <w:rFonts w:ascii="宋体" w:hAnsi="宋体"/>
                <w:color w:val="auto"/>
                <w:sz w:val="24"/>
                <w:highlight w:val="none"/>
              </w:rPr>
            </w:pPr>
          </w:p>
        </w:tc>
        <w:tc>
          <w:tcPr>
            <w:tcW w:w="84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性别</w:t>
            </w:r>
          </w:p>
        </w:tc>
        <w:tc>
          <w:tcPr>
            <w:tcW w:w="1680" w:type="dxa"/>
            <w:gridSpan w:val="2"/>
            <w:vAlign w:val="center"/>
          </w:tcPr>
          <w:p>
            <w:pPr>
              <w:jc w:val="center"/>
              <w:rPr>
                <w:rFonts w:ascii="宋体" w:hAnsi="宋体"/>
                <w:color w:val="auto"/>
                <w:sz w:val="24"/>
                <w:highlight w:val="none"/>
              </w:rPr>
            </w:pPr>
          </w:p>
        </w:tc>
        <w:tc>
          <w:tcPr>
            <w:tcW w:w="10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年龄</w:t>
            </w:r>
          </w:p>
        </w:tc>
        <w:tc>
          <w:tcPr>
            <w:tcW w:w="1800"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jc w:val="center"/>
              <w:rPr>
                <w:rFonts w:ascii="宋体" w:hAnsi="宋体"/>
                <w:color w:val="auto"/>
                <w:sz w:val="24"/>
                <w:highlight w:val="none"/>
              </w:rPr>
            </w:pPr>
            <w:r>
              <w:rPr>
                <w:rFonts w:hint="eastAsia" w:ascii="宋体" w:hAnsi="宋体"/>
                <w:color w:val="auto"/>
                <w:sz w:val="24"/>
                <w:highlight w:val="none"/>
              </w:rPr>
              <w:t>职务</w:t>
            </w:r>
          </w:p>
        </w:tc>
        <w:tc>
          <w:tcPr>
            <w:tcW w:w="2610" w:type="dxa"/>
            <w:gridSpan w:val="4"/>
            <w:vAlign w:val="center"/>
          </w:tcPr>
          <w:p>
            <w:pPr>
              <w:jc w:val="center"/>
              <w:rPr>
                <w:rFonts w:ascii="宋体" w:hAnsi="宋体"/>
                <w:color w:val="auto"/>
                <w:sz w:val="24"/>
                <w:highlight w:val="none"/>
              </w:rPr>
            </w:pPr>
          </w:p>
        </w:tc>
        <w:tc>
          <w:tcPr>
            <w:tcW w:w="84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职称</w:t>
            </w:r>
          </w:p>
        </w:tc>
        <w:tc>
          <w:tcPr>
            <w:tcW w:w="1680" w:type="dxa"/>
            <w:gridSpan w:val="2"/>
            <w:vAlign w:val="center"/>
          </w:tcPr>
          <w:p>
            <w:pPr>
              <w:jc w:val="center"/>
              <w:rPr>
                <w:rFonts w:ascii="宋体" w:hAnsi="宋体"/>
                <w:color w:val="auto"/>
                <w:sz w:val="24"/>
                <w:highlight w:val="none"/>
              </w:rPr>
            </w:pPr>
          </w:p>
        </w:tc>
        <w:tc>
          <w:tcPr>
            <w:tcW w:w="10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学历</w:t>
            </w:r>
          </w:p>
        </w:tc>
        <w:tc>
          <w:tcPr>
            <w:tcW w:w="1800"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4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参加工作时间</w:t>
            </w:r>
          </w:p>
        </w:tc>
        <w:tc>
          <w:tcPr>
            <w:tcW w:w="1800" w:type="dxa"/>
            <w:gridSpan w:val="3"/>
            <w:vAlign w:val="center"/>
          </w:tcPr>
          <w:p>
            <w:pPr>
              <w:jc w:val="center"/>
              <w:rPr>
                <w:rFonts w:ascii="宋体" w:hAnsi="宋体"/>
                <w:color w:val="auto"/>
                <w:sz w:val="24"/>
                <w:highlight w:val="none"/>
              </w:rPr>
            </w:pPr>
          </w:p>
        </w:tc>
        <w:tc>
          <w:tcPr>
            <w:tcW w:w="3310" w:type="dxa"/>
            <w:gridSpan w:val="6"/>
            <w:vAlign w:val="center"/>
          </w:tcPr>
          <w:p>
            <w:pPr>
              <w:jc w:val="center"/>
              <w:rPr>
                <w:rFonts w:ascii="宋体" w:hAnsi="宋体"/>
                <w:color w:val="auto"/>
                <w:sz w:val="24"/>
                <w:highlight w:val="none"/>
              </w:rPr>
            </w:pPr>
            <w:r>
              <w:rPr>
                <w:rFonts w:hint="eastAsia" w:ascii="宋体" w:hAnsi="宋体"/>
                <w:color w:val="auto"/>
                <w:sz w:val="24"/>
                <w:highlight w:val="none"/>
              </w:rPr>
              <w:t>监理工程师资格证书编号</w:t>
            </w: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3"/>
            <w:vAlign w:val="center"/>
          </w:tcPr>
          <w:p>
            <w:pPr>
              <w:jc w:val="center"/>
              <w:rPr>
                <w:rFonts w:ascii="宋体" w:hAnsi="宋体"/>
                <w:color w:val="auto"/>
                <w:sz w:val="24"/>
                <w:highlight w:val="none"/>
              </w:rPr>
            </w:pPr>
            <w:r>
              <w:rPr>
                <w:rFonts w:hint="eastAsia" w:ascii="宋体" w:hAnsi="宋体"/>
                <w:color w:val="auto"/>
                <w:sz w:val="24"/>
                <w:highlight w:val="none"/>
              </w:rPr>
              <w:t>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建设单位</w:t>
            </w:r>
          </w:p>
        </w:tc>
        <w:tc>
          <w:tcPr>
            <w:tcW w:w="16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项目名称</w:t>
            </w:r>
          </w:p>
        </w:tc>
        <w:tc>
          <w:tcPr>
            <w:tcW w:w="1580"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建设规模</w:t>
            </w:r>
          </w:p>
        </w:tc>
        <w:tc>
          <w:tcPr>
            <w:tcW w:w="156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开、竣工</w:t>
            </w:r>
          </w:p>
          <w:p>
            <w:pPr>
              <w:jc w:val="center"/>
              <w:rPr>
                <w:rFonts w:ascii="宋体" w:hAnsi="宋体"/>
                <w:color w:val="auto"/>
                <w:sz w:val="24"/>
                <w:highlight w:val="none"/>
              </w:rPr>
            </w:pPr>
            <w:r>
              <w:rPr>
                <w:rFonts w:hint="eastAsia" w:ascii="宋体" w:hAnsi="宋体"/>
                <w:color w:val="auto"/>
                <w:sz w:val="24"/>
                <w:highlight w:val="none"/>
              </w:rPr>
              <w:t>日期</w:t>
            </w:r>
          </w:p>
        </w:tc>
        <w:tc>
          <w:tcPr>
            <w:tcW w:w="105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在建或已 完</w:t>
            </w:r>
          </w:p>
        </w:tc>
        <w:tc>
          <w:tcPr>
            <w:tcW w:w="1395" w:type="dxa"/>
            <w:vAlign w:val="center"/>
          </w:tcPr>
          <w:p>
            <w:pPr>
              <w:jc w:val="center"/>
              <w:rPr>
                <w:rFonts w:ascii="宋体" w:hAnsi="宋体"/>
                <w:color w:val="auto"/>
                <w:sz w:val="24"/>
                <w:highlight w:val="none"/>
              </w:rPr>
            </w:pPr>
            <w:r>
              <w:rPr>
                <w:rFonts w:hint="eastAsia" w:ascii="宋体" w:hAnsi="宋体"/>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bl>
    <w:p>
      <w:pPr>
        <w:rPr>
          <w:rFonts w:ascii="宋体" w:hAnsi="宋体"/>
          <w:color w:val="auto"/>
          <w:highlight w:val="none"/>
        </w:rPr>
      </w:pPr>
    </w:p>
    <w:p>
      <w:pPr>
        <w:pStyle w:val="5"/>
        <w:ind w:firstLine="320" w:firstLineChars="100"/>
        <w:outlineLvl w:val="2"/>
        <w:rPr>
          <w:rFonts w:ascii="宋体" w:hAnsi="宋体"/>
          <w:b w:val="0"/>
          <w:bCs w:val="0"/>
          <w:color w:val="auto"/>
          <w:sz w:val="32"/>
          <w:highlight w:val="none"/>
        </w:rPr>
      </w:pPr>
      <w:r>
        <w:rPr>
          <w:rFonts w:ascii="宋体" w:hAnsi="宋体"/>
          <w:b w:val="0"/>
          <w:bCs w:val="0"/>
          <w:color w:val="auto"/>
          <w:sz w:val="32"/>
          <w:highlight w:val="none"/>
        </w:rPr>
        <w:br w:type="page"/>
      </w:r>
      <w:bookmarkStart w:id="846" w:name="_Toc28745"/>
      <w:bookmarkStart w:id="847" w:name="_Toc26667"/>
      <w:bookmarkStart w:id="848" w:name="_Toc25086"/>
      <w:bookmarkStart w:id="849" w:name="_Toc32218"/>
      <w:bookmarkStart w:id="850" w:name="_Toc26581"/>
      <w:r>
        <w:rPr>
          <w:rFonts w:hint="eastAsia" w:ascii="宋体" w:hAnsi="宋体"/>
          <w:color w:val="auto"/>
          <w:sz w:val="32"/>
          <w:highlight w:val="none"/>
        </w:rPr>
        <w:t>3、项目总监代表简历表</w:t>
      </w:r>
      <w:bookmarkEnd w:id="846"/>
      <w:bookmarkEnd w:id="847"/>
      <w:bookmarkEnd w:id="848"/>
      <w:bookmarkEnd w:id="849"/>
      <w:bookmarkEnd w:id="850"/>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435"/>
        <w:gridCol w:w="645"/>
        <w:gridCol w:w="40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2610" w:type="dxa"/>
            <w:gridSpan w:val="4"/>
            <w:vAlign w:val="center"/>
          </w:tcPr>
          <w:p>
            <w:pPr>
              <w:jc w:val="center"/>
              <w:rPr>
                <w:rFonts w:ascii="宋体" w:hAnsi="宋体"/>
                <w:color w:val="auto"/>
                <w:sz w:val="24"/>
                <w:highlight w:val="none"/>
              </w:rPr>
            </w:pPr>
          </w:p>
        </w:tc>
        <w:tc>
          <w:tcPr>
            <w:tcW w:w="840" w:type="dxa"/>
            <w:vAlign w:val="center"/>
          </w:tcPr>
          <w:p>
            <w:pPr>
              <w:jc w:val="center"/>
              <w:rPr>
                <w:rFonts w:ascii="宋体" w:hAnsi="宋体"/>
                <w:color w:val="auto"/>
                <w:sz w:val="24"/>
                <w:highlight w:val="none"/>
              </w:rPr>
            </w:pPr>
            <w:r>
              <w:rPr>
                <w:rFonts w:hint="eastAsia" w:ascii="宋体" w:hAnsi="宋体"/>
                <w:color w:val="auto"/>
                <w:sz w:val="24"/>
                <w:highlight w:val="none"/>
              </w:rPr>
              <w:t>性别</w:t>
            </w:r>
          </w:p>
        </w:tc>
        <w:tc>
          <w:tcPr>
            <w:tcW w:w="1680" w:type="dxa"/>
            <w:gridSpan w:val="3"/>
            <w:vAlign w:val="center"/>
          </w:tcPr>
          <w:p>
            <w:pPr>
              <w:jc w:val="center"/>
              <w:rPr>
                <w:rFonts w:ascii="宋体" w:hAnsi="宋体"/>
                <w:color w:val="auto"/>
                <w:sz w:val="24"/>
                <w:highlight w:val="none"/>
              </w:rPr>
            </w:pPr>
          </w:p>
        </w:tc>
        <w:tc>
          <w:tcPr>
            <w:tcW w:w="10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年龄</w:t>
            </w:r>
          </w:p>
        </w:tc>
        <w:tc>
          <w:tcPr>
            <w:tcW w:w="1800"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jc w:val="center"/>
              <w:rPr>
                <w:rFonts w:ascii="宋体" w:hAnsi="宋体"/>
                <w:color w:val="auto"/>
                <w:sz w:val="24"/>
                <w:highlight w:val="none"/>
              </w:rPr>
            </w:pPr>
            <w:r>
              <w:rPr>
                <w:rFonts w:hint="eastAsia" w:ascii="宋体" w:hAnsi="宋体"/>
                <w:color w:val="auto"/>
                <w:sz w:val="24"/>
                <w:highlight w:val="none"/>
              </w:rPr>
              <w:t>职务</w:t>
            </w:r>
          </w:p>
        </w:tc>
        <w:tc>
          <w:tcPr>
            <w:tcW w:w="2610" w:type="dxa"/>
            <w:gridSpan w:val="4"/>
            <w:vAlign w:val="center"/>
          </w:tcPr>
          <w:p>
            <w:pPr>
              <w:jc w:val="center"/>
              <w:rPr>
                <w:rFonts w:ascii="宋体" w:hAnsi="宋体"/>
                <w:color w:val="auto"/>
                <w:sz w:val="24"/>
                <w:highlight w:val="none"/>
              </w:rPr>
            </w:pPr>
          </w:p>
        </w:tc>
        <w:tc>
          <w:tcPr>
            <w:tcW w:w="840" w:type="dxa"/>
            <w:vAlign w:val="center"/>
          </w:tcPr>
          <w:p>
            <w:pPr>
              <w:jc w:val="center"/>
              <w:rPr>
                <w:rFonts w:ascii="宋体" w:hAnsi="宋体"/>
                <w:color w:val="auto"/>
                <w:sz w:val="24"/>
                <w:highlight w:val="none"/>
              </w:rPr>
            </w:pPr>
            <w:r>
              <w:rPr>
                <w:rFonts w:hint="eastAsia" w:ascii="宋体" w:hAnsi="宋体"/>
                <w:color w:val="auto"/>
                <w:sz w:val="24"/>
                <w:highlight w:val="none"/>
              </w:rPr>
              <w:t>职称</w:t>
            </w:r>
          </w:p>
        </w:tc>
        <w:tc>
          <w:tcPr>
            <w:tcW w:w="1680" w:type="dxa"/>
            <w:gridSpan w:val="3"/>
            <w:vAlign w:val="center"/>
          </w:tcPr>
          <w:p>
            <w:pPr>
              <w:jc w:val="center"/>
              <w:rPr>
                <w:rFonts w:ascii="宋体" w:hAnsi="宋体"/>
                <w:color w:val="auto"/>
                <w:sz w:val="24"/>
                <w:highlight w:val="none"/>
              </w:rPr>
            </w:pPr>
          </w:p>
        </w:tc>
        <w:tc>
          <w:tcPr>
            <w:tcW w:w="10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学历</w:t>
            </w:r>
          </w:p>
        </w:tc>
        <w:tc>
          <w:tcPr>
            <w:tcW w:w="1800"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参加工作时间</w:t>
            </w:r>
          </w:p>
        </w:tc>
        <w:tc>
          <w:tcPr>
            <w:tcW w:w="1890" w:type="dxa"/>
            <w:gridSpan w:val="4"/>
            <w:vAlign w:val="center"/>
          </w:tcPr>
          <w:p>
            <w:pPr>
              <w:jc w:val="center"/>
              <w:rPr>
                <w:rFonts w:ascii="宋体" w:hAnsi="宋体"/>
                <w:color w:val="auto"/>
                <w:sz w:val="24"/>
                <w:highlight w:val="none"/>
              </w:rPr>
            </w:pPr>
          </w:p>
        </w:tc>
        <w:tc>
          <w:tcPr>
            <w:tcW w:w="2625" w:type="dxa"/>
            <w:gridSpan w:val="5"/>
            <w:vAlign w:val="center"/>
          </w:tcPr>
          <w:p>
            <w:pPr>
              <w:jc w:val="center"/>
              <w:rPr>
                <w:rFonts w:ascii="宋体" w:hAnsi="宋体"/>
                <w:color w:val="auto"/>
                <w:sz w:val="24"/>
                <w:highlight w:val="none"/>
              </w:rPr>
            </w:pPr>
            <w:r>
              <w:rPr>
                <w:rFonts w:hint="eastAsia" w:ascii="宋体" w:hAnsi="宋体"/>
                <w:color w:val="auto"/>
                <w:sz w:val="24"/>
                <w:highlight w:val="none"/>
              </w:rPr>
              <w:t>监理工程师资格证编号</w:t>
            </w: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3"/>
            <w:vAlign w:val="center"/>
          </w:tcPr>
          <w:p>
            <w:pPr>
              <w:jc w:val="center"/>
              <w:rPr>
                <w:rFonts w:ascii="宋体" w:hAnsi="宋体"/>
                <w:color w:val="auto"/>
                <w:sz w:val="24"/>
                <w:highlight w:val="none"/>
              </w:rPr>
            </w:pPr>
            <w:r>
              <w:rPr>
                <w:rFonts w:hint="eastAsia" w:ascii="宋体" w:hAnsi="宋体"/>
                <w:color w:val="auto"/>
                <w:sz w:val="24"/>
                <w:highlight w:val="none"/>
              </w:rPr>
              <w:t>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建设单位</w:t>
            </w:r>
          </w:p>
        </w:tc>
        <w:tc>
          <w:tcPr>
            <w:tcW w:w="16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项目名称</w:t>
            </w:r>
          </w:p>
        </w:tc>
        <w:tc>
          <w:tcPr>
            <w:tcW w:w="1580"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建设规模</w:t>
            </w:r>
          </w:p>
        </w:tc>
        <w:tc>
          <w:tcPr>
            <w:tcW w:w="156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开、竣工</w:t>
            </w:r>
          </w:p>
          <w:p>
            <w:pPr>
              <w:jc w:val="center"/>
              <w:rPr>
                <w:rFonts w:ascii="宋体" w:hAnsi="宋体"/>
                <w:color w:val="auto"/>
                <w:sz w:val="24"/>
                <w:highlight w:val="none"/>
              </w:rPr>
            </w:pPr>
            <w:r>
              <w:rPr>
                <w:rFonts w:hint="eastAsia" w:ascii="宋体" w:hAnsi="宋体"/>
                <w:color w:val="auto"/>
                <w:sz w:val="24"/>
                <w:highlight w:val="none"/>
              </w:rPr>
              <w:t>日期</w:t>
            </w:r>
          </w:p>
        </w:tc>
        <w:tc>
          <w:tcPr>
            <w:tcW w:w="105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在建或已 完</w:t>
            </w:r>
          </w:p>
        </w:tc>
        <w:tc>
          <w:tcPr>
            <w:tcW w:w="1395" w:type="dxa"/>
            <w:vAlign w:val="center"/>
          </w:tcPr>
          <w:p>
            <w:pPr>
              <w:jc w:val="center"/>
              <w:rPr>
                <w:rFonts w:ascii="宋体" w:hAnsi="宋体"/>
                <w:color w:val="auto"/>
                <w:sz w:val="24"/>
                <w:highlight w:val="none"/>
              </w:rPr>
            </w:pPr>
            <w:r>
              <w:rPr>
                <w:rFonts w:hint="eastAsia" w:ascii="宋体" w:hAnsi="宋体"/>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auto"/>
                <w:sz w:val="24"/>
                <w:highlight w:val="none"/>
              </w:rPr>
            </w:pPr>
          </w:p>
        </w:tc>
        <w:tc>
          <w:tcPr>
            <w:tcW w:w="1680" w:type="dxa"/>
            <w:gridSpan w:val="2"/>
            <w:vAlign w:val="center"/>
          </w:tcPr>
          <w:p>
            <w:pPr>
              <w:jc w:val="center"/>
              <w:rPr>
                <w:rFonts w:ascii="宋体" w:hAnsi="宋体"/>
                <w:color w:val="auto"/>
                <w:sz w:val="24"/>
                <w:highlight w:val="none"/>
              </w:rPr>
            </w:pPr>
          </w:p>
        </w:tc>
        <w:tc>
          <w:tcPr>
            <w:tcW w:w="1580" w:type="dxa"/>
            <w:gridSpan w:val="4"/>
            <w:vAlign w:val="center"/>
          </w:tcPr>
          <w:p>
            <w:pPr>
              <w:jc w:val="center"/>
              <w:rPr>
                <w:rFonts w:ascii="宋体" w:hAnsi="宋体"/>
                <w:color w:val="auto"/>
                <w:sz w:val="24"/>
                <w:highlight w:val="none"/>
              </w:rPr>
            </w:pPr>
          </w:p>
        </w:tc>
        <w:tc>
          <w:tcPr>
            <w:tcW w:w="1560" w:type="dxa"/>
            <w:gridSpan w:val="2"/>
            <w:vAlign w:val="center"/>
          </w:tcPr>
          <w:p>
            <w:pPr>
              <w:jc w:val="center"/>
              <w:rPr>
                <w:rFonts w:ascii="宋体" w:hAnsi="宋体"/>
                <w:color w:val="auto"/>
                <w:sz w:val="24"/>
                <w:highlight w:val="none"/>
              </w:rPr>
            </w:pPr>
          </w:p>
        </w:tc>
        <w:tc>
          <w:tcPr>
            <w:tcW w:w="1050" w:type="dxa"/>
            <w:gridSpan w:val="2"/>
            <w:vAlign w:val="center"/>
          </w:tcPr>
          <w:p>
            <w:pPr>
              <w:jc w:val="center"/>
              <w:rPr>
                <w:rFonts w:ascii="宋体" w:hAnsi="宋体"/>
                <w:color w:val="auto"/>
                <w:sz w:val="24"/>
                <w:highlight w:val="none"/>
              </w:rPr>
            </w:pPr>
          </w:p>
        </w:tc>
        <w:tc>
          <w:tcPr>
            <w:tcW w:w="1395" w:type="dxa"/>
            <w:vAlign w:val="center"/>
          </w:tcPr>
          <w:p>
            <w:pPr>
              <w:jc w:val="center"/>
              <w:rPr>
                <w:rFonts w:ascii="宋体" w:hAnsi="宋体"/>
                <w:color w:val="auto"/>
                <w:sz w:val="24"/>
                <w:highlight w:val="none"/>
              </w:rPr>
            </w:pPr>
          </w:p>
        </w:tc>
      </w:tr>
    </w:tbl>
    <w:p>
      <w:pPr>
        <w:rPr>
          <w:rFonts w:ascii="宋体" w:hAnsi="宋体"/>
          <w:color w:val="auto"/>
          <w:highlight w:val="none"/>
        </w:rPr>
      </w:pPr>
    </w:p>
    <w:p>
      <w:pPr>
        <w:rPr>
          <w:rFonts w:ascii="宋体" w:hAnsi="宋体"/>
          <w:color w:val="auto"/>
          <w:highlight w:val="none"/>
        </w:rPr>
      </w:pPr>
    </w:p>
    <w:p>
      <w:pPr>
        <w:pStyle w:val="5"/>
        <w:ind w:firstLine="320" w:firstLineChars="100"/>
        <w:outlineLvl w:val="2"/>
        <w:rPr>
          <w:rFonts w:ascii="宋体" w:hAnsi="宋体"/>
          <w:b w:val="0"/>
          <w:bCs w:val="0"/>
          <w:color w:val="auto"/>
          <w:sz w:val="32"/>
          <w:highlight w:val="none"/>
        </w:rPr>
      </w:pPr>
      <w:r>
        <w:rPr>
          <w:rFonts w:ascii="宋体" w:hAnsi="宋体"/>
          <w:b w:val="0"/>
          <w:bCs w:val="0"/>
          <w:color w:val="auto"/>
          <w:sz w:val="32"/>
          <w:highlight w:val="none"/>
        </w:rPr>
        <w:br w:type="page"/>
      </w:r>
      <w:bookmarkStart w:id="851" w:name="_Toc16613"/>
      <w:bookmarkStart w:id="852" w:name="_Toc5285"/>
      <w:bookmarkStart w:id="853" w:name="_Toc2288"/>
      <w:bookmarkStart w:id="854" w:name="_Toc13102"/>
      <w:bookmarkStart w:id="855" w:name="_Toc30398"/>
      <w:r>
        <w:rPr>
          <w:rFonts w:hint="eastAsia" w:ascii="宋体" w:hAnsi="宋体"/>
          <w:color w:val="auto"/>
          <w:sz w:val="32"/>
          <w:highlight w:val="none"/>
        </w:rPr>
        <w:t>4、项目管理机构配备情况辅助说明资料</w:t>
      </w:r>
      <w:bookmarkEnd w:id="851"/>
      <w:bookmarkEnd w:id="852"/>
      <w:bookmarkEnd w:id="853"/>
      <w:bookmarkEnd w:id="854"/>
      <w:bookmarkEnd w:id="85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3" w:hRule="atLeast"/>
          <w:jc w:val="center"/>
        </w:trPr>
        <w:tc>
          <w:tcPr>
            <w:tcW w:w="9558" w:type="dxa"/>
          </w:tcPr>
          <w:p>
            <w:pPr>
              <w:tabs>
                <w:tab w:val="left" w:pos="0"/>
              </w:tabs>
              <w:ind w:right="-212"/>
              <w:jc w:val="center"/>
              <w:rPr>
                <w:rFonts w:ascii="宋体" w:hAnsi="宋体"/>
                <w:b/>
                <w:color w:val="auto"/>
                <w:highlight w:val="none"/>
              </w:rPr>
            </w:pPr>
            <w:r>
              <w:rPr>
                <w:rFonts w:hint="eastAsia" w:ascii="宋体" w:hAnsi="宋体"/>
                <w:color w:val="auto"/>
                <w:sz w:val="24"/>
                <w:highlight w:val="none"/>
              </w:rPr>
              <w:t xml:space="preserve"> </w:t>
            </w:r>
          </w:p>
          <w:p>
            <w:pPr>
              <w:tabs>
                <w:tab w:val="left" w:pos="0"/>
              </w:tabs>
              <w:ind w:right="-212"/>
              <w:jc w:val="center"/>
              <w:rPr>
                <w:rFonts w:ascii="宋体" w:hAnsi="宋体"/>
                <w:b/>
                <w:color w:val="auto"/>
                <w:highlight w:val="none"/>
              </w:rPr>
            </w:pPr>
          </w:p>
          <w:p>
            <w:pPr>
              <w:tabs>
                <w:tab w:val="left" w:pos="0"/>
              </w:tabs>
              <w:ind w:right="-212"/>
              <w:jc w:val="center"/>
              <w:rPr>
                <w:rFonts w:ascii="宋体" w:hAnsi="宋体"/>
                <w:b/>
                <w:color w:val="auto"/>
                <w:highlight w:val="none"/>
              </w:rPr>
            </w:pPr>
          </w:p>
          <w:p>
            <w:pPr>
              <w:tabs>
                <w:tab w:val="left" w:pos="0"/>
              </w:tabs>
              <w:ind w:right="-212"/>
              <w:jc w:val="center"/>
              <w:rPr>
                <w:rFonts w:ascii="宋体" w:hAnsi="宋体"/>
                <w:b/>
                <w:color w:val="auto"/>
                <w:highlight w:val="none"/>
              </w:rPr>
            </w:pPr>
          </w:p>
          <w:p>
            <w:pPr>
              <w:tabs>
                <w:tab w:val="left" w:pos="0"/>
              </w:tabs>
              <w:ind w:right="-212"/>
              <w:jc w:val="center"/>
              <w:rPr>
                <w:rFonts w:ascii="宋体" w:hAnsi="宋体"/>
                <w:b/>
                <w:color w:val="auto"/>
                <w:highlight w:val="none"/>
              </w:rPr>
            </w:pPr>
          </w:p>
          <w:p>
            <w:pPr>
              <w:tabs>
                <w:tab w:val="left" w:pos="0"/>
              </w:tabs>
              <w:ind w:right="-212"/>
              <w:jc w:val="center"/>
              <w:rPr>
                <w:rFonts w:ascii="宋体" w:hAnsi="宋体"/>
                <w:b/>
                <w:color w:val="auto"/>
                <w:highlight w:val="none"/>
              </w:rPr>
            </w:pPr>
          </w:p>
          <w:p>
            <w:pPr>
              <w:tabs>
                <w:tab w:val="left" w:pos="0"/>
              </w:tabs>
              <w:ind w:right="-212"/>
              <w:jc w:val="center"/>
              <w:rPr>
                <w:rFonts w:ascii="宋体" w:hAnsi="宋体"/>
                <w:b/>
                <w:color w:val="auto"/>
                <w:highlight w:val="none"/>
              </w:rPr>
            </w:pPr>
          </w:p>
          <w:p>
            <w:pPr>
              <w:tabs>
                <w:tab w:val="left" w:pos="0"/>
              </w:tabs>
              <w:ind w:right="-212"/>
              <w:jc w:val="center"/>
              <w:rPr>
                <w:rFonts w:ascii="宋体" w:hAnsi="宋体"/>
                <w:b/>
                <w:color w:val="auto"/>
                <w:highlight w:val="none"/>
              </w:rPr>
            </w:pPr>
          </w:p>
          <w:p>
            <w:pPr>
              <w:tabs>
                <w:tab w:val="left" w:pos="0"/>
              </w:tabs>
              <w:ind w:right="-212"/>
              <w:rPr>
                <w:rFonts w:ascii="宋体" w:hAnsi="宋体"/>
                <w:color w:val="auto"/>
                <w:highlight w:val="none"/>
              </w:rPr>
            </w:pPr>
          </w:p>
        </w:tc>
      </w:tr>
    </w:tbl>
    <w:p>
      <w:pPr>
        <w:pStyle w:val="11"/>
        <w:spacing w:before="120"/>
        <w:ind w:left="697" w:right="34" w:hanging="697"/>
        <w:rPr>
          <w:rFonts w:ascii="宋体" w:hAnsi="宋体"/>
          <w:color w:val="auto"/>
          <w:sz w:val="21"/>
          <w:highlight w:val="none"/>
        </w:rPr>
      </w:pPr>
      <w:r>
        <w:rPr>
          <w:rFonts w:hint="eastAsia" w:ascii="宋体" w:hAnsi="宋体"/>
          <w:color w:val="auto"/>
          <w:sz w:val="21"/>
          <w:highlight w:val="none"/>
        </w:rPr>
        <w:t>注：1.辅助说明资料主要包括监理机构的机构设置、职责分工、有关复印证明资料以及投标人认为有必要提供的资料。辅助说明资料格式不做统一规定，由投标人自行设计。</w:t>
      </w:r>
    </w:p>
    <w:p>
      <w:pPr>
        <w:pStyle w:val="11"/>
        <w:ind w:left="1260" w:right="34" w:hanging="900"/>
        <w:rPr>
          <w:rFonts w:ascii="宋体" w:hAnsi="宋体"/>
          <w:color w:val="auto"/>
          <w:sz w:val="21"/>
          <w:highlight w:val="none"/>
        </w:rPr>
      </w:pPr>
      <w:r>
        <w:rPr>
          <w:rFonts w:hint="eastAsia" w:ascii="宋体" w:hAnsi="宋体"/>
          <w:color w:val="auto"/>
          <w:sz w:val="21"/>
          <w:highlight w:val="none"/>
        </w:rPr>
        <w:t>2.项目监理班子配备情况辅助说明资料另附（与本投标文件一起装订）。</w:t>
      </w:r>
    </w:p>
    <w:p>
      <w:pPr>
        <w:pStyle w:val="4"/>
        <w:outlineLvl w:val="9"/>
        <w:rPr>
          <w:color w:val="auto"/>
          <w:highlight w:val="none"/>
        </w:rPr>
        <w:sectPr>
          <w:pgSz w:w="12240" w:h="15840"/>
          <w:pgMar w:top="1480" w:right="1718" w:bottom="919" w:left="1718" w:header="850" w:footer="992" w:gutter="0"/>
          <w:pgNumType w:fmt="decimal"/>
          <w:cols w:space="720" w:num="1"/>
          <w:docGrid w:linePitch="312" w:charSpace="0"/>
        </w:sectPr>
      </w:pPr>
    </w:p>
    <w:bookmarkEnd w:id="730"/>
    <w:bookmarkEnd w:id="731"/>
    <w:bookmarkEnd w:id="732"/>
    <w:p>
      <w:pPr>
        <w:jc w:val="center"/>
        <w:rPr>
          <w:rFonts w:ascii="宋体" w:hAnsi="宋体" w:cs="宋体"/>
          <w:color w:val="auto"/>
          <w:sz w:val="30"/>
          <w:szCs w:val="30"/>
          <w:highlight w:val="none"/>
        </w:rPr>
      </w:pPr>
    </w:p>
    <w:p>
      <w:pPr>
        <w:pStyle w:val="4"/>
        <w:outlineLvl w:val="1"/>
        <w:rPr>
          <w:color w:val="auto"/>
          <w:spacing w:val="20"/>
          <w:sz w:val="32"/>
          <w:highlight w:val="none"/>
        </w:rPr>
      </w:pPr>
      <w:bookmarkStart w:id="856" w:name="_Toc6204"/>
      <w:bookmarkStart w:id="857" w:name="_Toc517"/>
      <w:bookmarkStart w:id="858" w:name="_Toc22785"/>
      <w:bookmarkStart w:id="859" w:name="_Toc12634"/>
      <w:bookmarkStart w:id="860" w:name="_Toc15746"/>
      <w:bookmarkStart w:id="861" w:name="_Toc17993"/>
      <w:bookmarkStart w:id="862" w:name="_Toc24653"/>
      <w:bookmarkStart w:id="863" w:name="_Toc19300"/>
      <w:bookmarkStart w:id="864" w:name="_Toc9007"/>
      <w:bookmarkStart w:id="865" w:name="_Toc16197"/>
      <w:bookmarkStart w:id="866" w:name="_Toc30529"/>
      <w:bookmarkStart w:id="867" w:name="_Toc8186"/>
      <w:bookmarkStart w:id="868" w:name="_Toc5580"/>
      <w:bookmarkStart w:id="869" w:name="_Toc32593"/>
      <w:bookmarkStart w:id="870" w:name="_Toc539"/>
      <w:bookmarkStart w:id="871" w:name="_Toc514170160"/>
      <w:bookmarkStart w:id="872" w:name="_Toc27299"/>
      <w:bookmarkStart w:id="873" w:name="_Toc19434"/>
      <w:r>
        <w:rPr>
          <w:rFonts w:hint="eastAsia"/>
          <w:color w:val="auto"/>
          <w:spacing w:val="20"/>
          <w:sz w:val="32"/>
          <w:highlight w:val="none"/>
        </w:rPr>
        <w:t>十、</w:t>
      </w:r>
      <w:bookmarkEnd w:id="856"/>
      <w:bookmarkEnd w:id="857"/>
      <w:bookmarkEnd w:id="858"/>
      <w:bookmarkEnd w:id="859"/>
      <w:r>
        <w:rPr>
          <w:rFonts w:hint="eastAsia"/>
          <w:color w:val="auto"/>
          <w:spacing w:val="20"/>
          <w:sz w:val="32"/>
          <w:highlight w:val="none"/>
        </w:rPr>
        <w:t>拟投入本项目的主要试验检测仪器设备</w:t>
      </w:r>
      <w:bookmarkEnd w:id="860"/>
      <w:bookmarkEnd w:id="861"/>
      <w:bookmarkEnd w:id="862"/>
      <w:bookmarkEnd w:id="863"/>
      <w:bookmarkEnd w:id="864"/>
      <w:bookmarkEnd w:id="865"/>
      <w:bookmarkEnd w:id="866"/>
      <w:bookmarkEnd w:id="867"/>
      <w:bookmarkEnd w:id="868"/>
      <w:bookmarkEnd w:id="869"/>
    </w:p>
    <w:tbl>
      <w:tblPr>
        <w:tblStyle w:val="19"/>
        <w:tblW w:w="0" w:type="auto"/>
        <w:tblInd w:w="442" w:type="dxa"/>
        <w:tblLayout w:type="fixed"/>
        <w:tblCellMar>
          <w:top w:w="0" w:type="dxa"/>
          <w:left w:w="108" w:type="dxa"/>
          <w:bottom w:w="0" w:type="dxa"/>
          <w:right w:w="108" w:type="dxa"/>
        </w:tblCellMar>
      </w:tblPr>
      <w:tblGrid>
        <w:gridCol w:w="729"/>
        <w:gridCol w:w="1444"/>
        <w:gridCol w:w="936"/>
        <w:gridCol w:w="747"/>
        <w:gridCol w:w="849"/>
        <w:gridCol w:w="994"/>
        <w:gridCol w:w="1419"/>
        <w:gridCol w:w="1162"/>
      </w:tblGrid>
      <w:tr>
        <w:tblPrEx>
          <w:tblCellMar>
            <w:top w:w="0" w:type="dxa"/>
            <w:left w:w="108" w:type="dxa"/>
            <w:bottom w:w="0" w:type="dxa"/>
            <w:right w:w="108" w:type="dxa"/>
          </w:tblCellMar>
        </w:tblPrEx>
        <w:trPr>
          <w:trHeight w:val="941" w:hRule="exact"/>
        </w:trPr>
        <w:tc>
          <w:tcPr>
            <w:tcW w:w="729" w:type="dxa"/>
            <w:tcBorders>
              <w:top w:val="single" w:color="000000" w:sz="4" w:space="0"/>
              <w:left w:val="single" w:color="000000" w:sz="4" w:space="0"/>
              <w:bottom w:val="single" w:color="000000" w:sz="4" w:space="0"/>
              <w:right w:val="single" w:color="000000" w:sz="4" w:space="0"/>
            </w:tcBorders>
          </w:tcPr>
          <w:p>
            <w:pPr>
              <w:spacing w:before="11" w:line="280" w:lineRule="exact"/>
              <w:jc w:val="left"/>
              <w:rPr>
                <w:rFonts w:ascii="宋体" w:hAnsi="宋体"/>
                <w:color w:val="auto"/>
                <w:sz w:val="28"/>
                <w:highlight w:val="none"/>
              </w:rPr>
            </w:pPr>
          </w:p>
          <w:p>
            <w:pPr>
              <w:ind w:left="102" w:right="-20"/>
              <w:jc w:val="left"/>
              <w:rPr>
                <w:rFonts w:ascii="宋体" w:hAnsi="宋体"/>
                <w:color w:val="auto"/>
                <w:sz w:val="24"/>
                <w:highlight w:val="none"/>
              </w:rPr>
            </w:pPr>
            <w:r>
              <w:rPr>
                <w:rFonts w:ascii="宋体" w:hAnsi="宋体"/>
                <w:color w:val="auto"/>
                <w:highlight w:val="none"/>
              </w:rPr>
              <w:t>序号</w:t>
            </w:r>
          </w:p>
        </w:tc>
        <w:tc>
          <w:tcPr>
            <w:tcW w:w="1444" w:type="dxa"/>
            <w:tcBorders>
              <w:top w:val="single" w:color="000000" w:sz="4" w:space="0"/>
              <w:left w:val="single" w:color="000000" w:sz="4" w:space="0"/>
              <w:bottom w:val="single" w:color="000000" w:sz="4" w:space="0"/>
              <w:right w:val="single" w:color="000000" w:sz="4" w:space="0"/>
            </w:tcBorders>
          </w:tcPr>
          <w:p>
            <w:pPr>
              <w:spacing w:before="70" w:line="291" w:lineRule="auto"/>
              <w:ind w:left="421" w:right="136" w:hanging="211"/>
              <w:jc w:val="left"/>
              <w:rPr>
                <w:rFonts w:ascii="宋体" w:hAnsi="宋体"/>
                <w:color w:val="auto"/>
                <w:sz w:val="24"/>
                <w:highlight w:val="none"/>
              </w:rPr>
            </w:pPr>
            <w:r>
              <w:rPr>
                <w:rFonts w:ascii="宋体" w:hAnsi="宋体"/>
                <w:color w:val="auto"/>
                <w:highlight w:val="none"/>
              </w:rPr>
              <w:t>仪器</w:t>
            </w:r>
            <w:r>
              <w:rPr>
                <w:rFonts w:ascii="宋体" w:hAnsi="宋体"/>
                <w:color w:val="auto"/>
                <w:spacing w:val="-2"/>
                <w:highlight w:val="none"/>
              </w:rPr>
              <w:t>设</w:t>
            </w:r>
            <w:r>
              <w:rPr>
                <w:rFonts w:ascii="宋体" w:hAnsi="宋体"/>
                <w:color w:val="auto"/>
                <w:highlight w:val="none"/>
              </w:rPr>
              <w:t>备 名称</w:t>
            </w:r>
          </w:p>
        </w:tc>
        <w:tc>
          <w:tcPr>
            <w:tcW w:w="936" w:type="dxa"/>
            <w:tcBorders>
              <w:top w:val="single" w:color="000000" w:sz="4" w:space="0"/>
              <w:left w:val="single" w:color="000000" w:sz="4" w:space="0"/>
              <w:bottom w:val="single" w:color="000000" w:sz="4" w:space="0"/>
              <w:right w:val="single" w:color="000000" w:sz="4" w:space="0"/>
            </w:tcBorders>
          </w:tcPr>
          <w:p>
            <w:pPr>
              <w:spacing w:before="70" w:line="291" w:lineRule="auto"/>
              <w:ind w:right="177"/>
              <w:jc w:val="left"/>
              <w:rPr>
                <w:rFonts w:ascii="宋体" w:hAnsi="宋体"/>
                <w:color w:val="auto"/>
                <w:sz w:val="24"/>
                <w:highlight w:val="none"/>
              </w:rPr>
            </w:pPr>
            <w:r>
              <w:rPr>
                <w:rFonts w:ascii="宋体" w:hAnsi="宋体"/>
                <w:color w:val="auto"/>
                <w:highlight w:val="none"/>
              </w:rPr>
              <w:t>型号 规格</w:t>
            </w:r>
          </w:p>
        </w:tc>
        <w:tc>
          <w:tcPr>
            <w:tcW w:w="747" w:type="dxa"/>
            <w:tcBorders>
              <w:top w:val="single" w:color="000000" w:sz="4" w:space="0"/>
              <w:left w:val="single" w:color="000000" w:sz="4" w:space="0"/>
              <w:bottom w:val="single" w:color="000000" w:sz="4" w:space="0"/>
              <w:right w:val="single" w:color="000000" w:sz="4" w:space="0"/>
            </w:tcBorders>
          </w:tcPr>
          <w:p>
            <w:pPr>
              <w:spacing w:before="11" w:line="280" w:lineRule="exact"/>
              <w:jc w:val="left"/>
              <w:rPr>
                <w:rFonts w:ascii="宋体" w:hAnsi="宋体"/>
                <w:color w:val="auto"/>
                <w:sz w:val="28"/>
                <w:highlight w:val="none"/>
              </w:rPr>
            </w:pPr>
          </w:p>
          <w:p>
            <w:pPr>
              <w:ind w:right="-20"/>
              <w:jc w:val="left"/>
              <w:rPr>
                <w:rFonts w:ascii="宋体" w:hAnsi="宋体"/>
                <w:color w:val="auto"/>
                <w:sz w:val="24"/>
                <w:highlight w:val="none"/>
              </w:rPr>
            </w:pPr>
            <w:r>
              <w:rPr>
                <w:rFonts w:ascii="宋体" w:hAnsi="宋体"/>
                <w:color w:val="auto"/>
                <w:highlight w:val="none"/>
              </w:rPr>
              <w:t>数量</w:t>
            </w:r>
          </w:p>
        </w:tc>
        <w:tc>
          <w:tcPr>
            <w:tcW w:w="849" w:type="dxa"/>
            <w:tcBorders>
              <w:top w:val="single" w:color="000000" w:sz="4" w:space="0"/>
              <w:left w:val="single" w:color="000000" w:sz="4" w:space="0"/>
              <w:bottom w:val="single" w:color="000000" w:sz="4" w:space="0"/>
              <w:right w:val="single" w:color="000000" w:sz="4" w:space="0"/>
            </w:tcBorders>
          </w:tcPr>
          <w:p>
            <w:pPr>
              <w:spacing w:before="70" w:line="291" w:lineRule="auto"/>
              <w:ind w:right="134"/>
              <w:jc w:val="left"/>
              <w:rPr>
                <w:rFonts w:ascii="宋体" w:hAnsi="宋体"/>
                <w:color w:val="auto"/>
                <w:sz w:val="24"/>
                <w:highlight w:val="none"/>
              </w:rPr>
            </w:pPr>
            <w:r>
              <w:rPr>
                <w:rFonts w:ascii="宋体" w:hAnsi="宋体"/>
                <w:color w:val="auto"/>
                <w:highlight w:val="none"/>
              </w:rPr>
              <w:t>国别 产地</w:t>
            </w:r>
          </w:p>
        </w:tc>
        <w:tc>
          <w:tcPr>
            <w:tcW w:w="994" w:type="dxa"/>
            <w:tcBorders>
              <w:top w:val="single" w:color="000000" w:sz="4" w:space="0"/>
              <w:left w:val="single" w:color="000000" w:sz="4" w:space="0"/>
              <w:bottom w:val="single" w:color="000000" w:sz="4" w:space="0"/>
              <w:right w:val="single" w:color="000000" w:sz="4" w:space="0"/>
            </w:tcBorders>
          </w:tcPr>
          <w:p>
            <w:pPr>
              <w:spacing w:before="70" w:line="291" w:lineRule="auto"/>
              <w:ind w:right="206"/>
              <w:jc w:val="left"/>
              <w:rPr>
                <w:rFonts w:ascii="宋体" w:hAnsi="宋体"/>
                <w:color w:val="auto"/>
                <w:sz w:val="24"/>
                <w:highlight w:val="none"/>
              </w:rPr>
            </w:pPr>
            <w:r>
              <w:rPr>
                <w:rFonts w:ascii="宋体" w:hAnsi="宋体"/>
                <w:color w:val="auto"/>
                <w:highlight w:val="none"/>
              </w:rPr>
              <w:t>制造 年份</w:t>
            </w:r>
          </w:p>
        </w:tc>
        <w:tc>
          <w:tcPr>
            <w:tcW w:w="1419" w:type="dxa"/>
            <w:tcBorders>
              <w:top w:val="single" w:color="000000" w:sz="4" w:space="0"/>
              <w:left w:val="single" w:color="000000" w:sz="4" w:space="0"/>
              <w:bottom w:val="single" w:color="000000" w:sz="4" w:space="0"/>
              <w:right w:val="single" w:color="000000" w:sz="4" w:space="0"/>
            </w:tcBorders>
          </w:tcPr>
          <w:p>
            <w:pPr>
              <w:spacing w:before="11" w:line="280" w:lineRule="exact"/>
              <w:jc w:val="left"/>
              <w:rPr>
                <w:rFonts w:ascii="宋体" w:hAnsi="宋体"/>
                <w:color w:val="auto"/>
                <w:sz w:val="28"/>
                <w:highlight w:val="none"/>
              </w:rPr>
            </w:pPr>
          </w:p>
          <w:p>
            <w:pPr>
              <w:ind w:right="435"/>
              <w:rPr>
                <w:rFonts w:ascii="宋体" w:hAnsi="宋体"/>
                <w:color w:val="auto"/>
                <w:sz w:val="24"/>
                <w:highlight w:val="none"/>
              </w:rPr>
            </w:pPr>
            <w:r>
              <w:rPr>
                <w:rFonts w:ascii="宋体" w:hAnsi="宋体"/>
                <w:color w:val="auto"/>
                <w:highlight w:val="none"/>
              </w:rPr>
              <w:t>用途</w:t>
            </w:r>
          </w:p>
        </w:tc>
        <w:tc>
          <w:tcPr>
            <w:tcW w:w="1162" w:type="dxa"/>
            <w:tcBorders>
              <w:top w:val="single" w:color="000000" w:sz="4" w:space="0"/>
              <w:left w:val="single" w:color="000000" w:sz="4" w:space="0"/>
              <w:bottom w:val="single" w:color="000000" w:sz="4" w:space="0"/>
              <w:right w:val="single" w:color="000000" w:sz="4" w:space="0"/>
            </w:tcBorders>
          </w:tcPr>
          <w:p>
            <w:pPr>
              <w:spacing w:before="11" w:line="280" w:lineRule="exact"/>
              <w:jc w:val="left"/>
              <w:rPr>
                <w:rFonts w:ascii="宋体" w:hAnsi="宋体"/>
                <w:color w:val="auto"/>
                <w:sz w:val="28"/>
                <w:highlight w:val="none"/>
              </w:rPr>
            </w:pPr>
          </w:p>
          <w:p>
            <w:pPr>
              <w:ind w:left="364" w:right="-20"/>
              <w:jc w:val="left"/>
              <w:rPr>
                <w:rFonts w:ascii="宋体" w:hAnsi="宋体"/>
                <w:color w:val="auto"/>
                <w:sz w:val="24"/>
                <w:highlight w:val="none"/>
              </w:rPr>
            </w:pPr>
            <w:r>
              <w:rPr>
                <w:rFonts w:ascii="宋体" w:hAnsi="宋体"/>
                <w:color w:val="auto"/>
                <w:highlight w:val="none"/>
              </w:rPr>
              <w:t>备注</w:t>
            </w:r>
          </w:p>
        </w:tc>
      </w:tr>
      <w:tr>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r>
      <w:tr>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r>
      <w:tr>
        <w:tblPrEx>
          <w:tblCellMar>
            <w:top w:w="0" w:type="dxa"/>
            <w:left w:w="108" w:type="dxa"/>
            <w:bottom w:w="0" w:type="dxa"/>
            <w:right w:w="108" w:type="dxa"/>
          </w:tblCellMar>
        </w:tblPrEx>
        <w:trPr>
          <w:trHeight w:val="476" w:hRule="exact"/>
        </w:trPr>
        <w:tc>
          <w:tcPr>
            <w:tcW w:w="72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r>
      <w:tr>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r>
      <w:tr>
        <w:tblPrEx>
          <w:tblCellMar>
            <w:top w:w="0" w:type="dxa"/>
            <w:left w:w="108" w:type="dxa"/>
            <w:bottom w:w="0" w:type="dxa"/>
            <w:right w:w="108" w:type="dxa"/>
          </w:tblCellMar>
        </w:tblPrEx>
        <w:trPr>
          <w:trHeight w:val="458" w:hRule="exact"/>
        </w:trPr>
        <w:tc>
          <w:tcPr>
            <w:tcW w:w="72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r>
      <w:tr>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r>
      <w:tr>
        <w:tblPrEx>
          <w:tblCellMar>
            <w:top w:w="0" w:type="dxa"/>
            <w:left w:w="108" w:type="dxa"/>
            <w:bottom w:w="0" w:type="dxa"/>
            <w:right w:w="108" w:type="dxa"/>
          </w:tblCellMar>
        </w:tblPrEx>
        <w:trPr>
          <w:trHeight w:val="473" w:hRule="exact"/>
        </w:trPr>
        <w:tc>
          <w:tcPr>
            <w:tcW w:w="72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r>
      <w:tr>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r>
      <w:tr>
        <w:tblPrEx>
          <w:tblCellMar>
            <w:top w:w="0" w:type="dxa"/>
            <w:left w:w="108" w:type="dxa"/>
            <w:bottom w:w="0" w:type="dxa"/>
            <w:right w:w="108" w:type="dxa"/>
          </w:tblCellMar>
        </w:tblPrEx>
        <w:trPr>
          <w:trHeight w:val="476" w:hRule="exact"/>
        </w:trPr>
        <w:tc>
          <w:tcPr>
            <w:tcW w:w="72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r>
      <w:tr>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r>
      <w:tr>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r>
      <w:tr>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r>
      <w:tr>
        <w:tblPrEx>
          <w:tblCellMar>
            <w:top w:w="0" w:type="dxa"/>
            <w:left w:w="108" w:type="dxa"/>
            <w:bottom w:w="0" w:type="dxa"/>
            <w:right w:w="108" w:type="dxa"/>
          </w:tblCellMar>
        </w:tblPrEx>
        <w:trPr>
          <w:trHeight w:val="458" w:hRule="exact"/>
        </w:trPr>
        <w:tc>
          <w:tcPr>
            <w:tcW w:w="72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r>
      <w:tr>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r>
      <w:tr>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r>
      <w:tr>
        <w:tblPrEx>
          <w:tblCellMar>
            <w:top w:w="0" w:type="dxa"/>
            <w:left w:w="108" w:type="dxa"/>
            <w:bottom w:w="0" w:type="dxa"/>
            <w:right w:w="108" w:type="dxa"/>
          </w:tblCellMar>
        </w:tblPrEx>
        <w:trPr>
          <w:trHeight w:val="476" w:hRule="exact"/>
        </w:trPr>
        <w:tc>
          <w:tcPr>
            <w:tcW w:w="72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r>
      <w:tr>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r>
      <w:tr>
        <w:tblPrEx>
          <w:tblCellMar>
            <w:top w:w="0" w:type="dxa"/>
            <w:left w:w="108" w:type="dxa"/>
            <w:bottom w:w="0" w:type="dxa"/>
            <w:right w:w="108" w:type="dxa"/>
          </w:tblCellMar>
        </w:tblPrEx>
        <w:trPr>
          <w:trHeight w:val="473" w:hRule="exact"/>
        </w:trPr>
        <w:tc>
          <w:tcPr>
            <w:tcW w:w="72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r>
      <w:tr>
        <w:tblPrEx>
          <w:tblCellMar>
            <w:top w:w="0" w:type="dxa"/>
            <w:left w:w="108" w:type="dxa"/>
            <w:bottom w:w="0" w:type="dxa"/>
            <w:right w:w="108" w:type="dxa"/>
          </w:tblCellMar>
        </w:tblPrEx>
        <w:trPr>
          <w:trHeight w:val="478" w:hRule="exact"/>
        </w:trPr>
        <w:tc>
          <w:tcPr>
            <w:tcW w:w="72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auto"/>
                <w:sz w:val="24"/>
                <w:highlight w:val="none"/>
              </w:rPr>
            </w:pPr>
          </w:p>
        </w:tc>
      </w:tr>
      <w:bookmarkEnd w:id="870"/>
      <w:bookmarkEnd w:id="871"/>
      <w:bookmarkEnd w:id="872"/>
      <w:bookmarkEnd w:id="873"/>
    </w:tbl>
    <w:p>
      <w:pPr>
        <w:tabs>
          <w:tab w:val="left" w:pos="0"/>
          <w:tab w:val="left" w:pos="567"/>
          <w:tab w:val="left" w:pos="993"/>
          <w:tab w:val="left" w:pos="1134"/>
        </w:tabs>
        <w:snapToGrid w:val="0"/>
        <w:spacing w:line="300" w:lineRule="auto"/>
        <w:ind w:firstLine="281" w:firstLineChars="100"/>
        <w:rPr>
          <w:rFonts w:ascii="宋体" w:hAnsi="宋体"/>
          <w:b/>
          <w:color w:val="auto"/>
          <w:sz w:val="28"/>
          <w:szCs w:val="28"/>
          <w:highlight w:val="none"/>
        </w:rPr>
      </w:pPr>
    </w:p>
    <w:p>
      <w:pPr>
        <w:pStyle w:val="6"/>
        <w:rPr>
          <w:color w:val="auto"/>
          <w:highlight w:val="none"/>
        </w:rPr>
      </w:pPr>
      <w:r>
        <w:rPr>
          <w:color w:val="auto"/>
          <w:highlight w:val="none"/>
        </w:rPr>
        <w:br w:type="page"/>
      </w:r>
    </w:p>
    <w:p>
      <w:pPr>
        <w:tabs>
          <w:tab w:val="left" w:pos="0"/>
          <w:tab w:val="left" w:pos="567"/>
          <w:tab w:val="left" w:pos="993"/>
          <w:tab w:val="left" w:pos="1134"/>
        </w:tabs>
        <w:snapToGrid w:val="0"/>
        <w:spacing w:line="300" w:lineRule="auto"/>
        <w:ind w:firstLine="210" w:firstLineChars="100"/>
        <w:rPr>
          <w:color w:val="auto"/>
          <w:highlight w:val="none"/>
        </w:rPr>
      </w:pPr>
    </w:p>
    <w:p>
      <w:pPr>
        <w:pStyle w:val="4"/>
        <w:outlineLvl w:val="1"/>
        <w:rPr>
          <w:color w:val="auto"/>
          <w:spacing w:val="20"/>
          <w:sz w:val="32"/>
          <w:highlight w:val="none"/>
        </w:rPr>
      </w:pPr>
      <w:bookmarkStart w:id="874" w:name="_Toc28338"/>
      <w:bookmarkStart w:id="875" w:name="_Toc21287"/>
      <w:bookmarkStart w:id="876" w:name="_Toc15708"/>
      <w:bookmarkStart w:id="877" w:name="_Toc14566"/>
      <w:bookmarkStart w:id="878" w:name="_Toc10757"/>
      <w:bookmarkStart w:id="879" w:name="_Toc1210"/>
      <w:bookmarkStart w:id="880" w:name="_Toc2575"/>
      <w:bookmarkStart w:id="881" w:name="_Toc24669"/>
      <w:bookmarkStart w:id="882" w:name="_Toc5524"/>
      <w:bookmarkStart w:id="883" w:name="_Toc20451"/>
      <w:r>
        <w:rPr>
          <w:rFonts w:hint="eastAsia"/>
          <w:color w:val="auto"/>
          <w:spacing w:val="20"/>
          <w:sz w:val="32"/>
          <w:highlight w:val="none"/>
        </w:rPr>
        <w:t>十</w:t>
      </w:r>
      <w:r>
        <w:rPr>
          <w:rFonts w:hint="eastAsia"/>
          <w:color w:val="auto"/>
          <w:spacing w:val="20"/>
          <w:sz w:val="32"/>
          <w:highlight w:val="none"/>
          <w:lang w:val="en-US" w:eastAsia="zh-CN"/>
        </w:rPr>
        <w:t>一</w:t>
      </w:r>
      <w:r>
        <w:rPr>
          <w:rFonts w:hint="eastAsia"/>
          <w:color w:val="auto"/>
          <w:spacing w:val="20"/>
          <w:sz w:val="32"/>
          <w:highlight w:val="none"/>
        </w:rPr>
        <w:t>、监理项目管理团队人员信息表</w:t>
      </w:r>
      <w:bookmarkEnd w:id="874"/>
      <w:bookmarkEnd w:id="875"/>
      <w:bookmarkEnd w:id="876"/>
      <w:bookmarkEnd w:id="877"/>
      <w:bookmarkEnd w:id="878"/>
      <w:bookmarkEnd w:id="879"/>
      <w:bookmarkEnd w:id="880"/>
      <w:bookmarkEnd w:id="881"/>
      <w:bookmarkEnd w:id="882"/>
      <w:bookmarkEnd w:id="883"/>
    </w:p>
    <w:tbl>
      <w:tblPr>
        <w:tblStyle w:val="19"/>
        <w:tblW w:w="5000" w:type="pct"/>
        <w:tblInd w:w="0" w:type="dxa"/>
        <w:tblLayout w:type="autofit"/>
        <w:tblCellMar>
          <w:top w:w="0" w:type="dxa"/>
          <w:left w:w="0" w:type="dxa"/>
          <w:bottom w:w="0" w:type="dxa"/>
          <w:right w:w="0" w:type="dxa"/>
        </w:tblCellMar>
      </w:tblPr>
      <w:tblGrid>
        <w:gridCol w:w="707"/>
        <w:gridCol w:w="1559"/>
        <w:gridCol w:w="1612"/>
        <w:gridCol w:w="1560"/>
        <w:gridCol w:w="2898"/>
      </w:tblGrid>
      <w:tr>
        <w:tblPrEx>
          <w:tblCellMar>
            <w:top w:w="0" w:type="dxa"/>
            <w:left w:w="0" w:type="dxa"/>
            <w:bottom w:w="0" w:type="dxa"/>
            <w:right w:w="0" w:type="dxa"/>
          </w:tblCellMar>
        </w:tblPrEx>
        <w:trPr>
          <w:trHeight w:val="20" w:hRule="atLeast"/>
        </w:trPr>
        <w:tc>
          <w:tcPr>
            <w:tcW w:w="5000" w:type="pct"/>
            <w:gridSpan w:val="5"/>
            <w:tcBorders>
              <w:top w:val="nil"/>
              <w:left w:val="nil"/>
              <w:bottom w:val="single" w:color="000000" w:sz="4" w:space="0"/>
              <w:right w:val="nil"/>
            </w:tcBorders>
            <w:noWrap/>
            <w:tcMar>
              <w:top w:w="15" w:type="dxa"/>
              <w:left w:w="15" w:type="dxa"/>
              <w:bottom w:w="0" w:type="dxa"/>
              <w:right w:w="15" w:type="dxa"/>
            </w:tcMar>
            <w:vAlign w:val="center"/>
          </w:tcPr>
          <w:p>
            <w:pPr>
              <w:widowControl/>
              <w:jc w:val="center"/>
              <w:textAlignment w:val="center"/>
              <w:rPr>
                <w:rFonts w:ascii="宋体" w:cs="???????"/>
                <w:b/>
                <w:color w:val="auto"/>
                <w:sz w:val="32"/>
                <w:szCs w:val="32"/>
                <w:highlight w:val="none"/>
              </w:rPr>
            </w:pPr>
            <w:r>
              <w:rPr>
                <w:rFonts w:hint="eastAsia" w:ascii="宋体" w:hAnsi="宋体" w:cs="???????"/>
                <w:b/>
                <w:color w:val="auto"/>
                <w:kern w:val="0"/>
                <w:sz w:val="32"/>
                <w:szCs w:val="32"/>
                <w:highlight w:val="none"/>
              </w:rPr>
              <w:t>监理项目管理团队人员信息表</w:t>
            </w:r>
          </w:p>
        </w:tc>
      </w:tr>
      <w:tr>
        <w:tblPrEx>
          <w:tblCellMar>
            <w:top w:w="0" w:type="dxa"/>
            <w:left w:w="0" w:type="dxa"/>
            <w:bottom w:w="0" w:type="dxa"/>
            <w:right w:w="0"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仿宋"/>
                <w:b/>
                <w:color w:val="auto"/>
                <w:sz w:val="28"/>
                <w:szCs w:val="28"/>
                <w:highlight w:val="none"/>
              </w:rPr>
            </w:pPr>
            <w:r>
              <w:rPr>
                <w:rFonts w:hint="eastAsia" w:ascii="宋体" w:hAnsi="宋体" w:cs="仿宋"/>
                <w:b/>
                <w:color w:val="auto"/>
                <w:kern w:val="0"/>
                <w:sz w:val="28"/>
                <w:szCs w:val="28"/>
                <w:highlight w:val="none"/>
              </w:rPr>
              <w:t>序号</w:t>
            </w:r>
          </w:p>
        </w:tc>
        <w:tc>
          <w:tcPr>
            <w:tcW w:w="93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仿宋"/>
                <w:b/>
                <w:color w:val="auto"/>
                <w:sz w:val="28"/>
                <w:szCs w:val="28"/>
                <w:highlight w:val="none"/>
              </w:rPr>
            </w:pPr>
            <w:r>
              <w:rPr>
                <w:rFonts w:hint="eastAsia" w:ascii="宋体" w:hAnsi="宋体" w:cs="仿宋"/>
                <w:b/>
                <w:color w:val="auto"/>
                <w:kern w:val="0"/>
                <w:sz w:val="28"/>
                <w:szCs w:val="28"/>
                <w:highlight w:val="none"/>
              </w:rPr>
              <w:t>姓名</w:t>
            </w:r>
          </w:p>
        </w:tc>
        <w:tc>
          <w:tcPr>
            <w:tcW w:w="9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仿宋"/>
                <w:b/>
                <w:color w:val="auto"/>
                <w:sz w:val="28"/>
                <w:szCs w:val="28"/>
                <w:highlight w:val="none"/>
              </w:rPr>
            </w:pPr>
            <w:r>
              <w:rPr>
                <w:rFonts w:hint="eastAsia" w:ascii="宋体" w:hAnsi="宋体" w:cs="仿宋"/>
                <w:b/>
                <w:color w:val="auto"/>
                <w:kern w:val="0"/>
                <w:sz w:val="28"/>
                <w:szCs w:val="28"/>
                <w:highlight w:val="none"/>
              </w:rPr>
              <w:t>岗位</w:t>
            </w:r>
          </w:p>
        </w:tc>
        <w:tc>
          <w:tcPr>
            <w:tcW w:w="9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仿宋"/>
                <w:b/>
                <w:color w:val="auto"/>
                <w:sz w:val="28"/>
                <w:szCs w:val="28"/>
                <w:highlight w:val="none"/>
              </w:rPr>
            </w:pPr>
            <w:r>
              <w:rPr>
                <w:rFonts w:hint="eastAsia" w:ascii="宋体" w:hAnsi="宋体" w:cs="仿宋"/>
                <w:b/>
                <w:color w:val="auto"/>
                <w:kern w:val="0"/>
                <w:sz w:val="28"/>
                <w:szCs w:val="28"/>
                <w:highlight w:val="none"/>
              </w:rPr>
              <w:t>职称</w:t>
            </w:r>
          </w:p>
        </w:tc>
        <w:tc>
          <w:tcPr>
            <w:tcW w:w="173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仿宋"/>
                <w:b/>
                <w:color w:val="auto"/>
                <w:sz w:val="28"/>
                <w:szCs w:val="28"/>
                <w:highlight w:val="none"/>
              </w:rPr>
            </w:pPr>
            <w:r>
              <w:rPr>
                <w:rFonts w:hint="eastAsia" w:ascii="宋体" w:hAnsi="宋体" w:cs="仿宋"/>
                <w:b/>
                <w:color w:val="auto"/>
                <w:kern w:val="0"/>
                <w:sz w:val="28"/>
                <w:szCs w:val="28"/>
                <w:highlight w:val="none"/>
              </w:rPr>
              <w:t>职称证书或资格证书编号</w:t>
            </w:r>
          </w:p>
        </w:tc>
      </w:tr>
      <w:tr>
        <w:tblPrEx>
          <w:tblCellMar>
            <w:top w:w="0" w:type="dxa"/>
            <w:left w:w="0" w:type="dxa"/>
            <w:bottom w:w="0" w:type="dxa"/>
            <w:right w:w="0"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96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276" w:lineRule="auto"/>
              <w:jc w:val="center"/>
              <w:rPr>
                <w:rFonts w:ascii="宋体" w:hAnsi="宋体"/>
                <w:color w:val="auto"/>
                <w:szCs w:val="21"/>
                <w:highlight w:val="none"/>
              </w:rPr>
            </w:pPr>
          </w:p>
        </w:tc>
        <w:tc>
          <w:tcPr>
            <w:tcW w:w="93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173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r>
      <w:tr>
        <w:tblPrEx>
          <w:tblCellMar>
            <w:top w:w="0" w:type="dxa"/>
            <w:left w:w="0" w:type="dxa"/>
            <w:bottom w:w="0" w:type="dxa"/>
            <w:right w:w="0"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96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276" w:lineRule="auto"/>
              <w:jc w:val="center"/>
              <w:rPr>
                <w:rFonts w:ascii="宋体" w:hAnsi="宋体"/>
                <w:color w:val="auto"/>
                <w:szCs w:val="21"/>
                <w:highlight w:val="none"/>
              </w:rPr>
            </w:pPr>
          </w:p>
        </w:tc>
        <w:tc>
          <w:tcPr>
            <w:tcW w:w="93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173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r>
      <w:tr>
        <w:tblPrEx>
          <w:tblCellMar>
            <w:top w:w="0" w:type="dxa"/>
            <w:left w:w="0" w:type="dxa"/>
            <w:bottom w:w="0" w:type="dxa"/>
            <w:right w:w="0"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96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93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173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r>
      <w:tr>
        <w:tblPrEx>
          <w:tblCellMar>
            <w:top w:w="0" w:type="dxa"/>
            <w:left w:w="0" w:type="dxa"/>
            <w:bottom w:w="0" w:type="dxa"/>
            <w:right w:w="0"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96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color w:val="auto"/>
                <w:highlight w:val="none"/>
              </w:rPr>
            </w:pPr>
          </w:p>
        </w:tc>
        <w:tc>
          <w:tcPr>
            <w:tcW w:w="93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173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r>
      <w:tr>
        <w:tblPrEx>
          <w:tblCellMar>
            <w:top w:w="0" w:type="dxa"/>
            <w:left w:w="0" w:type="dxa"/>
            <w:bottom w:w="0" w:type="dxa"/>
            <w:right w:w="0"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96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color w:val="auto"/>
                <w:highlight w:val="none"/>
              </w:rPr>
            </w:pPr>
          </w:p>
        </w:tc>
        <w:tc>
          <w:tcPr>
            <w:tcW w:w="93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173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r>
      <w:tr>
        <w:tblPrEx>
          <w:tblCellMar>
            <w:top w:w="0" w:type="dxa"/>
            <w:left w:w="0" w:type="dxa"/>
            <w:bottom w:w="0" w:type="dxa"/>
            <w:right w:w="0"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96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color w:val="auto"/>
                <w:highlight w:val="none"/>
              </w:rPr>
            </w:pPr>
          </w:p>
        </w:tc>
        <w:tc>
          <w:tcPr>
            <w:tcW w:w="93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173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r>
      <w:tr>
        <w:tblPrEx>
          <w:tblCellMar>
            <w:top w:w="0" w:type="dxa"/>
            <w:left w:w="0" w:type="dxa"/>
            <w:bottom w:w="0" w:type="dxa"/>
            <w:right w:w="0"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96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93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173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r>
      <w:tr>
        <w:tblPrEx>
          <w:tblCellMar>
            <w:top w:w="0" w:type="dxa"/>
            <w:left w:w="0" w:type="dxa"/>
            <w:bottom w:w="0" w:type="dxa"/>
            <w:right w:w="0"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96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color w:val="auto"/>
                <w:highlight w:val="none"/>
              </w:rPr>
            </w:pPr>
          </w:p>
        </w:tc>
        <w:tc>
          <w:tcPr>
            <w:tcW w:w="93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173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r>
      <w:tr>
        <w:tblPrEx>
          <w:tblCellMar>
            <w:top w:w="0" w:type="dxa"/>
            <w:left w:w="0" w:type="dxa"/>
            <w:bottom w:w="0" w:type="dxa"/>
            <w:right w:w="0"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96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color w:val="auto"/>
                <w:highlight w:val="none"/>
              </w:rPr>
            </w:pPr>
          </w:p>
        </w:tc>
        <w:tc>
          <w:tcPr>
            <w:tcW w:w="93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173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r>
      <w:tr>
        <w:tblPrEx>
          <w:tblCellMar>
            <w:top w:w="0" w:type="dxa"/>
            <w:left w:w="0" w:type="dxa"/>
            <w:bottom w:w="0" w:type="dxa"/>
            <w:right w:w="0"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96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color w:val="auto"/>
                <w:highlight w:val="none"/>
              </w:rPr>
            </w:pPr>
          </w:p>
        </w:tc>
        <w:tc>
          <w:tcPr>
            <w:tcW w:w="93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c>
          <w:tcPr>
            <w:tcW w:w="173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仿宋"/>
                <w:color w:val="auto"/>
                <w:sz w:val="28"/>
                <w:szCs w:val="28"/>
                <w:highlight w:val="none"/>
              </w:rPr>
            </w:pPr>
          </w:p>
        </w:tc>
      </w:tr>
      <w:tr>
        <w:tblPrEx>
          <w:tblCellMar>
            <w:top w:w="0" w:type="dxa"/>
            <w:left w:w="0" w:type="dxa"/>
            <w:bottom w:w="0" w:type="dxa"/>
            <w:right w:w="0" w:type="dxa"/>
          </w:tblCellMar>
        </w:tblPrEx>
        <w:trPr>
          <w:trHeight w:val="20" w:hRule="atLeast"/>
        </w:trPr>
        <w:tc>
          <w:tcPr>
            <w:tcW w:w="5000" w:type="pct"/>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Style w:val="26"/>
                <w:rFonts w:hint="default" w:ascii="宋体" w:hAnsi="宋体" w:eastAsia="宋体" w:cs="宋体"/>
                <w:color w:val="auto"/>
                <w:sz w:val="24"/>
                <w:szCs w:val="28"/>
                <w:highlight w:val="none"/>
              </w:rPr>
            </w:pPr>
            <w:r>
              <w:rPr>
                <w:rStyle w:val="26"/>
                <w:rFonts w:hint="default" w:ascii="宋体" w:hAnsi="宋体" w:eastAsia="宋体" w:cs="宋体"/>
                <w:color w:val="auto"/>
                <w:sz w:val="24"/>
                <w:szCs w:val="28"/>
                <w:highlight w:val="none"/>
              </w:rPr>
              <w:t>备注：</w:t>
            </w:r>
            <w:r>
              <w:rPr>
                <w:rStyle w:val="26"/>
                <w:rFonts w:hint="default" w:ascii="宋体" w:hAnsi="宋体" w:eastAsia="宋体" w:cs="宋体"/>
                <w:color w:val="auto"/>
                <w:sz w:val="24"/>
                <w:szCs w:val="28"/>
                <w:highlight w:val="none"/>
              </w:rPr>
              <w:br w:type="textWrapping"/>
            </w:r>
            <w:r>
              <w:rPr>
                <w:rStyle w:val="26"/>
                <w:rFonts w:hint="default" w:ascii="宋体" w:hAnsi="宋体" w:eastAsia="宋体" w:cs="宋体"/>
                <w:color w:val="auto"/>
                <w:sz w:val="24"/>
                <w:szCs w:val="28"/>
                <w:highlight w:val="none"/>
              </w:rPr>
              <w:t>1、“岗位”要求</w:t>
            </w:r>
            <w:r>
              <w:rPr>
                <w:rStyle w:val="27"/>
                <w:rFonts w:hint="default" w:ascii="宋体" w:hAnsi="宋体" w:eastAsia="宋体" w:cs="宋体"/>
                <w:b w:val="0"/>
                <w:color w:val="auto"/>
                <w:sz w:val="24"/>
                <w:szCs w:val="28"/>
                <w:highlight w:val="none"/>
              </w:rPr>
              <w:t>（总监理工程师除外）</w:t>
            </w:r>
            <w:r>
              <w:rPr>
                <w:rStyle w:val="26"/>
                <w:rFonts w:hint="default" w:ascii="宋体" w:hAnsi="宋体" w:eastAsia="宋体" w:cs="宋体"/>
                <w:color w:val="auto"/>
                <w:sz w:val="24"/>
                <w:szCs w:val="28"/>
                <w:highlight w:val="none"/>
              </w:rPr>
              <w:t>由招标人根据项目管理需要在本表备注中明确提出，如：拟派驻施工现场的总监理工程师代表、专业监理工程师、监理员等。以上项目管理团队人员信息将由交易系统提取后供各相关单位在履约时比对、查核。</w:t>
            </w:r>
            <w:r>
              <w:rPr>
                <w:rStyle w:val="26"/>
                <w:rFonts w:hint="default" w:ascii="宋体" w:hAnsi="宋体" w:eastAsia="宋体" w:cs="宋体"/>
                <w:color w:val="auto"/>
                <w:sz w:val="24"/>
                <w:szCs w:val="28"/>
                <w:highlight w:val="none"/>
              </w:rPr>
              <w:br w:type="textWrapping"/>
            </w:r>
            <w:r>
              <w:rPr>
                <w:rStyle w:val="26"/>
                <w:rFonts w:hint="default" w:ascii="宋体" w:hAnsi="宋体" w:eastAsia="宋体" w:cs="宋体"/>
                <w:color w:val="auto"/>
                <w:sz w:val="24"/>
                <w:szCs w:val="28"/>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widowControl/>
              <w:jc w:val="left"/>
              <w:textAlignment w:val="center"/>
              <w:rPr>
                <w:rFonts w:ascii="宋体" w:cs="仿宋"/>
                <w:color w:val="auto"/>
                <w:sz w:val="24"/>
                <w:highlight w:val="none"/>
              </w:rPr>
            </w:pPr>
            <w:r>
              <w:rPr>
                <w:rStyle w:val="26"/>
                <w:rFonts w:hint="default" w:ascii="宋体" w:hAnsi="宋体" w:eastAsia="宋体" w:cs="宋体"/>
                <w:color w:val="auto"/>
                <w:sz w:val="24"/>
                <w:szCs w:val="28"/>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rPr>
          <w:color w:val="auto"/>
          <w:highlight w:val="none"/>
        </w:rPr>
        <w:sectPr>
          <w:pgSz w:w="11906" w:h="16838"/>
          <w:pgMar w:top="1440" w:right="1800" w:bottom="1440" w:left="1800" w:header="851" w:footer="992" w:gutter="0"/>
          <w:cols w:space="425" w:num="1"/>
          <w:docGrid w:type="lines" w:linePitch="312" w:charSpace="0"/>
        </w:sectPr>
      </w:pPr>
    </w:p>
    <w:p>
      <w:pPr>
        <w:rPr>
          <w:color w:val="auto"/>
          <w:highlight w:val="none"/>
        </w:rPr>
      </w:pPr>
    </w:p>
    <w:p>
      <w:pPr>
        <w:rPr>
          <w:rFonts w:hint="eastAsia" w:eastAsiaTheme="minorEastAsia"/>
          <w:lang w:val="en-US" w:eastAsia="zh-CN"/>
        </w:rPr>
      </w:pPr>
      <w:r>
        <w:rPr>
          <w:rFonts w:hint="eastAsia"/>
          <w:lang w:val="en-US" w:eastAsia="zh-CN"/>
        </w:rPr>
        <w:t xml:space="preserve">   </w:t>
      </w:r>
    </w:p>
    <w:p>
      <w:pPr>
        <w:rPr>
          <w:rFonts w:hint="eastAsia" w:eastAsiaTheme="minorEastAsia"/>
          <w:lang w:val="en-US" w:eastAsia="zh-CN"/>
        </w:rPr>
      </w:pPr>
      <w:r>
        <w:rPr>
          <w:rFonts w:hint="eastAsia"/>
          <w:lang w:val="en-US" w:eastAsia="zh-CN"/>
        </w:rPr>
        <w:t xml:space="preserve">   </w:t>
      </w:r>
    </w:p>
    <w:p>
      <w:pPr>
        <w:rPr>
          <w:rFonts w:hint="eastAsia" w:eastAsiaTheme="minorEastAsia"/>
          <w:lang w:val="en-US" w:eastAsia="zh-CN"/>
        </w:rPr>
      </w:pPr>
    </w:p>
    <w:sectPr>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1)">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rPr>
        <w:rFonts w:ascii="宋体" w:hAnsi="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F1DDC"/>
    <w:multiLevelType w:val="singleLevel"/>
    <w:tmpl w:val="C1FF1DDC"/>
    <w:lvl w:ilvl="0" w:tentative="0">
      <w:start w:val="2"/>
      <w:numFmt w:val="decimal"/>
      <w:lvlText w:val="%1."/>
      <w:lvlJc w:val="left"/>
      <w:pPr>
        <w:tabs>
          <w:tab w:val="left" w:pos="312"/>
        </w:tabs>
      </w:pPr>
    </w:lvl>
  </w:abstractNum>
  <w:abstractNum w:abstractNumId="1">
    <w:nsid w:val="FD541568"/>
    <w:multiLevelType w:val="singleLevel"/>
    <w:tmpl w:val="FD541568"/>
    <w:lvl w:ilvl="0" w:tentative="0">
      <w:start w:val="4"/>
      <w:numFmt w:val="chineseCounting"/>
      <w:suff w:val="space"/>
      <w:lvlText w:val="第%1章"/>
      <w:lvlJc w:val="left"/>
      <w:rPr>
        <w:rFonts w:hint="eastAsia"/>
      </w:rPr>
    </w:lvl>
  </w:abstractNum>
  <w:abstractNum w:abstractNumId="2">
    <w:nsid w:val="27910442"/>
    <w:multiLevelType w:val="singleLevel"/>
    <w:tmpl w:val="27910442"/>
    <w:lvl w:ilvl="0" w:tentative="0">
      <w:start w:val="1"/>
      <w:numFmt w:val="decimal"/>
      <w:suff w:val="nothing"/>
      <w:lvlText w:val="%1、"/>
      <w:lvlJc w:val="left"/>
    </w:lvl>
  </w:abstractNum>
  <w:abstractNum w:abstractNumId="3">
    <w:nsid w:val="791A2C71"/>
    <w:multiLevelType w:val="multilevel"/>
    <w:tmpl w:val="791A2C7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Dg4NDVhZGM3NjI5YjcxNDBlNzdkY2JmZjU2YzQifQ=="/>
    <w:docVar w:name="KGWebUrl" w:val="http://10.168.30.10:7890/easoa/PositionServlet"/>
  </w:docVars>
  <w:rsids>
    <w:rsidRoot w:val="00000000"/>
    <w:rsid w:val="02093649"/>
    <w:rsid w:val="183326C1"/>
    <w:rsid w:val="273264DD"/>
    <w:rsid w:val="2EFC1D30"/>
    <w:rsid w:val="33C82406"/>
    <w:rsid w:val="3B550104"/>
    <w:rsid w:val="3D2B4B15"/>
    <w:rsid w:val="46E8133E"/>
    <w:rsid w:val="5D135140"/>
    <w:rsid w:val="61B37758"/>
    <w:rsid w:val="69DE13B7"/>
    <w:rsid w:val="74F344EC"/>
    <w:rsid w:val="7F1B3F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line="576" w:lineRule="auto"/>
      <w:jc w:val="center"/>
      <w:outlineLvl w:val="0"/>
    </w:pPr>
    <w:rPr>
      <w:b/>
      <w:kern w:val="44"/>
      <w:sz w:val="44"/>
    </w:rPr>
  </w:style>
  <w:style w:type="paragraph" w:styleId="3">
    <w:name w:val="heading 2"/>
    <w:basedOn w:val="1"/>
    <w:next w:val="1"/>
    <w:qFormat/>
    <w:uiPriority w:val="0"/>
    <w:pPr>
      <w:keepNext/>
      <w:keepLines/>
      <w:spacing w:line="360" w:lineRule="auto"/>
      <w:jc w:val="center"/>
      <w:outlineLvl w:val="1"/>
    </w:pPr>
    <w:rPr>
      <w:rFonts w:ascii="宋体" w:hAnsi="宋体"/>
      <w:b/>
      <w:sz w:val="32"/>
    </w:rPr>
  </w:style>
  <w:style w:type="paragraph" w:styleId="4">
    <w:name w:val="heading 3"/>
    <w:basedOn w:val="1"/>
    <w:next w:val="1"/>
    <w:qFormat/>
    <w:uiPriority w:val="0"/>
    <w:pPr>
      <w:keepNext/>
      <w:keepLines/>
      <w:spacing w:line="360" w:lineRule="auto"/>
      <w:jc w:val="center"/>
      <w:outlineLvl w:val="2"/>
    </w:pPr>
    <w:rPr>
      <w:b/>
      <w:bCs/>
      <w:sz w:val="24"/>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rPr>
      <w:rFonts w:asciiTheme="minorHAnsi" w:hAnsiTheme="minorHAnsi" w:eastAsiaTheme="minorEastAsia" w:cstheme="minorBidi"/>
    </w:rPr>
  </w:style>
  <w:style w:type="paragraph" w:styleId="9">
    <w:name w:val="Body Text Indent"/>
    <w:basedOn w:val="1"/>
    <w:next w:val="10"/>
    <w:qFormat/>
    <w:uiPriority w:val="0"/>
    <w:pPr>
      <w:autoSpaceDE w:val="0"/>
      <w:autoSpaceDN w:val="0"/>
      <w:adjustRightInd w:val="0"/>
      <w:spacing w:line="0" w:lineRule="atLeast"/>
      <w:ind w:firstLine="525"/>
      <w:textAlignment w:val="top"/>
    </w:pPr>
    <w:rPr>
      <w:rFonts w:ascii="宋体" w:hAnsi="宋体" w:eastAsiaTheme="minorEastAsia" w:cstheme="minorBidi"/>
      <w:color w:val="000000"/>
    </w:rPr>
  </w:style>
  <w:style w:type="paragraph" w:styleId="10">
    <w:name w:val="envelope return"/>
    <w:basedOn w:val="1"/>
    <w:qFormat/>
    <w:uiPriority w:val="99"/>
    <w:pPr>
      <w:snapToGrid w:val="0"/>
    </w:pPr>
    <w:rPr>
      <w:rFonts w:ascii="Arial" w:hAnsi="Arial" w:cs="Arial"/>
    </w:rPr>
  </w:style>
  <w:style w:type="paragraph" w:styleId="11">
    <w:name w:val="Block Text"/>
    <w:basedOn w:val="1"/>
    <w:qFormat/>
    <w:uiPriority w:val="0"/>
    <w:pPr>
      <w:adjustRightInd w:val="0"/>
      <w:ind w:left="420" w:right="33"/>
      <w:jc w:val="left"/>
      <w:textAlignment w:val="baseline"/>
    </w:pPr>
    <w:rPr>
      <w:kern w:val="0"/>
      <w:sz w:val="24"/>
      <w:szCs w:val="20"/>
    </w:rPr>
  </w:style>
  <w:style w:type="paragraph" w:styleId="12">
    <w:name w:val="Plain Text"/>
    <w:basedOn w:val="1"/>
    <w:qFormat/>
    <w:uiPriority w:val="0"/>
    <w:rPr>
      <w:rFonts w:ascii="宋体" w:hAnsi="Courier New" w:cstheme="minorBidi"/>
      <w:sz w:val="24"/>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Body Text 2"/>
    <w:basedOn w:val="1"/>
    <w:qFormat/>
    <w:uiPriority w:val="0"/>
    <w:rPr>
      <w:sz w:val="44"/>
    </w:rPr>
  </w:style>
  <w:style w:type="paragraph" w:styleId="17">
    <w:name w:val="Body Text First Indent"/>
    <w:basedOn w:val="8"/>
    <w:qFormat/>
    <w:uiPriority w:val="0"/>
    <w:pPr>
      <w:ind w:firstLine="420" w:firstLineChars="100"/>
    </w:pPr>
  </w:style>
  <w:style w:type="paragraph" w:styleId="18">
    <w:name w:val="Body Text First Indent 2"/>
    <w:basedOn w:val="9"/>
    <w:unhideWhenUsed/>
    <w:qFormat/>
    <w:uiPriority w:val="99"/>
    <w:pPr>
      <w:autoSpaceDE/>
      <w:autoSpaceDN/>
      <w:adjustRightInd/>
      <w:spacing w:after="120" w:line="240" w:lineRule="auto"/>
      <w:ind w:left="420" w:leftChars="200" w:firstLine="420" w:firstLineChars="200"/>
      <w:textAlignment w:val="auto"/>
    </w:pPr>
    <w:rPr>
      <w:rFonts w:ascii="Times New Roman" w:hAnsi="Times New Roman" w:eastAsia="宋体" w:cs="Times New Roman"/>
      <w:color w:val="auto"/>
    </w:rPr>
  </w:style>
  <w:style w:type="character" w:styleId="21">
    <w:name w:val="Emphasis"/>
    <w:qFormat/>
    <w:uiPriority w:val="0"/>
    <w:rPr>
      <w:i/>
    </w:rPr>
  </w:style>
  <w:style w:type="paragraph" w:customStyle="1" w:styleId="22">
    <w:name w:val="列出段落1"/>
    <w:basedOn w:val="1"/>
    <w:qFormat/>
    <w:uiPriority w:val="34"/>
    <w:pPr>
      <w:adjustRightInd w:val="0"/>
      <w:spacing w:line="315" w:lineRule="atLeast"/>
      <w:ind w:firstLine="420" w:firstLineChars="200"/>
      <w:jc w:val="left"/>
      <w:textAlignment w:val="baseline"/>
    </w:pPr>
    <w:rPr>
      <w:rFonts w:ascii="宋体" w:hAnsi="CG Times (W1)"/>
      <w:kern w:val="0"/>
      <w:szCs w:val="20"/>
    </w:rPr>
  </w:style>
  <w:style w:type="paragraph" w:customStyle="1" w:styleId="2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Other|1"/>
    <w:basedOn w:val="1"/>
    <w:qFormat/>
    <w:uiPriority w:val="0"/>
    <w:pPr>
      <w:spacing w:line="288" w:lineRule="exact"/>
    </w:pPr>
    <w:rPr>
      <w:rFonts w:ascii="宋体" w:hAnsi="宋体" w:cs="宋体"/>
      <w:sz w:val="20"/>
      <w:szCs w:val="20"/>
      <w:lang w:val="zh-TW" w:eastAsia="zh-TW" w:bidi="zh-TW"/>
    </w:rPr>
  </w:style>
  <w:style w:type="paragraph" w:styleId="25">
    <w:name w:val="List Paragraph"/>
    <w:basedOn w:val="1"/>
    <w:qFormat/>
    <w:uiPriority w:val="34"/>
    <w:pPr>
      <w:widowControl/>
      <w:ind w:firstLine="420" w:firstLineChars="200"/>
      <w:jc w:val="left"/>
    </w:pPr>
    <w:rPr>
      <w:rFonts w:ascii="Calibri" w:hAnsi="Calibri" w:eastAsiaTheme="minorEastAsia" w:cstheme="minorBidi"/>
      <w:szCs w:val="22"/>
    </w:rPr>
  </w:style>
  <w:style w:type="character" w:customStyle="1" w:styleId="26">
    <w:name w:val="font11"/>
    <w:qFormat/>
    <w:uiPriority w:val="99"/>
    <w:rPr>
      <w:rFonts w:hint="eastAsia" w:ascii="仿宋" w:hAnsi="仿宋" w:eastAsia="仿宋"/>
      <w:color w:val="000000"/>
      <w:sz w:val="28"/>
      <w:u w:val="none"/>
    </w:rPr>
  </w:style>
  <w:style w:type="character" w:customStyle="1" w:styleId="27">
    <w:name w:val="font21"/>
    <w:qFormat/>
    <w:uiPriority w:val="99"/>
    <w:rPr>
      <w:rFonts w:hint="eastAsia" w:ascii="仿宋" w:hAnsi="仿宋" w:eastAsia="仿宋"/>
      <w:b/>
      <w:color w:val="000000"/>
      <w:sz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29203</Words>
  <Characters>30775</Characters>
  <Lines>0</Lines>
  <Paragraphs>0</Paragraphs>
  <TotalTime>40</TotalTime>
  <ScaleCrop>false</ScaleCrop>
  <LinksUpToDate>false</LinksUpToDate>
  <CharactersWithSpaces>32025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wo</dc:creator>
  <cp:lastModifiedBy>张</cp:lastModifiedBy>
  <cp:lastPrinted>2025-07-07T03:42:00Z</cp:lastPrinted>
  <dcterms:modified xsi:type="dcterms:W3CDTF">2025-07-14T08:06:48Z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TemplateDocerSaveRecord">
    <vt:lpwstr>eyJoZGlkIjoiMjJiODExYjAwZTI3NjUzN2RmYmFiZDQxNWQ4ZjgzZjgiLCJ1c2VySWQiOiIxNTA2MzI5MTA1In0=</vt:lpwstr>
  </property>
  <property fmtid="{D5CDD505-2E9C-101B-9397-08002B2CF9AE}" pid="4" name="ICV">
    <vt:lpwstr>69CFB0D5FB384A0B96A0A69972B914B9_13</vt:lpwstr>
  </property>
</Properties>
</file>