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hAnsi="宋体" w:cs="宋体"/>
          <w:b/>
          <w:color w:val="auto"/>
          <w:kern w:val="0"/>
          <w:sz w:val="48"/>
          <w:szCs w:val="48"/>
          <w:highlight w:val="none"/>
        </w:rPr>
      </w:pPr>
      <w:r>
        <w:rPr>
          <w:rFonts w:hint="eastAsia"/>
          <w:color w:val="auto"/>
          <w:highlight w:val="none"/>
          <w:lang w:val="en-US" w:eastAsia="zh-CN"/>
        </w:rPr>
        <w:t xml:space="preserve">   </w:t>
      </w:r>
      <w:bookmarkStart w:id="0" w:name="_Toc477764167"/>
      <w:bookmarkEnd w:id="0"/>
      <w:bookmarkStart w:id="1" w:name="_Hlk67473951"/>
      <w:bookmarkStart w:id="2" w:name="_Hlk67474010"/>
    </w:p>
    <w:p>
      <w:pPr>
        <w:spacing w:line="360" w:lineRule="auto"/>
        <w:jc w:val="center"/>
        <w:rPr>
          <w:rFonts w:ascii="宋体" w:hAnsi="宋体" w:cs="宋体"/>
          <w:color w:val="auto"/>
          <w:sz w:val="72"/>
          <w:szCs w:val="72"/>
          <w:highlight w:val="none"/>
        </w:rPr>
      </w:pPr>
      <w:r>
        <w:rPr>
          <w:rFonts w:hint="eastAsia" w:ascii="宋体" w:hAnsi="宋体" w:cs="华文中宋"/>
          <w:b/>
          <w:bCs/>
          <w:color w:val="auto"/>
          <w:sz w:val="52"/>
          <w:szCs w:val="52"/>
          <w:highlight w:val="none"/>
        </w:rPr>
        <w:t>岭南集团食品产业基地</w:t>
      </w:r>
      <w:r>
        <w:rPr>
          <w:rFonts w:hint="eastAsia" w:ascii="宋体" w:hAnsi="宋体" w:cs="华文中宋"/>
          <w:b/>
          <w:bCs/>
          <w:color w:val="auto"/>
          <w:sz w:val="52"/>
          <w:szCs w:val="52"/>
          <w:highlight w:val="none"/>
          <w:lang w:val="en-US" w:eastAsia="zh-CN"/>
        </w:rPr>
        <w:t>项目</w:t>
      </w:r>
      <w:r>
        <w:rPr>
          <w:rFonts w:hint="eastAsia" w:ascii="宋体" w:hAnsi="宋体" w:cs="华文中宋"/>
          <w:b/>
          <w:bCs/>
          <w:color w:val="auto"/>
          <w:sz w:val="52"/>
          <w:szCs w:val="52"/>
          <w:highlight w:val="none"/>
        </w:rPr>
        <w:t>施工监理</w:t>
      </w:r>
    </w:p>
    <w:p>
      <w:pPr>
        <w:spacing w:line="360" w:lineRule="auto"/>
        <w:jc w:val="center"/>
        <w:rPr>
          <w:rFonts w:ascii="宋体" w:hAnsi="宋体" w:cs="宋体"/>
          <w:color w:val="auto"/>
          <w:sz w:val="72"/>
          <w:szCs w:val="72"/>
          <w:highlight w:val="none"/>
        </w:rPr>
      </w:pPr>
    </w:p>
    <w:p>
      <w:pPr>
        <w:spacing w:line="360" w:lineRule="auto"/>
        <w:jc w:val="center"/>
        <w:rPr>
          <w:rFonts w:hint="eastAsia" w:ascii="宋体" w:hAnsi="宋体" w:eastAsia="宋体" w:cs="宋体"/>
          <w:color w:val="auto"/>
          <w:sz w:val="96"/>
          <w:szCs w:val="96"/>
          <w:highlight w:val="none"/>
          <w:lang w:eastAsia="zh-CN"/>
        </w:rPr>
      </w:pPr>
      <w:r>
        <w:rPr>
          <w:rFonts w:hint="eastAsia" w:ascii="宋体" w:hAnsi="宋体" w:eastAsia="宋体" w:cs="宋体"/>
          <w:b/>
          <w:bCs/>
          <w:color w:val="auto"/>
          <w:sz w:val="96"/>
          <w:szCs w:val="96"/>
          <w:highlight w:val="none"/>
        </w:rPr>
        <w:t xml:space="preserve">招 标 </w:t>
      </w:r>
      <w:r>
        <w:rPr>
          <w:rFonts w:hint="eastAsia" w:ascii="宋体" w:hAnsi="宋体" w:eastAsia="宋体" w:cs="宋体"/>
          <w:b/>
          <w:bCs/>
          <w:color w:val="auto"/>
          <w:sz w:val="96"/>
          <w:szCs w:val="96"/>
          <w:highlight w:val="none"/>
          <w:lang w:val="en-US" w:eastAsia="zh-CN"/>
        </w:rPr>
        <w:t>公 告</w:t>
      </w:r>
    </w:p>
    <w:p>
      <w:pPr>
        <w:spacing w:line="360" w:lineRule="auto"/>
        <w:jc w:val="center"/>
        <w:rPr>
          <w:rStyle w:val="9"/>
          <w:rFonts w:ascii="宋体" w:hAnsi="宋体" w:cs="宋体"/>
          <w:color w:val="auto"/>
          <w:sz w:val="48"/>
          <w:highlight w:val="none"/>
        </w:rPr>
      </w:pPr>
    </w:p>
    <w:p>
      <w:pPr>
        <w:spacing w:line="360" w:lineRule="auto"/>
        <w:jc w:val="center"/>
        <w:rPr>
          <w:rFonts w:ascii="宋体" w:hAnsi="宋体" w:cs="宋体"/>
          <w:color w:val="auto"/>
          <w:highlight w:val="none"/>
        </w:rPr>
      </w:pPr>
    </w:p>
    <w:p>
      <w:pPr>
        <w:spacing w:line="360" w:lineRule="auto"/>
        <w:rPr>
          <w:rFonts w:ascii="宋体" w:hAnsi="宋体" w:cs="宋体"/>
          <w:color w:val="auto"/>
          <w:highlight w:val="none"/>
        </w:rPr>
      </w:pPr>
    </w:p>
    <w:p>
      <w:pPr>
        <w:spacing w:line="360" w:lineRule="auto"/>
        <w:jc w:val="center"/>
        <w:rPr>
          <w:rFonts w:ascii="宋体" w:hAnsi="宋体" w:cs="宋体"/>
          <w:color w:val="auto"/>
          <w:highlight w:val="none"/>
        </w:rPr>
      </w:pPr>
    </w:p>
    <w:p>
      <w:pPr>
        <w:pStyle w:val="10"/>
        <w:rPr>
          <w:rFonts w:ascii="宋体" w:hAnsi="宋体" w:cs="宋体"/>
          <w:color w:val="auto"/>
          <w:highlight w:val="none"/>
        </w:rPr>
      </w:pPr>
    </w:p>
    <w:p>
      <w:pPr>
        <w:spacing w:line="360" w:lineRule="auto"/>
        <w:jc w:val="center"/>
        <w:rPr>
          <w:rFonts w:ascii="宋体" w:hAnsi="宋体" w:cs="宋体"/>
          <w:color w:val="auto"/>
          <w:highlight w:val="none"/>
        </w:rPr>
      </w:pPr>
    </w:p>
    <w:p>
      <w:pPr>
        <w:spacing w:line="360" w:lineRule="auto"/>
        <w:jc w:val="center"/>
        <w:rPr>
          <w:rFonts w:ascii="宋体" w:hAnsi="宋体" w:cs="宋体"/>
          <w:color w:val="auto"/>
          <w:highlight w:val="none"/>
        </w:rPr>
      </w:pPr>
    </w:p>
    <w:p>
      <w:pPr>
        <w:spacing w:line="360" w:lineRule="auto"/>
        <w:ind w:firstLine="851" w:firstLineChars="265"/>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   标   人：</w:t>
      </w:r>
      <w:r>
        <w:rPr>
          <w:rFonts w:hint="eastAsia" w:ascii="宋体" w:hAnsi="宋体" w:cs="宋体"/>
          <w:b/>
          <w:bCs/>
          <w:color w:val="auto"/>
          <w:sz w:val="32"/>
          <w:szCs w:val="32"/>
          <w:highlight w:val="none"/>
          <w:lang w:eastAsia="zh-CN"/>
        </w:rPr>
        <w:t>广州广粮坊食品科技有限公司</w:t>
      </w:r>
    </w:p>
    <w:p>
      <w:pPr>
        <w:spacing w:line="360" w:lineRule="auto"/>
        <w:ind w:firstLine="851" w:firstLineChars="265"/>
        <w:rPr>
          <w:rFonts w:ascii="宋体" w:hAnsi="宋体" w:cs="宋体"/>
          <w:b/>
          <w:color w:val="auto"/>
          <w:kern w:val="0"/>
          <w:sz w:val="32"/>
          <w:szCs w:val="32"/>
          <w:highlight w:val="none"/>
        </w:rPr>
      </w:pPr>
      <w:r>
        <w:rPr>
          <w:rFonts w:hint="eastAsia" w:ascii="宋体" w:hAnsi="宋体" w:cs="宋体"/>
          <w:b/>
          <w:bCs/>
          <w:color w:val="auto"/>
          <w:sz w:val="32"/>
          <w:szCs w:val="32"/>
          <w:highlight w:val="none"/>
        </w:rPr>
        <w:t>招标代理机构：</w:t>
      </w:r>
      <w:r>
        <w:rPr>
          <w:rFonts w:hint="eastAsia" w:ascii="宋体" w:hAnsi="宋体" w:cs="宋体"/>
          <w:b/>
          <w:color w:val="auto"/>
          <w:kern w:val="0"/>
          <w:sz w:val="32"/>
          <w:szCs w:val="32"/>
          <w:highlight w:val="none"/>
        </w:rPr>
        <w:t>广州市国际工程咨询有限公司</w:t>
      </w:r>
    </w:p>
    <w:p>
      <w:pPr>
        <w:spacing w:line="360" w:lineRule="auto"/>
        <w:ind w:firstLine="851" w:firstLineChars="265"/>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日        期：</w:t>
      </w:r>
      <w:r>
        <w:rPr>
          <w:rFonts w:hint="eastAsia" w:ascii="宋体" w:hAnsi="宋体" w:cs="宋体"/>
          <w:b/>
          <w:bCs/>
          <w:color w:val="auto"/>
          <w:sz w:val="32"/>
          <w:szCs w:val="32"/>
          <w:highlight w:val="none"/>
          <w:lang w:eastAsia="zh-CN"/>
        </w:rPr>
        <w:t>2025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 xml:space="preserve">7 </w:t>
      </w:r>
      <w:r>
        <w:rPr>
          <w:rFonts w:hint="eastAsia" w:ascii="宋体" w:hAnsi="宋体" w:cs="宋体"/>
          <w:b/>
          <w:bCs/>
          <w:color w:val="auto"/>
          <w:sz w:val="32"/>
          <w:szCs w:val="32"/>
          <w:highlight w:val="none"/>
        </w:rPr>
        <w:t>月</w:t>
      </w:r>
    </w:p>
    <w:p>
      <w:pPr>
        <w:pStyle w:val="2"/>
        <w:rPr>
          <w:color w:val="auto"/>
          <w:highlight w:val="none"/>
        </w:rPr>
      </w:pPr>
    </w:p>
    <w:p>
      <w:pPr>
        <w:snapToGrid w:val="0"/>
        <w:spacing w:line="360" w:lineRule="auto"/>
        <w:ind w:firstLine="1661" w:firstLineChars="591"/>
        <w:rPr>
          <w:rFonts w:ascii="宋体" w:hAnsi="宋体"/>
          <w:b/>
          <w:color w:val="auto"/>
          <w:sz w:val="28"/>
          <w:highlight w:val="none"/>
        </w:rPr>
        <w:sectPr>
          <w:footerReference r:id="rId5" w:type="first"/>
          <w:headerReference r:id="rId3" w:type="default"/>
          <w:footerReference r:id="rId4" w:type="default"/>
          <w:pgSz w:w="11907" w:h="16840"/>
          <w:pgMar w:top="1134" w:right="1417" w:bottom="1134" w:left="1417" w:header="680" w:footer="680" w:gutter="0"/>
          <w:pgNumType w:start="1"/>
          <w:cols w:space="720" w:num="1"/>
          <w:titlePg/>
          <w:docGrid w:linePitch="286" w:charSpace="0"/>
        </w:sectPr>
      </w:pPr>
    </w:p>
    <w:bookmarkEnd w:id="1"/>
    <w:bookmarkEnd w:id="2"/>
    <w:p>
      <w:pPr>
        <w:bidi w:val="0"/>
        <w:jc w:val="center"/>
        <w:rPr>
          <w:rFonts w:hint="eastAsia"/>
          <w:b/>
          <w:bCs/>
          <w:color w:val="auto"/>
          <w:sz w:val="36"/>
          <w:szCs w:val="44"/>
          <w:highlight w:val="none"/>
        </w:rPr>
      </w:pPr>
      <w:r>
        <w:rPr>
          <w:rFonts w:hint="eastAsia"/>
          <w:b/>
          <w:bCs/>
          <w:color w:val="auto"/>
          <w:sz w:val="36"/>
          <w:szCs w:val="44"/>
          <w:highlight w:val="none"/>
          <w:lang w:eastAsia="zh-CN"/>
        </w:rPr>
        <w:t>岭南集团食品产业基地项目施工监理</w:t>
      </w:r>
    </w:p>
    <w:p>
      <w:pPr>
        <w:bidi w:val="0"/>
        <w:jc w:val="center"/>
        <w:rPr>
          <w:rFonts w:hint="eastAsia"/>
          <w:b/>
          <w:bCs/>
          <w:color w:val="auto"/>
          <w:sz w:val="36"/>
          <w:szCs w:val="44"/>
          <w:highlight w:val="none"/>
        </w:rPr>
      </w:pPr>
      <w:r>
        <w:rPr>
          <w:rFonts w:hint="eastAsia"/>
          <w:b/>
          <w:bCs/>
          <w:color w:val="auto"/>
          <w:sz w:val="36"/>
          <w:szCs w:val="44"/>
          <w:highlight w:val="none"/>
        </w:rPr>
        <w:t>招标公告</w:t>
      </w:r>
    </w:p>
    <w:p>
      <w:pPr>
        <w:pStyle w:val="2"/>
        <w:spacing w:line="240" w:lineRule="auto"/>
        <w:rPr>
          <w:rFonts w:hint="eastAsia" w:ascii="黑体" w:hAnsi="黑体" w:eastAsia="黑体" w:cs="黑体"/>
          <w:color w:val="auto"/>
          <w:highlight w:val="none"/>
        </w:rPr>
      </w:pPr>
      <w:bookmarkStart w:id="3" w:name="_Toc492300546"/>
      <w:r>
        <w:rPr>
          <w:rFonts w:hint="eastAsia" w:ascii="黑体" w:hAnsi="黑体" w:eastAsia="黑体" w:cs="黑体"/>
          <w:color w:val="auto"/>
          <w:highlight w:val="none"/>
        </w:rPr>
        <w:t>1.招标条件</w:t>
      </w:r>
      <w:bookmarkEnd w:id="3"/>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本招标项目岭南集团食品产业基地项目已由</w:t>
      </w:r>
      <w:r>
        <w:rPr>
          <w:rFonts w:hint="eastAsia" w:ascii="宋体" w:hAnsi="宋体" w:cs="宋体"/>
          <w:color w:val="auto"/>
          <w:sz w:val="24"/>
          <w:szCs w:val="32"/>
          <w:highlight w:val="none"/>
          <w:u w:val="single"/>
          <w:lang w:eastAsia="zh-CN"/>
        </w:rPr>
        <w:t>广州南沙经济技术开发区行政审批局</w:t>
      </w:r>
      <w:r>
        <w:rPr>
          <w:rFonts w:hint="eastAsia" w:ascii="宋体" w:hAnsi="宋体" w:eastAsia="宋体" w:cs="宋体"/>
          <w:color w:val="auto"/>
          <w:sz w:val="24"/>
          <w:szCs w:val="32"/>
          <w:highlight w:val="none"/>
        </w:rPr>
        <w:t>以</w:t>
      </w:r>
      <w:r>
        <w:rPr>
          <w:rFonts w:hint="eastAsia" w:ascii="宋体" w:hAnsi="宋体" w:cs="宋体"/>
          <w:color w:val="auto"/>
          <w:sz w:val="24"/>
          <w:szCs w:val="24"/>
          <w:highlight w:val="none"/>
          <w:u w:val="single"/>
          <w:lang w:eastAsia="zh-CN"/>
        </w:rPr>
        <w:t>《广东省企业投资项目备案证》（项目代码：2411-440115-04-01-540633）</w:t>
      </w:r>
      <w:r>
        <w:rPr>
          <w:rFonts w:hint="eastAsia" w:ascii="宋体" w:hAnsi="宋体" w:eastAsia="宋体" w:cs="宋体"/>
          <w:color w:val="auto"/>
          <w:sz w:val="24"/>
          <w:szCs w:val="32"/>
          <w:highlight w:val="none"/>
        </w:rPr>
        <w:t>批准建设，项目业主为</w:t>
      </w:r>
      <w:r>
        <w:rPr>
          <w:rFonts w:hint="eastAsia" w:ascii="宋体" w:hAnsi="宋体" w:cs="宋体"/>
          <w:color w:val="auto"/>
          <w:sz w:val="24"/>
          <w:szCs w:val="24"/>
          <w:highlight w:val="none"/>
          <w:u w:val="single"/>
          <w:lang w:eastAsia="zh-CN"/>
        </w:rPr>
        <w:t>广州广粮坊食品科技有限公司</w:t>
      </w:r>
      <w:r>
        <w:rPr>
          <w:rFonts w:hint="eastAsia" w:ascii="宋体" w:hAnsi="宋体" w:eastAsia="宋体" w:cs="宋体"/>
          <w:color w:val="auto"/>
          <w:sz w:val="24"/>
          <w:szCs w:val="32"/>
          <w:highlight w:val="none"/>
        </w:rPr>
        <w:t>，建设资金来自</w:t>
      </w:r>
      <w:r>
        <w:rPr>
          <w:rFonts w:hint="eastAsia" w:ascii="宋体" w:hAnsi="宋体" w:eastAsia="宋体" w:cs="宋体"/>
          <w:color w:val="auto"/>
          <w:sz w:val="24"/>
          <w:szCs w:val="24"/>
          <w:highlight w:val="none"/>
          <w:u w:val="single"/>
        </w:rPr>
        <w:t>企业自筹</w:t>
      </w:r>
      <w:r>
        <w:rPr>
          <w:rFonts w:hint="eastAsia" w:ascii="宋体" w:hAnsi="宋体" w:eastAsia="宋体" w:cs="宋体"/>
          <w:color w:val="auto"/>
          <w:sz w:val="24"/>
          <w:szCs w:val="32"/>
          <w:highlight w:val="none"/>
        </w:rPr>
        <w:t>，出资比例为</w:t>
      </w:r>
      <w:r>
        <w:rPr>
          <w:rFonts w:hint="eastAsia" w:ascii="宋体" w:hAnsi="宋体" w:eastAsia="宋体" w:cs="宋体"/>
          <w:color w:val="auto"/>
          <w:sz w:val="24"/>
          <w:szCs w:val="32"/>
          <w:highlight w:val="none"/>
          <w:u w:val="single"/>
          <w:lang w:val="en-US" w:eastAsia="zh-CN"/>
        </w:rPr>
        <w:t>100%</w:t>
      </w:r>
      <w:r>
        <w:rPr>
          <w:rFonts w:hint="eastAsia" w:ascii="宋体" w:hAnsi="宋体" w:eastAsia="宋体" w:cs="宋体"/>
          <w:color w:val="auto"/>
          <w:sz w:val="24"/>
          <w:szCs w:val="32"/>
          <w:highlight w:val="none"/>
        </w:rPr>
        <w:t>，招标人为</w:t>
      </w:r>
      <w:r>
        <w:rPr>
          <w:rFonts w:hint="eastAsia" w:ascii="宋体" w:hAnsi="宋体" w:cs="宋体"/>
          <w:color w:val="auto"/>
          <w:sz w:val="24"/>
          <w:szCs w:val="24"/>
          <w:highlight w:val="none"/>
          <w:u w:val="single"/>
          <w:lang w:eastAsia="zh-CN"/>
        </w:rPr>
        <w:t>广州广粮坊食品科技有限公司</w:t>
      </w:r>
      <w:r>
        <w:rPr>
          <w:rFonts w:hint="eastAsia" w:ascii="宋体" w:hAnsi="宋体" w:eastAsia="宋体" w:cs="宋体"/>
          <w:color w:val="auto"/>
          <w:sz w:val="24"/>
          <w:szCs w:val="32"/>
          <w:highlight w:val="none"/>
        </w:rPr>
        <w:t>。项目已具备招标条件，现对该项目的监理进行公开招标。</w:t>
      </w:r>
    </w:p>
    <w:p>
      <w:pPr>
        <w:pStyle w:val="2"/>
        <w:spacing w:line="240" w:lineRule="auto"/>
        <w:rPr>
          <w:rFonts w:hint="eastAsia" w:ascii="黑体" w:hAnsi="黑体" w:eastAsia="黑体" w:cs="黑体"/>
          <w:color w:val="auto"/>
          <w:highlight w:val="none"/>
        </w:rPr>
      </w:pPr>
      <w:bookmarkStart w:id="4" w:name="_Toc492300547"/>
      <w:r>
        <w:rPr>
          <w:rFonts w:hint="eastAsia" w:ascii="黑体" w:hAnsi="黑体" w:eastAsia="黑体" w:cs="黑体"/>
          <w:color w:val="auto"/>
          <w:highlight w:val="none"/>
        </w:rPr>
        <w:t>2.项目概况与招标范围</w:t>
      </w:r>
      <w:bookmarkEnd w:id="4"/>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jc w:val="left"/>
        <w:textAlignment w:val="auto"/>
        <w:rPr>
          <w:rFonts w:ascii="宋体" w:hAnsi="宋体" w:eastAsia="楷体_GB2312" w:cs="宋体"/>
          <w:color w:val="auto"/>
          <w:sz w:val="24"/>
          <w:szCs w:val="24"/>
          <w:highlight w:val="none"/>
        </w:rPr>
      </w:pPr>
      <w:r>
        <w:rPr>
          <w:rFonts w:hint="eastAsia" w:ascii="宋体" w:hAnsi="宋体" w:cs="宋体"/>
          <w:color w:val="auto"/>
          <w:sz w:val="24"/>
          <w:szCs w:val="24"/>
          <w:highlight w:val="none"/>
        </w:rPr>
        <w:t>2.1招标项目概况</w:t>
      </w:r>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jc w:val="left"/>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2.1.1招标项目名称：</w:t>
      </w:r>
      <w:r>
        <w:rPr>
          <w:rFonts w:hint="eastAsia" w:ascii="宋体" w:hAnsi="宋体" w:cs="宋体"/>
          <w:color w:val="auto"/>
          <w:sz w:val="24"/>
          <w:szCs w:val="24"/>
          <w:highlight w:val="none"/>
          <w:u w:val="single"/>
          <w:lang w:eastAsia="zh-CN"/>
        </w:rPr>
        <w:t>岭南集团食品产业基地项目施工监理</w:t>
      </w:r>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jc w:val="left"/>
        <w:textAlignment w:val="auto"/>
        <w:rPr>
          <w:rFonts w:hint="eastAsia" w:ascii="宋体" w:hAnsi="宋体"/>
          <w:color w:val="auto"/>
          <w:sz w:val="24"/>
          <w:szCs w:val="24"/>
          <w:highlight w:val="none"/>
          <w:u w:val="none"/>
        </w:rPr>
      </w:pPr>
      <w:r>
        <w:rPr>
          <w:rFonts w:hint="eastAsia" w:ascii="宋体" w:hAnsi="宋体"/>
          <w:color w:val="auto"/>
          <w:sz w:val="24"/>
          <w:szCs w:val="24"/>
          <w:highlight w:val="none"/>
          <w:u w:val="none"/>
        </w:rPr>
        <w:t>2.1.2工程建设规模：</w:t>
      </w:r>
      <w:bookmarkStart w:id="5" w:name="_Hlk72509558"/>
      <w:r>
        <w:rPr>
          <w:rFonts w:hint="eastAsia" w:ascii="宋体" w:hAnsi="宋体"/>
          <w:color w:val="auto"/>
          <w:sz w:val="24"/>
          <w:szCs w:val="24"/>
          <w:highlight w:val="none"/>
          <w:u w:val="none"/>
        </w:rPr>
        <w:t>项目总占地面积约26295平方米，容积率2.52，总建筑面积67030平方米；其中预制烘焙产品生产车间（5F）19800平方米，小包装油生产车间（5F）11000平方米，科创中心（11F）11330平方米，油泵房300平方米，装卸区罩棚2000平方米，预留二期建设食品工厂（6F）19200平方米，油脂精炼生产车间（4F）3400平方米。</w:t>
      </w:r>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jc w:val="left"/>
        <w:textAlignment w:val="auto"/>
        <w:rPr>
          <w:rFonts w:hint="eastAsia" w:ascii="宋体" w:eastAsia="宋体"/>
          <w:b w:val="0"/>
          <w:bCs/>
          <w:color w:val="auto"/>
          <w:sz w:val="24"/>
          <w:highlight w:val="none"/>
          <w:u w:val="single"/>
          <w:lang w:eastAsia="zh-CN"/>
        </w:rPr>
      </w:pPr>
      <w:r>
        <w:rPr>
          <w:rFonts w:hint="eastAsia" w:ascii="宋体" w:hAnsi="宋体"/>
          <w:color w:val="auto"/>
          <w:sz w:val="24"/>
          <w:szCs w:val="24"/>
          <w:highlight w:val="none"/>
          <w:u w:val="none"/>
        </w:rPr>
        <w:t>主要建设内容；1.建设年生产规模为6,000吨烘焙预拌粉、6,000吨烘焙产品的生产线，及建设配套产能的包装车间；2.建设年设计产能为47,400吨的食用油生产线，包括植物油罐装生产线、包装车间，及配套产能的储存设施；建设科创中心。（最终以规划行政部门和报批报建批复为准）。</w:t>
      </w:r>
    </w:p>
    <w:bookmarkEnd w:id="5"/>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jc w:val="left"/>
        <w:textAlignment w:val="auto"/>
        <w:rPr>
          <w:rFonts w:hint="eastAsia"/>
          <w:color w:val="auto"/>
          <w:kern w:val="0"/>
          <w:sz w:val="24"/>
          <w:szCs w:val="24"/>
          <w:highlight w:val="none"/>
          <w:u w:val="single"/>
        </w:rPr>
      </w:pPr>
      <w:r>
        <w:rPr>
          <w:rFonts w:hint="eastAsia" w:ascii="宋体" w:hAnsi="宋体" w:cs="宋体"/>
          <w:color w:val="auto"/>
          <w:sz w:val="24"/>
          <w:szCs w:val="24"/>
          <w:highlight w:val="none"/>
        </w:rPr>
        <w:t>2.1.3工程建设地点：</w:t>
      </w:r>
      <w:r>
        <w:rPr>
          <w:rFonts w:hint="eastAsia" w:ascii="宋体" w:hAnsi="宋体" w:cs="宋体"/>
          <w:color w:val="auto"/>
          <w:sz w:val="24"/>
          <w:szCs w:val="24"/>
          <w:highlight w:val="none"/>
          <w:u w:val="single"/>
        </w:rPr>
        <w:t>广州市南沙区横沥镇广州市粮食储备加工中心南侧</w:t>
      </w:r>
      <w:r>
        <w:rPr>
          <w:rFonts w:hint="eastAsia"/>
          <w:color w:val="auto"/>
          <w:kern w:val="0"/>
          <w:sz w:val="24"/>
          <w:szCs w:val="24"/>
          <w:highlight w:val="none"/>
          <w:u w:val="single"/>
        </w:rPr>
        <w:t>。</w:t>
      </w:r>
    </w:p>
    <w:p>
      <w:pPr>
        <w:tabs>
          <w:tab w:val="left" w:pos="7513"/>
        </w:tabs>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none"/>
        </w:rPr>
        <w:t>2.1.4 工程投资额：</w:t>
      </w:r>
      <w:bookmarkStart w:id="6" w:name="OLE_LINK3"/>
      <w:r>
        <w:rPr>
          <w:rFonts w:hint="eastAsia" w:ascii="宋体" w:hAnsi="宋体"/>
          <w:color w:val="auto"/>
          <w:sz w:val="24"/>
          <w:highlight w:val="none"/>
          <w:u w:val="single"/>
        </w:rPr>
        <w:t>项目估算总投资</w:t>
      </w:r>
      <w:r>
        <w:rPr>
          <w:rFonts w:hint="eastAsia" w:ascii="宋体" w:hAnsi="宋体"/>
          <w:color w:val="auto"/>
          <w:sz w:val="24"/>
          <w:highlight w:val="none"/>
          <w:u w:val="single"/>
          <w:lang w:val="en-US" w:eastAsia="zh-CN"/>
        </w:rPr>
        <w:t>约</w:t>
      </w:r>
      <w:r>
        <w:rPr>
          <w:rFonts w:hint="eastAsia" w:ascii="宋体" w:hAnsi="宋体"/>
          <w:color w:val="auto"/>
          <w:sz w:val="24"/>
          <w:highlight w:val="none"/>
          <w:u w:val="single"/>
        </w:rPr>
        <w:t>为29663.11</w:t>
      </w:r>
      <w:r>
        <w:rPr>
          <w:rFonts w:hint="eastAsia" w:ascii="宋体" w:hAnsi="宋体"/>
          <w:color w:val="auto"/>
          <w:sz w:val="24"/>
          <w:highlight w:val="none"/>
          <w:u w:val="single"/>
          <w:lang w:val="en-US" w:eastAsia="zh-CN"/>
        </w:rPr>
        <w:t>万</w:t>
      </w:r>
      <w:r>
        <w:rPr>
          <w:rFonts w:hint="eastAsia" w:ascii="宋体" w:hAnsi="宋体"/>
          <w:color w:val="auto"/>
          <w:sz w:val="24"/>
          <w:highlight w:val="none"/>
          <w:u w:val="single"/>
        </w:rPr>
        <w:t>元，其中</w:t>
      </w:r>
      <w:bookmarkEnd w:id="6"/>
      <w:r>
        <w:rPr>
          <w:rFonts w:hint="eastAsia" w:ascii="宋体" w:hAnsi="宋体"/>
          <w:color w:val="auto"/>
          <w:sz w:val="24"/>
          <w:highlight w:val="none"/>
          <w:u w:val="single"/>
        </w:rPr>
        <w:t>建安</w:t>
      </w:r>
      <w:r>
        <w:rPr>
          <w:rFonts w:hint="eastAsia" w:ascii="宋体" w:hAnsi="宋体"/>
          <w:color w:val="auto"/>
          <w:sz w:val="24"/>
          <w:highlight w:val="none"/>
          <w:u w:val="single"/>
          <w:lang w:val="en-US" w:eastAsia="zh-CN"/>
        </w:rPr>
        <w:t>工程</w:t>
      </w:r>
      <w:r>
        <w:rPr>
          <w:rFonts w:hint="eastAsia" w:ascii="宋体" w:hAnsi="宋体"/>
          <w:color w:val="auto"/>
          <w:sz w:val="24"/>
          <w:highlight w:val="none"/>
          <w:u w:val="single"/>
        </w:rPr>
        <w:t>费为21613</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16</w:t>
      </w:r>
      <w:r>
        <w:rPr>
          <w:rFonts w:hint="eastAsia" w:ascii="宋体" w:hAnsi="宋体"/>
          <w:color w:val="auto"/>
          <w:sz w:val="24"/>
          <w:highlight w:val="none"/>
          <w:u w:val="single"/>
          <w:lang w:val="en-US" w:eastAsia="zh-CN"/>
        </w:rPr>
        <w:t>万</w:t>
      </w:r>
      <w:r>
        <w:rPr>
          <w:rFonts w:hint="eastAsia" w:ascii="宋体" w:hAnsi="宋体"/>
          <w:color w:val="auto"/>
          <w:sz w:val="24"/>
          <w:highlight w:val="none"/>
          <w:u w:val="single"/>
        </w:rPr>
        <w:t>元</w:t>
      </w:r>
      <w:r>
        <w:rPr>
          <w:rFonts w:hint="eastAsia" w:ascii="宋体" w:hAnsi="宋体"/>
          <w:color w:val="auto"/>
          <w:sz w:val="24"/>
          <w:highlight w:val="none"/>
          <w:u w:val="single"/>
          <w:lang w:eastAsia="zh-CN"/>
        </w:rPr>
        <w:t>。</w:t>
      </w:r>
    </w:p>
    <w:p>
      <w:pPr>
        <w:tabs>
          <w:tab w:val="left" w:pos="7513"/>
        </w:tabs>
        <w:spacing w:line="360" w:lineRule="auto"/>
        <w:ind w:firstLine="480" w:firstLineChars="200"/>
        <w:rPr>
          <w:rFonts w:hint="eastAsia" w:ascii="宋体" w:hAnsi="宋体" w:cs="宋体"/>
          <w:color w:val="auto"/>
          <w:sz w:val="24"/>
          <w:highlight w:val="none"/>
          <w:u w:val="single"/>
          <w:lang w:eastAsia="zh-CN"/>
        </w:rPr>
      </w:pPr>
      <w:r>
        <w:rPr>
          <w:rFonts w:hint="eastAsia" w:ascii="宋体" w:hAnsi="宋体" w:cs="宋体"/>
          <w:color w:val="auto"/>
          <w:sz w:val="24"/>
          <w:highlight w:val="none"/>
          <w:u w:val="none"/>
        </w:rPr>
        <w:t>2.1.5 资金来源：</w:t>
      </w:r>
      <w:r>
        <w:rPr>
          <w:rFonts w:hint="eastAsia" w:ascii="宋体" w:hAnsi="宋体" w:cs="宋体"/>
          <w:color w:val="auto"/>
          <w:sz w:val="24"/>
          <w:highlight w:val="none"/>
          <w:u w:val="single"/>
        </w:rPr>
        <w:t>自筹资金</w:t>
      </w:r>
      <w:r>
        <w:rPr>
          <w:rFonts w:hint="eastAsia" w:ascii="宋体" w:hAnsi="宋体" w:cs="宋体"/>
          <w:color w:val="auto"/>
          <w:sz w:val="24"/>
          <w:highlight w:val="none"/>
          <w:u w:val="single"/>
          <w:lang w:eastAsia="zh-CN"/>
        </w:rPr>
        <w:t>。</w:t>
      </w:r>
    </w:p>
    <w:p>
      <w:pPr>
        <w:keepNext w:val="0"/>
        <w:keepLines w:val="0"/>
        <w:pageBreakBefore w:val="0"/>
        <w:widowControl/>
        <w:tabs>
          <w:tab w:val="left" w:pos="7513"/>
        </w:tabs>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2.1.6 工程质量标准：（1）投资控制目标：确保投资控制在经批准的项目估算内。</w:t>
      </w:r>
    </w:p>
    <w:p>
      <w:pPr>
        <w:keepNext w:val="0"/>
        <w:keepLines w:val="0"/>
        <w:pageBreakBefore w:val="0"/>
        <w:widowControl/>
        <w:tabs>
          <w:tab w:val="left" w:pos="7513"/>
        </w:tabs>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（2）质量目标：以国家或行业的质量检验评定标准为依据，确保一次竣工验收合格，打造高质量精品样板工程，确保获得“市级工程优质奖项”，争创“省级工程优质奖项”。</w:t>
      </w:r>
    </w:p>
    <w:p>
      <w:pPr>
        <w:keepNext w:val="0"/>
        <w:keepLines w:val="0"/>
        <w:pageBreakBefore w:val="0"/>
        <w:widowControl/>
        <w:tabs>
          <w:tab w:val="left" w:pos="7513"/>
        </w:tabs>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（3）安全管理目标：确保责任事故死亡率为零，工程无重大安全事故，工伤频率控制在广州市建筑施工安全管理法规规定的指标要求范围内。</w:t>
      </w:r>
    </w:p>
    <w:p>
      <w:pPr>
        <w:keepNext w:val="0"/>
        <w:keepLines w:val="0"/>
        <w:pageBreakBefore w:val="0"/>
        <w:widowControl/>
        <w:tabs>
          <w:tab w:val="left" w:pos="7513"/>
        </w:tabs>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（4）环境管理目标：严格执行国家、广东省、广州市现行的全部建设工程文明施工管理的法律法规、规章、地方行政法规、规范性文件以及相应政策。</w:t>
      </w:r>
    </w:p>
    <w:p>
      <w:pPr>
        <w:keepNext w:val="0"/>
        <w:keepLines w:val="0"/>
        <w:pageBreakBefore w:val="0"/>
        <w:widowControl/>
        <w:tabs>
          <w:tab w:val="left" w:pos="7513"/>
        </w:tabs>
        <w:kinsoku/>
        <w:wordWrap/>
        <w:overflowPunct/>
        <w:topLinePunct w:val="0"/>
        <w:autoSpaceDE/>
        <w:autoSpaceDN/>
        <w:bidi w:val="0"/>
        <w:snapToGrid/>
        <w:spacing w:line="360" w:lineRule="auto"/>
        <w:ind w:firstLine="480" w:firstLineChars="200"/>
        <w:jc w:val="left"/>
        <w:textAlignment w:val="auto"/>
        <w:rPr>
          <w:rFonts w:hint="eastAsia"/>
          <w:color w:val="auto"/>
          <w:kern w:val="0"/>
          <w:sz w:val="24"/>
          <w:szCs w:val="24"/>
          <w:highlight w:val="none"/>
          <w:u w:val="single"/>
        </w:rPr>
      </w:pPr>
      <w:r>
        <w:rPr>
          <w:rFonts w:hint="eastAsia" w:ascii="宋体" w:hAnsi="宋体" w:cs="宋体"/>
          <w:color w:val="auto"/>
          <w:sz w:val="24"/>
          <w:highlight w:val="none"/>
          <w:u w:val="none"/>
        </w:rPr>
        <w:t>（5）进度目标：按照设计施工总承包合同约定的工期完成项目建设，并确保关键节点工期符合总体工程进度计划关键路线节点要求。</w:t>
      </w:r>
    </w:p>
    <w:p>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jc w:val="left"/>
        <w:textAlignment w:val="auto"/>
        <w:rPr>
          <w:rFonts w:ascii="宋体" w:hAnsi="宋体" w:eastAsia="楷体_GB2312" w:cs="宋体"/>
          <w:color w:val="auto"/>
          <w:sz w:val="24"/>
          <w:szCs w:val="24"/>
          <w:highlight w:val="none"/>
        </w:rPr>
      </w:pPr>
      <w:r>
        <w:rPr>
          <w:rFonts w:hint="eastAsia" w:ascii="宋体" w:hAnsi="宋体" w:cs="宋体"/>
          <w:color w:val="auto"/>
          <w:sz w:val="24"/>
          <w:szCs w:val="24"/>
          <w:highlight w:val="none"/>
        </w:rPr>
        <w:t>2.2招标范围</w:t>
      </w:r>
    </w:p>
    <w:p>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2.2.1监理标段划分：本项目分为</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个标段。</w:t>
      </w:r>
    </w:p>
    <w:p>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2.2.2监理范围：</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（1）本合同的监理范围为：项目所有图纸（含深化施工图）所包含的内容及招标过程中所发出的相关文件所包含的全部内容。包括但不限于以下范围：</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①项目前期阶段包括但不限于：</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a、报建：配合办理与工程建设实施所需的施工许可证（或临时施工许可）、规划、国土、建设、水务、市政管理、电力、环保、环卫、绿化等部门的报建、报批工作，取得相关批准。</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b、配合办理用地交收手续</w:t>
      </w:r>
      <w:r>
        <w:rPr>
          <w:rFonts w:hint="eastAsia" w:ascii="宋体" w:hAnsi="宋体" w:cs="Times New Roman"/>
          <w:color w:val="auto"/>
          <w:sz w:val="24"/>
          <w:highlight w:val="none"/>
          <w:u w:val="none"/>
          <w:lang w:eastAsia="zh-CN"/>
        </w:rPr>
        <w:t>。</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c、配合办理用地界线测绘。</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d、配合接收工程用地并办理有关手续，向承建单位移交工程用地，并在工程建设中作为主要参与方开展需涉及的协调和监管工作。</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②设计阶段设计工作管理，包括但不限于：</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a、本工程实行全过程限额设计施工，如因EPC总承包方及其分包单位原因导致建安工程费突破限额部分的费用，设计缺陷、设计变更、工程变更等增加的工程费用和设计费用，由EPC总承包方承担。严格控制工程变更，按EPC合同约定因</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原因造成的工程变更，必须经</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同意确认后实施，并应由EPC总承包单位填写工程变更单，经工程监理、全过程造价咨询单位签署意见后，由</w:t>
      </w:r>
      <w:r>
        <w:rPr>
          <w:rFonts w:hint="eastAsia" w:ascii="宋体" w:hAnsi="宋体" w:cs="Times New Roman"/>
          <w:color w:val="auto"/>
          <w:sz w:val="24"/>
          <w:highlight w:val="none"/>
          <w:u w:val="none"/>
          <w:lang w:eastAsia="zh-CN"/>
        </w:rPr>
        <w:t>中标人</w:t>
      </w:r>
      <w:r>
        <w:rPr>
          <w:rFonts w:hint="eastAsia" w:ascii="宋体" w:hAnsi="宋体" w:eastAsia="宋体" w:cs="Times New Roman"/>
          <w:color w:val="auto"/>
          <w:sz w:val="24"/>
          <w:highlight w:val="none"/>
          <w:u w:val="none"/>
        </w:rPr>
        <w:t>审核后报</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审批。</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b、配合制定工程设计工作管理规划，参加专家论证、工程方案设计与设计单位的联络和协调工作，审核设计优化和报批工作，确保项目设计按批准的建设规模、功能、标准和工期顺利实施；</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c、配合规划红线范围内工程项目设计的组织、联络和协调工作。协调组织设计单位协调项目与市政规划、项目与当地区域规划的关系，并审核设计优化和报批工作；</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d、负责以</w:t>
      </w:r>
      <w:r>
        <w:rPr>
          <w:rFonts w:hint="eastAsia" w:ascii="宋体" w:hAnsi="宋体" w:cs="Times New Roman"/>
          <w:color w:val="auto"/>
          <w:sz w:val="24"/>
          <w:highlight w:val="none"/>
          <w:u w:val="none"/>
          <w:lang w:eastAsia="zh-CN"/>
        </w:rPr>
        <w:t>中标人</w:t>
      </w:r>
      <w:r>
        <w:rPr>
          <w:rFonts w:hint="eastAsia" w:ascii="宋体" w:hAnsi="宋体" w:eastAsia="宋体" w:cs="Times New Roman"/>
          <w:color w:val="auto"/>
          <w:sz w:val="24"/>
          <w:highlight w:val="none"/>
          <w:u w:val="none"/>
        </w:rPr>
        <w:t>专业知识和经验根据项目定位、</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需求提交结构型式选择、材料、设备选择、装修型式、风格选择、平面面积、层高、功能配置等建议方案；</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e、组织设计会审，确保在批准的范围和规模内，控制在总投资范围内，并使设计进度和质量满足项目建设的需要；</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f、配合与设计、管线管理等有关单位的技术协调工作；</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g、对设计过程中可能出现的疏漏缺陷或资料提供不全，经核实确认后，督促设计单位进行改正；</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h、其他设计管理工作及参加施工图审查；</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i、配合预算和结算的相关审核工作。</w:t>
      </w:r>
    </w:p>
    <w:p>
      <w:pPr>
        <w:tabs>
          <w:tab w:val="left" w:pos="7513"/>
        </w:tabs>
        <w:wordWrap/>
        <w:adjustRightInd/>
        <w:snapToGrid/>
        <w:spacing w:line="360" w:lineRule="auto"/>
        <w:ind w:firstLine="480" w:firstLineChars="200"/>
        <w:jc w:val="left"/>
        <w:rPr>
          <w:rFonts w:hint="eastAsia" w:ascii="宋体" w:hAnsi="宋体" w:eastAsia="宋体"/>
          <w:color w:val="auto"/>
          <w:sz w:val="24"/>
          <w:highlight w:val="none"/>
          <w:u w:val="none"/>
        </w:rPr>
      </w:pPr>
      <w:r>
        <w:rPr>
          <w:rFonts w:hint="eastAsia" w:ascii="宋体" w:hAnsi="宋体" w:eastAsia="宋体" w:cs="Times New Roman"/>
          <w:color w:val="auto"/>
          <w:sz w:val="24"/>
          <w:highlight w:val="none"/>
          <w:u w:val="none"/>
        </w:rPr>
        <w:t>③项目实施阶段，包括但不限于：</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a、进行工程施工管理、设计、设备材料采购管理、施工进度管理、投资控制和竣工验收等工作，并对工程项目进行质量、进度、投资、合同、安全等方面的有效统筹管理、协调和控制。</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b、负责施工现场管理，按规定落实旁站监督，按照相关规范、质量要求、施工图和合同约定进行项目监理，确保工程项目优质完成。对工艺设备监理内容包括：预埋件、预留孔洞复核、设备厂内加工监造、现场复核，到货检查安装及验收。</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c、负责项目的安全管理工作，制定项目安全管理体系和安全管理制度，全面履行项目安全管理主体责任。</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d、对各类工程合同跟踪协调，建立各类合同台账，审核本合同范围涉及的各专业系统的设计、施工、供货及其他相关的专业合同，维护</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的合法利益，防范合同风险。参与有关合同的谈判、签订、履行、变更以及索赔等合同管理工作。</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e、跟踪和审查工程总投资的变动情况，将工程建设成本控制在目标成本内，负责相应职责范围内工程变更管理。</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f、办理工程竣工验收手续和竣工结算、资产移交等实施过程的管理工作及各种手续的报审管理工作。</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g、完成从开展用地移交手续开始至项目竣工验收、竣工结算、移交之日止的建设项目监理工作。</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h、完成白蚁防治、水土保持、</w:t>
      </w:r>
      <w:r>
        <w:rPr>
          <w:rFonts w:hint="eastAsia" w:ascii="宋体" w:hAnsi="宋体" w:cs="Times New Roman"/>
          <w:color w:val="auto"/>
          <w:sz w:val="24"/>
          <w:highlight w:val="none"/>
          <w:u w:val="none"/>
          <w:lang w:val="en-US" w:eastAsia="zh-CN"/>
        </w:rPr>
        <w:t>外水外电、</w:t>
      </w:r>
      <w:r>
        <w:rPr>
          <w:rFonts w:hint="eastAsia" w:ascii="宋体" w:hAnsi="宋体" w:eastAsia="宋体" w:cs="Times New Roman"/>
          <w:color w:val="auto"/>
          <w:sz w:val="24"/>
          <w:highlight w:val="none"/>
          <w:u w:val="none"/>
        </w:rPr>
        <w:t>消防等专项（专业）工程监理工作。</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④  工艺设备管理</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bookmarkStart w:id="7" w:name="OLE_LINK1"/>
      <w:r>
        <w:rPr>
          <w:rFonts w:hint="eastAsia" w:ascii="宋体" w:hAnsi="宋体" w:eastAsia="宋体" w:cs="Times New Roman"/>
          <w:color w:val="auto"/>
          <w:sz w:val="24"/>
          <w:highlight w:val="none"/>
          <w:u w:val="none"/>
        </w:rPr>
        <w:t>本项目监理工作范围包含本项目的工艺专项监理工作，如</w:t>
      </w:r>
      <w:r>
        <w:rPr>
          <w:rFonts w:hint="eastAsia" w:ascii="宋体" w:hAnsi="宋体" w:cs="Times New Roman"/>
          <w:color w:val="auto"/>
          <w:sz w:val="24"/>
          <w:highlight w:val="none"/>
          <w:u w:val="none"/>
          <w:lang w:eastAsia="zh-CN"/>
        </w:rPr>
        <w:t>中标人</w:t>
      </w:r>
      <w:r>
        <w:rPr>
          <w:rFonts w:hint="eastAsia" w:ascii="宋体" w:hAnsi="宋体" w:eastAsia="宋体" w:cs="Times New Roman"/>
          <w:color w:val="auto"/>
          <w:sz w:val="24"/>
          <w:highlight w:val="none"/>
          <w:u w:val="none"/>
        </w:rPr>
        <w:t>缺乏工艺相关专业和经验的</w:t>
      </w:r>
      <w:r>
        <w:rPr>
          <w:rFonts w:hint="eastAsia" w:ascii="宋体" w:hAnsi="宋体" w:cs="Times New Roman"/>
          <w:color w:val="auto"/>
          <w:sz w:val="24"/>
          <w:highlight w:val="none"/>
          <w:u w:val="none"/>
          <w:lang w:eastAsia="zh-CN"/>
        </w:rPr>
        <w:t>中标人</w:t>
      </w:r>
      <w:r>
        <w:rPr>
          <w:rFonts w:hint="eastAsia" w:ascii="宋体" w:hAnsi="宋体" w:eastAsia="宋体" w:cs="Times New Roman"/>
          <w:color w:val="auto"/>
          <w:sz w:val="24"/>
          <w:highlight w:val="none"/>
          <w:u w:val="none"/>
        </w:rPr>
        <w:t>员，应自行聘用工艺专业监理工程师并及时补充进监理项目部架构中。如</w:t>
      </w:r>
      <w:r>
        <w:rPr>
          <w:rFonts w:hint="eastAsia" w:ascii="宋体" w:hAnsi="宋体" w:cs="Times New Roman"/>
          <w:color w:val="auto"/>
          <w:sz w:val="24"/>
          <w:highlight w:val="none"/>
          <w:u w:val="none"/>
          <w:lang w:eastAsia="zh-CN"/>
        </w:rPr>
        <w:t>中标人</w:t>
      </w:r>
      <w:r>
        <w:rPr>
          <w:rFonts w:hint="eastAsia" w:ascii="宋体" w:hAnsi="宋体" w:eastAsia="宋体" w:cs="Times New Roman"/>
          <w:color w:val="auto"/>
          <w:sz w:val="24"/>
          <w:highlight w:val="none"/>
          <w:u w:val="none"/>
        </w:rPr>
        <w:t>在工艺施工过程中监管不到位或相关</w:t>
      </w:r>
      <w:r>
        <w:rPr>
          <w:rFonts w:hint="eastAsia" w:ascii="宋体" w:hAnsi="宋体" w:cs="Times New Roman"/>
          <w:color w:val="auto"/>
          <w:sz w:val="24"/>
          <w:highlight w:val="none"/>
          <w:u w:val="none"/>
          <w:lang w:eastAsia="zh-CN"/>
        </w:rPr>
        <w:t>中标人</w:t>
      </w:r>
      <w:r>
        <w:rPr>
          <w:rFonts w:hint="eastAsia" w:ascii="宋体" w:hAnsi="宋体" w:eastAsia="宋体" w:cs="Times New Roman"/>
          <w:color w:val="auto"/>
          <w:sz w:val="24"/>
          <w:highlight w:val="none"/>
          <w:u w:val="none"/>
        </w:rPr>
        <w:t>员经验和能力不足，</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有权另行聘请工艺专业技术人员负责工艺的监理工作，相关费用从本合同监理费用中予以扣减。工艺的监理工作包括但不限于：</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a、负责审核工艺的施工方案和施工工艺，协助解决专项主要施工材料、器具、设备安装过程当中出现的技术问题，确保工艺符合要求。</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b、协助</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对工艺专项重要材料和设备进行市场考察和比较，结合将建筑单体的使用情况给出针对性的优选建议。</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c、审核涉及</w:t>
      </w:r>
      <w:r>
        <w:rPr>
          <w:rFonts w:hint="eastAsia" w:ascii="宋体" w:hAnsi="宋体" w:eastAsia="宋体" w:cs="Times New Roman"/>
          <w:color w:val="auto"/>
          <w:sz w:val="24"/>
          <w:highlight w:val="none"/>
          <w:u w:val="none"/>
          <w:lang w:val="en-US" w:eastAsia="zh-CN"/>
        </w:rPr>
        <w:t>工艺</w:t>
      </w:r>
      <w:r>
        <w:rPr>
          <w:rFonts w:hint="eastAsia" w:ascii="宋体" w:hAnsi="宋体" w:eastAsia="宋体" w:cs="Times New Roman"/>
          <w:color w:val="auto"/>
          <w:sz w:val="24"/>
          <w:highlight w:val="none"/>
          <w:u w:val="none"/>
        </w:rPr>
        <w:t>专业的材料、设备、器具及施工的预算及洽商，协助</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控制好专项投资。</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d、协助</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审核施工过程中涉及专项内容的工程技术变更、洽商等。</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e、施工阶段对涉及工艺的材料及设备的施工工艺进行监督，确保满足相应的规范标准和</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的要求。</w:t>
      </w:r>
    </w:p>
    <w:p>
      <w:pPr>
        <w:tabs>
          <w:tab w:val="left" w:pos="7513"/>
        </w:tabs>
        <w:wordWrap/>
        <w:adjustRightInd/>
        <w:snapToGrid/>
        <w:spacing w:line="360" w:lineRule="auto"/>
        <w:ind w:firstLine="480" w:firstLineChars="200"/>
        <w:jc w:val="left"/>
        <w:rPr>
          <w:rFonts w:hint="eastAsia" w:ascii="宋体" w:hAnsi="宋体"/>
          <w:color w:val="auto"/>
          <w:sz w:val="24"/>
          <w:highlight w:val="none"/>
          <w:u w:val="none"/>
        </w:rPr>
      </w:pPr>
      <w:r>
        <w:rPr>
          <w:rFonts w:hint="eastAsia" w:ascii="宋体" w:hAnsi="宋体" w:eastAsia="宋体" w:cs="Times New Roman"/>
          <w:color w:val="auto"/>
          <w:sz w:val="24"/>
          <w:highlight w:val="none"/>
          <w:u w:val="none"/>
        </w:rPr>
        <w:t>f、验收阶段协助</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确定第三方检测机构，监督进行工艺专项检测，并取得检测结果。组织工艺专项验收工作。</w:t>
      </w:r>
    </w:p>
    <w:bookmarkEnd w:id="7"/>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fldChar w:fldCharType="begin"/>
      </w:r>
      <w:r>
        <w:rPr>
          <w:rFonts w:hint="eastAsia" w:ascii="宋体" w:hAnsi="宋体" w:eastAsia="宋体" w:cs="Times New Roman"/>
          <w:color w:val="auto"/>
          <w:sz w:val="24"/>
          <w:highlight w:val="none"/>
          <w:u w:val="none"/>
        </w:rPr>
        <w:instrText xml:space="preserve"> = 5 \* GB3 \* MERGEFORMAT </w:instrText>
      </w:r>
      <w:r>
        <w:rPr>
          <w:rFonts w:hint="eastAsia" w:ascii="宋体" w:hAnsi="宋体" w:eastAsia="宋体" w:cs="Times New Roman"/>
          <w:color w:val="auto"/>
          <w:sz w:val="24"/>
          <w:highlight w:val="none"/>
          <w:u w:val="none"/>
        </w:rPr>
        <w:fldChar w:fldCharType="separate"/>
      </w:r>
      <w:r>
        <w:rPr>
          <w:rFonts w:hint="eastAsia" w:ascii="宋体" w:hAnsi="宋体" w:eastAsia="宋体" w:cs="Times New Roman"/>
          <w:color w:val="auto"/>
          <w:sz w:val="24"/>
          <w:highlight w:val="none"/>
          <w:u w:val="none"/>
        </w:rPr>
        <w:t>⑤</w:t>
      </w:r>
      <w:r>
        <w:rPr>
          <w:rFonts w:hint="eastAsia" w:ascii="宋体" w:hAnsi="宋体" w:eastAsia="宋体" w:cs="Times New Roman"/>
          <w:color w:val="auto"/>
          <w:sz w:val="24"/>
          <w:highlight w:val="none"/>
          <w:u w:val="none"/>
        </w:rPr>
        <w:fldChar w:fldCharType="end"/>
      </w:r>
      <w:r>
        <w:rPr>
          <w:rFonts w:hint="eastAsia" w:ascii="宋体" w:hAnsi="宋体" w:eastAsia="宋体" w:cs="Times New Roman"/>
          <w:color w:val="auto"/>
          <w:sz w:val="24"/>
          <w:highlight w:val="none"/>
          <w:u w:val="none"/>
        </w:rPr>
        <w:t>工程完工后阶段的工作，包括但不限于：</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a、协助</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进行运营调试，确保工程安全、顺利地投入使用。</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b、作为国家规定的工程审计主体一方，应积极主动配合审计部门的工作，并承担合同约定的建设管理服务范围内的工程审计责任。</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c、配合组织竣工财务结算编制和送审工作。</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d、负责工程档案的编制与交付。</w:t>
      </w:r>
      <w:r>
        <w:rPr>
          <w:rFonts w:hint="eastAsia" w:ascii="宋体" w:hAnsi="宋体" w:cs="Times New Roman"/>
          <w:color w:val="auto"/>
          <w:sz w:val="24"/>
          <w:highlight w:val="none"/>
          <w:u w:val="none"/>
          <w:lang w:eastAsia="zh-CN"/>
        </w:rPr>
        <w:t>中标人</w:t>
      </w:r>
      <w:r>
        <w:rPr>
          <w:rFonts w:hint="eastAsia" w:ascii="宋体" w:hAnsi="宋体" w:eastAsia="宋体" w:cs="Times New Roman"/>
          <w:color w:val="auto"/>
          <w:sz w:val="24"/>
          <w:highlight w:val="none"/>
          <w:u w:val="none"/>
        </w:rPr>
        <w:t>完整地收集、积累与本工程相关的技术文件资料，建立完整系统的工程档案，全面负责档案规定资料的管理、编制、验收及移交工作。</w:t>
      </w:r>
    </w:p>
    <w:p>
      <w:pPr>
        <w:tabs>
          <w:tab w:val="left" w:pos="7513"/>
        </w:tabs>
        <w:spacing w:line="360" w:lineRule="auto"/>
        <w:ind w:firstLine="480" w:firstLineChars="200"/>
        <w:jc w:val="left"/>
        <w:rPr>
          <w:rFonts w:hint="eastAsia" w:ascii="宋体" w:hAnsi="宋体"/>
          <w:color w:val="auto"/>
          <w:sz w:val="24"/>
          <w:highlight w:val="none"/>
          <w:u w:val="none"/>
        </w:rPr>
      </w:pPr>
      <w:r>
        <w:rPr>
          <w:rFonts w:hint="eastAsia" w:ascii="宋体" w:hAnsi="宋体" w:eastAsia="宋体" w:cs="Times New Roman"/>
          <w:color w:val="auto"/>
          <w:sz w:val="24"/>
          <w:highlight w:val="none"/>
          <w:u w:val="none"/>
        </w:rPr>
        <w:fldChar w:fldCharType="begin"/>
      </w:r>
      <w:r>
        <w:rPr>
          <w:rFonts w:hint="eastAsia" w:ascii="宋体" w:hAnsi="宋体" w:eastAsia="宋体" w:cs="Times New Roman"/>
          <w:color w:val="auto"/>
          <w:sz w:val="24"/>
          <w:highlight w:val="none"/>
          <w:u w:val="none"/>
        </w:rPr>
        <w:instrText xml:space="preserve"> = 6 \* GB3 \* MERGEFORMAT </w:instrText>
      </w:r>
      <w:r>
        <w:rPr>
          <w:rFonts w:hint="eastAsia" w:ascii="宋体" w:hAnsi="宋体" w:eastAsia="宋体" w:cs="Times New Roman"/>
          <w:color w:val="auto"/>
          <w:sz w:val="24"/>
          <w:highlight w:val="none"/>
          <w:u w:val="none"/>
        </w:rPr>
        <w:fldChar w:fldCharType="separate"/>
      </w:r>
      <w:r>
        <w:rPr>
          <w:rFonts w:hint="eastAsia" w:ascii="宋体" w:hAnsi="宋体" w:eastAsia="宋体" w:cs="Times New Roman"/>
          <w:color w:val="auto"/>
          <w:sz w:val="24"/>
          <w:highlight w:val="none"/>
          <w:u w:val="none"/>
        </w:rPr>
        <w:t>⑥法律法规</w:t>
      </w:r>
      <w:r>
        <w:rPr>
          <w:rFonts w:hint="eastAsia" w:ascii="宋体" w:hAnsi="宋体" w:eastAsia="宋体" w:cs="Times New Roman"/>
          <w:color w:val="auto"/>
          <w:sz w:val="24"/>
          <w:highlight w:val="none"/>
          <w:u w:val="none"/>
        </w:rPr>
        <w:fldChar w:fldCharType="end"/>
      </w:r>
      <w:r>
        <w:rPr>
          <w:rFonts w:hint="eastAsia" w:ascii="宋体" w:hAnsi="宋体" w:eastAsia="宋体" w:cs="Times New Roman"/>
          <w:color w:val="auto"/>
          <w:sz w:val="24"/>
          <w:highlight w:val="none"/>
          <w:u w:val="none"/>
        </w:rPr>
        <w:t>、规章、政策对</w:t>
      </w:r>
      <w:r>
        <w:rPr>
          <w:rFonts w:hint="eastAsia" w:ascii="宋体" w:hAnsi="宋体" w:cs="Times New Roman"/>
          <w:color w:val="auto"/>
          <w:sz w:val="24"/>
          <w:highlight w:val="none"/>
          <w:u w:val="none"/>
          <w:lang w:eastAsia="zh-CN"/>
        </w:rPr>
        <w:t>中标人</w:t>
      </w:r>
      <w:r>
        <w:rPr>
          <w:rFonts w:hint="eastAsia" w:ascii="宋体" w:hAnsi="宋体" w:eastAsia="宋体" w:cs="Times New Roman"/>
          <w:color w:val="auto"/>
          <w:sz w:val="24"/>
          <w:highlight w:val="none"/>
          <w:u w:val="none"/>
        </w:rPr>
        <w:t>工作范围所作的其他要求，以及</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对</w:t>
      </w:r>
      <w:r>
        <w:rPr>
          <w:rFonts w:hint="eastAsia" w:ascii="宋体" w:hAnsi="宋体" w:cs="Times New Roman"/>
          <w:color w:val="auto"/>
          <w:sz w:val="24"/>
          <w:highlight w:val="none"/>
          <w:u w:val="none"/>
          <w:lang w:eastAsia="zh-CN"/>
        </w:rPr>
        <w:t>中标人</w:t>
      </w:r>
      <w:r>
        <w:rPr>
          <w:rFonts w:hint="eastAsia" w:ascii="宋体" w:hAnsi="宋体" w:eastAsia="宋体" w:cs="Times New Roman"/>
          <w:color w:val="auto"/>
          <w:sz w:val="24"/>
          <w:highlight w:val="none"/>
          <w:u w:val="none"/>
        </w:rPr>
        <w:t>监理工作所作的其他要求。</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（2）除上述范围外，</w:t>
      </w:r>
      <w:r>
        <w:rPr>
          <w:rFonts w:hint="eastAsia" w:ascii="宋体" w:hAnsi="宋体" w:cs="Times New Roman"/>
          <w:color w:val="auto"/>
          <w:sz w:val="24"/>
          <w:highlight w:val="none"/>
          <w:u w:val="none"/>
          <w:lang w:eastAsia="zh-CN"/>
        </w:rPr>
        <w:t>中标人</w:t>
      </w:r>
      <w:r>
        <w:rPr>
          <w:rFonts w:hint="eastAsia" w:ascii="宋体" w:hAnsi="宋体" w:eastAsia="宋体" w:cs="Times New Roman"/>
          <w:color w:val="auto"/>
          <w:sz w:val="24"/>
          <w:highlight w:val="none"/>
          <w:u w:val="none"/>
        </w:rPr>
        <w:t>还须按</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的要求提前进场参与开工前期的准备和筹划工作，协助</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制定工程管理办法、各承包人职责及有关事务性工作等，具体事宜详见</w:t>
      </w:r>
      <w:r>
        <w:rPr>
          <w:rFonts w:hint="eastAsia" w:ascii="宋体" w:hAnsi="宋体" w:eastAsia="宋体" w:cs="Times New Roman"/>
          <w:color w:val="auto"/>
          <w:sz w:val="24"/>
          <w:highlight w:val="none"/>
          <w:u w:val="none"/>
          <w:lang w:val="en-US" w:eastAsia="zh-CN"/>
        </w:rPr>
        <w:t>合同</w:t>
      </w:r>
      <w:r>
        <w:rPr>
          <w:rFonts w:hint="eastAsia" w:ascii="宋体" w:hAnsi="宋体" w:eastAsia="宋体" w:cs="Times New Roman"/>
          <w:color w:val="auto"/>
          <w:sz w:val="24"/>
          <w:highlight w:val="none"/>
          <w:u w:val="none"/>
        </w:rPr>
        <w:t>专用条款相关约定。</w:t>
      </w:r>
    </w:p>
    <w:p>
      <w:pPr>
        <w:tabs>
          <w:tab w:val="left" w:pos="7513"/>
        </w:tabs>
        <w:wordWrap/>
        <w:adjustRightInd/>
        <w:snapToGrid/>
        <w:spacing w:line="360" w:lineRule="auto"/>
        <w:ind w:firstLine="480" w:firstLineChars="200"/>
        <w:jc w:val="left"/>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（3）监理服务期内，</w:t>
      </w:r>
      <w:r>
        <w:rPr>
          <w:rFonts w:hint="eastAsia" w:ascii="宋体" w:hAnsi="宋体" w:cs="Times New Roman"/>
          <w:color w:val="auto"/>
          <w:sz w:val="24"/>
          <w:highlight w:val="none"/>
          <w:u w:val="none"/>
          <w:lang w:eastAsia="zh-CN"/>
        </w:rPr>
        <w:t>招标人</w:t>
      </w:r>
      <w:r>
        <w:rPr>
          <w:rFonts w:hint="eastAsia" w:ascii="宋体" w:hAnsi="宋体" w:eastAsia="宋体" w:cs="Times New Roman"/>
          <w:color w:val="auto"/>
          <w:sz w:val="24"/>
          <w:highlight w:val="none"/>
          <w:u w:val="none"/>
        </w:rPr>
        <w:t>有权调整</w:t>
      </w:r>
      <w:r>
        <w:rPr>
          <w:rFonts w:hint="eastAsia" w:ascii="宋体" w:hAnsi="宋体" w:cs="Times New Roman"/>
          <w:color w:val="auto"/>
          <w:sz w:val="24"/>
          <w:highlight w:val="none"/>
          <w:u w:val="none"/>
          <w:lang w:eastAsia="zh-CN"/>
        </w:rPr>
        <w:t>中标人</w:t>
      </w:r>
      <w:r>
        <w:rPr>
          <w:rFonts w:hint="eastAsia" w:ascii="宋体" w:hAnsi="宋体" w:eastAsia="宋体" w:cs="Times New Roman"/>
          <w:color w:val="auto"/>
          <w:sz w:val="24"/>
          <w:highlight w:val="none"/>
          <w:u w:val="none"/>
        </w:rPr>
        <w:t>的监理范围，但</w:t>
      </w:r>
      <w:r>
        <w:rPr>
          <w:rFonts w:hint="eastAsia" w:ascii="宋体" w:hAnsi="宋体" w:cs="Times New Roman"/>
          <w:color w:val="auto"/>
          <w:sz w:val="24"/>
          <w:highlight w:val="none"/>
          <w:u w:val="none"/>
          <w:lang w:eastAsia="zh-CN"/>
        </w:rPr>
        <w:t>中标人</w:t>
      </w:r>
      <w:r>
        <w:rPr>
          <w:rFonts w:hint="eastAsia" w:ascii="宋体" w:hAnsi="宋体" w:eastAsia="宋体" w:cs="Times New Roman"/>
          <w:color w:val="auto"/>
          <w:sz w:val="24"/>
          <w:highlight w:val="none"/>
          <w:u w:val="none"/>
        </w:rPr>
        <w:t>的监理报酬不再额外增加。</w:t>
      </w:r>
    </w:p>
    <w:p>
      <w:pPr>
        <w:keepNext w:val="0"/>
        <w:keepLines w:val="0"/>
        <w:pageBreakBefore w:val="0"/>
        <w:widowControl w:val="0"/>
        <w:shd w:val="clear" w:color="auto" w:fill="FFFFFF"/>
        <w:kinsoku/>
        <w:wordWrap/>
        <w:overflowPunct/>
        <w:topLinePunct w:val="0"/>
        <w:autoSpaceDE/>
        <w:autoSpaceDN/>
        <w:bidi w:val="0"/>
        <w:adjustRightInd w:val="0"/>
        <w:snapToGrid/>
        <w:spacing w:beforeLines="-2147483648" w:afterLines="-2147483648" w:line="360" w:lineRule="auto"/>
        <w:ind w:firstLine="480" w:firstLineChars="200"/>
        <w:jc w:val="left"/>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2.2.3监理服务期限</w:t>
      </w:r>
    </w:p>
    <w:p>
      <w:pPr>
        <w:tabs>
          <w:tab w:val="left" w:pos="7513"/>
        </w:tabs>
        <w:snapToGrid/>
        <w:spacing w:line="360" w:lineRule="auto"/>
        <w:ind w:firstLine="480" w:firstLineChars="200"/>
        <w:rPr>
          <w:rFonts w:hint="eastAsia" w:ascii="宋体" w:hAnsi="宋体"/>
          <w:snapToGrid/>
          <w:color w:val="auto"/>
          <w:spacing w:val="0"/>
          <w:kern w:val="2"/>
          <w:sz w:val="24"/>
          <w:highlight w:val="none"/>
          <w:u w:val="none"/>
        </w:rPr>
      </w:pPr>
      <w:r>
        <w:rPr>
          <w:rFonts w:hint="eastAsia" w:ascii="宋体" w:hAnsi="宋体"/>
          <w:snapToGrid/>
          <w:color w:val="auto"/>
          <w:spacing w:val="0"/>
          <w:kern w:val="2"/>
          <w:sz w:val="24"/>
          <w:highlight w:val="none"/>
          <w:u w:val="none"/>
        </w:rPr>
        <w:t>从中标通知书发出之日起算，至本项目工程</w:t>
      </w:r>
      <w:r>
        <w:rPr>
          <w:rFonts w:hint="eastAsia" w:ascii="宋体" w:hAnsi="宋体"/>
          <w:snapToGrid/>
          <w:color w:val="auto"/>
          <w:spacing w:val="0"/>
          <w:kern w:val="2"/>
          <w:sz w:val="24"/>
          <w:highlight w:val="none"/>
          <w:u w:val="none"/>
          <w:lang w:val="en-US" w:eastAsia="zh-CN"/>
        </w:rPr>
        <w:t>全部内容的</w:t>
      </w:r>
      <w:r>
        <w:rPr>
          <w:rFonts w:hint="eastAsia" w:ascii="宋体" w:hAnsi="宋体"/>
          <w:snapToGrid/>
          <w:color w:val="auto"/>
          <w:spacing w:val="0"/>
          <w:kern w:val="2"/>
          <w:sz w:val="24"/>
          <w:highlight w:val="none"/>
          <w:u w:val="none"/>
        </w:rPr>
        <w:t>保修期结束且本合同工程结算金额经</w:t>
      </w:r>
      <w:r>
        <w:rPr>
          <w:rFonts w:hint="eastAsia" w:ascii="宋体" w:hAnsi="宋体"/>
          <w:snapToGrid/>
          <w:color w:val="auto"/>
          <w:spacing w:val="0"/>
          <w:kern w:val="2"/>
          <w:sz w:val="24"/>
          <w:highlight w:val="none"/>
          <w:u w:val="none"/>
          <w:lang w:val="en-US" w:eastAsia="zh-CN"/>
        </w:rPr>
        <w:t>招标人</w:t>
      </w:r>
      <w:r>
        <w:rPr>
          <w:rFonts w:hint="eastAsia" w:ascii="宋体" w:hAnsi="宋体"/>
          <w:snapToGrid/>
          <w:color w:val="auto"/>
          <w:spacing w:val="0"/>
          <w:kern w:val="2"/>
          <w:sz w:val="24"/>
          <w:highlight w:val="none"/>
          <w:u w:val="none"/>
        </w:rPr>
        <w:t>审定之日</w:t>
      </w:r>
      <w:r>
        <w:rPr>
          <w:rFonts w:hint="eastAsia" w:ascii="宋体" w:hAnsi="宋体"/>
          <w:snapToGrid/>
          <w:color w:val="auto"/>
          <w:spacing w:val="0"/>
          <w:kern w:val="2"/>
          <w:sz w:val="24"/>
          <w:highlight w:val="none"/>
          <w:u w:val="none"/>
          <w:lang w:eastAsia="zh-CN"/>
        </w:rPr>
        <w:t>（</w:t>
      </w:r>
      <w:r>
        <w:rPr>
          <w:rFonts w:hint="eastAsia" w:ascii="宋体" w:hAnsi="宋体"/>
          <w:snapToGrid/>
          <w:color w:val="auto"/>
          <w:spacing w:val="0"/>
          <w:kern w:val="2"/>
          <w:sz w:val="24"/>
          <w:highlight w:val="none"/>
          <w:u w:val="none"/>
          <w:lang w:val="en-US" w:eastAsia="zh-CN"/>
        </w:rPr>
        <w:t>以两者较晚时间为准</w:t>
      </w:r>
      <w:r>
        <w:rPr>
          <w:rFonts w:hint="eastAsia" w:ascii="宋体" w:hAnsi="宋体"/>
          <w:snapToGrid/>
          <w:color w:val="auto"/>
          <w:spacing w:val="0"/>
          <w:kern w:val="2"/>
          <w:sz w:val="24"/>
          <w:highlight w:val="none"/>
          <w:u w:val="none"/>
          <w:lang w:eastAsia="zh-CN"/>
        </w:rPr>
        <w:t>）</w:t>
      </w:r>
      <w:r>
        <w:rPr>
          <w:rFonts w:hint="eastAsia" w:ascii="宋体" w:hAnsi="宋体"/>
          <w:snapToGrid/>
          <w:color w:val="auto"/>
          <w:spacing w:val="0"/>
          <w:kern w:val="2"/>
          <w:sz w:val="24"/>
          <w:highlight w:val="none"/>
          <w:u w:val="none"/>
        </w:rPr>
        <w:t>止。</w:t>
      </w:r>
    </w:p>
    <w:p>
      <w:pPr>
        <w:keepNext w:val="0"/>
        <w:keepLines w:val="0"/>
        <w:pageBreakBefore w:val="0"/>
        <w:widowControl w:val="0"/>
        <w:kinsoku/>
        <w:wordWrap/>
        <w:overflowPunct/>
        <w:topLinePunct w:val="0"/>
        <w:autoSpaceDE/>
        <w:autoSpaceDN/>
        <w:bidi w:val="0"/>
        <w:snapToGrid/>
        <w:spacing w:beforeLines="0" w:afterLines="0" w:line="360" w:lineRule="auto"/>
        <w:ind w:firstLine="480" w:firstLineChars="200"/>
        <w:jc w:val="left"/>
        <w:textAlignment w:val="auto"/>
        <w:rPr>
          <w:rFonts w:hint="eastAsia" w:ascii="宋体" w:hAnsi="宋体"/>
          <w:color w:val="auto"/>
          <w:sz w:val="24"/>
          <w:szCs w:val="24"/>
          <w:highlight w:val="none"/>
          <w:u w:val="single"/>
        </w:rPr>
      </w:pPr>
      <w:r>
        <w:rPr>
          <w:rFonts w:hint="eastAsia" w:ascii="宋体" w:hAnsi="宋体" w:cs="宋体"/>
          <w:color w:val="auto"/>
          <w:sz w:val="24"/>
          <w:szCs w:val="24"/>
          <w:highlight w:val="none"/>
        </w:rPr>
        <w:t>2.2.4监理服务最高投标限价</w:t>
      </w:r>
      <w:r>
        <w:rPr>
          <w:rFonts w:hint="eastAsia" w:ascii="宋体" w:hAnsi="宋体" w:cs="宋体"/>
          <w:color w:val="auto"/>
          <w:sz w:val="24"/>
          <w:szCs w:val="24"/>
          <w:highlight w:val="none"/>
          <w:lang w:eastAsia="zh-CN"/>
        </w:rPr>
        <w:t>：284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777974</w:t>
      </w:r>
      <w:r>
        <w:rPr>
          <w:rFonts w:hint="eastAsia" w:ascii="宋体" w:hAnsi="宋体" w:cs="宋体"/>
          <w:color w:val="auto"/>
          <w:sz w:val="24"/>
          <w:szCs w:val="24"/>
          <w:highlight w:val="none"/>
          <w:lang w:val="en-US" w:eastAsia="zh-CN"/>
        </w:rPr>
        <w:t>万</w:t>
      </w:r>
      <w:r>
        <w:rPr>
          <w:rFonts w:hint="eastAsia" w:ascii="宋体" w:hAnsi="宋体" w:cs="宋体"/>
          <w:color w:val="auto"/>
          <w:sz w:val="24"/>
          <w:szCs w:val="24"/>
          <w:highlight w:val="none"/>
          <w:lang w:eastAsia="zh-CN"/>
        </w:rPr>
        <w:t>元</w:t>
      </w:r>
      <w:r>
        <w:rPr>
          <w:rFonts w:hint="eastAsia" w:ascii="宋体" w:hAnsi="宋体" w:cs="宋体"/>
          <w:color w:val="auto"/>
          <w:sz w:val="24"/>
          <w:szCs w:val="24"/>
          <w:highlight w:val="none"/>
        </w:rPr>
        <w:t>。</w:t>
      </w:r>
    </w:p>
    <w:p>
      <w:pPr>
        <w:pStyle w:val="2"/>
        <w:spacing w:line="240" w:lineRule="auto"/>
        <w:rPr>
          <w:rFonts w:hint="eastAsia" w:ascii="黑体" w:hAnsi="黑体" w:eastAsia="黑体" w:cs="黑体"/>
          <w:color w:val="auto"/>
          <w:highlight w:val="none"/>
        </w:rPr>
      </w:pPr>
      <w:bookmarkStart w:id="8" w:name="_Toc492300548"/>
      <w:r>
        <w:rPr>
          <w:rFonts w:hint="eastAsia" w:ascii="黑体" w:hAnsi="黑体" w:eastAsia="黑体" w:cs="黑体"/>
          <w:color w:val="auto"/>
          <w:highlight w:val="none"/>
        </w:rPr>
        <w:t>3.投标人资格要求</w:t>
      </w:r>
      <w:bookmarkEnd w:id="8"/>
    </w:p>
    <w:p>
      <w:pPr>
        <w:keepNext w:val="0"/>
        <w:keepLines w:val="0"/>
        <w:pageBreakBefore w:val="0"/>
        <w:widowControl w:val="0"/>
        <w:kinsoku/>
        <w:overflowPunct/>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3.1本次招标要求投标人须具备</w:t>
      </w:r>
      <w:r>
        <w:rPr>
          <w:rFonts w:hint="eastAsia" w:ascii="宋体" w:hAnsi="宋体" w:eastAsia="宋体" w:cs="宋体"/>
          <w:color w:val="auto"/>
          <w:sz w:val="24"/>
          <w:szCs w:val="24"/>
          <w:highlight w:val="none"/>
          <w:u w:val="single"/>
        </w:rPr>
        <w:t>相应</w:t>
      </w:r>
      <w:r>
        <w:rPr>
          <w:rFonts w:hint="eastAsia" w:ascii="宋体" w:hAnsi="宋体" w:eastAsia="宋体" w:cs="宋体"/>
          <w:color w:val="auto"/>
          <w:sz w:val="24"/>
          <w:szCs w:val="24"/>
          <w:highlight w:val="none"/>
        </w:rPr>
        <w:t>资质。</w:t>
      </w:r>
    </w:p>
    <w:p>
      <w:pPr>
        <w:keepNext w:val="0"/>
        <w:keepLines w:val="0"/>
        <w:pageBreakBefore w:val="0"/>
        <w:widowControl w:val="0"/>
        <w:kinsoku/>
        <w:overflowPunct/>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3.1.1投标人须具备</w:t>
      </w:r>
      <w:r>
        <w:rPr>
          <w:rFonts w:hint="eastAsia" w:ascii="宋体" w:hAnsi="宋体" w:eastAsia="宋体" w:cs="宋体"/>
          <w:color w:val="auto"/>
          <w:sz w:val="24"/>
          <w:szCs w:val="24"/>
          <w:highlight w:val="none"/>
          <w:u w:val="single"/>
        </w:rPr>
        <w:t>工程监理综合资质或房屋建筑工程监理</w:t>
      </w:r>
      <w:r>
        <w:rPr>
          <w:rFonts w:hint="eastAsia" w:ascii="宋体" w:hAnsi="宋体" w:cs="宋体"/>
          <w:color w:val="auto"/>
          <w:sz w:val="24"/>
          <w:szCs w:val="24"/>
          <w:highlight w:val="none"/>
          <w:u w:val="single"/>
          <w:lang w:val="en-US" w:eastAsia="zh-CN"/>
        </w:rPr>
        <w:t>乙级（或以上）</w:t>
      </w:r>
      <w:r>
        <w:rPr>
          <w:rFonts w:hint="eastAsia" w:ascii="宋体" w:hAnsi="宋体" w:eastAsia="宋体" w:cs="宋体"/>
          <w:color w:val="auto"/>
          <w:sz w:val="24"/>
          <w:szCs w:val="24"/>
          <w:highlight w:val="none"/>
          <w:u w:val="single"/>
        </w:rPr>
        <w:t>资质</w:t>
      </w:r>
      <w:r>
        <w:rPr>
          <w:rFonts w:hint="eastAsia" w:ascii="宋体" w:hAnsi="宋体" w:eastAsia="宋体" w:cs="宋体"/>
          <w:color w:val="auto"/>
          <w:sz w:val="24"/>
          <w:szCs w:val="24"/>
          <w:highlight w:val="none"/>
        </w:rPr>
        <w:t>。</w:t>
      </w:r>
    </w:p>
    <w:p>
      <w:pPr>
        <w:keepNext w:val="0"/>
        <w:keepLines w:val="0"/>
        <w:pageBreakBefore w:val="0"/>
        <w:widowControl w:val="0"/>
        <w:kinsoku/>
        <w:overflowPunct/>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香港企业参加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确定]。</w:t>
      </w:r>
    </w:p>
    <w:p>
      <w:pPr>
        <w:keepNext w:val="0"/>
        <w:keepLines w:val="0"/>
        <w:pageBreakBefore w:val="0"/>
        <w:widowControl w:val="0"/>
        <w:kinsoku/>
        <w:overflowPunct/>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执行、《住房城乡建设部建筑市场监管司关于建设工程企业资质延续有关事项的通知》（建司局函市〔2023〕116号）、《广东省住房和城乡建设厅关于建设工程企业资质延续有关事项的通知》（粤建许函〔2023〕820号）等相关规定。根据上述文件的要求，申请人需办理企业资质有效期延续的，应当按照相关规定及时办理。</w:t>
      </w:r>
    </w:p>
    <w:p>
      <w:pPr>
        <w:keepNext w:val="0"/>
        <w:keepLines w:val="0"/>
        <w:pageBreakBefore w:val="0"/>
        <w:widowControl w:val="0"/>
        <w:kinsoku/>
        <w:overflowPunct/>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3.2总监理工程师：拟任本项目总监理工程师应具有建设部2006年4月1日后颁发的中华人民共和国</w:t>
      </w:r>
      <w:r>
        <w:rPr>
          <w:rFonts w:hint="eastAsia" w:ascii="宋体" w:hAnsi="宋体" w:eastAsia="宋体" w:cs="宋体"/>
          <w:color w:val="auto"/>
          <w:sz w:val="24"/>
          <w:szCs w:val="24"/>
          <w:highlight w:val="none"/>
          <w:u w:val="single"/>
        </w:rPr>
        <w:t>注册监理工程师</w:t>
      </w:r>
      <w:r>
        <w:rPr>
          <w:rFonts w:hint="eastAsia" w:ascii="宋体" w:hAnsi="宋体" w:eastAsia="宋体" w:cs="宋体"/>
          <w:color w:val="auto"/>
          <w:sz w:val="24"/>
          <w:szCs w:val="24"/>
          <w:highlight w:val="none"/>
        </w:rPr>
        <w:t>注册执业证书，且其注册专业为</w:t>
      </w:r>
      <w:r>
        <w:rPr>
          <w:rFonts w:hint="eastAsia" w:ascii="宋体" w:hAnsi="宋体" w:eastAsia="宋体" w:cs="宋体"/>
          <w:color w:val="auto"/>
          <w:sz w:val="24"/>
          <w:szCs w:val="24"/>
          <w:highlight w:val="none"/>
          <w:u w:val="single"/>
        </w:rPr>
        <w:t>房屋建筑工程</w:t>
      </w:r>
      <w:r>
        <w:rPr>
          <w:rFonts w:hint="eastAsia" w:ascii="宋体" w:hAnsi="宋体" w:eastAsia="宋体" w:cs="宋体"/>
          <w:color w:val="auto"/>
          <w:sz w:val="24"/>
          <w:szCs w:val="24"/>
          <w:highlight w:val="none"/>
        </w:rPr>
        <w:t>专业，注册执业单位为本公司，并具有本科或以上的学历；</w:t>
      </w:r>
    </w:p>
    <w:p>
      <w:pPr>
        <w:keepNext w:val="0"/>
        <w:keepLines w:val="0"/>
        <w:pageBreakBefore w:val="0"/>
        <w:widowControl w:val="0"/>
        <w:kinsoku/>
        <w:overflowPunct/>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或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pPr>
        <w:keepNext w:val="0"/>
        <w:keepLines w:val="0"/>
        <w:pageBreakBefore w:val="0"/>
        <w:widowControl w:val="0"/>
        <w:kinsoku/>
        <w:overflowPunct/>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3.3本次招标</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联合体投标。</w:t>
      </w:r>
    </w:p>
    <w:p>
      <w:pPr>
        <w:keepNext w:val="0"/>
        <w:keepLines w:val="0"/>
        <w:pageBreakBefore w:val="0"/>
        <w:widowControl w:val="0"/>
        <w:kinsoku/>
        <w:overflowPunct/>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3.4投标人均具有独立法人资格</w:t>
      </w:r>
      <w:r>
        <w:rPr>
          <w:rFonts w:hint="eastAsia" w:ascii="宋体" w:hAnsi="宋体" w:eastAsia="宋体" w:cs="宋体"/>
          <w:color w:val="auto"/>
          <w:sz w:val="24"/>
          <w:szCs w:val="24"/>
          <w:highlight w:val="none"/>
          <w:lang w:val="en-US" w:eastAsia="zh-CN"/>
        </w:rPr>
        <w:t>或依法注册登记的其他组织</w:t>
      </w:r>
      <w:r>
        <w:rPr>
          <w:rFonts w:hint="eastAsia" w:ascii="宋体" w:hAnsi="宋体" w:eastAsia="宋体" w:cs="宋体"/>
          <w:color w:val="auto"/>
          <w:sz w:val="24"/>
          <w:szCs w:val="24"/>
          <w:highlight w:val="none"/>
        </w:rPr>
        <w:t>，持有工商行政管理部门</w:t>
      </w:r>
      <w:r>
        <w:rPr>
          <w:rFonts w:hint="eastAsia" w:ascii="宋体" w:hAnsi="宋体" w:eastAsia="宋体" w:cs="宋体"/>
          <w:color w:val="auto"/>
          <w:sz w:val="24"/>
          <w:szCs w:val="24"/>
          <w:highlight w:val="none"/>
          <w:lang w:val="en-US" w:eastAsia="zh-CN"/>
        </w:rPr>
        <w:t>或相关职能部门</w:t>
      </w:r>
      <w:r>
        <w:rPr>
          <w:rFonts w:hint="eastAsia" w:ascii="宋体" w:hAnsi="宋体" w:eastAsia="宋体" w:cs="宋体"/>
          <w:color w:val="auto"/>
          <w:sz w:val="24"/>
          <w:szCs w:val="24"/>
          <w:highlight w:val="none"/>
        </w:rPr>
        <w:t>核发的营业执照</w:t>
      </w:r>
      <w:r>
        <w:rPr>
          <w:rFonts w:hint="eastAsia" w:ascii="宋体" w:hAnsi="宋体" w:cs="宋体"/>
          <w:b w:val="0"/>
          <w:bCs/>
          <w:color w:val="auto"/>
          <w:sz w:val="24"/>
          <w:szCs w:val="24"/>
          <w:highlight w:val="none"/>
          <w:u w:val="single"/>
        </w:rPr>
        <w:t>或</w:t>
      </w:r>
      <w:r>
        <w:rPr>
          <w:rFonts w:hint="eastAsia" w:ascii="宋体" w:hAnsi="宋体" w:cs="宋体"/>
          <w:b w:val="0"/>
          <w:bCs/>
          <w:color w:val="auto"/>
          <w:sz w:val="24"/>
          <w:szCs w:val="24"/>
          <w:highlight w:val="none"/>
          <w:u w:val="single"/>
          <w:lang w:val="en-US" w:eastAsia="zh-CN"/>
        </w:rPr>
        <w:t>经营许可证照或</w:t>
      </w:r>
      <w:r>
        <w:rPr>
          <w:rFonts w:hint="eastAsia" w:ascii="宋体" w:hAnsi="宋体" w:cs="宋体"/>
          <w:b w:val="0"/>
          <w:bCs/>
          <w:color w:val="auto"/>
          <w:sz w:val="24"/>
          <w:szCs w:val="24"/>
          <w:highlight w:val="none"/>
          <w:u w:val="single"/>
        </w:rPr>
        <w:t>各级政府事业单位登记管理机关颁发的事业单位法人证书</w:t>
      </w:r>
      <w:r>
        <w:rPr>
          <w:rFonts w:hint="eastAsia" w:ascii="宋体" w:hAnsi="宋体" w:eastAsia="宋体" w:cs="宋体"/>
          <w:color w:val="auto"/>
          <w:sz w:val="24"/>
          <w:szCs w:val="24"/>
          <w:highlight w:val="none"/>
        </w:rPr>
        <w:t>，按国家法律经营。</w:t>
      </w:r>
      <w:r>
        <w:rPr>
          <w:rFonts w:hint="eastAsia" w:ascii="宋体" w:hAnsi="宋体" w:cs="宋体"/>
          <w:b w:val="0"/>
          <w:bCs/>
          <w:color w:val="auto"/>
          <w:spacing w:val="7"/>
          <w:sz w:val="24"/>
          <w:szCs w:val="24"/>
          <w:highlight w:val="none"/>
          <w:u w:val="single"/>
        </w:rPr>
        <w:t>香港企业提供在香港进行商业登记的证明文书。</w:t>
      </w:r>
    </w:p>
    <w:p>
      <w:pPr>
        <w:keepNext w:val="0"/>
        <w:keepLines w:val="0"/>
        <w:pageBreakBefore w:val="0"/>
        <w:widowControl w:val="0"/>
        <w:kinsoku/>
        <w:overflowPunct/>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u w:val="single"/>
        </w:rPr>
        <w:t>资格审查前，投标人须在广州市住建行业信用管理平台建立企业信用档案及拟担任本工程总监理工程师须是本企业信用档案中的在册人员。企业信用档案取自投标截止时间投标人在信用管理平台的信息，投标人无需提交相关资料，若招标人延长递交投标文件截止时间的，信用档案信息的评审时点也相应延长。</w:t>
      </w:r>
      <w:r>
        <w:rPr>
          <w:rFonts w:hint="eastAsia" w:ascii="宋体" w:hAnsi="宋体" w:cs="宋体"/>
          <w:color w:val="auto"/>
          <w:sz w:val="24"/>
          <w:highlight w:val="none"/>
          <w:u w:val="single"/>
        </w:rPr>
        <w:t>（信用档案办理详见《广州市住建行业信用管理平台监理企业信息录入指引》http://zfcj.gz.gov.cn/zwgk/zsdwxxgkzl/gzsjzyglfwzx/bszy/content/post_8073953.html）</w:t>
      </w:r>
    </w:p>
    <w:p>
      <w:pPr>
        <w:keepNext w:val="0"/>
        <w:keepLines w:val="0"/>
        <w:pageBreakBefore w:val="0"/>
        <w:widowControl w:val="0"/>
        <w:kinsoku/>
        <w:overflowPunct/>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3.6投标人出具按照招标文件要求的格式签署盖章的《投标申请人声明》（格式见招标文件第六章）。</w:t>
      </w:r>
    </w:p>
    <w:p>
      <w:pPr>
        <w:keepNext w:val="0"/>
        <w:keepLines w:val="0"/>
        <w:pageBreakBefore w:val="0"/>
        <w:widowControl w:val="0"/>
        <w:kinsoku/>
        <w:overflowPunct/>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未被列入拖欠农民工工资失信联合惩戒对象名单（投标人无需提供资料，按投标截止时广州交易集团有限公司（广州公共资源交易中心）交易系统比对的结果进行评审）</w:t>
      </w:r>
      <w:r>
        <w:rPr>
          <w:rFonts w:hint="eastAsia" w:ascii="宋体" w:hAnsi="宋体" w:cs="宋体"/>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1、未在招标公告第三条单列的投标人资格要求条件，不作为资审不合格的依据。</w:t>
      </w:r>
    </w:p>
    <w:p>
      <w:pPr>
        <w:keepNext w:val="0"/>
        <w:keepLines w:val="0"/>
        <w:pageBreakBefore w:val="0"/>
        <w:widowControl w:val="0"/>
        <w:kinsoku/>
        <w:overflowPunct/>
        <w:autoSpaceDE/>
        <w:autoSpaceDN/>
        <w:bidi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、依据《广东省住房和城乡建设厅关于印发香港工程建设咨询企业和专业人士在粤港澳大湾区内地城市开业执业试点管理暂行办法的通知》（粤建规范〔2020〕1号，详见链接：</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"http://zfcxjst.gd.gov.cn/xxgk/wjtz/content/post_3137220.html），自2021年1月1日起，经备案且备案的业务范围满足招标文件要求的香港企业及香港专业人士参与本次投标的，应按招标文件要求提供满足评审的相关证明文件。" </w:instrText>
      </w:r>
      <w:r>
        <w:rPr>
          <w:rFonts w:hint="eastAsia" w:ascii="宋体" w:hAnsi="宋体" w:eastAsia="宋体" w:cs="宋体"/>
          <w:color w:val="auto"/>
          <w:sz w:val="24"/>
          <w:szCs w:val="24"/>
          <w:highlight w:val="none"/>
        </w:rPr>
        <w:fldChar w:fldCharType="separate"/>
      </w:r>
      <w:r>
        <w:rPr>
          <w:rStyle w:val="8"/>
          <w:rFonts w:hint="eastAsia" w:ascii="宋体" w:hAnsi="宋体" w:eastAsia="宋体" w:cs="宋体"/>
          <w:color w:val="auto"/>
          <w:sz w:val="24"/>
          <w:szCs w:val="24"/>
          <w:highlight w:val="none"/>
        </w:rPr>
        <w:t>http://zfcxjst.gd.gov.cn/xxgk/wjtz/content/post_3137220.html），自2021年1月1日起，经备案且备案的业务范围满足招标文件要求的香港企业及香港专业人士参与本次投标的，应按招标文件要求提供满足评审的相关证明文件。</w:t>
      </w:r>
      <w:r>
        <w:rPr>
          <w:rStyle w:val="8"/>
          <w:rFonts w:hint="eastAsia" w:ascii="宋体" w:hAnsi="宋体" w:eastAsia="宋体" w:cs="宋体"/>
          <w:color w:val="auto"/>
          <w:sz w:val="24"/>
          <w:szCs w:val="24"/>
          <w:highlight w:val="none"/>
        </w:rPr>
        <w:fldChar w:fldCharType="end"/>
      </w:r>
    </w:p>
    <w:p>
      <w:pPr>
        <w:pStyle w:val="2"/>
        <w:spacing w:line="240" w:lineRule="auto"/>
        <w:rPr>
          <w:rFonts w:hint="eastAsia" w:ascii="黑体" w:hAnsi="黑体" w:eastAsia="黑体" w:cs="黑体"/>
          <w:color w:val="auto"/>
          <w:highlight w:val="none"/>
        </w:rPr>
      </w:pPr>
      <w:bookmarkStart w:id="9" w:name="_Toc492300549"/>
      <w:r>
        <w:rPr>
          <w:rFonts w:hint="eastAsia" w:ascii="黑体" w:hAnsi="黑体" w:eastAsia="黑体" w:cs="黑体"/>
          <w:color w:val="auto"/>
          <w:highlight w:val="none"/>
        </w:rPr>
        <w:t>4.招标文件的获取</w:t>
      </w:r>
      <w:bookmarkEnd w:id="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4.1凡有意参加投标者，请于</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 xml:space="preserve">分(北京时间，下同)，登录 </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网</w:t>
      </w:r>
      <w:r>
        <w:rPr>
          <w:rFonts w:hint="eastAsia" w:ascii="宋体" w:hAnsi="宋体" w:cs="宋体"/>
          <w:color w:val="auto"/>
          <w:sz w:val="24"/>
          <w:szCs w:val="24"/>
          <w:highlight w:val="none"/>
          <w:lang w:val="en-US" w:eastAsia="zh-CN"/>
        </w:rPr>
        <w:t>站</w:t>
      </w:r>
      <w:r>
        <w:rPr>
          <w:rFonts w:hint="eastAsia" w:ascii="宋体" w:hAnsi="宋体" w:cs="宋体"/>
          <w:color w:val="auto"/>
          <w:sz w:val="24"/>
          <w:szCs w:val="24"/>
          <w:highlight w:val="none"/>
        </w:rPr>
        <w:t>（网址：http://www.gzggzy.cn）下载电子招标文件。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u w:val="single"/>
        </w:rPr>
      </w:pPr>
      <w:r>
        <w:rPr>
          <w:rFonts w:hint="eastAsia" w:ascii="宋体" w:hAnsi="宋体" w:cs="宋体"/>
          <w:color w:val="auto"/>
          <w:sz w:val="24"/>
          <w:szCs w:val="24"/>
          <w:highlight w:val="none"/>
        </w:rPr>
        <w:t>4.2本项目采用资格后审方式。</w:t>
      </w:r>
    </w:p>
    <w:p>
      <w:pPr>
        <w:pStyle w:val="2"/>
        <w:spacing w:line="240" w:lineRule="auto"/>
        <w:rPr>
          <w:rFonts w:hint="eastAsia" w:ascii="黑体" w:hAnsi="黑体" w:eastAsia="黑体" w:cs="黑体"/>
          <w:color w:val="auto"/>
          <w:highlight w:val="none"/>
        </w:rPr>
      </w:pPr>
      <w:bookmarkStart w:id="10" w:name="_Toc492300550"/>
      <w:r>
        <w:rPr>
          <w:rFonts w:hint="eastAsia" w:ascii="黑体" w:hAnsi="黑体" w:eastAsia="黑体" w:cs="黑体"/>
          <w:color w:val="auto"/>
          <w:highlight w:val="none"/>
        </w:rPr>
        <w:t>5.投标文件的递交</w:t>
      </w:r>
      <w:bookmarkEnd w:id="1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5.1发布招标公告时间（含本日）：</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注：发布招标公告的时间为招标公告发出之日起至递交投标文件截止时间止。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5.2递交投标文件时间：</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分。投标人通过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网站（网址：http://www.gzggzy.cn/）</w:t>
      </w:r>
      <w:r>
        <w:rPr>
          <w:rFonts w:hint="eastAsia" w:ascii="宋体" w:hAnsi="宋体" w:cs="宋体"/>
          <w:color w:val="auto"/>
          <w:sz w:val="24"/>
          <w:szCs w:val="24"/>
          <w:highlight w:val="none"/>
        </w:rPr>
        <w:t>交易平台递交电子投标文件。投标人应在递交投标文件截止时间前，登录</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w:t>
      </w:r>
      <w:r>
        <w:rPr>
          <w:rFonts w:hint="eastAsia" w:ascii="宋体" w:hAnsi="宋体" w:cs="宋体"/>
          <w:color w:val="auto"/>
          <w:sz w:val="24"/>
          <w:szCs w:val="24"/>
          <w:highlight w:val="none"/>
        </w:rPr>
        <w:t>交易平台网站办理网上投标登记手续。按照交易平台关于全流程电子化项目的相关指南进行操作。详见：</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网站首页-服务指南。</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投标登记时，投标人应按要求在交易系统中填写《</w:t>
      </w:r>
      <w:bookmarkStart w:id="11" w:name="OLE_LINK2"/>
      <w:r>
        <w:rPr>
          <w:rFonts w:hint="eastAsia" w:ascii="宋体" w:hAnsi="宋体" w:eastAsia="宋体" w:cs="宋体"/>
          <w:color w:val="auto"/>
          <w:sz w:val="24"/>
          <w:szCs w:val="24"/>
          <w:highlight w:val="none"/>
          <w:lang w:val="en-US" w:eastAsia="zh-CN"/>
        </w:rPr>
        <w:t>监理项目管理团</w:t>
      </w:r>
      <w:bookmarkEnd w:id="11"/>
      <w:r>
        <w:rPr>
          <w:rFonts w:hint="eastAsia" w:ascii="宋体" w:hAnsi="宋体" w:eastAsia="宋体" w:cs="宋体"/>
          <w:color w:val="auto"/>
          <w:sz w:val="24"/>
          <w:szCs w:val="24"/>
          <w:highlight w:val="none"/>
          <w:lang w:val="en-US" w:eastAsia="zh-CN"/>
        </w:rPr>
        <w:t>队人员信息表》（详见招标文件第六章投标文件格式），表中的项目管理团队人员信息作为投标文件的一部分，将由交易系统提取后供各相关单位在中标人履约时进行比对、查核</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3递交备用投标文件电子光盘时间为：</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分；地点：</w:t>
      </w:r>
      <w:r>
        <w:rPr>
          <w:rFonts w:hint="eastAsia" w:ascii="宋体" w:hAnsi="宋体"/>
          <w:color w:val="auto"/>
          <w:sz w:val="24"/>
          <w:szCs w:val="24"/>
          <w:highlight w:val="none"/>
          <w:u w:val="single"/>
        </w:rPr>
        <w:t>广州公共资源交易中心南沙交易部（广州市南沙区环市大道中成汇街2号南沙城商务楼A栋2楼）指定开标室，可在</w:t>
      </w:r>
      <w:r>
        <w:rPr>
          <w:rFonts w:hint="eastAsia" w:ascii="宋体" w:hAnsi="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u w:val="single"/>
        </w:rPr>
        <w:t>网站进行查询</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5.4逾期送达的投标文件，电子招标投标交易平台将予以拒收。逾期未上传成功的电子投标文件，招标人拒绝接收。逾期或未在指定地点递交投标文件光盘的,招标人拒绝接收其投标文件光盘。</w:t>
      </w:r>
      <w:bookmarkStart w:id="42" w:name="_GoBack"/>
      <w:bookmarkEnd w:id="42"/>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cs="宋体"/>
          <w:color w:val="auto"/>
          <w:sz w:val="24"/>
          <w:szCs w:val="24"/>
          <w:highlight w:val="none"/>
        </w:rPr>
      </w:pPr>
      <w:r>
        <w:rPr>
          <w:rFonts w:hint="eastAsia" w:ascii="宋体" w:hAnsi="宋体" w:cs="宋体"/>
          <w:color w:val="auto"/>
          <w:sz w:val="24"/>
          <w:szCs w:val="24"/>
          <w:highlight w:val="none"/>
        </w:rPr>
        <w:t>5.5开标时间：</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分。地点：</w:t>
      </w:r>
      <w:r>
        <w:rPr>
          <w:rFonts w:hint="eastAsia" w:ascii="宋体" w:hAnsi="宋体"/>
          <w:color w:val="auto"/>
          <w:sz w:val="24"/>
          <w:szCs w:val="24"/>
          <w:highlight w:val="none"/>
          <w:u w:val="single"/>
        </w:rPr>
        <w:t>广州公共资源交易中心南沙交易部（广州市南沙区环市大道中成汇街2号南沙城商务楼A栋2楼）指定开标室，可在</w:t>
      </w:r>
      <w:r>
        <w:rPr>
          <w:rFonts w:hint="eastAsia" w:ascii="宋体" w:hAnsi="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u w:val="single"/>
        </w:rPr>
        <w:t>网站进行查询</w:t>
      </w:r>
      <w:r>
        <w:rPr>
          <w:rFonts w:hint="eastAsia" w:ascii="宋体" w:hAnsi="宋体" w:cs="宋体"/>
          <w:color w:val="auto"/>
          <w:sz w:val="24"/>
          <w:szCs w:val="24"/>
          <w:highlight w:val="none"/>
        </w:rPr>
        <w:t>。</w:t>
      </w:r>
    </w:p>
    <w:p>
      <w:pPr>
        <w:pStyle w:val="2"/>
        <w:spacing w:line="240" w:lineRule="auto"/>
        <w:rPr>
          <w:rFonts w:hint="eastAsia" w:ascii="黑体" w:hAnsi="黑体" w:eastAsia="黑体" w:cs="黑体"/>
          <w:color w:val="auto"/>
          <w:highlight w:val="none"/>
        </w:rPr>
      </w:pPr>
      <w:bookmarkStart w:id="12" w:name="_Toc492300551"/>
      <w:r>
        <w:rPr>
          <w:rFonts w:hint="eastAsia" w:ascii="黑体" w:hAnsi="黑体" w:eastAsia="黑体" w:cs="黑体"/>
          <w:color w:val="auto"/>
          <w:highlight w:val="none"/>
        </w:rPr>
        <w:t>6.发布公告的媒介</w:t>
      </w:r>
      <w:bookmarkEnd w:id="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olor w:val="auto"/>
          <w:szCs w:val="21"/>
          <w:highlight w:val="none"/>
        </w:rPr>
      </w:pPr>
      <w:r>
        <w:rPr>
          <w:rFonts w:hint="eastAsia" w:ascii="宋体" w:hAnsi="宋体" w:cs="楷体"/>
          <w:color w:val="auto"/>
          <w:sz w:val="24"/>
          <w:highlight w:val="none"/>
        </w:rPr>
        <w:t>本次招标公告同时在</w:t>
      </w:r>
      <w:r>
        <w:rPr>
          <w:rFonts w:hint="eastAsia" w:ascii="宋体" w:hAnsi="宋体" w:cs="楷体"/>
          <w:color w:val="auto"/>
          <w:sz w:val="24"/>
          <w:highlight w:val="none"/>
          <w:u w:val="single"/>
        </w:rPr>
        <w:t>广州交易集团有限公司（广州公共资源交易中心）（网址：http://www.gzggzy.cn）、广东省招标投标监管网（网址：http://zbtb.gd.gov.cn/）</w:t>
      </w:r>
      <w:r>
        <w:rPr>
          <w:rFonts w:hint="eastAsia" w:ascii="宋体" w:hAnsi="宋体" w:cs="楷体"/>
          <w:color w:val="auto"/>
          <w:sz w:val="24"/>
          <w:highlight w:val="none"/>
          <w:u w:val="single"/>
          <w:lang w:eastAsia="zh-CN"/>
        </w:rPr>
        <w:t>、广州国企阳光采购信息发布平台（网址：https://ygcg.gzggzy.cn/p92/index.html）</w:t>
      </w:r>
      <w:r>
        <w:rPr>
          <w:rFonts w:hint="eastAsia" w:ascii="宋体" w:hAnsi="宋体" w:cs="楷体"/>
          <w:color w:val="auto"/>
          <w:sz w:val="24"/>
          <w:highlight w:val="none"/>
          <w:u w:val="single"/>
        </w:rPr>
        <w:t>和中国招标投标公共服务平台（网址：</w:t>
      </w:r>
      <w:r>
        <w:rPr>
          <w:color w:val="auto"/>
          <w:highlight w:val="none"/>
        </w:rPr>
        <w:fldChar w:fldCharType="begin"/>
      </w:r>
      <w:r>
        <w:rPr>
          <w:color w:val="auto"/>
          <w:highlight w:val="none"/>
        </w:rPr>
        <w:instrText xml:space="preserve"> HYPERLINK "http://www.cebpubservice.com/）发布，本公告的修改、补充，在广州公共资源交易中心网站上发布。" </w:instrText>
      </w:r>
      <w:r>
        <w:rPr>
          <w:color w:val="auto"/>
          <w:highlight w:val="none"/>
        </w:rPr>
        <w:fldChar w:fldCharType="separate"/>
      </w:r>
      <w:r>
        <w:rPr>
          <w:rStyle w:val="8"/>
          <w:rFonts w:hint="eastAsia" w:ascii="宋体" w:hAnsi="宋体" w:cs="楷体"/>
          <w:color w:val="auto"/>
          <w:sz w:val="24"/>
          <w:highlight w:val="none"/>
        </w:rPr>
        <w:t>http://www.cebpubservice.com/）发布，本公告的修改、补充，在</w:t>
      </w:r>
      <w:r>
        <w:rPr>
          <w:rStyle w:val="8"/>
          <w:rFonts w:hint="eastAsia" w:ascii="宋体" w:hAnsi="宋体" w:cs="楷体"/>
          <w:color w:val="auto"/>
          <w:sz w:val="24"/>
          <w:highlight w:val="none"/>
          <w:lang w:eastAsia="zh-CN"/>
        </w:rPr>
        <w:t>广州交易集团有限公司（广州公共资源交易中心）</w:t>
      </w:r>
      <w:r>
        <w:rPr>
          <w:rStyle w:val="8"/>
          <w:rFonts w:hint="eastAsia" w:ascii="宋体" w:hAnsi="宋体" w:cs="楷体"/>
          <w:color w:val="auto"/>
          <w:sz w:val="24"/>
          <w:highlight w:val="none"/>
        </w:rPr>
        <w:t>网站上发布。</w:t>
      </w:r>
      <w:r>
        <w:rPr>
          <w:rStyle w:val="8"/>
          <w:rFonts w:hint="eastAsia" w:ascii="宋体" w:hAnsi="宋体" w:cs="楷体"/>
          <w:color w:val="auto"/>
          <w:sz w:val="24"/>
          <w:highlight w:val="none"/>
        </w:rPr>
        <w:fldChar w:fldCharType="end"/>
      </w:r>
    </w:p>
    <w:p>
      <w:pPr>
        <w:pStyle w:val="2"/>
        <w:spacing w:line="240" w:lineRule="auto"/>
        <w:rPr>
          <w:rFonts w:hint="eastAsia" w:ascii="黑体" w:hAnsi="黑体" w:eastAsia="黑体" w:cs="黑体"/>
          <w:color w:val="auto"/>
          <w:highlight w:val="none"/>
        </w:rPr>
      </w:pPr>
      <w:bookmarkStart w:id="13" w:name="_Toc492300552"/>
      <w:r>
        <w:rPr>
          <w:rFonts w:hint="eastAsia" w:ascii="黑体" w:hAnsi="黑体" w:eastAsia="黑体" w:cs="黑体"/>
          <w:color w:val="auto"/>
          <w:highlight w:val="none"/>
        </w:rPr>
        <w:t>7.联系方式</w:t>
      </w:r>
      <w:bookmarkEnd w:id="13"/>
    </w:p>
    <w:p>
      <w:pPr>
        <w:keepNext w:val="0"/>
        <w:keepLines w:val="0"/>
        <w:pageBreakBefore w:val="0"/>
        <w:widowControl w:val="0"/>
        <w:kinsoku/>
        <w:wordWrap/>
        <w:overflowPunct/>
        <w:autoSpaceDE/>
        <w:autoSpaceDN/>
        <w:bidi w:val="0"/>
        <w:adjustRightInd/>
        <w:snapToGrid/>
        <w:spacing w:line="336" w:lineRule="auto"/>
        <w:ind w:left="1260" w:right="480" w:hanging="1260" w:hangingChars="525"/>
        <w:jc w:val="left"/>
        <w:textAlignment w:val="auto"/>
        <w:rPr>
          <w:rFonts w:hint="eastAsia" w:ascii="宋体" w:hAnsi="宋体" w:eastAsia="宋体" w:cs="宋体"/>
          <w:color w:val="auto"/>
          <w:sz w:val="24"/>
          <w:highlight w:val="none"/>
          <w:u w:val="single"/>
          <w:lang w:eastAsia="zh-CN"/>
        </w:rPr>
      </w:pPr>
      <w:bookmarkStart w:id="14" w:name="_Toc361508560"/>
      <w:bookmarkEnd w:id="14"/>
      <w:bookmarkStart w:id="15" w:name="_Toc300834929"/>
      <w:bookmarkEnd w:id="15"/>
      <w:bookmarkStart w:id="16" w:name="_Toc384308187"/>
      <w:bookmarkEnd w:id="16"/>
      <w:bookmarkStart w:id="17" w:name="_Toc144974481"/>
      <w:bookmarkEnd w:id="17"/>
      <w:bookmarkStart w:id="18" w:name="_Toc352691453"/>
      <w:bookmarkEnd w:id="18"/>
      <w:bookmarkStart w:id="19" w:name="_Toc247527536"/>
      <w:bookmarkEnd w:id="19"/>
      <w:bookmarkStart w:id="20" w:name="_Toc10785"/>
      <w:bookmarkEnd w:id="20"/>
      <w:bookmarkStart w:id="21" w:name="_Toc384308185"/>
      <w:bookmarkEnd w:id="21"/>
      <w:bookmarkStart w:id="22" w:name="_Toc30817"/>
      <w:bookmarkEnd w:id="22"/>
      <w:bookmarkStart w:id="23" w:name="_Toc369531495"/>
      <w:bookmarkEnd w:id="23"/>
      <w:bookmarkStart w:id="24" w:name="_Toc361508563"/>
      <w:bookmarkEnd w:id="24"/>
      <w:bookmarkStart w:id="25" w:name="_Toc247513934"/>
      <w:bookmarkEnd w:id="25"/>
      <w:bookmarkStart w:id="26" w:name="_Toc17972"/>
      <w:bookmarkEnd w:id="26"/>
      <w:bookmarkStart w:id="27" w:name="_Toc352691455"/>
      <w:bookmarkEnd w:id="27"/>
      <w:bookmarkStart w:id="28" w:name="_Toc361508562"/>
      <w:bookmarkEnd w:id="28"/>
      <w:bookmarkStart w:id="29" w:name="_Toc369531498"/>
      <w:bookmarkEnd w:id="29"/>
      <w:bookmarkStart w:id="30" w:name="_Toc144974480"/>
      <w:bookmarkEnd w:id="30"/>
      <w:bookmarkStart w:id="31" w:name="_Toc300834927"/>
      <w:bookmarkEnd w:id="31"/>
      <w:bookmarkStart w:id="32" w:name="_Toc247513935"/>
      <w:bookmarkEnd w:id="32"/>
      <w:bookmarkStart w:id="33" w:name="_Toc152045513"/>
      <w:bookmarkEnd w:id="33"/>
      <w:bookmarkStart w:id="34" w:name="_Toc352691456"/>
      <w:bookmarkEnd w:id="34"/>
      <w:bookmarkStart w:id="35" w:name="_Toc384308188"/>
      <w:bookmarkEnd w:id="35"/>
      <w:bookmarkStart w:id="36" w:name="_Toc369531497"/>
      <w:bookmarkEnd w:id="36"/>
      <w:bookmarkStart w:id="37" w:name="_Toc152045512"/>
      <w:bookmarkEnd w:id="37"/>
      <w:bookmarkStart w:id="38" w:name="_Toc300834930"/>
      <w:bookmarkEnd w:id="38"/>
      <w:bookmarkStart w:id="39" w:name="_Toc152042288"/>
      <w:bookmarkEnd w:id="39"/>
      <w:bookmarkStart w:id="40" w:name="_Toc152042289"/>
      <w:bookmarkEnd w:id="40"/>
      <w:bookmarkStart w:id="41" w:name="_Toc247527535"/>
      <w:bookmarkEnd w:id="41"/>
      <w:r>
        <w:rPr>
          <w:rFonts w:hint="eastAsia" w:ascii="宋体" w:hAnsi="宋体" w:cs="宋体"/>
          <w:color w:val="auto"/>
          <w:sz w:val="24"/>
          <w:highlight w:val="none"/>
        </w:rPr>
        <w:t>招标人：</w:t>
      </w:r>
      <w:r>
        <w:rPr>
          <w:rFonts w:hint="eastAsia" w:ascii="宋体" w:hAnsi="宋体" w:cs="宋体"/>
          <w:color w:val="auto"/>
          <w:sz w:val="24"/>
          <w:highlight w:val="none"/>
          <w:u w:val="single"/>
          <w:lang w:eastAsia="zh-CN"/>
        </w:rPr>
        <w:t>广州广粮坊食品科技有限公司</w:t>
      </w:r>
    </w:p>
    <w:p>
      <w:pPr>
        <w:keepNext w:val="0"/>
        <w:keepLines w:val="0"/>
        <w:pageBreakBefore w:val="0"/>
        <w:widowControl w:val="0"/>
        <w:kinsoku/>
        <w:wordWrap/>
        <w:overflowPunct/>
        <w:autoSpaceDE/>
        <w:autoSpaceDN/>
        <w:bidi w:val="0"/>
        <w:adjustRightInd/>
        <w:snapToGrid/>
        <w:spacing w:line="336" w:lineRule="auto"/>
        <w:ind w:left="1260" w:right="480" w:hanging="1260" w:hangingChars="525"/>
        <w:jc w:val="left"/>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val="en-US" w:eastAsia="zh-CN"/>
        </w:rPr>
        <w:t xml:space="preserve"> 广州市南沙区横沥镇冯马路6号（自编1栋）</w:t>
      </w:r>
    </w:p>
    <w:p>
      <w:pPr>
        <w:keepNext w:val="0"/>
        <w:keepLines w:val="0"/>
        <w:pageBreakBefore w:val="0"/>
        <w:widowControl w:val="0"/>
        <w:kinsoku/>
        <w:wordWrap/>
        <w:overflowPunct/>
        <w:autoSpaceDE/>
        <w:autoSpaceDN/>
        <w:bidi w:val="0"/>
        <w:adjustRightInd/>
        <w:snapToGrid/>
        <w:spacing w:line="336"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联系人：孙工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keepNext w:val="0"/>
        <w:keepLines w:val="0"/>
        <w:pageBreakBefore w:val="0"/>
        <w:widowControl w:val="0"/>
        <w:kinsoku/>
        <w:wordWrap/>
        <w:overflowPunct/>
        <w:autoSpaceDE/>
        <w:autoSpaceDN/>
        <w:bidi w:val="0"/>
        <w:adjustRightInd/>
        <w:snapToGrid/>
        <w:spacing w:line="336" w:lineRule="auto"/>
        <w:ind w:left="1260" w:right="480" w:hanging="1260" w:hangingChars="525"/>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电话：020-83197621</w:t>
      </w:r>
    </w:p>
    <w:p>
      <w:pPr>
        <w:keepNext w:val="0"/>
        <w:keepLines w:val="0"/>
        <w:pageBreakBefore w:val="0"/>
        <w:widowControl w:val="0"/>
        <w:kinsoku/>
        <w:wordWrap/>
        <w:overflowPunct/>
        <w:autoSpaceDE/>
        <w:autoSpaceDN/>
        <w:bidi w:val="0"/>
        <w:adjustRightInd/>
        <w:snapToGrid/>
        <w:spacing w:line="336" w:lineRule="auto"/>
        <w:ind w:left="1260" w:right="480" w:hanging="1260" w:hangingChars="525"/>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highlight w:val="none"/>
          <w:u w:val="single"/>
          <w:lang w:val="en-US" w:eastAsia="zh-CN"/>
        </w:rPr>
        <w:t>广州市国际工程咨询有限公司</w:t>
      </w:r>
    </w:p>
    <w:p>
      <w:pPr>
        <w:keepNext w:val="0"/>
        <w:keepLines w:val="0"/>
        <w:pageBreakBefore w:val="0"/>
        <w:widowControl w:val="0"/>
        <w:kinsoku/>
        <w:wordWrap/>
        <w:overflowPunct/>
        <w:autoSpaceDE/>
        <w:autoSpaceDN/>
        <w:bidi w:val="0"/>
        <w:adjustRightInd/>
        <w:snapToGrid/>
        <w:spacing w:line="336" w:lineRule="auto"/>
        <w:ind w:left="1260" w:right="480" w:hanging="1260" w:hangingChars="525"/>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u w:val="single"/>
        </w:rPr>
        <w:t>广州市寺右新马路111号五羊新城广场</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楼</w:t>
      </w:r>
    </w:p>
    <w:p>
      <w:pPr>
        <w:keepNext w:val="0"/>
        <w:keepLines w:val="0"/>
        <w:pageBreakBefore w:val="0"/>
        <w:widowControl w:val="0"/>
        <w:kinsoku/>
        <w:wordWrap/>
        <w:overflowPunct/>
        <w:autoSpaceDE/>
        <w:autoSpaceDN/>
        <w:bidi w:val="0"/>
        <w:adjustRightInd/>
        <w:snapToGrid/>
        <w:spacing w:line="336" w:lineRule="auto"/>
        <w:ind w:left="1260" w:right="480" w:hanging="1260" w:hangingChars="525"/>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cs="宋体"/>
          <w:color w:val="auto"/>
          <w:sz w:val="24"/>
          <w:highlight w:val="none"/>
          <w:u w:val="single"/>
          <w:lang w:val="en-US" w:eastAsia="zh-CN"/>
        </w:rPr>
        <w:t>洪工</w:t>
      </w:r>
      <w:r>
        <w:rPr>
          <w:rFonts w:hint="eastAsia" w:ascii="宋体" w:hAnsi="宋体" w:eastAsia="宋体" w:cs="宋体"/>
          <w:color w:val="auto"/>
          <w:sz w:val="24"/>
          <w:highlight w:val="none"/>
          <w:u w:val="single"/>
          <w:lang w:val="en-US" w:eastAsia="zh-CN"/>
        </w:rPr>
        <w:t>、张工</w:t>
      </w:r>
    </w:p>
    <w:p>
      <w:pPr>
        <w:keepNext w:val="0"/>
        <w:keepLines w:val="0"/>
        <w:pageBreakBefore w:val="0"/>
        <w:widowControl w:val="0"/>
        <w:kinsoku/>
        <w:wordWrap/>
        <w:overflowPunct/>
        <w:autoSpaceDE/>
        <w:autoSpaceDN/>
        <w:bidi w:val="0"/>
        <w:adjustRightInd/>
        <w:snapToGrid/>
        <w:spacing w:line="336" w:lineRule="auto"/>
        <w:ind w:left="1260" w:right="480" w:hanging="1260" w:hangingChars="525"/>
        <w:jc w:val="lef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eastAsia="zh-CN"/>
        </w:rPr>
        <w:t>020-87386919转508</w:t>
      </w:r>
    </w:p>
    <w:p>
      <w:pPr>
        <w:keepNext w:val="0"/>
        <w:keepLines w:val="0"/>
        <w:pageBreakBefore w:val="0"/>
        <w:widowControl w:val="0"/>
        <w:kinsoku/>
        <w:wordWrap/>
        <w:overflowPunct/>
        <w:autoSpaceDE/>
        <w:autoSpaceDN/>
        <w:bidi w:val="0"/>
        <w:adjustRightInd/>
        <w:snapToGrid/>
        <w:spacing w:line="336" w:lineRule="auto"/>
        <w:ind w:left="1260" w:right="480" w:hanging="1260" w:hangingChars="525"/>
        <w:jc w:val="left"/>
        <w:textAlignment w:val="auto"/>
        <w:rPr>
          <w:rFonts w:ascii="宋体" w:hAnsi="宋体" w:cs="宋体"/>
          <w:color w:val="auto"/>
          <w:sz w:val="24"/>
          <w:highlight w:val="none"/>
        </w:rPr>
      </w:pPr>
    </w:p>
    <w:p>
      <w:pPr>
        <w:keepNext w:val="0"/>
        <w:keepLines w:val="0"/>
        <w:pageBreakBefore w:val="0"/>
        <w:widowControl w:val="0"/>
        <w:kinsoku/>
        <w:wordWrap/>
        <w:overflowPunct/>
        <w:autoSpaceDE/>
        <w:autoSpaceDN/>
        <w:bidi w:val="0"/>
        <w:adjustRightInd/>
        <w:snapToGrid/>
        <w:spacing w:line="336" w:lineRule="auto"/>
        <w:ind w:left="1260" w:right="480" w:hanging="1260" w:hangingChars="525"/>
        <w:jc w:val="left"/>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none"/>
        </w:rPr>
        <w:t>异议受理部门：</w:t>
      </w:r>
      <w:r>
        <w:rPr>
          <w:rFonts w:hint="eastAsia" w:ascii="宋体" w:hAnsi="宋体" w:cs="宋体"/>
          <w:color w:val="auto"/>
          <w:sz w:val="24"/>
          <w:highlight w:val="none"/>
          <w:u w:val="single"/>
          <w:lang w:eastAsia="zh-CN"/>
        </w:rPr>
        <w:t>广州广粮坊食品科技有限公司</w:t>
      </w:r>
    </w:p>
    <w:p>
      <w:pPr>
        <w:keepNext w:val="0"/>
        <w:keepLines w:val="0"/>
        <w:pageBreakBefore w:val="0"/>
        <w:widowControl w:val="0"/>
        <w:kinsoku/>
        <w:wordWrap/>
        <w:overflowPunct/>
        <w:autoSpaceDE/>
        <w:autoSpaceDN/>
        <w:bidi w:val="0"/>
        <w:adjustRightInd/>
        <w:snapToGrid/>
        <w:spacing w:line="336" w:lineRule="auto"/>
        <w:ind w:left="1260" w:right="480" w:hanging="1260" w:hangingChars="525"/>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u w:val="none"/>
        </w:rPr>
        <w:t>异议受理电话：</w:t>
      </w:r>
      <w:r>
        <w:rPr>
          <w:rFonts w:hint="eastAsia" w:ascii="宋体" w:hAnsi="宋体" w:cs="宋体"/>
          <w:color w:val="auto"/>
          <w:sz w:val="24"/>
          <w:highlight w:val="none"/>
        </w:rPr>
        <w:t>020-83197621</w:t>
      </w:r>
    </w:p>
    <w:p>
      <w:pPr>
        <w:keepNext w:val="0"/>
        <w:keepLines w:val="0"/>
        <w:pageBreakBefore w:val="0"/>
        <w:widowControl w:val="0"/>
        <w:kinsoku/>
        <w:wordWrap/>
        <w:overflowPunct/>
        <w:autoSpaceDE/>
        <w:autoSpaceDN/>
        <w:bidi w:val="0"/>
        <w:adjustRightInd/>
        <w:snapToGrid/>
        <w:spacing w:line="336" w:lineRule="auto"/>
        <w:ind w:left="1260" w:right="480" w:hanging="1260" w:hangingChars="525"/>
        <w:jc w:val="left"/>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u w:val="single"/>
          <w:lang w:val="en-US" w:eastAsia="zh-CN"/>
        </w:rPr>
        <w:t>广州市南沙区横沥镇冯马路6号（自编1栋）</w:t>
      </w:r>
    </w:p>
    <w:p>
      <w:pPr>
        <w:keepNext w:val="0"/>
        <w:keepLines w:val="0"/>
        <w:pageBreakBefore w:val="0"/>
        <w:widowControl w:val="0"/>
        <w:kinsoku/>
        <w:wordWrap/>
        <w:overflowPunct/>
        <w:autoSpaceDE/>
        <w:autoSpaceDN/>
        <w:bidi w:val="0"/>
        <w:adjustRightInd/>
        <w:snapToGrid/>
        <w:spacing w:line="336" w:lineRule="auto"/>
        <w:ind w:left="1260" w:right="480" w:hanging="1260" w:hangingChars="525"/>
        <w:jc w:val="left"/>
        <w:textAlignment w:val="auto"/>
        <w:rPr>
          <w:rFonts w:ascii="宋体" w:hAnsi="宋体" w:cs="宋体"/>
          <w:color w:val="auto"/>
          <w:sz w:val="24"/>
          <w:highlight w:val="none"/>
        </w:rPr>
      </w:pPr>
    </w:p>
    <w:p>
      <w:pPr>
        <w:keepNext w:val="0"/>
        <w:keepLines w:val="0"/>
        <w:pageBreakBefore w:val="0"/>
        <w:widowControl w:val="0"/>
        <w:kinsoku/>
        <w:wordWrap/>
        <w:overflowPunct/>
        <w:autoSpaceDE/>
        <w:autoSpaceDN/>
        <w:bidi w:val="0"/>
        <w:adjustRightInd/>
        <w:snapToGrid/>
        <w:spacing w:line="336" w:lineRule="auto"/>
        <w:ind w:left="1260" w:right="-496" w:hanging="1260" w:hangingChars="525"/>
        <w:jc w:val="left"/>
        <w:textAlignment w:val="auto"/>
        <w:rPr>
          <w:rFonts w:hint="eastAsia" w:ascii="宋体" w:hAnsi="宋体" w:cs="宋体"/>
          <w:color w:val="auto"/>
          <w:sz w:val="24"/>
          <w:highlight w:val="none"/>
        </w:rPr>
      </w:pPr>
      <w:r>
        <w:rPr>
          <w:rFonts w:hint="eastAsia" w:ascii="宋体" w:hAnsi="宋体" w:cs="宋体"/>
          <w:color w:val="auto"/>
          <w:sz w:val="24"/>
          <w:highlight w:val="none"/>
        </w:rPr>
        <w:t>备案管理机构：</w:t>
      </w:r>
      <w:r>
        <w:rPr>
          <w:rFonts w:hint="eastAsia" w:ascii="宋体" w:hAnsi="宋体" w:cs="宋体"/>
          <w:color w:val="auto"/>
          <w:sz w:val="24"/>
          <w:highlight w:val="none"/>
          <w:u w:val="single"/>
        </w:rPr>
        <w:t>广州南沙经济技术开发区行政审批局</w:t>
      </w:r>
    </w:p>
    <w:p>
      <w:pPr>
        <w:keepNext w:val="0"/>
        <w:keepLines w:val="0"/>
        <w:pageBreakBefore w:val="0"/>
        <w:widowControl w:val="0"/>
        <w:kinsoku/>
        <w:wordWrap/>
        <w:overflowPunct/>
        <w:autoSpaceDE/>
        <w:autoSpaceDN/>
        <w:bidi w:val="0"/>
        <w:adjustRightInd/>
        <w:snapToGrid/>
        <w:spacing w:line="336" w:lineRule="auto"/>
        <w:ind w:left="1260" w:right="-496" w:hanging="1260" w:hangingChars="525"/>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广州市南沙区进港大道1号中国铁建环球中心5-2栋四楼</w:t>
      </w:r>
    </w:p>
    <w:p>
      <w:pPr>
        <w:keepNext w:val="0"/>
        <w:keepLines w:val="0"/>
        <w:pageBreakBefore w:val="0"/>
        <w:widowControl w:val="0"/>
        <w:kinsoku/>
        <w:wordWrap/>
        <w:overflowPunct/>
        <w:autoSpaceDE/>
        <w:autoSpaceDN/>
        <w:bidi w:val="0"/>
        <w:adjustRightInd/>
        <w:snapToGrid/>
        <w:spacing w:line="336" w:lineRule="auto"/>
        <w:ind w:left="1260" w:right="-496" w:hanging="1260" w:hangingChars="525"/>
        <w:jc w:val="left"/>
        <w:textAlignment w:val="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020-399053237</w:t>
      </w:r>
    </w:p>
    <w:p>
      <w:pPr>
        <w:keepNext w:val="0"/>
        <w:keepLines w:val="0"/>
        <w:pageBreakBefore w:val="0"/>
        <w:widowControl w:val="0"/>
        <w:kinsoku/>
        <w:wordWrap/>
        <w:overflowPunct/>
        <w:autoSpaceDE/>
        <w:autoSpaceDN/>
        <w:bidi w:val="0"/>
        <w:adjustRightInd/>
        <w:snapToGrid/>
        <w:spacing w:line="336" w:lineRule="auto"/>
        <w:ind w:left="1260" w:right="-496" w:hanging="1260" w:hangingChars="525"/>
        <w:jc w:val="left"/>
        <w:textAlignment w:val="auto"/>
        <w:rPr>
          <w:rFonts w:hint="eastAsia" w:ascii="宋体" w:hAnsi="宋体" w:cs="宋体"/>
          <w:color w:val="auto"/>
          <w:sz w:val="24"/>
          <w:highlight w:val="none"/>
        </w:rPr>
      </w:pPr>
    </w:p>
    <w:p>
      <w:pPr>
        <w:keepNext w:val="0"/>
        <w:keepLines w:val="0"/>
        <w:pageBreakBefore w:val="0"/>
        <w:widowControl w:val="0"/>
        <w:kinsoku/>
        <w:wordWrap/>
        <w:overflowPunct/>
        <w:autoSpaceDE/>
        <w:autoSpaceDN/>
        <w:bidi w:val="0"/>
        <w:adjustRightInd/>
        <w:snapToGrid/>
        <w:spacing w:line="336" w:lineRule="auto"/>
        <w:ind w:left="1260" w:right="-496" w:hanging="1260" w:hangingChars="525"/>
        <w:jc w:val="left"/>
        <w:textAlignment w:val="auto"/>
        <w:rPr>
          <w:rFonts w:hint="eastAsia" w:ascii="宋体" w:hAnsi="宋体" w:cs="宋体"/>
          <w:color w:val="auto"/>
          <w:sz w:val="24"/>
          <w:highlight w:val="non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广州市南沙区住房和城乡建设局</w:t>
      </w:r>
    </w:p>
    <w:p>
      <w:pPr>
        <w:keepNext w:val="0"/>
        <w:keepLines w:val="0"/>
        <w:pageBreakBefore w:val="0"/>
        <w:widowControl w:val="0"/>
        <w:kinsoku/>
        <w:wordWrap/>
        <w:overflowPunct/>
        <w:autoSpaceDE/>
        <w:autoSpaceDN/>
        <w:bidi w:val="0"/>
        <w:adjustRightInd/>
        <w:snapToGrid/>
        <w:spacing w:line="336" w:lineRule="auto"/>
        <w:ind w:left="1260" w:right="-496" w:hanging="1260" w:hangingChars="525"/>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广州市南沙区凤凰大道1号</w:t>
      </w:r>
    </w:p>
    <w:p>
      <w:pPr>
        <w:keepNext w:val="0"/>
        <w:keepLines w:val="0"/>
        <w:pageBreakBefore w:val="0"/>
        <w:widowControl w:val="0"/>
        <w:kinsoku/>
        <w:wordWrap/>
        <w:overflowPunct/>
        <w:autoSpaceDE/>
        <w:autoSpaceDN/>
        <w:bidi w:val="0"/>
        <w:adjustRightInd/>
        <w:snapToGrid/>
        <w:spacing w:line="336" w:lineRule="auto"/>
        <w:ind w:left="1260" w:right="480" w:hanging="1260" w:hangingChars="525"/>
        <w:jc w:val="left"/>
        <w:textAlignment w:val="auto"/>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020-39910647</w:t>
      </w:r>
    </w:p>
    <w:p>
      <w:pPr>
        <w:keepNext w:val="0"/>
        <w:keepLines w:val="0"/>
        <w:pageBreakBefore w:val="0"/>
        <w:widowControl w:val="0"/>
        <w:kinsoku/>
        <w:wordWrap/>
        <w:overflowPunct/>
        <w:topLinePunct/>
        <w:autoSpaceDE/>
        <w:autoSpaceDN/>
        <w:bidi w:val="0"/>
        <w:adjustRightInd/>
        <w:snapToGrid/>
        <w:spacing w:line="336" w:lineRule="auto"/>
        <w:ind w:left="235" w:leftChars="112" w:right="240" w:firstLine="2920" w:firstLineChars="1217"/>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招标人：</w:t>
      </w:r>
      <w:r>
        <w:rPr>
          <w:rFonts w:hint="eastAsia" w:ascii="宋体" w:hAnsi="宋体" w:cs="宋体"/>
          <w:color w:val="auto"/>
          <w:sz w:val="24"/>
          <w:highlight w:val="none"/>
          <w:u w:val="single"/>
          <w:lang w:eastAsia="zh-CN"/>
        </w:rPr>
        <w:t>广州广粮坊食品科技有限公司</w:t>
      </w:r>
    </w:p>
    <w:p>
      <w:pPr>
        <w:keepNext w:val="0"/>
        <w:keepLines w:val="0"/>
        <w:pageBreakBefore w:val="0"/>
        <w:widowControl w:val="0"/>
        <w:kinsoku/>
        <w:wordWrap/>
        <w:overflowPunct/>
        <w:topLinePunct/>
        <w:autoSpaceDE/>
        <w:autoSpaceDN/>
        <w:bidi w:val="0"/>
        <w:adjustRightInd/>
        <w:snapToGrid/>
        <w:spacing w:line="336" w:lineRule="auto"/>
        <w:ind w:left="235" w:leftChars="112" w:right="240" w:firstLine="2920" w:firstLineChars="1217"/>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w:t>
      </w:r>
      <w:r>
        <w:rPr>
          <w:rFonts w:hint="eastAsia" w:ascii="宋体" w:hAnsi="宋体" w:eastAsia="宋体" w:cs="宋体"/>
          <w:color w:val="auto"/>
          <w:sz w:val="24"/>
          <w:highlight w:val="none"/>
          <w:u w:val="single"/>
          <w:lang w:val="en-US" w:eastAsia="zh-CN"/>
        </w:rPr>
        <w:t>广州市国际工程咨询有限公司</w:t>
      </w:r>
    </w:p>
    <w:p>
      <w:pPr>
        <w:keepNext w:val="0"/>
        <w:keepLines w:val="0"/>
        <w:pageBreakBefore w:val="0"/>
        <w:widowControl w:val="0"/>
        <w:kinsoku/>
        <w:wordWrap/>
        <w:overflowPunct/>
        <w:topLinePunct/>
        <w:autoSpaceDE/>
        <w:autoSpaceDN/>
        <w:bidi w:val="0"/>
        <w:adjustRightInd/>
        <w:snapToGrid/>
        <w:spacing w:line="336" w:lineRule="auto"/>
        <w:ind w:left="235" w:leftChars="112" w:right="240" w:firstLine="2920" w:firstLineChars="1217"/>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pPr>
        <w:rPr>
          <w:rFonts w:hint="eastAsia" w:eastAsiaTheme="minorEastAsia"/>
          <w:color w:val="auto"/>
          <w:highlight w:val="none"/>
          <w:lang w:val="en-US" w:eastAsia="zh-CN"/>
        </w:rPr>
      </w:pPr>
    </w:p>
    <w:p>
      <w:pPr>
        <w:rPr>
          <w:rFonts w:hint="eastAsia" w:eastAsiaTheme="minorEastAsia"/>
          <w:color w:val="auto"/>
          <w:highlight w:val="none"/>
          <w:lang w:val="en-US" w:eastAsia="zh-CN"/>
        </w:rPr>
      </w:pPr>
      <w:r>
        <w:rPr>
          <w:rFonts w:hint="eastAsia"/>
          <w:color w:val="auto"/>
          <w:highlight w:val="none"/>
          <w:lang w:val="en-US" w:eastAsia="zh-CN"/>
        </w:rPr>
        <w:t xml:space="preserve">   </w:t>
      </w:r>
    </w:p>
    <w:p>
      <w:pPr>
        <w:rPr>
          <w:rFonts w:hint="eastAsia" w:eastAsiaTheme="minorEastAsia"/>
          <w:color w:val="auto"/>
          <w:highlight w:val="none"/>
          <w:lang w:val="en-US" w:eastAsia="zh-CN"/>
        </w:rPr>
      </w:pPr>
      <w:r>
        <w:rPr>
          <w:rFonts w:hint="eastAsia"/>
          <w:color w:val="auto"/>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g4NDVhZGM3NjI5YjcxNDBlNzdkY2JmZjU2YzQifQ=="/>
    <w:docVar w:name="KGWebUrl" w:val="http://10.168.30.10:7890/easoa/PositionServlet"/>
  </w:docVars>
  <w:rsids>
    <w:rsidRoot w:val="00000000"/>
    <w:rsid w:val="02576EC2"/>
    <w:rsid w:val="080A5EBF"/>
    <w:rsid w:val="0FC464CF"/>
    <w:rsid w:val="305A21DA"/>
    <w:rsid w:val="32F8632E"/>
    <w:rsid w:val="3B550104"/>
    <w:rsid w:val="62D35631"/>
    <w:rsid w:val="67F452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0"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styleId="9">
    <w:name w:val="annotation reference"/>
    <w:basedOn w:val="7"/>
    <w:unhideWhenUsed/>
    <w:qFormat/>
    <w:uiPriority w:val="99"/>
    <w:rPr>
      <w:sz w:val="21"/>
      <w:szCs w:val="21"/>
    </w:rPr>
  </w:style>
  <w:style w:type="paragraph" w:customStyle="1" w:styleId="10">
    <w:name w:val="样式 宋体 行距: 1.5 倍行距"/>
    <w:basedOn w:val="1"/>
    <w:qFormat/>
    <w:uiPriority w:val="0"/>
    <w:pPr>
      <w:jc w:val="center"/>
    </w:pPr>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5715</Words>
  <Characters>6333</Characters>
  <Lines>0</Lines>
  <Paragraphs>0</Paragraphs>
  <TotalTime>0</TotalTime>
  <ScaleCrop>false</ScaleCrop>
  <LinksUpToDate>false</LinksUpToDate>
  <CharactersWithSpaces>6457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wo</dc:creator>
  <cp:lastModifiedBy>张</cp:lastModifiedBy>
  <cp:lastPrinted>2025-07-07T03:44:00Z</cp:lastPrinted>
  <dcterms:modified xsi:type="dcterms:W3CDTF">2025-07-14T08:04:34Z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DocerSaveRecord">
    <vt:lpwstr>eyJoZGlkIjoiMjJiODExYjAwZTI3NjUzN2RmYmFiZDQxNWQ4ZjgzZjgiLCJ1c2VySWQiOiIxNTA2MzI5MTA1In0=</vt:lpwstr>
  </property>
  <property fmtid="{D5CDD505-2E9C-101B-9397-08002B2CF9AE}" pid="4" name="ICV">
    <vt:lpwstr>CEF373C8FCB8427EA87E231D26D96BA8_13</vt:lpwstr>
  </property>
</Properties>
</file>