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sdt>
      <w:sdtPr>
        <w:rPr>
          <w:rFonts w:ascii="宋体" w:hAnsi="宋体" w:eastAsia="宋体" w:cstheme="minorBidi"/>
          <w:color w:val="auto"/>
          <w:kern w:val="2"/>
          <w:sz w:val="21"/>
          <w:szCs w:val="24"/>
          <w:highlight w:val="none"/>
          <w:lang w:val="en-US" w:eastAsia="zh-CN" w:bidi="ar-SA"/>
        </w:rPr>
        <w:id w:val="147461736"/>
        <w15:color w:val="DBDBDB"/>
        <w:docPartObj>
          <w:docPartGallery w:val="Table of Contents"/>
          <w:docPartUnique/>
        </w:docPartObj>
      </w:sdtPr>
      <w:sdtEndPr>
        <w:rPr>
          <w:rFonts w:hint="eastAsia" w:ascii="等线" w:hAnsi="等线" w:eastAsia="宋体" w:cstheme="minorBidi"/>
          <w:b/>
          <w:color w:val="auto"/>
          <w:kern w:val="0"/>
          <w:sz w:val="21"/>
          <w:szCs w:val="20"/>
          <w:highlight w:val="none"/>
          <w:lang w:val="en-US" w:eastAsia="zh-CN" w:bidi="ar-SA"/>
        </w:rPr>
      </w:sdtEndPr>
      <w:sdtContent>
        <w:p>
          <w:pPr>
            <w:spacing w:before="120" w:beforeLines="50" w:after="120" w:afterLines="50"/>
            <w:ind w:left="993"/>
            <w:jc w:val="left"/>
            <w:rPr>
              <w:rFonts w:ascii="宋体" w:hAnsi="宋体" w:eastAsia="宋体" w:cstheme="minorBidi"/>
              <w:color w:val="auto"/>
              <w:kern w:val="2"/>
              <w:sz w:val="21"/>
              <w:szCs w:val="24"/>
              <w:highlight w:val="none"/>
              <w:lang w:val="en-US" w:eastAsia="zh-CN" w:bidi="ar-SA"/>
            </w:rPr>
          </w:pPr>
          <w:bookmarkStart w:id="1441" w:name="_GoBack"/>
        </w:p>
        <w:p>
          <w:pPr>
            <w:spacing w:before="120" w:beforeLines="50" w:after="120" w:afterLines="50"/>
            <w:ind w:left="993"/>
            <w:jc w:val="left"/>
            <w:rPr>
              <w:rFonts w:ascii="宋体" w:hAnsi="宋体" w:eastAsia="宋体" w:cstheme="minorBidi"/>
              <w:color w:val="auto"/>
              <w:kern w:val="2"/>
              <w:sz w:val="21"/>
              <w:szCs w:val="24"/>
              <w:highlight w:val="none"/>
              <w:lang w:val="en-US" w:eastAsia="zh-CN" w:bidi="ar-SA"/>
            </w:rPr>
          </w:pPr>
        </w:p>
        <w:p>
          <w:pPr>
            <w:spacing w:before="120" w:beforeLines="50" w:after="120" w:afterLines="50"/>
            <w:ind w:left="0" w:leftChars="0" w:firstLine="0" w:firstLineChars="0"/>
            <w:jc w:val="center"/>
            <w:rPr>
              <w:rFonts w:hint="default" w:ascii="宋体" w:hAnsi="宋体" w:eastAsia="宋体" w:cs="宋体"/>
              <w:b/>
              <w:bCs/>
              <w:color w:val="auto"/>
              <w:spacing w:val="3"/>
              <w:sz w:val="44"/>
              <w:szCs w:val="44"/>
              <w:highlight w:val="none"/>
              <w:lang w:val="en-US" w:eastAsia="zh-CN"/>
            </w:rPr>
          </w:pPr>
          <w:r>
            <w:rPr>
              <w:rFonts w:hint="eastAsia" w:cs="宋体"/>
              <w:b/>
              <w:bCs/>
              <w:color w:val="auto"/>
              <w:spacing w:val="3"/>
              <w:sz w:val="44"/>
              <w:szCs w:val="44"/>
              <w:highlight w:val="none"/>
              <w:lang w:val="en-US" w:eastAsia="zh-CN"/>
            </w:rPr>
            <w:t>原南方钢厂（三期）</w:t>
          </w:r>
          <w:r>
            <w:rPr>
              <w:rFonts w:hint="eastAsia" w:ascii="宋体" w:hAnsi="宋体" w:eastAsia="宋体" w:cs="宋体"/>
              <w:b/>
              <w:bCs/>
              <w:color w:val="auto"/>
              <w:spacing w:val="3"/>
              <w:sz w:val="44"/>
              <w:szCs w:val="44"/>
              <w:highlight w:val="none"/>
              <w:lang w:val="en-US" w:eastAsia="zh-CN"/>
            </w:rPr>
            <w:t>保障性住房项目</w:t>
          </w:r>
          <w:r>
            <w:rPr>
              <w:rFonts w:hint="eastAsia" w:cs="宋体"/>
              <w:b/>
              <w:bCs/>
              <w:color w:val="auto"/>
              <w:spacing w:val="3"/>
              <w:sz w:val="44"/>
              <w:szCs w:val="44"/>
              <w:highlight w:val="none"/>
              <w:lang w:val="en-US" w:eastAsia="zh-CN"/>
            </w:rPr>
            <w:t>西区</w:t>
          </w:r>
        </w:p>
        <w:p>
          <w:pPr>
            <w:spacing w:before="120" w:beforeLines="50" w:after="120" w:afterLines="50"/>
            <w:ind w:left="0" w:leftChars="0" w:firstLine="0" w:firstLineChars="0"/>
            <w:jc w:val="center"/>
            <w:rPr>
              <w:color w:val="auto"/>
              <w:sz w:val="44"/>
              <w:szCs w:val="44"/>
              <w:highlight w:val="none"/>
              <w:lang w:eastAsia="zh-CN"/>
            </w:rPr>
          </w:pPr>
          <w:r>
            <w:rPr>
              <w:rFonts w:ascii="宋体" w:hAnsi="宋体" w:eastAsia="宋体" w:cs="宋体"/>
              <w:b/>
              <w:bCs/>
              <w:color w:val="auto"/>
              <w:spacing w:val="3"/>
              <w:sz w:val="44"/>
              <w:szCs w:val="44"/>
              <w:highlight w:val="none"/>
              <w:lang w:eastAsia="zh-CN"/>
            </w:rPr>
            <w:t>施工总承包</w:t>
          </w:r>
        </w:p>
        <w:p>
          <w:pPr>
            <w:spacing w:before="120" w:beforeLines="50" w:after="120" w:afterLines="50"/>
            <w:jc w:val="center"/>
            <w:rPr>
              <w:color w:val="auto"/>
              <w:sz w:val="44"/>
              <w:szCs w:val="44"/>
              <w:highlight w:val="none"/>
              <w:lang w:eastAsia="zh-CN"/>
            </w:rPr>
          </w:pPr>
        </w:p>
        <w:p>
          <w:pPr>
            <w:spacing w:before="120" w:beforeLines="50" w:after="120" w:afterLines="50"/>
            <w:jc w:val="center"/>
            <w:rPr>
              <w:color w:val="auto"/>
              <w:sz w:val="44"/>
              <w:szCs w:val="44"/>
              <w:highlight w:val="none"/>
              <w:lang w:eastAsia="zh-CN"/>
            </w:rPr>
          </w:pPr>
        </w:p>
        <w:p>
          <w:pPr>
            <w:spacing w:before="120" w:beforeLines="50" w:after="120" w:afterLines="50"/>
            <w:jc w:val="center"/>
            <w:rPr>
              <w:color w:val="auto"/>
              <w:sz w:val="44"/>
              <w:szCs w:val="44"/>
              <w:highlight w:val="none"/>
              <w:lang w:eastAsia="zh-CN"/>
            </w:rPr>
          </w:pPr>
        </w:p>
        <w:p>
          <w:pPr>
            <w:spacing w:before="120" w:beforeLines="50" w:after="120" w:afterLines="50"/>
            <w:ind w:left="0" w:leftChars="0" w:firstLine="0" w:firstLineChars="0"/>
            <w:jc w:val="center"/>
            <w:rPr>
              <w:rFonts w:ascii="宋体" w:hAnsi="宋体" w:eastAsia="宋体" w:cs="宋体"/>
              <w:color w:val="auto"/>
              <w:sz w:val="44"/>
              <w:szCs w:val="44"/>
              <w:highlight w:val="none"/>
              <w:lang w:eastAsia="zh-CN"/>
            </w:rPr>
          </w:pPr>
          <w:r>
            <w:rPr>
              <w:rFonts w:ascii="宋体" w:hAnsi="宋体" w:eastAsia="宋体" w:cs="宋体"/>
              <w:b/>
              <w:bCs/>
              <w:color w:val="auto"/>
              <w:spacing w:val="13"/>
              <w:sz w:val="44"/>
              <w:szCs w:val="44"/>
              <w:highlight w:val="none"/>
              <w:lang w:eastAsia="zh-CN"/>
            </w:rPr>
            <w:t>发包人</w:t>
          </w:r>
          <w:r>
            <w:rPr>
              <w:rFonts w:hint="eastAsia" w:cs="宋体"/>
              <w:b/>
              <w:bCs/>
              <w:color w:val="auto"/>
              <w:spacing w:val="13"/>
              <w:sz w:val="44"/>
              <w:szCs w:val="44"/>
              <w:highlight w:val="none"/>
              <w:lang w:val="en-US" w:eastAsia="zh-CN"/>
            </w:rPr>
            <w:t>技术</w:t>
          </w:r>
          <w:r>
            <w:rPr>
              <w:rFonts w:ascii="宋体" w:hAnsi="宋体" w:eastAsia="宋体" w:cs="宋体"/>
              <w:b/>
              <w:bCs/>
              <w:color w:val="auto"/>
              <w:spacing w:val="13"/>
              <w:sz w:val="44"/>
              <w:szCs w:val="44"/>
              <w:highlight w:val="none"/>
              <w:lang w:eastAsia="zh-CN"/>
            </w:rPr>
            <w:t>要求</w:t>
          </w:r>
        </w:p>
        <w:p>
          <w:pPr>
            <w:spacing w:before="120" w:beforeLines="50" w:after="120" w:afterLines="50"/>
            <w:rPr>
              <w:color w:val="auto"/>
              <w:highlight w:val="none"/>
              <w:lang w:eastAsia="zh-CN"/>
            </w:rPr>
          </w:pPr>
        </w:p>
        <w:p>
          <w:pPr>
            <w:spacing w:before="120" w:beforeLines="50" w:after="120" w:afterLines="50"/>
            <w:rPr>
              <w:color w:val="auto"/>
              <w:highlight w:val="none"/>
              <w:lang w:eastAsia="zh-CN"/>
            </w:rPr>
          </w:pPr>
        </w:p>
        <w:p>
          <w:pPr>
            <w:spacing w:before="120" w:beforeLines="50" w:after="120" w:afterLines="50"/>
            <w:rPr>
              <w:color w:val="auto"/>
              <w:highlight w:val="none"/>
              <w:lang w:eastAsia="zh-CN"/>
            </w:rPr>
          </w:pPr>
        </w:p>
        <w:p>
          <w:pPr>
            <w:spacing w:before="120" w:beforeLines="50" w:after="120" w:afterLines="50"/>
            <w:rPr>
              <w:color w:val="auto"/>
              <w:highlight w:val="none"/>
              <w:lang w:eastAsia="zh-CN"/>
            </w:rPr>
          </w:pPr>
        </w:p>
        <w:p>
          <w:pPr>
            <w:spacing w:before="120" w:beforeLines="50" w:after="120" w:afterLines="50"/>
            <w:rPr>
              <w:color w:val="auto"/>
              <w:highlight w:val="none"/>
              <w:lang w:eastAsia="zh-CN"/>
            </w:rPr>
          </w:pPr>
        </w:p>
        <w:p>
          <w:pPr>
            <w:spacing w:before="120" w:beforeLines="50" w:after="120" w:afterLines="50"/>
            <w:rPr>
              <w:color w:val="auto"/>
              <w:highlight w:val="none"/>
              <w:lang w:eastAsia="zh-CN"/>
            </w:rPr>
          </w:pPr>
        </w:p>
        <w:p>
          <w:pPr>
            <w:spacing w:before="120" w:beforeLines="50" w:after="120" w:afterLines="50"/>
            <w:jc w:val="center"/>
            <w:rPr>
              <w:rFonts w:hint="default" w:ascii="宋体" w:hAnsi="宋体" w:eastAsia="宋体" w:cs="宋体"/>
              <w:color w:val="auto"/>
              <w:sz w:val="31"/>
              <w:szCs w:val="31"/>
              <w:highlight w:val="none"/>
              <w:lang w:val="en-US" w:eastAsia="zh-CN"/>
            </w:rPr>
          </w:pPr>
          <w:r>
            <w:rPr>
              <w:rFonts w:ascii="宋体" w:hAnsi="宋体" w:eastAsia="宋体" w:cs="宋体"/>
              <w:color w:val="auto"/>
              <w:spacing w:val="9"/>
              <w:sz w:val="31"/>
              <w:szCs w:val="31"/>
              <w:highlight w:val="none"/>
              <w:lang w:eastAsia="zh-CN"/>
            </w:rPr>
            <w:t>招标单位：</w:t>
          </w:r>
          <w:r>
            <w:rPr>
              <w:rFonts w:hint="eastAsia" w:cs="宋体"/>
              <w:color w:val="auto"/>
              <w:spacing w:val="9"/>
              <w:sz w:val="31"/>
              <w:szCs w:val="31"/>
              <w:highlight w:val="none"/>
              <w:u w:val="single"/>
              <w:lang w:val="en-US" w:eastAsia="zh-CN"/>
            </w:rPr>
            <w:t>广州珠江住房租赁发展投资有限公司</w:t>
          </w:r>
        </w:p>
        <w:p>
          <w:pPr>
            <w:spacing w:before="120" w:beforeLines="50" w:after="120" w:afterLines="50"/>
            <w:ind w:left="0" w:leftChars="0" w:firstLine="0" w:firstLineChars="0"/>
            <w:jc w:val="center"/>
            <w:rPr>
              <w:rFonts w:ascii="宋体" w:hAnsi="宋体" w:eastAsia="宋体" w:cs="宋体"/>
              <w:color w:val="auto"/>
              <w:sz w:val="31"/>
              <w:szCs w:val="31"/>
              <w:highlight w:val="none"/>
              <w:lang w:eastAsia="zh-CN"/>
            </w:rPr>
          </w:pPr>
          <w:r>
            <w:rPr>
              <w:rFonts w:ascii="宋体" w:hAnsi="宋体" w:eastAsia="宋体" w:cs="宋体"/>
              <w:color w:val="auto"/>
              <w:spacing w:val="-5"/>
              <w:sz w:val="31"/>
              <w:szCs w:val="31"/>
              <w:highlight w:val="none"/>
              <w:lang w:eastAsia="zh-CN"/>
            </w:rPr>
            <w:t>日期：202</w:t>
          </w:r>
          <w:r>
            <w:rPr>
              <w:rFonts w:hint="eastAsia" w:cs="宋体"/>
              <w:color w:val="auto"/>
              <w:spacing w:val="-5"/>
              <w:sz w:val="31"/>
              <w:szCs w:val="31"/>
              <w:highlight w:val="none"/>
              <w:lang w:val="en-US" w:eastAsia="zh-CN"/>
            </w:rPr>
            <w:t>5</w:t>
          </w:r>
          <w:r>
            <w:rPr>
              <w:rFonts w:ascii="宋体" w:hAnsi="宋体" w:eastAsia="宋体" w:cs="宋体"/>
              <w:color w:val="auto"/>
              <w:spacing w:val="-56"/>
              <w:sz w:val="31"/>
              <w:szCs w:val="31"/>
              <w:highlight w:val="none"/>
              <w:lang w:eastAsia="zh-CN"/>
            </w:rPr>
            <w:t xml:space="preserve"> </w:t>
          </w:r>
          <w:r>
            <w:rPr>
              <w:rFonts w:ascii="宋体" w:hAnsi="宋体" w:eastAsia="宋体" w:cs="宋体"/>
              <w:color w:val="auto"/>
              <w:spacing w:val="-5"/>
              <w:sz w:val="31"/>
              <w:szCs w:val="31"/>
              <w:highlight w:val="none"/>
              <w:lang w:eastAsia="zh-CN"/>
            </w:rPr>
            <w:t>年</w:t>
          </w:r>
          <w:r>
            <w:rPr>
              <w:rFonts w:hint="eastAsia" w:cs="宋体"/>
              <w:color w:val="auto"/>
              <w:spacing w:val="-37"/>
              <w:sz w:val="31"/>
              <w:szCs w:val="31"/>
              <w:highlight w:val="none"/>
              <w:lang w:val="en-US" w:eastAsia="zh-CN"/>
            </w:rPr>
            <w:t>6</w:t>
          </w:r>
          <w:r>
            <w:rPr>
              <w:rFonts w:ascii="宋体" w:hAnsi="宋体" w:eastAsia="宋体" w:cs="宋体"/>
              <w:color w:val="auto"/>
              <w:spacing w:val="-5"/>
              <w:sz w:val="31"/>
              <w:szCs w:val="31"/>
              <w:highlight w:val="none"/>
              <w:lang w:eastAsia="zh-CN"/>
            </w:rPr>
            <w:t>月</w:t>
          </w:r>
        </w:p>
        <w:p>
          <w:pPr>
            <w:rPr>
              <w:rFonts w:hint="eastAsia"/>
              <w:color w:val="auto"/>
              <w:highlight w:val="none"/>
              <w:lang w:val="en-US" w:eastAsia="zh-CN"/>
            </w:rPr>
          </w:pPr>
        </w:p>
      </w:sdtContent>
    </w:sdt>
    <w:p>
      <w:pPr>
        <w:rPr>
          <w:rFonts w:hint="eastAsia"/>
          <w:color w:val="auto"/>
          <w:highlight w:val="none"/>
          <w:lang w:val="en-US" w:eastAsia="zh-CN"/>
        </w:rPr>
      </w:pPr>
      <w:r>
        <w:rPr>
          <w:rFonts w:hint="eastAsia"/>
          <w:color w:val="auto"/>
          <w:highlight w:val="none"/>
          <w:lang w:val="en-US" w:eastAsia="zh-CN"/>
        </w:rPr>
        <w:br w:type="page"/>
      </w:r>
    </w:p>
    <w:p>
      <w:pPr>
        <w:pStyle w:val="16"/>
        <w:tabs>
          <w:tab w:val="right" w:leader="dot" w:pos="9079"/>
        </w:tabs>
        <w:jc w:val="center"/>
        <w:rPr>
          <w:color w:val="auto"/>
          <w:highlight w:val="none"/>
        </w:rPr>
      </w:pPr>
      <w:r>
        <w:rPr>
          <w:rFonts w:hint="eastAsia"/>
          <w:color w:val="auto"/>
          <w:highlight w:val="none"/>
          <w:lang w:val="en-US" w:eastAsia="zh-CN"/>
        </w:rPr>
        <w:fldChar w:fldCharType="begin"/>
      </w:r>
      <w:r>
        <w:rPr>
          <w:rFonts w:hint="eastAsia"/>
          <w:color w:val="auto"/>
          <w:highlight w:val="none"/>
          <w:lang w:val="en-US" w:eastAsia="zh-CN"/>
        </w:rPr>
        <w:instrText xml:space="preserve">TOC \o "1-2" \h \u </w:instrText>
      </w:r>
      <w:r>
        <w:rPr>
          <w:rFonts w:hint="eastAsia"/>
          <w:color w:val="auto"/>
          <w:highlight w:val="none"/>
          <w:lang w:val="en-US" w:eastAsia="zh-CN"/>
        </w:rPr>
        <w:fldChar w:fldCharType="separate"/>
      </w:r>
      <w:r>
        <w:rPr>
          <w:rFonts w:hint="eastAsia"/>
          <w:color w:val="auto"/>
          <w:highlight w:val="none"/>
          <w:lang w:val="en-US" w:eastAsia="zh-CN"/>
        </w:rPr>
        <w:fldChar w:fldCharType="begin"/>
      </w:r>
      <w:r>
        <w:rPr>
          <w:rFonts w:hint="eastAsia"/>
          <w:color w:val="auto"/>
          <w:highlight w:val="none"/>
          <w:lang w:val="en-US" w:eastAsia="zh-CN"/>
        </w:rPr>
        <w:instrText xml:space="preserve"> HYPERLINK \l _Toc22977 </w:instrText>
      </w:r>
      <w:r>
        <w:rPr>
          <w:rFonts w:hint="eastAsia"/>
          <w:color w:val="auto"/>
          <w:highlight w:val="none"/>
          <w:lang w:val="en-US" w:eastAsia="zh-CN"/>
        </w:rPr>
        <w:fldChar w:fldCharType="separate"/>
      </w:r>
      <w:r>
        <w:rPr>
          <w:rFonts w:ascii="宋体" w:hAnsi="宋体" w:eastAsia="宋体" w:cs="宋体"/>
          <w:bCs/>
          <w:color w:val="auto"/>
          <w:spacing w:val="14"/>
          <w:szCs w:val="83"/>
          <w:highlight w:val="none"/>
          <w:lang w:eastAsia="zh-CN"/>
        </w:rPr>
        <w:t>招标文件</w:t>
      </w:r>
      <w:r>
        <w:rPr>
          <w:rFonts w:hint="eastAsia"/>
          <w:color w:val="auto"/>
          <w:highlight w:val="none"/>
          <w:lang w:val="en-US" w:eastAsia="zh-CN"/>
        </w:rPr>
        <w:fldChar w:fldCharType="end"/>
      </w:r>
    </w:p>
    <w:p>
      <w:pPr>
        <w:bidi w:val="0"/>
        <w:rPr>
          <w:rFonts w:hint="eastAsia"/>
          <w:color w:val="auto"/>
          <w:highlight w:val="none"/>
          <w:lang w:val="en-US" w:eastAsia="zh-CN"/>
        </w:rPr>
      </w:pPr>
      <w:r>
        <w:rPr>
          <w:rFonts w:hint="eastAsia"/>
          <w:color w:val="auto"/>
          <w:highlight w:val="none"/>
          <w:lang w:val="en-US" w:eastAsia="zh-CN"/>
        </w:rPr>
        <w:fldChar w:fldCharType="end"/>
      </w:r>
    </w:p>
    <w:sdt>
      <w:sdtPr>
        <w:rPr>
          <w:rFonts w:ascii="宋体" w:hAnsi="宋体" w:eastAsia="宋体" w:cstheme="minorBidi"/>
          <w:color w:val="auto"/>
          <w:kern w:val="2"/>
          <w:sz w:val="21"/>
          <w:szCs w:val="24"/>
          <w:highlight w:val="none"/>
          <w:lang w:val="en-US" w:eastAsia="zh-CN" w:bidi="ar-SA"/>
        </w:rPr>
        <w:id w:val="147465254"/>
        <w15:color w:val="DBDBDB"/>
        <w:docPartObj>
          <w:docPartGallery w:val="Table of Contents"/>
          <w:docPartUnique/>
        </w:docPartObj>
      </w:sdtPr>
      <w:sdtEndPr>
        <w:rPr>
          <w:rFonts w:hint="eastAsia" w:ascii="宋体" w:hAnsi="宋体" w:eastAsia="宋体" w:cstheme="minorBidi"/>
          <w:color w:val="auto"/>
          <w:kern w:val="2"/>
          <w:sz w:val="24"/>
          <w:szCs w:val="24"/>
          <w:highlight w:val="none"/>
          <w:lang w:val="en-US" w:eastAsia="zh-CN" w:bidi="ar-SA"/>
        </w:rPr>
      </w:sdtEndPr>
      <w:sdtContent>
        <w:p>
          <w:pPr>
            <w:spacing w:before="0" w:beforeLines="0" w:after="0" w:afterLines="0" w:line="240" w:lineRule="auto"/>
            <w:ind w:left="0" w:leftChars="0" w:right="0" w:rightChars="0" w:firstLine="0" w:firstLineChars="0"/>
            <w:jc w:val="center"/>
            <w:rPr>
              <w:color w:val="auto"/>
              <w:highlight w:val="none"/>
            </w:rPr>
          </w:pPr>
          <w:r>
            <w:rPr>
              <w:rFonts w:ascii="宋体" w:hAnsi="宋体" w:eastAsia="宋体"/>
              <w:color w:val="auto"/>
              <w:sz w:val="21"/>
              <w:highlight w:val="none"/>
            </w:rPr>
            <w:t>目录</w:t>
          </w:r>
        </w:p>
        <w:p>
          <w:pPr>
            <w:pStyle w:val="16"/>
            <w:tabs>
              <w:tab w:val="right" w:leader="dot" w:pos="9079"/>
            </w:tabs>
            <w:rPr>
              <w:color w:val="auto"/>
              <w:highlight w:val="none"/>
            </w:rPr>
          </w:pPr>
          <w:r>
            <w:rPr>
              <w:rFonts w:hint="eastAsia"/>
              <w:color w:val="auto"/>
              <w:highlight w:val="none"/>
              <w:lang w:val="en-US" w:eastAsia="zh-CN"/>
            </w:rPr>
            <w:fldChar w:fldCharType="begin"/>
          </w:r>
          <w:r>
            <w:rPr>
              <w:rFonts w:hint="eastAsia"/>
              <w:color w:val="auto"/>
              <w:highlight w:val="none"/>
              <w:lang w:val="en-US" w:eastAsia="zh-CN"/>
            </w:rPr>
            <w:instrText xml:space="preserve">TOC \o "1-2" \h \u </w:instrText>
          </w:r>
          <w:r>
            <w:rPr>
              <w:rFonts w:hint="eastAsia"/>
              <w:color w:val="auto"/>
              <w:highlight w:val="none"/>
              <w:lang w:val="en-US" w:eastAsia="zh-CN"/>
            </w:rPr>
            <w:fldChar w:fldCharType="separate"/>
          </w:r>
          <w:r>
            <w:rPr>
              <w:rFonts w:hint="eastAsia"/>
              <w:color w:val="auto"/>
              <w:highlight w:val="none"/>
              <w:lang w:val="en-US" w:eastAsia="zh-CN"/>
            </w:rPr>
            <w:fldChar w:fldCharType="begin"/>
          </w:r>
          <w:r>
            <w:rPr>
              <w:rFonts w:hint="eastAsia"/>
              <w:color w:val="auto"/>
              <w:highlight w:val="none"/>
              <w:lang w:val="en-US" w:eastAsia="zh-CN"/>
            </w:rPr>
            <w:instrText xml:space="preserve"> HYPERLINK \l _Toc29813 </w:instrText>
          </w:r>
          <w:r>
            <w:rPr>
              <w:rFonts w:hint="eastAsia"/>
              <w:color w:val="auto"/>
              <w:highlight w:val="none"/>
              <w:lang w:val="en-US" w:eastAsia="zh-CN"/>
            </w:rPr>
            <w:fldChar w:fldCharType="separate"/>
          </w:r>
          <w:r>
            <w:rPr>
              <w:rFonts w:hint="default"/>
              <w:color w:val="auto"/>
              <w:highlight w:val="none"/>
            </w:rPr>
            <w:t xml:space="preserve">第1章 </w:t>
          </w:r>
          <w:r>
            <w:rPr>
              <w:rFonts w:hint="eastAsia"/>
              <w:color w:val="auto"/>
              <w:highlight w:val="none"/>
            </w:rPr>
            <w:t>工程</w:t>
          </w:r>
          <w:r>
            <w:rPr>
              <w:color w:val="auto"/>
              <w:highlight w:val="none"/>
            </w:rPr>
            <w:t>概况</w:t>
          </w:r>
          <w:r>
            <w:rPr>
              <w:color w:val="auto"/>
              <w:highlight w:val="none"/>
            </w:rPr>
            <w:tab/>
          </w:r>
          <w:r>
            <w:rPr>
              <w:color w:val="auto"/>
              <w:highlight w:val="none"/>
            </w:rPr>
            <w:fldChar w:fldCharType="begin"/>
          </w:r>
          <w:r>
            <w:rPr>
              <w:color w:val="auto"/>
              <w:highlight w:val="none"/>
            </w:rPr>
            <w:instrText xml:space="preserve"> PAGEREF _Toc29813 \h </w:instrText>
          </w:r>
          <w:r>
            <w:rPr>
              <w:color w:val="auto"/>
              <w:highlight w:val="none"/>
            </w:rPr>
            <w:fldChar w:fldCharType="separate"/>
          </w:r>
          <w:r>
            <w:rPr>
              <w:color w:val="auto"/>
              <w:highlight w:val="none"/>
            </w:rPr>
            <w:t>5</w:t>
          </w:r>
          <w:r>
            <w:rPr>
              <w:color w:val="auto"/>
              <w:highlight w:val="none"/>
            </w:rPr>
            <w:fldChar w:fldCharType="end"/>
          </w:r>
          <w:r>
            <w:rPr>
              <w:rFonts w:hint="eastAsia"/>
              <w:color w:val="auto"/>
              <w:highlight w:val="none"/>
              <w:lang w:val="en-US" w:eastAsia="zh-CN"/>
            </w:rPr>
            <w:fldChar w:fldCharType="end"/>
          </w:r>
        </w:p>
        <w:p>
          <w:pPr>
            <w:pStyle w:val="18"/>
            <w:tabs>
              <w:tab w:val="right" w:leader="dot" w:pos="9079"/>
            </w:tabs>
            <w:rPr>
              <w:color w:val="auto"/>
              <w:highlight w:val="none"/>
            </w:rPr>
          </w:pPr>
          <w:r>
            <w:rPr>
              <w:rFonts w:hint="eastAsia"/>
              <w:color w:val="auto"/>
              <w:highlight w:val="none"/>
              <w:lang w:val="en-US" w:eastAsia="zh-CN"/>
            </w:rPr>
            <w:fldChar w:fldCharType="begin"/>
          </w:r>
          <w:r>
            <w:rPr>
              <w:rFonts w:hint="eastAsia"/>
              <w:color w:val="auto"/>
              <w:highlight w:val="none"/>
              <w:lang w:val="en-US" w:eastAsia="zh-CN"/>
            </w:rPr>
            <w:instrText xml:space="preserve"> HYPERLINK \l _Toc14262 </w:instrText>
          </w:r>
          <w:r>
            <w:rPr>
              <w:rFonts w:hint="eastAsia"/>
              <w:color w:val="auto"/>
              <w:highlight w:val="none"/>
              <w:lang w:val="en-US" w:eastAsia="zh-CN"/>
            </w:rPr>
            <w:fldChar w:fldCharType="separate"/>
          </w:r>
          <w:r>
            <w:rPr>
              <w:rFonts w:hint="eastAsia"/>
              <w:color w:val="auto"/>
              <w:highlight w:val="none"/>
              <w:lang w:val="en-US" w:eastAsia="zh-CN"/>
            </w:rPr>
            <w:t>1.1 工程概况</w:t>
          </w:r>
          <w:r>
            <w:rPr>
              <w:color w:val="auto"/>
              <w:highlight w:val="none"/>
            </w:rPr>
            <w:tab/>
          </w:r>
          <w:r>
            <w:rPr>
              <w:color w:val="auto"/>
              <w:highlight w:val="none"/>
            </w:rPr>
            <w:fldChar w:fldCharType="begin"/>
          </w:r>
          <w:r>
            <w:rPr>
              <w:color w:val="auto"/>
              <w:highlight w:val="none"/>
            </w:rPr>
            <w:instrText xml:space="preserve"> PAGEREF _Toc14262 \h </w:instrText>
          </w:r>
          <w:r>
            <w:rPr>
              <w:color w:val="auto"/>
              <w:highlight w:val="none"/>
            </w:rPr>
            <w:fldChar w:fldCharType="separate"/>
          </w:r>
          <w:r>
            <w:rPr>
              <w:color w:val="auto"/>
              <w:highlight w:val="none"/>
            </w:rPr>
            <w:t>5</w:t>
          </w:r>
          <w:r>
            <w:rPr>
              <w:color w:val="auto"/>
              <w:highlight w:val="none"/>
            </w:rPr>
            <w:fldChar w:fldCharType="end"/>
          </w:r>
          <w:r>
            <w:rPr>
              <w:rFonts w:hint="eastAsia"/>
              <w:color w:val="auto"/>
              <w:highlight w:val="none"/>
              <w:lang w:val="en-US" w:eastAsia="zh-CN"/>
            </w:rPr>
            <w:fldChar w:fldCharType="end"/>
          </w:r>
        </w:p>
        <w:p>
          <w:pPr>
            <w:pStyle w:val="18"/>
            <w:tabs>
              <w:tab w:val="right" w:leader="dot" w:pos="9079"/>
            </w:tabs>
            <w:rPr>
              <w:color w:val="auto"/>
              <w:highlight w:val="none"/>
            </w:rPr>
          </w:pPr>
          <w:r>
            <w:rPr>
              <w:rFonts w:hint="eastAsia"/>
              <w:color w:val="auto"/>
              <w:highlight w:val="none"/>
              <w:lang w:val="en-US" w:eastAsia="zh-CN"/>
            </w:rPr>
            <w:fldChar w:fldCharType="begin"/>
          </w:r>
          <w:r>
            <w:rPr>
              <w:rFonts w:hint="eastAsia"/>
              <w:color w:val="auto"/>
              <w:highlight w:val="none"/>
              <w:lang w:val="en-US" w:eastAsia="zh-CN"/>
            </w:rPr>
            <w:instrText xml:space="preserve"> HYPERLINK \l _Toc20211 </w:instrText>
          </w:r>
          <w:r>
            <w:rPr>
              <w:rFonts w:hint="eastAsia"/>
              <w:color w:val="auto"/>
              <w:highlight w:val="none"/>
              <w:lang w:val="en-US" w:eastAsia="zh-CN"/>
            </w:rPr>
            <w:fldChar w:fldCharType="separate"/>
          </w:r>
          <w:r>
            <w:rPr>
              <w:rFonts w:hint="eastAsia"/>
              <w:color w:val="auto"/>
              <w:highlight w:val="none"/>
            </w:rPr>
            <w:t>1.2 工程</w:t>
          </w:r>
          <w:r>
            <w:rPr>
              <w:color w:val="auto"/>
              <w:highlight w:val="none"/>
            </w:rPr>
            <w:t>重难点</w:t>
          </w:r>
          <w:r>
            <w:rPr>
              <w:color w:val="auto"/>
              <w:highlight w:val="none"/>
            </w:rPr>
            <w:tab/>
          </w:r>
          <w:r>
            <w:rPr>
              <w:color w:val="auto"/>
              <w:highlight w:val="none"/>
            </w:rPr>
            <w:fldChar w:fldCharType="begin"/>
          </w:r>
          <w:r>
            <w:rPr>
              <w:color w:val="auto"/>
              <w:highlight w:val="none"/>
            </w:rPr>
            <w:instrText xml:space="preserve"> PAGEREF _Toc20211 \h </w:instrText>
          </w:r>
          <w:r>
            <w:rPr>
              <w:color w:val="auto"/>
              <w:highlight w:val="none"/>
            </w:rPr>
            <w:fldChar w:fldCharType="separate"/>
          </w:r>
          <w:r>
            <w:rPr>
              <w:color w:val="auto"/>
              <w:highlight w:val="none"/>
            </w:rPr>
            <w:t>7</w:t>
          </w:r>
          <w:r>
            <w:rPr>
              <w:color w:val="auto"/>
              <w:highlight w:val="none"/>
            </w:rPr>
            <w:fldChar w:fldCharType="end"/>
          </w:r>
          <w:r>
            <w:rPr>
              <w:rFonts w:hint="eastAsia"/>
              <w:color w:val="auto"/>
              <w:highlight w:val="none"/>
              <w:lang w:val="en-US" w:eastAsia="zh-CN"/>
            </w:rPr>
            <w:fldChar w:fldCharType="end"/>
          </w:r>
        </w:p>
        <w:p>
          <w:pPr>
            <w:pStyle w:val="16"/>
            <w:tabs>
              <w:tab w:val="right" w:leader="dot" w:pos="9079"/>
            </w:tabs>
            <w:rPr>
              <w:color w:val="auto"/>
              <w:highlight w:val="none"/>
            </w:rPr>
          </w:pPr>
          <w:r>
            <w:rPr>
              <w:rFonts w:hint="eastAsia"/>
              <w:color w:val="auto"/>
              <w:highlight w:val="none"/>
              <w:lang w:val="en-US" w:eastAsia="zh-CN"/>
            </w:rPr>
            <w:fldChar w:fldCharType="begin"/>
          </w:r>
          <w:r>
            <w:rPr>
              <w:rFonts w:hint="eastAsia"/>
              <w:color w:val="auto"/>
              <w:highlight w:val="none"/>
              <w:lang w:val="en-US" w:eastAsia="zh-CN"/>
            </w:rPr>
            <w:instrText xml:space="preserve"> HYPERLINK \l _Toc14126 </w:instrText>
          </w:r>
          <w:r>
            <w:rPr>
              <w:rFonts w:hint="eastAsia"/>
              <w:color w:val="auto"/>
              <w:highlight w:val="none"/>
              <w:lang w:val="en-US" w:eastAsia="zh-CN"/>
            </w:rPr>
            <w:fldChar w:fldCharType="separate"/>
          </w:r>
          <w:r>
            <w:rPr>
              <w:rFonts w:hint="default"/>
              <w:color w:val="auto"/>
              <w:highlight w:val="none"/>
            </w:rPr>
            <w:t xml:space="preserve">第2章 </w:t>
          </w:r>
          <w:r>
            <w:rPr>
              <w:rFonts w:hint="eastAsia"/>
              <w:color w:val="auto"/>
              <w:highlight w:val="none"/>
            </w:rPr>
            <w:t>工程目标</w:t>
          </w:r>
          <w:r>
            <w:rPr>
              <w:color w:val="auto"/>
              <w:highlight w:val="none"/>
            </w:rPr>
            <w:tab/>
          </w:r>
          <w:r>
            <w:rPr>
              <w:color w:val="auto"/>
              <w:highlight w:val="none"/>
            </w:rPr>
            <w:fldChar w:fldCharType="begin"/>
          </w:r>
          <w:r>
            <w:rPr>
              <w:color w:val="auto"/>
              <w:highlight w:val="none"/>
            </w:rPr>
            <w:instrText xml:space="preserve"> PAGEREF _Toc14126 \h </w:instrText>
          </w:r>
          <w:r>
            <w:rPr>
              <w:color w:val="auto"/>
              <w:highlight w:val="none"/>
            </w:rPr>
            <w:fldChar w:fldCharType="separate"/>
          </w:r>
          <w:r>
            <w:rPr>
              <w:color w:val="auto"/>
              <w:highlight w:val="none"/>
            </w:rPr>
            <w:t>9</w:t>
          </w:r>
          <w:r>
            <w:rPr>
              <w:color w:val="auto"/>
              <w:highlight w:val="none"/>
            </w:rPr>
            <w:fldChar w:fldCharType="end"/>
          </w:r>
          <w:r>
            <w:rPr>
              <w:rFonts w:hint="eastAsia"/>
              <w:color w:val="auto"/>
              <w:highlight w:val="none"/>
              <w:lang w:val="en-US" w:eastAsia="zh-CN"/>
            </w:rPr>
            <w:fldChar w:fldCharType="end"/>
          </w:r>
        </w:p>
        <w:p>
          <w:pPr>
            <w:pStyle w:val="18"/>
            <w:tabs>
              <w:tab w:val="right" w:leader="dot" w:pos="9079"/>
            </w:tabs>
            <w:rPr>
              <w:color w:val="auto"/>
              <w:highlight w:val="none"/>
            </w:rPr>
          </w:pPr>
          <w:r>
            <w:rPr>
              <w:rFonts w:hint="eastAsia"/>
              <w:color w:val="auto"/>
              <w:highlight w:val="none"/>
              <w:lang w:val="en-US" w:eastAsia="zh-CN"/>
            </w:rPr>
            <w:fldChar w:fldCharType="begin"/>
          </w:r>
          <w:r>
            <w:rPr>
              <w:rFonts w:hint="eastAsia"/>
              <w:color w:val="auto"/>
              <w:highlight w:val="none"/>
              <w:lang w:val="en-US" w:eastAsia="zh-CN"/>
            </w:rPr>
            <w:instrText xml:space="preserve"> HYPERLINK \l _Toc16856 </w:instrText>
          </w:r>
          <w:r>
            <w:rPr>
              <w:rFonts w:hint="eastAsia"/>
              <w:color w:val="auto"/>
              <w:highlight w:val="none"/>
              <w:lang w:val="en-US" w:eastAsia="zh-CN"/>
            </w:rPr>
            <w:fldChar w:fldCharType="separate"/>
          </w:r>
          <w:r>
            <w:rPr>
              <w:rFonts w:hint="eastAsia"/>
              <w:color w:val="auto"/>
              <w:highlight w:val="none"/>
              <w:lang w:val="en-US" w:eastAsia="zh-CN"/>
            </w:rPr>
            <w:t>2.1 质量标准和目标</w:t>
          </w:r>
          <w:r>
            <w:rPr>
              <w:color w:val="auto"/>
              <w:highlight w:val="none"/>
            </w:rPr>
            <w:tab/>
          </w:r>
          <w:r>
            <w:rPr>
              <w:color w:val="auto"/>
              <w:highlight w:val="none"/>
            </w:rPr>
            <w:fldChar w:fldCharType="begin"/>
          </w:r>
          <w:r>
            <w:rPr>
              <w:color w:val="auto"/>
              <w:highlight w:val="none"/>
            </w:rPr>
            <w:instrText xml:space="preserve"> PAGEREF _Toc16856 \h </w:instrText>
          </w:r>
          <w:r>
            <w:rPr>
              <w:color w:val="auto"/>
              <w:highlight w:val="none"/>
            </w:rPr>
            <w:fldChar w:fldCharType="separate"/>
          </w:r>
          <w:r>
            <w:rPr>
              <w:color w:val="auto"/>
              <w:highlight w:val="none"/>
            </w:rPr>
            <w:t>9</w:t>
          </w:r>
          <w:r>
            <w:rPr>
              <w:color w:val="auto"/>
              <w:highlight w:val="none"/>
            </w:rPr>
            <w:fldChar w:fldCharType="end"/>
          </w:r>
          <w:r>
            <w:rPr>
              <w:rFonts w:hint="eastAsia"/>
              <w:color w:val="auto"/>
              <w:highlight w:val="none"/>
              <w:lang w:val="en-US" w:eastAsia="zh-CN"/>
            </w:rPr>
            <w:fldChar w:fldCharType="end"/>
          </w:r>
        </w:p>
        <w:p>
          <w:pPr>
            <w:pStyle w:val="18"/>
            <w:tabs>
              <w:tab w:val="right" w:leader="dot" w:pos="9079"/>
            </w:tabs>
            <w:rPr>
              <w:color w:val="auto"/>
              <w:highlight w:val="none"/>
            </w:rPr>
          </w:pPr>
          <w:r>
            <w:rPr>
              <w:rFonts w:hint="eastAsia"/>
              <w:color w:val="auto"/>
              <w:highlight w:val="none"/>
              <w:lang w:val="en-US" w:eastAsia="zh-CN"/>
            </w:rPr>
            <w:fldChar w:fldCharType="begin"/>
          </w:r>
          <w:r>
            <w:rPr>
              <w:rFonts w:hint="eastAsia"/>
              <w:color w:val="auto"/>
              <w:highlight w:val="none"/>
              <w:lang w:val="en-US" w:eastAsia="zh-CN"/>
            </w:rPr>
            <w:instrText xml:space="preserve"> HYPERLINK \l _Toc12343 </w:instrText>
          </w:r>
          <w:r>
            <w:rPr>
              <w:rFonts w:hint="eastAsia"/>
              <w:color w:val="auto"/>
              <w:highlight w:val="none"/>
              <w:lang w:val="en-US" w:eastAsia="zh-CN"/>
            </w:rPr>
            <w:fldChar w:fldCharType="separate"/>
          </w:r>
          <w:r>
            <w:rPr>
              <w:rFonts w:hint="eastAsia"/>
              <w:color w:val="auto"/>
              <w:highlight w:val="none"/>
              <w:lang w:val="en-US" w:eastAsia="zh-CN"/>
            </w:rPr>
            <w:t>2.2 工程进度目标</w:t>
          </w:r>
          <w:r>
            <w:rPr>
              <w:color w:val="auto"/>
              <w:highlight w:val="none"/>
            </w:rPr>
            <w:tab/>
          </w:r>
          <w:r>
            <w:rPr>
              <w:color w:val="auto"/>
              <w:highlight w:val="none"/>
            </w:rPr>
            <w:fldChar w:fldCharType="begin"/>
          </w:r>
          <w:r>
            <w:rPr>
              <w:color w:val="auto"/>
              <w:highlight w:val="none"/>
            </w:rPr>
            <w:instrText xml:space="preserve"> PAGEREF _Toc12343 \h </w:instrText>
          </w:r>
          <w:r>
            <w:rPr>
              <w:color w:val="auto"/>
              <w:highlight w:val="none"/>
            </w:rPr>
            <w:fldChar w:fldCharType="separate"/>
          </w:r>
          <w:r>
            <w:rPr>
              <w:color w:val="auto"/>
              <w:highlight w:val="none"/>
            </w:rPr>
            <w:t>9</w:t>
          </w:r>
          <w:r>
            <w:rPr>
              <w:color w:val="auto"/>
              <w:highlight w:val="none"/>
            </w:rPr>
            <w:fldChar w:fldCharType="end"/>
          </w:r>
          <w:r>
            <w:rPr>
              <w:rFonts w:hint="eastAsia"/>
              <w:color w:val="auto"/>
              <w:highlight w:val="none"/>
              <w:lang w:val="en-US" w:eastAsia="zh-CN"/>
            </w:rPr>
            <w:fldChar w:fldCharType="end"/>
          </w:r>
        </w:p>
        <w:p>
          <w:pPr>
            <w:pStyle w:val="18"/>
            <w:tabs>
              <w:tab w:val="right" w:leader="dot" w:pos="9079"/>
            </w:tabs>
            <w:rPr>
              <w:color w:val="auto"/>
              <w:highlight w:val="none"/>
            </w:rPr>
          </w:pPr>
          <w:r>
            <w:rPr>
              <w:rFonts w:hint="eastAsia"/>
              <w:color w:val="auto"/>
              <w:highlight w:val="none"/>
              <w:lang w:val="en-US" w:eastAsia="zh-CN"/>
            </w:rPr>
            <w:fldChar w:fldCharType="begin"/>
          </w:r>
          <w:r>
            <w:rPr>
              <w:rFonts w:hint="eastAsia"/>
              <w:color w:val="auto"/>
              <w:highlight w:val="none"/>
              <w:lang w:val="en-US" w:eastAsia="zh-CN"/>
            </w:rPr>
            <w:instrText xml:space="preserve"> HYPERLINK \l _Toc28848 </w:instrText>
          </w:r>
          <w:r>
            <w:rPr>
              <w:rFonts w:hint="eastAsia"/>
              <w:color w:val="auto"/>
              <w:highlight w:val="none"/>
              <w:lang w:val="en-US" w:eastAsia="zh-CN"/>
            </w:rPr>
            <w:fldChar w:fldCharType="separate"/>
          </w:r>
          <w:r>
            <w:rPr>
              <w:rFonts w:hint="eastAsia"/>
              <w:color w:val="auto"/>
              <w:highlight w:val="none"/>
              <w:lang w:val="en-US" w:eastAsia="zh-CN"/>
            </w:rPr>
            <w:t>2.3 职业健康安全管理目标和环境管理目标</w:t>
          </w:r>
          <w:r>
            <w:rPr>
              <w:color w:val="auto"/>
              <w:highlight w:val="none"/>
            </w:rPr>
            <w:tab/>
          </w:r>
          <w:r>
            <w:rPr>
              <w:color w:val="auto"/>
              <w:highlight w:val="none"/>
            </w:rPr>
            <w:fldChar w:fldCharType="begin"/>
          </w:r>
          <w:r>
            <w:rPr>
              <w:color w:val="auto"/>
              <w:highlight w:val="none"/>
            </w:rPr>
            <w:instrText xml:space="preserve"> PAGEREF _Toc28848 \h </w:instrText>
          </w:r>
          <w:r>
            <w:rPr>
              <w:color w:val="auto"/>
              <w:highlight w:val="none"/>
            </w:rPr>
            <w:fldChar w:fldCharType="separate"/>
          </w:r>
          <w:r>
            <w:rPr>
              <w:color w:val="auto"/>
              <w:highlight w:val="none"/>
            </w:rPr>
            <w:t>10</w:t>
          </w:r>
          <w:r>
            <w:rPr>
              <w:color w:val="auto"/>
              <w:highlight w:val="none"/>
            </w:rPr>
            <w:fldChar w:fldCharType="end"/>
          </w:r>
          <w:r>
            <w:rPr>
              <w:rFonts w:hint="eastAsia"/>
              <w:color w:val="auto"/>
              <w:highlight w:val="none"/>
              <w:lang w:val="en-US" w:eastAsia="zh-CN"/>
            </w:rPr>
            <w:fldChar w:fldCharType="end"/>
          </w:r>
        </w:p>
        <w:p>
          <w:pPr>
            <w:pStyle w:val="16"/>
            <w:tabs>
              <w:tab w:val="right" w:leader="dot" w:pos="9079"/>
            </w:tabs>
            <w:rPr>
              <w:color w:val="auto"/>
              <w:highlight w:val="none"/>
            </w:rPr>
          </w:pPr>
          <w:r>
            <w:rPr>
              <w:rFonts w:hint="eastAsia"/>
              <w:color w:val="auto"/>
              <w:highlight w:val="none"/>
              <w:lang w:val="en-US" w:eastAsia="zh-CN"/>
            </w:rPr>
            <w:fldChar w:fldCharType="begin"/>
          </w:r>
          <w:r>
            <w:rPr>
              <w:rFonts w:hint="eastAsia"/>
              <w:color w:val="auto"/>
              <w:highlight w:val="none"/>
              <w:lang w:val="en-US" w:eastAsia="zh-CN"/>
            </w:rPr>
            <w:instrText xml:space="preserve"> HYPERLINK \l _Toc10355 </w:instrText>
          </w:r>
          <w:r>
            <w:rPr>
              <w:rFonts w:hint="eastAsia"/>
              <w:color w:val="auto"/>
              <w:highlight w:val="none"/>
              <w:lang w:val="en-US" w:eastAsia="zh-CN"/>
            </w:rPr>
            <w:fldChar w:fldCharType="separate"/>
          </w:r>
          <w:r>
            <w:rPr>
              <w:rFonts w:hint="default"/>
              <w:color w:val="auto"/>
              <w:highlight w:val="none"/>
            </w:rPr>
            <w:t xml:space="preserve">第3章 </w:t>
          </w:r>
          <w:r>
            <w:rPr>
              <w:rFonts w:hint="eastAsia"/>
              <w:color w:val="auto"/>
              <w:highlight w:val="none"/>
            </w:rPr>
            <w:t>承包</w:t>
          </w:r>
          <w:r>
            <w:rPr>
              <w:color w:val="auto"/>
              <w:highlight w:val="none"/>
            </w:rPr>
            <w:t>范围</w:t>
          </w:r>
          <w:r>
            <w:rPr>
              <w:color w:val="auto"/>
              <w:highlight w:val="none"/>
            </w:rPr>
            <w:tab/>
          </w:r>
          <w:r>
            <w:rPr>
              <w:color w:val="auto"/>
              <w:highlight w:val="none"/>
            </w:rPr>
            <w:fldChar w:fldCharType="begin"/>
          </w:r>
          <w:r>
            <w:rPr>
              <w:color w:val="auto"/>
              <w:highlight w:val="none"/>
            </w:rPr>
            <w:instrText xml:space="preserve"> PAGEREF _Toc10355 \h </w:instrText>
          </w:r>
          <w:r>
            <w:rPr>
              <w:color w:val="auto"/>
              <w:highlight w:val="none"/>
            </w:rPr>
            <w:fldChar w:fldCharType="separate"/>
          </w:r>
          <w:r>
            <w:rPr>
              <w:color w:val="auto"/>
              <w:highlight w:val="none"/>
            </w:rPr>
            <w:t>12</w:t>
          </w:r>
          <w:r>
            <w:rPr>
              <w:color w:val="auto"/>
              <w:highlight w:val="none"/>
            </w:rPr>
            <w:fldChar w:fldCharType="end"/>
          </w:r>
          <w:r>
            <w:rPr>
              <w:rFonts w:hint="eastAsia"/>
              <w:color w:val="auto"/>
              <w:highlight w:val="none"/>
              <w:lang w:val="en-US" w:eastAsia="zh-CN"/>
            </w:rPr>
            <w:fldChar w:fldCharType="end"/>
          </w:r>
        </w:p>
        <w:p>
          <w:pPr>
            <w:pStyle w:val="18"/>
            <w:tabs>
              <w:tab w:val="right" w:leader="dot" w:pos="9079"/>
            </w:tabs>
            <w:rPr>
              <w:color w:val="auto"/>
              <w:highlight w:val="none"/>
            </w:rPr>
          </w:pPr>
          <w:r>
            <w:rPr>
              <w:rFonts w:hint="eastAsia"/>
              <w:color w:val="auto"/>
              <w:highlight w:val="none"/>
              <w:lang w:val="en-US" w:eastAsia="zh-CN"/>
            </w:rPr>
            <w:fldChar w:fldCharType="begin"/>
          </w:r>
          <w:r>
            <w:rPr>
              <w:rFonts w:hint="eastAsia"/>
              <w:color w:val="auto"/>
              <w:highlight w:val="none"/>
              <w:lang w:val="en-US" w:eastAsia="zh-CN"/>
            </w:rPr>
            <w:instrText xml:space="preserve"> HYPERLINK \l _Toc468 </w:instrText>
          </w:r>
          <w:r>
            <w:rPr>
              <w:rFonts w:hint="eastAsia"/>
              <w:color w:val="auto"/>
              <w:highlight w:val="none"/>
              <w:lang w:val="en-US" w:eastAsia="zh-CN"/>
            </w:rPr>
            <w:fldChar w:fldCharType="separate"/>
          </w:r>
          <w:r>
            <w:rPr>
              <w:rFonts w:hint="eastAsia"/>
              <w:color w:val="auto"/>
              <w:highlight w:val="none"/>
            </w:rPr>
            <w:t xml:space="preserve">3.1 </w:t>
          </w:r>
          <w:r>
            <w:rPr>
              <w:rFonts w:hint="eastAsia"/>
              <w:color w:val="auto"/>
              <w:highlight w:val="none"/>
              <w:lang w:val="en-US" w:eastAsia="zh-CN"/>
            </w:rPr>
            <w:fldChar w:fldCharType="end"/>
          </w:r>
          <w:r>
            <w:rPr>
              <w:rFonts w:hint="eastAsia"/>
              <w:color w:val="auto"/>
              <w:highlight w:val="none"/>
              <w:lang w:val="en-US" w:eastAsia="zh-CN"/>
            </w:rPr>
            <w:fldChar w:fldCharType="begin"/>
          </w:r>
          <w:r>
            <w:rPr>
              <w:rFonts w:hint="eastAsia"/>
              <w:color w:val="auto"/>
              <w:highlight w:val="none"/>
              <w:lang w:val="en-US" w:eastAsia="zh-CN"/>
            </w:rPr>
            <w:instrText xml:space="preserve"> HYPERLINK \l _Toc28457 </w:instrText>
          </w:r>
          <w:r>
            <w:rPr>
              <w:rFonts w:hint="eastAsia"/>
              <w:color w:val="auto"/>
              <w:highlight w:val="none"/>
              <w:lang w:val="en-US" w:eastAsia="zh-CN"/>
            </w:rPr>
            <w:fldChar w:fldCharType="separate"/>
          </w:r>
          <w:r>
            <w:rPr>
              <w:rFonts w:hint="eastAsia"/>
              <w:color w:val="auto"/>
              <w:highlight w:val="none"/>
            </w:rPr>
            <w:t>总承包范围</w:t>
          </w:r>
          <w:r>
            <w:rPr>
              <w:color w:val="auto"/>
              <w:highlight w:val="none"/>
            </w:rPr>
            <w:tab/>
          </w:r>
          <w:r>
            <w:rPr>
              <w:color w:val="auto"/>
              <w:highlight w:val="none"/>
            </w:rPr>
            <w:fldChar w:fldCharType="begin"/>
          </w:r>
          <w:r>
            <w:rPr>
              <w:color w:val="auto"/>
              <w:highlight w:val="none"/>
            </w:rPr>
            <w:instrText xml:space="preserve"> PAGEREF _Toc28457 \h </w:instrText>
          </w:r>
          <w:r>
            <w:rPr>
              <w:color w:val="auto"/>
              <w:highlight w:val="none"/>
            </w:rPr>
            <w:fldChar w:fldCharType="separate"/>
          </w:r>
          <w:r>
            <w:rPr>
              <w:color w:val="auto"/>
              <w:highlight w:val="none"/>
            </w:rPr>
            <w:t>12</w:t>
          </w:r>
          <w:r>
            <w:rPr>
              <w:color w:val="auto"/>
              <w:highlight w:val="none"/>
            </w:rPr>
            <w:fldChar w:fldCharType="end"/>
          </w:r>
          <w:r>
            <w:rPr>
              <w:rFonts w:hint="eastAsia"/>
              <w:color w:val="auto"/>
              <w:highlight w:val="none"/>
              <w:lang w:val="en-US" w:eastAsia="zh-CN"/>
            </w:rPr>
            <w:fldChar w:fldCharType="end"/>
          </w:r>
        </w:p>
        <w:p>
          <w:pPr>
            <w:pStyle w:val="18"/>
            <w:tabs>
              <w:tab w:val="right" w:leader="dot" w:pos="9079"/>
            </w:tabs>
            <w:rPr>
              <w:color w:val="auto"/>
              <w:highlight w:val="none"/>
            </w:rPr>
          </w:pPr>
        </w:p>
        <w:p>
          <w:pPr>
            <w:pStyle w:val="16"/>
            <w:tabs>
              <w:tab w:val="right" w:leader="dot" w:pos="9079"/>
            </w:tabs>
            <w:rPr>
              <w:color w:val="auto"/>
              <w:highlight w:val="none"/>
            </w:rPr>
          </w:pPr>
          <w:r>
            <w:rPr>
              <w:rFonts w:hint="eastAsia"/>
              <w:color w:val="auto"/>
              <w:highlight w:val="none"/>
              <w:lang w:val="en-US" w:eastAsia="zh-CN"/>
            </w:rPr>
            <w:fldChar w:fldCharType="begin"/>
          </w:r>
          <w:r>
            <w:rPr>
              <w:rFonts w:hint="eastAsia"/>
              <w:color w:val="auto"/>
              <w:highlight w:val="none"/>
              <w:lang w:val="en-US" w:eastAsia="zh-CN"/>
            </w:rPr>
            <w:instrText xml:space="preserve"> HYPERLINK \l _Toc23533 </w:instrText>
          </w:r>
          <w:r>
            <w:rPr>
              <w:rFonts w:hint="eastAsia"/>
              <w:color w:val="auto"/>
              <w:highlight w:val="none"/>
              <w:lang w:val="en-US" w:eastAsia="zh-CN"/>
            </w:rPr>
            <w:fldChar w:fldCharType="separate"/>
          </w:r>
          <w:r>
            <w:rPr>
              <w:rFonts w:hint="default"/>
              <w:color w:val="auto"/>
              <w:highlight w:val="none"/>
            </w:rPr>
            <w:t xml:space="preserve">第4章 </w:t>
          </w:r>
          <w:r>
            <w:rPr>
              <w:rFonts w:hint="eastAsia"/>
              <w:color w:val="auto"/>
              <w:highlight w:val="none"/>
            </w:rPr>
            <w:t>协调配合及工程整体照管要求</w:t>
          </w:r>
          <w:r>
            <w:rPr>
              <w:color w:val="auto"/>
              <w:highlight w:val="none"/>
            </w:rPr>
            <w:tab/>
          </w:r>
          <w:r>
            <w:rPr>
              <w:color w:val="auto"/>
              <w:highlight w:val="none"/>
            </w:rPr>
            <w:fldChar w:fldCharType="begin"/>
          </w:r>
          <w:r>
            <w:rPr>
              <w:color w:val="auto"/>
              <w:highlight w:val="none"/>
            </w:rPr>
            <w:instrText xml:space="preserve"> PAGEREF _Toc23533 \h </w:instrText>
          </w:r>
          <w:r>
            <w:rPr>
              <w:color w:val="auto"/>
              <w:highlight w:val="none"/>
            </w:rPr>
            <w:fldChar w:fldCharType="separate"/>
          </w:r>
          <w:r>
            <w:rPr>
              <w:color w:val="auto"/>
              <w:highlight w:val="none"/>
            </w:rPr>
            <w:t>12</w:t>
          </w:r>
          <w:r>
            <w:rPr>
              <w:color w:val="auto"/>
              <w:highlight w:val="none"/>
            </w:rPr>
            <w:fldChar w:fldCharType="end"/>
          </w:r>
          <w:r>
            <w:rPr>
              <w:rFonts w:hint="eastAsia"/>
              <w:color w:val="auto"/>
              <w:highlight w:val="none"/>
              <w:lang w:val="en-US" w:eastAsia="zh-CN"/>
            </w:rPr>
            <w:fldChar w:fldCharType="end"/>
          </w:r>
        </w:p>
        <w:p>
          <w:pPr>
            <w:pStyle w:val="18"/>
            <w:tabs>
              <w:tab w:val="right" w:leader="dot" w:pos="9079"/>
            </w:tabs>
            <w:rPr>
              <w:color w:val="auto"/>
              <w:highlight w:val="none"/>
            </w:rPr>
          </w:pPr>
          <w:r>
            <w:rPr>
              <w:rFonts w:hint="eastAsia"/>
              <w:color w:val="auto"/>
              <w:highlight w:val="none"/>
              <w:lang w:val="en-US" w:eastAsia="zh-CN"/>
            </w:rPr>
            <w:fldChar w:fldCharType="begin"/>
          </w:r>
          <w:r>
            <w:rPr>
              <w:rFonts w:hint="eastAsia"/>
              <w:color w:val="auto"/>
              <w:highlight w:val="none"/>
              <w:lang w:val="en-US" w:eastAsia="zh-CN"/>
            </w:rPr>
            <w:instrText xml:space="preserve"> HYPERLINK \l _Toc16328 </w:instrText>
          </w:r>
          <w:r>
            <w:rPr>
              <w:rFonts w:hint="eastAsia"/>
              <w:color w:val="auto"/>
              <w:highlight w:val="none"/>
              <w:lang w:val="en-US" w:eastAsia="zh-CN"/>
            </w:rPr>
            <w:fldChar w:fldCharType="separate"/>
          </w:r>
          <w:r>
            <w:rPr>
              <w:rFonts w:hint="eastAsia"/>
              <w:color w:val="auto"/>
              <w:highlight w:val="none"/>
            </w:rPr>
            <w:t>4.1 总承包人与发包人、设计人及监理人的协调配合</w:t>
          </w:r>
          <w:r>
            <w:rPr>
              <w:color w:val="auto"/>
              <w:highlight w:val="none"/>
            </w:rPr>
            <w:tab/>
          </w:r>
          <w:r>
            <w:rPr>
              <w:color w:val="auto"/>
              <w:highlight w:val="none"/>
            </w:rPr>
            <w:fldChar w:fldCharType="begin"/>
          </w:r>
          <w:r>
            <w:rPr>
              <w:color w:val="auto"/>
              <w:highlight w:val="none"/>
            </w:rPr>
            <w:instrText xml:space="preserve"> PAGEREF _Toc16328 \h </w:instrText>
          </w:r>
          <w:r>
            <w:rPr>
              <w:color w:val="auto"/>
              <w:highlight w:val="none"/>
            </w:rPr>
            <w:fldChar w:fldCharType="separate"/>
          </w:r>
          <w:r>
            <w:rPr>
              <w:color w:val="auto"/>
              <w:highlight w:val="none"/>
            </w:rPr>
            <w:t>12</w:t>
          </w:r>
          <w:r>
            <w:rPr>
              <w:color w:val="auto"/>
              <w:highlight w:val="none"/>
            </w:rPr>
            <w:fldChar w:fldCharType="end"/>
          </w:r>
          <w:r>
            <w:rPr>
              <w:rFonts w:hint="eastAsia"/>
              <w:color w:val="auto"/>
              <w:highlight w:val="none"/>
              <w:lang w:val="en-US" w:eastAsia="zh-CN"/>
            </w:rPr>
            <w:fldChar w:fldCharType="end"/>
          </w:r>
        </w:p>
        <w:p>
          <w:pPr>
            <w:pStyle w:val="18"/>
            <w:tabs>
              <w:tab w:val="right" w:leader="dot" w:pos="9079"/>
            </w:tabs>
            <w:rPr>
              <w:color w:val="auto"/>
              <w:highlight w:val="none"/>
            </w:rPr>
          </w:pPr>
          <w:r>
            <w:rPr>
              <w:rFonts w:hint="eastAsia"/>
              <w:color w:val="auto"/>
              <w:highlight w:val="none"/>
              <w:lang w:val="en-US" w:eastAsia="zh-CN"/>
            </w:rPr>
            <w:fldChar w:fldCharType="begin"/>
          </w:r>
          <w:r>
            <w:rPr>
              <w:rFonts w:hint="eastAsia"/>
              <w:color w:val="auto"/>
              <w:highlight w:val="none"/>
              <w:lang w:val="en-US" w:eastAsia="zh-CN"/>
            </w:rPr>
            <w:instrText xml:space="preserve"> HYPERLINK \l _Toc12047 </w:instrText>
          </w:r>
          <w:r>
            <w:rPr>
              <w:rFonts w:hint="eastAsia"/>
              <w:color w:val="auto"/>
              <w:highlight w:val="none"/>
              <w:lang w:val="en-US" w:eastAsia="zh-CN"/>
            </w:rPr>
            <w:fldChar w:fldCharType="separate"/>
          </w:r>
          <w:r>
            <w:rPr>
              <w:rFonts w:hint="eastAsia"/>
              <w:color w:val="auto"/>
              <w:highlight w:val="none"/>
            </w:rPr>
            <w:t>4.2 总承包人现场整体照管的要求</w:t>
          </w:r>
          <w:r>
            <w:rPr>
              <w:color w:val="auto"/>
              <w:highlight w:val="none"/>
            </w:rPr>
            <w:tab/>
          </w:r>
          <w:r>
            <w:rPr>
              <w:color w:val="auto"/>
              <w:highlight w:val="none"/>
            </w:rPr>
            <w:fldChar w:fldCharType="begin"/>
          </w:r>
          <w:r>
            <w:rPr>
              <w:color w:val="auto"/>
              <w:highlight w:val="none"/>
            </w:rPr>
            <w:instrText xml:space="preserve"> PAGEREF _Toc12047 \h </w:instrText>
          </w:r>
          <w:r>
            <w:rPr>
              <w:color w:val="auto"/>
              <w:highlight w:val="none"/>
            </w:rPr>
            <w:fldChar w:fldCharType="separate"/>
          </w:r>
          <w:r>
            <w:rPr>
              <w:color w:val="auto"/>
              <w:highlight w:val="none"/>
            </w:rPr>
            <w:t>14</w:t>
          </w:r>
          <w:r>
            <w:rPr>
              <w:color w:val="auto"/>
              <w:highlight w:val="none"/>
            </w:rPr>
            <w:fldChar w:fldCharType="end"/>
          </w:r>
          <w:r>
            <w:rPr>
              <w:rFonts w:hint="eastAsia"/>
              <w:color w:val="auto"/>
              <w:highlight w:val="none"/>
              <w:lang w:val="en-US" w:eastAsia="zh-CN"/>
            </w:rPr>
            <w:fldChar w:fldCharType="end"/>
          </w:r>
        </w:p>
        <w:p>
          <w:pPr>
            <w:pStyle w:val="18"/>
            <w:tabs>
              <w:tab w:val="right" w:leader="dot" w:pos="9079"/>
            </w:tabs>
            <w:rPr>
              <w:color w:val="auto"/>
              <w:highlight w:val="none"/>
            </w:rPr>
          </w:pPr>
          <w:r>
            <w:rPr>
              <w:rFonts w:hint="eastAsia"/>
              <w:color w:val="auto"/>
              <w:highlight w:val="none"/>
              <w:lang w:val="en-US" w:eastAsia="zh-CN"/>
            </w:rPr>
            <w:fldChar w:fldCharType="begin"/>
          </w:r>
          <w:r>
            <w:rPr>
              <w:rFonts w:hint="eastAsia"/>
              <w:color w:val="auto"/>
              <w:highlight w:val="none"/>
              <w:lang w:val="en-US" w:eastAsia="zh-CN"/>
            </w:rPr>
            <w:instrText xml:space="preserve"> HYPERLINK \l _Toc4771 </w:instrText>
          </w:r>
          <w:r>
            <w:rPr>
              <w:rFonts w:hint="eastAsia"/>
              <w:color w:val="auto"/>
              <w:highlight w:val="none"/>
              <w:lang w:val="en-US" w:eastAsia="zh-CN"/>
            </w:rPr>
            <w:fldChar w:fldCharType="separate"/>
          </w:r>
          <w:r>
            <w:rPr>
              <w:rFonts w:hint="eastAsia"/>
              <w:color w:val="auto"/>
              <w:highlight w:val="none"/>
            </w:rPr>
            <w:t>4.3 总承包人对</w:t>
          </w:r>
          <w:r>
            <w:rPr>
              <w:rFonts w:hint="eastAsia"/>
              <w:color w:val="auto"/>
              <w:highlight w:val="none"/>
              <w:lang w:eastAsia="zh-CN"/>
            </w:rPr>
            <w:t>专业承包</w:t>
          </w:r>
          <w:r>
            <w:rPr>
              <w:rFonts w:hint="eastAsia"/>
              <w:color w:val="auto"/>
              <w:highlight w:val="none"/>
            </w:rPr>
            <w:t>人</w:t>
          </w:r>
          <w:r>
            <w:rPr>
              <w:color w:val="auto"/>
              <w:highlight w:val="none"/>
            </w:rPr>
            <w:t>的照管</w:t>
          </w:r>
          <w:r>
            <w:rPr>
              <w:rFonts w:hint="eastAsia"/>
              <w:color w:val="auto"/>
              <w:highlight w:val="none"/>
            </w:rPr>
            <w:t>与</w:t>
          </w:r>
          <w:r>
            <w:rPr>
              <w:color w:val="auto"/>
              <w:highlight w:val="none"/>
            </w:rPr>
            <w:t>协调配合要求</w:t>
          </w:r>
          <w:r>
            <w:rPr>
              <w:color w:val="auto"/>
              <w:highlight w:val="none"/>
            </w:rPr>
            <w:tab/>
          </w:r>
          <w:r>
            <w:rPr>
              <w:color w:val="auto"/>
              <w:highlight w:val="none"/>
            </w:rPr>
            <w:fldChar w:fldCharType="begin"/>
          </w:r>
          <w:r>
            <w:rPr>
              <w:color w:val="auto"/>
              <w:highlight w:val="none"/>
            </w:rPr>
            <w:instrText xml:space="preserve"> PAGEREF _Toc4771 \h </w:instrText>
          </w:r>
          <w:r>
            <w:rPr>
              <w:color w:val="auto"/>
              <w:highlight w:val="none"/>
            </w:rPr>
            <w:fldChar w:fldCharType="separate"/>
          </w:r>
          <w:r>
            <w:rPr>
              <w:color w:val="auto"/>
              <w:highlight w:val="none"/>
            </w:rPr>
            <w:t>25</w:t>
          </w:r>
          <w:r>
            <w:rPr>
              <w:color w:val="auto"/>
              <w:highlight w:val="none"/>
            </w:rPr>
            <w:fldChar w:fldCharType="end"/>
          </w:r>
          <w:r>
            <w:rPr>
              <w:rFonts w:hint="eastAsia"/>
              <w:color w:val="auto"/>
              <w:highlight w:val="none"/>
              <w:lang w:val="en-US" w:eastAsia="zh-CN"/>
            </w:rPr>
            <w:fldChar w:fldCharType="end"/>
          </w:r>
        </w:p>
        <w:p>
          <w:pPr>
            <w:pStyle w:val="18"/>
            <w:tabs>
              <w:tab w:val="right" w:leader="dot" w:pos="9079"/>
            </w:tabs>
            <w:rPr>
              <w:color w:val="auto"/>
              <w:highlight w:val="none"/>
            </w:rPr>
          </w:pPr>
          <w:r>
            <w:rPr>
              <w:rFonts w:hint="eastAsia"/>
              <w:color w:val="auto"/>
              <w:highlight w:val="none"/>
              <w:lang w:val="en-US" w:eastAsia="zh-CN"/>
            </w:rPr>
            <w:fldChar w:fldCharType="begin"/>
          </w:r>
          <w:r>
            <w:rPr>
              <w:rFonts w:hint="eastAsia"/>
              <w:color w:val="auto"/>
              <w:highlight w:val="none"/>
              <w:lang w:val="en-US" w:eastAsia="zh-CN"/>
            </w:rPr>
            <w:instrText xml:space="preserve"> HYPERLINK \l _Toc3548 </w:instrText>
          </w:r>
          <w:r>
            <w:rPr>
              <w:rFonts w:hint="eastAsia"/>
              <w:color w:val="auto"/>
              <w:highlight w:val="none"/>
              <w:lang w:val="en-US" w:eastAsia="zh-CN"/>
            </w:rPr>
            <w:fldChar w:fldCharType="separate"/>
          </w:r>
          <w:r>
            <w:rPr>
              <w:rFonts w:hint="eastAsia"/>
              <w:color w:val="auto"/>
              <w:highlight w:val="none"/>
            </w:rPr>
            <w:t>4.4 总承包人对</w:t>
          </w:r>
          <w:r>
            <w:rPr>
              <w:color w:val="auto"/>
              <w:highlight w:val="none"/>
            </w:rPr>
            <w:t>独立供货人的照管与协调配合要求</w:t>
          </w:r>
          <w:r>
            <w:rPr>
              <w:rFonts w:hint="eastAsia"/>
              <w:color w:val="auto"/>
              <w:highlight w:val="none"/>
              <w:lang w:val="en-US" w:eastAsia="zh-CN"/>
            </w:rPr>
            <w:t>(若有)</w:t>
          </w:r>
          <w:r>
            <w:rPr>
              <w:color w:val="auto"/>
              <w:highlight w:val="none"/>
            </w:rPr>
            <w:tab/>
          </w:r>
          <w:r>
            <w:rPr>
              <w:color w:val="auto"/>
              <w:highlight w:val="none"/>
            </w:rPr>
            <w:fldChar w:fldCharType="begin"/>
          </w:r>
          <w:r>
            <w:rPr>
              <w:color w:val="auto"/>
              <w:highlight w:val="none"/>
            </w:rPr>
            <w:instrText xml:space="preserve"> PAGEREF _Toc3548 \h </w:instrText>
          </w:r>
          <w:r>
            <w:rPr>
              <w:color w:val="auto"/>
              <w:highlight w:val="none"/>
            </w:rPr>
            <w:fldChar w:fldCharType="separate"/>
          </w:r>
          <w:r>
            <w:rPr>
              <w:color w:val="auto"/>
              <w:highlight w:val="none"/>
            </w:rPr>
            <w:t>28</w:t>
          </w:r>
          <w:r>
            <w:rPr>
              <w:color w:val="auto"/>
              <w:highlight w:val="none"/>
            </w:rPr>
            <w:fldChar w:fldCharType="end"/>
          </w:r>
          <w:r>
            <w:rPr>
              <w:rFonts w:hint="eastAsia"/>
              <w:color w:val="auto"/>
              <w:highlight w:val="none"/>
              <w:lang w:val="en-US" w:eastAsia="zh-CN"/>
            </w:rPr>
            <w:fldChar w:fldCharType="end"/>
          </w:r>
        </w:p>
        <w:p>
          <w:pPr>
            <w:pStyle w:val="18"/>
            <w:tabs>
              <w:tab w:val="right" w:leader="dot" w:pos="9079"/>
            </w:tabs>
            <w:rPr>
              <w:color w:val="auto"/>
              <w:highlight w:val="none"/>
            </w:rPr>
          </w:pPr>
          <w:r>
            <w:rPr>
              <w:rFonts w:hint="eastAsia"/>
              <w:color w:val="auto"/>
              <w:highlight w:val="none"/>
              <w:lang w:val="en-US" w:eastAsia="zh-CN"/>
            </w:rPr>
            <w:fldChar w:fldCharType="begin"/>
          </w:r>
          <w:r>
            <w:rPr>
              <w:rFonts w:hint="eastAsia"/>
              <w:color w:val="auto"/>
              <w:highlight w:val="none"/>
              <w:lang w:val="en-US" w:eastAsia="zh-CN"/>
            </w:rPr>
            <w:instrText xml:space="preserve"> HYPERLINK \l _Toc15298 </w:instrText>
          </w:r>
          <w:r>
            <w:rPr>
              <w:rFonts w:hint="eastAsia"/>
              <w:color w:val="auto"/>
              <w:highlight w:val="none"/>
              <w:lang w:val="en-US" w:eastAsia="zh-CN"/>
            </w:rPr>
            <w:fldChar w:fldCharType="separate"/>
          </w:r>
          <w:r>
            <w:rPr>
              <w:rFonts w:hint="eastAsia"/>
              <w:color w:val="auto"/>
              <w:highlight w:val="none"/>
            </w:rPr>
            <w:t>4.5 总承包人对独立承包人</w:t>
          </w:r>
          <w:r>
            <w:rPr>
              <w:color w:val="auto"/>
              <w:highlight w:val="none"/>
            </w:rPr>
            <w:t>的照管与协调配合要求</w:t>
          </w:r>
          <w:r>
            <w:rPr>
              <w:color w:val="auto"/>
              <w:highlight w:val="none"/>
            </w:rPr>
            <w:tab/>
          </w:r>
          <w:r>
            <w:rPr>
              <w:color w:val="auto"/>
              <w:highlight w:val="none"/>
            </w:rPr>
            <w:fldChar w:fldCharType="begin"/>
          </w:r>
          <w:r>
            <w:rPr>
              <w:color w:val="auto"/>
              <w:highlight w:val="none"/>
            </w:rPr>
            <w:instrText xml:space="preserve"> PAGEREF _Toc15298 \h </w:instrText>
          </w:r>
          <w:r>
            <w:rPr>
              <w:color w:val="auto"/>
              <w:highlight w:val="none"/>
            </w:rPr>
            <w:fldChar w:fldCharType="separate"/>
          </w:r>
          <w:r>
            <w:rPr>
              <w:color w:val="auto"/>
              <w:highlight w:val="none"/>
            </w:rPr>
            <w:t>28</w:t>
          </w:r>
          <w:r>
            <w:rPr>
              <w:color w:val="auto"/>
              <w:highlight w:val="none"/>
            </w:rPr>
            <w:fldChar w:fldCharType="end"/>
          </w:r>
          <w:r>
            <w:rPr>
              <w:rFonts w:hint="eastAsia"/>
              <w:color w:val="auto"/>
              <w:highlight w:val="none"/>
              <w:lang w:val="en-US" w:eastAsia="zh-CN"/>
            </w:rPr>
            <w:fldChar w:fldCharType="end"/>
          </w:r>
        </w:p>
        <w:p>
          <w:pPr>
            <w:pStyle w:val="18"/>
            <w:tabs>
              <w:tab w:val="right" w:leader="dot" w:pos="9079"/>
            </w:tabs>
            <w:rPr>
              <w:color w:val="auto"/>
              <w:highlight w:val="none"/>
            </w:rPr>
          </w:pPr>
          <w:r>
            <w:rPr>
              <w:rFonts w:hint="eastAsia"/>
              <w:color w:val="auto"/>
              <w:highlight w:val="none"/>
              <w:lang w:val="en-US" w:eastAsia="zh-CN"/>
            </w:rPr>
            <w:fldChar w:fldCharType="begin"/>
          </w:r>
          <w:r>
            <w:rPr>
              <w:rFonts w:hint="eastAsia"/>
              <w:color w:val="auto"/>
              <w:highlight w:val="none"/>
              <w:lang w:val="en-US" w:eastAsia="zh-CN"/>
            </w:rPr>
            <w:instrText xml:space="preserve"> HYPERLINK \l _Toc24338 </w:instrText>
          </w:r>
          <w:r>
            <w:rPr>
              <w:rFonts w:hint="eastAsia"/>
              <w:color w:val="auto"/>
              <w:highlight w:val="none"/>
              <w:lang w:val="en-US" w:eastAsia="zh-CN"/>
            </w:rPr>
            <w:fldChar w:fldCharType="separate"/>
          </w:r>
          <w:r>
            <w:rPr>
              <w:rFonts w:hint="eastAsia"/>
              <w:color w:val="auto"/>
              <w:highlight w:val="none"/>
            </w:rPr>
            <w:t>4.6 总承包人对</w:t>
          </w:r>
          <w:r>
            <w:rPr>
              <w:color w:val="auto"/>
              <w:highlight w:val="none"/>
            </w:rPr>
            <w:t>外部社会环境及公共关系的协调</w:t>
          </w:r>
          <w:r>
            <w:rPr>
              <w:color w:val="auto"/>
              <w:highlight w:val="none"/>
            </w:rPr>
            <w:tab/>
          </w:r>
          <w:r>
            <w:rPr>
              <w:color w:val="auto"/>
              <w:highlight w:val="none"/>
            </w:rPr>
            <w:fldChar w:fldCharType="begin"/>
          </w:r>
          <w:r>
            <w:rPr>
              <w:color w:val="auto"/>
              <w:highlight w:val="none"/>
            </w:rPr>
            <w:instrText xml:space="preserve"> PAGEREF _Toc24338 \h </w:instrText>
          </w:r>
          <w:r>
            <w:rPr>
              <w:color w:val="auto"/>
              <w:highlight w:val="none"/>
            </w:rPr>
            <w:fldChar w:fldCharType="separate"/>
          </w:r>
          <w:r>
            <w:rPr>
              <w:color w:val="auto"/>
              <w:highlight w:val="none"/>
            </w:rPr>
            <w:t>29</w:t>
          </w:r>
          <w:r>
            <w:rPr>
              <w:color w:val="auto"/>
              <w:highlight w:val="none"/>
            </w:rPr>
            <w:fldChar w:fldCharType="end"/>
          </w:r>
          <w:r>
            <w:rPr>
              <w:rFonts w:hint="eastAsia"/>
              <w:color w:val="auto"/>
              <w:highlight w:val="none"/>
              <w:lang w:val="en-US" w:eastAsia="zh-CN"/>
            </w:rPr>
            <w:fldChar w:fldCharType="end"/>
          </w:r>
        </w:p>
        <w:p>
          <w:pPr>
            <w:pStyle w:val="16"/>
            <w:tabs>
              <w:tab w:val="right" w:leader="dot" w:pos="9079"/>
            </w:tabs>
            <w:rPr>
              <w:color w:val="auto"/>
              <w:highlight w:val="none"/>
            </w:rPr>
          </w:pPr>
          <w:r>
            <w:rPr>
              <w:rFonts w:hint="eastAsia"/>
              <w:color w:val="auto"/>
              <w:highlight w:val="none"/>
              <w:lang w:val="en-US" w:eastAsia="zh-CN"/>
            </w:rPr>
            <w:fldChar w:fldCharType="begin"/>
          </w:r>
          <w:r>
            <w:rPr>
              <w:rFonts w:hint="eastAsia"/>
              <w:color w:val="auto"/>
              <w:highlight w:val="none"/>
              <w:lang w:val="en-US" w:eastAsia="zh-CN"/>
            </w:rPr>
            <w:instrText xml:space="preserve"> HYPERLINK \l _Toc2826 </w:instrText>
          </w:r>
          <w:r>
            <w:rPr>
              <w:rFonts w:hint="eastAsia"/>
              <w:color w:val="auto"/>
              <w:highlight w:val="none"/>
              <w:lang w:val="en-US" w:eastAsia="zh-CN"/>
            </w:rPr>
            <w:fldChar w:fldCharType="separate"/>
          </w:r>
          <w:r>
            <w:rPr>
              <w:rFonts w:hint="default"/>
              <w:color w:val="auto"/>
              <w:highlight w:val="none"/>
            </w:rPr>
            <w:t xml:space="preserve">第5章 </w:t>
          </w:r>
          <w:r>
            <w:rPr>
              <w:color w:val="auto"/>
              <w:highlight w:val="none"/>
            </w:rPr>
            <w:t>项目组织架构及工作要求</w:t>
          </w:r>
          <w:r>
            <w:rPr>
              <w:color w:val="auto"/>
              <w:highlight w:val="none"/>
            </w:rPr>
            <w:tab/>
          </w:r>
          <w:r>
            <w:rPr>
              <w:color w:val="auto"/>
              <w:highlight w:val="none"/>
            </w:rPr>
            <w:fldChar w:fldCharType="begin"/>
          </w:r>
          <w:r>
            <w:rPr>
              <w:color w:val="auto"/>
              <w:highlight w:val="none"/>
            </w:rPr>
            <w:instrText xml:space="preserve"> PAGEREF _Toc2826 \h </w:instrText>
          </w:r>
          <w:r>
            <w:rPr>
              <w:color w:val="auto"/>
              <w:highlight w:val="none"/>
            </w:rPr>
            <w:fldChar w:fldCharType="separate"/>
          </w:r>
          <w:r>
            <w:rPr>
              <w:color w:val="auto"/>
              <w:highlight w:val="none"/>
            </w:rPr>
            <w:t>31</w:t>
          </w:r>
          <w:r>
            <w:rPr>
              <w:color w:val="auto"/>
              <w:highlight w:val="none"/>
            </w:rPr>
            <w:fldChar w:fldCharType="end"/>
          </w:r>
          <w:r>
            <w:rPr>
              <w:rFonts w:hint="eastAsia"/>
              <w:color w:val="auto"/>
              <w:highlight w:val="none"/>
              <w:lang w:val="en-US" w:eastAsia="zh-CN"/>
            </w:rPr>
            <w:fldChar w:fldCharType="end"/>
          </w:r>
        </w:p>
        <w:p>
          <w:pPr>
            <w:pStyle w:val="18"/>
            <w:tabs>
              <w:tab w:val="right" w:leader="dot" w:pos="9079"/>
            </w:tabs>
            <w:rPr>
              <w:color w:val="auto"/>
              <w:highlight w:val="none"/>
            </w:rPr>
          </w:pPr>
          <w:r>
            <w:rPr>
              <w:rFonts w:hint="eastAsia"/>
              <w:color w:val="auto"/>
              <w:highlight w:val="none"/>
              <w:lang w:val="en-US" w:eastAsia="zh-CN"/>
            </w:rPr>
            <w:fldChar w:fldCharType="begin"/>
          </w:r>
          <w:r>
            <w:rPr>
              <w:rFonts w:hint="eastAsia"/>
              <w:color w:val="auto"/>
              <w:highlight w:val="none"/>
              <w:lang w:val="en-US" w:eastAsia="zh-CN"/>
            </w:rPr>
            <w:instrText xml:space="preserve"> HYPERLINK \l _Toc11930 </w:instrText>
          </w:r>
          <w:r>
            <w:rPr>
              <w:rFonts w:hint="eastAsia"/>
              <w:color w:val="auto"/>
              <w:highlight w:val="none"/>
              <w:lang w:val="en-US" w:eastAsia="zh-CN"/>
            </w:rPr>
            <w:fldChar w:fldCharType="separate"/>
          </w:r>
          <w:r>
            <w:rPr>
              <w:rFonts w:hint="eastAsia"/>
              <w:color w:val="auto"/>
              <w:highlight w:val="none"/>
            </w:rPr>
            <w:t>5.1 项目</w:t>
          </w:r>
          <w:r>
            <w:rPr>
              <w:color w:val="auto"/>
              <w:highlight w:val="none"/>
            </w:rPr>
            <w:t>管理团队组织架构设置要求</w:t>
          </w:r>
          <w:r>
            <w:rPr>
              <w:color w:val="auto"/>
              <w:highlight w:val="none"/>
            </w:rPr>
            <w:tab/>
          </w:r>
          <w:r>
            <w:rPr>
              <w:color w:val="auto"/>
              <w:highlight w:val="none"/>
            </w:rPr>
            <w:fldChar w:fldCharType="begin"/>
          </w:r>
          <w:r>
            <w:rPr>
              <w:color w:val="auto"/>
              <w:highlight w:val="none"/>
            </w:rPr>
            <w:instrText xml:space="preserve"> PAGEREF _Toc11930 \h </w:instrText>
          </w:r>
          <w:r>
            <w:rPr>
              <w:color w:val="auto"/>
              <w:highlight w:val="none"/>
            </w:rPr>
            <w:fldChar w:fldCharType="separate"/>
          </w:r>
          <w:r>
            <w:rPr>
              <w:color w:val="auto"/>
              <w:highlight w:val="none"/>
            </w:rPr>
            <w:t>31</w:t>
          </w:r>
          <w:r>
            <w:rPr>
              <w:color w:val="auto"/>
              <w:highlight w:val="none"/>
            </w:rPr>
            <w:fldChar w:fldCharType="end"/>
          </w:r>
          <w:r>
            <w:rPr>
              <w:rFonts w:hint="eastAsia"/>
              <w:color w:val="auto"/>
              <w:highlight w:val="none"/>
              <w:lang w:val="en-US" w:eastAsia="zh-CN"/>
            </w:rPr>
            <w:fldChar w:fldCharType="end"/>
          </w:r>
        </w:p>
        <w:p>
          <w:pPr>
            <w:pStyle w:val="18"/>
            <w:tabs>
              <w:tab w:val="right" w:leader="dot" w:pos="9079"/>
            </w:tabs>
            <w:rPr>
              <w:color w:val="auto"/>
              <w:highlight w:val="none"/>
            </w:rPr>
          </w:pPr>
          <w:r>
            <w:rPr>
              <w:rFonts w:hint="eastAsia"/>
              <w:color w:val="auto"/>
              <w:highlight w:val="none"/>
              <w:lang w:val="en-US" w:eastAsia="zh-CN"/>
            </w:rPr>
            <w:fldChar w:fldCharType="begin"/>
          </w:r>
          <w:r>
            <w:rPr>
              <w:rFonts w:hint="eastAsia"/>
              <w:color w:val="auto"/>
              <w:highlight w:val="none"/>
              <w:lang w:val="en-US" w:eastAsia="zh-CN"/>
            </w:rPr>
            <w:instrText xml:space="preserve"> HYPERLINK \l _Toc20982 </w:instrText>
          </w:r>
          <w:r>
            <w:rPr>
              <w:rFonts w:hint="eastAsia"/>
              <w:color w:val="auto"/>
              <w:highlight w:val="none"/>
              <w:lang w:val="en-US" w:eastAsia="zh-CN"/>
            </w:rPr>
            <w:fldChar w:fldCharType="separate"/>
          </w:r>
          <w:r>
            <w:rPr>
              <w:rFonts w:hint="eastAsia"/>
              <w:color w:val="auto"/>
              <w:highlight w:val="none"/>
            </w:rPr>
            <w:t xml:space="preserve">5.2 </w:t>
          </w:r>
          <w:r>
            <w:rPr>
              <w:rFonts w:hint="eastAsia"/>
              <w:color w:val="auto"/>
              <w:highlight w:val="none"/>
              <w:lang w:eastAsia="zh-CN"/>
            </w:rPr>
            <w:t>项目负责人</w:t>
          </w:r>
          <w:r>
            <w:rPr>
              <w:color w:val="auto"/>
              <w:highlight w:val="none"/>
            </w:rPr>
            <w:t>的要求</w:t>
          </w:r>
          <w:r>
            <w:rPr>
              <w:color w:val="auto"/>
              <w:highlight w:val="none"/>
            </w:rPr>
            <w:tab/>
          </w:r>
          <w:r>
            <w:rPr>
              <w:color w:val="auto"/>
              <w:highlight w:val="none"/>
            </w:rPr>
            <w:fldChar w:fldCharType="begin"/>
          </w:r>
          <w:r>
            <w:rPr>
              <w:color w:val="auto"/>
              <w:highlight w:val="none"/>
            </w:rPr>
            <w:instrText xml:space="preserve"> PAGEREF _Toc20982 \h </w:instrText>
          </w:r>
          <w:r>
            <w:rPr>
              <w:color w:val="auto"/>
              <w:highlight w:val="none"/>
            </w:rPr>
            <w:fldChar w:fldCharType="separate"/>
          </w:r>
          <w:r>
            <w:rPr>
              <w:color w:val="auto"/>
              <w:highlight w:val="none"/>
            </w:rPr>
            <w:t>33</w:t>
          </w:r>
          <w:r>
            <w:rPr>
              <w:color w:val="auto"/>
              <w:highlight w:val="none"/>
            </w:rPr>
            <w:fldChar w:fldCharType="end"/>
          </w:r>
          <w:r>
            <w:rPr>
              <w:rFonts w:hint="eastAsia"/>
              <w:color w:val="auto"/>
              <w:highlight w:val="none"/>
              <w:lang w:val="en-US" w:eastAsia="zh-CN"/>
            </w:rPr>
            <w:fldChar w:fldCharType="end"/>
          </w:r>
        </w:p>
        <w:p>
          <w:pPr>
            <w:pStyle w:val="18"/>
            <w:tabs>
              <w:tab w:val="right" w:leader="dot" w:pos="9079"/>
            </w:tabs>
            <w:rPr>
              <w:color w:val="auto"/>
              <w:highlight w:val="none"/>
            </w:rPr>
          </w:pPr>
          <w:r>
            <w:rPr>
              <w:rFonts w:hint="eastAsia"/>
              <w:color w:val="auto"/>
              <w:highlight w:val="none"/>
              <w:lang w:val="en-US" w:eastAsia="zh-CN"/>
            </w:rPr>
            <w:fldChar w:fldCharType="begin"/>
          </w:r>
          <w:r>
            <w:rPr>
              <w:rFonts w:hint="eastAsia"/>
              <w:color w:val="auto"/>
              <w:highlight w:val="none"/>
              <w:lang w:val="en-US" w:eastAsia="zh-CN"/>
            </w:rPr>
            <w:instrText xml:space="preserve"> HYPERLINK \l _Toc28780 </w:instrText>
          </w:r>
          <w:r>
            <w:rPr>
              <w:rFonts w:hint="eastAsia"/>
              <w:color w:val="auto"/>
              <w:highlight w:val="none"/>
              <w:lang w:val="en-US" w:eastAsia="zh-CN"/>
            </w:rPr>
            <w:fldChar w:fldCharType="separate"/>
          </w:r>
          <w:r>
            <w:rPr>
              <w:rFonts w:hint="eastAsia"/>
              <w:color w:val="auto"/>
              <w:highlight w:val="none"/>
            </w:rPr>
            <w:t>5.3 项目关键岗位人员</w:t>
          </w:r>
          <w:r>
            <w:rPr>
              <w:color w:val="auto"/>
              <w:highlight w:val="none"/>
            </w:rPr>
            <w:t>的</w:t>
          </w:r>
          <w:r>
            <w:rPr>
              <w:rFonts w:hint="eastAsia"/>
              <w:color w:val="auto"/>
              <w:highlight w:val="none"/>
            </w:rPr>
            <w:t>要求</w:t>
          </w:r>
          <w:r>
            <w:rPr>
              <w:color w:val="auto"/>
              <w:highlight w:val="none"/>
            </w:rPr>
            <w:tab/>
          </w:r>
          <w:r>
            <w:rPr>
              <w:color w:val="auto"/>
              <w:highlight w:val="none"/>
            </w:rPr>
            <w:fldChar w:fldCharType="begin"/>
          </w:r>
          <w:r>
            <w:rPr>
              <w:color w:val="auto"/>
              <w:highlight w:val="none"/>
            </w:rPr>
            <w:instrText xml:space="preserve"> PAGEREF _Toc28780 \h </w:instrText>
          </w:r>
          <w:r>
            <w:rPr>
              <w:color w:val="auto"/>
              <w:highlight w:val="none"/>
            </w:rPr>
            <w:fldChar w:fldCharType="separate"/>
          </w:r>
          <w:r>
            <w:rPr>
              <w:color w:val="auto"/>
              <w:highlight w:val="none"/>
            </w:rPr>
            <w:t>33</w:t>
          </w:r>
          <w:r>
            <w:rPr>
              <w:color w:val="auto"/>
              <w:highlight w:val="none"/>
            </w:rPr>
            <w:fldChar w:fldCharType="end"/>
          </w:r>
          <w:r>
            <w:rPr>
              <w:rFonts w:hint="eastAsia"/>
              <w:color w:val="auto"/>
              <w:highlight w:val="none"/>
              <w:lang w:val="en-US" w:eastAsia="zh-CN"/>
            </w:rPr>
            <w:fldChar w:fldCharType="end"/>
          </w:r>
        </w:p>
        <w:p>
          <w:pPr>
            <w:pStyle w:val="16"/>
            <w:tabs>
              <w:tab w:val="right" w:leader="dot" w:pos="9079"/>
            </w:tabs>
            <w:rPr>
              <w:color w:val="auto"/>
              <w:highlight w:val="none"/>
            </w:rPr>
          </w:pPr>
          <w:r>
            <w:rPr>
              <w:rFonts w:hint="eastAsia"/>
              <w:color w:val="auto"/>
              <w:highlight w:val="none"/>
              <w:lang w:val="en-US" w:eastAsia="zh-CN"/>
            </w:rPr>
            <w:fldChar w:fldCharType="begin"/>
          </w:r>
          <w:r>
            <w:rPr>
              <w:rFonts w:hint="eastAsia"/>
              <w:color w:val="auto"/>
              <w:highlight w:val="none"/>
              <w:lang w:val="en-US" w:eastAsia="zh-CN"/>
            </w:rPr>
            <w:instrText xml:space="preserve"> HYPERLINK \l _Toc9054 </w:instrText>
          </w:r>
          <w:r>
            <w:rPr>
              <w:rFonts w:hint="eastAsia"/>
              <w:color w:val="auto"/>
              <w:highlight w:val="none"/>
              <w:lang w:val="en-US" w:eastAsia="zh-CN"/>
            </w:rPr>
            <w:fldChar w:fldCharType="separate"/>
          </w:r>
          <w:r>
            <w:rPr>
              <w:rFonts w:hint="default"/>
              <w:color w:val="auto"/>
              <w:highlight w:val="none"/>
            </w:rPr>
            <w:t xml:space="preserve">第6章 </w:t>
          </w:r>
          <w:r>
            <w:rPr>
              <w:rFonts w:hint="eastAsia"/>
              <w:color w:val="auto"/>
              <w:highlight w:val="none"/>
            </w:rPr>
            <w:t>施工</w:t>
          </w:r>
          <w:r>
            <w:rPr>
              <w:color w:val="auto"/>
              <w:highlight w:val="none"/>
            </w:rPr>
            <w:t>管理要求</w:t>
          </w:r>
          <w:r>
            <w:rPr>
              <w:color w:val="auto"/>
              <w:highlight w:val="none"/>
            </w:rPr>
            <w:tab/>
          </w:r>
          <w:r>
            <w:rPr>
              <w:color w:val="auto"/>
              <w:highlight w:val="none"/>
            </w:rPr>
            <w:fldChar w:fldCharType="begin"/>
          </w:r>
          <w:r>
            <w:rPr>
              <w:color w:val="auto"/>
              <w:highlight w:val="none"/>
            </w:rPr>
            <w:instrText xml:space="preserve"> PAGEREF _Toc9054 \h </w:instrText>
          </w:r>
          <w:r>
            <w:rPr>
              <w:color w:val="auto"/>
              <w:highlight w:val="none"/>
            </w:rPr>
            <w:fldChar w:fldCharType="separate"/>
          </w:r>
          <w:r>
            <w:rPr>
              <w:color w:val="auto"/>
              <w:highlight w:val="none"/>
            </w:rPr>
            <w:t>35</w:t>
          </w:r>
          <w:r>
            <w:rPr>
              <w:color w:val="auto"/>
              <w:highlight w:val="none"/>
            </w:rPr>
            <w:fldChar w:fldCharType="end"/>
          </w:r>
          <w:r>
            <w:rPr>
              <w:rFonts w:hint="eastAsia"/>
              <w:color w:val="auto"/>
              <w:highlight w:val="none"/>
              <w:lang w:val="en-US" w:eastAsia="zh-CN"/>
            </w:rPr>
            <w:fldChar w:fldCharType="end"/>
          </w:r>
        </w:p>
        <w:p>
          <w:pPr>
            <w:pStyle w:val="18"/>
            <w:tabs>
              <w:tab w:val="right" w:leader="dot" w:pos="9079"/>
            </w:tabs>
            <w:rPr>
              <w:color w:val="auto"/>
              <w:highlight w:val="none"/>
            </w:rPr>
          </w:pPr>
          <w:r>
            <w:rPr>
              <w:rFonts w:hint="eastAsia"/>
              <w:color w:val="auto"/>
              <w:highlight w:val="none"/>
              <w:lang w:val="en-US" w:eastAsia="zh-CN"/>
            </w:rPr>
            <w:fldChar w:fldCharType="begin"/>
          </w:r>
          <w:r>
            <w:rPr>
              <w:rFonts w:hint="eastAsia"/>
              <w:color w:val="auto"/>
              <w:highlight w:val="none"/>
              <w:lang w:val="en-US" w:eastAsia="zh-CN"/>
            </w:rPr>
            <w:instrText xml:space="preserve"> HYPERLINK \l _Toc10171 </w:instrText>
          </w:r>
          <w:r>
            <w:rPr>
              <w:rFonts w:hint="eastAsia"/>
              <w:color w:val="auto"/>
              <w:highlight w:val="none"/>
              <w:lang w:val="en-US" w:eastAsia="zh-CN"/>
            </w:rPr>
            <w:fldChar w:fldCharType="separate"/>
          </w:r>
          <w:r>
            <w:rPr>
              <w:rFonts w:hint="eastAsia"/>
              <w:color w:val="auto"/>
              <w:highlight w:val="none"/>
            </w:rPr>
            <w:t xml:space="preserve">6.1 </w:t>
          </w:r>
          <w:r>
            <w:rPr>
              <w:color w:val="auto"/>
              <w:highlight w:val="none"/>
            </w:rPr>
            <w:t>质量管理要求</w:t>
          </w:r>
          <w:r>
            <w:rPr>
              <w:color w:val="auto"/>
              <w:highlight w:val="none"/>
            </w:rPr>
            <w:tab/>
          </w:r>
          <w:r>
            <w:rPr>
              <w:color w:val="auto"/>
              <w:highlight w:val="none"/>
            </w:rPr>
            <w:fldChar w:fldCharType="begin"/>
          </w:r>
          <w:r>
            <w:rPr>
              <w:color w:val="auto"/>
              <w:highlight w:val="none"/>
            </w:rPr>
            <w:instrText xml:space="preserve"> PAGEREF _Toc10171 \h </w:instrText>
          </w:r>
          <w:r>
            <w:rPr>
              <w:color w:val="auto"/>
              <w:highlight w:val="none"/>
            </w:rPr>
            <w:fldChar w:fldCharType="separate"/>
          </w:r>
          <w:r>
            <w:rPr>
              <w:color w:val="auto"/>
              <w:highlight w:val="none"/>
            </w:rPr>
            <w:t>35</w:t>
          </w:r>
          <w:r>
            <w:rPr>
              <w:color w:val="auto"/>
              <w:highlight w:val="none"/>
            </w:rPr>
            <w:fldChar w:fldCharType="end"/>
          </w:r>
          <w:r>
            <w:rPr>
              <w:rFonts w:hint="eastAsia"/>
              <w:color w:val="auto"/>
              <w:highlight w:val="none"/>
              <w:lang w:val="en-US" w:eastAsia="zh-CN"/>
            </w:rPr>
            <w:fldChar w:fldCharType="end"/>
          </w:r>
        </w:p>
        <w:p>
          <w:pPr>
            <w:pStyle w:val="18"/>
            <w:tabs>
              <w:tab w:val="right" w:leader="dot" w:pos="9079"/>
            </w:tabs>
            <w:rPr>
              <w:color w:val="auto"/>
              <w:highlight w:val="none"/>
            </w:rPr>
          </w:pPr>
          <w:r>
            <w:rPr>
              <w:rFonts w:hint="eastAsia"/>
              <w:color w:val="auto"/>
              <w:highlight w:val="none"/>
              <w:lang w:val="en-US" w:eastAsia="zh-CN"/>
            </w:rPr>
            <w:fldChar w:fldCharType="begin"/>
          </w:r>
          <w:r>
            <w:rPr>
              <w:rFonts w:hint="eastAsia"/>
              <w:color w:val="auto"/>
              <w:highlight w:val="none"/>
              <w:lang w:val="en-US" w:eastAsia="zh-CN"/>
            </w:rPr>
            <w:instrText xml:space="preserve"> HYPERLINK \l _Toc10875 </w:instrText>
          </w:r>
          <w:r>
            <w:rPr>
              <w:rFonts w:hint="eastAsia"/>
              <w:color w:val="auto"/>
              <w:highlight w:val="none"/>
              <w:lang w:val="en-US" w:eastAsia="zh-CN"/>
            </w:rPr>
            <w:fldChar w:fldCharType="separate"/>
          </w:r>
          <w:r>
            <w:rPr>
              <w:rFonts w:hint="eastAsia"/>
              <w:color w:val="auto"/>
              <w:highlight w:val="none"/>
            </w:rPr>
            <w:t xml:space="preserve">6.2 </w:t>
          </w:r>
          <w:r>
            <w:rPr>
              <w:color w:val="auto"/>
              <w:highlight w:val="none"/>
            </w:rPr>
            <w:t>进度管理要求</w:t>
          </w:r>
          <w:r>
            <w:rPr>
              <w:color w:val="auto"/>
              <w:highlight w:val="none"/>
            </w:rPr>
            <w:tab/>
          </w:r>
          <w:r>
            <w:rPr>
              <w:color w:val="auto"/>
              <w:highlight w:val="none"/>
            </w:rPr>
            <w:fldChar w:fldCharType="begin"/>
          </w:r>
          <w:r>
            <w:rPr>
              <w:color w:val="auto"/>
              <w:highlight w:val="none"/>
            </w:rPr>
            <w:instrText xml:space="preserve"> PAGEREF _Toc10875 \h </w:instrText>
          </w:r>
          <w:r>
            <w:rPr>
              <w:color w:val="auto"/>
              <w:highlight w:val="none"/>
            </w:rPr>
            <w:fldChar w:fldCharType="separate"/>
          </w:r>
          <w:r>
            <w:rPr>
              <w:color w:val="auto"/>
              <w:highlight w:val="none"/>
            </w:rPr>
            <w:t>78</w:t>
          </w:r>
          <w:r>
            <w:rPr>
              <w:color w:val="auto"/>
              <w:highlight w:val="none"/>
            </w:rPr>
            <w:fldChar w:fldCharType="end"/>
          </w:r>
          <w:r>
            <w:rPr>
              <w:rFonts w:hint="eastAsia"/>
              <w:color w:val="auto"/>
              <w:highlight w:val="none"/>
              <w:lang w:val="en-US" w:eastAsia="zh-CN"/>
            </w:rPr>
            <w:fldChar w:fldCharType="end"/>
          </w:r>
        </w:p>
        <w:p>
          <w:pPr>
            <w:pStyle w:val="18"/>
            <w:tabs>
              <w:tab w:val="right" w:leader="dot" w:pos="9079"/>
            </w:tabs>
            <w:rPr>
              <w:color w:val="auto"/>
              <w:highlight w:val="none"/>
            </w:rPr>
          </w:pPr>
          <w:r>
            <w:rPr>
              <w:rFonts w:hint="eastAsia"/>
              <w:color w:val="auto"/>
              <w:highlight w:val="none"/>
              <w:lang w:val="en-US" w:eastAsia="zh-CN"/>
            </w:rPr>
            <w:fldChar w:fldCharType="begin"/>
          </w:r>
          <w:r>
            <w:rPr>
              <w:rFonts w:hint="eastAsia"/>
              <w:color w:val="auto"/>
              <w:highlight w:val="none"/>
              <w:lang w:val="en-US" w:eastAsia="zh-CN"/>
            </w:rPr>
            <w:instrText xml:space="preserve"> HYPERLINK \l _Toc31846 </w:instrText>
          </w:r>
          <w:r>
            <w:rPr>
              <w:rFonts w:hint="eastAsia"/>
              <w:color w:val="auto"/>
              <w:highlight w:val="none"/>
              <w:lang w:val="en-US" w:eastAsia="zh-CN"/>
            </w:rPr>
            <w:fldChar w:fldCharType="separate"/>
          </w:r>
          <w:r>
            <w:rPr>
              <w:rFonts w:hint="eastAsia"/>
              <w:color w:val="auto"/>
              <w:highlight w:val="none"/>
            </w:rPr>
            <w:t xml:space="preserve">6.3 </w:t>
          </w:r>
          <w:r>
            <w:rPr>
              <w:color w:val="auto"/>
              <w:highlight w:val="none"/>
            </w:rPr>
            <w:t>深化设计要求</w:t>
          </w:r>
          <w:r>
            <w:rPr>
              <w:color w:val="auto"/>
              <w:highlight w:val="none"/>
            </w:rPr>
            <w:tab/>
          </w:r>
          <w:r>
            <w:rPr>
              <w:color w:val="auto"/>
              <w:highlight w:val="none"/>
            </w:rPr>
            <w:fldChar w:fldCharType="begin"/>
          </w:r>
          <w:r>
            <w:rPr>
              <w:color w:val="auto"/>
              <w:highlight w:val="none"/>
            </w:rPr>
            <w:instrText xml:space="preserve"> PAGEREF _Toc31846 \h </w:instrText>
          </w:r>
          <w:r>
            <w:rPr>
              <w:color w:val="auto"/>
              <w:highlight w:val="none"/>
            </w:rPr>
            <w:fldChar w:fldCharType="separate"/>
          </w:r>
          <w:r>
            <w:rPr>
              <w:color w:val="auto"/>
              <w:highlight w:val="none"/>
            </w:rPr>
            <w:t>83</w:t>
          </w:r>
          <w:r>
            <w:rPr>
              <w:color w:val="auto"/>
              <w:highlight w:val="none"/>
            </w:rPr>
            <w:fldChar w:fldCharType="end"/>
          </w:r>
          <w:r>
            <w:rPr>
              <w:rFonts w:hint="eastAsia"/>
              <w:color w:val="auto"/>
              <w:highlight w:val="none"/>
              <w:lang w:val="en-US" w:eastAsia="zh-CN"/>
            </w:rPr>
            <w:fldChar w:fldCharType="end"/>
          </w:r>
        </w:p>
        <w:p>
          <w:pPr>
            <w:pStyle w:val="18"/>
            <w:tabs>
              <w:tab w:val="right" w:leader="dot" w:pos="9079"/>
            </w:tabs>
            <w:rPr>
              <w:color w:val="auto"/>
              <w:highlight w:val="none"/>
            </w:rPr>
          </w:pPr>
          <w:r>
            <w:rPr>
              <w:rFonts w:hint="eastAsia"/>
              <w:color w:val="auto"/>
              <w:highlight w:val="none"/>
              <w:lang w:val="en-US" w:eastAsia="zh-CN"/>
            </w:rPr>
            <w:fldChar w:fldCharType="begin"/>
          </w:r>
          <w:r>
            <w:rPr>
              <w:rFonts w:hint="eastAsia"/>
              <w:color w:val="auto"/>
              <w:highlight w:val="none"/>
              <w:lang w:val="en-US" w:eastAsia="zh-CN"/>
            </w:rPr>
            <w:instrText xml:space="preserve"> HYPERLINK \l _Toc6929 </w:instrText>
          </w:r>
          <w:r>
            <w:rPr>
              <w:rFonts w:hint="eastAsia"/>
              <w:color w:val="auto"/>
              <w:highlight w:val="none"/>
              <w:lang w:val="en-US" w:eastAsia="zh-CN"/>
            </w:rPr>
            <w:fldChar w:fldCharType="separate"/>
          </w:r>
          <w:r>
            <w:rPr>
              <w:rFonts w:hint="eastAsia"/>
              <w:color w:val="auto"/>
              <w:highlight w:val="none"/>
            </w:rPr>
            <w:t>6.4 施工策划管理要求</w:t>
          </w:r>
          <w:r>
            <w:rPr>
              <w:color w:val="auto"/>
              <w:highlight w:val="none"/>
            </w:rPr>
            <w:tab/>
          </w:r>
          <w:r>
            <w:rPr>
              <w:color w:val="auto"/>
              <w:highlight w:val="none"/>
            </w:rPr>
            <w:fldChar w:fldCharType="begin"/>
          </w:r>
          <w:r>
            <w:rPr>
              <w:color w:val="auto"/>
              <w:highlight w:val="none"/>
            </w:rPr>
            <w:instrText xml:space="preserve"> PAGEREF _Toc6929 \h </w:instrText>
          </w:r>
          <w:r>
            <w:rPr>
              <w:color w:val="auto"/>
              <w:highlight w:val="none"/>
            </w:rPr>
            <w:fldChar w:fldCharType="separate"/>
          </w:r>
          <w:r>
            <w:rPr>
              <w:color w:val="auto"/>
              <w:highlight w:val="none"/>
            </w:rPr>
            <w:t>88</w:t>
          </w:r>
          <w:r>
            <w:rPr>
              <w:color w:val="auto"/>
              <w:highlight w:val="none"/>
            </w:rPr>
            <w:fldChar w:fldCharType="end"/>
          </w:r>
          <w:r>
            <w:rPr>
              <w:rFonts w:hint="eastAsia"/>
              <w:color w:val="auto"/>
              <w:highlight w:val="none"/>
              <w:lang w:val="en-US" w:eastAsia="zh-CN"/>
            </w:rPr>
            <w:fldChar w:fldCharType="end"/>
          </w:r>
        </w:p>
        <w:p>
          <w:pPr>
            <w:pStyle w:val="18"/>
            <w:tabs>
              <w:tab w:val="right" w:leader="dot" w:pos="9079"/>
            </w:tabs>
            <w:rPr>
              <w:color w:val="auto"/>
              <w:highlight w:val="none"/>
            </w:rPr>
          </w:pPr>
          <w:r>
            <w:rPr>
              <w:rFonts w:hint="eastAsia"/>
              <w:color w:val="auto"/>
              <w:highlight w:val="none"/>
              <w:lang w:val="en-US" w:eastAsia="zh-CN"/>
            </w:rPr>
            <w:fldChar w:fldCharType="begin"/>
          </w:r>
          <w:r>
            <w:rPr>
              <w:rFonts w:hint="eastAsia"/>
              <w:color w:val="auto"/>
              <w:highlight w:val="none"/>
              <w:lang w:val="en-US" w:eastAsia="zh-CN"/>
            </w:rPr>
            <w:instrText xml:space="preserve"> HYPERLINK \l _Toc22781 </w:instrText>
          </w:r>
          <w:r>
            <w:rPr>
              <w:rFonts w:hint="eastAsia"/>
              <w:color w:val="auto"/>
              <w:highlight w:val="none"/>
              <w:lang w:val="en-US" w:eastAsia="zh-CN"/>
            </w:rPr>
            <w:fldChar w:fldCharType="separate"/>
          </w:r>
          <w:r>
            <w:rPr>
              <w:rFonts w:hint="eastAsia"/>
              <w:color w:val="auto"/>
              <w:highlight w:val="none"/>
            </w:rPr>
            <w:t xml:space="preserve">6.5 </w:t>
          </w:r>
          <w:r>
            <w:rPr>
              <w:color w:val="auto"/>
              <w:highlight w:val="none"/>
            </w:rPr>
            <w:t>样板管理要求</w:t>
          </w:r>
          <w:r>
            <w:rPr>
              <w:color w:val="auto"/>
              <w:highlight w:val="none"/>
            </w:rPr>
            <w:tab/>
          </w:r>
          <w:r>
            <w:rPr>
              <w:color w:val="auto"/>
              <w:highlight w:val="none"/>
            </w:rPr>
            <w:fldChar w:fldCharType="begin"/>
          </w:r>
          <w:r>
            <w:rPr>
              <w:color w:val="auto"/>
              <w:highlight w:val="none"/>
            </w:rPr>
            <w:instrText xml:space="preserve"> PAGEREF _Toc22781 \h </w:instrText>
          </w:r>
          <w:r>
            <w:rPr>
              <w:color w:val="auto"/>
              <w:highlight w:val="none"/>
            </w:rPr>
            <w:fldChar w:fldCharType="separate"/>
          </w:r>
          <w:r>
            <w:rPr>
              <w:color w:val="auto"/>
              <w:highlight w:val="none"/>
            </w:rPr>
            <w:t>89</w:t>
          </w:r>
          <w:r>
            <w:rPr>
              <w:color w:val="auto"/>
              <w:highlight w:val="none"/>
            </w:rPr>
            <w:fldChar w:fldCharType="end"/>
          </w:r>
          <w:r>
            <w:rPr>
              <w:rFonts w:hint="eastAsia"/>
              <w:color w:val="auto"/>
              <w:highlight w:val="none"/>
              <w:lang w:val="en-US" w:eastAsia="zh-CN"/>
            </w:rPr>
            <w:fldChar w:fldCharType="end"/>
          </w:r>
        </w:p>
        <w:p>
          <w:pPr>
            <w:pStyle w:val="18"/>
            <w:tabs>
              <w:tab w:val="right" w:leader="dot" w:pos="9079"/>
            </w:tabs>
            <w:rPr>
              <w:color w:val="auto"/>
              <w:highlight w:val="none"/>
            </w:rPr>
          </w:pPr>
          <w:r>
            <w:rPr>
              <w:rFonts w:hint="eastAsia"/>
              <w:color w:val="auto"/>
              <w:highlight w:val="none"/>
              <w:lang w:val="en-US" w:eastAsia="zh-CN"/>
            </w:rPr>
            <w:fldChar w:fldCharType="begin"/>
          </w:r>
          <w:r>
            <w:rPr>
              <w:rFonts w:hint="eastAsia"/>
              <w:color w:val="auto"/>
              <w:highlight w:val="none"/>
              <w:lang w:val="en-US" w:eastAsia="zh-CN"/>
            </w:rPr>
            <w:instrText xml:space="preserve"> HYPERLINK \l _Toc3044 </w:instrText>
          </w:r>
          <w:r>
            <w:rPr>
              <w:rFonts w:hint="eastAsia"/>
              <w:color w:val="auto"/>
              <w:highlight w:val="none"/>
              <w:lang w:val="en-US" w:eastAsia="zh-CN"/>
            </w:rPr>
            <w:fldChar w:fldCharType="separate"/>
          </w:r>
          <w:r>
            <w:rPr>
              <w:rFonts w:hint="eastAsia"/>
              <w:color w:val="auto"/>
              <w:highlight w:val="none"/>
              <w:lang w:eastAsia="zh-CN"/>
            </w:rPr>
            <w:t>6.6 交付示范区</w:t>
          </w:r>
          <w:r>
            <w:rPr>
              <w:rFonts w:hint="eastAsia"/>
              <w:color w:val="auto"/>
              <w:highlight w:val="none"/>
              <w:lang w:val="en-US" w:eastAsia="zh-CN"/>
            </w:rPr>
            <w:t>要求</w:t>
          </w:r>
          <w:r>
            <w:rPr>
              <w:color w:val="auto"/>
              <w:highlight w:val="none"/>
            </w:rPr>
            <w:tab/>
          </w:r>
          <w:r>
            <w:rPr>
              <w:color w:val="auto"/>
              <w:highlight w:val="none"/>
            </w:rPr>
            <w:fldChar w:fldCharType="begin"/>
          </w:r>
          <w:r>
            <w:rPr>
              <w:color w:val="auto"/>
              <w:highlight w:val="none"/>
            </w:rPr>
            <w:instrText xml:space="preserve"> PAGEREF _Toc3044 \h </w:instrText>
          </w:r>
          <w:r>
            <w:rPr>
              <w:color w:val="auto"/>
              <w:highlight w:val="none"/>
            </w:rPr>
            <w:fldChar w:fldCharType="separate"/>
          </w:r>
          <w:r>
            <w:rPr>
              <w:color w:val="auto"/>
              <w:highlight w:val="none"/>
            </w:rPr>
            <w:t>91</w:t>
          </w:r>
          <w:r>
            <w:rPr>
              <w:color w:val="auto"/>
              <w:highlight w:val="none"/>
            </w:rPr>
            <w:fldChar w:fldCharType="end"/>
          </w:r>
          <w:r>
            <w:rPr>
              <w:rFonts w:hint="eastAsia"/>
              <w:color w:val="auto"/>
              <w:highlight w:val="none"/>
              <w:lang w:val="en-US" w:eastAsia="zh-CN"/>
            </w:rPr>
            <w:fldChar w:fldCharType="end"/>
          </w:r>
        </w:p>
        <w:p>
          <w:pPr>
            <w:pStyle w:val="18"/>
            <w:tabs>
              <w:tab w:val="right" w:leader="dot" w:pos="9079"/>
            </w:tabs>
            <w:rPr>
              <w:color w:val="auto"/>
              <w:highlight w:val="none"/>
            </w:rPr>
          </w:pPr>
          <w:r>
            <w:rPr>
              <w:rFonts w:hint="eastAsia"/>
              <w:color w:val="auto"/>
              <w:highlight w:val="none"/>
              <w:lang w:val="en-US" w:eastAsia="zh-CN"/>
            </w:rPr>
            <w:fldChar w:fldCharType="begin"/>
          </w:r>
          <w:r>
            <w:rPr>
              <w:rFonts w:hint="eastAsia"/>
              <w:color w:val="auto"/>
              <w:highlight w:val="none"/>
              <w:lang w:val="en-US" w:eastAsia="zh-CN"/>
            </w:rPr>
            <w:instrText xml:space="preserve"> HYPERLINK \l _Toc15834 </w:instrText>
          </w:r>
          <w:r>
            <w:rPr>
              <w:rFonts w:hint="eastAsia"/>
              <w:color w:val="auto"/>
              <w:highlight w:val="none"/>
              <w:lang w:val="en-US" w:eastAsia="zh-CN"/>
            </w:rPr>
            <w:fldChar w:fldCharType="separate"/>
          </w:r>
          <w:r>
            <w:rPr>
              <w:rFonts w:hint="eastAsia"/>
              <w:color w:val="auto"/>
              <w:highlight w:val="none"/>
            </w:rPr>
            <w:t>6.7 工序交接</w:t>
          </w:r>
          <w:r>
            <w:rPr>
              <w:color w:val="auto"/>
              <w:highlight w:val="none"/>
            </w:rPr>
            <w:t>管理要求</w:t>
          </w:r>
          <w:r>
            <w:rPr>
              <w:color w:val="auto"/>
              <w:highlight w:val="none"/>
            </w:rPr>
            <w:tab/>
          </w:r>
          <w:r>
            <w:rPr>
              <w:color w:val="auto"/>
              <w:highlight w:val="none"/>
            </w:rPr>
            <w:fldChar w:fldCharType="begin"/>
          </w:r>
          <w:r>
            <w:rPr>
              <w:color w:val="auto"/>
              <w:highlight w:val="none"/>
            </w:rPr>
            <w:instrText xml:space="preserve"> PAGEREF _Toc15834 \h </w:instrText>
          </w:r>
          <w:r>
            <w:rPr>
              <w:color w:val="auto"/>
              <w:highlight w:val="none"/>
            </w:rPr>
            <w:fldChar w:fldCharType="separate"/>
          </w:r>
          <w:r>
            <w:rPr>
              <w:color w:val="auto"/>
              <w:highlight w:val="none"/>
            </w:rPr>
            <w:t>93</w:t>
          </w:r>
          <w:r>
            <w:rPr>
              <w:color w:val="auto"/>
              <w:highlight w:val="none"/>
            </w:rPr>
            <w:fldChar w:fldCharType="end"/>
          </w:r>
          <w:r>
            <w:rPr>
              <w:rFonts w:hint="eastAsia"/>
              <w:color w:val="auto"/>
              <w:highlight w:val="none"/>
              <w:lang w:val="en-US" w:eastAsia="zh-CN"/>
            </w:rPr>
            <w:fldChar w:fldCharType="end"/>
          </w:r>
        </w:p>
        <w:p>
          <w:pPr>
            <w:pStyle w:val="18"/>
            <w:tabs>
              <w:tab w:val="right" w:leader="dot" w:pos="9079"/>
            </w:tabs>
            <w:rPr>
              <w:color w:val="auto"/>
              <w:highlight w:val="none"/>
            </w:rPr>
          </w:pPr>
          <w:r>
            <w:rPr>
              <w:rFonts w:hint="eastAsia"/>
              <w:color w:val="auto"/>
              <w:highlight w:val="none"/>
              <w:lang w:val="en-US" w:eastAsia="zh-CN"/>
            </w:rPr>
            <w:fldChar w:fldCharType="begin"/>
          </w:r>
          <w:r>
            <w:rPr>
              <w:rFonts w:hint="eastAsia"/>
              <w:color w:val="auto"/>
              <w:highlight w:val="none"/>
              <w:lang w:val="en-US" w:eastAsia="zh-CN"/>
            </w:rPr>
            <w:instrText xml:space="preserve"> HYPERLINK \l _Toc21991 </w:instrText>
          </w:r>
          <w:r>
            <w:rPr>
              <w:rFonts w:hint="eastAsia"/>
              <w:color w:val="auto"/>
              <w:highlight w:val="none"/>
              <w:lang w:val="en-US" w:eastAsia="zh-CN"/>
            </w:rPr>
            <w:fldChar w:fldCharType="separate"/>
          </w:r>
          <w:r>
            <w:rPr>
              <w:rFonts w:hint="eastAsia"/>
              <w:color w:val="auto"/>
              <w:highlight w:val="none"/>
            </w:rPr>
            <w:t xml:space="preserve">6.8 </w:t>
          </w:r>
          <w:r>
            <w:rPr>
              <w:color w:val="auto"/>
              <w:highlight w:val="none"/>
            </w:rPr>
            <w:t>工作面交接管理要求</w:t>
          </w:r>
          <w:r>
            <w:rPr>
              <w:color w:val="auto"/>
              <w:highlight w:val="none"/>
            </w:rPr>
            <w:tab/>
          </w:r>
          <w:r>
            <w:rPr>
              <w:color w:val="auto"/>
              <w:highlight w:val="none"/>
            </w:rPr>
            <w:fldChar w:fldCharType="begin"/>
          </w:r>
          <w:r>
            <w:rPr>
              <w:color w:val="auto"/>
              <w:highlight w:val="none"/>
            </w:rPr>
            <w:instrText xml:space="preserve"> PAGEREF _Toc21991 \h </w:instrText>
          </w:r>
          <w:r>
            <w:rPr>
              <w:color w:val="auto"/>
              <w:highlight w:val="none"/>
            </w:rPr>
            <w:fldChar w:fldCharType="separate"/>
          </w:r>
          <w:r>
            <w:rPr>
              <w:color w:val="auto"/>
              <w:highlight w:val="none"/>
            </w:rPr>
            <w:t>93</w:t>
          </w:r>
          <w:r>
            <w:rPr>
              <w:color w:val="auto"/>
              <w:highlight w:val="none"/>
            </w:rPr>
            <w:fldChar w:fldCharType="end"/>
          </w:r>
          <w:r>
            <w:rPr>
              <w:rFonts w:hint="eastAsia"/>
              <w:color w:val="auto"/>
              <w:highlight w:val="none"/>
              <w:lang w:val="en-US" w:eastAsia="zh-CN"/>
            </w:rPr>
            <w:fldChar w:fldCharType="end"/>
          </w:r>
        </w:p>
        <w:p>
          <w:pPr>
            <w:pStyle w:val="18"/>
            <w:tabs>
              <w:tab w:val="right" w:leader="dot" w:pos="9079"/>
            </w:tabs>
            <w:rPr>
              <w:color w:val="auto"/>
              <w:highlight w:val="none"/>
            </w:rPr>
          </w:pPr>
          <w:r>
            <w:rPr>
              <w:rFonts w:hint="eastAsia"/>
              <w:color w:val="auto"/>
              <w:highlight w:val="none"/>
              <w:lang w:val="en-US" w:eastAsia="zh-CN"/>
            </w:rPr>
            <w:fldChar w:fldCharType="begin"/>
          </w:r>
          <w:r>
            <w:rPr>
              <w:rFonts w:hint="eastAsia"/>
              <w:color w:val="auto"/>
              <w:highlight w:val="none"/>
              <w:lang w:val="en-US" w:eastAsia="zh-CN"/>
            </w:rPr>
            <w:instrText xml:space="preserve"> HYPERLINK \l _Toc6689 </w:instrText>
          </w:r>
          <w:r>
            <w:rPr>
              <w:rFonts w:hint="eastAsia"/>
              <w:color w:val="auto"/>
              <w:highlight w:val="none"/>
              <w:lang w:val="en-US" w:eastAsia="zh-CN"/>
            </w:rPr>
            <w:fldChar w:fldCharType="separate"/>
          </w:r>
          <w:r>
            <w:rPr>
              <w:rFonts w:hint="eastAsia"/>
              <w:color w:val="auto"/>
              <w:highlight w:val="none"/>
            </w:rPr>
            <w:t xml:space="preserve">6.9 </w:t>
          </w:r>
          <w:r>
            <w:rPr>
              <w:color w:val="auto"/>
              <w:highlight w:val="none"/>
            </w:rPr>
            <w:t>成品保护要求</w:t>
          </w:r>
          <w:r>
            <w:rPr>
              <w:color w:val="auto"/>
              <w:highlight w:val="none"/>
            </w:rPr>
            <w:tab/>
          </w:r>
          <w:r>
            <w:rPr>
              <w:color w:val="auto"/>
              <w:highlight w:val="none"/>
            </w:rPr>
            <w:fldChar w:fldCharType="begin"/>
          </w:r>
          <w:r>
            <w:rPr>
              <w:color w:val="auto"/>
              <w:highlight w:val="none"/>
            </w:rPr>
            <w:instrText xml:space="preserve"> PAGEREF _Toc6689 \h </w:instrText>
          </w:r>
          <w:r>
            <w:rPr>
              <w:color w:val="auto"/>
              <w:highlight w:val="none"/>
            </w:rPr>
            <w:fldChar w:fldCharType="separate"/>
          </w:r>
          <w:r>
            <w:rPr>
              <w:color w:val="auto"/>
              <w:highlight w:val="none"/>
            </w:rPr>
            <w:t>94</w:t>
          </w:r>
          <w:r>
            <w:rPr>
              <w:color w:val="auto"/>
              <w:highlight w:val="none"/>
            </w:rPr>
            <w:fldChar w:fldCharType="end"/>
          </w:r>
          <w:r>
            <w:rPr>
              <w:rFonts w:hint="eastAsia"/>
              <w:color w:val="auto"/>
              <w:highlight w:val="none"/>
              <w:lang w:val="en-US" w:eastAsia="zh-CN"/>
            </w:rPr>
            <w:fldChar w:fldCharType="end"/>
          </w:r>
        </w:p>
        <w:p>
          <w:pPr>
            <w:pStyle w:val="18"/>
            <w:tabs>
              <w:tab w:val="right" w:leader="dot" w:pos="9079"/>
            </w:tabs>
            <w:rPr>
              <w:color w:val="auto"/>
              <w:highlight w:val="none"/>
            </w:rPr>
          </w:pPr>
          <w:r>
            <w:rPr>
              <w:rFonts w:hint="eastAsia"/>
              <w:color w:val="auto"/>
              <w:highlight w:val="none"/>
              <w:lang w:val="en-US" w:eastAsia="zh-CN"/>
            </w:rPr>
            <w:fldChar w:fldCharType="begin"/>
          </w:r>
          <w:r>
            <w:rPr>
              <w:rFonts w:hint="eastAsia"/>
              <w:color w:val="auto"/>
              <w:highlight w:val="none"/>
              <w:lang w:val="en-US" w:eastAsia="zh-CN"/>
            </w:rPr>
            <w:instrText xml:space="preserve"> HYPERLINK \l _Toc9666 </w:instrText>
          </w:r>
          <w:r>
            <w:rPr>
              <w:rFonts w:hint="eastAsia"/>
              <w:color w:val="auto"/>
              <w:highlight w:val="none"/>
              <w:lang w:val="en-US" w:eastAsia="zh-CN"/>
            </w:rPr>
            <w:fldChar w:fldCharType="separate"/>
          </w:r>
          <w:r>
            <w:rPr>
              <w:rFonts w:hint="eastAsia"/>
              <w:color w:val="auto"/>
              <w:highlight w:val="none"/>
            </w:rPr>
            <w:t>6.10 甲供物资</w:t>
          </w:r>
          <w:r>
            <w:rPr>
              <w:color w:val="auto"/>
              <w:highlight w:val="none"/>
            </w:rPr>
            <w:t>管理要求</w:t>
          </w:r>
          <w:r>
            <w:rPr>
              <w:rFonts w:hint="eastAsia"/>
              <w:color w:val="auto"/>
              <w:highlight w:val="none"/>
              <w:lang w:eastAsia="zh-CN"/>
            </w:rPr>
            <w:t>（</w:t>
          </w:r>
          <w:r>
            <w:rPr>
              <w:rFonts w:hint="eastAsia"/>
              <w:color w:val="auto"/>
              <w:highlight w:val="none"/>
              <w:lang w:val="en-US" w:eastAsia="zh-CN"/>
            </w:rPr>
            <w:t>如有</w:t>
          </w:r>
          <w:r>
            <w:rPr>
              <w:rFonts w:hint="eastAsia"/>
              <w:color w:val="auto"/>
              <w:highlight w:val="none"/>
              <w:lang w:eastAsia="zh-CN"/>
            </w:rPr>
            <w:t>）</w:t>
          </w:r>
          <w:r>
            <w:rPr>
              <w:color w:val="auto"/>
              <w:highlight w:val="none"/>
            </w:rPr>
            <w:tab/>
          </w:r>
          <w:r>
            <w:rPr>
              <w:color w:val="auto"/>
              <w:highlight w:val="none"/>
            </w:rPr>
            <w:fldChar w:fldCharType="begin"/>
          </w:r>
          <w:r>
            <w:rPr>
              <w:color w:val="auto"/>
              <w:highlight w:val="none"/>
            </w:rPr>
            <w:instrText xml:space="preserve"> PAGEREF _Toc9666 \h </w:instrText>
          </w:r>
          <w:r>
            <w:rPr>
              <w:color w:val="auto"/>
              <w:highlight w:val="none"/>
            </w:rPr>
            <w:fldChar w:fldCharType="separate"/>
          </w:r>
          <w:r>
            <w:rPr>
              <w:color w:val="auto"/>
              <w:highlight w:val="none"/>
            </w:rPr>
            <w:t>95</w:t>
          </w:r>
          <w:r>
            <w:rPr>
              <w:color w:val="auto"/>
              <w:highlight w:val="none"/>
            </w:rPr>
            <w:fldChar w:fldCharType="end"/>
          </w:r>
          <w:r>
            <w:rPr>
              <w:rFonts w:hint="eastAsia"/>
              <w:color w:val="auto"/>
              <w:highlight w:val="none"/>
              <w:lang w:val="en-US" w:eastAsia="zh-CN"/>
            </w:rPr>
            <w:fldChar w:fldCharType="end"/>
          </w:r>
        </w:p>
        <w:p>
          <w:pPr>
            <w:pStyle w:val="18"/>
            <w:tabs>
              <w:tab w:val="right" w:leader="dot" w:pos="9079"/>
            </w:tabs>
            <w:rPr>
              <w:color w:val="auto"/>
              <w:highlight w:val="none"/>
            </w:rPr>
          </w:pPr>
          <w:r>
            <w:rPr>
              <w:rFonts w:hint="eastAsia"/>
              <w:color w:val="auto"/>
              <w:highlight w:val="none"/>
              <w:lang w:val="en-US" w:eastAsia="zh-CN"/>
            </w:rPr>
            <w:fldChar w:fldCharType="begin"/>
          </w:r>
          <w:r>
            <w:rPr>
              <w:rFonts w:hint="eastAsia"/>
              <w:color w:val="auto"/>
              <w:highlight w:val="none"/>
              <w:lang w:val="en-US" w:eastAsia="zh-CN"/>
            </w:rPr>
            <w:instrText xml:space="preserve"> HYPERLINK \l _Toc16803 </w:instrText>
          </w:r>
          <w:r>
            <w:rPr>
              <w:rFonts w:hint="eastAsia"/>
              <w:color w:val="auto"/>
              <w:highlight w:val="none"/>
              <w:lang w:val="en-US" w:eastAsia="zh-CN"/>
            </w:rPr>
            <w:fldChar w:fldCharType="separate"/>
          </w:r>
          <w:r>
            <w:rPr>
              <w:rFonts w:hint="eastAsia"/>
              <w:color w:val="auto"/>
              <w:highlight w:val="none"/>
            </w:rPr>
            <w:t>6.11 乙</w:t>
          </w:r>
          <w:r>
            <w:rPr>
              <w:color w:val="auto"/>
              <w:highlight w:val="none"/>
            </w:rPr>
            <w:t>供</w:t>
          </w:r>
          <w:r>
            <w:rPr>
              <w:rFonts w:hint="eastAsia"/>
              <w:color w:val="auto"/>
              <w:highlight w:val="none"/>
            </w:rPr>
            <w:t>物资</w:t>
          </w:r>
          <w:r>
            <w:rPr>
              <w:color w:val="auto"/>
              <w:highlight w:val="none"/>
            </w:rPr>
            <w:t>管理要求</w:t>
          </w:r>
          <w:r>
            <w:rPr>
              <w:color w:val="auto"/>
              <w:highlight w:val="none"/>
            </w:rPr>
            <w:tab/>
          </w:r>
          <w:r>
            <w:rPr>
              <w:color w:val="auto"/>
              <w:highlight w:val="none"/>
            </w:rPr>
            <w:fldChar w:fldCharType="begin"/>
          </w:r>
          <w:r>
            <w:rPr>
              <w:color w:val="auto"/>
              <w:highlight w:val="none"/>
            </w:rPr>
            <w:instrText xml:space="preserve"> PAGEREF _Toc16803 \h </w:instrText>
          </w:r>
          <w:r>
            <w:rPr>
              <w:color w:val="auto"/>
              <w:highlight w:val="none"/>
            </w:rPr>
            <w:fldChar w:fldCharType="separate"/>
          </w:r>
          <w:r>
            <w:rPr>
              <w:color w:val="auto"/>
              <w:highlight w:val="none"/>
            </w:rPr>
            <w:t>96</w:t>
          </w:r>
          <w:r>
            <w:rPr>
              <w:color w:val="auto"/>
              <w:highlight w:val="none"/>
            </w:rPr>
            <w:fldChar w:fldCharType="end"/>
          </w:r>
          <w:r>
            <w:rPr>
              <w:rFonts w:hint="eastAsia"/>
              <w:color w:val="auto"/>
              <w:highlight w:val="none"/>
              <w:lang w:val="en-US" w:eastAsia="zh-CN"/>
            </w:rPr>
            <w:fldChar w:fldCharType="end"/>
          </w:r>
        </w:p>
        <w:p>
          <w:pPr>
            <w:pStyle w:val="18"/>
            <w:tabs>
              <w:tab w:val="right" w:leader="dot" w:pos="9079"/>
            </w:tabs>
            <w:rPr>
              <w:color w:val="auto"/>
              <w:highlight w:val="none"/>
            </w:rPr>
          </w:pPr>
          <w:r>
            <w:rPr>
              <w:rFonts w:hint="eastAsia"/>
              <w:color w:val="auto"/>
              <w:highlight w:val="none"/>
              <w:lang w:val="en-US" w:eastAsia="zh-CN"/>
            </w:rPr>
            <w:fldChar w:fldCharType="begin"/>
          </w:r>
          <w:r>
            <w:rPr>
              <w:rFonts w:hint="eastAsia"/>
              <w:color w:val="auto"/>
              <w:highlight w:val="none"/>
              <w:lang w:val="en-US" w:eastAsia="zh-CN"/>
            </w:rPr>
            <w:instrText xml:space="preserve"> HYPERLINK \l _Toc6817 </w:instrText>
          </w:r>
          <w:r>
            <w:rPr>
              <w:rFonts w:hint="eastAsia"/>
              <w:color w:val="auto"/>
              <w:highlight w:val="none"/>
              <w:lang w:val="en-US" w:eastAsia="zh-CN"/>
            </w:rPr>
            <w:fldChar w:fldCharType="separate"/>
          </w:r>
          <w:r>
            <w:rPr>
              <w:rFonts w:hint="eastAsia"/>
              <w:color w:val="auto"/>
              <w:highlight w:val="none"/>
            </w:rPr>
            <w:t xml:space="preserve">6.12 </w:t>
          </w:r>
          <w:r>
            <w:rPr>
              <w:color w:val="auto"/>
              <w:highlight w:val="none"/>
            </w:rPr>
            <w:t>主要机械设备</w:t>
          </w:r>
          <w:r>
            <w:rPr>
              <w:rFonts w:hint="eastAsia"/>
              <w:color w:val="auto"/>
              <w:highlight w:val="none"/>
            </w:rPr>
            <w:t>管理</w:t>
          </w:r>
          <w:r>
            <w:rPr>
              <w:color w:val="auto"/>
              <w:highlight w:val="none"/>
            </w:rPr>
            <w:t>要求</w:t>
          </w:r>
          <w:r>
            <w:rPr>
              <w:color w:val="auto"/>
              <w:highlight w:val="none"/>
            </w:rPr>
            <w:tab/>
          </w:r>
          <w:r>
            <w:rPr>
              <w:color w:val="auto"/>
              <w:highlight w:val="none"/>
            </w:rPr>
            <w:fldChar w:fldCharType="begin"/>
          </w:r>
          <w:r>
            <w:rPr>
              <w:color w:val="auto"/>
              <w:highlight w:val="none"/>
            </w:rPr>
            <w:instrText xml:space="preserve"> PAGEREF _Toc6817 \h </w:instrText>
          </w:r>
          <w:r>
            <w:rPr>
              <w:color w:val="auto"/>
              <w:highlight w:val="none"/>
            </w:rPr>
            <w:fldChar w:fldCharType="separate"/>
          </w:r>
          <w:r>
            <w:rPr>
              <w:color w:val="auto"/>
              <w:highlight w:val="none"/>
            </w:rPr>
            <w:t>98</w:t>
          </w:r>
          <w:r>
            <w:rPr>
              <w:color w:val="auto"/>
              <w:highlight w:val="none"/>
            </w:rPr>
            <w:fldChar w:fldCharType="end"/>
          </w:r>
          <w:r>
            <w:rPr>
              <w:rFonts w:hint="eastAsia"/>
              <w:color w:val="auto"/>
              <w:highlight w:val="none"/>
              <w:lang w:val="en-US" w:eastAsia="zh-CN"/>
            </w:rPr>
            <w:fldChar w:fldCharType="end"/>
          </w:r>
        </w:p>
        <w:p>
          <w:pPr>
            <w:pStyle w:val="18"/>
            <w:tabs>
              <w:tab w:val="right" w:leader="dot" w:pos="9079"/>
            </w:tabs>
            <w:rPr>
              <w:color w:val="auto"/>
              <w:highlight w:val="none"/>
            </w:rPr>
          </w:pPr>
          <w:r>
            <w:rPr>
              <w:rFonts w:hint="eastAsia"/>
              <w:color w:val="auto"/>
              <w:highlight w:val="none"/>
              <w:lang w:val="en-US" w:eastAsia="zh-CN"/>
            </w:rPr>
            <w:fldChar w:fldCharType="begin"/>
          </w:r>
          <w:r>
            <w:rPr>
              <w:rFonts w:hint="eastAsia"/>
              <w:color w:val="auto"/>
              <w:highlight w:val="none"/>
              <w:lang w:val="en-US" w:eastAsia="zh-CN"/>
            </w:rPr>
            <w:instrText xml:space="preserve"> HYPERLINK \l _Toc3833 </w:instrText>
          </w:r>
          <w:r>
            <w:rPr>
              <w:rFonts w:hint="eastAsia"/>
              <w:color w:val="auto"/>
              <w:highlight w:val="none"/>
              <w:lang w:val="en-US" w:eastAsia="zh-CN"/>
            </w:rPr>
            <w:fldChar w:fldCharType="separate"/>
          </w:r>
          <w:r>
            <w:rPr>
              <w:rFonts w:hint="eastAsia"/>
              <w:color w:val="auto"/>
              <w:highlight w:val="none"/>
            </w:rPr>
            <w:t xml:space="preserve">6.13 </w:t>
          </w:r>
          <w:r>
            <w:rPr>
              <w:color w:val="auto"/>
              <w:highlight w:val="none"/>
            </w:rPr>
            <w:t>劳务队伍</w:t>
          </w:r>
          <w:r>
            <w:rPr>
              <w:rFonts w:hint="eastAsia"/>
              <w:color w:val="auto"/>
              <w:highlight w:val="none"/>
            </w:rPr>
            <w:t>选择</w:t>
          </w:r>
          <w:r>
            <w:rPr>
              <w:color w:val="auto"/>
              <w:highlight w:val="none"/>
            </w:rPr>
            <w:t>要求</w:t>
          </w:r>
          <w:r>
            <w:rPr>
              <w:color w:val="auto"/>
              <w:highlight w:val="none"/>
            </w:rPr>
            <w:tab/>
          </w:r>
          <w:r>
            <w:rPr>
              <w:color w:val="auto"/>
              <w:highlight w:val="none"/>
            </w:rPr>
            <w:fldChar w:fldCharType="begin"/>
          </w:r>
          <w:r>
            <w:rPr>
              <w:color w:val="auto"/>
              <w:highlight w:val="none"/>
            </w:rPr>
            <w:instrText xml:space="preserve"> PAGEREF _Toc3833 \h </w:instrText>
          </w:r>
          <w:r>
            <w:rPr>
              <w:color w:val="auto"/>
              <w:highlight w:val="none"/>
            </w:rPr>
            <w:fldChar w:fldCharType="separate"/>
          </w:r>
          <w:r>
            <w:rPr>
              <w:color w:val="auto"/>
              <w:highlight w:val="none"/>
            </w:rPr>
            <w:t>101</w:t>
          </w:r>
          <w:r>
            <w:rPr>
              <w:color w:val="auto"/>
              <w:highlight w:val="none"/>
            </w:rPr>
            <w:fldChar w:fldCharType="end"/>
          </w:r>
          <w:r>
            <w:rPr>
              <w:rFonts w:hint="eastAsia"/>
              <w:color w:val="auto"/>
              <w:highlight w:val="none"/>
              <w:lang w:val="en-US" w:eastAsia="zh-CN"/>
            </w:rPr>
            <w:fldChar w:fldCharType="end"/>
          </w:r>
        </w:p>
        <w:p>
          <w:pPr>
            <w:pStyle w:val="18"/>
            <w:tabs>
              <w:tab w:val="right" w:leader="dot" w:pos="9079"/>
            </w:tabs>
            <w:rPr>
              <w:color w:val="auto"/>
              <w:highlight w:val="none"/>
            </w:rPr>
          </w:pPr>
          <w:r>
            <w:rPr>
              <w:rFonts w:hint="eastAsia"/>
              <w:color w:val="auto"/>
              <w:highlight w:val="none"/>
              <w:lang w:val="en-US" w:eastAsia="zh-CN"/>
            </w:rPr>
            <w:fldChar w:fldCharType="begin"/>
          </w:r>
          <w:r>
            <w:rPr>
              <w:rFonts w:hint="eastAsia"/>
              <w:color w:val="auto"/>
              <w:highlight w:val="none"/>
              <w:lang w:val="en-US" w:eastAsia="zh-CN"/>
            </w:rPr>
            <w:instrText xml:space="preserve"> HYPERLINK \l _Toc25707 </w:instrText>
          </w:r>
          <w:r>
            <w:rPr>
              <w:rFonts w:hint="eastAsia"/>
              <w:color w:val="auto"/>
              <w:highlight w:val="none"/>
              <w:lang w:val="en-US" w:eastAsia="zh-CN"/>
            </w:rPr>
            <w:fldChar w:fldCharType="separate"/>
          </w:r>
          <w:r>
            <w:rPr>
              <w:rFonts w:hint="eastAsia"/>
              <w:color w:val="auto"/>
              <w:highlight w:val="none"/>
            </w:rPr>
            <w:t>6.14 工程验收及移交要求</w:t>
          </w:r>
          <w:r>
            <w:rPr>
              <w:color w:val="auto"/>
              <w:highlight w:val="none"/>
            </w:rPr>
            <w:tab/>
          </w:r>
          <w:r>
            <w:rPr>
              <w:color w:val="auto"/>
              <w:highlight w:val="none"/>
            </w:rPr>
            <w:fldChar w:fldCharType="begin"/>
          </w:r>
          <w:r>
            <w:rPr>
              <w:color w:val="auto"/>
              <w:highlight w:val="none"/>
            </w:rPr>
            <w:instrText xml:space="preserve"> PAGEREF _Toc25707 \h </w:instrText>
          </w:r>
          <w:r>
            <w:rPr>
              <w:color w:val="auto"/>
              <w:highlight w:val="none"/>
            </w:rPr>
            <w:fldChar w:fldCharType="separate"/>
          </w:r>
          <w:r>
            <w:rPr>
              <w:color w:val="auto"/>
              <w:highlight w:val="none"/>
            </w:rPr>
            <w:t>102</w:t>
          </w:r>
          <w:r>
            <w:rPr>
              <w:color w:val="auto"/>
              <w:highlight w:val="none"/>
            </w:rPr>
            <w:fldChar w:fldCharType="end"/>
          </w:r>
          <w:r>
            <w:rPr>
              <w:rFonts w:hint="eastAsia"/>
              <w:color w:val="auto"/>
              <w:highlight w:val="none"/>
              <w:lang w:val="en-US" w:eastAsia="zh-CN"/>
            </w:rPr>
            <w:fldChar w:fldCharType="end"/>
          </w:r>
        </w:p>
        <w:p>
          <w:pPr>
            <w:pStyle w:val="18"/>
            <w:tabs>
              <w:tab w:val="right" w:leader="dot" w:pos="9079"/>
            </w:tabs>
            <w:rPr>
              <w:color w:val="auto"/>
              <w:highlight w:val="none"/>
            </w:rPr>
          </w:pPr>
          <w:r>
            <w:rPr>
              <w:rFonts w:hint="eastAsia"/>
              <w:color w:val="auto"/>
              <w:highlight w:val="none"/>
              <w:lang w:val="en-US" w:eastAsia="zh-CN"/>
            </w:rPr>
            <w:fldChar w:fldCharType="begin"/>
          </w:r>
          <w:r>
            <w:rPr>
              <w:rFonts w:hint="eastAsia"/>
              <w:color w:val="auto"/>
              <w:highlight w:val="none"/>
              <w:lang w:val="en-US" w:eastAsia="zh-CN"/>
            </w:rPr>
            <w:instrText xml:space="preserve"> HYPERLINK \l _Toc31570 </w:instrText>
          </w:r>
          <w:r>
            <w:rPr>
              <w:rFonts w:hint="eastAsia"/>
              <w:color w:val="auto"/>
              <w:highlight w:val="none"/>
              <w:lang w:val="en-US" w:eastAsia="zh-CN"/>
            </w:rPr>
            <w:fldChar w:fldCharType="separate"/>
          </w:r>
          <w:r>
            <w:rPr>
              <w:rFonts w:hint="eastAsia"/>
              <w:color w:val="auto"/>
              <w:highlight w:val="none"/>
              <w:lang w:eastAsia="zh-CN"/>
            </w:rPr>
            <w:t>6.15 质量保证期和售后服务</w:t>
          </w:r>
          <w:r>
            <w:rPr>
              <w:color w:val="auto"/>
              <w:highlight w:val="none"/>
            </w:rPr>
            <w:tab/>
          </w:r>
          <w:r>
            <w:rPr>
              <w:color w:val="auto"/>
              <w:highlight w:val="none"/>
            </w:rPr>
            <w:fldChar w:fldCharType="begin"/>
          </w:r>
          <w:r>
            <w:rPr>
              <w:color w:val="auto"/>
              <w:highlight w:val="none"/>
            </w:rPr>
            <w:instrText xml:space="preserve"> PAGEREF _Toc31570 \h </w:instrText>
          </w:r>
          <w:r>
            <w:rPr>
              <w:color w:val="auto"/>
              <w:highlight w:val="none"/>
            </w:rPr>
            <w:fldChar w:fldCharType="separate"/>
          </w:r>
          <w:r>
            <w:rPr>
              <w:color w:val="auto"/>
              <w:highlight w:val="none"/>
            </w:rPr>
            <w:t>105</w:t>
          </w:r>
          <w:r>
            <w:rPr>
              <w:color w:val="auto"/>
              <w:highlight w:val="none"/>
            </w:rPr>
            <w:fldChar w:fldCharType="end"/>
          </w:r>
          <w:r>
            <w:rPr>
              <w:rFonts w:hint="eastAsia"/>
              <w:color w:val="auto"/>
              <w:highlight w:val="none"/>
              <w:lang w:val="en-US" w:eastAsia="zh-CN"/>
            </w:rPr>
            <w:fldChar w:fldCharType="end"/>
          </w:r>
        </w:p>
        <w:p>
          <w:pPr>
            <w:pStyle w:val="18"/>
            <w:tabs>
              <w:tab w:val="right" w:leader="dot" w:pos="9079"/>
            </w:tabs>
            <w:rPr>
              <w:color w:val="auto"/>
              <w:highlight w:val="none"/>
            </w:rPr>
          </w:pPr>
          <w:r>
            <w:rPr>
              <w:rFonts w:hint="eastAsia"/>
              <w:color w:val="auto"/>
              <w:highlight w:val="none"/>
              <w:lang w:val="en-US" w:eastAsia="zh-CN"/>
            </w:rPr>
            <w:fldChar w:fldCharType="begin"/>
          </w:r>
          <w:r>
            <w:rPr>
              <w:rFonts w:hint="eastAsia"/>
              <w:color w:val="auto"/>
              <w:highlight w:val="none"/>
              <w:lang w:val="en-US" w:eastAsia="zh-CN"/>
            </w:rPr>
            <w:instrText xml:space="preserve"> HYPERLINK \l _Toc9433 </w:instrText>
          </w:r>
          <w:r>
            <w:rPr>
              <w:rFonts w:hint="eastAsia"/>
              <w:color w:val="auto"/>
              <w:highlight w:val="none"/>
              <w:lang w:val="en-US" w:eastAsia="zh-CN"/>
            </w:rPr>
            <w:fldChar w:fldCharType="separate"/>
          </w:r>
          <w:r>
            <w:rPr>
              <w:rFonts w:hint="eastAsia"/>
              <w:color w:val="auto"/>
              <w:highlight w:val="none"/>
            </w:rPr>
            <w:t>6.16 检测与试验要求</w:t>
          </w:r>
          <w:r>
            <w:rPr>
              <w:color w:val="auto"/>
              <w:highlight w:val="none"/>
            </w:rPr>
            <w:tab/>
          </w:r>
          <w:r>
            <w:rPr>
              <w:color w:val="auto"/>
              <w:highlight w:val="none"/>
            </w:rPr>
            <w:fldChar w:fldCharType="begin"/>
          </w:r>
          <w:r>
            <w:rPr>
              <w:color w:val="auto"/>
              <w:highlight w:val="none"/>
            </w:rPr>
            <w:instrText xml:space="preserve"> PAGEREF _Toc9433 \h </w:instrText>
          </w:r>
          <w:r>
            <w:rPr>
              <w:color w:val="auto"/>
              <w:highlight w:val="none"/>
            </w:rPr>
            <w:fldChar w:fldCharType="separate"/>
          </w:r>
          <w:r>
            <w:rPr>
              <w:color w:val="auto"/>
              <w:highlight w:val="none"/>
            </w:rPr>
            <w:t>107</w:t>
          </w:r>
          <w:r>
            <w:rPr>
              <w:color w:val="auto"/>
              <w:highlight w:val="none"/>
            </w:rPr>
            <w:fldChar w:fldCharType="end"/>
          </w:r>
          <w:r>
            <w:rPr>
              <w:rFonts w:hint="eastAsia"/>
              <w:color w:val="auto"/>
              <w:highlight w:val="none"/>
              <w:lang w:val="en-US" w:eastAsia="zh-CN"/>
            </w:rPr>
            <w:fldChar w:fldCharType="end"/>
          </w:r>
        </w:p>
        <w:p>
          <w:pPr>
            <w:pStyle w:val="18"/>
            <w:tabs>
              <w:tab w:val="right" w:leader="dot" w:pos="9079"/>
            </w:tabs>
            <w:rPr>
              <w:color w:val="auto"/>
              <w:highlight w:val="none"/>
            </w:rPr>
          </w:pPr>
          <w:r>
            <w:rPr>
              <w:rFonts w:hint="eastAsia"/>
              <w:color w:val="auto"/>
              <w:highlight w:val="none"/>
              <w:lang w:val="en-US" w:eastAsia="zh-CN"/>
            </w:rPr>
            <w:fldChar w:fldCharType="begin"/>
          </w:r>
          <w:r>
            <w:rPr>
              <w:rFonts w:hint="eastAsia"/>
              <w:color w:val="auto"/>
              <w:highlight w:val="none"/>
              <w:lang w:val="en-US" w:eastAsia="zh-CN"/>
            </w:rPr>
            <w:instrText xml:space="preserve"> HYPERLINK \l _Toc451 </w:instrText>
          </w:r>
          <w:r>
            <w:rPr>
              <w:rFonts w:hint="eastAsia"/>
              <w:color w:val="auto"/>
              <w:highlight w:val="none"/>
              <w:lang w:val="en-US" w:eastAsia="zh-CN"/>
            </w:rPr>
            <w:fldChar w:fldCharType="separate"/>
          </w:r>
          <w:r>
            <w:rPr>
              <w:rFonts w:hint="eastAsia"/>
              <w:color w:val="auto"/>
              <w:highlight w:val="none"/>
            </w:rPr>
            <w:t>6.17 撤场程序</w:t>
          </w:r>
          <w:r>
            <w:rPr>
              <w:color w:val="auto"/>
              <w:highlight w:val="none"/>
            </w:rPr>
            <w:tab/>
          </w:r>
          <w:r>
            <w:rPr>
              <w:color w:val="auto"/>
              <w:highlight w:val="none"/>
            </w:rPr>
            <w:fldChar w:fldCharType="begin"/>
          </w:r>
          <w:r>
            <w:rPr>
              <w:color w:val="auto"/>
              <w:highlight w:val="none"/>
            </w:rPr>
            <w:instrText xml:space="preserve"> PAGEREF _Toc451 \h </w:instrText>
          </w:r>
          <w:r>
            <w:rPr>
              <w:color w:val="auto"/>
              <w:highlight w:val="none"/>
            </w:rPr>
            <w:fldChar w:fldCharType="separate"/>
          </w:r>
          <w:r>
            <w:rPr>
              <w:color w:val="auto"/>
              <w:highlight w:val="none"/>
            </w:rPr>
            <w:t>107</w:t>
          </w:r>
          <w:r>
            <w:rPr>
              <w:color w:val="auto"/>
              <w:highlight w:val="none"/>
            </w:rPr>
            <w:fldChar w:fldCharType="end"/>
          </w:r>
          <w:r>
            <w:rPr>
              <w:rFonts w:hint="eastAsia"/>
              <w:color w:val="auto"/>
              <w:highlight w:val="none"/>
              <w:lang w:val="en-US" w:eastAsia="zh-CN"/>
            </w:rPr>
            <w:fldChar w:fldCharType="end"/>
          </w:r>
        </w:p>
        <w:p>
          <w:pPr>
            <w:pStyle w:val="18"/>
            <w:tabs>
              <w:tab w:val="right" w:leader="dot" w:pos="9079"/>
            </w:tabs>
            <w:rPr>
              <w:color w:val="auto"/>
              <w:highlight w:val="none"/>
            </w:rPr>
          </w:pPr>
          <w:r>
            <w:rPr>
              <w:rFonts w:hint="eastAsia"/>
              <w:color w:val="auto"/>
              <w:highlight w:val="none"/>
              <w:lang w:val="en-US" w:eastAsia="zh-CN"/>
            </w:rPr>
            <w:fldChar w:fldCharType="begin"/>
          </w:r>
          <w:r>
            <w:rPr>
              <w:rFonts w:hint="eastAsia"/>
              <w:color w:val="auto"/>
              <w:highlight w:val="none"/>
              <w:lang w:val="en-US" w:eastAsia="zh-CN"/>
            </w:rPr>
            <w:instrText xml:space="preserve"> HYPERLINK \l _Toc12794 </w:instrText>
          </w:r>
          <w:r>
            <w:rPr>
              <w:rFonts w:hint="eastAsia"/>
              <w:color w:val="auto"/>
              <w:highlight w:val="none"/>
              <w:lang w:val="en-US" w:eastAsia="zh-CN"/>
            </w:rPr>
            <w:fldChar w:fldCharType="separate"/>
          </w:r>
          <w:r>
            <w:rPr>
              <w:rFonts w:hint="eastAsia"/>
              <w:color w:val="auto"/>
              <w:highlight w:val="none"/>
            </w:rPr>
            <w:t>6.18 治污减霾要求</w:t>
          </w:r>
          <w:r>
            <w:rPr>
              <w:color w:val="auto"/>
              <w:highlight w:val="none"/>
            </w:rPr>
            <w:tab/>
          </w:r>
          <w:r>
            <w:rPr>
              <w:color w:val="auto"/>
              <w:highlight w:val="none"/>
            </w:rPr>
            <w:fldChar w:fldCharType="begin"/>
          </w:r>
          <w:r>
            <w:rPr>
              <w:color w:val="auto"/>
              <w:highlight w:val="none"/>
            </w:rPr>
            <w:instrText xml:space="preserve"> PAGEREF _Toc12794 \h </w:instrText>
          </w:r>
          <w:r>
            <w:rPr>
              <w:color w:val="auto"/>
              <w:highlight w:val="none"/>
            </w:rPr>
            <w:fldChar w:fldCharType="separate"/>
          </w:r>
          <w:r>
            <w:rPr>
              <w:color w:val="auto"/>
              <w:highlight w:val="none"/>
            </w:rPr>
            <w:t>108</w:t>
          </w:r>
          <w:r>
            <w:rPr>
              <w:color w:val="auto"/>
              <w:highlight w:val="none"/>
            </w:rPr>
            <w:fldChar w:fldCharType="end"/>
          </w:r>
          <w:r>
            <w:rPr>
              <w:rFonts w:hint="eastAsia"/>
              <w:color w:val="auto"/>
              <w:highlight w:val="none"/>
              <w:lang w:val="en-US" w:eastAsia="zh-CN"/>
            </w:rPr>
            <w:fldChar w:fldCharType="end"/>
          </w:r>
        </w:p>
        <w:p>
          <w:pPr>
            <w:pStyle w:val="18"/>
            <w:tabs>
              <w:tab w:val="right" w:leader="dot" w:pos="9079"/>
            </w:tabs>
            <w:rPr>
              <w:color w:val="auto"/>
              <w:highlight w:val="none"/>
            </w:rPr>
          </w:pPr>
          <w:r>
            <w:rPr>
              <w:rFonts w:hint="eastAsia"/>
              <w:color w:val="auto"/>
              <w:highlight w:val="none"/>
              <w:lang w:val="en-US" w:eastAsia="zh-CN"/>
            </w:rPr>
            <w:fldChar w:fldCharType="begin"/>
          </w:r>
          <w:r>
            <w:rPr>
              <w:rFonts w:hint="eastAsia"/>
              <w:color w:val="auto"/>
              <w:highlight w:val="none"/>
              <w:lang w:val="en-US" w:eastAsia="zh-CN"/>
            </w:rPr>
            <w:instrText xml:space="preserve"> HYPERLINK \l _Toc4642 </w:instrText>
          </w:r>
          <w:r>
            <w:rPr>
              <w:rFonts w:hint="eastAsia"/>
              <w:color w:val="auto"/>
              <w:highlight w:val="none"/>
              <w:lang w:val="en-US" w:eastAsia="zh-CN"/>
            </w:rPr>
            <w:fldChar w:fldCharType="separate"/>
          </w:r>
          <w:r>
            <w:rPr>
              <w:rFonts w:hint="eastAsia"/>
              <w:color w:val="auto"/>
              <w:highlight w:val="none"/>
              <w:lang w:eastAsia="zh-CN"/>
            </w:rPr>
            <w:t>6.19 绿色施工管理要求</w:t>
          </w:r>
          <w:r>
            <w:rPr>
              <w:color w:val="auto"/>
              <w:highlight w:val="none"/>
            </w:rPr>
            <w:tab/>
          </w:r>
          <w:r>
            <w:rPr>
              <w:color w:val="auto"/>
              <w:highlight w:val="none"/>
            </w:rPr>
            <w:fldChar w:fldCharType="begin"/>
          </w:r>
          <w:r>
            <w:rPr>
              <w:color w:val="auto"/>
              <w:highlight w:val="none"/>
            </w:rPr>
            <w:instrText xml:space="preserve"> PAGEREF _Toc4642 \h </w:instrText>
          </w:r>
          <w:r>
            <w:rPr>
              <w:color w:val="auto"/>
              <w:highlight w:val="none"/>
            </w:rPr>
            <w:fldChar w:fldCharType="separate"/>
          </w:r>
          <w:r>
            <w:rPr>
              <w:color w:val="auto"/>
              <w:highlight w:val="none"/>
            </w:rPr>
            <w:t>109</w:t>
          </w:r>
          <w:r>
            <w:rPr>
              <w:color w:val="auto"/>
              <w:highlight w:val="none"/>
            </w:rPr>
            <w:fldChar w:fldCharType="end"/>
          </w:r>
          <w:r>
            <w:rPr>
              <w:rFonts w:hint="eastAsia"/>
              <w:color w:val="auto"/>
              <w:highlight w:val="none"/>
              <w:lang w:val="en-US" w:eastAsia="zh-CN"/>
            </w:rPr>
            <w:fldChar w:fldCharType="end"/>
          </w:r>
        </w:p>
        <w:p>
          <w:pPr>
            <w:pStyle w:val="18"/>
            <w:tabs>
              <w:tab w:val="right" w:leader="dot" w:pos="9079"/>
            </w:tabs>
            <w:rPr>
              <w:color w:val="auto"/>
              <w:highlight w:val="none"/>
            </w:rPr>
          </w:pPr>
          <w:r>
            <w:rPr>
              <w:rFonts w:hint="eastAsia"/>
              <w:color w:val="auto"/>
              <w:highlight w:val="none"/>
              <w:lang w:val="en-US" w:eastAsia="zh-CN"/>
            </w:rPr>
            <w:fldChar w:fldCharType="begin"/>
          </w:r>
          <w:r>
            <w:rPr>
              <w:rFonts w:hint="eastAsia"/>
              <w:color w:val="auto"/>
              <w:highlight w:val="none"/>
              <w:lang w:val="en-US" w:eastAsia="zh-CN"/>
            </w:rPr>
            <w:instrText xml:space="preserve"> HYPERLINK \l _Toc3629 </w:instrText>
          </w:r>
          <w:r>
            <w:rPr>
              <w:rFonts w:hint="eastAsia"/>
              <w:color w:val="auto"/>
              <w:highlight w:val="none"/>
              <w:lang w:val="en-US" w:eastAsia="zh-CN"/>
            </w:rPr>
            <w:fldChar w:fldCharType="separate"/>
          </w:r>
          <w:r>
            <w:rPr>
              <w:rFonts w:hint="eastAsia"/>
              <w:color w:val="auto"/>
              <w:highlight w:val="none"/>
              <w:lang w:val="en-US" w:eastAsia="zh-CN"/>
            </w:rPr>
            <w:t>6.20 其他施工管理要求</w:t>
          </w:r>
          <w:r>
            <w:rPr>
              <w:color w:val="auto"/>
              <w:highlight w:val="none"/>
            </w:rPr>
            <w:tab/>
          </w:r>
          <w:r>
            <w:rPr>
              <w:color w:val="auto"/>
              <w:highlight w:val="none"/>
            </w:rPr>
            <w:fldChar w:fldCharType="begin"/>
          </w:r>
          <w:r>
            <w:rPr>
              <w:color w:val="auto"/>
              <w:highlight w:val="none"/>
            </w:rPr>
            <w:instrText xml:space="preserve"> PAGEREF _Toc3629 \h </w:instrText>
          </w:r>
          <w:r>
            <w:rPr>
              <w:color w:val="auto"/>
              <w:highlight w:val="none"/>
            </w:rPr>
            <w:fldChar w:fldCharType="separate"/>
          </w:r>
          <w:r>
            <w:rPr>
              <w:color w:val="auto"/>
              <w:highlight w:val="none"/>
            </w:rPr>
            <w:t>109</w:t>
          </w:r>
          <w:r>
            <w:rPr>
              <w:color w:val="auto"/>
              <w:highlight w:val="none"/>
            </w:rPr>
            <w:fldChar w:fldCharType="end"/>
          </w:r>
          <w:r>
            <w:rPr>
              <w:rFonts w:hint="eastAsia"/>
              <w:color w:val="auto"/>
              <w:highlight w:val="none"/>
              <w:lang w:val="en-US" w:eastAsia="zh-CN"/>
            </w:rPr>
            <w:fldChar w:fldCharType="end"/>
          </w:r>
        </w:p>
        <w:p>
          <w:pPr>
            <w:pStyle w:val="16"/>
            <w:tabs>
              <w:tab w:val="right" w:leader="dot" w:pos="9079"/>
            </w:tabs>
            <w:rPr>
              <w:color w:val="auto"/>
              <w:highlight w:val="none"/>
            </w:rPr>
          </w:pPr>
          <w:r>
            <w:rPr>
              <w:rFonts w:hint="eastAsia"/>
              <w:color w:val="auto"/>
              <w:highlight w:val="none"/>
              <w:lang w:val="en-US" w:eastAsia="zh-CN"/>
            </w:rPr>
            <w:fldChar w:fldCharType="begin"/>
          </w:r>
          <w:r>
            <w:rPr>
              <w:rFonts w:hint="eastAsia"/>
              <w:color w:val="auto"/>
              <w:highlight w:val="none"/>
              <w:lang w:val="en-US" w:eastAsia="zh-CN"/>
            </w:rPr>
            <w:instrText xml:space="preserve"> HYPERLINK \l _Toc14261 </w:instrText>
          </w:r>
          <w:r>
            <w:rPr>
              <w:rFonts w:hint="eastAsia"/>
              <w:color w:val="auto"/>
              <w:highlight w:val="none"/>
              <w:lang w:val="en-US" w:eastAsia="zh-CN"/>
            </w:rPr>
            <w:fldChar w:fldCharType="separate"/>
          </w:r>
          <w:r>
            <w:rPr>
              <w:rFonts w:hint="default"/>
              <w:color w:val="auto"/>
              <w:highlight w:val="none"/>
            </w:rPr>
            <w:t xml:space="preserve">第7章 </w:t>
          </w:r>
          <w:r>
            <w:rPr>
              <w:rFonts w:hint="eastAsia"/>
              <w:color w:val="auto"/>
              <w:highlight w:val="none"/>
            </w:rPr>
            <w:t>技术要求</w:t>
          </w:r>
          <w:r>
            <w:rPr>
              <w:color w:val="auto"/>
              <w:highlight w:val="none"/>
            </w:rPr>
            <w:tab/>
          </w:r>
          <w:r>
            <w:rPr>
              <w:color w:val="auto"/>
              <w:highlight w:val="none"/>
            </w:rPr>
            <w:fldChar w:fldCharType="begin"/>
          </w:r>
          <w:r>
            <w:rPr>
              <w:color w:val="auto"/>
              <w:highlight w:val="none"/>
            </w:rPr>
            <w:instrText xml:space="preserve"> PAGEREF _Toc14261 \h </w:instrText>
          </w:r>
          <w:r>
            <w:rPr>
              <w:color w:val="auto"/>
              <w:highlight w:val="none"/>
            </w:rPr>
            <w:fldChar w:fldCharType="separate"/>
          </w:r>
          <w:r>
            <w:rPr>
              <w:color w:val="auto"/>
              <w:highlight w:val="none"/>
            </w:rPr>
            <w:t>113</w:t>
          </w:r>
          <w:r>
            <w:rPr>
              <w:color w:val="auto"/>
              <w:highlight w:val="none"/>
            </w:rPr>
            <w:fldChar w:fldCharType="end"/>
          </w:r>
          <w:r>
            <w:rPr>
              <w:rFonts w:hint="eastAsia"/>
              <w:color w:val="auto"/>
              <w:highlight w:val="none"/>
              <w:lang w:val="en-US" w:eastAsia="zh-CN"/>
            </w:rPr>
            <w:fldChar w:fldCharType="end"/>
          </w:r>
        </w:p>
        <w:p>
          <w:pPr>
            <w:pStyle w:val="18"/>
            <w:tabs>
              <w:tab w:val="right" w:leader="dot" w:pos="9079"/>
            </w:tabs>
            <w:rPr>
              <w:color w:val="auto"/>
              <w:highlight w:val="none"/>
            </w:rPr>
          </w:pPr>
          <w:r>
            <w:rPr>
              <w:rFonts w:hint="eastAsia"/>
              <w:color w:val="auto"/>
              <w:highlight w:val="none"/>
              <w:lang w:val="en-US" w:eastAsia="zh-CN"/>
            </w:rPr>
            <w:fldChar w:fldCharType="begin"/>
          </w:r>
          <w:r>
            <w:rPr>
              <w:rFonts w:hint="eastAsia"/>
              <w:color w:val="auto"/>
              <w:highlight w:val="none"/>
              <w:lang w:val="en-US" w:eastAsia="zh-CN"/>
            </w:rPr>
            <w:instrText xml:space="preserve"> HYPERLINK \l _Toc18583 </w:instrText>
          </w:r>
          <w:r>
            <w:rPr>
              <w:rFonts w:hint="eastAsia"/>
              <w:color w:val="auto"/>
              <w:highlight w:val="none"/>
              <w:lang w:val="en-US" w:eastAsia="zh-CN"/>
            </w:rPr>
            <w:fldChar w:fldCharType="separate"/>
          </w:r>
          <w:r>
            <w:rPr>
              <w:rFonts w:hint="eastAsia"/>
              <w:color w:val="auto"/>
              <w:highlight w:val="none"/>
            </w:rPr>
            <w:t xml:space="preserve">7.1 </w:t>
          </w:r>
          <w:r>
            <w:rPr>
              <w:color w:val="auto"/>
              <w:highlight w:val="none"/>
            </w:rPr>
            <w:t>技术规范和标准</w:t>
          </w:r>
          <w:r>
            <w:rPr>
              <w:color w:val="auto"/>
              <w:highlight w:val="none"/>
            </w:rPr>
            <w:tab/>
          </w:r>
          <w:r>
            <w:rPr>
              <w:color w:val="auto"/>
              <w:highlight w:val="none"/>
            </w:rPr>
            <w:fldChar w:fldCharType="begin"/>
          </w:r>
          <w:r>
            <w:rPr>
              <w:color w:val="auto"/>
              <w:highlight w:val="none"/>
            </w:rPr>
            <w:instrText xml:space="preserve"> PAGEREF _Toc18583 \h </w:instrText>
          </w:r>
          <w:r>
            <w:rPr>
              <w:color w:val="auto"/>
              <w:highlight w:val="none"/>
            </w:rPr>
            <w:fldChar w:fldCharType="separate"/>
          </w:r>
          <w:r>
            <w:rPr>
              <w:color w:val="auto"/>
              <w:highlight w:val="none"/>
            </w:rPr>
            <w:t>113</w:t>
          </w:r>
          <w:r>
            <w:rPr>
              <w:color w:val="auto"/>
              <w:highlight w:val="none"/>
            </w:rPr>
            <w:fldChar w:fldCharType="end"/>
          </w:r>
          <w:r>
            <w:rPr>
              <w:rFonts w:hint="eastAsia"/>
              <w:color w:val="auto"/>
              <w:highlight w:val="none"/>
              <w:lang w:val="en-US" w:eastAsia="zh-CN"/>
            </w:rPr>
            <w:fldChar w:fldCharType="end"/>
          </w:r>
        </w:p>
        <w:p>
          <w:pPr>
            <w:pStyle w:val="18"/>
            <w:tabs>
              <w:tab w:val="right" w:leader="dot" w:pos="9079"/>
            </w:tabs>
            <w:rPr>
              <w:color w:val="auto"/>
              <w:highlight w:val="none"/>
            </w:rPr>
          </w:pPr>
          <w:r>
            <w:rPr>
              <w:rFonts w:hint="eastAsia"/>
              <w:color w:val="auto"/>
              <w:highlight w:val="none"/>
              <w:lang w:val="en-US" w:eastAsia="zh-CN"/>
            </w:rPr>
            <w:fldChar w:fldCharType="begin"/>
          </w:r>
          <w:r>
            <w:rPr>
              <w:rFonts w:hint="eastAsia"/>
              <w:color w:val="auto"/>
              <w:highlight w:val="none"/>
              <w:lang w:val="en-US" w:eastAsia="zh-CN"/>
            </w:rPr>
            <w:instrText xml:space="preserve"> HYPERLINK \l _Toc31279 </w:instrText>
          </w:r>
          <w:r>
            <w:rPr>
              <w:rFonts w:hint="eastAsia"/>
              <w:color w:val="auto"/>
              <w:highlight w:val="none"/>
              <w:lang w:val="en-US" w:eastAsia="zh-CN"/>
            </w:rPr>
            <w:fldChar w:fldCharType="separate"/>
          </w:r>
          <w:r>
            <w:rPr>
              <w:rFonts w:hint="eastAsia"/>
              <w:color w:val="auto"/>
              <w:highlight w:val="none"/>
            </w:rPr>
            <w:t>7.2 一般施工技术要求</w:t>
          </w:r>
          <w:r>
            <w:rPr>
              <w:color w:val="auto"/>
              <w:highlight w:val="none"/>
            </w:rPr>
            <w:tab/>
          </w:r>
          <w:r>
            <w:rPr>
              <w:color w:val="auto"/>
              <w:highlight w:val="none"/>
            </w:rPr>
            <w:fldChar w:fldCharType="begin"/>
          </w:r>
          <w:r>
            <w:rPr>
              <w:color w:val="auto"/>
              <w:highlight w:val="none"/>
            </w:rPr>
            <w:instrText xml:space="preserve"> PAGEREF _Toc31279 \h </w:instrText>
          </w:r>
          <w:r>
            <w:rPr>
              <w:color w:val="auto"/>
              <w:highlight w:val="none"/>
            </w:rPr>
            <w:fldChar w:fldCharType="separate"/>
          </w:r>
          <w:r>
            <w:rPr>
              <w:color w:val="auto"/>
              <w:highlight w:val="none"/>
            </w:rPr>
            <w:t>113</w:t>
          </w:r>
          <w:r>
            <w:rPr>
              <w:color w:val="auto"/>
              <w:highlight w:val="none"/>
            </w:rPr>
            <w:fldChar w:fldCharType="end"/>
          </w:r>
          <w:r>
            <w:rPr>
              <w:rFonts w:hint="eastAsia"/>
              <w:color w:val="auto"/>
              <w:highlight w:val="none"/>
              <w:lang w:val="en-US" w:eastAsia="zh-CN"/>
            </w:rPr>
            <w:fldChar w:fldCharType="end"/>
          </w:r>
        </w:p>
        <w:p>
          <w:pPr>
            <w:pStyle w:val="18"/>
            <w:tabs>
              <w:tab w:val="right" w:leader="dot" w:pos="9079"/>
            </w:tabs>
            <w:rPr>
              <w:color w:val="auto"/>
              <w:highlight w:val="none"/>
            </w:rPr>
          </w:pPr>
          <w:r>
            <w:rPr>
              <w:rFonts w:hint="eastAsia"/>
              <w:color w:val="auto"/>
              <w:highlight w:val="none"/>
              <w:lang w:val="en-US" w:eastAsia="zh-CN"/>
            </w:rPr>
            <w:fldChar w:fldCharType="begin"/>
          </w:r>
          <w:r>
            <w:rPr>
              <w:rFonts w:hint="eastAsia"/>
              <w:color w:val="auto"/>
              <w:highlight w:val="none"/>
              <w:lang w:val="en-US" w:eastAsia="zh-CN"/>
            </w:rPr>
            <w:instrText xml:space="preserve"> HYPERLINK \l _Toc21151 </w:instrText>
          </w:r>
          <w:r>
            <w:rPr>
              <w:rFonts w:hint="eastAsia"/>
              <w:color w:val="auto"/>
              <w:highlight w:val="none"/>
              <w:lang w:val="en-US" w:eastAsia="zh-CN"/>
            </w:rPr>
            <w:fldChar w:fldCharType="separate"/>
          </w:r>
          <w:r>
            <w:rPr>
              <w:rFonts w:hint="eastAsia"/>
              <w:color w:val="auto"/>
              <w:highlight w:val="none"/>
              <w:lang w:val="en-US" w:eastAsia="zh-CN"/>
            </w:rPr>
            <w:t xml:space="preserve">7.3 </w:t>
          </w:r>
          <w:r>
            <w:rPr>
              <w:rFonts w:hint="eastAsia"/>
              <w:color w:val="auto"/>
              <w:highlight w:val="none"/>
              <w:lang w:eastAsia="zh-CN"/>
            </w:rPr>
            <w:t>地基基础工程</w:t>
          </w:r>
          <w:r>
            <w:rPr>
              <w:rFonts w:hint="eastAsia"/>
              <w:color w:val="auto"/>
              <w:highlight w:val="none"/>
              <w:lang w:val="en-US" w:eastAsia="zh-CN"/>
            </w:rPr>
            <w:t>施工技术要求</w:t>
          </w:r>
          <w:r>
            <w:rPr>
              <w:color w:val="auto"/>
              <w:highlight w:val="none"/>
            </w:rPr>
            <w:tab/>
          </w:r>
          <w:r>
            <w:rPr>
              <w:color w:val="auto"/>
              <w:highlight w:val="none"/>
            </w:rPr>
            <w:fldChar w:fldCharType="begin"/>
          </w:r>
          <w:r>
            <w:rPr>
              <w:color w:val="auto"/>
              <w:highlight w:val="none"/>
            </w:rPr>
            <w:instrText xml:space="preserve"> PAGEREF _Toc21151 \h </w:instrText>
          </w:r>
          <w:r>
            <w:rPr>
              <w:color w:val="auto"/>
              <w:highlight w:val="none"/>
            </w:rPr>
            <w:fldChar w:fldCharType="separate"/>
          </w:r>
          <w:r>
            <w:rPr>
              <w:color w:val="auto"/>
              <w:highlight w:val="none"/>
            </w:rPr>
            <w:t>118</w:t>
          </w:r>
          <w:r>
            <w:rPr>
              <w:color w:val="auto"/>
              <w:highlight w:val="none"/>
            </w:rPr>
            <w:fldChar w:fldCharType="end"/>
          </w:r>
          <w:r>
            <w:rPr>
              <w:rFonts w:hint="eastAsia"/>
              <w:color w:val="auto"/>
              <w:highlight w:val="none"/>
              <w:lang w:val="en-US" w:eastAsia="zh-CN"/>
            </w:rPr>
            <w:fldChar w:fldCharType="end"/>
          </w:r>
        </w:p>
        <w:p>
          <w:pPr>
            <w:pStyle w:val="18"/>
            <w:tabs>
              <w:tab w:val="right" w:leader="dot" w:pos="9079"/>
            </w:tabs>
            <w:rPr>
              <w:color w:val="auto"/>
              <w:highlight w:val="none"/>
            </w:rPr>
          </w:pPr>
          <w:r>
            <w:rPr>
              <w:rFonts w:hint="eastAsia"/>
              <w:color w:val="auto"/>
              <w:highlight w:val="none"/>
              <w:lang w:val="en-US" w:eastAsia="zh-CN"/>
            </w:rPr>
            <w:fldChar w:fldCharType="begin"/>
          </w:r>
          <w:r>
            <w:rPr>
              <w:rFonts w:hint="eastAsia"/>
              <w:color w:val="auto"/>
              <w:highlight w:val="none"/>
              <w:lang w:val="en-US" w:eastAsia="zh-CN"/>
            </w:rPr>
            <w:instrText xml:space="preserve"> HYPERLINK \l _Toc29657 </w:instrText>
          </w:r>
          <w:r>
            <w:rPr>
              <w:rFonts w:hint="eastAsia"/>
              <w:color w:val="auto"/>
              <w:highlight w:val="none"/>
              <w:lang w:val="en-US" w:eastAsia="zh-CN"/>
            </w:rPr>
            <w:fldChar w:fldCharType="separate"/>
          </w:r>
          <w:r>
            <w:rPr>
              <w:rFonts w:hint="eastAsia"/>
              <w:color w:val="auto"/>
              <w:highlight w:val="none"/>
            </w:rPr>
            <w:t xml:space="preserve">7.4 </w:t>
          </w:r>
          <w:r>
            <w:rPr>
              <w:color w:val="auto"/>
              <w:highlight w:val="none"/>
            </w:rPr>
            <w:t>混凝土工程施工技术要求</w:t>
          </w:r>
          <w:r>
            <w:rPr>
              <w:color w:val="auto"/>
              <w:highlight w:val="none"/>
            </w:rPr>
            <w:tab/>
          </w:r>
          <w:r>
            <w:rPr>
              <w:color w:val="auto"/>
              <w:highlight w:val="none"/>
            </w:rPr>
            <w:fldChar w:fldCharType="begin"/>
          </w:r>
          <w:r>
            <w:rPr>
              <w:color w:val="auto"/>
              <w:highlight w:val="none"/>
            </w:rPr>
            <w:instrText xml:space="preserve"> PAGEREF _Toc29657 \h </w:instrText>
          </w:r>
          <w:r>
            <w:rPr>
              <w:color w:val="auto"/>
              <w:highlight w:val="none"/>
            </w:rPr>
            <w:fldChar w:fldCharType="separate"/>
          </w:r>
          <w:r>
            <w:rPr>
              <w:color w:val="auto"/>
              <w:highlight w:val="none"/>
            </w:rPr>
            <w:t>119</w:t>
          </w:r>
          <w:r>
            <w:rPr>
              <w:color w:val="auto"/>
              <w:highlight w:val="none"/>
            </w:rPr>
            <w:fldChar w:fldCharType="end"/>
          </w:r>
          <w:r>
            <w:rPr>
              <w:rFonts w:hint="eastAsia"/>
              <w:color w:val="auto"/>
              <w:highlight w:val="none"/>
              <w:lang w:val="en-US" w:eastAsia="zh-CN"/>
            </w:rPr>
            <w:fldChar w:fldCharType="end"/>
          </w:r>
        </w:p>
        <w:p>
          <w:pPr>
            <w:pStyle w:val="18"/>
            <w:tabs>
              <w:tab w:val="right" w:leader="dot" w:pos="9079"/>
            </w:tabs>
            <w:rPr>
              <w:color w:val="auto"/>
              <w:highlight w:val="none"/>
            </w:rPr>
          </w:pPr>
          <w:r>
            <w:rPr>
              <w:rFonts w:hint="eastAsia"/>
              <w:color w:val="auto"/>
              <w:highlight w:val="none"/>
              <w:lang w:val="en-US" w:eastAsia="zh-CN"/>
            </w:rPr>
            <w:fldChar w:fldCharType="begin"/>
          </w:r>
          <w:r>
            <w:rPr>
              <w:rFonts w:hint="eastAsia"/>
              <w:color w:val="auto"/>
              <w:highlight w:val="none"/>
              <w:lang w:val="en-US" w:eastAsia="zh-CN"/>
            </w:rPr>
            <w:instrText xml:space="preserve"> HYPERLINK \l _Toc31225 </w:instrText>
          </w:r>
          <w:r>
            <w:rPr>
              <w:rFonts w:hint="eastAsia"/>
              <w:color w:val="auto"/>
              <w:highlight w:val="none"/>
              <w:lang w:val="en-US" w:eastAsia="zh-CN"/>
            </w:rPr>
            <w:fldChar w:fldCharType="separate"/>
          </w:r>
          <w:r>
            <w:rPr>
              <w:rFonts w:hint="eastAsia"/>
              <w:color w:val="auto"/>
              <w:highlight w:val="none"/>
            </w:rPr>
            <w:t xml:space="preserve">7.5 </w:t>
          </w:r>
          <w:r>
            <w:rPr>
              <w:color w:val="auto"/>
              <w:highlight w:val="none"/>
            </w:rPr>
            <w:t>砌筑工程技术要求</w:t>
          </w:r>
          <w:r>
            <w:rPr>
              <w:color w:val="auto"/>
              <w:highlight w:val="none"/>
            </w:rPr>
            <w:tab/>
          </w:r>
          <w:r>
            <w:rPr>
              <w:color w:val="auto"/>
              <w:highlight w:val="none"/>
            </w:rPr>
            <w:fldChar w:fldCharType="begin"/>
          </w:r>
          <w:r>
            <w:rPr>
              <w:color w:val="auto"/>
              <w:highlight w:val="none"/>
            </w:rPr>
            <w:instrText xml:space="preserve"> PAGEREF _Toc31225 \h </w:instrText>
          </w:r>
          <w:r>
            <w:rPr>
              <w:color w:val="auto"/>
              <w:highlight w:val="none"/>
            </w:rPr>
            <w:fldChar w:fldCharType="separate"/>
          </w:r>
          <w:r>
            <w:rPr>
              <w:color w:val="auto"/>
              <w:highlight w:val="none"/>
            </w:rPr>
            <w:t>128</w:t>
          </w:r>
          <w:r>
            <w:rPr>
              <w:color w:val="auto"/>
              <w:highlight w:val="none"/>
            </w:rPr>
            <w:fldChar w:fldCharType="end"/>
          </w:r>
          <w:r>
            <w:rPr>
              <w:rFonts w:hint="eastAsia"/>
              <w:color w:val="auto"/>
              <w:highlight w:val="none"/>
              <w:lang w:val="en-US" w:eastAsia="zh-CN"/>
            </w:rPr>
            <w:fldChar w:fldCharType="end"/>
          </w:r>
        </w:p>
        <w:p>
          <w:pPr>
            <w:pStyle w:val="18"/>
            <w:tabs>
              <w:tab w:val="right" w:leader="dot" w:pos="9079"/>
            </w:tabs>
            <w:rPr>
              <w:color w:val="auto"/>
              <w:highlight w:val="none"/>
            </w:rPr>
          </w:pPr>
          <w:r>
            <w:rPr>
              <w:rFonts w:hint="eastAsia"/>
              <w:color w:val="auto"/>
              <w:highlight w:val="none"/>
              <w:lang w:val="en-US" w:eastAsia="zh-CN"/>
            </w:rPr>
            <w:fldChar w:fldCharType="begin"/>
          </w:r>
          <w:r>
            <w:rPr>
              <w:rFonts w:hint="eastAsia"/>
              <w:color w:val="auto"/>
              <w:highlight w:val="none"/>
              <w:lang w:val="en-US" w:eastAsia="zh-CN"/>
            </w:rPr>
            <w:instrText xml:space="preserve"> HYPERLINK \l _Toc11746 </w:instrText>
          </w:r>
          <w:r>
            <w:rPr>
              <w:rFonts w:hint="eastAsia"/>
              <w:color w:val="auto"/>
              <w:highlight w:val="none"/>
              <w:lang w:val="en-US" w:eastAsia="zh-CN"/>
            </w:rPr>
            <w:fldChar w:fldCharType="separate"/>
          </w:r>
          <w:r>
            <w:rPr>
              <w:rFonts w:hint="eastAsia"/>
              <w:color w:val="auto"/>
              <w:highlight w:val="none"/>
            </w:rPr>
            <w:t>7.6 装饰装修工程技术要求</w:t>
          </w:r>
          <w:r>
            <w:rPr>
              <w:color w:val="auto"/>
              <w:highlight w:val="none"/>
            </w:rPr>
            <w:tab/>
          </w:r>
          <w:r>
            <w:rPr>
              <w:color w:val="auto"/>
              <w:highlight w:val="none"/>
            </w:rPr>
            <w:fldChar w:fldCharType="begin"/>
          </w:r>
          <w:r>
            <w:rPr>
              <w:color w:val="auto"/>
              <w:highlight w:val="none"/>
            </w:rPr>
            <w:instrText xml:space="preserve"> PAGEREF _Toc11746 \h </w:instrText>
          </w:r>
          <w:r>
            <w:rPr>
              <w:color w:val="auto"/>
              <w:highlight w:val="none"/>
            </w:rPr>
            <w:fldChar w:fldCharType="separate"/>
          </w:r>
          <w:r>
            <w:rPr>
              <w:color w:val="auto"/>
              <w:highlight w:val="none"/>
            </w:rPr>
            <w:t>133</w:t>
          </w:r>
          <w:r>
            <w:rPr>
              <w:color w:val="auto"/>
              <w:highlight w:val="none"/>
            </w:rPr>
            <w:fldChar w:fldCharType="end"/>
          </w:r>
          <w:r>
            <w:rPr>
              <w:rFonts w:hint="eastAsia"/>
              <w:color w:val="auto"/>
              <w:highlight w:val="none"/>
              <w:lang w:val="en-US" w:eastAsia="zh-CN"/>
            </w:rPr>
            <w:fldChar w:fldCharType="end"/>
          </w:r>
        </w:p>
        <w:p>
          <w:pPr>
            <w:pStyle w:val="18"/>
            <w:tabs>
              <w:tab w:val="right" w:leader="dot" w:pos="9079"/>
            </w:tabs>
            <w:rPr>
              <w:color w:val="auto"/>
              <w:highlight w:val="none"/>
            </w:rPr>
          </w:pPr>
          <w:r>
            <w:rPr>
              <w:rFonts w:hint="eastAsia"/>
              <w:color w:val="auto"/>
              <w:highlight w:val="none"/>
              <w:lang w:val="en-US" w:eastAsia="zh-CN"/>
            </w:rPr>
            <w:fldChar w:fldCharType="begin"/>
          </w:r>
          <w:r>
            <w:rPr>
              <w:rFonts w:hint="eastAsia"/>
              <w:color w:val="auto"/>
              <w:highlight w:val="none"/>
              <w:lang w:val="en-US" w:eastAsia="zh-CN"/>
            </w:rPr>
            <w:instrText xml:space="preserve"> HYPERLINK \l _Toc29756 </w:instrText>
          </w:r>
          <w:r>
            <w:rPr>
              <w:rFonts w:hint="eastAsia"/>
              <w:color w:val="auto"/>
              <w:highlight w:val="none"/>
              <w:lang w:val="en-US" w:eastAsia="zh-CN"/>
            </w:rPr>
            <w:fldChar w:fldCharType="separate"/>
          </w:r>
          <w:r>
            <w:rPr>
              <w:rFonts w:hint="eastAsia"/>
              <w:color w:val="auto"/>
              <w:highlight w:val="none"/>
            </w:rPr>
            <w:t>7.7 外墙工程技术要求</w:t>
          </w:r>
          <w:r>
            <w:rPr>
              <w:color w:val="auto"/>
              <w:highlight w:val="none"/>
            </w:rPr>
            <w:tab/>
          </w:r>
          <w:r>
            <w:rPr>
              <w:color w:val="auto"/>
              <w:highlight w:val="none"/>
            </w:rPr>
            <w:fldChar w:fldCharType="begin"/>
          </w:r>
          <w:r>
            <w:rPr>
              <w:color w:val="auto"/>
              <w:highlight w:val="none"/>
            </w:rPr>
            <w:instrText xml:space="preserve"> PAGEREF _Toc29756 \h </w:instrText>
          </w:r>
          <w:r>
            <w:rPr>
              <w:color w:val="auto"/>
              <w:highlight w:val="none"/>
            </w:rPr>
            <w:fldChar w:fldCharType="separate"/>
          </w:r>
          <w:r>
            <w:rPr>
              <w:color w:val="auto"/>
              <w:highlight w:val="none"/>
            </w:rPr>
            <w:t>137</w:t>
          </w:r>
          <w:r>
            <w:rPr>
              <w:color w:val="auto"/>
              <w:highlight w:val="none"/>
            </w:rPr>
            <w:fldChar w:fldCharType="end"/>
          </w:r>
          <w:r>
            <w:rPr>
              <w:rFonts w:hint="eastAsia"/>
              <w:color w:val="auto"/>
              <w:highlight w:val="none"/>
              <w:lang w:val="en-US" w:eastAsia="zh-CN"/>
            </w:rPr>
            <w:fldChar w:fldCharType="end"/>
          </w:r>
        </w:p>
        <w:p>
          <w:pPr>
            <w:pStyle w:val="18"/>
            <w:tabs>
              <w:tab w:val="right" w:leader="dot" w:pos="9079"/>
            </w:tabs>
            <w:rPr>
              <w:color w:val="auto"/>
              <w:highlight w:val="none"/>
            </w:rPr>
          </w:pPr>
          <w:r>
            <w:rPr>
              <w:rFonts w:hint="eastAsia"/>
              <w:color w:val="auto"/>
              <w:highlight w:val="none"/>
              <w:lang w:val="en-US" w:eastAsia="zh-CN"/>
            </w:rPr>
            <w:fldChar w:fldCharType="begin"/>
          </w:r>
          <w:r>
            <w:rPr>
              <w:rFonts w:hint="eastAsia"/>
              <w:color w:val="auto"/>
              <w:highlight w:val="none"/>
              <w:lang w:val="en-US" w:eastAsia="zh-CN"/>
            </w:rPr>
            <w:instrText xml:space="preserve"> HYPERLINK \l _Toc7195 </w:instrText>
          </w:r>
          <w:r>
            <w:rPr>
              <w:rFonts w:hint="eastAsia"/>
              <w:color w:val="auto"/>
              <w:highlight w:val="none"/>
              <w:lang w:val="en-US" w:eastAsia="zh-CN"/>
            </w:rPr>
            <w:fldChar w:fldCharType="separate"/>
          </w:r>
          <w:r>
            <w:rPr>
              <w:rFonts w:hint="eastAsia"/>
              <w:color w:val="auto"/>
              <w:highlight w:val="none"/>
            </w:rPr>
            <w:t xml:space="preserve">7.8 </w:t>
          </w:r>
          <w:r>
            <w:rPr>
              <w:rFonts w:hint="eastAsia"/>
              <w:color w:val="auto"/>
              <w:highlight w:val="none"/>
              <w:lang w:val="en-US" w:eastAsia="zh-CN"/>
            </w:rPr>
            <w:t>门窗工程技术要求</w:t>
          </w:r>
          <w:r>
            <w:rPr>
              <w:color w:val="auto"/>
              <w:highlight w:val="none"/>
            </w:rPr>
            <w:tab/>
          </w:r>
          <w:r>
            <w:rPr>
              <w:color w:val="auto"/>
              <w:highlight w:val="none"/>
            </w:rPr>
            <w:fldChar w:fldCharType="begin"/>
          </w:r>
          <w:r>
            <w:rPr>
              <w:color w:val="auto"/>
              <w:highlight w:val="none"/>
            </w:rPr>
            <w:instrText xml:space="preserve"> PAGEREF _Toc7195 \h </w:instrText>
          </w:r>
          <w:r>
            <w:rPr>
              <w:color w:val="auto"/>
              <w:highlight w:val="none"/>
            </w:rPr>
            <w:fldChar w:fldCharType="separate"/>
          </w:r>
          <w:r>
            <w:rPr>
              <w:color w:val="auto"/>
              <w:highlight w:val="none"/>
            </w:rPr>
            <w:t>138</w:t>
          </w:r>
          <w:r>
            <w:rPr>
              <w:color w:val="auto"/>
              <w:highlight w:val="none"/>
            </w:rPr>
            <w:fldChar w:fldCharType="end"/>
          </w:r>
          <w:r>
            <w:rPr>
              <w:rFonts w:hint="eastAsia"/>
              <w:color w:val="auto"/>
              <w:highlight w:val="none"/>
              <w:lang w:val="en-US" w:eastAsia="zh-CN"/>
            </w:rPr>
            <w:fldChar w:fldCharType="end"/>
          </w:r>
        </w:p>
        <w:p>
          <w:pPr>
            <w:pStyle w:val="18"/>
            <w:tabs>
              <w:tab w:val="right" w:leader="dot" w:pos="9079"/>
            </w:tabs>
            <w:rPr>
              <w:color w:val="auto"/>
              <w:highlight w:val="none"/>
            </w:rPr>
          </w:pPr>
          <w:r>
            <w:rPr>
              <w:rFonts w:hint="eastAsia"/>
              <w:color w:val="auto"/>
              <w:highlight w:val="none"/>
              <w:lang w:val="en-US" w:eastAsia="zh-CN"/>
            </w:rPr>
            <w:fldChar w:fldCharType="begin"/>
          </w:r>
          <w:r>
            <w:rPr>
              <w:rFonts w:hint="eastAsia"/>
              <w:color w:val="auto"/>
              <w:highlight w:val="none"/>
              <w:lang w:val="en-US" w:eastAsia="zh-CN"/>
            </w:rPr>
            <w:instrText xml:space="preserve"> HYPERLINK \l _Toc4136 </w:instrText>
          </w:r>
          <w:r>
            <w:rPr>
              <w:rFonts w:hint="eastAsia"/>
              <w:color w:val="auto"/>
              <w:highlight w:val="none"/>
              <w:lang w:val="en-US" w:eastAsia="zh-CN"/>
            </w:rPr>
            <w:fldChar w:fldCharType="separate"/>
          </w:r>
          <w:r>
            <w:rPr>
              <w:rFonts w:hint="eastAsia"/>
              <w:color w:val="auto"/>
              <w:highlight w:val="none"/>
            </w:rPr>
            <w:t>7.9 屋面工程技术要求</w:t>
          </w:r>
          <w:r>
            <w:rPr>
              <w:color w:val="auto"/>
              <w:highlight w:val="none"/>
            </w:rPr>
            <w:tab/>
          </w:r>
          <w:r>
            <w:rPr>
              <w:color w:val="auto"/>
              <w:highlight w:val="none"/>
            </w:rPr>
            <w:fldChar w:fldCharType="begin"/>
          </w:r>
          <w:r>
            <w:rPr>
              <w:color w:val="auto"/>
              <w:highlight w:val="none"/>
            </w:rPr>
            <w:instrText xml:space="preserve"> PAGEREF _Toc4136 \h </w:instrText>
          </w:r>
          <w:r>
            <w:rPr>
              <w:color w:val="auto"/>
              <w:highlight w:val="none"/>
            </w:rPr>
            <w:fldChar w:fldCharType="separate"/>
          </w:r>
          <w:r>
            <w:rPr>
              <w:color w:val="auto"/>
              <w:highlight w:val="none"/>
            </w:rPr>
            <w:t>146</w:t>
          </w:r>
          <w:r>
            <w:rPr>
              <w:color w:val="auto"/>
              <w:highlight w:val="none"/>
            </w:rPr>
            <w:fldChar w:fldCharType="end"/>
          </w:r>
          <w:r>
            <w:rPr>
              <w:rFonts w:hint="eastAsia"/>
              <w:color w:val="auto"/>
              <w:highlight w:val="none"/>
              <w:lang w:val="en-US" w:eastAsia="zh-CN"/>
            </w:rPr>
            <w:fldChar w:fldCharType="end"/>
          </w:r>
        </w:p>
        <w:p>
          <w:pPr>
            <w:pStyle w:val="18"/>
            <w:tabs>
              <w:tab w:val="right" w:leader="dot" w:pos="9079"/>
            </w:tabs>
            <w:rPr>
              <w:color w:val="auto"/>
              <w:highlight w:val="none"/>
            </w:rPr>
          </w:pPr>
          <w:r>
            <w:rPr>
              <w:rFonts w:hint="eastAsia"/>
              <w:color w:val="auto"/>
              <w:highlight w:val="none"/>
              <w:lang w:val="en-US" w:eastAsia="zh-CN"/>
            </w:rPr>
            <w:fldChar w:fldCharType="begin"/>
          </w:r>
          <w:r>
            <w:rPr>
              <w:rFonts w:hint="eastAsia"/>
              <w:color w:val="auto"/>
              <w:highlight w:val="none"/>
              <w:lang w:val="en-US" w:eastAsia="zh-CN"/>
            </w:rPr>
            <w:instrText xml:space="preserve"> HYPERLINK \l _Toc7088 </w:instrText>
          </w:r>
          <w:r>
            <w:rPr>
              <w:rFonts w:hint="eastAsia"/>
              <w:color w:val="auto"/>
              <w:highlight w:val="none"/>
              <w:lang w:val="en-US" w:eastAsia="zh-CN"/>
            </w:rPr>
            <w:fldChar w:fldCharType="separate"/>
          </w:r>
          <w:r>
            <w:rPr>
              <w:rFonts w:hint="eastAsia"/>
              <w:color w:val="auto"/>
              <w:highlight w:val="none"/>
            </w:rPr>
            <w:t>7.10 防渗漏专项工程技术要求</w:t>
          </w:r>
          <w:r>
            <w:rPr>
              <w:color w:val="auto"/>
              <w:highlight w:val="none"/>
            </w:rPr>
            <w:tab/>
          </w:r>
          <w:r>
            <w:rPr>
              <w:color w:val="auto"/>
              <w:highlight w:val="none"/>
            </w:rPr>
            <w:fldChar w:fldCharType="begin"/>
          </w:r>
          <w:r>
            <w:rPr>
              <w:color w:val="auto"/>
              <w:highlight w:val="none"/>
            </w:rPr>
            <w:instrText xml:space="preserve"> PAGEREF _Toc7088 \h </w:instrText>
          </w:r>
          <w:r>
            <w:rPr>
              <w:color w:val="auto"/>
              <w:highlight w:val="none"/>
            </w:rPr>
            <w:fldChar w:fldCharType="separate"/>
          </w:r>
          <w:r>
            <w:rPr>
              <w:color w:val="auto"/>
              <w:highlight w:val="none"/>
            </w:rPr>
            <w:t>147</w:t>
          </w:r>
          <w:r>
            <w:rPr>
              <w:color w:val="auto"/>
              <w:highlight w:val="none"/>
            </w:rPr>
            <w:fldChar w:fldCharType="end"/>
          </w:r>
          <w:r>
            <w:rPr>
              <w:rFonts w:hint="eastAsia"/>
              <w:color w:val="auto"/>
              <w:highlight w:val="none"/>
              <w:lang w:val="en-US" w:eastAsia="zh-CN"/>
            </w:rPr>
            <w:fldChar w:fldCharType="end"/>
          </w:r>
        </w:p>
        <w:p>
          <w:pPr>
            <w:pStyle w:val="18"/>
            <w:tabs>
              <w:tab w:val="right" w:leader="dot" w:pos="9079"/>
            </w:tabs>
            <w:rPr>
              <w:color w:val="auto"/>
              <w:highlight w:val="none"/>
            </w:rPr>
          </w:pPr>
          <w:r>
            <w:rPr>
              <w:rFonts w:hint="eastAsia"/>
              <w:color w:val="auto"/>
              <w:highlight w:val="none"/>
              <w:lang w:val="en-US" w:eastAsia="zh-CN"/>
            </w:rPr>
            <w:fldChar w:fldCharType="begin"/>
          </w:r>
          <w:r>
            <w:rPr>
              <w:rFonts w:hint="eastAsia"/>
              <w:color w:val="auto"/>
              <w:highlight w:val="none"/>
              <w:lang w:val="en-US" w:eastAsia="zh-CN"/>
            </w:rPr>
            <w:instrText xml:space="preserve"> HYPERLINK \l _Toc508 </w:instrText>
          </w:r>
          <w:r>
            <w:rPr>
              <w:rFonts w:hint="eastAsia"/>
              <w:color w:val="auto"/>
              <w:highlight w:val="none"/>
              <w:lang w:val="en-US" w:eastAsia="zh-CN"/>
            </w:rPr>
            <w:fldChar w:fldCharType="separate"/>
          </w:r>
          <w:r>
            <w:rPr>
              <w:rFonts w:hint="eastAsia"/>
              <w:color w:val="auto"/>
              <w:highlight w:val="none"/>
            </w:rPr>
            <w:t>7.11 高精砌块砌筑施工技术要求</w:t>
          </w:r>
          <w:r>
            <w:rPr>
              <w:rFonts w:hint="eastAsia"/>
              <w:color w:val="auto"/>
              <w:highlight w:val="none"/>
              <w:lang w:eastAsia="zh-CN"/>
            </w:rPr>
            <w:t>（</w:t>
          </w:r>
          <w:r>
            <w:rPr>
              <w:rFonts w:hint="eastAsia"/>
              <w:color w:val="auto"/>
              <w:highlight w:val="none"/>
              <w:lang w:val="en-US" w:eastAsia="zh-CN"/>
            </w:rPr>
            <w:t>如有</w:t>
          </w:r>
          <w:r>
            <w:rPr>
              <w:rFonts w:hint="eastAsia"/>
              <w:color w:val="auto"/>
              <w:highlight w:val="none"/>
              <w:lang w:eastAsia="zh-CN"/>
            </w:rPr>
            <w:t>）</w:t>
          </w:r>
          <w:r>
            <w:rPr>
              <w:color w:val="auto"/>
              <w:highlight w:val="none"/>
            </w:rPr>
            <w:tab/>
          </w:r>
          <w:r>
            <w:rPr>
              <w:color w:val="auto"/>
              <w:highlight w:val="none"/>
            </w:rPr>
            <w:fldChar w:fldCharType="begin"/>
          </w:r>
          <w:r>
            <w:rPr>
              <w:color w:val="auto"/>
              <w:highlight w:val="none"/>
            </w:rPr>
            <w:instrText xml:space="preserve"> PAGEREF _Toc508 \h </w:instrText>
          </w:r>
          <w:r>
            <w:rPr>
              <w:color w:val="auto"/>
              <w:highlight w:val="none"/>
            </w:rPr>
            <w:fldChar w:fldCharType="separate"/>
          </w:r>
          <w:r>
            <w:rPr>
              <w:color w:val="auto"/>
              <w:highlight w:val="none"/>
            </w:rPr>
            <w:t>154</w:t>
          </w:r>
          <w:r>
            <w:rPr>
              <w:color w:val="auto"/>
              <w:highlight w:val="none"/>
            </w:rPr>
            <w:fldChar w:fldCharType="end"/>
          </w:r>
          <w:r>
            <w:rPr>
              <w:rFonts w:hint="eastAsia"/>
              <w:color w:val="auto"/>
              <w:highlight w:val="none"/>
              <w:lang w:val="en-US" w:eastAsia="zh-CN"/>
            </w:rPr>
            <w:fldChar w:fldCharType="end"/>
          </w:r>
        </w:p>
        <w:p>
          <w:pPr>
            <w:pStyle w:val="18"/>
            <w:tabs>
              <w:tab w:val="right" w:leader="dot" w:pos="9079"/>
            </w:tabs>
            <w:rPr>
              <w:color w:val="auto"/>
              <w:highlight w:val="none"/>
            </w:rPr>
          </w:pPr>
          <w:r>
            <w:rPr>
              <w:rFonts w:hint="eastAsia"/>
              <w:color w:val="auto"/>
              <w:highlight w:val="none"/>
              <w:lang w:val="en-US" w:eastAsia="zh-CN"/>
            </w:rPr>
            <w:fldChar w:fldCharType="begin"/>
          </w:r>
          <w:r>
            <w:rPr>
              <w:rFonts w:hint="eastAsia"/>
              <w:color w:val="auto"/>
              <w:highlight w:val="none"/>
              <w:lang w:val="en-US" w:eastAsia="zh-CN"/>
            </w:rPr>
            <w:instrText xml:space="preserve"> HYPERLINK \l _Toc13473 </w:instrText>
          </w:r>
          <w:r>
            <w:rPr>
              <w:rFonts w:hint="eastAsia"/>
              <w:color w:val="auto"/>
              <w:highlight w:val="none"/>
              <w:lang w:val="en-US" w:eastAsia="zh-CN"/>
            </w:rPr>
            <w:fldChar w:fldCharType="separate"/>
          </w:r>
          <w:r>
            <w:rPr>
              <w:rFonts w:hint="eastAsia"/>
              <w:color w:val="auto"/>
              <w:highlight w:val="none"/>
            </w:rPr>
            <w:t>7.12 装配式工程技术要求</w:t>
          </w:r>
          <w:r>
            <w:rPr>
              <w:color w:val="auto"/>
              <w:highlight w:val="none"/>
            </w:rPr>
            <w:tab/>
          </w:r>
          <w:r>
            <w:rPr>
              <w:color w:val="auto"/>
              <w:highlight w:val="none"/>
            </w:rPr>
            <w:fldChar w:fldCharType="begin"/>
          </w:r>
          <w:r>
            <w:rPr>
              <w:color w:val="auto"/>
              <w:highlight w:val="none"/>
            </w:rPr>
            <w:instrText xml:space="preserve"> PAGEREF _Toc13473 \h </w:instrText>
          </w:r>
          <w:r>
            <w:rPr>
              <w:color w:val="auto"/>
              <w:highlight w:val="none"/>
            </w:rPr>
            <w:fldChar w:fldCharType="separate"/>
          </w:r>
          <w:r>
            <w:rPr>
              <w:color w:val="auto"/>
              <w:highlight w:val="none"/>
            </w:rPr>
            <w:t>155</w:t>
          </w:r>
          <w:r>
            <w:rPr>
              <w:color w:val="auto"/>
              <w:highlight w:val="none"/>
            </w:rPr>
            <w:fldChar w:fldCharType="end"/>
          </w:r>
          <w:r>
            <w:rPr>
              <w:rFonts w:hint="eastAsia"/>
              <w:color w:val="auto"/>
              <w:highlight w:val="none"/>
              <w:lang w:val="en-US" w:eastAsia="zh-CN"/>
            </w:rPr>
            <w:fldChar w:fldCharType="end"/>
          </w:r>
        </w:p>
        <w:p>
          <w:pPr>
            <w:pStyle w:val="18"/>
            <w:tabs>
              <w:tab w:val="right" w:leader="dot" w:pos="9079"/>
            </w:tabs>
            <w:rPr>
              <w:color w:val="auto"/>
              <w:highlight w:val="none"/>
            </w:rPr>
          </w:pPr>
          <w:r>
            <w:rPr>
              <w:rFonts w:hint="eastAsia"/>
              <w:color w:val="auto"/>
              <w:highlight w:val="none"/>
              <w:lang w:val="en-US" w:eastAsia="zh-CN"/>
            </w:rPr>
            <w:fldChar w:fldCharType="begin"/>
          </w:r>
          <w:r>
            <w:rPr>
              <w:rFonts w:hint="eastAsia"/>
              <w:color w:val="auto"/>
              <w:highlight w:val="none"/>
              <w:lang w:val="en-US" w:eastAsia="zh-CN"/>
            </w:rPr>
            <w:instrText xml:space="preserve"> HYPERLINK \l _Toc11144 </w:instrText>
          </w:r>
          <w:r>
            <w:rPr>
              <w:rFonts w:hint="eastAsia"/>
              <w:color w:val="auto"/>
              <w:highlight w:val="none"/>
              <w:lang w:val="en-US" w:eastAsia="zh-CN"/>
            </w:rPr>
            <w:fldChar w:fldCharType="separate"/>
          </w:r>
          <w:r>
            <w:rPr>
              <w:rFonts w:hint="eastAsia"/>
              <w:color w:val="auto"/>
              <w:highlight w:val="none"/>
            </w:rPr>
            <w:t>7.13 机电工程技术要求</w:t>
          </w:r>
          <w:r>
            <w:rPr>
              <w:color w:val="auto"/>
              <w:highlight w:val="none"/>
            </w:rPr>
            <w:tab/>
          </w:r>
          <w:r>
            <w:rPr>
              <w:color w:val="auto"/>
              <w:highlight w:val="none"/>
            </w:rPr>
            <w:fldChar w:fldCharType="begin"/>
          </w:r>
          <w:r>
            <w:rPr>
              <w:color w:val="auto"/>
              <w:highlight w:val="none"/>
            </w:rPr>
            <w:instrText xml:space="preserve"> PAGEREF _Toc11144 \h </w:instrText>
          </w:r>
          <w:r>
            <w:rPr>
              <w:color w:val="auto"/>
              <w:highlight w:val="none"/>
            </w:rPr>
            <w:fldChar w:fldCharType="separate"/>
          </w:r>
          <w:r>
            <w:rPr>
              <w:color w:val="auto"/>
              <w:highlight w:val="none"/>
            </w:rPr>
            <w:t>159</w:t>
          </w:r>
          <w:r>
            <w:rPr>
              <w:color w:val="auto"/>
              <w:highlight w:val="none"/>
            </w:rPr>
            <w:fldChar w:fldCharType="end"/>
          </w:r>
          <w:r>
            <w:rPr>
              <w:rFonts w:hint="eastAsia"/>
              <w:color w:val="auto"/>
              <w:highlight w:val="none"/>
              <w:lang w:val="en-US" w:eastAsia="zh-CN"/>
            </w:rPr>
            <w:fldChar w:fldCharType="end"/>
          </w:r>
        </w:p>
        <w:p>
          <w:pPr>
            <w:pStyle w:val="18"/>
            <w:tabs>
              <w:tab w:val="right" w:leader="dot" w:pos="9079"/>
            </w:tabs>
            <w:rPr>
              <w:color w:val="auto"/>
              <w:highlight w:val="none"/>
            </w:rPr>
          </w:pPr>
          <w:r>
            <w:rPr>
              <w:rFonts w:hint="eastAsia"/>
              <w:color w:val="auto"/>
              <w:highlight w:val="none"/>
              <w:lang w:val="en-US" w:eastAsia="zh-CN"/>
            </w:rPr>
            <w:fldChar w:fldCharType="begin"/>
          </w:r>
          <w:r>
            <w:rPr>
              <w:rFonts w:hint="eastAsia"/>
              <w:color w:val="auto"/>
              <w:highlight w:val="none"/>
              <w:lang w:val="en-US" w:eastAsia="zh-CN"/>
            </w:rPr>
            <w:instrText xml:space="preserve"> HYPERLINK \l _Toc7172 </w:instrText>
          </w:r>
          <w:r>
            <w:rPr>
              <w:rFonts w:hint="eastAsia"/>
              <w:color w:val="auto"/>
              <w:highlight w:val="none"/>
              <w:lang w:val="en-US" w:eastAsia="zh-CN"/>
            </w:rPr>
            <w:fldChar w:fldCharType="separate"/>
          </w:r>
          <w:r>
            <w:rPr>
              <w:rFonts w:hint="eastAsia"/>
              <w:color w:val="auto"/>
              <w:highlight w:val="none"/>
              <w:lang w:eastAsia="zh-CN"/>
            </w:rPr>
            <w:t xml:space="preserve">7.14 </w:t>
          </w:r>
          <w:r>
            <w:rPr>
              <w:color w:val="auto"/>
              <w:highlight w:val="none"/>
              <w:lang w:eastAsia="zh-CN"/>
            </w:rPr>
            <w:t>BIM技术运用要求</w:t>
          </w:r>
          <w:r>
            <w:rPr>
              <w:color w:val="auto"/>
              <w:highlight w:val="none"/>
            </w:rPr>
            <w:tab/>
          </w:r>
          <w:r>
            <w:rPr>
              <w:color w:val="auto"/>
              <w:highlight w:val="none"/>
            </w:rPr>
            <w:fldChar w:fldCharType="begin"/>
          </w:r>
          <w:r>
            <w:rPr>
              <w:color w:val="auto"/>
              <w:highlight w:val="none"/>
            </w:rPr>
            <w:instrText xml:space="preserve"> PAGEREF _Toc7172 \h </w:instrText>
          </w:r>
          <w:r>
            <w:rPr>
              <w:color w:val="auto"/>
              <w:highlight w:val="none"/>
            </w:rPr>
            <w:fldChar w:fldCharType="separate"/>
          </w:r>
          <w:r>
            <w:rPr>
              <w:color w:val="auto"/>
              <w:highlight w:val="none"/>
            </w:rPr>
            <w:t>191</w:t>
          </w:r>
          <w:r>
            <w:rPr>
              <w:color w:val="auto"/>
              <w:highlight w:val="none"/>
            </w:rPr>
            <w:fldChar w:fldCharType="end"/>
          </w:r>
          <w:r>
            <w:rPr>
              <w:rFonts w:hint="eastAsia"/>
              <w:color w:val="auto"/>
              <w:highlight w:val="none"/>
              <w:lang w:val="en-US" w:eastAsia="zh-CN"/>
            </w:rPr>
            <w:fldChar w:fldCharType="end"/>
          </w:r>
        </w:p>
        <w:p>
          <w:pPr>
            <w:pStyle w:val="18"/>
            <w:tabs>
              <w:tab w:val="right" w:leader="dot" w:pos="9079"/>
            </w:tabs>
            <w:rPr>
              <w:color w:val="auto"/>
              <w:highlight w:val="none"/>
            </w:rPr>
          </w:pPr>
          <w:r>
            <w:rPr>
              <w:rFonts w:hint="eastAsia"/>
              <w:color w:val="auto"/>
              <w:highlight w:val="none"/>
              <w:lang w:val="en-US" w:eastAsia="zh-CN"/>
            </w:rPr>
            <w:fldChar w:fldCharType="begin"/>
          </w:r>
          <w:r>
            <w:rPr>
              <w:rFonts w:hint="eastAsia"/>
              <w:color w:val="auto"/>
              <w:highlight w:val="none"/>
              <w:lang w:val="en-US" w:eastAsia="zh-CN"/>
            </w:rPr>
            <w:instrText xml:space="preserve"> HYPERLINK \l _Toc1514 </w:instrText>
          </w:r>
          <w:r>
            <w:rPr>
              <w:rFonts w:hint="eastAsia"/>
              <w:color w:val="auto"/>
              <w:highlight w:val="none"/>
              <w:lang w:val="en-US" w:eastAsia="zh-CN"/>
            </w:rPr>
            <w:fldChar w:fldCharType="separate"/>
          </w:r>
          <w:r>
            <w:rPr>
              <w:rFonts w:hint="eastAsia"/>
              <w:color w:val="auto"/>
              <w:highlight w:val="none"/>
              <w:lang w:val="en-US" w:eastAsia="zh-CN"/>
            </w:rPr>
            <w:t>7.15 脚手架工程技术要求</w:t>
          </w:r>
          <w:r>
            <w:rPr>
              <w:color w:val="auto"/>
              <w:highlight w:val="none"/>
            </w:rPr>
            <w:tab/>
          </w:r>
          <w:r>
            <w:rPr>
              <w:color w:val="auto"/>
              <w:highlight w:val="none"/>
            </w:rPr>
            <w:fldChar w:fldCharType="begin"/>
          </w:r>
          <w:r>
            <w:rPr>
              <w:color w:val="auto"/>
              <w:highlight w:val="none"/>
            </w:rPr>
            <w:instrText xml:space="preserve"> PAGEREF _Toc1514 \h </w:instrText>
          </w:r>
          <w:r>
            <w:rPr>
              <w:color w:val="auto"/>
              <w:highlight w:val="none"/>
            </w:rPr>
            <w:fldChar w:fldCharType="separate"/>
          </w:r>
          <w:r>
            <w:rPr>
              <w:color w:val="auto"/>
              <w:highlight w:val="none"/>
            </w:rPr>
            <w:t>191</w:t>
          </w:r>
          <w:r>
            <w:rPr>
              <w:color w:val="auto"/>
              <w:highlight w:val="none"/>
            </w:rPr>
            <w:fldChar w:fldCharType="end"/>
          </w:r>
          <w:r>
            <w:rPr>
              <w:rFonts w:hint="eastAsia"/>
              <w:color w:val="auto"/>
              <w:highlight w:val="none"/>
              <w:lang w:val="en-US" w:eastAsia="zh-CN"/>
            </w:rPr>
            <w:fldChar w:fldCharType="end"/>
          </w:r>
        </w:p>
        <w:p>
          <w:pPr>
            <w:pStyle w:val="16"/>
            <w:tabs>
              <w:tab w:val="right" w:leader="dot" w:pos="9079"/>
            </w:tabs>
            <w:rPr>
              <w:color w:val="auto"/>
              <w:highlight w:val="none"/>
            </w:rPr>
          </w:pPr>
          <w:r>
            <w:rPr>
              <w:rFonts w:hint="eastAsia"/>
              <w:color w:val="auto"/>
              <w:highlight w:val="none"/>
              <w:lang w:val="en-US" w:eastAsia="zh-CN"/>
            </w:rPr>
            <w:fldChar w:fldCharType="begin"/>
          </w:r>
          <w:r>
            <w:rPr>
              <w:rFonts w:hint="eastAsia"/>
              <w:color w:val="auto"/>
              <w:highlight w:val="none"/>
              <w:lang w:val="en-US" w:eastAsia="zh-CN"/>
            </w:rPr>
            <w:instrText xml:space="preserve"> HYPERLINK \l _Toc9562 </w:instrText>
          </w:r>
          <w:r>
            <w:rPr>
              <w:rFonts w:hint="eastAsia"/>
              <w:color w:val="auto"/>
              <w:highlight w:val="none"/>
              <w:lang w:val="en-US" w:eastAsia="zh-CN"/>
            </w:rPr>
            <w:fldChar w:fldCharType="separate"/>
          </w:r>
          <w:r>
            <w:rPr>
              <w:rFonts w:hint="default"/>
              <w:color w:val="auto"/>
              <w:highlight w:val="none"/>
            </w:rPr>
            <w:t xml:space="preserve">第8章 </w:t>
          </w:r>
          <w:r>
            <w:rPr>
              <w:rFonts w:hint="eastAsia"/>
              <w:color w:val="auto"/>
              <w:highlight w:val="none"/>
              <w:lang w:eastAsia="zh-CN"/>
            </w:rPr>
            <w:t>安全</w:t>
          </w:r>
          <w:r>
            <w:rPr>
              <w:rFonts w:hint="eastAsia"/>
              <w:color w:val="auto"/>
              <w:highlight w:val="none"/>
            </w:rPr>
            <w:t>管理规定</w:t>
          </w:r>
          <w:r>
            <w:rPr>
              <w:color w:val="auto"/>
              <w:highlight w:val="none"/>
            </w:rPr>
            <w:tab/>
          </w:r>
          <w:r>
            <w:rPr>
              <w:color w:val="auto"/>
              <w:highlight w:val="none"/>
            </w:rPr>
            <w:fldChar w:fldCharType="begin"/>
          </w:r>
          <w:r>
            <w:rPr>
              <w:color w:val="auto"/>
              <w:highlight w:val="none"/>
            </w:rPr>
            <w:instrText xml:space="preserve"> PAGEREF _Toc9562 \h </w:instrText>
          </w:r>
          <w:r>
            <w:rPr>
              <w:color w:val="auto"/>
              <w:highlight w:val="none"/>
            </w:rPr>
            <w:fldChar w:fldCharType="separate"/>
          </w:r>
          <w:r>
            <w:rPr>
              <w:color w:val="auto"/>
              <w:highlight w:val="none"/>
            </w:rPr>
            <w:t>193</w:t>
          </w:r>
          <w:r>
            <w:rPr>
              <w:color w:val="auto"/>
              <w:highlight w:val="none"/>
            </w:rPr>
            <w:fldChar w:fldCharType="end"/>
          </w:r>
          <w:r>
            <w:rPr>
              <w:rFonts w:hint="eastAsia"/>
              <w:color w:val="auto"/>
              <w:highlight w:val="none"/>
              <w:lang w:val="en-US" w:eastAsia="zh-CN"/>
            </w:rPr>
            <w:fldChar w:fldCharType="end"/>
          </w:r>
        </w:p>
        <w:p>
          <w:pPr>
            <w:pStyle w:val="18"/>
            <w:tabs>
              <w:tab w:val="right" w:leader="dot" w:pos="9079"/>
            </w:tabs>
            <w:rPr>
              <w:color w:val="auto"/>
              <w:highlight w:val="none"/>
            </w:rPr>
          </w:pPr>
          <w:r>
            <w:rPr>
              <w:rFonts w:hint="eastAsia"/>
              <w:color w:val="auto"/>
              <w:highlight w:val="none"/>
              <w:lang w:val="en-US" w:eastAsia="zh-CN"/>
            </w:rPr>
            <w:fldChar w:fldCharType="begin"/>
          </w:r>
          <w:r>
            <w:rPr>
              <w:rFonts w:hint="eastAsia"/>
              <w:color w:val="auto"/>
              <w:highlight w:val="none"/>
              <w:lang w:val="en-US" w:eastAsia="zh-CN"/>
            </w:rPr>
            <w:instrText xml:space="preserve"> HYPERLINK \l _Toc16915 </w:instrText>
          </w:r>
          <w:r>
            <w:rPr>
              <w:rFonts w:hint="eastAsia"/>
              <w:color w:val="auto"/>
              <w:highlight w:val="none"/>
              <w:lang w:val="en-US" w:eastAsia="zh-CN"/>
            </w:rPr>
            <w:fldChar w:fldCharType="separate"/>
          </w:r>
          <w:r>
            <w:rPr>
              <w:rFonts w:hint="eastAsia"/>
              <w:color w:val="auto"/>
              <w:highlight w:val="none"/>
            </w:rPr>
            <w:t xml:space="preserve">8.1 </w:t>
          </w:r>
          <w:r>
            <w:rPr>
              <w:rFonts w:hint="eastAsia"/>
              <w:color w:val="auto"/>
              <w:highlight w:val="none"/>
              <w:lang w:eastAsia="zh-CN"/>
            </w:rPr>
            <w:t>安全</w:t>
          </w:r>
          <w:r>
            <w:rPr>
              <w:rFonts w:hint="eastAsia"/>
              <w:color w:val="auto"/>
              <w:highlight w:val="none"/>
            </w:rPr>
            <w:t>管理理念、原则</w:t>
          </w:r>
          <w:r>
            <w:rPr>
              <w:color w:val="auto"/>
              <w:highlight w:val="none"/>
            </w:rPr>
            <w:tab/>
          </w:r>
          <w:r>
            <w:rPr>
              <w:color w:val="auto"/>
              <w:highlight w:val="none"/>
            </w:rPr>
            <w:fldChar w:fldCharType="begin"/>
          </w:r>
          <w:r>
            <w:rPr>
              <w:color w:val="auto"/>
              <w:highlight w:val="none"/>
            </w:rPr>
            <w:instrText xml:space="preserve"> PAGEREF _Toc16915 \h </w:instrText>
          </w:r>
          <w:r>
            <w:rPr>
              <w:color w:val="auto"/>
              <w:highlight w:val="none"/>
            </w:rPr>
            <w:fldChar w:fldCharType="separate"/>
          </w:r>
          <w:r>
            <w:rPr>
              <w:color w:val="auto"/>
              <w:highlight w:val="none"/>
            </w:rPr>
            <w:t>193</w:t>
          </w:r>
          <w:r>
            <w:rPr>
              <w:color w:val="auto"/>
              <w:highlight w:val="none"/>
            </w:rPr>
            <w:fldChar w:fldCharType="end"/>
          </w:r>
          <w:r>
            <w:rPr>
              <w:rFonts w:hint="eastAsia"/>
              <w:color w:val="auto"/>
              <w:highlight w:val="none"/>
              <w:lang w:val="en-US" w:eastAsia="zh-CN"/>
            </w:rPr>
            <w:fldChar w:fldCharType="end"/>
          </w:r>
        </w:p>
        <w:p>
          <w:pPr>
            <w:pStyle w:val="18"/>
            <w:tabs>
              <w:tab w:val="right" w:leader="dot" w:pos="9079"/>
            </w:tabs>
            <w:rPr>
              <w:color w:val="auto"/>
              <w:highlight w:val="none"/>
            </w:rPr>
          </w:pPr>
          <w:r>
            <w:rPr>
              <w:rFonts w:hint="eastAsia"/>
              <w:color w:val="auto"/>
              <w:highlight w:val="none"/>
              <w:lang w:val="en-US" w:eastAsia="zh-CN"/>
            </w:rPr>
            <w:fldChar w:fldCharType="begin"/>
          </w:r>
          <w:r>
            <w:rPr>
              <w:rFonts w:hint="eastAsia"/>
              <w:color w:val="auto"/>
              <w:highlight w:val="none"/>
              <w:lang w:val="en-US" w:eastAsia="zh-CN"/>
            </w:rPr>
            <w:instrText xml:space="preserve"> HYPERLINK \l _Toc889 </w:instrText>
          </w:r>
          <w:r>
            <w:rPr>
              <w:rFonts w:hint="eastAsia"/>
              <w:color w:val="auto"/>
              <w:highlight w:val="none"/>
              <w:lang w:val="en-US" w:eastAsia="zh-CN"/>
            </w:rPr>
            <w:fldChar w:fldCharType="separate"/>
          </w:r>
          <w:r>
            <w:rPr>
              <w:rFonts w:hint="eastAsia"/>
              <w:color w:val="auto"/>
              <w:highlight w:val="none"/>
            </w:rPr>
            <w:t xml:space="preserve">8.2 </w:t>
          </w:r>
          <w:r>
            <w:rPr>
              <w:rFonts w:hint="eastAsia"/>
              <w:color w:val="auto"/>
              <w:highlight w:val="none"/>
              <w:lang w:eastAsia="zh-CN"/>
            </w:rPr>
            <w:t>安全</w:t>
          </w:r>
          <w:r>
            <w:rPr>
              <w:color w:val="auto"/>
              <w:highlight w:val="none"/>
            </w:rPr>
            <w:t>管理责任</w:t>
          </w:r>
          <w:r>
            <w:rPr>
              <w:rFonts w:hint="eastAsia"/>
              <w:color w:val="auto"/>
              <w:highlight w:val="none"/>
            </w:rPr>
            <w:t>界面</w:t>
          </w:r>
          <w:r>
            <w:rPr>
              <w:color w:val="auto"/>
              <w:highlight w:val="none"/>
            </w:rPr>
            <w:tab/>
          </w:r>
          <w:r>
            <w:rPr>
              <w:color w:val="auto"/>
              <w:highlight w:val="none"/>
            </w:rPr>
            <w:fldChar w:fldCharType="begin"/>
          </w:r>
          <w:r>
            <w:rPr>
              <w:color w:val="auto"/>
              <w:highlight w:val="none"/>
            </w:rPr>
            <w:instrText xml:space="preserve"> PAGEREF _Toc889 \h </w:instrText>
          </w:r>
          <w:r>
            <w:rPr>
              <w:color w:val="auto"/>
              <w:highlight w:val="none"/>
            </w:rPr>
            <w:fldChar w:fldCharType="separate"/>
          </w:r>
          <w:r>
            <w:rPr>
              <w:color w:val="auto"/>
              <w:highlight w:val="none"/>
            </w:rPr>
            <w:t>193</w:t>
          </w:r>
          <w:r>
            <w:rPr>
              <w:color w:val="auto"/>
              <w:highlight w:val="none"/>
            </w:rPr>
            <w:fldChar w:fldCharType="end"/>
          </w:r>
          <w:r>
            <w:rPr>
              <w:rFonts w:hint="eastAsia"/>
              <w:color w:val="auto"/>
              <w:highlight w:val="none"/>
              <w:lang w:val="en-US" w:eastAsia="zh-CN"/>
            </w:rPr>
            <w:fldChar w:fldCharType="end"/>
          </w:r>
        </w:p>
        <w:p>
          <w:pPr>
            <w:pStyle w:val="18"/>
            <w:tabs>
              <w:tab w:val="right" w:leader="dot" w:pos="9079"/>
            </w:tabs>
            <w:rPr>
              <w:color w:val="auto"/>
              <w:highlight w:val="none"/>
            </w:rPr>
          </w:pPr>
          <w:r>
            <w:rPr>
              <w:rFonts w:hint="eastAsia"/>
              <w:color w:val="auto"/>
              <w:highlight w:val="none"/>
              <w:lang w:val="en-US" w:eastAsia="zh-CN"/>
            </w:rPr>
            <w:fldChar w:fldCharType="begin"/>
          </w:r>
          <w:r>
            <w:rPr>
              <w:rFonts w:hint="eastAsia"/>
              <w:color w:val="auto"/>
              <w:highlight w:val="none"/>
              <w:lang w:val="en-US" w:eastAsia="zh-CN"/>
            </w:rPr>
            <w:instrText xml:space="preserve"> HYPERLINK \l _Toc7812 </w:instrText>
          </w:r>
          <w:r>
            <w:rPr>
              <w:rFonts w:hint="eastAsia"/>
              <w:color w:val="auto"/>
              <w:highlight w:val="none"/>
              <w:lang w:val="en-US" w:eastAsia="zh-CN"/>
            </w:rPr>
            <w:fldChar w:fldCharType="separate"/>
          </w:r>
          <w:r>
            <w:rPr>
              <w:rFonts w:hint="eastAsia"/>
              <w:color w:val="auto"/>
              <w:highlight w:val="none"/>
            </w:rPr>
            <w:t xml:space="preserve">8.3 </w:t>
          </w:r>
          <w:r>
            <w:rPr>
              <w:rFonts w:hint="eastAsia"/>
              <w:color w:val="auto"/>
              <w:highlight w:val="none"/>
              <w:lang w:eastAsia="zh-CN"/>
            </w:rPr>
            <w:t>安全</w:t>
          </w:r>
          <w:r>
            <w:rPr>
              <w:rFonts w:hint="eastAsia"/>
              <w:color w:val="auto"/>
              <w:highlight w:val="none"/>
            </w:rPr>
            <w:t>目标与责任管理</w:t>
          </w:r>
          <w:r>
            <w:rPr>
              <w:color w:val="auto"/>
              <w:highlight w:val="none"/>
            </w:rPr>
            <w:tab/>
          </w:r>
          <w:r>
            <w:rPr>
              <w:color w:val="auto"/>
              <w:highlight w:val="none"/>
            </w:rPr>
            <w:fldChar w:fldCharType="begin"/>
          </w:r>
          <w:r>
            <w:rPr>
              <w:color w:val="auto"/>
              <w:highlight w:val="none"/>
            </w:rPr>
            <w:instrText xml:space="preserve"> PAGEREF _Toc7812 \h </w:instrText>
          </w:r>
          <w:r>
            <w:rPr>
              <w:color w:val="auto"/>
              <w:highlight w:val="none"/>
            </w:rPr>
            <w:fldChar w:fldCharType="separate"/>
          </w:r>
          <w:r>
            <w:rPr>
              <w:color w:val="auto"/>
              <w:highlight w:val="none"/>
            </w:rPr>
            <w:t>194</w:t>
          </w:r>
          <w:r>
            <w:rPr>
              <w:color w:val="auto"/>
              <w:highlight w:val="none"/>
            </w:rPr>
            <w:fldChar w:fldCharType="end"/>
          </w:r>
          <w:r>
            <w:rPr>
              <w:rFonts w:hint="eastAsia"/>
              <w:color w:val="auto"/>
              <w:highlight w:val="none"/>
              <w:lang w:val="en-US" w:eastAsia="zh-CN"/>
            </w:rPr>
            <w:fldChar w:fldCharType="end"/>
          </w:r>
        </w:p>
        <w:p>
          <w:pPr>
            <w:pStyle w:val="18"/>
            <w:tabs>
              <w:tab w:val="right" w:leader="dot" w:pos="9079"/>
            </w:tabs>
            <w:rPr>
              <w:color w:val="auto"/>
              <w:highlight w:val="none"/>
            </w:rPr>
          </w:pPr>
          <w:r>
            <w:rPr>
              <w:rFonts w:hint="eastAsia"/>
              <w:color w:val="auto"/>
              <w:highlight w:val="none"/>
              <w:lang w:val="en-US" w:eastAsia="zh-CN"/>
            </w:rPr>
            <w:fldChar w:fldCharType="begin"/>
          </w:r>
          <w:r>
            <w:rPr>
              <w:rFonts w:hint="eastAsia"/>
              <w:color w:val="auto"/>
              <w:highlight w:val="none"/>
              <w:lang w:val="en-US" w:eastAsia="zh-CN"/>
            </w:rPr>
            <w:instrText xml:space="preserve"> HYPERLINK \l _Toc32218 </w:instrText>
          </w:r>
          <w:r>
            <w:rPr>
              <w:rFonts w:hint="eastAsia"/>
              <w:color w:val="auto"/>
              <w:highlight w:val="none"/>
              <w:lang w:val="en-US" w:eastAsia="zh-CN"/>
            </w:rPr>
            <w:fldChar w:fldCharType="separate"/>
          </w:r>
          <w:r>
            <w:rPr>
              <w:rFonts w:hint="eastAsia"/>
              <w:color w:val="auto"/>
              <w:highlight w:val="none"/>
            </w:rPr>
            <w:t xml:space="preserve">8.4 </w:t>
          </w:r>
          <w:r>
            <w:rPr>
              <w:rFonts w:hint="eastAsia"/>
              <w:color w:val="auto"/>
              <w:highlight w:val="none"/>
              <w:lang w:eastAsia="zh-CN"/>
            </w:rPr>
            <w:t>安全</w:t>
          </w:r>
          <w:r>
            <w:rPr>
              <w:color w:val="auto"/>
              <w:highlight w:val="none"/>
            </w:rPr>
            <w:t>组织</w:t>
          </w:r>
          <w:r>
            <w:rPr>
              <w:rFonts w:hint="eastAsia"/>
              <w:color w:val="auto"/>
              <w:highlight w:val="none"/>
            </w:rPr>
            <w:t>建设</w:t>
          </w:r>
          <w:r>
            <w:rPr>
              <w:color w:val="auto"/>
              <w:highlight w:val="none"/>
            </w:rPr>
            <w:t>及人员</w:t>
          </w:r>
          <w:r>
            <w:rPr>
              <w:rFonts w:hint="eastAsia"/>
              <w:color w:val="auto"/>
              <w:highlight w:val="none"/>
            </w:rPr>
            <w:t>配置</w:t>
          </w:r>
          <w:r>
            <w:rPr>
              <w:color w:val="auto"/>
              <w:highlight w:val="none"/>
            </w:rPr>
            <w:tab/>
          </w:r>
          <w:r>
            <w:rPr>
              <w:color w:val="auto"/>
              <w:highlight w:val="none"/>
            </w:rPr>
            <w:fldChar w:fldCharType="begin"/>
          </w:r>
          <w:r>
            <w:rPr>
              <w:color w:val="auto"/>
              <w:highlight w:val="none"/>
            </w:rPr>
            <w:instrText xml:space="preserve"> PAGEREF _Toc32218 \h </w:instrText>
          </w:r>
          <w:r>
            <w:rPr>
              <w:color w:val="auto"/>
              <w:highlight w:val="none"/>
            </w:rPr>
            <w:fldChar w:fldCharType="separate"/>
          </w:r>
          <w:r>
            <w:rPr>
              <w:color w:val="auto"/>
              <w:highlight w:val="none"/>
            </w:rPr>
            <w:t>194</w:t>
          </w:r>
          <w:r>
            <w:rPr>
              <w:color w:val="auto"/>
              <w:highlight w:val="none"/>
            </w:rPr>
            <w:fldChar w:fldCharType="end"/>
          </w:r>
          <w:r>
            <w:rPr>
              <w:rFonts w:hint="eastAsia"/>
              <w:color w:val="auto"/>
              <w:highlight w:val="none"/>
              <w:lang w:val="en-US" w:eastAsia="zh-CN"/>
            </w:rPr>
            <w:fldChar w:fldCharType="end"/>
          </w:r>
        </w:p>
        <w:p>
          <w:pPr>
            <w:pStyle w:val="18"/>
            <w:tabs>
              <w:tab w:val="right" w:leader="dot" w:pos="9079"/>
            </w:tabs>
            <w:rPr>
              <w:color w:val="auto"/>
              <w:highlight w:val="none"/>
            </w:rPr>
          </w:pPr>
          <w:r>
            <w:rPr>
              <w:rFonts w:hint="eastAsia"/>
              <w:color w:val="auto"/>
              <w:highlight w:val="none"/>
              <w:lang w:val="en-US" w:eastAsia="zh-CN"/>
            </w:rPr>
            <w:fldChar w:fldCharType="begin"/>
          </w:r>
          <w:r>
            <w:rPr>
              <w:rFonts w:hint="eastAsia"/>
              <w:color w:val="auto"/>
              <w:highlight w:val="none"/>
              <w:lang w:val="en-US" w:eastAsia="zh-CN"/>
            </w:rPr>
            <w:instrText xml:space="preserve"> HYPERLINK \l _Toc9190 </w:instrText>
          </w:r>
          <w:r>
            <w:rPr>
              <w:rFonts w:hint="eastAsia"/>
              <w:color w:val="auto"/>
              <w:highlight w:val="none"/>
              <w:lang w:val="en-US" w:eastAsia="zh-CN"/>
            </w:rPr>
            <w:fldChar w:fldCharType="separate"/>
          </w:r>
          <w:r>
            <w:rPr>
              <w:rFonts w:hint="eastAsia"/>
              <w:color w:val="auto"/>
              <w:highlight w:val="none"/>
              <w:lang w:val="en-US" w:eastAsia="zh-CN"/>
            </w:rPr>
            <w:t>8.5 安全管理一般要求</w:t>
          </w:r>
          <w:r>
            <w:rPr>
              <w:color w:val="auto"/>
              <w:highlight w:val="none"/>
            </w:rPr>
            <w:tab/>
          </w:r>
          <w:r>
            <w:rPr>
              <w:color w:val="auto"/>
              <w:highlight w:val="none"/>
            </w:rPr>
            <w:fldChar w:fldCharType="begin"/>
          </w:r>
          <w:r>
            <w:rPr>
              <w:color w:val="auto"/>
              <w:highlight w:val="none"/>
            </w:rPr>
            <w:instrText xml:space="preserve"> PAGEREF _Toc9190 \h </w:instrText>
          </w:r>
          <w:r>
            <w:rPr>
              <w:color w:val="auto"/>
              <w:highlight w:val="none"/>
            </w:rPr>
            <w:fldChar w:fldCharType="separate"/>
          </w:r>
          <w:r>
            <w:rPr>
              <w:color w:val="auto"/>
              <w:highlight w:val="none"/>
            </w:rPr>
            <w:t>197</w:t>
          </w:r>
          <w:r>
            <w:rPr>
              <w:color w:val="auto"/>
              <w:highlight w:val="none"/>
            </w:rPr>
            <w:fldChar w:fldCharType="end"/>
          </w:r>
          <w:r>
            <w:rPr>
              <w:rFonts w:hint="eastAsia"/>
              <w:color w:val="auto"/>
              <w:highlight w:val="none"/>
              <w:lang w:val="en-US" w:eastAsia="zh-CN"/>
            </w:rPr>
            <w:fldChar w:fldCharType="end"/>
          </w:r>
        </w:p>
        <w:p>
          <w:pPr>
            <w:pStyle w:val="18"/>
            <w:tabs>
              <w:tab w:val="right" w:leader="dot" w:pos="9079"/>
            </w:tabs>
            <w:rPr>
              <w:color w:val="auto"/>
              <w:highlight w:val="none"/>
            </w:rPr>
          </w:pPr>
          <w:r>
            <w:rPr>
              <w:rFonts w:hint="eastAsia"/>
              <w:color w:val="auto"/>
              <w:highlight w:val="none"/>
              <w:lang w:val="en-US" w:eastAsia="zh-CN"/>
            </w:rPr>
            <w:fldChar w:fldCharType="begin"/>
          </w:r>
          <w:r>
            <w:rPr>
              <w:rFonts w:hint="eastAsia"/>
              <w:color w:val="auto"/>
              <w:highlight w:val="none"/>
              <w:lang w:val="en-US" w:eastAsia="zh-CN"/>
            </w:rPr>
            <w:instrText xml:space="preserve"> HYPERLINK \l _Toc9549 </w:instrText>
          </w:r>
          <w:r>
            <w:rPr>
              <w:rFonts w:hint="eastAsia"/>
              <w:color w:val="auto"/>
              <w:highlight w:val="none"/>
              <w:lang w:val="en-US" w:eastAsia="zh-CN"/>
            </w:rPr>
            <w:fldChar w:fldCharType="separate"/>
          </w:r>
          <w:r>
            <w:rPr>
              <w:rFonts w:hint="eastAsia"/>
              <w:color w:val="auto"/>
              <w:highlight w:val="none"/>
            </w:rPr>
            <w:t>8.6 安全</w:t>
          </w:r>
          <w:r>
            <w:rPr>
              <w:color w:val="auto"/>
              <w:highlight w:val="none"/>
            </w:rPr>
            <w:t>生产管理协议</w:t>
          </w:r>
          <w:r>
            <w:rPr>
              <w:color w:val="auto"/>
              <w:highlight w:val="none"/>
            </w:rPr>
            <w:tab/>
          </w:r>
          <w:r>
            <w:rPr>
              <w:color w:val="auto"/>
              <w:highlight w:val="none"/>
            </w:rPr>
            <w:fldChar w:fldCharType="begin"/>
          </w:r>
          <w:r>
            <w:rPr>
              <w:color w:val="auto"/>
              <w:highlight w:val="none"/>
            </w:rPr>
            <w:instrText xml:space="preserve"> PAGEREF _Toc9549 \h </w:instrText>
          </w:r>
          <w:r>
            <w:rPr>
              <w:color w:val="auto"/>
              <w:highlight w:val="none"/>
            </w:rPr>
            <w:fldChar w:fldCharType="separate"/>
          </w:r>
          <w:r>
            <w:rPr>
              <w:color w:val="auto"/>
              <w:highlight w:val="none"/>
            </w:rPr>
            <w:t>198</w:t>
          </w:r>
          <w:r>
            <w:rPr>
              <w:color w:val="auto"/>
              <w:highlight w:val="none"/>
            </w:rPr>
            <w:fldChar w:fldCharType="end"/>
          </w:r>
          <w:r>
            <w:rPr>
              <w:rFonts w:hint="eastAsia"/>
              <w:color w:val="auto"/>
              <w:highlight w:val="none"/>
              <w:lang w:val="en-US" w:eastAsia="zh-CN"/>
            </w:rPr>
            <w:fldChar w:fldCharType="end"/>
          </w:r>
        </w:p>
        <w:p>
          <w:pPr>
            <w:pStyle w:val="18"/>
            <w:tabs>
              <w:tab w:val="right" w:leader="dot" w:pos="9079"/>
            </w:tabs>
            <w:rPr>
              <w:color w:val="auto"/>
              <w:highlight w:val="none"/>
            </w:rPr>
          </w:pPr>
          <w:r>
            <w:rPr>
              <w:rFonts w:hint="eastAsia"/>
              <w:color w:val="auto"/>
              <w:highlight w:val="none"/>
              <w:lang w:val="en-US" w:eastAsia="zh-CN"/>
            </w:rPr>
            <w:fldChar w:fldCharType="begin"/>
          </w:r>
          <w:r>
            <w:rPr>
              <w:rFonts w:hint="eastAsia"/>
              <w:color w:val="auto"/>
              <w:highlight w:val="none"/>
              <w:lang w:val="en-US" w:eastAsia="zh-CN"/>
            </w:rPr>
            <w:instrText xml:space="preserve"> HYPERLINK \l _Toc18277 </w:instrText>
          </w:r>
          <w:r>
            <w:rPr>
              <w:rFonts w:hint="eastAsia"/>
              <w:color w:val="auto"/>
              <w:highlight w:val="none"/>
              <w:lang w:val="en-US" w:eastAsia="zh-CN"/>
            </w:rPr>
            <w:fldChar w:fldCharType="separate"/>
          </w:r>
          <w:r>
            <w:rPr>
              <w:rFonts w:hint="eastAsia"/>
              <w:color w:val="auto"/>
              <w:highlight w:val="none"/>
            </w:rPr>
            <w:t>8.7 安全</w:t>
          </w:r>
          <w:r>
            <w:rPr>
              <w:color w:val="auto"/>
              <w:highlight w:val="none"/>
            </w:rPr>
            <w:t>生产费用</w:t>
          </w:r>
          <w:r>
            <w:rPr>
              <w:rFonts w:hint="eastAsia"/>
              <w:color w:val="auto"/>
              <w:highlight w:val="none"/>
            </w:rPr>
            <w:t>管理</w:t>
          </w:r>
          <w:r>
            <w:rPr>
              <w:color w:val="auto"/>
              <w:highlight w:val="none"/>
            </w:rPr>
            <w:tab/>
          </w:r>
          <w:r>
            <w:rPr>
              <w:color w:val="auto"/>
              <w:highlight w:val="none"/>
            </w:rPr>
            <w:fldChar w:fldCharType="begin"/>
          </w:r>
          <w:r>
            <w:rPr>
              <w:color w:val="auto"/>
              <w:highlight w:val="none"/>
            </w:rPr>
            <w:instrText xml:space="preserve"> PAGEREF _Toc18277 \h </w:instrText>
          </w:r>
          <w:r>
            <w:rPr>
              <w:color w:val="auto"/>
              <w:highlight w:val="none"/>
            </w:rPr>
            <w:fldChar w:fldCharType="separate"/>
          </w:r>
          <w:r>
            <w:rPr>
              <w:color w:val="auto"/>
              <w:highlight w:val="none"/>
            </w:rPr>
            <w:t>198</w:t>
          </w:r>
          <w:r>
            <w:rPr>
              <w:color w:val="auto"/>
              <w:highlight w:val="none"/>
            </w:rPr>
            <w:fldChar w:fldCharType="end"/>
          </w:r>
          <w:r>
            <w:rPr>
              <w:rFonts w:hint="eastAsia"/>
              <w:color w:val="auto"/>
              <w:highlight w:val="none"/>
              <w:lang w:val="en-US" w:eastAsia="zh-CN"/>
            </w:rPr>
            <w:fldChar w:fldCharType="end"/>
          </w:r>
        </w:p>
        <w:p>
          <w:pPr>
            <w:pStyle w:val="18"/>
            <w:tabs>
              <w:tab w:val="right" w:leader="dot" w:pos="9079"/>
            </w:tabs>
            <w:rPr>
              <w:color w:val="auto"/>
              <w:highlight w:val="none"/>
            </w:rPr>
          </w:pPr>
          <w:r>
            <w:rPr>
              <w:rFonts w:hint="eastAsia"/>
              <w:color w:val="auto"/>
              <w:highlight w:val="none"/>
              <w:lang w:val="en-US" w:eastAsia="zh-CN"/>
            </w:rPr>
            <w:fldChar w:fldCharType="begin"/>
          </w:r>
          <w:r>
            <w:rPr>
              <w:rFonts w:hint="eastAsia"/>
              <w:color w:val="auto"/>
              <w:highlight w:val="none"/>
              <w:lang w:val="en-US" w:eastAsia="zh-CN"/>
            </w:rPr>
            <w:instrText xml:space="preserve"> HYPERLINK \l _Toc11109 </w:instrText>
          </w:r>
          <w:r>
            <w:rPr>
              <w:rFonts w:hint="eastAsia"/>
              <w:color w:val="auto"/>
              <w:highlight w:val="none"/>
              <w:lang w:val="en-US" w:eastAsia="zh-CN"/>
            </w:rPr>
            <w:fldChar w:fldCharType="separate"/>
          </w:r>
          <w:r>
            <w:rPr>
              <w:rFonts w:hint="eastAsia"/>
              <w:color w:val="auto"/>
              <w:highlight w:val="none"/>
              <w:lang w:eastAsia="zh-CN"/>
            </w:rPr>
            <w:t>8.8 危险性较大工程的安全管理</w:t>
          </w:r>
          <w:r>
            <w:rPr>
              <w:color w:val="auto"/>
              <w:highlight w:val="none"/>
            </w:rPr>
            <w:tab/>
          </w:r>
          <w:r>
            <w:rPr>
              <w:color w:val="auto"/>
              <w:highlight w:val="none"/>
            </w:rPr>
            <w:fldChar w:fldCharType="begin"/>
          </w:r>
          <w:r>
            <w:rPr>
              <w:color w:val="auto"/>
              <w:highlight w:val="none"/>
            </w:rPr>
            <w:instrText xml:space="preserve"> PAGEREF _Toc11109 \h </w:instrText>
          </w:r>
          <w:r>
            <w:rPr>
              <w:color w:val="auto"/>
              <w:highlight w:val="none"/>
            </w:rPr>
            <w:fldChar w:fldCharType="separate"/>
          </w:r>
          <w:r>
            <w:rPr>
              <w:color w:val="auto"/>
              <w:highlight w:val="none"/>
            </w:rPr>
            <w:t>199</w:t>
          </w:r>
          <w:r>
            <w:rPr>
              <w:color w:val="auto"/>
              <w:highlight w:val="none"/>
            </w:rPr>
            <w:fldChar w:fldCharType="end"/>
          </w:r>
          <w:r>
            <w:rPr>
              <w:rFonts w:hint="eastAsia"/>
              <w:color w:val="auto"/>
              <w:highlight w:val="none"/>
              <w:lang w:val="en-US" w:eastAsia="zh-CN"/>
            </w:rPr>
            <w:fldChar w:fldCharType="end"/>
          </w:r>
        </w:p>
        <w:p>
          <w:pPr>
            <w:pStyle w:val="18"/>
            <w:tabs>
              <w:tab w:val="right" w:leader="dot" w:pos="9079"/>
            </w:tabs>
            <w:rPr>
              <w:color w:val="auto"/>
              <w:highlight w:val="none"/>
            </w:rPr>
          </w:pPr>
          <w:r>
            <w:rPr>
              <w:rFonts w:hint="eastAsia"/>
              <w:color w:val="auto"/>
              <w:highlight w:val="none"/>
              <w:lang w:val="en-US" w:eastAsia="zh-CN"/>
            </w:rPr>
            <w:fldChar w:fldCharType="begin"/>
          </w:r>
          <w:r>
            <w:rPr>
              <w:rFonts w:hint="eastAsia"/>
              <w:color w:val="auto"/>
              <w:highlight w:val="none"/>
              <w:lang w:val="en-US" w:eastAsia="zh-CN"/>
            </w:rPr>
            <w:instrText xml:space="preserve"> HYPERLINK \l _Toc10495 </w:instrText>
          </w:r>
          <w:r>
            <w:rPr>
              <w:rFonts w:hint="eastAsia"/>
              <w:color w:val="auto"/>
              <w:highlight w:val="none"/>
              <w:lang w:val="en-US" w:eastAsia="zh-CN"/>
            </w:rPr>
            <w:fldChar w:fldCharType="separate"/>
          </w:r>
          <w:r>
            <w:rPr>
              <w:rFonts w:hint="eastAsia"/>
              <w:color w:val="auto"/>
              <w:highlight w:val="none"/>
            </w:rPr>
            <w:t xml:space="preserve">8.9 </w:t>
          </w:r>
          <w:r>
            <w:rPr>
              <w:rFonts w:hint="eastAsia"/>
              <w:color w:val="auto"/>
              <w:highlight w:val="none"/>
              <w:lang w:eastAsia="zh-CN"/>
            </w:rPr>
            <w:t>安全</w:t>
          </w:r>
          <w:r>
            <w:rPr>
              <w:rFonts w:hint="eastAsia"/>
              <w:color w:val="auto"/>
              <w:highlight w:val="none"/>
            </w:rPr>
            <w:t>教育培训管理</w:t>
          </w:r>
          <w:r>
            <w:rPr>
              <w:color w:val="auto"/>
              <w:highlight w:val="none"/>
            </w:rPr>
            <w:tab/>
          </w:r>
          <w:r>
            <w:rPr>
              <w:color w:val="auto"/>
              <w:highlight w:val="none"/>
            </w:rPr>
            <w:fldChar w:fldCharType="begin"/>
          </w:r>
          <w:r>
            <w:rPr>
              <w:color w:val="auto"/>
              <w:highlight w:val="none"/>
            </w:rPr>
            <w:instrText xml:space="preserve"> PAGEREF _Toc10495 \h </w:instrText>
          </w:r>
          <w:r>
            <w:rPr>
              <w:color w:val="auto"/>
              <w:highlight w:val="none"/>
            </w:rPr>
            <w:fldChar w:fldCharType="separate"/>
          </w:r>
          <w:r>
            <w:rPr>
              <w:color w:val="auto"/>
              <w:highlight w:val="none"/>
            </w:rPr>
            <w:t>200</w:t>
          </w:r>
          <w:r>
            <w:rPr>
              <w:color w:val="auto"/>
              <w:highlight w:val="none"/>
            </w:rPr>
            <w:fldChar w:fldCharType="end"/>
          </w:r>
          <w:r>
            <w:rPr>
              <w:rFonts w:hint="eastAsia"/>
              <w:color w:val="auto"/>
              <w:highlight w:val="none"/>
              <w:lang w:val="en-US" w:eastAsia="zh-CN"/>
            </w:rPr>
            <w:fldChar w:fldCharType="end"/>
          </w:r>
        </w:p>
        <w:p>
          <w:pPr>
            <w:pStyle w:val="18"/>
            <w:tabs>
              <w:tab w:val="right" w:leader="dot" w:pos="9079"/>
            </w:tabs>
            <w:rPr>
              <w:color w:val="auto"/>
              <w:highlight w:val="none"/>
            </w:rPr>
          </w:pPr>
          <w:r>
            <w:rPr>
              <w:rFonts w:hint="eastAsia"/>
              <w:color w:val="auto"/>
              <w:highlight w:val="none"/>
              <w:lang w:val="en-US" w:eastAsia="zh-CN"/>
            </w:rPr>
            <w:fldChar w:fldCharType="begin"/>
          </w:r>
          <w:r>
            <w:rPr>
              <w:rFonts w:hint="eastAsia"/>
              <w:color w:val="auto"/>
              <w:highlight w:val="none"/>
              <w:lang w:val="en-US" w:eastAsia="zh-CN"/>
            </w:rPr>
            <w:instrText xml:space="preserve"> HYPERLINK \l _Toc5409 </w:instrText>
          </w:r>
          <w:r>
            <w:rPr>
              <w:rFonts w:hint="eastAsia"/>
              <w:color w:val="auto"/>
              <w:highlight w:val="none"/>
              <w:lang w:val="en-US" w:eastAsia="zh-CN"/>
            </w:rPr>
            <w:fldChar w:fldCharType="separate"/>
          </w:r>
          <w:r>
            <w:rPr>
              <w:rFonts w:hint="eastAsia"/>
              <w:color w:val="auto"/>
              <w:highlight w:val="none"/>
            </w:rPr>
            <w:t>8.10 安全生产标准化与双重预防机制建设</w:t>
          </w:r>
          <w:r>
            <w:rPr>
              <w:color w:val="auto"/>
              <w:highlight w:val="none"/>
            </w:rPr>
            <w:tab/>
          </w:r>
          <w:r>
            <w:rPr>
              <w:color w:val="auto"/>
              <w:highlight w:val="none"/>
            </w:rPr>
            <w:fldChar w:fldCharType="begin"/>
          </w:r>
          <w:r>
            <w:rPr>
              <w:color w:val="auto"/>
              <w:highlight w:val="none"/>
            </w:rPr>
            <w:instrText xml:space="preserve"> PAGEREF _Toc5409 \h </w:instrText>
          </w:r>
          <w:r>
            <w:rPr>
              <w:color w:val="auto"/>
              <w:highlight w:val="none"/>
            </w:rPr>
            <w:fldChar w:fldCharType="separate"/>
          </w:r>
          <w:r>
            <w:rPr>
              <w:color w:val="auto"/>
              <w:highlight w:val="none"/>
            </w:rPr>
            <w:t>201</w:t>
          </w:r>
          <w:r>
            <w:rPr>
              <w:color w:val="auto"/>
              <w:highlight w:val="none"/>
            </w:rPr>
            <w:fldChar w:fldCharType="end"/>
          </w:r>
          <w:r>
            <w:rPr>
              <w:rFonts w:hint="eastAsia"/>
              <w:color w:val="auto"/>
              <w:highlight w:val="none"/>
              <w:lang w:val="en-US" w:eastAsia="zh-CN"/>
            </w:rPr>
            <w:fldChar w:fldCharType="end"/>
          </w:r>
        </w:p>
        <w:p>
          <w:pPr>
            <w:pStyle w:val="18"/>
            <w:tabs>
              <w:tab w:val="right" w:leader="dot" w:pos="9079"/>
            </w:tabs>
            <w:rPr>
              <w:color w:val="auto"/>
              <w:highlight w:val="none"/>
            </w:rPr>
          </w:pPr>
          <w:r>
            <w:rPr>
              <w:rFonts w:hint="eastAsia"/>
              <w:color w:val="auto"/>
              <w:highlight w:val="none"/>
              <w:lang w:val="en-US" w:eastAsia="zh-CN"/>
            </w:rPr>
            <w:fldChar w:fldCharType="begin"/>
          </w:r>
          <w:r>
            <w:rPr>
              <w:rFonts w:hint="eastAsia"/>
              <w:color w:val="auto"/>
              <w:highlight w:val="none"/>
              <w:lang w:val="en-US" w:eastAsia="zh-CN"/>
            </w:rPr>
            <w:instrText xml:space="preserve"> HYPERLINK \l _Toc21833 </w:instrText>
          </w:r>
          <w:r>
            <w:rPr>
              <w:rFonts w:hint="eastAsia"/>
              <w:color w:val="auto"/>
              <w:highlight w:val="none"/>
              <w:lang w:val="en-US" w:eastAsia="zh-CN"/>
            </w:rPr>
            <w:fldChar w:fldCharType="separate"/>
          </w:r>
          <w:r>
            <w:rPr>
              <w:rFonts w:hint="eastAsia"/>
              <w:color w:val="auto"/>
              <w:highlight w:val="none"/>
            </w:rPr>
            <w:t>8.11 应急</w:t>
          </w:r>
          <w:r>
            <w:rPr>
              <w:color w:val="auto"/>
              <w:highlight w:val="none"/>
            </w:rPr>
            <w:t>与事故管理</w:t>
          </w:r>
          <w:r>
            <w:rPr>
              <w:color w:val="auto"/>
              <w:highlight w:val="none"/>
            </w:rPr>
            <w:tab/>
          </w:r>
          <w:r>
            <w:rPr>
              <w:color w:val="auto"/>
              <w:highlight w:val="none"/>
            </w:rPr>
            <w:fldChar w:fldCharType="begin"/>
          </w:r>
          <w:r>
            <w:rPr>
              <w:color w:val="auto"/>
              <w:highlight w:val="none"/>
            </w:rPr>
            <w:instrText xml:space="preserve"> PAGEREF _Toc21833 \h </w:instrText>
          </w:r>
          <w:r>
            <w:rPr>
              <w:color w:val="auto"/>
              <w:highlight w:val="none"/>
            </w:rPr>
            <w:fldChar w:fldCharType="separate"/>
          </w:r>
          <w:r>
            <w:rPr>
              <w:color w:val="auto"/>
              <w:highlight w:val="none"/>
            </w:rPr>
            <w:t>201</w:t>
          </w:r>
          <w:r>
            <w:rPr>
              <w:color w:val="auto"/>
              <w:highlight w:val="none"/>
            </w:rPr>
            <w:fldChar w:fldCharType="end"/>
          </w:r>
          <w:r>
            <w:rPr>
              <w:rFonts w:hint="eastAsia"/>
              <w:color w:val="auto"/>
              <w:highlight w:val="none"/>
              <w:lang w:val="en-US" w:eastAsia="zh-CN"/>
            </w:rPr>
            <w:fldChar w:fldCharType="end"/>
          </w:r>
        </w:p>
        <w:p>
          <w:pPr>
            <w:pStyle w:val="18"/>
            <w:tabs>
              <w:tab w:val="right" w:leader="dot" w:pos="9079"/>
            </w:tabs>
            <w:rPr>
              <w:color w:val="auto"/>
              <w:highlight w:val="none"/>
            </w:rPr>
          </w:pPr>
          <w:r>
            <w:rPr>
              <w:rFonts w:hint="eastAsia"/>
              <w:color w:val="auto"/>
              <w:highlight w:val="none"/>
              <w:lang w:val="en-US" w:eastAsia="zh-CN"/>
            </w:rPr>
            <w:fldChar w:fldCharType="begin"/>
          </w:r>
          <w:r>
            <w:rPr>
              <w:rFonts w:hint="eastAsia"/>
              <w:color w:val="auto"/>
              <w:highlight w:val="none"/>
              <w:lang w:val="en-US" w:eastAsia="zh-CN"/>
            </w:rPr>
            <w:instrText xml:space="preserve"> HYPERLINK \l _Toc27717 </w:instrText>
          </w:r>
          <w:r>
            <w:rPr>
              <w:rFonts w:hint="eastAsia"/>
              <w:color w:val="auto"/>
              <w:highlight w:val="none"/>
              <w:lang w:val="en-US" w:eastAsia="zh-CN"/>
            </w:rPr>
            <w:fldChar w:fldCharType="separate"/>
          </w:r>
          <w:r>
            <w:rPr>
              <w:rFonts w:hint="eastAsia"/>
              <w:color w:val="auto"/>
              <w:highlight w:val="none"/>
            </w:rPr>
            <w:t>8.12 安全照管要求</w:t>
          </w:r>
          <w:r>
            <w:rPr>
              <w:color w:val="auto"/>
              <w:highlight w:val="none"/>
            </w:rPr>
            <w:tab/>
          </w:r>
          <w:r>
            <w:rPr>
              <w:color w:val="auto"/>
              <w:highlight w:val="none"/>
            </w:rPr>
            <w:fldChar w:fldCharType="begin"/>
          </w:r>
          <w:r>
            <w:rPr>
              <w:color w:val="auto"/>
              <w:highlight w:val="none"/>
            </w:rPr>
            <w:instrText xml:space="preserve"> PAGEREF _Toc27717 \h </w:instrText>
          </w:r>
          <w:r>
            <w:rPr>
              <w:color w:val="auto"/>
              <w:highlight w:val="none"/>
            </w:rPr>
            <w:fldChar w:fldCharType="separate"/>
          </w:r>
          <w:r>
            <w:rPr>
              <w:color w:val="auto"/>
              <w:highlight w:val="none"/>
            </w:rPr>
            <w:t>203</w:t>
          </w:r>
          <w:r>
            <w:rPr>
              <w:color w:val="auto"/>
              <w:highlight w:val="none"/>
            </w:rPr>
            <w:fldChar w:fldCharType="end"/>
          </w:r>
          <w:r>
            <w:rPr>
              <w:rFonts w:hint="eastAsia"/>
              <w:color w:val="auto"/>
              <w:highlight w:val="none"/>
              <w:lang w:val="en-US" w:eastAsia="zh-CN"/>
            </w:rPr>
            <w:fldChar w:fldCharType="end"/>
          </w:r>
        </w:p>
        <w:p>
          <w:pPr>
            <w:pStyle w:val="18"/>
            <w:tabs>
              <w:tab w:val="right" w:leader="dot" w:pos="9079"/>
            </w:tabs>
            <w:rPr>
              <w:color w:val="auto"/>
              <w:highlight w:val="none"/>
            </w:rPr>
          </w:pPr>
          <w:r>
            <w:rPr>
              <w:rFonts w:hint="eastAsia"/>
              <w:color w:val="auto"/>
              <w:highlight w:val="none"/>
              <w:lang w:val="en-US" w:eastAsia="zh-CN"/>
            </w:rPr>
            <w:fldChar w:fldCharType="begin"/>
          </w:r>
          <w:r>
            <w:rPr>
              <w:rFonts w:hint="eastAsia"/>
              <w:color w:val="auto"/>
              <w:highlight w:val="none"/>
              <w:lang w:val="en-US" w:eastAsia="zh-CN"/>
            </w:rPr>
            <w:instrText xml:space="preserve"> HYPERLINK \l _Toc24231 </w:instrText>
          </w:r>
          <w:r>
            <w:rPr>
              <w:rFonts w:hint="eastAsia"/>
              <w:color w:val="auto"/>
              <w:highlight w:val="none"/>
              <w:lang w:val="en-US" w:eastAsia="zh-CN"/>
            </w:rPr>
            <w:fldChar w:fldCharType="separate"/>
          </w:r>
          <w:r>
            <w:rPr>
              <w:rFonts w:hint="eastAsia"/>
              <w:color w:val="auto"/>
              <w:highlight w:val="none"/>
            </w:rPr>
            <w:t xml:space="preserve">8.13 </w:t>
          </w:r>
          <w:r>
            <w:rPr>
              <w:rFonts w:hint="eastAsia"/>
              <w:color w:val="auto"/>
              <w:highlight w:val="none"/>
              <w:lang w:eastAsia="zh-CN"/>
            </w:rPr>
            <w:t>安全</w:t>
          </w:r>
          <w:r>
            <w:rPr>
              <w:rFonts w:hint="eastAsia"/>
              <w:color w:val="auto"/>
              <w:highlight w:val="none"/>
            </w:rPr>
            <w:t>信息传递与沟通</w:t>
          </w:r>
          <w:r>
            <w:rPr>
              <w:color w:val="auto"/>
              <w:highlight w:val="none"/>
            </w:rPr>
            <w:tab/>
          </w:r>
          <w:r>
            <w:rPr>
              <w:color w:val="auto"/>
              <w:highlight w:val="none"/>
            </w:rPr>
            <w:fldChar w:fldCharType="begin"/>
          </w:r>
          <w:r>
            <w:rPr>
              <w:color w:val="auto"/>
              <w:highlight w:val="none"/>
            </w:rPr>
            <w:instrText xml:space="preserve"> PAGEREF _Toc24231 \h </w:instrText>
          </w:r>
          <w:r>
            <w:rPr>
              <w:color w:val="auto"/>
              <w:highlight w:val="none"/>
            </w:rPr>
            <w:fldChar w:fldCharType="separate"/>
          </w:r>
          <w:r>
            <w:rPr>
              <w:color w:val="auto"/>
              <w:highlight w:val="none"/>
            </w:rPr>
            <w:t>204</w:t>
          </w:r>
          <w:r>
            <w:rPr>
              <w:color w:val="auto"/>
              <w:highlight w:val="none"/>
            </w:rPr>
            <w:fldChar w:fldCharType="end"/>
          </w:r>
          <w:r>
            <w:rPr>
              <w:rFonts w:hint="eastAsia"/>
              <w:color w:val="auto"/>
              <w:highlight w:val="none"/>
              <w:lang w:val="en-US" w:eastAsia="zh-CN"/>
            </w:rPr>
            <w:fldChar w:fldCharType="end"/>
          </w:r>
        </w:p>
        <w:p>
          <w:pPr>
            <w:pStyle w:val="18"/>
            <w:tabs>
              <w:tab w:val="right" w:leader="dot" w:pos="9079"/>
            </w:tabs>
            <w:rPr>
              <w:color w:val="auto"/>
              <w:highlight w:val="none"/>
            </w:rPr>
          </w:pPr>
          <w:r>
            <w:rPr>
              <w:rFonts w:hint="eastAsia"/>
              <w:color w:val="auto"/>
              <w:highlight w:val="none"/>
              <w:lang w:val="en-US" w:eastAsia="zh-CN"/>
            </w:rPr>
            <w:fldChar w:fldCharType="begin"/>
          </w:r>
          <w:r>
            <w:rPr>
              <w:rFonts w:hint="eastAsia"/>
              <w:color w:val="auto"/>
              <w:highlight w:val="none"/>
              <w:lang w:val="en-US" w:eastAsia="zh-CN"/>
            </w:rPr>
            <w:instrText xml:space="preserve"> HYPERLINK \l _Toc26737 </w:instrText>
          </w:r>
          <w:r>
            <w:rPr>
              <w:rFonts w:hint="eastAsia"/>
              <w:color w:val="auto"/>
              <w:highlight w:val="none"/>
              <w:lang w:val="en-US" w:eastAsia="zh-CN"/>
            </w:rPr>
            <w:fldChar w:fldCharType="separate"/>
          </w:r>
          <w:r>
            <w:rPr>
              <w:rFonts w:hint="eastAsia"/>
              <w:color w:val="auto"/>
              <w:highlight w:val="none"/>
            </w:rPr>
            <w:t>8.14 生态环境保护</w:t>
          </w:r>
          <w:r>
            <w:rPr>
              <w:color w:val="auto"/>
              <w:highlight w:val="none"/>
            </w:rPr>
            <w:tab/>
          </w:r>
          <w:r>
            <w:rPr>
              <w:color w:val="auto"/>
              <w:highlight w:val="none"/>
            </w:rPr>
            <w:fldChar w:fldCharType="begin"/>
          </w:r>
          <w:r>
            <w:rPr>
              <w:color w:val="auto"/>
              <w:highlight w:val="none"/>
            </w:rPr>
            <w:instrText xml:space="preserve"> PAGEREF _Toc26737 \h </w:instrText>
          </w:r>
          <w:r>
            <w:rPr>
              <w:color w:val="auto"/>
              <w:highlight w:val="none"/>
            </w:rPr>
            <w:fldChar w:fldCharType="separate"/>
          </w:r>
          <w:r>
            <w:rPr>
              <w:color w:val="auto"/>
              <w:highlight w:val="none"/>
            </w:rPr>
            <w:t>204</w:t>
          </w:r>
          <w:r>
            <w:rPr>
              <w:color w:val="auto"/>
              <w:highlight w:val="none"/>
            </w:rPr>
            <w:fldChar w:fldCharType="end"/>
          </w:r>
          <w:r>
            <w:rPr>
              <w:rFonts w:hint="eastAsia"/>
              <w:color w:val="auto"/>
              <w:highlight w:val="none"/>
              <w:lang w:val="en-US" w:eastAsia="zh-CN"/>
            </w:rPr>
            <w:fldChar w:fldCharType="end"/>
          </w:r>
        </w:p>
        <w:p>
          <w:pPr>
            <w:pStyle w:val="18"/>
            <w:tabs>
              <w:tab w:val="right" w:leader="dot" w:pos="9079"/>
            </w:tabs>
            <w:rPr>
              <w:color w:val="auto"/>
              <w:highlight w:val="none"/>
            </w:rPr>
          </w:pPr>
          <w:r>
            <w:rPr>
              <w:rFonts w:hint="eastAsia"/>
              <w:color w:val="auto"/>
              <w:highlight w:val="none"/>
              <w:lang w:val="en-US" w:eastAsia="zh-CN"/>
            </w:rPr>
            <w:fldChar w:fldCharType="begin"/>
          </w:r>
          <w:r>
            <w:rPr>
              <w:rFonts w:hint="eastAsia"/>
              <w:color w:val="auto"/>
              <w:highlight w:val="none"/>
              <w:lang w:val="en-US" w:eastAsia="zh-CN"/>
            </w:rPr>
            <w:instrText xml:space="preserve"> HYPERLINK \l _Toc21361 </w:instrText>
          </w:r>
          <w:r>
            <w:rPr>
              <w:rFonts w:hint="eastAsia"/>
              <w:color w:val="auto"/>
              <w:highlight w:val="none"/>
              <w:lang w:val="en-US" w:eastAsia="zh-CN"/>
            </w:rPr>
            <w:fldChar w:fldCharType="separate"/>
          </w:r>
          <w:r>
            <w:rPr>
              <w:rFonts w:hint="eastAsia"/>
              <w:color w:val="auto"/>
              <w:highlight w:val="none"/>
            </w:rPr>
            <w:t>8.15 工伤保险及安全生产责任保险</w:t>
          </w:r>
          <w:r>
            <w:rPr>
              <w:color w:val="auto"/>
              <w:highlight w:val="none"/>
            </w:rPr>
            <w:tab/>
          </w:r>
          <w:r>
            <w:rPr>
              <w:color w:val="auto"/>
              <w:highlight w:val="none"/>
            </w:rPr>
            <w:fldChar w:fldCharType="begin"/>
          </w:r>
          <w:r>
            <w:rPr>
              <w:color w:val="auto"/>
              <w:highlight w:val="none"/>
            </w:rPr>
            <w:instrText xml:space="preserve"> PAGEREF _Toc21361 \h </w:instrText>
          </w:r>
          <w:r>
            <w:rPr>
              <w:color w:val="auto"/>
              <w:highlight w:val="none"/>
            </w:rPr>
            <w:fldChar w:fldCharType="separate"/>
          </w:r>
          <w:r>
            <w:rPr>
              <w:color w:val="auto"/>
              <w:highlight w:val="none"/>
            </w:rPr>
            <w:t>205</w:t>
          </w:r>
          <w:r>
            <w:rPr>
              <w:color w:val="auto"/>
              <w:highlight w:val="none"/>
            </w:rPr>
            <w:fldChar w:fldCharType="end"/>
          </w:r>
          <w:r>
            <w:rPr>
              <w:rFonts w:hint="eastAsia"/>
              <w:color w:val="auto"/>
              <w:highlight w:val="none"/>
              <w:lang w:val="en-US" w:eastAsia="zh-CN"/>
            </w:rPr>
            <w:fldChar w:fldCharType="end"/>
          </w:r>
        </w:p>
        <w:p>
          <w:pPr>
            <w:pStyle w:val="18"/>
            <w:tabs>
              <w:tab w:val="right" w:leader="dot" w:pos="9079"/>
            </w:tabs>
            <w:rPr>
              <w:color w:val="auto"/>
              <w:highlight w:val="none"/>
            </w:rPr>
          </w:pPr>
          <w:r>
            <w:rPr>
              <w:rFonts w:hint="eastAsia"/>
              <w:color w:val="auto"/>
              <w:highlight w:val="none"/>
              <w:lang w:val="en-US" w:eastAsia="zh-CN"/>
            </w:rPr>
            <w:fldChar w:fldCharType="begin"/>
          </w:r>
          <w:r>
            <w:rPr>
              <w:rFonts w:hint="eastAsia"/>
              <w:color w:val="auto"/>
              <w:highlight w:val="none"/>
              <w:lang w:val="en-US" w:eastAsia="zh-CN"/>
            </w:rPr>
            <w:instrText xml:space="preserve"> HYPERLINK \l _Toc14280 </w:instrText>
          </w:r>
          <w:r>
            <w:rPr>
              <w:rFonts w:hint="eastAsia"/>
              <w:color w:val="auto"/>
              <w:highlight w:val="none"/>
              <w:lang w:val="en-US" w:eastAsia="zh-CN"/>
            </w:rPr>
            <w:fldChar w:fldCharType="separate"/>
          </w:r>
          <w:r>
            <w:rPr>
              <w:rFonts w:hint="eastAsia"/>
              <w:color w:val="auto"/>
              <w:highlight w:val="none"/>
            </w:rPr>
            <w:t>8.16 高处作业管理要求：</w:t>
          </w:r>
          <w:r>
            <w:rPr>
              <w:color w:val="auto"/>
              <w:highlight w:val="none"/>
            </w:rPr>
            <w:tab/>
          </w:r>
          <w:r>
            <w:rPr>
              <w:color w:val="auto"/>
              <w:highlight w:val="none"/>
            </w:rPr>
            <w:fldChar w:fldCharType="begin"/>
          </w:r>
          <w:r>
            <w:rPr>
              <w:color w:val="auto"/>
              <w:highlight w:val="none"/>
            </w:rPr>
            <w:instrText xml:space="preserve"> PAGEREF _Toc14280 \h </w:instrText>
          </w:r>
          <w:r>
            <w:rPr>
              <w:color w:val="auto"/>
              <w:highlight w:val="none"/>
            </w:rPr>
            <w:fldChar w:fldCharType="separate"/>
          </w:r>
          <w:r>
            <w:rPr>
              <w:color w:val="auto"/>
              <w:highlight w:val="none"/>
            </w:rPr>
            <w:t>206</w:t>
          </w:r>
          <w:r>
            <w:rPr>
              <w:color w:val="auto"/>
              <w:highlight w:val="none"/>
            </w:rPr>
            <w:fldChar w:fldCharType="end"/>
          </w:r>
          <w:r>
            <w:rPr>
              <w:rFonts w:hint="eastAsia"/>
              <w:color w:val="auto"/>
              <w:highlight w:val="none"/>
              <w:lang w:val="en-US" w:eastAsia="zh-CN"/>
            </w:rPr>
            <w:fldChar w:fldCharType="end"/>
          </w:r>
        </w:p>
        <w:p>
          <w:pPr>
            <w:pStyle w:val="18"/>
            <w:tabs>
              <w:tab w:val="right" w:leader="dot" w:pos="9079"/>
            </w:tabs>
            <w:rPr>
              <w:color w:val="auto"/>
              <w:highlight w:val="none"/>
            </w:rPr>
          </w:pPr>
          <w:r>
            <w:rPr>
              <w:rFonts w:hint="eastAsia"/>
              <w:color w:val="auto"/>
              <w:highlight w:val="none"/>
              <w:lang w:val="en-US" w:eastAsia="zh-CN"/>
            </w:rPr>
            <w:fldChar w:fldCharType="begin"/>
          </w:r>
          <w:r>
            <w:rPr>
              <w:rFonts w:hint="eastAsia"/>
              <w:color w:val="auto"/>
              <w:highlight w:val="none"/>
              <w:lang w:val="en-US" w:eastAsia="zh-CN"/>
            </w:rPr>
            <w:instrText xml:space="preserve"> HYPERLINK \l _Toc8039 </w:instrText>
          </w:r>
          <w:r>
            <w:rPr>
              <w:rFonts w:hint="eastAsia"/>
              <w:color w:val="auto"/>
              <w:highlight w:val="none"/>
              <w:lang w:val="en-US" w:eastAsia="zh-CN"/>
            </w:rPr>
            <w:fldChar w:fldCharType="separate"/>
          </w:r>
          <w:r>
            <w:rPr>
              <w:rFonts w:hint="eastAsia"/>
              <w:color w:val="auto"/>
              <w:highlight w:val="none"/>
            </w:rPr>
            <w:t>8.17 脚手架工程管理要求：</w:t>
          </w:r>
          <w:r>
            <w:rPr>
              <w:color w:val="auto"/>
              <w:highlight w:val="none"/>
            </w:rPr>
            <w:tab/>
          </w:r>
          <w:r>
            <w:rPr>
              <w:color w:val="auto"/>
              <w:highlight w:val="none"/>
            </w:rPr>
            <w:fldChar w:fldCharType="begin"/>
          </w:r>
          <w:r>
            <w:rPr>
              <w:color w:val="auto"/>
              <w:highlight w:val="none"/>
            </w:rPr>
            <w:instrText xml:space="preserve"> PAGEREF _Toc8039 \h </w:instrText>
          </w:r>
          <w:r>
            <w:rPr>
              <w:color w:val="auto"/>
              <w:highlight w:val="none"/>
            </w:rPr>
            <w:fldChar w:fldCharType="separate"/>
          </w:r>
          <w:r>
            <w:rPr>
              <w:color w:val="auto"/>
              <w:highlight w:val="none"/>
            </w:rPr>
            <w:t>206</w:t>
          </w:r>
          <w:r>
            <w:rPr>
              <w:color w:val="auto"/>
              <w:highlight w:val="none"/>
            </w:rPr>
            <w:fldChar w:fldCharType="end"/>
          </w:r>
          <w:r>
            <w:rPr>
              <w:rFonts w:hint="eastAsia"/>
              <w:color w:val="auto"/>
              <w:highlight w:val="none"/>
              <w:lang w:val="en-US" w:eastAsia="zh-CN"/>
            </w:rPr>
            <w:fldChar w:fldCharType="end"/>
          </w:r>
        </w:p>
        <w:p>
          <w:pPr>
            <w:pStyle w:val="18"/>
            <w:tabs>
              <w:tab w:val="right" w:leader="dot" w:pos="9079"/>
            </w:tabs>
            <w:rPr>
              <w:color w:val="auto"/>
              <w:highlight w:val="none"/>
            </w:rPr>
          </w:pPr>
          <w:r>
            <w:rPr>
              <w:rFonts w:hint="eastAsia"/>
              <w:color w:val="auto"/>
              <w:highlight w:val="none"/>
              <w:lang w:val="en-US" w:eastAsia="zh-CN"/>
            </w:rPr>
            <w:fldChar w:fldCharType="begin"/>
          </w:r>
          <w:r>
            <w:rPr>
              <w:rFonts w:hint="eastAsia"/>
              <w:color w:val="auto"/>
              <w:highlight w:val="none"/>
              <w:lang w:val="en-US" w:eastAsia="zh-CN"/>
            </w:rPr>
            <w:instrText xml:space="preserve"> HYPERLINK \l _Toc23696 </w:instrText>
          </w:r>
          <w:r>
            <w:rPr>
              <w:rFonts w:hint="eastAsia"/>
              <w:color w:val="auto"/>
              <w:highlight w:val="none"/>
              <w:lang w:val="en-US" w:eastAsia="zh-CN"/>
            </w:rPr>
            <w:fldChar w:fldCharType="separate"/>
          </w:r>
          <w:r>
            <w:rPr>
              <w:rFonts w:hint="eastAsia"/>
              <w:color w:val="auto"/>
              <w:highlight w:val="none"/>
            </w:rPr>
            <w:t>8.18 办公生活区管理</w:t>
          </w:r>
          <w:r>
            <w:rPr>
              <w:color w:val="auto"/>
              <w:highlight w:val="none"/>
            </w:rPr>
            <w:tab/>
          </w:r>
          <w:r>
            <w:rPr>
              <w:color w:val="auto"/>
              <w:highlight w:val="none"/>
            </w:rPr>
            <w:fldChar w:fldCharType="begin"/>
          </w:r>
          <w:r>
            <w:rPr>
              <w:color w:val="auto"/>
              <w:highlight w:val="none"/>
            </w:rPr>
            <w:instrText xml:space="preserve"> PAGEREF _Toc23696 \h </w:instrText>
          </w:r>
          <w:r>
            <w:rPr>
              <w:color w:val="auto"/>
              <w:highlight w:val="none"/>
            </w:rPr>
            <w:fldChar w:fldCharType="separate"/>
          </w:r>
          <w:r>
            <w:rPr>
              <w:color w:val="auto"/>
              <w:highlight w:val="none"/>
            </w:rPr>
            <w:t>207</w:t>
          </w:r>
          <w:r>
            <w:rPr>
              <w:color w:val="auto"/>
              <w:highlight w:val="none"/>
            </w:rPr>
            <w:fldChar w:fldCharType="end"/>
          </w:r>
          <w:r>
            <w:rPr>
              <w:rFonts w:hint="eastAsia"/>
              <w:color w:val="auto"/>
              <w:highlight w:val="none"/>
              <w:lang w:val="en-US" w:eastAsia="zh-CN"/>
            </w:rPr>
            <w:fldChar w:fldCharType="end"/>
          </w:r>
        </w:p>
        <w:p>
          <w:pPr>
            <w:pStyle w:val="18"/>
            <w:tabs>
              <w:tab w:val="right" w:leader="dot" w:pos="9079"/>
            </w:tabs>
            <w:rPr>
              <w:color w:val="auto"/>
              <w:highlight w:val="none"/>
            </w:rPr>
          </w:pPr>
          <w:r>
            <w:rPr>
              <w:rFonts w:hint="eastAsia"/>
              <w:color w:val="auto"/>
              <w:highlight w:val="none"/>
              <w:lang w:val="en-US" w:eastAsia="zh-CN"/>
            </w:rPr>
            <w:fldChar w:fldCharType="begin"/>
          </w:r>
          <w:r>
            <w:rPr>
              <w:rFonts w:hint="eastAsia"/>
              <w:color w:val="auto"/>
              <w:highlight w:val="none"/>
              <w:lang w:val="en-US" w:eastAsia="zh-CN"/>
            </w:rPr>
            <w:instrText xml:space="preserve"> HYPERLINK \l _Toc29496 </w:instrText>
          </w:r>
          <w:r>
            <w:rPr>
              <w:rFonts w:hint="eastAsia"/>
              <w:color w:val="auto"/>
              <w:highlight w:val="none"/>
              <w:lang w:val="en-US" w:eastAsia="zh-CN"/>
            </w:rPr>
            <w:fldChar w:fldCharType="separate"/>
          </w:r>
          <w:r>
            <w:rPr>
              <w:rFonts w:hint="eastAsia"/>
              <w:color w:val="auto"/>
              <w:highlight w:val="none"/>
            </w:rPr>
            <w:t>8.19 专项管理要求</w:t>
          </w:r>
          <w:r>
            <w:rPr>
              <w:color w:val="auto"/>
              <w:highlight w:val="none"/>
            </w:rPr>
            <w:tab/>
          </w:r>
          <w:r>
            <w:rPr>
              <w:color w:val="auto"/>
              <w:highlight w:val="none"/>
            </w:rPr>
            <w:fldChar w:fldCharType="begin"/>
          </w:r>
          <w:r>
            <w:rPr>
              <w:color w:val="auto"/>
              <w:highlight w:val="none"/>
            </w:rPr>
            <w:instrText xml:space="preserve"> PAGEREF _Toc29496 \h </w:instrText>
          </w:r>
          <w:r>
            <w:rPr>
              <w:color w:val="auto"/>
              <w:highlight w:val="none"/>
            </w:rPr>
            <w:fldChar w:fldCharType="separate"/>
          </w:r>
          <w:r>
            <w:rPr>
              <w:color w:val="auto"/>
              <w:highlight w:val="none"/>
            </w:rPr>
            <w:t>208</w:t>
          </w:r>
          <w:r>
            <w:rPr>
              <w:color w:val="auto"/>
              <w:highlight w:val="none"/>
            </w:rPr>
            <w:fldChar w:fldCharType="end"/>
          </w:r>
          <w:r>
            <w:rPr>
              <w:rFonts w:hint="eastAsia"/>
              <w:color w:val="auto"/>
              <w:highlight w:val="none"/>
              <w:lang w:val="en-US" w:eastAsia="zh-CN"/>
            </w:rPr>
            <w:fldChar w:fldCharType="end"/>
          </w:r>
        </w:p>
        <w:p>
          <w:pPr>
            <w:pStyle w:val="16"/>
            <w:tabs>
              <w:tab w:val="right" w:leader="dot" w:pos="9079"/>
            </w:tabs>
            <w:rPr>
              <w:color w:val="auto"/>
              <w:highlight w:val="none"/>
            </w:rPr>
          </w:pPr>
          <w:r>
            <w:rPr>
              <w:rFonts w:hint="eastAsia"/>
              <w:color w:val="auto"/>
              <w:highlight w:val="none"/>
              <w:lang w:val="en-US" w:eastAsia="zh-CN"/>
            </w:rPr>
            <w:fldChar w:fldCharType="begin"/>
          </w:r>
          <w:r>
            <w:rPr>
              <w:rFonts w:hint="eastAsia"/>
              <w:color w:val="auto"/>
              <w:highlight w:val="none"/>
              <w:lang w:val="en-US" w:eastAsia="zh-CN"/>
            </w:rPr>
            <w:instrText xml:space="preserve"> HYPERLINK \l _Toc1611 </w:instrText>
          </w:r>
          <w:r>
            <w:rPr>
              <w:rFonts w:hint="eastAsia"/>
              <w:color w:val="auto"/>
              <w:highlight w:val="none"/>
              <w:lang w:val="en-US" w:eastAsia="zh-CN"/>
            </w:rPr>
            <w:fldChar w:fldCharType="separate"/>
          </w:r>
          <w:r>
            <w:rPr>
              <w:rFonts w:hint="default"/>
              <w:color w:val="auto"/>
              <w:highlight w:val="none"/>
            </w:rPr>
            <w:t xml:space="preserve">第9章 </w:t>
          </w:r>
          <w:r>
            <w:rPr>
              <w:rFonts w:hint="eastAsia"/>
              <w:color w:val="auto"/>
              <w:highlight w:val="none"/>
            </w:rPr>
            <w:t>附件</w:t>
          </w:r>
          <w:r>
            <w:rPr>
              <w:color w:val="auto"/>
              <w:highlight w:val="none"/>
            </w:rPr>
            <w:tab/>
          </w:r>
          <w:r>
            <w:rPr>
              <w:color w:val="auto"/>
              <w:highlight w:val="none"/>
            </w:rPr>
            <w:fldChar w:fldCharType="begin"/>
          </w:r>
          <w:r>
            <w:rPr>
              <w:color w:val="auto"/>
              <w:highlight w:val="none"/>
            </w:rPr>
            <w:instrText xml:space="preserve"> PAGEREF _Toc1611 \h </w:instrText>
          </w:r>
          <w:r>
            <w:rPr>
              <w:color w:val="auto"/>
              <w:highlight w:val="none"/>
            </w:rPr>
            <w:fldChar w:fldCharType="separate"/>
          </w:r>
          <w:r>
            <w:rPr>
              <w:color w:val="auto"/>
              <w:highlight w:val="none"/>
            </w:rPr>
            <w:t>209</w:t>
          </w:r>
          <w:r>
            <w:rPr>
              <w:color w:val="auto"/>
              <w:highlight w:val="none"/>
            </w:rPr>
            <w:fldChar w:fldCharType="end"/>
          </w:r>
          <w:r>
            <w:rPr>
              <w:rFonts w:hint="eastAsia"/>
              <w:color w:val="auto"/>
              <w:highlight w:val="none"/>
              <w:lang w:val="en-US" w:eastAsia="zh-CN"/>
            </w:rPr>
            <w:fldChar w:fldCharType="end"/>
          </w:r>
        </w:p>
        <w:p>
          <w:pPr>
            <w:pStyle w:val="18"/>
            <w:tabs>
              <w:tab w:val="right" w:leader="dot" w:pos="9079"/>
            </w:tabs>
            <w:rPr>
              <w:color w:val="auto"/>
              <w:highlight w:val="none"/>
            </w:rPr>
          </w:pPr>
          <w:r>
            <w:rPr>
              <w:rFonts w:hint="eastAsia"/>
              <w:color w:val="auto"/>
              <w:highlight w:val="none"/>
              <w:lang w:val="en-US" w:eastAsia="zh-CN"/>
            </w:rPr>
            <w:fldChar w:fldCharType="begin"/>
          </w:r>
          <w:r>
            <w:rPr>
              <w:rFonts w:hint="eastAsia"/>
              <w:color w:val="auto"/>
              <w:highlight w:val="none"/>
              <w:lang w:val="en-US" w:eastAsia="zh-CN"/>
            </w:rPr>
            <w:instrText xml:space="preserve"> HYPERLINK \l _Toc17312 </w:instrText>
          </w:r>
          <w:r>
            <w:rPr>
              <w:rFonts w:hint="eastAsia"/>
              <w:color w:val="auto"/>
              <w:highlight w:val="none"/>
              <w:lang w:val="en-US" w:eastAsia="zh-CN"/>
            </w:rPr>
            <w:fldChar w:fldCharType="separate"/>
          </w:r>
          <w:r>
            <w:rPr>
              <w:rFonts w:hint="eastAsia"/>
              <w:color w:val="auto"/>
              <w:highlight w:val="none"/>
            </w:rPr>
            <w:t xml:space="preserve">9.1 </w:t>
          </w:r>
          <w:r>
            <w:rPr>
              <w:rFonts w:hint="eastAsia"/>
              <w:color w:val="auto"/>
              <w:highlight w:val="none"/>
              <w:lang w:val="en-US" w:eastAsia="zh-CN"/>
            </w:rPr>
            <w:t>项目工程技术管理文件</w:t>
          </w:r>
          <w:r>
            <w:rPr>
              <w:color w:val="auto"/>
              <w:highlight w:val="none"/>
            </w:rPr>
            <w:tab/>
          </w:r>
          <w:r>
            <w:rPr>
              <w:color w:val="auto"/>
              <w:highlight w:val="none"/>
            </w:rPr>
            <w:fldChar w:fldCharType="begin"/>
          </w:r>
          <w:r>
            <w:rPr>
              <w:color w:val="auto"/>
              <w:highlight w:val="none"/>
            </w:rPr>
            <w:instrText xml:space="preserve"> PAGEREF _Toc17312 \h </w:instrText>
          </w:r>
          <w:r>
            <w:rPr>
              <w:color w:val="auto"/>
              <w:highlight w:val="none"/>
            </w:rPr>
            <w:fldChar w:fldCharType="separate"/>
          </w:r>
          <w:r>
            <w:rPr>
              <w:color w:val="auto"/>
              <w:highlight w:val="none"/>
            </w:rPr>
            <w:t>209</w:t>
          </w:r>
          <w:r>
            <w:rPr>
              <w:color w:val="auto"/>
              <w:highlight w:val="none"/>
            </w:rPr>
            <w:fldChar w:fldCharType="end"/>
          </w:r>
          <w:r>
            <w:rPr>
              <w:rFonts w:hint="eastAsia"/>
              <w:color w:val="auto"/>
              <w:highlight w:val="none"/>
              <w:lang w:val="en-US" w:eastAsia="zh-CN"/>
            </w:rPr>
            <w:fldChar w:fldCharType="end"/>
          </w:r>
        </w:p>
        <w:p>
          <w:pPr>
            <w:bidi w:val="0"/>
            <w:rPr>
              <w:rFonts w:hint="eastAsia" w:ascii="宋体" w:hAnsi="宋体" w:eastAsia="宋体" w:cstheme="minorBidi"/>
              <w:color w:val="auto"/>
              <w:kern w:val="2"/>
              <w:sz w:val="24"/>
              <w:szCs w:val="24"/>
              <w:highlight w:val="none"/>
              <w:lang w:val="en-US" w:eastAsia="zh-CN" w:bidi="ar-SA"/>
            </w:rPr>
          </w:pPr>
          <w:r>
            <w:rPr>
              <w:rFonts w:hint="eastAsia"/>
              <w:color w:val="auto"/>
              <w:highlight w:val="none"/>
              <w:lang w:val="en-US" w:eastAsia="zh-CN"/>
            </w:rPr>
            <w:fldChar w:fldCharType="end"/>
          </w:r>
        </w:p>
      </w:sdtContent>
    </w:sdt>
    <w:p>
      <w:pPr>
        <w:bidi w:val="0"/>
        <w:rPr>
          <w:rFonts w:hint="eastAsia" w:ascii="宋体" w:hAnsi="宋体" w:eastAsia="宋体" w:cstheme="minorBidi"/>
          <w:color w:val="auto"/>
          <w:kern w:val="2"/>
          <w:sz w:val="24"/>
          <w:szCs w:val="24"/>
          <w:highlight w:val="none"/>
          <w:lang w:val="en-US" w:eastAsia="zh-CN" w:bidi="ar-SA"/>
        </w:rPr>
      </w:pPr>
    </w:p>
    <w:p>
      <w:pPr>
        <w:rPr>
          <w:color w:val="auto"/>
          <w:highlight w:val="none"/>
        </w:rPr>
      </w:pPr>
      <w:bookmarkStart w:id="0" w:name="_Toc24679"/>
      <w:bookmarkStart w:id="1" w:name="_Toc27926"/>
      <w:bookmarkStart w:id="2" w:name="_Toc28419"/>
      <w:r>
        <w:rPr>
          <w:rFonts w:hint="eastAsia"/>
          <w:color w:val="auto"/>
          <w:highlight w:val="none"/>
        </w:rPr>
        <w:br w:type="page"/>
      </w:r>
    </w:p>
    <w:p>
      <w:pPr>
        <w:pStyle w:val="2"/>
        <w:numPr>
          <w:ilvl w:val="0"/>
          <w:numId w:val="3"/>
        </w:numPr>
        <w:bidi w:val="0"/>
        <w:rPr>
          <w:color w:val="auto"/>
          <w:highlight w:val="none"/>
        </w:rPr>
      </w:pPr>
      <w:bookmarkStart w:id="3" w:name="_Toc29558"/>
      <w:bookmarkStart w:id="4" w:name="_Toc17247"/>
      <w:bookmarkStart w:id="5" w:name="_Toc30175"/>
      <w:bookmarkStart w:id="6" w:name="_Toc20178"/>
      <w:bookmarkStart w:id="7" w:name="_Toc16356"/>
      <w:bookmarkStart w:id="8" w:name="_Toc19141"/>
      <w:bookmarkStart w:id="9" w:name="_Toc29100"/>
      <w:bookmarkStart w:id="10" w:name="_Toc29813"/>
      <w:r>
        <w:rPr>
          <w:rFonts w:hint="eastAsia"/>
          <w:color w:val="auto"/>
          <w:highlight w:val="none"/>
        </w:rPr>
        <w:t>工程</w:t>
      </w:r>
      <w:r>
        <w:rPr>
          <w:color w:val="auto"/>
          <w:highlight w:val="none"/>
        </w:rPr>
        <w:t>概况</w:t>
      </w:r>
      <w:bookmarkEnd w:id="0"/>
      <w:bookmarkEnd w:id="1"/>
      <w:bookmarkEnd w:id="2"/>
      <w:bookmarkEnd w:id="3"/>
      <w:bookmarkEnd w:id="4"/>
      <w:bookmarkEnd w:id="5"/>
      <w:bookmarkEnd w:id="6"/>
      <w:bookmarkEnd w:id="7"/>
      <w:bookmarkEnd w:id="8"/>
      <w:bookmarkEnd w:id="9"/>
      <w:bookmarkEnd w:id="10"/>
    </w:p>
    <w:p>
      <w:pPr>
        <w:pStyle w:val="3"/>
        <w:bidi w:val="0"/>
        <w:rPr>
          <w:rFonts w:hint="default"/>
          <w:color w:val="auto"/>
          <w:highlight w:val="none"/>
          <w:lang w:val="en-US" w:eastAsia="zh-CN"/>
        </w:rPr>
      </w:pPr>
      <w:bookmarkStart w:id="11" w:name="_Toc18933"/>
      <w:bookmarkStart w:id="12" w:name="_Toc6004"/>
      <w:bookmarkStart w:id="13" w:name="_Toc22531"/>
      <w:bookmarkStart w:id="14" w:name="_Toc10853"/>
      <w:bookmarkStart w:id="15" w:name="_Toc14262"/>
      <w:bookmarkStart w:id="16" w:name="_Toc13287"/>
      <w:bookmarkStart w:id="17" w:name="_Toc27716"/>
      <w:bookmarkStart w:id="18" w:name="_Toc17804"/>
      <w:r>
        <w:rPr>
          <w:rFonts w:hint="eastAsia"/>
          <w:color w:val="auto"/>
          <w:highlight w:val="none"/>
          <w:lang w:val="en-US" w:eastAsia="zh-CN"/>
        </w:rPr>
        <w:t>工程概况</w:t>
      </w:r>
      <w:bookmarkEnd w:id="11"/>
      <w:bookmarkEnd w:id="12"/>
      <w:bookmarkEnd w:id="13"/>
      <w:bookmarkEnd w:id="14"/>
      <w:bookmarkEnd w:id="15"/>
      <w:bookmarkEnd w:id="16"/>
      <w:bookmarkEnd w:id="17"/>
      <w:bookmarkEnd w:id="18"/>
    </w:p>
    <w:p>
      <w:pPr>
        <w:pStyle w:val="4"/>
        <w:bidi w:val="0"/>
        <w:rPr>
          <w:color w:val="auto"/>
          <w:highlight w:val="none"/>
        </w:rPr>
      </w:pPr>
      <w:r>
        <w:rPr>
          <w:rFonts w:hint="eastAsia"/>
          <w:color w:val="auto"/>
          <w:highlight w:val="none"/>
        </w:rPr>
        <w:t>工程规模</w:t>
      </w:r>
    </w:p>
    <w:p>
      <w:pPr>
        <w:bidi w:val="0"/>
        <w:rPr>
          <w:rFonts w:hint="eastAsia"/>
          <w:color w:val="auto"/>
          <w:highlight w:val="none"/>
          <w:lang w:val="en-US" w:eastAsia="zh-CN"/>
        </w:rPr>
      </w:pPr>
      <w:r>
        <w:rPr>
          <w:rFonts w:hint="eastAsia"/>
          <w:color w:val="auto"/>
          <w:highlight w:val="none"/>
          <w:lang w:val="en-US" w:eastAsia="zh-CN"/>
        </w:rPr>
        <w:t>原南方钢厂（三期）保障性住房项目西区位于</w:t>
      </w:r>
      <w:r>
        <w:rPr>
          <w:rFonts w:hint="eastAsia" w:ascii="宋体" w:hAnsi="宋体" w:eastAsia="宋体" w:cstheme="minorBidi"/>
          <w:color w:val="auto"/>
          <w:sz w:val="24"/>
          <w:szCs w:val="24"/>
          <w:highlight w:val="none"/>
        </w:rPr>
        <w:t>广州市白云区原南方钢厂地段，夏茅以南</w:t>
      </w:r>
      <w:r>
        <w:rPr>
          <w:rFonts w:hint="eastAsia" w:ascii="宋体" w:hAnsi="宋体" w:eastAsia="宋体" w:cstheme="minorBidi"/>
          <w:color w:val="auto"/>
          <w:sz w:val="24"/>
          <w:szCs w:val="24"/>
          <w:highlight w:val="none"/>
          <w:lang w:eastAsia="zh-CN"/>
        </w:rPr>
        <w:t>、</w:t>
      </w:r>
      <w:r>
        <w:rPr>
          <w:rFonts w:hint="eastAsia" w:ascii="宋体" w:hAnsi="宋体" w:eastAsia="宋体" w:cstheme="minorBidi"/>
          <w:color w:val="auto"/>
          <w:sz w:val="24"/>
          <w:szCs w:val="24"/>
          <w:highlight w:val="none"/>
          <w:lang w:val="en-US" w:eastAsia="zh-CN"/>
        </w:rPr>
        <w:t>南悦花苑</w:t>
      </w:r>
      <w:r>
        <w:rPr>
          <w:rFonts w:hint="eastAsia" w:ascii="宋体" w:hAnsi="宋体" w:eastAsia="宋体" w:cstheme="minorBidi"/>
          <w:color w:val="auto"/>
          <w:sz w:val="24"/>
          <w:szCs w:val="24"/>
          <w:highlight w:val="none"/>
        </w:rPr>
        <w:t>以北</w:t>
      </w:r>
      <w:r>
        <w:rPr>
          <w:rFonts w:hint="eastAsia" w:ascii="宋体" w:hAnsi="宋体" w:eastAsia="宋体" w:cstheme="minorBidi"/>
          <w:color w:val="auto"/>
          <w:sz w:val="24"/>
          <w:szCs w:val="24"/>
          <w:highlight w:val="none"/>
          <w:lang w:eastAsia="zh-CN"/>
        </w:rPr>
        <w:t>、</w:t>
      </w:r>
      <w:r>
        <w:rPr>
          <w:rFonts w:hint="eastAsia" w:ascii="宋体" w:hAnsi="宋体" w:eastAsia="宋体" w:cstheme="minorBidi"/>
          <w:color w:val="auto"/>
          <w:sz w:val="24"/>
          <w:szCs w:val="24"/>
          <w:highlight w:val="none"/>
        </w:rPr>
        <w:t>机场高速以西</w:t>
      </w:r>
      <w:r>
        <w:rPr>
          <w:rFonts w:hint="eastAsia"/>
          <w:color w:val="auto"/>
          <w:highlight w:val="none"/>
          <w:lang w:val="en-US" w:eastAsia="zh-CN"/>
        </w:rPr>
        <w:t>。</w:t>
      </w:r>
    </w:p>
    <w:p>
      <w:pPr>
        <w:bidi w:val="0"/>
        <w:rPr>
          <w:rFonts w:hint="eastAsia"/>
          <w:color w:val="auto"/>
          <w:highlight w:val="none"/>
          <w:lang w:val="en-US" w:eastAsia="zh-CN"/>
        </w:rPr>
      </w:pPr>
      <w:r>
        <w:rPr>
          <w:rFonts w:hint="eastAsia"/>
          <w:color w:val="auto"/>
          <w:highlight w:val="none"/>
          <w:lang w:val="en-US" w:eastAsia="zh-CN"/>
        </w:rPr>
        <w:t>（1）建设规模:总用地面积</w:t>
      </w:r>
      <w:r>
        <w:rPr>
          <w:rFonts w:hint="eastAsia" w:ascii="宋体" w:hAnsi="宋体" w:eastAsia="宋体"/>
          <w:color w:val="auto"/>
          <w:highlight w:val="none"/>
          <w:lang w:val="en-US" w:eastAsia="zh-CN"/>
        </w:rPr>
        <w:t>44356.7㎡,</w:t>
      </w:r>
      <w:r>
        <w:rPr>
          <w:rFonts w:hint="eastAsia" w:ascii="宋体" w:hAnsi="宋体" w:eastAsia="宋体" w:cstheme="minorBidi"/>
          <w:color w:val="auto"/>
          <w:sz w:val="24"/>
          <w:szCs w:val="24"/>
          <w:highlight w:val="none"/>
          <w:lang w:val="en-US" w:eastAsia="zh-CN"/>
        </w:rPr>
        <w:t>可建设用地面积</w:t>
      </w:r>
      <w:bookmarkStart w:id="19" w:name="OLE_LINK4"/>
      <w:r>
        <w:rPr>
          <w:rFonts w:hint="eastAsia" w:ascii="宋体" w:hAnsi="宋体" w:eastAsia="宋体" w:cstheme="minorBidi"/>
          <w:color w:val="auto"/>
          <w:sz w:val="24"/>
          <w:szCs w:val="24"/>
          <w:highlight w:val="none"/>
          <w:lang w:val="en-US" w:eastAsia="zh-CN"/>
        </w:rPr>
        <w:t>29786.55</w:t>
      </w:r>
      <w:bookmarkEnd w:id="19"/>
      <w:r>
        <w:rPr>
          <w:rFonts w:hint="eastAsia" w:ascii="宋体" w:hAnsi="宋体" w:eastAsia="宋体" w:cstheme="minorBidi"/>
          <w:color w:val="auto"/>
          <w:sz w:val="24"/>
          <w:szCs w:val="24"/>
          <w:highlight w:val="none"/>
          <w:lang w:val="en-US" w:eastAsia="zh-CN"/>
        </w:rPr>
        <w:t>㎡</w:t>
      </w:r>
      <w:r>
        <w:rPr>
          <w:rFonts w:hint="eastAsia"/>
          <w:color w:val="auto"/>
          <w:highlight w:val="none"/>
          <w:lang w:val="en-US" w:eastAsia="zh-CN"/>
        </w:rPr>
        <w:t>，道路用地面积约12000㎡。</w:t>
      </w:r>
    </w:p>
    <w:p>
      <w:pPr>
        <w:bidi w:val="0"/>
        <w:rPr>
          <w:rFonts w:hint="eastAsia"/>
          <w:color w:val="auto"/>
          <w:highlight w:val="none"/>
          <w:lang w:val="en-US" w:eastAsia="zh-CN"/>
        </w:rPr>
      </w:pPr>
      <w:r>
        <w:rPr>
          <w:rFonts w:hint="eastAsia"/>
          <w:color w:val="auto"/>
          <w:highlight w:val="none"/>
          <w:lang w:val="en-US" w:eastAsia="zh-CN"/>
        </w:rPr>
        <w:t>（2）经济技术指标:绿地率29%，建筑密度29.92%，容积率3.05，计容建筑面积</w:t>
      </w:r>
      <w:r>
        <w:rPr>
          <w:rFonts w:hint="eastAsia" w:ascii="宋体" w:hAnsi="宋体" w:eastAsia="宋体" w:cstheme="minorBidi"/>
          <w:color w:val="auto"/>
          <w:sz w:val="24"/>
          <w:szCs w:val="24"/>
          <w:highlight w:val="none"/>
          <w:lang w:val="en-US" w:eastAsia="zh-CN"/>
        </w:rPr>
        <w:t>90826.55</w:t>
      </w:r>
      <w:r>
        <w:rPr>
          <w:rFonts w:hint="eastAsia"/>
          <w:color w:val="auto"/>
          <w:highlight w:val="none"/>
          <w:lang w:val="en-US" w:eastAsia="zh-CN"/>
        </w:rPr>
        <w:t>㎡，总建筑面积约</w:t>
      </w:r>
      <w:r>
        <w:rPr>
          <w:rFonts w:hint="eastAsia" w:ascii="宋体" w:hAnsi="宋体" w:eastAsia="宋体" w:cstheme="minorBidi"/>
          <w:color w:val="auto"/>
          <w:sz w:val="24"/>
          <w:szCs w:val="24"/>
          <w:highlight w:val="none"/>
          <w:lang w:val="en-US" w:eastAsia="zh-CN"/>
        </w:rPr>
        <w:t>111644.67</w:t>
      </w:r>
      <w:r>
        <w:rPr>
          <w:rFonts w:hint="eastAsia"/>
          <w:color w:val="auto"/>
          <w:highlight w:val="none"/>
          <w:lang w:val="en-US" w:eastAsia="zh-CN"/>
        </w:rPr>
        <w:t>㎡ 。建筑最高</w:t>
      </w:r>
      <w:r>
        <w:rPr>
          <w:rFonts w:hint="eastAsia" w:ascii="宋体" w:hAnsi="宋体" w:eastAsia="宋体" w:cstheme="minorBidi"/>
          <w:color w:val="auto"/>
          <w:sz w:val="24"/>
          <w:szCs w:val="24"/>
          <w:highlight w:val="none"/>
          <w:lang w:val="en-US" w:eastAsia="zh-CN"/>
        </w:rPr>
        <w:t>87.85</w:t>
      </w:r>
      <w:r>
        <w:rPr>
          <w:rFonts w:hint="eastAsia"/>
          <w:color w:val="auto"/>
          <w:highlight w:val="none"/>
          <w:lang w:val="en-US" w:eastAsia="zh-CN"/>
        </w:rPr>
        <w:t>米，层数暂定地上</w:t>
      </w:r>
      <w:r>
        <w:rPr>
          <w:rFonts w:hint="eastAsia" w:ascii="宋体" w:hAnsi="宋体" w:eastAsia="宋体" w:cstheme="minorBidi"/>
          <w:color w:val="auto"/>
          <w:sz w:val="24"/>
          <w:szCs w:val="24"/>
          <w:highlight w:val="none"/>
          <w:lang w:val="en-US" w:eastAsia="zh-CN"/>
        </w:rPr>
        <w:t>17-29层，地下室1层</w:t>
      </w:r>
      <w:r>
        <w:rPr>
          <w:rFonts w:hint="eastAsia"/>
          <w:color w:val="auto"/>
          <w:highlight w:val="none"/>
          <w:lang w:val="en-US" w:eastAsia="zh-CN"/>
        </w:rPr>
        <w:t>。拟建</w:t>
      </w:r>
      <w:r>
        <w:rPr>
          <w:rFonts w:hint="eastAsia" w:ascii="宋体" w:hAnsi="宋体" w:eastAsia="宋体"/>
          <w:color w:val="auto"/>
          <w:highlight w:val="none"/>
          <w:lang w:val="en-US" w:eastAsia="zh-CN"/>
        </w:rPr>
        <w:t>住宅</w:t>
      </w:r>
      <w:r>
        <w:rPr>
          <w:rFonts w:hint="eastAsia"/>
          <w:color w:val="auto"/>
          <w:highlight w:val="none"/>
          <w:lang w:val="en-US" w:eastAsia="zh-CN"/>
        </w:rPr>
        <w:t>套数为1380套，全部为公共租赁住房。</w:t>
      </w:r>
    </w:p>
    <w:p>
      <w:pPr>
        <w:bidi w:val="0"/>
        <w:rPr>
          <w:rFonts w:hint="eastAsia"/>
          <w:color w:val="auto"/>
          <w:highlight w:val="none"/>
          <w:lang w:val="en-US" w:eastAsia="zh-CN"/>
        </w:rPr>
      </w:pPr>
      <w:r>
        <w:rPr>
          <w:rFonts w:hint="eastAsia"/>
          <w:color w:val="auto"/>
          <w:highlight w:val="none"/>
          <w:lang w:val="en-US" w:eastAsia="zh-CN"/>
        </w:rPr>
        <w:t>本项目的建设规模及指标最终以政府相关部门的批复及发包人选定方案为准，发包人有权根据批复意见进行调整，承包人应给予修改。</w:t>
      </w:r>
    </w:p>
    <w:p>
      <w:pPr>
        <w:bidi w:val="0"/>
        <w:rPr>
          <w:rFonts w:hint="eastAsia"/>
          <w:color w:val="auto"/>
          <w:highlight w:val="none"/>
          <w:lang w:val="en-US" w:eastAsia="zh-CN"/>
        </w:rPr>
      </w:pPr>
      <w:r>
        <w:rPr>
          <w:rFonts w:hint="eastAsia"/>
          <w:color w:val="auto"/>
          <w:highlight w:val="none"/>
          <w:lang w:val="en-US" w:eastAsia="zh-CN"/>
        </w:rPr>
        <w:t>（3）</w:t>
      </w:r>
      <w:bookmarkStart w:id="20" w:name="OLE_LINK1"/>
      <w:r>
        <w:rPr>
          <w:rFonts w:hint="eastAsia"/>
          <w:color w:val="auto"/>
          <w:highlight w:val="none"/>
          <w:lang w:val="en-US" w:eastAsia="zh-CN"/>
        </w:rPr>
        <w:t>拟建工程范围见下图“拟建工程范围示意图”。</w:t>
      </w:r>
    </w:p>
    <w:p>
      <w:pPr>
        <w:bidi w:val="0"/>
        <w:rPr>
          <w:rFonts w:hint="eastAsia"/>
          <w:color w:val="auto"/>
          <w:highlight w:val="none"/>
          <w:lang w:val="en-US" w:eastAsia="zh-CN"/>
        </w:rPr>
      </w:pPr>
    </w:p>
    <w:tbl>
      <w:tblPr>
        <w:tblStyle w:val="2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937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9374" w:type="dxa"/>
            <w:noWrap w:val="0"/>
            <w:vAlign w:val="top"/>
          </w:tcPr>
          <w:p>
            <w:pPr>
              <w:jc w:val="center"/>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拟建工程</w:t>
            </w:r>
            <w:r>
              <w:rPr>
                <w:rFonts w:hint="eastAsia" w:ascii="Times New Roman" w:hAnsi="Times New Roman" w:cs="Times New Roman"/>
                <w:color w:val="auto"/>
                <w:sz w:val="24"/>
                <w:highlight w:val="none"/>
                <w:lang w:val="en-US" w:eastAsia="zh-CN"/>
              </w:rPr>
              <w:t>范围示意</w:t>
            </w:r>
            <w:r>
              <w:rPr>
                <w:rFonts w:hint="default" w:ascii="Times New Roman" w:hAnsi="Times New Roman" w:eastAsia="宋体" w:cs="Times New Roman"/>
                <w:color w:val="auto"/>
                <w:sz w:val="24"/>
                <w:highlight w:val="none"/>
              </w:rPr>
              <w:t xml:space="preserve">图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90" w:hRule="atLeast"/>
          <w:jc w:val="center"/>
        </w:trPr>
        <w:tc>
          <w:tcPr>
            <w:tcW w:w="9374" w:type="dxa"/>
            <w:noWrap w:val="0"/>
            <w:vAlign w:val="top"/>
          </w:tcPr>
          <w:p>
            <w:pPr>
              <w:pStyle w:val="26"/>
              <w:bidi w:val="0"/>
              <w:rPr>
                <w:rFonts w:hint="eastAsia" w:eastAsia="宋体"/>
                <w:color w:val="auto"/>
                <w:highlight w:val="none"/>
                <w:lang w:eastAsia="zh-CN"/>
              </w:rPr>
            </w:pPr>
            <w:r>
              <w:rPr>
                <w:rFonts w:hint="eastAsia" w:eastAsia="宋体"/>
                <w:color w:val="auto"/>
                <w:highlight w:val="none"/>
                <w:lang w:eastAsia="zh-CN"/>
              </w:rPr>
              <w:drawing>
                <wp:inline distT="0" distB="0" distL="114300" distR="114300">
                  <wp:extent cx="4599305" cy="3884295"/>
                  <wp:effectExtent l="0" t="0" r="4445" b="5080"/>
                  <wp:docPr id="5" name="图片 5" descr="微信图片_20250621201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微信图片_20250621201714"/>
                          <pic:cNvPicPr>
                            <a:picLocks noChangeAspect="1"/>
                          </pic:cNvPicPr>
                        </pic:nvPicPr>
                        <pic:blipFill>
                          <a:blip r:embed="rId9"/>
                          <a:stretch>
                            <a:fillRect/>
                          </a:stretch>
                        </pic:blipFill>
                        <pic:spPr>
                          <a:xfrm>
                            <a:off x="0" y="0"/>
                            <a:ext cx="4599305" cy="3884295"/>
                          </a:xfrm>
                          <a:prstGeom prst="rect">
                            <a:avLst/>
                          </a:prstGeom>
                        </pic:spPr>
                      </pic:pic>
                    </a:graphicData>
                  </a:graphic>
                </wp:inline>
              </w:drawing>
            </w:r>
          </w:p>
        </w:tc>
      </w:tr>
      <w:bookmarkEnd w:id="20"/>
    </w:tbl>
    <w:p>
      <w:pPr>
        <w:pStyle w:val="4"/>
        <w:bidi w:val="0"/>
        <w:rPr>
          <w:color w:val="auto"/>
          <w:highlight w:val="none"/>
        </w:rPr>
      </w:pPr>
      <w:r>
        <w:rPr>
          <w:rFonts w:hint="eastAsia"/>
          <w:color w:val="auto"/>
          <w:highlight w:val="none"/>
        </w:rPr>
        <w:t>现场情况</w:t>
      </w:r>
    </w:p>
    <w:p>
      <w:pPr>
        <w:pStyle w:val="5"/>
        <w:bidi w:val="0"/>
        <w:rPr>
          <w:rFonts w:hint="eastAsia"/>
          <w:color w:val="auto"/>
          <w:highlight w:val="none"/>
        </w:rPr>
      </w:pPr>
      <w:r>
        <w:rPr>
          <w:rFonts w:hint="eastAsia"/>
          <w:color w:val="auto"/>
          <w:highlight w:val="none"/>
        </w:rPr>
        <w:t>临水临电接驳</w:t>
      </w:r>
    </w:p>
    <w:p>
      <w:pPr>
        <w:bidi w:val="0"/>
        <w:rPr>
          <w:rFonts w:hint="default" w:eastAsia="宋体"/>
          <w:color w:val="auto"/>
          <w:highlight w:val="none"/>
          <w:lang w:val="en-US" w:eastAsia="zh-CN"/>
        </w:rPr>
      </w:pPr>
      <w:r>
        <w:rPr>
          <w:rFonts w:hint="eastAsia"/>
          <w:color w:val="auto"/>
          <w:highlight w:val="none"/>
        </w:rPr>
        <w:t>承包人应根据现场踏勘，</w:t>
      </w:r>
      <w:r>
        <w:rPr>
          <w:rFonts w:hint="eastAsia"/>
          <w:color w:val="auto"/>
          <w:highlight w:val="none"/>
          <w:lang w:val="en-US" w:eastAsia="zh-CN"/>
        </w:rPr>
        <w:t>结合</w:t>
      </w:r>
      <w:r>
        <w:rPr>
          <w:rFonts w:hint="eastAsia"/>
          <w:color w:val="auto"/>
          <w:highlight w:val="none"/>
        </w:rPr>
        <w:t>目前场地</w:t>
      </w:r>
      <w:r>
        <w:rPr>
          <w:rFonts w:hint="eastAsia"/>
          <w:color w:val="auto"/>
          <w:highlight w:val="none"/>
          <w:lang w:val="en-US" w:eastAsia="zh-CN"/>
        </w:rPr>
        <w:t>已有的</w:t>
      </w:r>
      <w:r>
        <w:rPr>
          <w:rFonts w:hint="eastAsia"/>
          <w:color w:val="auto"/>
          <w:highlight w:val="none"/>
        </w:rPr>
        <w:t>临水临电接驳条件，充分考虑</w:t>
      </w:r>
      <w:r>
        <w:rPr>
          <w:rFonts w:hint="eastAsia"/>
          <w:color w:val="auto"/>
          <w:highlight w:val="none"/>
          <w:lang w:val="en-US" w:eastAsia="zh-CN"/>
        </w:rPr>
        <w:t>自身用水用电需求</w:t>
      </w:r>
      <w:r>
        <w:rPr>
          <w:rFonts w:hint="eastAsia"/>
          <w:color w:val="auto"/>
          <w:highlight w:val="none"/>
        </w:rPr>
        <w:t>，包括但不限于使用临时发电机等措施，满足现场临时水电使用，费用含于投标报价中，不再另行计取。</w:t>
      </w:r>
    </w:p>
    <w:p>
      <w:pPr>
        <w:pStyle w:val="5"/>
        <w:bidi w:val="0"/>
        <w:rPr>
          <w:rFonts w:hint="eastAsia"/>
          <w:color w:val="auto"/>
          <w:highlight w:val="none"/>
        </w:rPr>
      </w:pPr>
      <w:r>
        <w:rPr>
          <w:rFonts w:hint="eastAsia"/>
          <w:color w:val="auto"/>
          <w:highlight w:val="none"/>
        </w:rPr>
        <w:t>围蔽及临时道路</w:t>
      </w:r>
    </w:p>
    <w:p>
      <w:pPr>
        <w:bidi w:val="0"/>
        <w:rPr>
          <w:rFonts w:hint="eastAsia"/>
          <w:color w:val="auto"/>
          <w:highlight w:val="none"/>
        </w:rPr>
      </w:pPr>
      <w:r>
        <w:rPr>
          <w:rFonts w:hint="eastAsia"/>
          <w:color w:val="auto"/>
          <w:highlight w:val="none"/>
          <w:lang w:val="en-US" w:eastAsia="zh-CN"/>
        </w:rPr>
        <w:t>（1）</w:t>
      </w:r>
      <w:r>
        <w:rPr>
          <w:rFonts w:hint="eastAsia"/>
          <w:color w:val="auto"/>
          <w:highlight w:val="none"/>
        </w:rPr>
        <w:t>围蔽的要求及范围</w:t>
      </w:r>
    </w:p>
    <w:p>
      <w:pPr>
        <w:bidi w:val="0"/>
        <w:rPr>
          <w:rFonts w:hint="eastAsia"/>
          <w:color w:val="auto"/>
          <w:highlight w:val="none"/>
        </w:rPr>
      </w:pPr>
      <w:r>
        <w:rPr>
          <w:rFonts w:hint="eastAsia"/>
          <w:color w:val="auto"/>
          <w:highlight w:val="none"/>
        </w:rPr>
        <w:t>施工期间对施工区域及周边用地范围按照最新版《广东省建设工程安全文明施工规程DB4401》《广州市建设工程安全文明施工规程》《广州市建设工程绿色施工围蔽》及发包人的要求进行围蔽。</w:t>
      </w:r>
    </w:p>
    <w:p>
      <w:pPr>
        <w:bidi w:val="0"/>
        <w:rPr>
          <w:rFonts w:hint="eastAsia"/>
          <w:color w:val="auto"/>
          <w:highlight w:val="none"/>
        </w:rPr>
      </w:pPr>
      <w:r>
        <w:rPr>
          <w:rFonts w:hint="eastAsia"/>
          <w:color w:val="auto"/>
          <w:highlight w:val="none"/>
        </w:rPr>
        <w:t>1)施工场地的布置应服从发包人及监理单位的统一安排管理。现场四周设置施工围墙、大门，围墙、大门按照按照最新版《广东省建设工程安全文明施工规程DB4401》《广州市建设工程安全文明施工规程》《广州市建设工程绿色施工围蔽》及发包人的要求进行标志形象设计，大门宽度不少于7米，原则是严谨、完整、牢固、美观大方。</w:t>
      </w:r>
    </w:p>
    <w:p>
      <w:pPr>
        <w:bidi w:val="0"/>
        <w:rPr>
          <w:rFonts w:hint="eastAsia"/>
          <w:color w:val="auto"/>
          <w:highlight w:val="none"/>
        </w:rPr>
      </w:pPr>
      <w:r>
        <w:rPr>
          <w:rFonts w:hint="eastAsia"/>
          <w:color w:val="auto"/>
          <w:highlight w:val="none"/>
        </w:rPr>
        <w:t>2)施工总承包单位必须根据工程的实际需要，负责修建工地围墙、施工临时围蔽，负责临时围蔽和出入口的增设、维护和管理工作，并保证整个工程建设期间的工地安全保卫和文明生产。各出入口派专人24小时看管。</w:t>
      </w:r>
    </w:p>
    <w:p>
      <w:pPr>
        <w:bidi w:val="0"/>
        <w:rPr>
          <w:rFonts w:hint="eastAsia"/>
          <w:color w:val="auto"/>
          <w:highlight w:val="none"/>
        </w:rPr>
      </w:pPr>
      <w:r>
        <w:rPr>
          <w:rFonts w:hint="eastAsia"/>
          <w:color w:val="auto"/>
          <w:highlight w:val="none"/>
          <w:lang w:val="en-US" w:eastAsia="zh-CN"/>
        </w:rPr>
        <w:t>（2）</w:t>
      </w:r>
      <w:r>
        <w:rPr>
          <w:rFonts w:hint="eastAsia"/>
          <w:color w:val="auto"/>
          <w:highlight w:val="none"/>
        </w:rPr>
        <w:t>临时道路</w:t>
      </w:r>
    </w:p>
    <w:p>
      <w:pPr>
        <w:bidi w:val="0"/>
        <w:rPr>
          <w:rFonts w:hint="eastAsia"/>
          <w:color w:val="auto"/>
          <w:highlight w:val="none"/>
        </w:rPr>
      </w:pPr>
      <w:r>
        <w:rPr>
          <w:rFonts w:hint="eastAsia"/>
          <w:color w:val="auto"/>
          <w:highlight w:val="none"/>
          <w:lang w:val="en-US" w:eastAsia="zh-CN"/>
        </w:rPr>
        <w:t>目前进入拟建设用地范围的道路主要从兵房街通过南方钢厂生活区到达，备选道路为从项目东区北侧已硬化区域进入，</w:t>
      </w:r>
      <w:r>
        <w:rPr>
          <w:rFonts w:hint="eastAsia"/>
          <w:color w:val="auto"/>
          <w:highlight w:val="none"/>
          <w:lang w:eastAsia="zh-CN"/>
        </w:rPr>
        <w:t>总承包人</w:t>
      </w:r>
      <w:r>
        <w:rPr>
          <w:rFonts w:hint="eastAsia"/>
          <w:color w:val="auto"/>
          <w:highlight w:val="none"/>
          <w:lang w:val="en-US" w:eastAsia="zh-CN"/>
        </w:rPr>
        <w:t>应在场地接收后，保护并维护现场已有的出入口道路，</w:t>
      </w:r>
      <w:r>
        <w:rPr>
          <w:rFonts w:hint="eastAsia"/>
          <w:color w:val="auto"/>
          <w:highlight w:val="none"/>
        </w:rPr>
        <w:t>完善</w:t>
      </w:r>
      <w:r>
        <w:rPr>
          <w:rFonts w:hint="eastAsia"/>
          <w:color w:val="auto"/>
          <w:highlight w:val="none"/>
          <w:lang w:val="en-US" w:eastAsia="zh-CN"/>
        </w:rPr>
        <w:t>用地</w:t>
      </w:r>
      <w:r>
        <w:rPr>
          <w:rFonts w:hint="eastAsia"/>
          <w:color w:val="auto"/>
          <w:highlight w:val="none"/>
        </w:rPr>
        <w:t>红线</w:t>
      </w:r>
      <w:r>
        <w:rPr>
          <w:rFonts w:hint="eastAsia"/>
          <w:color w:val="auto"/>
          <w:highlight w:val="none"/>
          <w:lang w:val="en-US" w:eastAsia="zh-CN"/>
        </w:rPr>
        <w:t>场地</w:t>
      </w:r>
      <w:r>
        <w:rPr>
          <w:rFonts w:hint="eastAsia"/>
          <w:color w:val="auto"/>
          <w:highlight w:val="none"/>
        </w:rPr>
        <w:t>内外临时道路的接收、新建、维护、修缮、日常保洁、拆除等并负责相关手续办理。</w:t>
      </w:r>
    </w:p>
    <w:p>
      <w:pPr>
        <w:pStyle w:val="5"/>
        <w:bidi w:val="0"/>
        <w:rPr>
          <w:rFonts w:hint="eastAsia"/>
          <w:color w:val="auto"/>
          <w:highlight w:val="none"/>
        </w:rPr>
      </w:pPr>
      <w:r>
        <w:rPr>
          <w:rFonts w:hint="eastAsia"/>
          <w:color w:val="auto"/>
          <w:highlight w:val="none"/>
        </w:rPr>
        <w:t>临时排水及排污</w:t>
      </w:r>
    </w:p>
    <w:p>
      <w:pPr>
        <w:bidi w:val="0"/>
        <w:rPr>
          <w:rFonts w:hint="eastAsia"/>
          <w:color w:val="auto"/>
          <w:highlight w:val="none"/>
        </w:rPr>
      </w:pPr>
      <w:r>
        <w:rPr>
          <w:rFonts w:hint="eastAsia"/>
          <w:color w:val="auto"/>
          <w:highlight w:val="none"/>
        </w:rPr>
        <w:t>临时排水及排污相关手续及排水排污措施由承包人自行解决。由承包人自行修建临时排污设施，且必须设置污水处理系统，符合广州市建筑污水排放标准，费用含于投标报价中，不再另行计取。</w:t>
      </w:r>
    </w:p>
    <w:p>
      <w:pPr>
        <w:bidi w:val="0"/>
        <w:rPr>
          <w:rFonts w:hint="eastAsia"/>
          <w:b w:val="0"/>
          <w:bCs w:val="0"/>
          <w:color w:val="auto"/>
          <w:highlight w:val="none"/>
          <w:lang w:val="en-US" w:eastAsia="zh-CN"/>
        </w:rPr>
      </w:pPr>
      <w:r>
        <w:rPr>
          <w:rFonts w:hint="eastAsia"/>
          <w:b w:val="0"/>
          <w:bCs w:val="0"/>
          <w:color w:val="auto"/>
          <w:highlight w:val="none"/>
          <w:lang w:val="en-US" w:eastAsia="zh-CN"/>
        </w:rPr>
        <w:t>其他未尽场地情况另行提供。</w:t>
      </w:r>
    </w:p>
    <w:p>
      <w:pPr>
        <w:bidi w:val="0"/>
        <w:ind w:firstLine="0" w:firstLineChars="0"/>
        <w:rPr>
          <w:rFonts w:hint="eastAsia"/>
          <w:b w:val="0"/>
          <w:bCs w:val="0"/>
          <w:color w:val="auto"/>
          <w:highlight w:val="none"/>
          <w:lang w:val="en-US" w:eastAsia="zh-CN"/>
        </w:rPr>
      </w:pPr>
      <w:r>
        <w:rPr>
          <w:rFonts w:hint="eastAsia"/>
          <w:b w:val="0"/>
          <w:bCs w:val="0"/>
          <w:color w:val="auto"/>
          <w:highlight w:val="none"/>
          <w:lang w:val="en-US" w:eastAsia="zh-CN"/>
        </w:rPr>
        <w:t xml:space="preserve"> 1.1.2.4 用地拆迁情况</w:t>
      </w:r>
    </w:p>
    <w:p>
      <w:pPr>
        <w:bidi w:val="0"/>
        <w:ind w:firstLine="0" w:firstLineChars="0"/>
        <w:rPr>
          <w:rFonts w:hint="default"/>
          <w:b w:val="0"/>
          <w:bCs w:val="0"/>
          <w:color w:val="auto"/>
          <w:highlight w:val="none"/>
          <w:lang w:val="en-US" w:eastAsia="zh-CN"/>
        </w:rPr>
      </w:pPr>
      <w:r>
        <w:rPr>
          <w:rFonts w:hint="eastAsia"/>
          <w:b w:val="0"/>
          <w:bCs w:val="0"/>
          <w:color w:val="auto"/>
          <w:highlight w:val="none"/>
          <w:lang w:val="en-US" w:eastAsia="zh-CN"/>
        </w:rPr>
        <w:t xml:space="preserve">    项目用地范围内尚有建（构）筑物待拆迁，存在需分区域先后施工的情况。承包人应现场踏勘，进场后，须根据发包人要求做好按区域分阶段施工管理工作，由此产生的</w:t>
      </w:r>
      <w:r>
        <w:rPr>
          <w:rFonts w:hint="eastAsia"/>
          <w:color w:val="auto"/>
          <w:highlight w:val="none"/>
        </w:rPr>
        <w:t>费用含于投标报价中，不再另行计取。</w:t>
      </w:r>
    </w:p>
    <w:p>
      <w:pPr>
        <w:pStyle w:val="4"/>
        <w:bidi w:val="0"/>
        <w:rPr>
          <w:color w:val="auto"/>
          <w:highlight w:val="none"/>
        </w:rPr>
      </w:pPr>
      <w:r>
        <w:rPr>
          <w:rFonts w:hint="eastAsia"/>
          <w:color w:val="auto"/>
          <w:highlight w:val="none"/>
        </w:rPr>
        <w:t>主要</w:t>
      </w:r>
      <w:r>
        <w:rPr>
          <w:color w:val="auto"/>
          <w:highlight w:val="none"/>
        </w:rPr>
        <w:t>参建单位</w:t>
      </w:r>
    </w:p>
    <w:p>
      <w:pPr>
        <w:bidi w:val="0"/>
        <w:rPr>
          <w:rFonts w:hint="eastAsia"/>
          <w:color w:val="auto"/>
          <w:highlight w:val="none"/>
        </w:rPr>
      </w:pPr>
      <w:r>
        <w:rPr>
          <w:rFonts w:hint="eastAsia"/>
          <w:color w:val="auto"/>
          <w:highlight w:val="none"/>
          <w:lang w:val="en-US" w:eastAsia="zh-CN"/>
        </w:rPr>
        <w:t>发包人</w:t>
      </w:r>
      <w:r>
        <w:rPr>
          <w:rFonts w:hint="eastAsia"/>
          <w:color w:val="auto"/>
          <w:highlight w:val="none"/>
          <w:lang w:eastAsia="zh-CN"/>
        </w:rPr>
        <w:t>：</w:t>
      </w:r>
      <w:r>
        <w:rPr>
          <w:rFonts w:hint="eastAsia"/>
          <w:color w:val="auto"/>
          <w:highlight w:val="none"/>
        </w:rPr>
        <w:t>广州</w:t>
      </w:r>
      <w:r>
        <w:rPr>
          <w:rFonts w:hint="eastAsia"/>
          <w:color w:val="auto"/>
          <w:highlight w:val="none"/>
          <w:lang w:val="en-US" w:eastAsia="zh-CN"/>
        </w:rPr>
        <w:t>珠江</w:t>
      </w:r>
      <w:r>
        <w:rPr>
          <w:rFonts w:hint="eastAsia"/>
          <w:color w:val="auto"/>
          <w:highlight w:val="none"/>
        </w:rPr>
        <w:t>住房租赁发展投资有限公司</w:t>
      </w:r>
    </w:p>
    <w:p>
      <w:pPr>
        <w:bidi w:val="0"/>
        <w:rPr>
          <w:rFonts w:hint="eastAsia"/>
          <w:color w:val="auto"/>
          <w:highlight w:val="none"/>
        </w:rPr>
      </w:pPr>
      <w:r>
        <w:rPr>
          <w:rFonts w:hint="eastAsia"/>
          <w:color w:val="auto"/>
          <w:highlight w:val="none"/>
        </w:rPr>
        <w:t>监理单位</w:t>
      </w:r>
      <w:r>
        <w:rPr>
          <w:rFonts w:hint="eastAsia"/>
          <w:color w:val="auto"/>
          <w:highlight w:val="none"/>
          <w:lang w:eastAsia="zh-CN"/>
        </w:rPr>
        <w:t>：</w:t>
      </w:r>
      <w:r>
        <w:rPr>
          <w:rFonts w:hint="eastAsia"/>
          <w:color w:val="auto"/>
          <w:highlight w:val="none"/>
        </w:rPr>
        <w:t>广</w:t>
      </w:r>
      <w:r>
        <w:rPr>
          <w:rFonts w:hint="eastAsia"/>
          <w:color w:val="auto"/>
          <w:highlight w:val="none"/>
          <w:lang w:val="en-US" w:eastAsia="zh-CN"/>
        </w:rPr>
        <w:t>东建设工</w:t>
      </w:r>
      <w:r>
        <w:rPr>
          <w:rFonts w:hint="eastAsia"/>
          <w:color w:val="auto"/>
          <w:highlight w:val="none"/>
        </w:rPr>
        <w:t>程监理有限公司</w:t>
      </w:r>
    </w:p>
    <w:p>
      <w:pPr>
        <w:bidi w:val="0"/>
        <w:rPr>
          <w:rFonts w:hint="eastAsia"/>
          <w:color w:val="auto"/>
          <w:highlight w:val="none"/>
        </w:rPr>
      </w:pPr>
      <w:r>
        <w:rPr>
          <w:rFonts w:hint="eastAsia"/>
          <w:color w:val="auto"/>
          <w:highlight w:val="none"/>
          <w:lang w:val="en-US" w:eastAsia="zh-CN"/>
        </w:rPr>
        <w:t>工程</w:t>
      </w:r>
      <w:r>
        <w:rPr>
          <w:rFonts w:hint="eastAsia"/>
          <w:color w:val="auto"/>
          <w:highlight w:val="none"/>
        </w:rPr>
        <w:t>设计单位</w:t>
      </w:r>
      <w:r>
        <w:rPr>
          <w:rFonts w:hint="eastAsia"/>
          <w:color w:val="auto"/>
          <w:highlight w:val="none"/>
          <w:lang w:eastAsia="zh-CN"/>
        </w:rPr>
        <w:t>：</w:t>
      </w:r>
      <w:r>
        <w:rPr>
          <w:rFonts w:hint="default" w:ascii="Arial" w:hAnsi="Arial" w:cs="Arial"/>
          <w:caps w:val="0"/>
          <w:color w:val="auto"/>
          <w:spacing w:val="0"/>
          <w:sz w:val="22"/>
          <w:szCs w:val="22"/>
          <w:highlight w:val="none"/>
          <w:u w:val="single"/>
          <w:shd w:val="clear" w:fill="FFFFFF"/>
        </w:rPr>
        <w:fldChar w:fldCharType="begin"/>
      </w:r>
      <w:r>
        <w:rPr>
          <w:rFonts w:hint="default" w:ascii="Arial" w:hAnsi="Arial" w:cs="Arial"/>
          <w:caps w:val="0"/>
          <w:color w:val="auto"/>
          <w:spacing w:val="0"/>
          <w:sz w:val="22"/>
          <w:szCs w:val="22"/>
          <w:highlight w:val="none"/>
          <w:u w:val="single"/>
          <w:shd w:val="clear" w:fill="FFFFFF"/>
        </w:rPr>
        <w:instrText xml:space="preserve"> HYPERLINK "https://aiqicha.baidu.com/detail/compinfo?pid=xlTM-TogKuTw8T6zXJSieScHGPGo3qvyOwmd&amp;pd=aen&amp;from=ps&amp;query=%E5%B9%BF%E5%B7%9E%E5%B8%82%E5%9F%8E%E5%B8%82%E6%9B%B4%E6%96%B0%E8%A7%84%E5%88%92%E8%AE%BE%E8%AE%A1%E7%A0%94%E7%A9%B6%E9%99%A2%E6%9C%89%E9%99%90%E5%85%AC%E5%8F%B8" \t "https://www.baidu.com/_blank" </w:instrText>
      </w:r>
      <w:r>
        <w:rPr>
          <w:rFonts w:hint="default" w:ascii="Arial" w:hAnsi="Arial" w:cs="Arial"/>
          <w:caps w:val="0"/>
          <w:color w:val="auto"/>
          <w:spacing w:val="0"/>
          <w:sz w:val="22"/>
          <w:szCs w:val="22"/>
          <w:highlight w:val="none"/>
          <w:u w:val="single"/>
          <w:shd w:val="clear" w:fill="FFFFFF"/>
        </w:rPr>
        <w:fldChar w:fldCharType="separate"/>
      </w:r>
      <w:r>
        <w:rPr>
          <w:rStyle w:val="24"/>
          <w:rFonts w:hint="default" w:ascii="Arial" w:hAnsi="Arial" w:cs="Arial"/>
          <w:i w:val="0"/>
          <w:iCs w:val="0"/>
          <w:caps w:val="0"/>
          <w:color w:val="auto"/>
          <w:spacing w:val="0"/>
          <w:sz w:val="22"/>
          <w:szCs w:val="22"/>
          <w:highlight w:val="none"/>
          <w:u w:val="single"/>
          <w:shd w:val="clear" w:fill="FFFFFF"/>
        </w:rPr>
        <w:t>广州市城市更新规划设计研究院有限公司</w:t>
      </w:r>
      <w:r>
        <w:rPr>
          <w:rFonts w:hint="default" w:ascii="Arial" w:hAnsi="Arial" w:cs="Arial"/>
          <w:caps w:val="0"/>
          <w:color w:val="auto"/>
          <w:spacing w:val="0"/>
          <w:sz w:val="22"/>
          <w:szCs w:val="22"/>
          <w:highlight w:val="none"/>
          <w:u w:val="single"/>
          <w:shd w:val="clear" w:fill="FFFFFF"/>
        </w:rPr>
        <w:fldChar w:fldCharType="end"/>
      </w:r>
    </w:p>
    <w:p>
      <w:pPr>
        <w:bidi w:val="0"/>
        <w:rPr>
          <w:rFonts w:hint="eastAsia"/>
          <w:color w:val="auto"/>
          <w:highlight w:val="none"/>
        </w:rPr>
      </w:pPr>
      <w:r>
        <w:rPr>
          <w:rFonts w:hint="eastAsia"/>
          <w:color w:val="auto"/>
          <w:highlight w:val="none"/>
        </w:rPr>
        <w:t>勘察单位</w:t>
      </w:r>
      <w:r>
        <w:rPr>
          <w:rFonts w:hint="eastAsia"/>
          <w:color w:val="auto"/>
          <w:highlight w:val="none"/>
          <w:lang w:eastAsia="zh-CN"/>
        </w:rPr>
        <w:t>：</w:t>
      </w:r>
      <w:r>
        <w:rPr>
          <w:rFonts w:hint="eastAsia"/>
          <w:color w:val="auto"/>
          <w:highlight w:val="none"/>
        </w:rPr>
        <w:t>广东省</w:t>
      </w:r>
      <w:r>
        <w:rPr>
          <w:rFonts w:hint="eastAsia"/>
          <w:color w:val="auto"/>
          <w:highlight w:val="none"/>
          <w:lang w:val="en-US" w:eastAsia="zh-CN"/>
        </w:rPr>
        <w:t>工程勘察院</w:t>
      </w:r>
    </w:p>
    <w:p>
      <w:pPr>
        <w:pStyle w:val="3"/>
        <w:bidi w:val="0"/>
        <w:rPr>
          <w:color w:val="auto"/>
          <w:highlight w:val="none"/>
        </w:rPr>
      </w:pPr>
      <w:bookmarkStart w:id="21" w:name="_Toc24093"/>
      <w:bookmarkStart w:id="22" w:name="_Toc20211"/>
      <w:bookmarkStart w:id="23" w:name="_Toc5911"/>
      <w:bookmarkStart w:id="24" w:name="_Toc6911"/>
      <w:bookmarkStart w:id="25" w:name="_Toc491089073"/>
      <w:bookmarkStart w:id="26" w:name="_Toc21564"/>
      <w:bookmarkStart w:id="27" w:name="_Toc24907"/>
      <w:bookmarkStart w:id="28" w:name="_Toc20120"/>
      <w:bookmarkStart w:id="29" w:name="_Toc498006851"/>
      <w:bookmarkStart w:id="30" w:name="_Toc491847803"/>
      <w:bookmarkStart w:id="31" w:name="_Toc497213713"/>
      <w:bookmarkStart w:id="32" w:name="_Toc7669"/>
      <w:r>
        <w:rPr>
          <w:rFonts w:hint="eastAsia"/>
          <w:color w:val="auto"/>
          <w:highlight w:val="none"/>
        </w:rPr>
        <w:t>工程</w:t>
      </w:r>
      <w:r>
        <w:rPr>
          <w:color w:val="auto"/>
          <w:highlight w:val="none"/>
        </w:rPr>
        <w:t>重难点</w:t>
      </w:r>
      <w:bookmarkEnd w:id="21"/>
      <w:bookmarkEnd w:id="22"/>
      <w:bookmarkEnd w:id="23"/>
      <w:bookmarkEnd w:id="24"/>
      <w:bookmarkEnd w:id="25"/>
      <w:bookmarkEnd w:id="26"/>
      <w:bookmarkEnd w:id="27"/>
      <w:bookmarkEnd w:id="28"/>
      <w:bookmarkEnd w:id="29"/>
      <w:bookmarkEnd w:id="30"/>
      <w:bookmarkEnd w:id="31"/>
      <w:bookmarkEnd w:id="32"/>
    </w:p>
    <w:p>
      <w:pPr>
        <w:bidi w:val="0"/>
        <w:rPr>
          <w:rFonts w:hint="eastAsia"/>
          <w:color w:val="auto"/>
          <w:highlight w:val="none"/>
        </w:rPr>
      </w:pPr>
      <w:bookmarkStart w:id="33" w:name="_Toc169722265"/>
      <w:r>
        <w:rPr>
          <w:rFonts w:hint="eastAsia"/>
          <w:color w:val="auto"/>
          <w:highlight w:val="none"/>
        </w:rPr>
        <w:t>（1）装配式建筑形式多样、制作安装精度要求高，对项目进度影响较大。因此，装配式建筑的深化设计、材料采购、生产、运输、存放、拼装、吊装、与相关工种的配合搭接等是项目管理的难点。</w:t>
      </w:r>
    </w:p>
    <w:p>
      <w:pPr>
        <w:bidi w:val="0"/>
        <w:rPr>
          <w:rFonts w:hint="eastAsia"/>
          <w:color w:val="auto"/>
          <w:highlight w:val="none"/>
        </w:rPr>
      </w:pPr>
      <w:r>
        <w:rPr>
          <w:rFonts w:hint="eastAsia"/>
          <w:color w:val="auto"/>
          <w:highlight w:val="none"/>
        </w:rPr>
        <w:t>（2）装配式工程需进行深化设计。发包人将根据工程进度对装配式等工程进行现场监造，承包人必须无条件配合。</w:t>
      </w:r>
    </w:p>
    <w:p>
      <w:pPr>
        <w:bidi w:val="0"/>
        <w:rPr>
          <w:rFonts w:hint="eastAsia"/>
          <w:color w:val="auto"/>
          <w:highlight w:val="none"/>
        </w:rPr>
      </w:pPr>
      <w:r>
        <w:rPr>
          <w:rFonts w:hint="eastAsia"/>
          <w:color w:val="auto"/>
          <w:highlight w:val="none"/>
        </w:rPr>
        <w:t>（3）材料管理是质量管理的重中之重。因此，严格实行材料看样定板制度，对进场材料严格按照定板标准组织监理验收并按相关规定进行材料检测，必须是百分百合格且与样板一致的材料才准进场使用。成套设备严格执行开箱验收制度，组织监理严格按照设计图纸和主要材料设备技术需求书列明的参数核对设备信息，确保进场材料设备符合设计要求，承包人需配置专人进行材料管理。</w:t>
      </w:r>
    </w:p>
    <w:p>
      <w:pPr>
        <w:bidi w:val="0"/>
        <w:rPr>
          <w:rFonts w:hint="eastAsia"/>
          <w:color w:val="auto"/>
          <w:highlight w:val="none"/>
        </w:rPr>
      </w:pPr>
      <w:r>
        <w:rPr>
          <w:rFonts w:hint="eastAsia"/>
          <w:color w:val="auto"/>
          <w:highlight w:val="none"/>
        </w:rPr>
        <w:t>（4）现场临设场地需统一规划，各专业的平行施工较多，因此，工序衔接、专业之间的配合垂直运输设备的使用统筹、现场材料进场堆放等诸多方面需要现场管理组重点协调，是现场管理的一项重点工作。</w:t>
      </w:r>
    </w:p>
    <w:p>
      <w:pPr>
        <w:bidi w:val="0"/>
        <w:rPr>
          <w:rFonts w:hint="eastAsia"/>
          <w:color w:val="auto"/>
          <w:highlight w:val="none"/>
          <w:lang w:val="en-US" w:eastAsia="zh-CN"/>
        </w:rPr>
      </w:pPr>
      <w:r>
        <w:rPr>
          <w:rFonts w:hint="eastAsia"/>
          <w:color w:val="auto"/>
          <w:highlight w:val="none"/>
        </w:rPr>
        <w:t>（5）项目严格实施技术策划先行，针对发包人组织的施工组织策划、防水专项策划、外立面策划、机电专项策划、创优策划</w:t>
      </w:r>
      <w:r>
        <w:rPr>
          <w:rFonts w:hint="eastAsia"/>
          <w:color w:val="auto"/>
          <w:highlight w:val="none"/>
          <w:lang w:val="en-US" w:eastAsia="zh-CN"/>
        </w:rPr>
        <w:t>等</w:t>
      </w:r>
      <w:r>
        <w:rPr>
          <w:rFonts w:hint="eastAsia"/>
          <w:color w:val="auto"/>
          <w:highlight w:val="none"/>
        </w:rPr>
        <w:t>，</w:t>
      </w:r>
      <w:r>
        <w:rPr>
          <w:rFonts w:hint="eastAsia"/>
          <w:color w:val="auto"/>
          <w:highlight w:val="none"/>
          <w:lang w:val="en-US" w:eastAsia="zh-CN"/>
        </w:rPr>
        <w:t>由</w:t>
      </w:r>
      <w:r>
        <w:rPr>
          <w:rFonts w:hint="eastAsia"/>
          <w:color w:val="auto"/>
          <w:highlight w:val="none"/>
        </w:rPr>
        <w:t>承包人</w:t>
      </w:r>
      <w:r>
        <w:rPr>
          <w:rFonts w:hint="eastAsia"/>
          <w:color w:val="auto"/>
          <w:highlight w:val="none"/>
          <w:lang w:val="en-US" w:eastAsia="zh-CN"/>
        </w:rPr>
        <w:t>牵头负责</w:t>
      </w:r>
      <w:r>
        <w:rPr>
          <w:rFonts w:hint="eastAsia"/>
          <w:color w:val="auto"/>
          <w:highlight w:val="none"/>
        </w:rPr>
        <w:t>策划准备</w:t>
      </w:r>
      <w:r>
        <w:rPr>
          <w:rFonts w:hint="eastAsia"/>
          <w:color w:val="auto"/>
          <w:highlight w:val="none"/>
          <w:lang w:val="en-US" w:eastAsia="zh-CN"/>
        </w:rPr>
        <w:t>及汇报</w:t>
      </w:r>
      <w:r>
        <w:rPr>
          <w:rFonts w:hint="eastAsia"/>
          <w:color w:val="auto"/>
          <w:highlight w:val="none"/>
        </w:rPr>
        <w:t>，并提供满足施工要求的对应深化图纸。精装策划、景观小市政策划</w:t>
      </w:r>
      <w:r>
        <w:rPr>
          <w:rFonts w:hint="eastAsia"/>
          <w:color w:val="auto"/>
          <w:highlight w:val="none"/>
          <w:lang w:val="en-US" w:eastAsia="zh-CN"/>
        </w:rPr>
        <w:t>由专业承包人负责，承包人需配合专业承包人相关工作。</w:t>
      </w:r>
    </w:p>
    <w:p>
      <w:pPr>
        <w:bidi w:val="0"/>
        <w:rPr>
          <w:rFonts w:hint="eastAsia"/>
          <w:color w:val="auto"/>
          <w:highlight w:val="none"/>
        </w:rPr>
      </w:pPr>
      <w:r>
        <w:rPr>
          <w:rFonts w:hint="eastAsia"/>
          <w:color w:val="auto"/>
          <w:highlight w:val="none"/>
          <w:lang w:val="en-US" w:eastAsia="zh-CN"/>
        </w:rPr>
        <w:t xml:space="preserve"> </w:t>
      </w:r>
      <w:r>
        <w:rPr>
          <w:rFonts w:hint="eastAsia"/>
          <w:color w:val="auto"/>
          <w:highlight w:val="none"/>
        </w:rPr>
        <w:t>发包人将在实施过程中对策划及深化内容进行监督查验，对于已经过审批的施工策划未能及时有效落地的，由承包人按照合同条款的约定承担违约责任，具体策划内容及要求详见</w:t>
      </w:r>
      <w:r>
        <w:rPr>
          <w:rFonts w:hint="eastAsia"/>
          <w:b/>
          <w:bCs/>
          <w:color w:val="auto"/>
          <w:highlight w:val="none"/>
        </w:rPr>
        <w:t>附件《【附件</w:t>
      </w:r>
      <w:r>
        <w:rPr>
          <w:rFonts w:hint="default"/>
          <w:b/>
          <w:bCs/>
          <w:color w:val="auto"/>
          <w:highlight w:val="none"/>
          <w:lang w:val="en-US" w:eastAsia="zh-CN"/>
        </w:rPr>
        <w:t>B</w:t>
      </w:r>
      <w:r>
        <w:rPr>
          <w:rFonts w:hint="eastAsia"/>
          <w:b/>
          <w:bCs/>
          <w:color w:val="auto"/>
          <w:highlight w:val="none"/>
        </w:rPr>
        <w:t>-1】施工策划评审表》</w:t>
      </w:r>
      <w:r>
        <w:rPr>
          <w:rFonts w:hint="eastAsia"/>
          <w:color w:val="auto"/>
          <w:highlight w:val="none"/>
        </w:rPr>
        <w:t>，策划完成及评审时间以发包人要求为准。</w:t>
      </w:r>
    </w:p>
    <w:p>
      <w:pPr>
        <w:bidi w:val="0"/>
        <w:rPr>
          <w:rFonts w:hint="eastAsia"/>
          <w:color w:val="auto"/>
          <w:highlight w:val="none"/>
        </w:rPr>
      </w:pPr>
      <w:r>
        <w:rPr>
          <w:rFonts w:hint="eastAsia"/>
          <w:color w:val="auto"/>
          <w:highlight w:val="none"/>
        </w:rPr>
        <w:t>（6）项目严格实施样板引路，尤其是对设计效果展示中涉及到观感的，材料用量较大的，同时又是交付时客户敏感点的材料进行设计看样，对此类材料的观感、品牌、质量、规格、尺寸、样式进行严控，承包人需配置满足材料管理要求的样板封样间，并在现场设置工序样板展示区、工艺样板展示区、实体样板展示区。需承包人在蓝图下发30天内上报样板引路专项策划。</w:t>
      </w:r>
    </w:p>
    <w:p>
      <w:pPr>
        <w:bidi w:val="0"/>
        <w:rPr>
          <w:rFonts w:hint="eastAsia"/>
          <w:color w:val="auto"/>
          <w:highlight w:val="none"/>
        </w:rPr>
      </w:pPr>
      <w:r>
        <w:rPr>
          <w:rFonts w:hint="eastAsia"/>
          <w:color w:val="auto"/>
          <w:highlight w:val="none"/>
        </w:rPr>
        <w:t>（7）本项目施工质量要求高，承包人需充分考虑主体外脚手架的安全性及美观性。后期不允许因脚手架形式的调整申请增加任何费用。</w:t>
      </w:r>
    </w:p>
    <w:p>
      <w:pPr>
        <w:bidi w:val="0"/>
        <w:rPr>
          <w:rFonts w:hint="eastAsia"/>
          <w:color w:val="auto"/>
          <w:highlight w:val="none"/>
        </w:rPr>
      </w:pPr>
      <w:r>
        <w:rPr>
          <w:rFonts w:hint="eastAsia"/>
          <w:color w:val="auto"/>
          <w:highlight w:val="none"/>
        </w:rPr>
        <w:t>（8）文明施工与绿色施工，承包单位应按照广东省房屋市政工程安全生产文明施  工示范工地的要求做好现场安全生产及文明施工，保证施工场地清洁、扬尘及噪音管理符合环境卫生管理的有关规定。需根据《建筑工程绿色施工评价标准》（GB/T50640-2010）、《广州市建设工程绿色施工工作技术指引》及相关规定，按照不同阶段 进行安全文明与绿色施工策划，使用可重复利用周转材料，半成品推广工厂制作到场安装，全过程标准化，实现节能减排，绿色环保，积极创新，凸显亮点。</w:t>
      </w:r>
    </w:p>
    <w:p>
      <w:pPr>
        <w:bidi w:val="0"/>
        <w:rPr>
          <w:color w:val="auto"/>
          <w:highlight w:val="none"/>
        </w:rPr>
      </w:pPr>
      <w:r>
        <w:rPr>
          <w:rFonts w:hint="eastAsia"/>
          <w:color w:val="auto"/>
          <w:highlight w:val="none"/>
        </w:rPr>
        <w:t>（</w:t>
      </w:r>
      <w:r>
        <w:rPr>
          <w:rFonts w:hint="eastAsia"/>
          <w:color w:val="auto"/>
          <w:highlight w:val="none"/>
          <w:lang w:val="en-US" w:eastAsia="zh-CN"/>
        </w:rPr>
        <w:t>9</w:t>
      </w:r>
      <w:r>
        <w:rPr>
          <w:rFonts w:hint="eastAsia"/>
          <w:color w:val="auto"/>
          <w:highlight w:val="none"/>
        </w:rPr>
        <w:t>）本项目为</w:t>
      </w:r>
      <w:r>
        <w:rPr>
          <w:rFonts w:hint="eastAsia"/>
          <w:color w:val="auto"/>
          <w:highlight w:val="none"/>
          <w:lang w:val="en-US" w:eastAsia="zh-CN"/>
        </w:rPr>
        <w:t>公共租赁</w:t>
      </w:r>
      <w:r>
        <w:rPr>
          <w:rFonts w:hint="eastAsia"/>
          <w:color w:val="auto"/>
          <w:highlight w:val="none"/>
        </w:rPr>
        <w:t>保障用房，且项目涉及装配式结构、大体积混凝土较多，防水防渗漏为质量管理的重中之重，承包人进场后需严格把控结构自防水、防水层及防水成品保护质量，若出现结构渗漏，需保证百分百完成堵漏处理后再进行防水层施工。</w:t>
      </w:r>
    </w:p>
    <w:p>
      <w:pPr>
        <w:bidi w:val="0"/>
        <w:rPr>
          <w:rFonts w:hint="default" w:eastAsia="宋体"/>
          <w:color w:val="auto"/>
          <w:highlight w:val="none"/>
          <w:lang w:val="en-US" w:eastAsia="zh-CN"/>
        </w:rPr>
      </w:pPr>
      <w:r>
        <w:rPr>
          <w:rFonts w:hint="eastAsia"/>
          <w:color w:val="auto"/>
          <w:highlight w:val="none"/>
          <w:lang w:eastAsia="zh-CN"/>
        </w:rPr>
        <w:t>（</w:t>
      </w:r>
      <w:r>
        <w:rPr>
          <w:rFonts w:hint="eastAsia"/>
          <w:color w:val="auto"/>
          <w:highlight w:val="none"/>
          <w:lang w:val="en-US" w:eastAsia="zh-CN"/>
        </w:rPr>
        <w:t>10）本项目为原南方钢厂（三期）保障性住房项目的西区，用地范围内尚有待拆迁的建（构）筑物及有居民居住，现时具备施工条件区域毗邻建筑物，承包人须做好噪音控制、邻里安抚和通道出入安全防护等工作。</w:t>
      </w:r>
    </w:p>
    <w:bookmarkEnd w:id="33"/>
    <w:p>
      <w:pPr>
        <w:bidi w:val="0"/>
        <w:rPr>
          <w:rFonts w:eastAsia="黑体"/>
          <w:bCs/>
          <w:color w:val="auto"/>
          <w:kern w:val="44"/>
          <w:sz w:val="18"/>
          <w:szCs w:val="18"/>
          <w:highlight w:val="none"/>
        </w:rPr>
      </w:pPr>
      <w:r>
        <w:rPr>
          <w:rFonts w:eastAsia="黑体"/>
          <w:bCs/>
          <w:color w:val="auto"/>
          <w:kern w:val="44"/>
          <w:sz w:val="18"/>
          <w:szCs w:val="18"/>
          <w:highlight w:val="none"/>
        </w:rPr>
        <w:br w:type="page"/>
      </w:r>
    </w:p>
    <w:p>
      <w:pPr>
        <w:pStyle w:val="2"/>
        <w:numPr>
          <w:ilvl w:val="0"/>
          <w:numId w:val="3"/>
        </w:numPr>
        <w:bidi w:val="0"/>
        <w:rPr>
          <w:color w:val="auto"/>
          <w:highlight w:val="none"/>
        </w:rPr>
      </w:pPr>
      <w:bookmarkStart w:id="34" w:name="_Toc488931141"/>
      <w:bookmarkStart w:id="35" w:name="_Toc14017"/>
      <w:bookmarkStart w:id="36" w:name="_Toc4291"/>
      <w:bookmarkStart w:id="37" w:name="_Toc8537"/>
      <w:bookmarkStart w:id="38" w:name="_Toc12181"/>
      <w:bookmarkStart w:id="39" w:name="_Toc169722190"/>
      <w:bookmarkStart w:id="40" w:name="_Toc12880"/>
      <w:bookmarkStart w:id="41" w:name="_Toc14126"/>
      <w:bookmarkStart w:id="42" w:name="_Toc17351"/>
      <w:bookmarkStart w:id="43" w:name="_Toc29587"/>
      <w:bookmarkStart w:id="44" w:name="_Toc31551"/>
      <w:bookmarkStart w:id="45" w:name="_Toc16020"/>
      <w:bookmarkStart w:id="46" w:name="_Toc22961"/>
      <w:r>
        <w:rPr>
          <w:rFonts w:hint="eastAsia"/>
          <w:color w:val="auto"/>
          <w:highlight w:val="none"/>
        </w:rPr>
        <w:t>工程目标</w:t>
      </w:r>
      <w:bookmarkEnd w:id="34"/>
      <w:bookmarkEnd w:id="35"/>
      <w:bookmarkEnd w:id="36"/>
      <w:bookmarkEnd w:id="37"/>
      <w:bookmarkEnd w:id="38"/>
      <w:bookmarkEnd w:id="39"/>
      <w:bookmarkEnd w:id="40"/>
      <w:bookmarkEnd w:id="41"/>
      <w:bookmarkEnd w:id="42"/>
      <w:bookmarkEnd w:id="43"/>
      <w:bookmarkEnd w:id="44"/>
      <w:bookmarkEnd w:id="45"/>
      <w:bookmarkEnd w:id="46"/>
    </w:p>
    <w:p>
      <w:pPr>
        <w:pStyle w:val="3"/>
        <w:bidi w:val="0"/>
        <w:rPr>
          <w:rFonts w:hint="eastAsia"/>
          <w:color w:val="auto"/>
          <w:highlight w:val="none"/>
          <w:lang w:val="en-US" w:eastAsia="zh-CN"/>
        </w:rPr>
      </w:pPr>
      <w:bookmarkStart w:id="47" w:name="_Toc15202"/>
      <w:bookmarkStart w:id="48" w:name="_Toc20469"/>
      <w:bookmarkStart w:id="49" w:name="_Toc31083"/>
      <w:bookmarkStart w:id="50" w:name="_Toc20272"/>
      <w:bookmarkStart w:id="51" w:name="_Toc3510"/>
      <w:bookmarkStart w:id="52" w:name="_Toc6759"/>
      <w:bookmarkStart w:id="53" w:name="_Toc28467"/>
      <w:bookmarkStart w:id="54" w:name="_Toc12244"/>
      <w:bookmarkStart w:id="55" w:name="_Toc25176"/>
      <w:bookmarkStart w:id="56" w:name="_Toc3043"/>
      <w:bookmarkStart w:id="57" w:name="_Toc12145"/>
      <w:bookmarkStart w:id="58" w:name="_Toc474"/>
      <w:bookmarkStart w:id="59" w:name="_Toc16856"/>
      <w:bookmarkStart w:id="60" w:name="_Toc4930"/>
      <w:bookmarkStart w:id="61" w:name="_Toc3819"/>
      <w:bookmarkStart w:id="62" w:name="_Toc13289"/>
      <w:bookmarkStart w:id="63" w:name="_Toc19898"/>
      <w:bookmarkStart w:id="64" w:name="_Toc8596"/>
      <w:bookmarkStart w:id="65" w:name="_Toc7391"/>
      <w:bookmarkStart w:id="66" w:name="_Toc169722266"/>
      <w:bookmarkStart w:id="67" w:name="_Toc488931145"/>
      <w:bookmarkStart w:id="68" w:name="_Toc23059"/>
      <w:bookmarkStart w:id="69" w:name="_Toc169722194"/>
      <w:bookmarkStart w:id="70" w:name="_Toc13583"/>
      <w:bookmarkStart w:id="71" w:name="_Toc18439"/>
      <w:bookmarkStart w:id="72" w:name="_Toc369280913"/>
      <w:bookmarkStart w:id="73" w:name="_Toc169722206"/>
      <w:r>
        <w:rPr>
          <w:rFonts w:hint="eastAsia"/>
          <w:color w:val="auto"/>
          <w:highlight w:val="none"/>
          <w:lang w:val="en-US" w:eastAsia="zh-CN"/>
        </w:rPr>
        <w:t>质量标准和目标</w:t>
      </w:r>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p>
    <w:p>
      <w:pPr>
        <w:pStyle w:val="4"/>
        <w:bidi w:val="0"/>
        <w:rPr>
          <w:rFonts w:hint="eastAsia"/>
          <w:color w:val="auto"/>
          <w:highlight w:val="none"/>
          <w:lang w:val="en-US" w:eastAsia="zh-CN"/>
        </w:rPr>
      </w:pPr>
      <w:r>
        <w:rPr>
          <w:rFonts w:hint="eastAsia"/>
          <w:color w:val="auto"/>
          <w:highlight w:val="none"/>
          <w:lang w:val="en-US" w:eastAsia="zh-CN"/>
        </w:rPr>
        <w:t>质量标准：</w:t>
      </w:r>
    </w:p>
    <w:p>
      <w:pPr>
        <w:bidi w:val="0"/>
        <w:rPr>
          <w:rFonts w:hint="eastAsia"/>
          <w:color w:val="auto"/>
          <w:highlight w:val="none"/>
          <w:lang w:val="en-US" w:eastAsia="zh-CN"/>
        </w:rPr>
      </w:pPr>
      <w:r>
        <w:rPr>
          <w:rFonts w:hint="eastAsia"/>
          <w:color w:val="auto"/>
          <w:highlight w:val="none"/>
          <w:lang w:val="en-US" w:eastAsia="zh-CN"/>
        </w:rPr>
        <w:t xml:space="preserve">☑ </w:t>
      </w:r>
      <w:r>
        <w:rPr>
          <w:rFonts w:hint="default"/>
          <w:color w:val="auto"/>
          <w:highlight w:val="none"/>
          <w:lang w:val="en-US" w:eastAsia="zh-CN"/>
        </w:rPr>
        <w:t>（1）</w:t>
      </w:r>
      <w:r>
        <w:rPr>
          <w:rFonts w:hint="eastAsia"/>
          <w:color w:val="auto"/>
          <w:highlight w:val="none"/>
          <w:lang w:val="en-US" w:eastAsia="zh-CN"/>
        </w:rPr>
        <w:t>《建筑工程施工质量验收统一标准》（GB50300-2013）及相应配套的各专业验收规范等。</w:t>
      </w:r>
    </w:p>
    <w:p>
      <w:pPr>
        <w:bidi w:val="0"/>
        <w:rPr>
          <w:rFonts w:hint="eastAsia"/>
          <w:color w:val="auto"/>
          <w:highlight w:val="none"/>
          <w:lang w:val="en-US" w:eastAsia="zh-CN"/>
        </w:rPr>
      </w:pPr>
      <w:r>
        <w:rPr>
          <w:rFonts w:hint="eastAsia"/>
          <w:color w:val="auto"/>
          <w:highlight w:val="none"/>
          <w:lang w:val="en-US" w:eastAsia="zh-CN"/>
        </w:rPr>
        <w:t xml:space="preserve">☑ </w:t>
      </w:r>
      <w:r>
        <w:rPr>
          <w:rFonts w:hint="default"/>
          <w:color w:val="auto"/>
          <w:highlight w:val="none"/>
          <w:lang w:val="en-US" w:eastAsia="zh-CN"/>
        </w:rPr>
        <w:t>（2）</w:t>
      </w:r>
      <w:r>
        <w:rPr>
          <w:rFonts w:hint="eastAsia"/>
          <w:color w:val="auto"/>
          <w:highlight w:val="none"/>
          <w:lang w:val="en-US" w:eastAsia="zh-CN"/>
        </w:rPr>
        <w:t>《城镇道路工程施工与质量验收规范》（CJJ1-2008）、《市政桥梁工程质量检验评定标准》（CJJ2-2008）、《给水排水管道工程施工及验收规范》（GB 50268-2008）及相应配套的各专业验收规范等。</w:t>
      </w:r>
    </w:p>
    <w:p>
      <w:pPr>
        <w:bidi w:val="0"/>
        <w:rPr>
          <w:rFonts w:hint="eastAsia"/>
          <w:color w:val="auto"/>
          <w:highlight w:val="none"/>
          <w:lang w:val="en-US" w:eastAsia="zh-CN"/>
        </w:rPr>
      </w:pPr>
      <w:r>
        <w:rPr>
          <w:rFonts w:hint="eastAsia"/>
          <w:color w:val="auto"/>
          <w:highlight w:val="none"/>
          <w:lang w:val="en-US" w:eastAsia="zh-CN"/>
        </w:rPr>
        <w:t>☑ （3）《园林绿化工程施工及验收规范》（CJJ82-2012）、《城市绿化工程施工及验收规范》（DB440100/T114-2007）及相应配套的各专业验收规范等。</w:t>
      </w:r>
    </w:p>
    <w:p>
      <w:pPr>
        <w:pStyle w:val="4"/>
        <w:bidi w:val="0"/>
        <w:rPr>
          <w:rFonts w:hint="eastAsia"/>
          <w:color w:val="auto"/>
          <w:highlight w:val="none"/>
          <w:lang w:val="en-US" w:eastAsia="zh-CN"/>
        </w:rPr>
      </w:pPr>
      <w:r>
        <w:rPr>
          <w:rFonts w:hint="eastAsia"/>
          <w:color w:val="auto"/>
          <w:highlight w:val="none"/>
          <w:lang w:val="en-US" w:eastAsia="zh-CN"/>
        </w:rPr>
        <w:t>质量目标：</w:t>
      </w:r>
    </w:p>
    <w:p>
      <w:pPr>
        <w:bidi w:val="0"/>
        <w:rPr>
          <w:rFonts w:hint="default"/>
          <w:color w:val="auto"/>
          <w:highlight w:val="none"/>
          <w:lang w:val="en-US" w:eastAsia="zh-CN"/>
        </w:rPr>
      </w:pPr>
      <w:bookmarkStart w:id="74" w:name="_Toc17416"/>
      <w:bookmarkStart w:id="75" w:name="_Toc2321"/>
      <w:bookmarkStart w:id="76" w:name="_Toc13269"/>
      <w:bookmarkStart w:id="77" w:name="_Toc11243"/>
      <w:bookmarkStart w:id="78" w:name="_Toc9454"/>
      <w:bookmarkStart w:id="79" w:name="_Toc21773"/>
      <w:bookmarkStart w:id="80" w:name="_Toc18437"/>
      <w:r>
        <w:rPr>
          <w:rFonts w:hint="default"/>
          <w:color w:val="auto"/>
          <w:highlight w:val="none"/>
          <w:lang w:val="en-US" w:eastAsia="zh-CN"/>
        </w:rPr>
        <w:t>一次验收合格，</w:t>
      </w:r>
      <w:r>
        <w:rPr>
          <w:rFonts w:hint="eastAsia"/>
          <w:color w:val="auto"/>
          <w:highlight w:val="none"/>
          <w:lang w:val="en-US" w:eastAsia="zh-CN"/>
        </w:rPr>
        <w:t>项目移交零渗漏</w:t>
      </w:r>
      <w:r>
        <w:rPr>
          <w:rFonts w:hint="default"/>
          <w:color w:val="auto"/>
          <w:highlight w:val="none"/>
          <w:lang w:val="en-US" w:eastAsia="zh-CN"/>
        </w:rPr>
        <w:t>且</w:t>
      </w:r>
    </w:p>
    <w:p>
      <w:pPr>
        <w:bidi w:val="0"/>
        <w:rPr>
          <w:rFonts w:hint="default"/>
          <w:color w:val="auto"/>
          <w:highlight w:val="none"/>
          <w:lang w:val="en-US" w:eastAsia="zh-CN"/>
        </w:rPr>
      </w:pPr>
      <w:r>
        <w:rPr>
          <w:rFonts w:hint="eastAsia"/>
          <w:color w:val="auto"/>
          <w:highlight w:val="none"/>
          <w:lang w:val="en-US" w:eastAsia="zh-CN"/>
        </w:rPr>
        <w:t>☒必须取得广州市建设工程优质奖。</w:t>
      </w:r>
    </w:p>
    <w:p>
      <w:pPr>
        <w:bidi w:val="0"/>
        <w:rPr>
          <w:rFonts w:hint="default"/>
          <w:color w:val="auto"/>
          <w:highlight w:val="none"/>
          <w:lang w:val="en-US" w:eastAsia="zh-CN"/>
        </w:rPr>
      </w:pPr>
      <w:r>
        <w:rPr>
          <w:rFonts w:hint="eastAsia"/>
          <w:color w:val="auto"/>
          <w:highlight w:val="none"/>
          <w:lang w:val="en-US" w:eastAsia="zh-CN"/>
        </w:rPr>
        <w:sym w:font="Wingdings 2" w:char="0052"/>
      </w:r>
      <w:r>
        <w:rPr>
          <w:rFonts w:hint="default"/>
          <w:color w:val="auto"/>
          <w:highlight w:val="none"/>
          <w:lang w:val="en-US" w:eastAsia="zh-CN"/>
        </w:rPr>
        <w:t>必须取得广州市建设工程优质奖，争创广东省建设工程优质奖</w:t>
      </w:r>
    </w:p>
    <w:p>
      <w:pPr>
        <w:bidi w:val="0"/>
        <w:rPr>
          <w:rFonts w:hint="eastAsia"/>
          <w:color w:val="auto"/>
          <w:highlight w:val="none"/>
          <w:lang w:val="en-US" w:eastAsia="zh-CN"/>
        </w:rPr>
      </w:pPr>
      <w:r>
        <w:rPr>
          <w:rFonts w:hint="eastAsia"/>
          <w:color w:val="auto"/>
          <w:highlight w:val="none"/>
          <w:lang w:val="en-US" w:eastAsia="zh-CN"/>
        </w:rPr>
        <w:t>☒</w:t>
      </w:r>
      <w:r>
        <w:rPr>
          <w:rFonts w:hint="default"/>
          <w:color w:val="auto"/>
          <w:highlight w:val="none"/>
          <w:lang w:val="en-US" w:eastAsia="zh-CN"/>
        </w:rPr>
        <w:t>必须取得广东省建设工程优质奖</w:t>
      </w:r>
      <w:r>
        <w:rPr>
          <w:rFonts w:hint="eastAsia"/>
          <w:color w:val="auto"/>
          <w:highlight w:val="none"/>
          <w:lang w:val="en-US" w:eastAsia="zh-CN"/>
        </w:rPr>
        <w:t>。</w:t>
      </w:r>
    </w:p>
    <w:p>
      <w:pPr>
        <w:bidi w:val="0"/>
        <w:rPr>
          <w:rFonts w:hint="default"/>
          <w:color w:val="auto"/>
          <w:highlight w:val="none"/>
          <w:lang w:val="en-US" w:eastAsia="zh-CN"/>
        </w:rPr>
      </w:pPr>
      <w:r>
        <w:rPr>
          <w:rFonts w:hint="eastAsia"/>
          <w:color w:val="auto"/>
          <w:highlight w:val="none"/>
          <w:lang w:val="en-US" w:eastAsia="zh-CN"/>
        </w:rPr>
        <w:t>☒必须取得国家优质工程奖。</w:t>
      </w:r>
    </w:p>
    <w:p>
      <w:pPr>
        <w:bidi w:val="0"/>
        <w:rPr>
          <w:rFonts w:hint="default"/>
          <w:color w:val="auto"/>
          <w:highlight w:val="none"/>
          <w:lang w:val="en-US" w:eastAsia="zh-CN"/>
        </w:rPr>
      </w:pPr>
      <w:r>
        <w:rPr>
          <w:rFonts w:hint="eastAsia"/>
          <w:color w:val="auto"/>
          <w:highlight w:val="none"/>
          <w:lang w:val="en-US" w:eastAsia="zh-CN"/>
        </w:rPr>
        <w:t>☒其他：</w:t>
      </w:r>
      <w:r>
        <w:rPr>
          <w:rFonts w:hint="default"/>
          <w:color w:val="auto"/>
          <w:highlight w:val="none"/>
          <w:lang w:val="en-US" w:eastAsia="zh-CN"/>
        </w:rPr>
        <w:t>争创国家优质工程鲁班奖</w:t>
      </w:r>
    </w:p>
    <w:p>
      <w:pPr>
        <w:pStyle w:val="3"/>
        <w:bidi w:val="0"/>
        <w:rPr>
          <w:rFonts w:hint="default"/>
          <w:color w:val="auto"/>
          <w:highlight w:val="none"/>
          <w:lang w:val="en-US" w:eastAsia="zh-CN"/>
        </w:rPr>
      </w:pPr>
      <w:bookmarkStart w:id="81" w:name="_Toc12343"/>
      <w:r>
        <w:rPr>
          <w:rFonts w:hint="eastAsia"/>
          <w:color w:val="auto"/>
          <w:highlight w:val="none"/>
          <w:lang w:val="en-US" w:eastAsia="zh-CN"/>
        </w:rPr>
        <w:t>工程进度目标</w:t>
      </w:r>
      <w:bookmarkEnd w:id="65"/>
      <w:bookmarkEnd w:id="74"/>
      <w:bookmarkEnd w:id="75"/>
      <w:bookmarkEnd w:id="76"/>
      <w:bookmarkEnd w:id="77"/>
      <w:bookmarkEnd w:id="78"/>
      <w:bookmarkEnd w:id="79"/>
      <w:bookmarkEnd w:id="80"/>
      <w:bookmarkEnd w:id="81"/>
    </w:p>
    <w:p>
      <w:pPr>
        <w:bidi w:val="0"/>
        <w:rPr>
          <w:rFonts w:hint="default"/>
          <w:color w:val="auto"/>
          <w:highlight w:val="none"/>
          <w:lang w:val="en-US" w:eastAsia="zh-CN"/>
        </w:rPr>
      </w:pPr>
      <w:r>
        <w:rPr>
          <w:rFonts w:hint="eastAsia"/>
          <w:color w:val="auto"/>
          <w:highlight w:val="none"/>
          <w:lang w:val="en-US" w:eastAsia="zh-CN"/>
        </w:rPr>
        <w:t>（1）</w:t>
      </w:r>
      <w:r>
        <w:rPr>
          <w:rFonts w:hint="default"/>
          <w:color w:val="auto"/>
          <w:highlight w:val="none"/>
          <w:lang w:val="en-US" w:eastAsia="zh-CN"/>
        </w:rPr>
        <w:t xml:space="preserve">工程合同工期总日历天数：870天，实际开工时间以监理开工令为准，其中临时施工用水、临时施工用电开通时间为 </w:t>
      </w:r>
      <w:r>
        <w:rPr>
          <w:rFonts w:hint="eastAsia"/>
          <w:color w:val="auto"/>
          <w:highlight w:val="none"/>
          <w:lang w:val="en-US" w:eastAsia="zh-CN"/>
        </w:rPr>
        <w:t>30</w:t>
      </w:r>
      <w:r>
        <w:rPr>
          <w:rFonts w:hint="default"/>
          <w:color w:val="auto"/>
          <w:highlight w:val="none"/>
          <w:lang w:val="en-US" w:eastAsia="zh-CN"/>
        </w:rPr>
        <w:t>日历天（施工合同签订之日起开始计算）。</w:t>
      </w:r>
      <w:bookmarkStart w:id="82" w:name="OLE_LINK2"/>
      <w:r>
        <w:rPr>
          <w:rFonts w:hint="eastAsia"/>
          <w:color w:val="auto"/>
          <w:highlight w:val="none"/>
          <w:lang w:val="en-US" w:eastAsia="zh-CN"/>
        </w:rPr>
        <w:t>因拆迁等非承包人原因造成的工期延误，则工期顺延。</w:t>
      </w:r>
    </w:p>
    <w:bookmarkEnd w:id="82"/>
    <w:p>
      <w:pPr>
        <w:bidi w:val="0"/>
        <w:rPr>
          <w:rFonts w:hint="eastAsia"/>
          <w:color w:val="auto"/>
          <w:highlight w:val="none"/>
          <w:lang w:val="en-US" w:eastAsia="zh-CN"/>
        </w:rPr>
      </w:pPr>
      <w:r>
        <w:rPr>
          <w:rFonts w:hint="eastAsia"/>
          <w:color w:val="auto"/>
          <w:highlight w:val="none"/>
          <w:lang w:val="en-US" w:eastAsia="zh-CN"/>
        </w:rPr>
        <w:t>（2）关键节点工期要求：（实施时间按照发包人的具体要求为准）</w:t>
      </w:r>
    </w:p>
    <w:tbl>
      <w:tblPr>
        <w:tblStyle w:val="21"/>
        <w:tblW w:w="35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638"/>
        <w:gridCol w:w="2316"/>
        <w:gridCol w:w="48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2" w:hRule="atLeast"/>
          <w:jc w:val="center"/>
        </w:trPr>
        <w:tc>
          <w:tcPr>
            <w:tcW w:w="794" w:type="pct"/>
            <w:shd w:val="clear" w:color="auto" w:fill="auto"/>
            <w:noWrap/>
            <w:vAlign w:val="center"/>
          </w:tcPr>
          <w:p>
            <w:pPr>
              <w:pStyle w:val="12"/>
              <w:ind w:left="0" w:leftChars="0" w:right="0" w:rightChars="0" w:firstLine="0" w:firstLineChars="0"/>
              <w:jc w:val="center"/>
              <w:rPr>
                <w:rFonts w:hint="default"/>
                <w:b/>
                <w:bCs/>
                <w:color w:val="auto"/>
                <w:highlight w:val="none"/>
                <w:lang w:val="en-US" w:eastAsia="zh-CN"/>
              </w:rPr>
            </w:pPr>
            <w:r>
              <w:rPr>
                <w:rFonts w:hint="eastAsia"/>
                <w:b/>
                <w:bCs/>
                <w:color w:val="auto"/>
                <w:highlight w:val="none"/>
              </w:rPr>
              <w:t>序号</w:t>
            </w:r>
          </w:p>
        </w:tc>
        <w:tc>
          <w:tcPr>
            <w:tcW w:w="2346" w:type="pct"/>
            <w:shd w:val="clear" w:color="auto" w:fill="auto"/>
            <w:noWrap/>
            <w:vAlign w:val="center"/>
          </w:tcPr>
          <w:p>
            <w:pPr>
              <w:pStyle w:val="12"/>
              <w:ind w:left="0" w:leftChars="0" w:right="0" w:rightChars="0" w:firstLine="0" w:firstLineChars="0"/>
              <w:jc w:val="center"/>
              <w:rPr>
                <w:rFonts w:hint="eastAsia"/>
                <w:b/>
                <w:bCs/>
                <w:color w:val="auto"/>
                <w:highlight w:val="none"/>
                <w:lang w:val="en-US" w:eastAsia="zh-CN"/>
              </w:rPr>
            </w:pPr>
            <w:r>
              <w:rPr>
                <w:rFonts w:hint="eastAsia"/>
                <w:b/>
                <w:bCs/>
                <w:color w:val="auto"/>
                <w:highlight w:val="none"/>
              </w:rPr>
              <w:t>节点</w:t>
            </w:r>
          </w:p>
        </w:tc>
        <w:tc>
          <w:tcPr>
            <w:tcW w:w="1859" w:type="pct"/>
            <w:shd w:val="clear" w:color="auto" w:fill="auto"/>
            <w:noWrap/>
            <w:vAlign w:val="center"/>
          </w:tcPr>
          <w:p>
            <w:pPr>
              <w:pStyle w:val="12"/>
              <w:ind w:left="0" w:leftChars="0" w:right="0" w:rightChars="0" w:firstLine="0" w:firstLineChars="0"/>
              <w:jc w:val="center"/>
              <w:rPr>
                <w:rFonts w:hint="eastAsia"/>
                <w:b/>
                <w:bCs/>
                <w:color w:val="auto"/>
                <w:highlight w:val="none"/>
                <w:lang w:val="en-US" w:eastAsia="zh-CN"/>
              </w:rPr>
            </w:pPr>
            <w:r>
              <w:rPr>
                <w:rFonts w:hint="eastAsia"/>
                <w:b/>
                <w:bCs/>
                <w:color w:val="auto"/>
                <w:highlight w:val="none"/>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794" w:type="pct"/>
            <w:shd w:val="clear" w:color="auto" w:fill="auto"/>
            <w:noWrap/>
            <w:vAlign w:val="center"/>
          </w:tcPr>
          <w:p>
            <w:pPr>
              <w:pStyle w:val="12"/>
              <w:ind w:left="0" w:leftChars="0" w:right="0" w:rightChars="0" w:firstLine="0" w:firstLineChars="0"/>
              <w:jc w:val="center"/>
              <w:rPr>
                <w:rFonts w:hint="eastAsia"/>
                <w:color w:val="auto"/>
                <w:highlight w:val="none"/>
                <w:lang w:val="en-US" w:eastAsia="zh-CN"/>
              </w:rPr>
            </w:pPr>
            <w:r>
              <w:rPr>
                <w:color w:val="auto"/>
                <w:highlight w:val="none"/>
              </w:rPr>
              <w:t>1</w:t>
            </w:r>
          </w:p>
        </w:tc>
        <w:tc>
          <w:tcPr>
            <w:tcW w:w="2346" w:type="pct"/>
            <w:shd w:val="clear" w:color="auto" w:fill="auto"/>
            <w:noWrap/>
            <w:vAlign w:val="center"/>
          </w:tcPr>
          <w:p>
            <w:pPr>
              <w:pStyle w:val="12"/>
              <w:bidi w:val="0"/>
              <w:jc w:val="center"/>
              <w:rPr>
                <w:rFonts w:hint="eastAsia"/>
                <w:color w:val="auto"/>
                <w:highlight w:val="none"/>
              </w:rPr>
            </w:pPr>
            <w:r>
              <w:rPr>
                <w:rFonts w:hint="eastAsia"/>
                <w:color w:val="auto"/>
                <w:highlight w:val="none"/>
                <w:lang w:val="en-US" w:eastAsia="zh-CN"/>
              </w:rPr>
              <w:t>开工</w:t>
            </w:r>
          </w:p>
        </w:tc>
        <w:tc>
          <w:tcPr>
            <w:tcW w:w="1859" w:type="pct"/>
            <w:shd w:val="clear" w:color="auto" w:fill="auto"/>
            <w:noWrap/>
            <w:vAlign w:val="center"/>
          </w:tcPr>
          <w:p>
            <w:pPr>
              <w:pStyle w:val="12"/>
              <w:bidi w:val="0"/>
              <w:jc w:val="center"/>
              <w:rPr>
                <w:rFonts w:hint="eastAsia"/>
                <w:color w:val="auto"/>
                <w:highlight w:val="none"/>
              </w:rPr>
            </w:pPr>
            <w:r>
              <w:rPr>
                <w:rFonts w:hint="eastAsia"/>
                <w:color w:val="auto"/>
                <w:highlight w:val="none"/>
                <w:lang w:val="en-US" w:eastAsia="zh-CN"/>
              </w:rPr>
              <w:t>以监理人正式通知为准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15" w:hRule="atLeast"/>
          <w:jc w:val="center"/>
        </w:trPr>
        <w:tc>
          <w:tcPr>
            <w:tcW w:w="794" w:type="pct"/>
            <w:shd w:val="clear" w:color="auto" w:fill="auto"/>
            <w:noWrap/>
            <w:vAlign w:val="center"/>
          </w:tcPr>
          <w:p>
            <w:pPr>
              <w:pStyle w:val="12"/>
              <w:ind w:left="0" w:leftChars="0" w:right="0" w:rightChars="0" w:firstLine="0" w:firstLineChars="0"/>
              <w:jc w:val="center"/>
              <w:rPr>
                <w:rFonts w:hint="eastAsia" w:eastAsia="宋体"/>
                <w:color w:val="auto"/>
                <w:highlight w:val="none"/>
                <w:lang w:val="en-US" w:eastAsia="zh-CN"/>
              </w:rPr>
            </w:pPr>
            <w:r>
              <w:rPr>
                <w:rFonts w:hint="eastAsia"/>
                <w:color w:val="auto"/>
                <w:highlight w:val="none"/>
                <w:lang w:val="en-US" w:eastAsia="zh-CN"/>
              </w:rPr>
              <w:t>2</w:t>
            </w:r>
          </w:p>
        </w:tc>
        <w:tc>
          <w:tcPr>
            <w:tcW w:w="2346" w:type="pct"/>
            <w:shd w:val="clear" w:color="auto" w:fill="auto"/>
            <w:noWrap/>
            <w:vAlign w:val="center"/>
          </w:tcPr>
          <w:p>
            <w:pPr>
              <w:pStyle w:val="12"/>
              <w:bidi w:val="0"/>
              <w:jc w:val="center"/>
              <w:rPr>
                <w:rFonts w:hint="default"/>
                <w:color w:val="auto"/>
                <w:highlight w:val="none"/>
                <w:lang w:val="en-US" w:eastAsia="zh-CN"/>
              </w:rPr>
            </w:pPr>
            <w:r>
              <w:rPr>
                <w:rFonts w:hint="eastAsia"/>
                <w:color w:val="auto"/>
                <w:highlight w:val="none"/>
                <w:lang w:val="en-US" w:eastAsia="zh-CN"/>
              </w:rPr>
              <w:t>基坑支护完工</w:t>
            </w:r>
          </w:p>
        </w:tc>
        <w:tc>
          <w:tcPr>
            <w:tcW w:w="1859" w:type="pct"/>
            <w:shd w:val="clear" w:color="auto" w:fill="auto"/>
            <w:noWrap/>
            <w:vAlign w:val="center"/>
          </w:tcPr>
          <w:p>
            <w:pPr>
              <w:pStyle w:val="12"/>
              <w:bidi w:val="0"/>
              <w:jc w:val="center"/>
              <w:rPr>
                <w:rFonts w:hint="eastAsia"/>
                <w:color w:val="auto"/>
                <w:highlight w:val="none"/>
                <w:lang w:val="en-US" w:eastAsia="zh-CN"/>
              </w:rPr>
            </w:pPr>
            <w:r>
              <w:rPr>
                <w:rFonts w:hint="eastAsia"/>
                <w:color w:val="auto"/>
                <w:highlight w:val="none"/>
                <w:lang w:val="en-US" w:eastAsia="zh-CN"/>
              </w:rPr>
              <w:t>开工后30天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2" w:hRule="atLeast"/>
          <w:jc w:val="center"/>
        </w:trPr>
        <w:tc>
          <w:tcPr>
            <w:tcW w:w="794" w:type="pct"/>
            <w:shd w:val="clear" w:color="auto" w:fill="auto"/>
            <w:noWrap/>
            <w:vAlign w:val="center"/>
          </w:tcPr>
          <w:p>
            <w:pPr>
              <w:pStyle w:val="12"/>
              <w:ind w:left="0" w:leftChars="0" w:right="0" w:rightChars="0" w:firstLine="0" w:firstLineChars="0"/>
              <w:jc w:val="center"/>
              <w:rPr>
                <w:rFonts w:hint="eastAsia"/>
                <w:color w:val="auto"/>
                <w:highlight w:val="none"/>
                <w:lang w:val="en-US" w:eastAsia="zh-CN"/>
              </w:rPr>
            </w:pPr>
            <w:r>
              <w:rPr>
                <w:color w:val="auto"/>
                <w:highlight w:val="none"/>
              </w:rPr>
              <w:t>2</w:t>
            </w:r>
          </w:p>
        </w:tc>
        <w:tc>
          <w:tcPr>
            <w:tcW w:w="2346" w:type="pct"/>
            <w:shd w:val="clear" w:color="auto" w:fill="auto"/>
            <w:noWrap/>
            <w:vAlign w:val="center"/>
          </w:tcPr>
          <w:p>
            <w:pPr>
              <w:pStyle w:val="12"/>
              <w:bidi w:val="0"/>
              <w:jc w:val="center"/>
              <w:rPr>
                <w:rFonts w:hint="eastAsia"/>
                <w:color w:val="auto"/>
                <w:highlight w:val="none"/>
              </w:rPr>
            </w:pPr>
            <w:r>
              <w:rPr>
                <w:rFonts w:hint="eastAsia"/>
                <w:color w:val="auto"/>
                <w:highlight w:val="none"/>
                <w:lang w:val="en-US" w:eastAsia="zh-CN"/>
              </w:rPr>
              <w:t>桩基础完工</w:t>
            </w:r>
          </w:p>
        </w:tc>
        <w:tc>
          <w:tcPr>
            <w:tcW w:w="1859" w:type="pct"/>
            <w:shd w:val="clear" w:color="auto" w:fill="auto"/>
            <w:noWrap/>
            <w:vAlign w:val="center"/>
          </w:tcPr>
          <w:p>
            <w:pPr>
              <w:pStyle w:val="12"/>
              <w:bidi w:val="0"/>
              <w:jc w:val="center"/>
              <w:rPr>
                <w:rFonts w:hint="default"/>
                <w:color w:val="auto"/>
                <w:highlight w:val="none"/>
                <w:lang w:val="en-US"/>
              </w:rPr>
            </w:pPr>
            <w:r>
              <w:rPr>
                <w:rFonts w:hint="eastAsia"/>
                <w:color w:val="auto"/>
                <w:highlight w:val="none"/>
                <w:lang w:val="en-US" w:eastAsia="zh-CN"/>
              </w:rPr>
              <w:t>开工后55天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52" w:hRule="atLeast"/>
          <w:jc w:val="center"/>
        </w:trPr>
        <w:tc>
          <w:tcPr>
            <w:tcW w:w="794" w:type="pct"/>
            <w:shd w:val="clear" w:color="auto" w:fill="auto"/>
            <w:noWrap/>
            <w:vAlign w:val="center"/>
          </w:tcPr>
          <w:p>
            <w:pPr>
              <w:pStyle w:val="12"/>
              <w:ind w:left="0" w:leftChars="0" w:right="0" w:rightChars="0" w:firstLine="0" w:firstLineChars="0"/>
              <w:jc w:val="center"/>
              <w:rPr>
                <w:rFonts w:hint="eastAsia"/>
                <w:color w:val="auto"/>
                <w:highlight w:val="none"/>
                <w:lang w:val="en-US" w:eastAsia="zh-CN"/>
              </w:rPr>
            </w:pPr>
            <w:r>
              <w:rPr>
                <w:rFonts w:hint="eastAsia"/>
                <w:color w:val="auto"/>
                <w:highlight w:val="none"/>
              </w:rPr>
              <w:t>3</w:t>
            </w:r>
          </w:p>
        </w:tc>
        <w:tc>
          <w:tcPr>
            <w:tcW w:w="2346" w:type="pct"/>
            <w:shd w:val="clear" w:color="auto" w:fill="auto"/>
            <w:noWrap/>
            <w:vAlign w:val="center"/>
          </w:tcPr>
          <w:p>
            <w:pPr>
              <w:pStyle w:val="12"/>
              <w:bidi w:val="0"/>
              <w:jc w:val="center"/>
              <w:rPr>
                <w:rFonts w:hint="eastAsia"/>
                <w:color w:val="auto"/>
                <w:highlight w:val="none"/>
              </w:rPr>
            </w:pPr>
            <w:r>
              <w:rPr>
                <w:rFonts w:hint="eastAsia"/>
                <w:color w:val="auto"/>
                <w:highlight w:val="none"/>
                <w:lang w:val="en-US" w:eastAsia="zh-CN"/>
              </w:rPr>
              <w:t>地下室底板完成</w:t>
            </w:r>
          </w:p>
        </w:tc>
        <w:tc>
          <w:tcPr>
            <w:tcW w:w="1859" w:type="pct"/>
            <w:shd w:val="clear" w:color="auto" w:fill="auto"/>
            <w:noWrap/>
            <w:vAlign w:val="center"/>
          </w:tcPr>
          <w:p>
            <w:pPr>
              <w:pStyle w:val="12"/>
              <w:tabs>
                <w:tab w:val="center" w:pos="1161"/>
                <w:tab w:val="right" w:pos="2204"/>
              </w:tabs>
              <w:bidi w:val="0"/>
              <w:jc w:val="center"/>
              <w:rPr>
                <w:rFonts w:hint="eastAsia"/>
                <w:color w:val="auto"/>
                <w:highlight w:val="none"/>
              </w:rPr>
            </w:pPr>
            <w:r>
              <w:rPr>
                <w:rFonts w:hint="eastAsia"/>
                <w:color w:val="auto"/>
                <w:highlight w:val="none"/>
                <w:lang w:val="en-US" w:eastAsia="zh-CN"/>
              </w:rPr>
              <w:t>开工后85天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2" w:hRule="atLeast"/>
          <w:jc w:val="center"/>
        </w:trPr>
        <w:tc>
          <w:tcPr>
            <w:tcW w:w="794" w:type="pct"/>
            <w:shd w:val="clear" w:color="auto" w:fill="auto"/>
            <w:noWrap/>
            <w:vAlign w:val="center"/>
          </w:tcPr>
          <w:p>
            <w:pPr>
              <w:pStyle w:val="12"/>
              <w:ind w:left="0" w:leftChars="0" w:right="0" w:rightChars="0" w:firstLine="0" w:firstLineChars="0"/>
              <w:jc w:val="center"/>
              <w:rPr>
                <w:rFonts w:hint="eastAsia"/>
                <w:color w:val="auto"/>
                <w:highlight w:val="none"/>
                <w:lang w:val="en-US" w:eastAsia="zh-CN"/>
              </w:rPr>
            </w:pPr>
            <w:r>
              <w:rPr>
                <w:rFonts w:hint="eastAsia"/>
                <w:color w:val="auto"/>
                <w:highlight w:val="none"/>
              </w:rPr>
              <w:t>4</w:t>
            </w:r>
          </w:p>
        </w:tc>
        <w:tc>
          <w:tcPr>
            <w:tcW w:w="2346" w:type="pct"/>
            <w:shd w:val="clear" w:color="auto" w:fill="auto"/>
            <w:noWrap/>
            <w:vAlign w:val="center"/>
          </w:tcPr>
          <w:p>
            <w:pPr>
              <w:pStyle w:val="12"/>
              <w:bidi w:val="0"/>
              <w:jc w:val="center"/>
              <w:rPr>
                <w:rFonts w:hint="eastAsia"/>
                <w:color w:val="auto"/>
                <w:highlight w:val="none"/>
              </w:rPr>
            </w:pPr>
            <w:r>
              <w:rPr>
                <w:rFonts w:hint="eastAsia"/>
                <w:color w:val="auto"/>
                <w:highlight w:val="none"/>
                <w:lang w:val="en-US" w:eastAsia="zh-CN"/>
              </w:rPr>
              <w:t>主体结构正负零</w:t>
            </w:r>
          </w:p>
        </w:tc>
        <w:tc>
          <w:tcPr>
            <w:tcW w:w="1859" w:type="pct"/>
            <w:shd w:val="clear" w:color="auto" w:fill="auto"/>
            <w:noWrap/>
            <w:vAlign w:val="center"/>
          </w:tcPr>
          <w:p>
            <w:pPr>
              <w:pStyle w:val="12"/>
              <w:bidi w:val="0"/>
              <w:jc w:val="center"/>
              <w:rPr>
                <w:rFonts w:hint="eastAsia"/>
                <w:color w:val="auto"/>
                <w:highlight w:val="none"/>
              </w:rPr>
            </w:pPr>
            <w:r>
              <w:rPr>
                <w:rFonts w:hint="eastAsia"/>
                <w:color w:val="auto"/>
                <w:highlight w:val="none"/>
                <w:lang w:val="en-US" w:eastAsia="zh-CN"/>
              </w:rPr>
              <w:t>开工后110天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52" w:hRule="atLeast"/>
          <w:jc w:val="center"/>
        </w:trPr>
        <w:tc>
          <w:tcPr>
            <w:tcW w:w="794" w:type="pct"/>
            <w:shd w:val="clear" w:color="auto" w:fill="auto"/>
            <w:noWrap/>
            <w:vAlign w:val="center"/>
          </w:tcPr>
          <w:p>
            <w:pPr>
              <w:pStyle w:val="12"/>
              <w:ind w:left="0" w:leftChars="0" w:right="0" w:rightChars="0" w:firstLine="0" w:firstLineChars="0"/>
              <w:jc w:val="center"/>
              <w:rPr>
                <w:rFonts w:hint="eastAsia" w:eastAsia="宋体"/>
                <w:color w:val="auto"/>
                <w:highlight w:val="none"/>
                <w:lang w:val="en-US" w:eastAsia="zh-CN"/>
              </w:rPr>
            </w:pPr>
            <w:r>
              <w:rPr>
                <w:rFonts w:hint="eastAsia"/>
                <w:color w:val="auto"/>
                <w:highlight w:val="none"/>
                <w:lang w:val="en-US" w:eastAsia="zh-CN"/>
              </w:rPr>
              <w:t>5</w:t>
            </w:r>
          </w:p>
        </w:tc>
        <w:tc>
          <w:tcPr>
            <w:tcW w:w="2346" w:type="pct"/>
            <w:shd w:val="clear" w:color="auto" w:fill="auto"/>
            <w:noWrap/>
            <w:vAlign w:val="center"/>
          </w:tcPr>
          <w:p>
            <w:pPr>
              <w:pStyle w:val="12"/>
              <w:bidi w:val="0"/>
              <w:jc w:val="center"/>
              <w:rPr>
                <w:rFonts w:hint="eastAsia"/>
                <w:color w:val="auto"/>
                <w:highlight w:val="none"/>
              </w:rPr>
            </w:pPr>
            <w:r>
              <w:rPr>
                <w:rFonts w:hint="eastAsia"/>
                <w:color w:val="auto"/>
                <w:highlight w:val="none"/>
                <w:lang w:val="en-US" w:eastAsia="zh-CN"/>
              </w:rPr>
              <w:t>精装修首个流水段开工</w:t>
            </w:r>
          </w:p>
        </w:tc>
        <w:tc>
          <w:tcPr>
            <w:tcW w:w="1859" w:type="pct"/>
            <w:shd w:val="clear" w:color="auto" w:fill="auto"/>
            <w:noWrap/>
            <w:vAlign w:val="center"/>
          </w:tcPr>
          <w:p>
            <w:pPr>
              <w:pStyle w:val="12"/>
              <w:bidi w:val="0"/>
              <w:jc w:val="center"/>
              <w:rPr>
                <w:rFonts w:hint="default"/>
                <w:color w:val="auto"/>
                <w:highlight w:val="none"/>
                <w:lang w:val="en-US" w:eastAsia="zh-CN"/>
              </w:rPr>
            </w:pPr>
            <w:r>
              <w:rPr>
                <w:rFonts w:hint="eastAsia"/>
                <w:color w:val="auto"/>
                <w:highlight w:val="none"/>
                <w:lang w:val="en-US" w:eastAsia="zh-CN"/>
              </w:rPr>
              <w:t>开工后265天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52" w:hRule="atLeast"/>
          <w:jc w:val="center"/>
        </w:trPr>
        <w:tc>
          <w:tcPr>
            <w:tcW w:w="794" w:type="pct"/>
            <w:shd w:val="clear" w:color="auto" w:fill="auto"/>
            <w:noWrap/>
            <w:vAlign w:val="center"/>
          </w:tcPr>
          <w:p>
            <w:pPr>
              <w:pStyle w:val="12"/>
              <w:ind w:left="0" w:leftChars="0" w:right="0" w:rightChars="0" w:firstLine="0" w:firstLineChars="0"/>
              <w:jc w:val="center"/>
              <w:rPr>
                <w:rFonts w:hint="eastAsia" w:eastAsia="宋体"/>
                <w:color w:val="auto"/>
                <w:highlight w:val="none"/>
                <w:lang w:val="en-US" w:eastAsia="zh-CN"/>
              </w:rPr>
            </w:pPr>
            <w:r>
              <w:rPr>
                <w:rFonts w:hint="eastAsia"/>
                <w:color w:val="auto"/>
                <w:highlight w:val="none"/>
                <w:lang w:val="en-US" w:eastAsia="zh-CN"/>
              </w:rPr>
              <w:t>6</w:t>
            </w:r>
          </w:p>
        </w:tc>
        <w:tc>
          <w:tcPr>
            <w:tcW w:w="2346" w:type="pct"/>
            <w:shd w:val="clear" w:color="auto" w:fill="auto"/>
            <w:noWrap/>
            <w:vAlign w:val="center"/>
          </w:tcPr>
          <w:p>
            <w:pPr>
              <w:pStyle w:val="12"/>
              <w:bidi w:val="0"/>
              <w:jc w:val="center"/>
              <w:rPr>
                <w:rFonts w:hint="eastAsia"/>
                <w:color w:val="auto"/>
                <w:highlight w:val="none"/>
              </w:rPr>
            </w:pPr>
            <w:r>
              <w:rPr>
                <w:rFonts w:hint="eastAsia"/>
                <w:color w:val="auto"/>
                <w:highlight w:val="none"/>
                <w:lang w:val="en-US" w:eastAsia="zh-CN"/>
              </w:rPr>
              <w:t>结构封顶</w:t>
            </w:r>
          </w:p>
        </w:tc>
        <w:tc>
          <w:tcPr>
            <w:tcW w:w="1859" w:type="pct"/>
            <w:shd w:val="clear" w:color="auto" w:fill="auto"/>
            <w:noWrap/>
            <w:vAlign w:val="center"/>
          </w:tcPr>
          <w:p>
            <w:pPr>
              <w:pStyle w:val="12"/>
              <w:bidi w:val="0"/>
              <w:jc w:val="center"/>
              <w:rPr>
                <w:rFonts w:hint="eastAsia"/>
                <w:color w:val="auto"/>
                <w:highlight w:val="none"/>
              </w:rPr>
            </w:pPr>
            <w:r>
              <w:rPr>
                <w:rFonts w:hint="eastAsia"/>
                <w:color w:val="auto"/>
                <w:highlight w:val="none"/>
                <w:lang w:val="en-US" w:eastAsia="zh-CN"/>
              </w:rPr>
              <w:t>开工后313天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2" w:hRule="atLeast"/>
          <w:jc w:val="center"/>
        </w:trPr>
        <w:tc>
          <w:tcPr>
            <w:tcW w:w="794" w:type="pct"/>
            <w:shd w:val="clear" w:color="auto" w:fill="auto"/>
            <w:noWrap/>
            <w:vAlign w:val="center"/>
          </w:tcPr>
          <w:p>
            <w:pPr>
              <w:pStyle w:val="12"/>
              <w:ind w:left="0" w:leftChars="0" w:right="0" w:rightChars="0" w:firstLine="0" w:firstLineChars="0"/>
              <w:jc w:val="center"/>
              <w:rPr>
                <w:rFonts w:hint="eastAsia" w:eastAsia="宋体"/>
                <w:color w:val="auto"/>
                <w:highlight w:val="none"/>
                <w:lang w:val="en-US" w:eastAsia="zh-CN"/>
              </w:rPr>
            </w:pPr>
            <w:r>
              <w:rPr>
                <w:rFonts w:hint="eastAsia"/>
                <w:color w:val="auto"/>
                <w:highlight w:val="none"/>
                <w:lang w:val="en-US" w:eastAsia="zh-CN"/>
              </w:rPr>
              <w:t>7</w:t>
            </w:r>
          </w:p>
        </w:tc>
        <w:tc>
          <w:tcPr>
            <w:tcW w:w="2346" w:type="pct"/>
            <w:shd w:val="clear" w:color="auto" w:fill="auto"/>
            <w:noWrap/>
            <w:vAlign w:val="center"/>
          </w:tcPr>
          <w:p>
            <w:pPr>
              <w:pStyle w:val="12"/>
              <w:bidi w:val="0"/>
              <w:jc w:val="center"/>
              <w:rPr>
                <w:rFonts w:hint="eastAsia"/>
                <w:color w:val="auto"/>
                <w:highlight w:val="none"/>
              </w:rPr>
            </w:pPr>
            <w:r>
              <w:rPr>
                <w:rFonts w:hint="eastAsia"/>
                <w:color w:val="auto"/>
                <w:highlight w:val="none"/>
                <w:lang w:val="en-US" w:eastAsia="zh-CN"/>
              </w:rPr>
              <w:t>精装修湿作业完成</w:t>
            </w:r>
          </w:p>
        </w:tc>
        <w:tc>
          <w:tcPr>
            <w:tcW w:w="1859" w:type="pct"/>
            <w:shd w:val="clear" w:color="auto" w:fill="auto"/>
            <w:noWrap/>
            <w:vAlign w:val="center"/>
          </w:tcPr>
          <w:p>
            <w:pPr>
              <w:pStyle w:val="12"/>
              <w:bidi w:val="0"/>
              <w:jc w:val="center"/>
              <w:rPr>
                <w:rFonts w:hint="eastAsia"/>
                <w:color w:val="auto"/>
                <w:highlight w:val="none"/>
              </w:rPr>
            </w:pPr>
            <w:r>
              <w:rPr>
                <w:rFonts w:hint="eastAsia"/>
                <w:color w:val="auto"/>
                <w:highlight w:val="none"/>
                <w:lang w:val="en-US" w:eastAsia="zh-CN"/>
              </w:rPr>
              <w:t>开工后660天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2" w:hRule="atLeast"/>
          <w:jc w:val="center"/>
        </w:trPr>
        <w:tc>
          <w:tcPr>
            <w:tcW w:w="794" w:type="pct"/>
            <w:shd w:val="clear" w:color="auto" w:fill="auto"/>
            <w:noWrap/>
            <w:vAlign w:val="center"/>
          </w:tcPr>
          <w:p>
            <w:pPr>
              <w:pStyle w:val="12"/>
              <w:ind w:left="0" w:leftChars="0" w:right="0" w:rightChars="0" w:firstLine="0" w:firstLineChars="0"/>
              <w:jc w:val="center"/>
              <w:rPr>
                <w:rFonts w:hint="eastAsia" w:eastAsia="宋体"/>
                <w:color w:val="auto"/>
                <w:highlight w:val="none"/>
                <w:lang w:val="en-US" w:eastAsia="zh-CN"/>
              </w:rPr>
            </w:pPr>
            <w:r>
              <w:rPr>
                <w:rFonts w:hint="eastAsia"/>
                <w:color w:val="auto"/>
                <w:highlight w:val="none"/>
                <w:lang w:val="en-US" w:eastAsia="zh-CN"/>
              </w:rPr>
              <w:t>8</w:t>
            </w:r>
          </w:p>
        </w:tc>
        <w:tc>
          <w:tcPr>
            <w:tcW w:w="2346" w:type="pct"/>
            <w:shd w:val="clear" w:color="auto" w:fill="auto"/>
            <w:noWrap/>
            <w:vAlign w:val="center"/>
          </w:tcPr>
          <w:p>
            <w:pPr>
              <w:pStyle w:val="12"/>
              <w:bidi w:val="0"/>
              <w:jc w:val="center"/>
              <w:rPr>
                <w:rFonts w:hint="eastAsia"/>
                <w:color w:val="auto"/>
                <w:highlight w:val="none"/>
              </w:rPr>
            </w:pPr>
            <w:r>
              <w:rPr>
                <w:rFonts w:hint="eastAsia"/>
                <w:color w:val="auto"/>
                <w:highlight w:val="none"/>
                <w:lang w:val="en-US" w:eastAsia="zh-CN"/>
              </w:rPr>
              <w:t>施工电梯拆除</w:t>
            </w:r>
          </w:p>
        </w:tc>
        <w:tc>
          <w:tcPr>
            <w:tcW w:w="1859" w:type="pct"/>
            <w:shd w:val="clear" w:color="auto" w:fill="auto"/>
            <w:noWrap/>
            <w:vAlign w:val="center"/>
          </w:tcPr>
          <w:p>
            <w:pPr>
              <w:pStyle w:val="12"/>
              <w:bidi w:val="0"/>
              <w:jc w:val="center"/>
              <w:rPr>
                <w:rFonts w:hint="eastAsia"/>
                <w:color w:val="auto"/>
                <w:highlight w:val="none"/>
              </w:rPr>
            </w:pPr>
            <w:r>
              <w:rPr>
                <w:rFonts w:hint="eastAsia"/>
                <w:color w:val="auto"/>
                <w:highlight w:val="none"/>
                <w:lang w:val="en-US" w:eastAsia="zh-CN"/>
              </w:rPr>
              <w:t>开工后660天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2" w:hRule="atLeast"/>
          <w:jc w:val="center"/>
        </w:trPr>
        <w:tc>
          <w:tcPr>
            <w:tcW w:w="794" w:type="pct"/>
            <w:shd w:val="clear" w:color="auto" w:fill="auto"/>
            <w:noWrap/>
            <w:vAlign w:val="center"/>
          </w:tcPr>
          <w:p>
            <w:pPr>
              <w:pStyle w:val="12"/>
              <w:ind w:left="0" w:leftChars="0" w:right="0" w:rightChars="0" w:firstLine="0" w:firstLineChars="0"/>
              <w:jc w:val="center"/>
              <w:rPr>
                <w:rFonts w:hint="eastAsia" w:eastAsia="宋体"/>
                <w:color w:val="auto"/>
                <w:highlight w:val="none"/>
                <w:lang w:val="en-US" w:eastAsia="zh-CN"/>
              </w:rPr>
            </w:pPr>
            <w:r>
              <w:rPr>
                <w:rFonts w:hint="eastAsia"/>
                <w:color w:val="auto"/>
                <w:highlight w:val="none"/>
                <w:lang w:val="en-US" w:eastAsia="zh-CN"/>
              </w:rPr>
              <w:t>9</w:t>
            </w:r>
          </w:p>
        </w:tc>
        <w:tc>
          <w:tcPr>
            <w:tcW w:w="2346" w:type="pct"/>
            <w:shd w:val="clear" w:color="auto" w:fill="auto"/>
            <w:noWrap/>
            <w:vAlign w:val="center"/>
          </w:tcPr>
          <w:p>
            <w:pPr>
              <w:pStyle w:val="12"/>
              <w:bidi w:val="0"/>
              <w:jc w:val="center"/>
              <w:rPr>
                <w:rFonts w:hint="eastAsia"/>
                <w:color w:val="auto"/>
                <w:highlight w:val="none"/>
              </w:rPr>
            </w:pPr>
            <w:r>
              <w:rPr>
                <w:rFonts w:hint="eastAsia"/>
                <w:color w:val="auto"/>
                <w:highlight w:val="none"/>
                <w:lang w:val="en-US" w:eastAsia="zh-CN"/>
              </w:rPr>
              <w:t>土方回填完成</w:t>
            </w:r>
          </w:p>
        </w:tc>
        <w:tc>
          <w:tcPr>
            <w:tcW w:w="1859" w:type="pct"/>
            <w:shd w:val="clear" w:color="auto" w:fill="auto"/>
            <w:noWrap/>
            <w:vAlign w:val="center"/>
          </w:tcPr>
          <w:p>
            <w:pPr>
              <w:pStyle w:val="12"/>
              <w:bidi w:val="0"/>
              <w:jc w:val="center"/>
              <w:rPr>
                <w:rFonts w:hint="eastAsia"/>
                <w:color w:val="auto"/>
                <w:highlight w:val="none"/>
              </w:rPr>
            </w:pPr>
            <w:r>
              <w:rPr>
                <w:rFonts w:hint="eastAsia"/>
                <w:color w:val="auto"/>
                <w:highlight w:val="none"/>
                <w:lang w:val="en-US" w:eastAsia="zh-CN"/>
              </w:rPr>
              <w:t>开工后640天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52" w:hRule="atLeast"/>
          <w:jc w:val="center"/>
        </w:trPr>
        <w:tc>
          <w:tcPr>
            <w:tcW w:w="794" w:type="pct"/>
            <w:shd w:val="clear" w:color="auto" w:fill="auto"/>
            <w:noWrap/>
            <w:vAlign w:val="center"/>
          </w:tcPr>
          <w:p>
            <w:pPr>
              <w:pStyle w:val="12"/>
              <w:ind w:left="0" w:leftChars="0" w:right="0" w:rightChars="0" w:firstLine="0" w:firstLineChars="0"/>
              <w:jc w:val="center"/>
              <w:rPr>
                <w:rFonts w:hint="eastAsia" w:eastAsia="宋体"/>
                <w:color w:val="auto"/>
                <w:highlight w:val="none"/>
                <w:lang w:val="en-US" w:eastAsia="zh-CN"/>
              </w:rPr>
            </w:pPr>
            <w:r>
              <w:rPr>
                <w:color w:val="auto"/>
                <w:highlight w:val="none"/>
              </w:rPr>
              <w:t>1</w:t>
            </w:r>
            <w:r>
              <w:rPr>
                <w:rFonts w:hint="eastAsia"/>
                <w:color w:val="auto"/>
                <w:highlight w:val="none"/>
                <w:lang w:val="en-US" w:eastAsia="zh-CN"/>
              </w:rPr>
              <w:t>0</w:t>
            </w:r>
          </w:p>
        </w:tc>
        <w:tc>
          <w:tcPr>
            <w:tcW w:w="2346" w:type="pct"/>
            <w:shd w:val="clear" w:color="auto" w:fill="auto"/>
            <w:noWrap/>
            <w:vAlign w:val="center"/>
          </w:tcPr>
          <w:p>
            <w:pPr>
              <w:pStyle w:val="12"/>
              <w:bidi w:val="0"/>
              <w:jc w:val="center"/>
              <w:rPr>
                <w:rFonts w:hint="eastAsia"/>
                <w:color w:val="auto"/>
                <w:highlight w:val="none"/>
              </w:rPr>
            </w:pPr>
            <w:r>
              <w:rPr>
                <w:rFonts w:hint="eastAsia"/>
                <w:color w:val="auto"/>
                <w:highlight w:val="none"/>
                <w:lang w:val="en-US" w:eastAsia="zh-CN"/>
              </w:rPr>
              <w:t>外立面呈现</w:t>
            </w:r>
          </w:p>
        </w:tc>
        <w:tc>
          <w:tcPr>
            <w:tcW w:w="1859" w:type="pct"/>
            <w:shd w:val="clear" w:color="auto" w:fill="auto"/>
            <w:noWrap/>
            <w:vAlign w:val="center"/>
          </w:tcPr>
          <w:p>
            <w:pPr>
              <w:pStyle w:val="12"/>
              <w:bidi w:val="0"/>
              <w:jc w:val="center"/>
              <w:rPr>
                <w:rFonts w:hint="eastAsia"/>
                <w:color w:val="auto"/>
                <w:highlight w:val="none"/>
              </w:rPr>
            </w:pPr>
            <w:r>
              <w:rPr>
                <w:rFonts w:hint="eastAsia"/>
                <w:color w:val="auto"/>
                <w:highlight w:val="none"/>
                <w:lang w:val="en-US" w:eastAsia="zh-CN"/>
              </w:rPr>
              <w:t>开工后710天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52" w:hRule="atLeast"/>
          <w:jc w:val="center"/>
        </w:trPr>
        <w:tc>
          <w:tcPr>
            <w:tcW w:w="794" w:type="pct"/>
            <w:shd w:val="clear" w:color="auto" w:fill="auto"/>
            <w:noWrap/>
            <w:vAlign w:val="center"/>
          </w:tcPr>
          <w:p>
            <w:pPr>
              <w:pStyle w:val="12"/>
              <w:ind w:left="0" w:leftChars="0" w:right="0" w:rightChars="0" w:firstLine="0" w:firstLineChars="0"/>
              <w:jc w:val="center"/>
              <w:rPr>
                <w:rFonts w:hint="eastAsia" w:eastAsia="宋体"/>
                <w:color w:val="auto"/>
                <w:highlight w:val="none"/>
                <w:lang w:val="en-US" w:eastAsia="zh-CN"/>
              </w:rPr>
            </w:pPr>
            <w:r>
              <w:rPr>
                <w:color w:val="auto"/>
                <w:highlight w:val="none"/>
              </w:rPr>
              <w:t>1</w:t>
            </w:r>
            <w:r>
              <w:rPr>
                <w:rFonts w:hint="eastAsia"/>
                <w:color w:val="auto"/>
                <w:highlight w:val="none"/>
                <w:lang w:val="en-US" w:eastAsia="zh-CN"/>
              </w:rPr>
              <w:t>1</w:t>
            </w:r>
          </w:p>
        </w:tc>
        <w:tc>
          <w:tcPr>
            <w:tcW w:w="2346" w:type="pct"/>
            <w:shd w:val="clear" w:color="auto" w:fill="auto"/>
            <w:noWrap/>
            <w:vAlign w:val="center"/>
          </w:tcPr>
          <w:p>
            <w:pPr>
              <w:pStyle w:val="12"/>
              <w:bidi w:val="0"/>
              <w:jc w:val="center"/>
              <w:rPr>
                <w:rFonts w:hint="eastAsia"/>
                <w:color w:val="auto"/>
                <w:highlight w:val="none"/>
              </w:rPr>
            </w:pPr>
            <w:r>
              <w:rPr>
                <w:rFonts w:hint="eastAsia"/>
                <w:color w:val="auto"/>
                <w:highlight w:val="none"/>
                <w:lang w:val="en-US" w:eastAsia="zh-CN"/>
              </w:rPr>
              <w:t>精装修完成</w:t>
            </w:r>
          </w:p>
        </w:tc>
        <w:tc>
          <w:tcPr>
            <w:tcW w:w="1859" w:type="pct"/>
            <w:shd w:val="clear" w:color="auto" w:fill="auto"/>
            <w:noWrap/>
            <w:vAlign w:val="center"/>
          </w:tcPr>
          <w:p>
            <w:pPr>
              <w:pStyle w:val="12"/>
              <w:bidi w:val="0"/>
              <w:jc w:val="center"/>
              <w:rPr>
                <w:rFonts w:hint="eastAsia"/>
                <w:color w:val="auto"/>
                <w:highlight w:val="none"/>
              </w:rPr>
            </w:pPr>
            <w:r>
              <w:rPr>
                <w:rFonts w:hint="eastAsia"/>
                <w:color w:val="auto"/>
                <w:highlight w:val="none"/>
                <w:lang w:val="en-US" w:eastAsia="zh-CN"/>
              </w:rPr>
              <w:t>开工后810天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2" w:hRule="atLeast"/>
          <w:jc w:val="center"/>
        </w:trPr>
        <w:tc>
          <w:tcPr>
            <w:tcW w:w="794" w:type="pct"/>
            <w:shd w:val="clear" w:color="auto" w:fill="auto"/>
            <w:noWrap/>
            <w:vAlign w:val="center"/>
          </w:tcPr>
          <w:p>
            <w:pPr>
              <w:pStyle w:val="12"/>
              <w:ind w:left="0" w:leftChars="0" w:right="0" w:rightChars="0" w:firstLine="0" w:firstLineChars="0"/>
              <w:jc w:val="center"/>
              <w:rPr>
                <w:rFonts w:hint="eastAsia" w:eastAsia="宋体"/>
                <w:color w:val="auto"/>
                <w:highlight w:val="none"/>
                <w:lang w:val="en-US" w:eastAsia="zh-CN"/>
              </w:rPr>
            </w:pPr>
            <w:r>
              <w:rPr>
                <w:color w:val="auto"/>
                <w:highlight w:val="none"/>
              </w:rPr>
              <w:t>1</w:t>
            </w:r>
            <w:r>
              <w:rPr>
                <w:rFonts w:hint="eastAsia"/>
                <w:color w:val="auto"/>
                <w:highlight w:val="none"/>
                <w:lang w:val="en-US" w:eastAsia="zh-CN"/>
              </w:rPr>
              <w:t>2</w:t>
            </w:r>
          </w:p>
        </w:tc>
        <w:tc>
          <w:tcPr>
            <w:tcW w:w="2346" w:type="pct"/>
            <w:shd w:val="clear" w:color="auto" w:fill="auto"/>
            <w:noWrap/>
            <w:vAlign w:val="center"/>
          </w:tcPr>
          <w:p>
            <w:pPr>
              <w:pStyle w:val="12"/>
              <w:bidi w:val="0"/>
              <w:jc w:val="center"/>
              <w:rPr>
                <w:rFonts w:hint="eastAsia"/>
                <w:color w:val="auto"/>
                <w:highlight w:val="none"/>
              </w:rPr>
            </w:pPr>
            <w:r>
              <w:rPr>
                <w:rFonts w:hint="eastAsia"/>
                <w:color w:val="auto"/>
                <w:highlight w:val="none"/>
                <w:lang w:val="en-US" w:eastAsia="zh-CN"/>
              </w:rPr>
              <w:t>景观完工</w:t>
            </w:r>
          </w:p>
        </w:tc>
        <w:tc>
          <w:tcPr>
            <w:tcW w:w="1859" w:type="pct"/>
            <w:shd w:val="clear" w:color="auto" w:fill="auto"/>
            <w:noWrap/>
            <w:vAlign w:val="center"/>
          </w:tcPr>
          <w:p>
            <w:pPr>
              <w:pStyle w:val="12"/>
              <w:bidi w:val="0"/>
              <w:jc w:val="center"/>
              <w:rPr>
                <w:rFonts w:hint="eastAsia"/>
                <w:color w:val="auto"/>
                <w:highlight w:val="none"/>
              </w:rPr>
            </w:pPr>
            <w:r>
              <w:rPr>
                <w:rFonts w:hint="eastAsia"/>
                <w:color w:val="auto"/>
                <w:highlight w:val="none"/>
                <w:lang w:val="en-US" w:eastAsia="zh-CN"/>
              </w:rPr>
              <w:t>开工后800天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52" w:hRule="atLeast"/>
          <w:jc w:val="center"/>
        </w:trPr>
        <w:tc>
          <w:tcPr>
            <w:tcW w:w="794" w:type="pct"/>
            <w:shd w:val="clear" w:color="auto" w:fill="auto"/>
            <w:noWrap/>
            <w:vAlign w:val="center"/>
          </w:tcPr>
          <w:p>
            <w:pPr>
              <w:pStyle w:val="12"/>
              <w:ind w:left="0" w:leftChars="0" w:right="0" w:rightChars="0" w:firstLine="0" w:firstLineChars="0"/>
              <w:jc w:val="center"/>
              <w:rPr>
                <w:rFonts w:hint="eastAsia" w:eastAsia="宋体"/>
                <w:color w:val="auto"/>
                <w:highlight w:val="none"/>
                <w:lang w:val="en-US" w:eastAsia="zh-CN"/>
              </w:rPr>
            </w:pPr>
            <w:r>
              <w:rPr>
                <w:color w:val="auto"/>
                <w:highlight w:val="none"/>
              </w:rPr>
              <w:t>1</w:t>
            </w:r>
            <w:r>
              <w:rPr>
                <w:rFonts w:hint="eastAsia"/>
                <w:color w:val="auto"/>
                <w:highlight w:val="none"/>
                <w:lang w:val="en-US" w:eastAsia="zh-CN"/>
              </w:rPr>
              <w:t>3</w:t>
            </w:r>
          </w:p>
        </w:tc>
        <w:tc>
          <w:tcPr>
            <w:tcW w:w="2346" w:type="pct"/>
            <w:shd w:val="clear" w:color="auto" w:fill="auto"/>
            <w:noWrap/>
            <w:vAlign w:val="center"/>
          </w:tcPr>
          <w:p>
            <w:pPr>
              <w:pStyle w:val="12"/>
              <w:bidi w:val="0"/>
              <w:jc w:val="center"/>
              <w:rPr>
                <w:rFonts w:hint="eastAsia"/>
                <w:color w:val="auto"/>
                <w:highlight w:val="none"/>
              </w:rPr>
            </w:pPr>
            <w:r>
              <w:rPr>
                <w:rFonts w:hint="eastAsia"/>
                <w:color w:val="auto"/>
                <w:highlight w:val="none"/>
                <w:lang w:val="en-US" w:eastAsia="zh-CN"/>
              </w:rPr>
              <w:t>消防验收完成</w:t>
            </w:r>
          </w:p>
        </w:tc>
        <w:tc>
          <w:tcPr>
            <w:tcW w:w="1859" w:type="pct"/>
            <w:shd w:val="clear" w:color="auto" w:fill="auto"/>
            <w:noWrap/>
            <w:vAlign w:val="center"/>
          </w:tcPr>
          <w:p>
            <w:pPr>
              <w:pStyle w:val="12"/>
              <w:bidi w:val="0"/>
              <w:jc w:val="center"/>
              <w:rPr>
                <w:rFonts w:hint="eastAsia"/>
                <w:color w:val="auto"/>
                <w:highlight w:val="none"/>
              </w:rPr>
            </w:pPr>
            <w:r>
              <w:rPr>
                <w:rFonts w:hint="eastAsia"/>
                <w:color w:val="auto"/>
                <w:highlight w:val="none"/>
                <w:lang w:val="en-US" w:eastAsia="zh-CN"/>
              </w:rPr>
              <w:t>开工后840天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2" w:hRule="atLeast"/>
          <w:jc w:val="center"/>
        </w:trPr>
        <w:tc>
          <w:tcPr>
            <w:tcW w:w="794" w:type="pct"/>
            <w:shd w:val="clear" w:color="auto" w:fill="auto"/>
            <w:noWrap/>
            <w:vAlign w:val="center"/>
          </w:tcPr>
          <w:p>
            <w:pPr>
              <w:pStyle w:val="12"/>
              <w:ind w:left="0" w:leftChars="0" w:right="0" w:rightChars="0" w:firstLine="0" w:firstLineChars="0"/>
              <w:jc w:val="center"/>
              <w:rPr>
                <w:rFonts w:hint="eastAsia" w:eastAsia="宋体"/>
                <w:color w:val="auto"/>
                <w:highlight w:val="none"/>
                <w:lang w:val="en-US" w:eastAsia="zh-CN"/>
              </w:rPr>
            </w:pPr>
            <w:r>
              <w:rPr>
                <w:color w:val="auto"/>
                <w:highlight w:val="none"/>
              </w:rPr>
              <w:t>1</w:t>
            </w:r>
            <w:r>
              <w:rPr>
                <w:rFonts w:hint="eastAsia"/>
                <w:color w:val="auto"/>
                <w:highlight w:val="none"/>
                <w:lang w:val="en-US" w:eastAsia="zh-CN"/>
              </w:rPr>
              <w:t>4</w:t>
            </w:r>
          </w:p>
        </w:tc>
        <w:tc>
          <w:tcPr>
            <w:tcW w:w="2346" w:type="pct"/>
            <w:shd w:val="clear" w:color="auto" w:fill="auto"/>
            <w:noWrap/>
            <w:vAlign w:val="center"/>
          </w:tcPr>
          <w:p>
            <w:pPr>
              <w:pStyle w:val="12"/>
              <w:bidi w:val="0"/>
              <w:jc w:val="center"/>
              <w:rPr>
                <w:rFonts w:hint="eastAsia"/>
                <w:color w:val="auto"/>
                <w:highlight w:val="none"/>
              </w:rPr>
            </w:pPr>
            <w:r>
              <w:rPr>
                <w:rFonts w:hint="eastAsia"/>
                <w:color w:val="auto"/>
                <w:highlight w:val="none"/>
                <w:lang w:val="en-US" w:eastAsia="zh-CN"/>
              </w:rPr>
              <w:t>竣工备案</w:t>
            </w:r>
          </w:p>
        </w:tc>
        <w:tc>
          <w:tcPr>
            <w:tcW w:w="1859" w:type="pct"/>
            <w:shd w:val="clear" w:color="auto" w:fill="auto"/>
            <w:noWrap/>
            <w:vAlign w:val="center"/>
          </w:tcPr>
          <w:p>
            <w:pPr>
              <w:pStyle w:val="12"/>
              <w:bidi w:val="0"/>
              <w:jc w:val="center"/>
              <w:rPr>
                <w:rFonts w:hint="default"/>
                <w:color w:val="auto"/>
                <w:highlight w:val="none"/>
                <w:lang w:val="en-US"/>
              </w:rPr>
            </w:pPr>
            <w:r>
              <w:rPr>
                <w:rFonts w:hint="eastAsia"/>
                <w:color w:val="auto"/>
                <w:highlight w:val="none"/>
                <w:lang w:val="en-US" w:eastAsia="zh-CN"/>
              </w:rPr>
              <w:t>开工后870天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52" w:hRule="atLeast"/>
          <w:jc w:val="center"/>
        </w:trPr>
        <w:tc>
          <w:tcPr>
            <w:tcW w:w="794" w:type="pct"/>
            <w:shd w:val="clear" w:color="auto" w:fill="auto"/>
            <w:noWrap/>
            <w:vAlign w:val="center"/>
          </w:tcPr>
          <w:p>
            <w:pPr>
              <w:pStyle w:val="12"/>
              <w:ind w:left="0" w:leftChars="0" w:right="0" w:rightChars="0" w:firstLine="0" w:firstLineChars="0"/>
              <w:jc w:val="center"/>
              <w:rPr>
                <w:rFonts w:hint="default" w:eastAsia="宋体"/>
                <w:color w:val="auto"/>
                <w:highlight w:val="none"/>
                <w:lang w:val="en-US" w:eastAsia="zh-CN"/>
              </w:rPr>
            </w:pPr>
            <w:r>
              <w:rPr>
                <w:rFonts w:hint="eastAsia"/>
                <w:color w:val="auto"/>
                <w:highlight w:val="none"/>
                <w:lang w:val="en-US" w:eastAsia="zh-CN"/>
              </w:rPr>
              <w:t>15</w:t>
            </w:r>
          </w:p>
        </w:tc>
        <w:tc>
          <w:tcPr>
            <w:tcW w:w="2346" w:type="pct"/>
            <w:shd w:val="clear" w:color="auto" w:fill="auto"/>
            <w:noWrap/>
            <w:vAlign w:val="center"/>
          </w:tcPr>
          <w:p>
            <w:pPr>
              <w:pStyle w:val="12"/>
              <w:bidi w:val="0"/>
              <w:jc w:val="center"/>
              <w:rPr>
                <w:rFonts w:hint="default"/>
                <w:color w:val="auto"/>
                <w:highlight w:val="none"/>
                <w:lang w:val="en-US" w:eastAsia="zh-CN"/>
              </w:rPr>
            </w:pPr>
            <w:r>
              <w:rPr>
                <w:rFonts w:hint="eastAsia"/>
                <w:color w:val="auto"/>
                <w:highlight w:val="none"/>
                <w:lang w:val="en-US" w:eastAsia="zh-CN"/>
              </w:rPr>
              <w:t>交付</w:t>
            </w:r>
          </w:p>
        </w:tc>
        <w:tc>
          <w:tcPr>
            <w:tcW w:w="1859" w:type="pct"/>
            <w:shd w:val="clear" w:color="auto" w:fill="auto"/>
            <w:noWrap/>
            <w:vAlign w:val="center"/>
          </w:tcPr>
          <w:p>
            <w:pPr>
              <w:pStyle w:val="12"/>
              <w:bidi w:val="0"/>
              <w:jc w:val="center"/>
              <w:rPr>
                <w:rFonts w:hint="default"/>
                <w:color w:val="auto"/>
                <w:highlight w:val="none"/>
                <w:lang w:val="en-US" w:eastAsia="zh-CN"/>
              </w:rPr>
            </w:pPr>
            <w:r>
              <w:rPr>
                <w:rFonts w:hint="eastAsia"/>
                <w:color w:val="auto"/>
                <w:highlight w:val="none"/>
                <w:lang w:val="en-US" w:eastAsia="zh-CN"/>
              </w:rPr>
              <w:t>暂定竣工备案后240天，最终以实际交付日期为准</w:t>
            </w:r>
          </w:p>
        </w:tc>
      </w:tr>
    </w:tbl>
    <w:p>
      <w:pPr>
        <w:bidi w:val="0"/>
        <w:rPr>
          <w:rFonts w:hint="eastAsia"/>
          <w:color w:val="auto"/>
          <w:highlight w:val="none"/>
          <w:lang w:val="en-US" w:eastAsia="zh-CN"/>
        </w:rPr>
      </w:pPr>
      <w:r>
        <w:rPr>
          <w:rFonts w:hint="eastAsia"/>
          <w:color w:val="auto"/>
          <w:highlight w:val="none"/>
          <w:lang w:val="en-US" w:eastAsia="zh-CN"/>
        </w:rPr>
        <w:t>（3）发包人根据工程实施情况，有权对本合同工程工期（包括关键节点工期和竣工日期）进行适当调整，并按合同相关条款的约定处理，承包人必须采取一切有效措施保证竣工日期，不得延误，并不得要求另行增加费用；如不能按经发包人批准或下达的计划完成任务，由承包人按合同相关条款约定承担违约责任。</w:t>
      </w:r>
    </w:p>
    <w:p>
      <w:pPr>
        <w:pStyle w:val="3"/>
        <w:bidi w:val="0"/>
        <w:rPr>
          <w:rFonts w:hint="eastAsia"/>
          <w:color w:val="auto"/>
          <w:highlight w:val="none"/>
          <w:lang w:val="en-US" w:eastAsia="zh-CN"/>
        </w:rPr>
      </w:pPr>
      <w:bookmarkStart w:id="83" w:name="_Toc22295"/>
      <w:bookmarkStart w:id="84" w:name="_Toc32645"/>
      <w:bookmarkStart w:id="85" w:name="_Toc18130"/>
      <w:bookmarkStart w:id="86" w:name="_Toc7210"/>
      <w:bookmarkStart w:id="87" w:name="_Toc16971"/>
      <w:bookmarkStart w:id="88" w:name="_Toc23227"/>
      <w:bookmarkStart w:id="89" w:name="_Toc24764"/>
      <w:bookmarkStart w:id="90" w:name="_Toc17295"/>
      <w:bookmarkStart w:id="91" w:name="_Toc14031"/>
      <w:bookmarkStart w:id="92" w:name="_Toc30176"/>
      <w:bookmarkStart w:id="93" w:name="_Toc28919"/>
      <w:bookmarkStart w:id="94" w:name="_Toc1643"/>
      <w:bookmarkStart w:id="95" w:name="_Toc28848"/>
      <w:bookmarkStart w:id="96" w:name="_Toc3665"/>
      <w:bookmarkStart w:id="97" w:name="_Toc7675"/>
      <w:bookmarkStart w:id="98" w:name="_Toc20815"/>
      <w:bookmarkStart w:id="99" w:name="_Toc24161"/>
      <w:bookmarkStart w:id="100" w:name="_Toc28302"/>
      <w:r>
        <w:rPr>
          <w:rFonts w:hint="eastAsia"/>
          <w:color w:val="auto"/>
          <w:highlight w:val="none"/>
          <w:lang w:val="en-US" w:eastAsia="zh-CN"/>
        </w:rPr>
        <w:t>职业健康安全管理目标和环境管理目标</w:t>
      </w:r>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p>
    <w:p>
      <w:pPr>
        <w:pStyle w:val="4"/>
        <w:keepNext w:val="0"/>
        <w:keepLines/>
        <w:pageBreakBefore w:val="0"/>
        <w:widowControl w:val="0"/>
        <w:kinsoku/>
        <w:wordWrap/>
        <w:overflowPunct/>
        <w:topLinePunct w:val="0"/>
        <w:autoSpaceDE/>
        <w:autoSpaceDN/>
        <w:bidi w:val="0"/>
        <w:adjustRightInd/>
        <w:snapToGrid w:val="0"/>
        <w:ind w:left="0" w:firstLine="480" w:firstLineChars="200"/>
        <w:jc w:val="left"/>
        <w:textAlignment w:val="auto"/>
        <w:rPr>
          <w:rFonts w:hint="eastAsia"/>
          <w:color w:val="auto"/>
          <w:highlight w:val="none"/>
          <w:lang w:val="en-US" w:eastAsia="zh-CN"/>
        </w:rPr>
      </w:pPr>
      <w:r>
        <w:rPr>
          <w:rFonts w:hint="eastAsia"/>
          <w:color w:val="auto"/>
          <w:highlight w:val="none"/>
          <w:lang w:val="en-US" w:eastAsia="zh-CN"/>
        </w:rPr>
        <w:t>职业健康安全管理目标：</w:t>
      </w:r>
    </w:p>
    <w:bookmarkEnd w:id="66"/>
    <w:p>
      <w:pPr>
        <w:pStyle w:val="4"/>
        <w:keepNext w:val="0"/>
        <w:keepLines/>
        <w:pageBreakBefore w:val="0"/>
        <w:widowControl w:val="0"/>
        <w:numPr>
          <w:ilvl w:val="2"/>
          <w:numId w:val="0"/>
        </w:numPr>
        <w:kinsoku/>
        <w:wordWrap/>
        <w:overflowPunct/>
        <w:topLinePunct w:val="0"/>
        <w:autoSpaceDE/>
        <w:autoSpaceDN/>
        <w:bidi w:val="0"/>
        <w:adjustRightInd/>
        <w:snapToGrid w:val="0"/>
        <w:ind w:left="0" w:leftChars="0" w:firstLine="480" w:firstLineChars="200"/>
        <w:jc w:val="left"/>
        <w:textAlignment w:val="auto"/>
        <w:rPr>
          <w:rFonts w:hint="eastAsia"/>
          <w:color w:val="auto"/>
          <w:highlight w:val="none"/>
          <w:lang w:val="en-US" w:eastAsia="zh-CN"/>
        </w:rPr>
      </w:pPr>
      <w:bookmarkStart w:id="101" w:name="_Toc11082"/>
      <w:bookmarkStart w:id="102" w:name="_Toc4522"/>
      <w:bookmarkStart w:id="103" w:name="_Toc26616"/>
      <w:r>
        <w:rPr>
          <w:rFonts w:hint="eastAsia"/>
          <w:color w:val="auto"/>
          <w:highlight w:val="none"/>
          <w:lang w:val="en-US" w:eastAsia="zh-CN"/>
        </w:rPr>
        <w:t>事故隐患排查治理覆盖率100%，一般事故隐患整改率100%，重大事故隐患挂牌督办率100%、整改率100%；安全生产非法违法行为举报投诉查办率达到100%。</w:t>
      </w:r>
    </w:p>
    <w:p>
      <w:pPr>
        <w:pStyle w:val="4"/>
        <w:keepNext w:val="0"/>
        <w:keepLines/>
        <w:pageBreakBefore w:val="0"/>
        <w:widowControl w:val="0"/>
        <w:numPr>
          <w:ilvl w:val="2"/>
          <w:numId w:val="0"/>
        </w:numPr>
        <w:kinsoku/>
        <w:wordWrap/>
        <w:overflowPunct/>
        <w:topLinePunct w:val="0"/>
        <w:autoSpaceDE/>
        <w:autoSpaceDN/>
        <w:bidi w:val="0"/>
        <w:adjustRightInd/>
        <w:snapToGrid w:val="0"/>
        <w:ind w:left="0" w:leftChars="0" w:firstLine="480" w:firstLineChars="200"/>
        <w:jc w:val="left"/>
        <w:textAlignment w:val="auto"/>
        <w:rPr>
          <w:rFonts w:hint="eastAsia"/>
          <w:color w:val="auto"/>
          <w:highlight w:val="none"/>
          <w:lang w:val="en-US" w:eastAsia="zh-CN"/>
        </w:rPr>
      </w:pPr>
      <w:r>
        <w:rPr>
          <w:rFonts w:hint="eastAsia"/>
          <w:color w:val="auto"/>
          <w:highlight w:val="none"/>
          <w:lang w:val="en-US" w:eastAsia="zh-CN"/>
        </w:rPr>
        <w:t>（1）杜绝发生一般事故等级及以上的伤亡事故且工伤责任事故死亡人数为零。</w:t>
      </w:r>
    </w:p>
    <w:p>
      <w:pPr>
        <w:pStyle w:val="4"/>
        <w:keepNext w:val="0"/>
        <w:keepLines/>
        <w:pageBreakBefore w:val="0"/>
        <w:widowControl w:val="0"/>
        <w:numPr>
          <w:ilvl w:val="2"/>
          <w:numId w:val="0"/>
        </w:numPr>
        <w:kinsoku/>
        <w:wordWrap/>
        <w:overflowPunct/>
        <w:topLinePunct w:val="0"/>
        <w:autoSpaceDE/>
        <w:autoSpaceDN/>
        <w:bidi w:val="0"/>
        <w:adjustRightInd/>
        <w:snapToGrid w:val="0"/>
        <w:ind w:left="0" w:leftChars="0" w:firstLine="480" w:firstLineChars="200"/>
        <w:jc w:val="left"/>
        <w:textAlignment w:val="auto"/>
        <w:rPr>
          <w:rFonts w:hint="eastAsia"/>
          <w:color w:val="auto"/>
          <w:highlight w:val="none"/>
          <w:lang w:val="en-US" w:eastAsia="zh-CN"/>
        </w:rPr>
      </w:pPr>
      <w:r>
        <w:rPr>
          <w:rFonts w:hint="eastAsia"/>
          <w:color w:val="auto"/>
          <w:highlight w:val="none"/>
          <w:lang w:val="en-US" w:eastAsia="zh-CN"/>
        </w:rPr>
        <w:t>（2）零负面舆情影响事件、零群体性事件。</w:t>
      </w:r>
    </w:p>
    <w:p>
      <w:pPr>
        <w:pStyle w:val="4"/>
        <w:keepNext w:val="0"/>
        <w:keepLines/>
        <w:pageBreakBefore w:val="0"/>
        <w:widowControl w:val="0"/>
        <w:numPr>
          <w:ilvl w:val="2"/>
          <w:numId w:val="0"/>
        </w:numPr>
        <w:kinsoku/>
        <w:wordWrap/>
        <w:overflowPunct/>
        <w:topLinePunct w:val="0"/>
        <w:autoSpaceDE/>
        <w:autoSpaceDN/>
        <w:bidi w:val="0"/>
        <w:adjustRightInd/>
        <w:snapToGrid w:val="0"/>
        <w:ind w:left="0" w:leftChars="0" w:firstLine="480" w:firstLineChars="200"/>
        <w:jc w:val="left"/>
        <w:textAlignment w:val="auto"/>
        <w:rPr>
          <w:rFonts w:hint="eastAsia"/>
          <w:color w:val="auto"/>
          <w:highlight w:val="none"/>
          <w:lang w:val="en-US" w:eastAsia="zh-CN"/>
        </w:rPr>
      </w:pPr>
      <w:r>
        <w:rPr>
          <w:rFonts w:hint="eastAsia"/>
          <w:color w:val="auto"/>
          <w:highlight w:val="none"/>
          <w:lang w:val="en-US" w:eastAsia="zh-CN"/>
        </w:rPr>
        <w:t>（3）项目不发生疫情，杜绝疫情扩散感染，杜绝群体性卫生事件发生。</w:t>
      </w:r>
    </w:p>
    <w:p>
      <w:pPr>
        <w:pStyle w:val="4"/>
        <w:keepNext w:val="0"/>
        <w:keepLines/>
        <w:pageBreakBefore w:val="0"/>
        <w:widowControl w:val="0"/>
        <w:numPr>
          <w:ilvl w:val="2"/>
          <w:numId w:val="0"/>
        </w:numPr>
        <w:kinsoku/>
        <w:wordWrap/>
        <w:overflowPunct/>
        <w:topLinePunct w:val="0"/>
        <w:autoSpaceDE/>
        <w:autoSpaceDN/>
        <w:bidi w:val="0"/>
        <w:adjustRightInd/>
        <w:snapToGrid w:val="0"/>
        <w:ind w:left="0" w:leftChars="0" w:firstLine="480" w:firstLineChars="200"/>
        <w:jc w:val="left"/>
        <w:textAlignment w:val="auto"/>
        <w:rPr>
          <w:rFonts w:hint="eastAsia"/>
          <w:color w:val="auto"/>
          <w:highlight w:val="none"/>
          <w:lang w:val="en-US" w:eastAsia="zh-CN"/>
        </w:rPr>
      </w:pPr>
      <w:r>
        <w:rPr>
          <w:rFonts w:hint="eastAsia"/>
          <w:color w:val="auto"/>
          <w:highlight w:val="none"/>
          <w:lang w:val="en-US" w:eastAsia="zh-CN"/>
        </w:rPr>
        <w:t>（4）确保</w:t>
      </w:r>
    </w:p>
    <w:p>
      <w:pPr>
        <w:pStyle w:val="4"/>
        <w:keepNext w:val="0"/>
        <w:keepLines/>
        <w:pageBreakBefore w:val="0"/>
        <w:widowControl w:val="0"/>
        <w:numPr>
          <w:ilvl w:val="2"/>
          <w:numId w:val="0"/>
        </w:numPr>
        <w:kinsoku/>
        <w:wordWrap/>
        <w:overflowPunct/>
        <w:topLinePunct w:val="0"/>
        <w:autoSpaceDE/>
        <w:autoSpaceDN/>
        <w:bidi w:val="0"/>
        <w:adjustRightInd/>
        <w:snapToGrid w:val="0"/>
        <w:ind w:left="0" w:leftChars="0" w:firstLine="480" w:firstLineChars="200"/>
        <w:jc w:val="left"/>
        <w:textAlignment w:val="auto"/>
        <w:rPr>
          <w:rFonts w:hint="eastAsia"/>
          <w:color w:val="auto"/>
          <w:highlight w:val="none"/>
          <w:lang w:val="en-US" w:eastAsia="zh-CN"/>
        </w:rPr>
      </w:pPr>
      <w:r>
        <w:rPr>
          <w:rFonts w:hint="eastAsia"/>
          <w:color w:val="auto"/>
          <w:highlight w:val="none"/>
          <w:lang w:val="en-US" w:eastAsia="zh-CN"/>
        </w:rPr>
        <w:t>☒达到广州市安全文明样板工地标准。</w:t>
      </w:r>
    </w:p>
    <w:p>
      <w:pPr>
        <w:pStyle w:val="4"/>
        <w:keepNext w:val="0"/>
        <w:keepLines/>
        <w:pageBreakBefore w:val="0"/>
        <w:widowControl w:val="0"/>
        <w:numPr>
          <w:ilvl w:val="2"/>
          <w:numId w:val="0"/>
        </w:numPr>
        <w:kinsoku/>
        <w:wordWrap/>
        <w:overflowPunct/>
        <w:topLinePunct w:val="0"/>
        <w:autoSpaceDE/>
        <w:autoSpaceDN/>
        <w:bidi w:val="0"/>
        <w:adjustRightInd/>
        <w:snapToGrid w:val="0"/>
        <w:ind w:left="0" w:leftChars="0" w:firstLine="480" w:firstLineChars="200"/>
        <w:jc w:val="left"/>
        <w:textAlignment w:val="auto"/>
        <w:rPr>
          <w:rFonts w:hint="eastAsia"/>
          <w:color w:val="auto"/>
          <w:highlight w:val="none"/>
          <w:lang w:val="en-US" w:eastAsia="zh-CN"/>
        </w:rPr>
      </w:pPr>
      <w:r>
        <w:rPr>
          <w:rFonts w:hint="eastAsia"/>
          <w:color w:val="auto"/>
          <w:highlight w:val="none"/>
          <w:lang w:val="en-US" w:eastAsia="zh-CN"/>
        </w:rPr>
        <w:t>☑广州市安全文明样板工地，争创广东省安全文明样板工地。</w:t>
      </w:r>
    </w:p>
    <w:p>
      <w:pPr>
        <w:pStyle w:val="4"/>
        <w:keepNext w:val="0"/>
        <w:keepLines/>
        <w:pageBreakBefore w:val="0"/>
        <w:widowControl w:val="0"/>
        <w:numPr>
          <w:ilvl w:val="2"/>
          <w:numId w:val="0"/>
        </w:numPr>
        <w:kinsoku/>
        <w:wordWrap/>
        <w:overflowPunct/>
        <w:topLinePunct w:val="0"/>
        <w:autoSpaceDE/>
        <w:autoSpaceDN/>
        <w:bidi w:val="0"/>
        <w:adjustRightInd/>
        <w:snapToGrid w:val="0"/>
        <w:ind w:left="0" w:leftChars="0" w:firstLine="480" w:firstLineChars="200"/>
        <w:jc w:val="left"/>
        <w:textAlignment w:val="auto"/>
        <w:rPr>
          <w:rFonts w:hint="eastAsia"/>
          <w:color w:val="auto"/>
          <w:highlight w:val="none"/>
          <w:lang w:val="en-US" w:eastAsia="zh-CN"/>
        </w:rPr>
      </w:pPr>
      <w:r>
        <w:rPr>
          <w:rFonts w:hint="eastAsia"/>
          <w:color w:val="auto"/>
          <w:highlight w:val="none"/>
          <w:lang w:val="en-US" w:eastAsia="zh-CN"/>
        </w:rPr>
        <w:t>☒广东省安全文明样板工地。</w:t>
      </w:r>
    </w:p>
    <w:p>
      <w:pPr>
        <w:pStyle w:val="4"/>
        <w:keepNext w:val="0"/>
        <w:keepLines/>
        <w:pageBreakBefore w:val="0"/>
        <w:widowControl w:val="0"/>
        <w:numPr>
          <w:ilvl w:val="2"/>
          <w:numId w:val="0"/>
        </w:numPr>
        <w:kinsoku/>
        <w:wordWrap/>
        <w:overflowPunct/>
        <w:topLinePunct w:val="0"/>
        <w:autoSpaceDE/>
        <w:autoSpaceDN/>
        <w:bidi w:val="0"/>
        <w:adjustRightInd/>
        <w:snapToGrid w:val="0"/>
        <w:ind w:left="0" w:leftChars="0" w:firstLine="480" w:firstLineChars="200"/>
        <w:jc w:val="left"/>
        <w:textAlignment w:val="auto"/>
        <w:rPr>
          <w:rFonts w:hint="eastAsia"/>
          <w:color w:val="auto"/>
          <w:highlight w:val="none"/>
          <w:lang w:val="en-US" w:eastAsia="zh-CN"/>
        </w:rPr>
      </w:pPr>
      <w:r>
        <w:rPr>
          <w:rFonts w:hint="eastAsia"/>
          <w:color w:val="auto"/>
          <w:highlight w:val="none"/>
          <w:lang w:val="en-US" w:eastAsia="zh-CN"/>
        </w:rPr>
        <w:t>☒其他：广州市建设工程安全文明绿色施工样板工地。</w:t>
      </w:r>
    </w:p>
    <w:p>
      <w:pPr>
        <w:rPr>
          <w:rFonts w:hint="eastAsia"/>
          <w:color w:val="auto"/>
          <w:highlight w:val="none"/>
          <w:lang w:val="en-US" w:eastAsia="zh-CN"/>
        </w:rPr>
      </w:pPr>
      <w:r>
        <w:rPr>
          <w:rFonts w:hint="eastAsia"/>
          <w:color w:val="auto"/>
          <w:highlight w:val="none"/>
          <w:lang w:val="en-US" w:eastAsia="zh-CN"/>
        </w:rPr>
        <w:t>2.3.2环境管理目标：</w:t>
      </w:r>
    </w:p>
    <w:p>
      <w:pPr>
        <w:rPr>
          <w:rFonts w:hint="eastAsia"/>
          <w:color w:val="auto"/>
          <w:highlight w:val="none"/>
          <w:lang w:val="en-US" w:eastAsia="zh-CN"/>
        </w:rPr>
        <w:sectPr>
          <w:footerReference r:id="rId3" w:type="default"/>
          <w:pgSz w:w="11905" w:h="16839"/>
          <w:pgMar w:top="1426" w:right="1379" w:bottom="1309" w:left="1447" w:header="0" w:footer="1144" w:gutter="0"/>
          <w:pgNumType w:fmt="decimal"/>
          <w:cols w:space="720" w:num="1"/>
        </w:sectPr>
      </w:pPr>
      <w:r>
        <w:rPr>
          <w:rFonts w:hint="eastAsia"/>
          <w:color w:val="auto"/>
          <w:highlight w:val="none"/>
          <w:lang w:val="en-US" w:eastAsia="zh-CN"/>
        </w:rPr>
        <w:t>严格执行《广州市建设工程文明施工管理规定》（广州市人民政府令第158号）、《广州市建设工程现场文明施工管理办法》（穗建质〔2008〕937号）、《广州市城乡建设委员会关于印发广州市加强建筑工地环保管理工作方案的通知》(穗建质〔2014〕754号) 、《广州市提升建设工程安全文明施工管理水平的工作指引》（穗建质〔2017〕815号）、《广州市建设工程安全文明施工规程（试行版）》（穗建质〔2021) 316 号）、《危险性较大的分部分项工程安全管理规定》(中华人民共和国住房和城乡建设部令第37号)、《关于加强建设工程安全生产管理 落实建设各方主体责任的暂行规定》（穗建规字〔2020〕34号）、《广州市住房和城乡建设委员会关于印发建设工程扬尘防治“6个100%”管理标准细化措施的通知》（穗建质〔2018〕1394号）、《广州市住房和城乡建设局等8部门关于印发广州市建设工程扬尘防治“6个100%”管理标准图集（V2.0版）的通知》、《广州市住房和城乡建设局关于印发广州市房屋建筑工程安全防护指导图集（防高坠篇）的通知》、《关于进一步加强规范建设施工现场围蔽的通知》（穗建质〔2018〕1008号）、《广州市建设工程绿色施工围蔽指导图集（V2.0版）》（穗建质〔2020〕1号）和《广东省建筑垃圾管理条例》（广东省第十三届人民代表大会常务委员会公告第126号） 等国家、省、市现行标准、规定和文件要求，确保噪声污染、扬尘污染等环境污染问题零投诉。严格按照国家、省市最新颁布的法律法规、规章制度及建设行政主管部门最新发布的相关文件等执行，杜绝环境破坏、环境污染和水体污染事故等。以上文件要求不一致的，以后发布文件为准，若相关部门发布有关新的文件规定，则按新规定执行，费用不予增加。</w:t>
      </w:r>
    </w:p>
    <w:p>
      <w:pPr>
        <w:rPr>
          <w:rFonts w:hint="eastAsia"/>
          <w:color w:val="auto"/>
          <w:highlight w:val="none"/>
          <w:lang w:val="en-US" w:eastAsia="zh-CN"/>
        </w:rPr>
      </w:pPr>
    </w:p>
    <w:p>
      <w:pPr>
        <w:pStyle w:val="2"/>
        <w:bidi w:val="0"/>
        <w:rPr>
          <w:color w:val="auto"/>
          <w:highlight w:val="none"/>
        </w:rPr>
      </w:pPr>
      <w:bookmarkStart w:id="104" w:name="_Toc10355"/>
      <w:bookmarkStart w:id="105" w:name="_Toc26080"/>
      <w:bookmarkStart w:id="106" w:name="_Toc2249"/>
      <w:bookmarkStart w:id="107" w:name="_Toc30288"/>
      <w:bookmarkStart w:id="108" w:name="_Toc22155"/>
      <w:r>
        <w:rPr>
          <w:rFonts w:hint="eastAsia"/>
          <w:color w:val="auto"/>
          <w:highlight w:val="none"/>
        </w:rPr>
        <w:t>承包</w:t>
      </w:r>
      <w:r>
        <w:rPr>
          <w:color w:val="auto"/>
          <w:highlight w:val="none"/>
        </w:rPr>
        <w:t>范围</w:t>
      </w:r>
      <w:bookmarkEnd w:id="67"/>
      <w:bookmarkEnd w:id="68"/>
      <w:bookmarkEnd w:id="69"/>
      <w:bookmarkEnd w:id="70"/>
      <w:bookmarkEnd w:id="71"/>
      <w:bookmarkEnd w:id="101"/>
      <w:bookmarkEnd w:id="102"/>
      <w:bookmarkEnd w:id="103"/>
      <w:bookmarkEnd w:id="104"/>
      <w:bookmarkEnd w:id="105"/>
      <w:bookmarkEnd w:id="106"/>
      <w:bookmarkEnd w:id="107"/>
      <w:bookmarkEnd w:id="108"/>
    </w:p>
    <w:p>
      <w:pPr>
        <w:pStyle w:val="3"/>
        <w:bidi w:val="0"/>
        <w:rPr>
          <w:color w:val="auto"/>
          <w:highlight w:val="none"/>
        </w:rPr>
      </w:pPr>
      <w:bookmarkStart w:id="109" w:name="_Toc8114"/>
      <w:bookmarkStart w:id="110" w:name="_Toc26489"/>
      <w:bookmarkStart w:id="111" w:name="_Toc28741"/>
      <w:bookmarkStart w:id="112" w:name="_Toc14399"/>
      <w:bookmarkStart w:id="113" w:name="_Toc21907"/>
      <w:bookmarkStart w:id="114" w:name="_Toc488931149"/>
      <w:bookmarkStart w:id="115" w:name="_Toc7522"/>
      <w:bookmarkStart w:id="116" w:name="_Toc30750"/>
      <w:bookmarkStart w:id="117" w:name="_Toc21378"/>
      <w:bookmarkStart w:id="118" w:name="_Toc21873"/>
      <w:bookmarkStart w:id="119" w:name="_Toc945"/>
      <w:bookmarkStart w:id="120" w:name="_Toc169722196"/>
      <w:bookmarkStart w:id="121" w:name="_Toc28457"/>
      <w:r>
        <w:rPr>
          <w:rFonts w:hint="eastAsia"/>
          <w:color w:val="auto"/>
          <w:highlight w:val="none"/>
        </w:rPr>
        <w:t>总承包范围</w:t>
      </w:r>
      <w:bookmarkEnd w:id="109"/>
      <w:bookmarkEnd w:id="110"/>
      <w:bookmarkEnd w:id="111"/>
      <w:bookmarkEnd w:id="112"/>
      <w:bookmarkEnd w:id="113"/>
      <w:bookmarkEnd w:id="114"/>
      <w:bookmarkEnd w:id="115"/>
      <w:bookmarkEnd w:id="116"/>
      <w:bookmarkEnd w:id="117"/>
      <w:bookmarkEnd w:id="118"/>
      <w:bookmarkEnd w:id="119"/>
      <w:bookmarkEnd w:id="120"/>
      <w:bookmarkEnd w:id="121"/>
    </w:p>
    <w:p>
      <w:pPr>
        <w:bidi w:val="0"/>
        <w:rPr>
          <w:rFonts w:hint="eastAsia" w:eastAsia="宋体"/>
          <w:color w:val="auto"/>
          <w:highlight w:val="none"/>
          <w:lang w:val="en-US" w:eastAsia="zh-CN"/>
        </w:rPr>
      </w:pPr>
      <w:r>
        <w:rPr>
          <w:rFonts w:hint="eastAsia"/>
          <w:color w:val="auto"/>
          <w:highlight w:val="none"/>
        </w:rPr>
        <w:t>总承包人应充分研究合同文件，包括投标须知、合同条款、工料规范及工程量清单，特别是按图纸去完全了解本工程的实际范围。</w:t>
      </w:r>
      <w:r>
        <w:rPr>
          <w:rFonts w:hint="eastAsia"/>
          <w:color w:val="auto"/>
          <w:highlight w:val="none"/>
          <w:lang w:val="en-US" w:eastAsia="zh-CN"/>
        </w:rPr>
        <w:t>包括但不限于</w:t>
      </w:r>
      <w:r>
        <w:rPr>
          <w:rFonts w:hint="eastAsia" w:ascii="宋体" w:hAnsi="宋体" w:eastAsia="宋体" w:cstheme="minorBidi"/>
          <w:color w:val="auto"/>
          <w:sz w:val="24"/>
          <w:szCs w:val="24"/>
          <w:highlight w:val="none"/>
        </w:rPr>
        <w:t>包括但不限于施工用水、施工用电、施工测量、</w:t>
      </w:r>
      <w:r>
        <w:rPr>
          <w:rFonts w:hint="eastAsia" w:ascii="宋体" w:hAnsi="宋体" w:eastAsia="宋体" w:cstheme="minorBidi"/>
          <w:color w:val="auto"/>
          <w:sz w:val="24"/>
          <w:szCs w:val="24"/>
          <w:highlight w:val="none"/>
          <w:lang w:val="en-US" w:eastAsia="zh-CN"/>
        </w:rPr>
        <w:t>管线迁改、树木迁移及保护、基坑支护及土方挖运、溶（土）洞预处理（如有）、采煤巷道处理、</w:t>
      </w:r>
      <w:r>
        <w:rPr>
          <w:rFonts w:hint="eastAsia" w:ascii="宋体" w:hAnsi="宋体" w:eastAsia="宋体" w:cstheme="minorBidi"/>
          <w:color w:val="auto"/>
          <w:sz w:val="24"/>
          <w:szCs w:val="24"/>
          <w:highlight w:val="none"/>
        </w:rPr>
        <w:t>建筑主体工程（含地基与基础、主体结构工程）、白蚁防治工程</w:t>
      </w:r>
      <w:r>
        <w:rPr>
          <w:rFonts w:hint="eastAsia" w:ascii="宋体" w:hAnsi="宋体" w:eastAsia="宋体" w:cstheme="minorBidi"/>
          <w:color w:val="auto"/>
          <w:sz w:val="24"/>
          <w:szCs w:val="24"/>
          <w:highlight w:val="none"/>
          <w:lang w:eastAsia="zh-CN"/>
        </w:rPr>
        <w:t>、</w:t>
      </w:r>
      <w:r>
        <w:rPr>
          <w:rFonts w:hint="eastAsia" w:ascii="宋体" w:hAnsi="宋体" w:eastAsia="宋体" w:cstheme="minorBidi"/>
          <w:color w:val="auto"/>
          <w:sz w:val="24"/>
          <w:szCs w:val="24"/>
          <w:highlight w:val="none"/>
        </w:rPr>
        <w:t>人防工程、防水工程、建筑装饰装修工程、消防工程、智能化工程（含通讯网络</w:t>
      </w:r>
      <w:r>
        <w:rPr>
          <w:rFonts w:hint="eastAsia" w:ascii="宋体" w:hAnsi="宋体" w:eastAsia="宋体" w:cstheme="minorBidi"/>
          <w:color w:val="auto"/>
          <w:sz w:val="24"/>
          <w:szCs w:val="24"/>
          <w:highlight w:val="none"/>
          <w:lang w:val="en-US" w:eastAsia="zh-CN"/>
        </w:rPr>
        <w:t>覆盖</w:t>
      </w:r>
      <w:r>
        <w:rPr>
          <w:rFonts w:hint="eastAsia" w:ascii="宋体" w:hAnsi="宋体" w:eastAsia="宋体" w:cstheme="minorBidi"/>
          <w:color w:val="auto"/>
          <w:sz w:val="24"/>
          <w:szCs w:val="24"/>
          <w:highlight w:val="none"/>
        </w:rPr>
        <w:t>、光纤入户、有线电视、门禁对讲系统、视频监控系统、车库管理系统等工程）、电气工程、燃气工程、永电工程、室内外给排水工程（含永久用水工程）、道路工程、暖通工程、机电设备安装工程（含柴油发电机及环保工程）、</w:t>
      </w:r>
      <w:r>
        <w:rPr>
          <w:rFonts w:hint="eastAsia" w:ascii="宋体" w:hAnsi="宋体" w:eastAsia="宋体" w:cstheme="minorBidi"/>
          <w:color w:val="auto"/>
          <w:sz w:val="24"/>
          <w:szCs w:val="24"/>
          <w:highlight w:val="none"/>
          <w:lang w:val="en-US" w:eastAsia="zh-CN"/>
        </w:rPr>
        <w:t>机械停车设备（如有）、</w:t>
      </w:r>
      <w:r>
        <w:rPr>
          <w:rFonts w:hint="eastAsia" w:ascii="宋体" w:hAnsi="宋体" w:eastAsia="宋体" w:cstheme="minorBidi"/>
          <w:color w:val="auto"/>
          <w:sz w:val="24"/>
          <w:szCs w:val="24"/>
          <w:highlight w:val="none"/>
        </w:rPr>
        <w:t>园建绿化、</w:t>
      </w:r>
      <w:r>
        <w:rPr>
          <w:rFonts w:hint="eastAsia" w:ascii="宋体" w:hAnsi="宋体" w:eastAsia="宋体" w:cstheme="minorBidi"/>
          <w:color w:val="auto"/>
          <w:sz w:val="24"/>
          <w:szCs w:val="24"/>
          <w:highlight w:val="none"/>
          <w:lang w:val="en-US" w:eastAsia="zh-CN"/>
        </w:rPr>
        <w:t>电梯设备采购及安装服务、市政工程、</w:t>
      </w:r>
      <w:r>
        <w:rPr>
          <w:rFonts w:hint="eastAsia" w:ascii="宋体" w:hAnsi="宋体" w:eastAsia="宋体" w:cstheme="minorBidi"/>
          <w:color w:val="auto"/>
          <w:sz w:val="24"/>
          <w:szCs w:val="24"/>
          <w:highlight w:val="none"/>
        </w:rPr>
        <w:t>交通设施及标识和划线、围墙、河涌范围内绿化处理（如有）、室外化粪池、零星工程（包括但不限于安装或吊装构件的预埋件和连接件、楼宇门牌标识的制作安装、信报箱的申报和制作安装工作等附属配套工程）等施工任务（具体以本项目招标文件、施工图纸、工程量清单及施工合同约定为准）</w:t>
      </w:r>
      <w:r>
        <w:rPr>
          <w:rFonts w:hint="eastAsia" w:cstheme="minorBidi"/>
          <w:color w:val="auto"/>
          <w:sz w:val="24"/>
          <w:szCs w:val="24"/>
          <w:highlight w:val="none"/>
          <w:lang w:eastAsia="zh-CN"/>
        </w:rPr>
        <w:t>。</w:t>
      </w:r>
    </w:p>
    <w:bookmarkEnd w:id="72"/>
    <w:p>
      <w:pPr>
        <w:pStyle w:val="2"/>
        <w:bidi w:val="0"/>
        <w:rPr>
          <w:color w:val="auto"/>
          <w:highlight w:val="none"/>
        </w:rPr>
      </w:pPr>
      <w:bookmarkStart w:id="122" w:name="_Toc21005"/>
      <w:bookmarkStart w:id="123" w:name="_Toc4066"/>
      <w:bookmarkStart w:id="124" w:name="_Toc12928"/>
      <w:bookmarkStart w:id="125" w:name="_Toc169722199"/>
      <w:bookmarkStart w:id="126" w:name="_Toc1975"/>
      <w:bookmarkStart w:id="127" w:name="_Toc26296"/>
      <w:bookmarkStart w:id="128" w:name="_Toc11729"/>
      <w:bookmarkStart w:id="129" w:name="_Toc5247"/>
      <w:bookmarkStart w:id="130" w:name="_Toc23533"/>
      <w:bookmarkStart w:id="131" w:name="_Toc16810"/>
      <w:bookmarkStart w:id="132" w:name="_Toc1006"/>
      <w:bookmarkStart w:id="133" w:name="_Toc25473"/>
      <w:r>
        <w:rPr>
          <w:rFonts w:hint="eastAsia"/>
          <w:color w:val="auto"/>
          <w:highlight w:val="none"/>
        </w:rPr>
        <w:t>协调配合及工程整体照管要求</w:t>
      </w:r>
      <w:bookmarkEnd w:id="122"/>
      <w:bookmarkEnd w:id="123"/>
      <w:bookmarkEnd w:id="124"/>
      <w:bookmarkEnd w:id="125"/>
      <w:bookmarkEnd w:id="126"/>
      <w:bookmarkEnd w:id="127"/>
      <w:bookmarkEnd w:id="128"/>
      <w:bookmarkEnd w:id="129"/>
      <w:bookmarkEnd w:id="130"/>
      <w:bookmarkEnd w:id="131"/>
      <w:bookmarkEnd w:id="132"/>
      <w:bookmarkEnd w:id="133"/>
    </w:p>
    <w:p>
      <w:pPr>
        <w:pStyle w:val="3"/>
        <w:bidi w:val="0"/>
        <w:rPr>
          <w:color w:val="auto"/>
          <w:highlight w:val="none"/>
        </w:rPr>
      </w:pPr>
      <w:bookmarkStart w:id="134" w:name="_Toc520244602"/>
      <w:bookmarkEnd w:id="134"/>
      <w:bookmarkStart w:id="135" w:name="_Toc520245230"/>
      <w:bookmarkEnd w:id="135"/>
      <w:bookmarkStart w:id="136" w:name="_Toc169722200"/>
      <w:bookmarkStart w:id="137" w:name="_Toc30114"/>
      <w:bookmarkStart w:id="138" w:name="_Toc30589"/>
      <w:bookmarkStart w:id="139" w:name="_Toc11594"/>
      <w:bookmarkStart w:id="140" w:name="_Toc6902"/>
      <w:bookmarkStart w:id="141" w:name="_Toc10481"/>
      <w:bookmarkStart w:id="142" w:name="_Toc19357"/>
      <w:bookmarkStart w:id="143" w:name="_Toc27414"/>
      <w:bookmarkStart w:id="144" w:name="_Toc26716"/>
      <w:bookmarkStart w:id="145" w:name="_Toc16328"/>
      <w:bookmarkStart w:id="146" w:name="_Toc28528"/>
      <w:bookmarkStart w:id="147" w:name="_Toc23391"/>
      <w:r>
        <w:rPr>
          <w:rFonts w:hint="eastAsia"/>
          <w:color w:val="auto"/>
          <w:highlight w:val="none"/>
        </w:rPr>
        <w:t>总承包人与发包人、设计人及监理人的协调配合</w:t>
      </w:r>
      <w:bookmarkEnd w:id="136"/>
      <w:bookmarkEnd w:id="137"/>
      <w:bookmarkEnd w:id="138"/>
      <w:bookmarkEnd w:id="139"/>
      <w:bookmarkEnd w:id="140"/>
      <w:bookmarkEnd w:id="141"/>
      <w:bookmarkEnd w:id="142"/>
      <w:bookmarkEnd w:id="143"/>
      <w:bookmarkEnd w:id="144"/>
      <w:bookmarkEnd w:id="145"/>
      <w:bookmarkEnd w:id="146"/>
      <w:bookmarkEnd w:id="147"/>
    </w:p>
    <w:p>
      <w:pPr>
        <w:pStyle w:val="4"/>
        <w:bidi w:val="0"/>
        <w:rPr>
          <w:color w:val="auto"/>
          <w:highlight w:val="none"/>
        </w:rPr>
      </w:pPr>
      <w:r>
        <w:rPr>
          <w:rFonts w:hint="eastAsia"/>
          <w:color w:val="auto"/>
          <w:highlight w:val="none"/>
        </w:rPr>
        <w:t>与发包人的协调配合</w:t>
      </w:r>
    </w:p>
    <w:p>
      <w:pPr>
        <w:pStyle w:val="5"/>
        <w:bidi w:val="0"/>
        <w:rPr>
          <w:color w:val="auto"/>
          <w:highlight w:val="none"/>
        </w:rPr>
      </w:pPr>
      <w:r>
        <w:rPr>
          <w:rFonts w:hint="eastAsia"/>
          <w:color w:val="auto"/>
          <w:highlight w:val="none"/>
        </w:rPr>
        <w:t>按照合同约定，对发包人负责，执行发包人指令，不得拖延、推诿。</w:t>
      </w:r>
    </w:p>
    <w:p>
      <w:pPr>
        <w:pStyle w:val="5"/>
        <w:bidi w:val="0"/>
        <w:rPr>
          <w:color w:val="auto"/>
          <w:highlight w:val="none"/>
        </w:rPr>
      </w:pPr>
      <w:r>
        <w:rPr>
          <w:rFonts w:hint="eastAsia"/>
          <w:color w:val="auto"/>
          <w:highlight w:val="none"/>
        </w:rPr>
        <w:t>在发包人不完全具备施工条件时，应积极配合发包人进行手续报批、外围机构的协调沟通等工作。</w:t>
      </w:r>
    </w:p>
    <w:p>
      <w:pPr>
        <w:pStyle w:val="5"/>
        <w:bidi w:val="0"/>
        <w:rPr>
          <w:color w:val="auto"/>
          <w:highlight w:val="none"/>
        </w:rPr>
      </w:pPr>
      <w:r>
        <w:rPr>
          <w:rFonts w:hint="eastAsia"/>
          <w:color w:val="auto"/>
          <w:highlight w:val="none"/>
        </w:rPr>
        <w:t>在施工准备阶段，应积极配合发包人完成临水、临电、道路开口等准备工作。</w:t>
      </w:r>
    </w:p>
    <w:p>
      <w:pPr>
        <w:pStyle w:val="5"/>
        <w:bidi w:val="0"/>
        <w:rPr>
          <w:color w:val="auto"/>
          <w:highlight w:val="none"/>
        </w:rPr>
      </w:pPr>
      <w:r>
        <w:rPr>
          <w:rFonts w:hint="eastAsia"/>
          <w:color w:val="auto"/>
          <w:highlight w:val="none"/>
        </w:rPr>
        <w:t>定期（每周/月）向发包人提供工程报告，工程报告内容需包含工程形象进度、计划执行情况、重点施工部位照片、质量和安全文明施工等情况，还应包括对</w:t>
      </w:r>
      <w:r>
        <w:rPr>
          <w:rFonts w:hint="eastAsia"/>
          <w:color w:val="auto"/>
          <w:highlight w:val="none"/>
          <w:lang w:eastAsia="zh-CN"/>
        </w:rPr>
        <w:t>专业承包</w:t>
      </w:r>
      <w:r>
        <w:rPr>
          <w:rFonts w:hint="eastAsia"/>
          <w:color w:val="auto"/>
          <w:highlight w:val="none"/>
        </w:rPr>
        <w:t>人</w:t>
      </w:r>
      <w:r>
        <w:rPr>
          <w:color w:val="auto"/>
          <w:highlight w:val="none"/>
        </w:rPr>
        <w:t>及自身的评价、</w:t>
      </w:r>
      <w:r>
        <w:rPr>
          <w:rFonts w:hint="eastAsia"/>
          <w:color w:val="auto"/>
          <w:highlight w:val="none"/>
        </w:rPr>
        <w:t>进度延期原因分析及措施等内容。此外，总承包人需根据发包人要求提供阶段性总结，并采取相关措施，提升上一阶段在工期、质量及安全文明方面存在的问题，保证相关措施的落地。</w:t>
      </w:r>
    </w:p>
    <w:p>
      <w:pPr>
        <w:pStyle w:val="5"/>
        <w:bidi w:val="0"/>
        <w:rPr>
          <w:color w:val="auto"/>
          <w:highlight w:val="none"/>
        </w:rPr>
      </w:pPr>
      <w:r>
        <w:rPr>
          <w:rFonts w:hint="eastAsia"/>
          <w:color w:val="auto"/>
          <w:highlight w:val="none"/>
        </w:rPr>
        <w:t>参加由发包人组织的各项例会，并确保会议所达成果的及时落地。</w:t>
      </w:r>
    </w:p>
    <w:p>
      <w:pPr>
        <w:pStyle w:val="5"/>
        <w:bidi w:val="0"/>
        <w:rPr>
          <w:color w:val="auto"/>
          <w:highlight w:val="none"/>
        </w:rPr>
      </w:pPr>
      <w:r>
        <w:rPr>
          <w:rFonts w:hint="eastAsia"/>
          <w:color w:val="auto"/>
          <w:highlight w:val="none"/>
        </w:rPr>
        <w:t>配合发包人进行质量安全检查工作。</w:t>
      </w:r>
    </w:p>
    <w:p>
      <w:pPr>
        <w:pStyle w:val="5"/>
        <w:bidi w:val="0"/>
        <w:rPr>
          <w:rFonts w:hint="eastAsia"/>
          <w:color w:val="auto"/>
          <w:highlight w:val="none"/>
        </w:rPr>
      </w:pPr>
      <w:r>
        <w:rPr>
          <w:rFonts w:hint="eastAsia"/>
          <w:color w:val="auto"/>
          <w:highlight w:val="none"/>
        </w:rPr>
        <w:t>竣工验收时承包人统一汇总竣工资料，并向发包人移交至少六套竣工资料，满足发包人要求。</w:t>
      </w:r>
    </w:p>
    <w:p>
      <w:pPr>
        <w:pStyle w:val="5"/>
        <w:bidi w:val="0"/>
        <w:rPr>
          <w:color w:val="auto"/>
          <w:highlight w:val="none"/>
        </w:rPr>
      </w:pPr>
      <w:r>
        <w:rPr>
          <w:rFonts w:hint="eastAsia"/>
          <w:color w:val="auto"/>
          <w:highlight w:val="none"/>
        </w:rPr>
        <w:t>对发包人安排的</w:t>
      </w:r>
      <w:r>
        <w:rPr>
          <w:color w:val="auto"/>
          <w:highlight w:val="none"/>
        </w:rPr>
        <w:t>临时工程</w:t>
      </w:r>
      <w:r>
        <w:rPr>
          <w:rFonts w:hint="eastAsia"/>
          <w:color w:val="auto"/>
          <w:highlight w:val="none"/>
        </w:rPr>
        <w:t>、</w:t>
      </w:r>
      <w:r>
        <w:rPr>
          <w:color w:val="auto"/>
          <w:highlight w:val="none"/>
        </w:rPr>
        <w:t>零星工程，以及</w:t>
      </w:r>
      <w:r>
        <w:rPr>
          <w:rFonts w:hint="eastAsia"/>
          <w:color w:val="auto"/>
          <w:highlight w:val="none"/>
        </w:rPr>
        <w:t>质量缺陷整改及后续的维保工作，总承包人应以积极的</w:t>
      </w:r>
      <w:r>
        <w:rPr>
          <w:color w:val="auto"/>
          <w:highlight w:val="none"/>
        </w:rPr>
        <w:t>态度</w:t>
      </w:r>
      <w:r>
        <w:rPr>
          <w:rFonts w:hint="eastAsia"/>
          <w:color w:val="auto"/>
          <w:highlight w:val="none"/>
        </w:rPr>
        <w:t>予以配合并立即实施，不得以各种理由进行推脱。</w:t>
      </w:r>
    </w:p>
    <w:p>
      <w:pPr>
        <w:pStyle w:val="5"/>
        <w:bidi w:val="0"/>
        <w:rPr>
          <w:color w:val="auto"/>
          <w:highlight w:val="none"/>
        </w:rPr>
      </w:pPr>
      <w:r>
        <w:rPr>
          <w:rFonts w:hint="eastAsia"/>
          <w:color w:val="auto"/>
          <w:highlight w:val="none"/>
        </w:rPr>
        <w:t>当工程出现渗漏等质量问题时，在接到发包人通知后须在《工程质量保修协议》中规定时间内到达工程现场，积极履行保修义务。</w:t>
      </w:r>
    </w:p>
    <w:p>
      <w:pPr>
        <w:pStyle w:val="5"/>
        <w:bidi w:val="0"/>
        <w:rPr>
          <w:color w:val="auto"/>
          <w:highlight w:val="none"/>
        </w:rPr>
      </w:pPr>
      <w:r>
        <w:rPr>
          <w:rFonts w:hint="eastAsia"/>
          <w:color w:val="auto"/>
          <w:highlight w:val="none"/>
        </w:rPr>
        <w:t>工程完工后应定期进行回访。交房后一个月应组织各</w:t>
      </w:r>
      <w:r>
        <w:rPr>
          <w:rFonts w:hint="eastAsia"/>
          <w:color w:val="auto"/>
          <w:highlight w:val="none"/>
          <w:lang w:eastAsia="zh-CN"/>
        </w:rPr>
        <w:t>专业承包</w:t>
      </w:r>
      <w:r>
        <w:rPr>
          <w:rFonts w:hint="eastAsia"/>
          <w:color w:val="auto"/>
          <w:highlight w:val="none"/>
        </w:rPr>
        <w:t>人对工程进行回访，了解工程的实际使用情况。保修期内定期（每半年度）对工程进行再回访。</w:t>
      </w:r>
    </w:p>
    <w:p>
      <w:pPr>
        <w:pStyle w:val="5"/>
        <w:bidi w:val="0"/>
        <w:rPr>
          <w:color w:val="auto"/>
          <w:highlight w:val="none"/>
        </w:rPr>
      </w:pPr>
      <w:r>
        <w:rPr>
          <w:rFonts w:hint="eastAsia" w:cs="Arial"/>
          <w:color w:val="auto"/>
          <w:highlight w:val="none"/>
        </w:rPr>
        <w:t>发包人进行</w:t>
      </w:r>
      <w:r>
        <w:rPr>
          <w:rFonts w:hint="eastAsia" w:cs="Arial"/>
          <w:color w:val="auto"/>
          <w:highlight w:val="none"/>
          <w:lang w:eastAsia="zh-CN"/>
        </w:rPr>
        <w:t>专业承包</w:t>
      </w:r>
      <w:r>
        <w:rPr>
          <w:rFonts w:hint="eastAsia" w:cs="Arial"/>
          <w:color w:val="auto"/>
          <w:highlight w:val="none"/>
        </w:rPr>
        <w:t>人的招标时，总承包人应提供总承包人与</w:t>
      </w:r>
      <w:r>
        <w:rPr>
          <w:rFonts w:hint="eastAsia" w:cs="Arial"/>
          <w:color w:val="auto"/>
          <w:highlight w:val="none"/>
          <w:lang w:val="en-US" w:eastAsia="zh-CN"/>
        </w:rPr>
        <w:t>发</w:t>
      </w:r>
      <w:r>
        <w:rPr>
          <w:rFonts w:hint="eastAsia" w:cs="Arial"/>
          <w:color w:val="auto"/>
          <w:highlight w:val="none"/>
        </w:rPr>
        <w:t>包人管理协议，供发包人</w:t>
      </w:r>
      <w:r>
        <w:rPr>
          <w:rFonts w:cs="Arial"/>
          <w:color w:val="auto"/>
          <w:highlight w:val="none"/>
        </w:rPr>
        <w:t>作为招标参考</w:t>
      </w:r>
      <w:r>
        <w:rPr>
          <w:rFonts w:hint="eastAsia" w:cs="Arial"/>
          <w:color w:val="auto"/>
          <w:highlight w:val="none"/>
        </w:rPr>
        <w:t>。</w:t>
      </w:r>
    </w:p>
    <w:p>
      <w:pPr>
        <w:pStyle w:val="4"/>
        <w:bidi w:val="0"/>
        <w:rPr>
          <w:color w:val="auto"/>
          <w:highlight w:val="none"/>
        </w:rPr>
      </w:pPr>
      <w:r>
        <w:rPr>
          <w:rFonts w:hint="eastAsia"/>
          <w:color w:val="auto"/>
          <w:highlight w:val="none"/>
        </w:rPr>
        <w:t>与设计人的协调配合</w:t>
      </w:r>
    </w:p>
    <w:p>
      <w:pPr>
        <w:pStyle w:val="5"/>
        <w:bidi w:val="0"/>
        <w:rPr>
          <w:color w:val="auto"/>
          <w:highlight w:val="none"/>
        </w:rPr>
      </w:pPr>
      <w:r>
        <w:rPr>
          <w:rFonts w:hint="eastAsia"/>
          <w:color w:val="auto"/>
          <w:highlight w:val="none"/>
        </w:rPr>
        <w:t>组织协调深化设计工作，严格按照设计要求由总承包人或</w:t>
      </w:r>
      <w:r>
        <w:rPr>
          <w:rFonts w:hint="eastAsia"/>
          <w:color w:val="auto"/>
          <w:highlight w:val="none"/>
          <w:lang w:eastAsia="zh-CN"/>
        </w:rPr>
        <w:t>专业承包</w:t>
      </w:r>
      <w:r>
        <w:rPr>
          <w:rFonts w:hint="eastAsia"/>
          <w:color w:val="auto"/>
          <w:highlight w:val="none"/>
        </w:rPr>
        <w:t>人绘制各种加工图、安装节点图、专业深化设计、二次设计等，报送发包人及设计人批准，</w:t>
      </w:r>
      <w:r>
        <w:rPr>
          <w:color w:val="auto"/>
          <w:highlight w:val="none"/>
        </w:rPr>
        <w:t>并承担和支付</w:t>
      </w:r>
      <w:r>
        <w:rPr>
          <w:rFonts w:hint="eastAsia"/>
          <w:color w:val="auto"/>
          <w:highlight w:val="none"/>
        </w:rPr>
        <w:t>深化设计图纸</w:t>
      </w:r>
      <w:r>
        <w:rPr>
          <w:color w:val="auto"/>
          <w:highlight w:val="none"/>
        </w:rPr>
        <w:t>所需的</w:t>
      </w:r>
      <w:r>
        <w:rPr>
          <w:rFonts w:hint="eastAsia"/>
          <w:color w:val="auto"/>
          <w:highlight w:val="none"/>
        </w:rPr>
        <w:t>各种费用。</w:t>
      </w:r>
    </w:p>
    <w:p>
      <w:pPr>
        <w:pStyle w:val="5"/>
        <w:bidi w:val="0"/>
        <w:rPr>
          <w:color w:val="auto"/>
          <w:highlight w:val="none"/>
        </w:rPr>
      </w:pPr>
      <w:r>
        <w:rPr>
          <w:rFonts w:hint="eastAsia"/>
          <w:color w:val="auto"/>
          <w:highlight w:val="none"/>
        </w:rPr>
        <w:t>在设计协调工作中，总承包人要有全局意识，协调各</w:t>
      </w:r>
      <w:r>
        <w:rPr>
          <w:rFonts w:hint="eastAsia"/>
          <w:color w:val="auto"/>
          <w:highlight w:val="none"/>
          <w:lang w:eastAsia="zh-CN"/>
        </w:rPr>
        <w:t>专业承包</w:t>
      </w:r>
      <w:r>
        <w:rPr>
          <w:rFonts w:hint="eastAsia"/>
          <w:color w:val="auto"/>
          <w:highlight w:val="none"/>
        </w:rPr>
        <w:t>人在施工中需要与设计人协商解决的问题，并能根据以往丰富的施工经验预见一些涉及专业交叉的普遍性问题，减少工程的拆改、返工。</w:t>
      </w:r>
    </w:p>
    <w:p>
      <w:pPr>
        <w:pStyle w:val="5"/>
        <w:bidi w:val="0"/>
        <w:rPr>
          <w:color w:val="auto"/>
          <w:highlight w:val="none"/>
        </w:rPr>
      </w:pPr>
      <w:r>
        <w:rPr>
          <w:rFonts w:hint="eastAsia"/>
          <w:color w:val="auto"/>
          <w:highlight w:val="none"/>
        </w:rPr>
        <w:t>在发包人的组织下，邀请设计人员对工程进行指导，提前了解设计意图，明确质量要求，将图纸上存在的问题和错误、各专业之间的矛盾等尽最大可能解决在工程开工之前。报请发包人、设计、监理工程师确认后，及时汇总、整理出图纸会审记录或及时请设计单位下发设计变更。</w:t>
      </w:r>
    </w:p>
    <w:p>
      <w:pPr>
        <w:pStyle w:val="5"/>
        <w:bidi w:val="0"/>
        <w:rPr>
          <w:color w:val="auto"/>
          <w:highlight w:val="none"/>
        </w:rPr>
      </w:pPr>
      <w:r>
        <w:rPr>
          <w:rFonts w:hint="eastAsia"/>
          <w:color w:val="auto"/>
          <w:highlight w:val="none"/>
        </w:rPr>
        <w:t>在发包人的组织下，承包人参与图纸会审</w:t>
      </w:r>
      <w:r>
        <w:rPr>
          <w:rFonts w:hint="eastAsia"/>
          <w:color w:val="auto"/>
          <w:highlight w:val="none"/>
          <w:lang w:val="en-US" w:eastAsia="zh-CN"/>
        </w:rPr>
        <w:t>及图纸交底</w:t>
      </w:r>
      <w:r>
        <w:rPr>
          <w:rFonts w:hint="eastAsia"/>
          <w:color w:val="auto"/>
          <w:highlight w:val="none"/>
        </w:rPr>
        <w:t>工作。</w:t>
      </w:r>
    </w:p>
    <w:p>
      <w:pPr>
        <w:pStyle w:val="5"/>
        <w:bidi w:val="0"/>
        <w:rPr>
          <w:color w:val="auto"/>
          <w:highlight w:val="none"/>
        </w:rPr>
      </w:pPr>
      <w:r>
        <w:rPr>
          <w:rFonts w:hint="eastAsia"/>
          <w:color w:val="auto"/>
          <w:highlight w:val="none"/>
        </w:rPr>
        <w:t>按照发包人要求，编制自承包范围内的深化设计计划，并按照工程需要分阶段进行。</w:t>
      </w:r>
    </w:p>
    <w:p>
      <w:pPr>
        <w:pStyle w:val="5"/>
        <w:bidi w:val="0"/>
        <w:rPr>
          <w:color w:val="auto"/>
          <w:highlight w:val="none"/>
        </w:rPr>
      </w:pPr>
      <w:r>
        <w:rPr>
          <w:rFonts w:hint="eastAsia"/>
          <w:color w:val="auto"/>
          <w:highlight w:val="none"/>
        </w:rPr>
        <w:t>由于总承包人原因造成的错误或整改，总承包人要编制专门的整改方案，方案经发包人</w:t>
      </w:r>
      <w:r>
        <w:rPr>
          <w:color w:val="auto"/>
          <w:highlight w:val="none"/>
        </w:rPr>
        <w:t>协调设计人</w:t>
      </w:r>
      <w:r>
        <w:rPr>
          <w:rFonts w:hint="eastAsia"/>
          <w:color w:val="auto"/>
          <w:highlight w:val="none"/>
        </w:rPr>
        <w:t>审批后方可执行。</w:t>
      </w:r>
    </w:p>
    <w:p>
      <w:pPr>
        <w:pStyle w:val="4"/>
        <w:bidi w:val="0"/>
        <w:rPr>
          <w:color w:val="auto"/>
          <w:highlight w:val="none"/>
        </w:rPr>
      </w:pPr>
      <w:r>
        <w:rPr>
          <w:rFonts w:hint="eastAsia"/>
          <w:color w:val="auto"/>
          <w:highlight w:val="none"/>
        </w:rPr>
        <w:t>与监理人的协调配合</w:t>
      </w:r>
    </w:p>
    <w:p>
      <w:pPr>
        <w:pStyle w:val="5"/>
        <w:bidi w:val="0"/>
        <w:rPr>
          <w:color w:val="auto"/>
          <w:highlight w:val="none"/>
        </w:rPr>
      </w:pPr>
      <w:r>
        <w:rPr>
          <w:rFonts w:hint="eastAsia"/>
          <w:color w:val="auto"/>
          <w:highlight w:val="none"/>
        </w:rPr>
        <w:t>总承包人在本工程合同实施过程中的往来文件、报告必须通过监理人向发包人传递。</w:t>
      </w:r>
    </w:p>
    <w:p>
      <w:pPr>
        <w:pStyle w:val="5"/>
        <w:bidi w:val="0"/>
        <w:rPr>
          <w:color w:val="auto"/>
          <w:highlight w:val="none"/>
        </w:rPr>
      </w:pPr>
      <w:r>
        <w:rPr>
          <w:rFonts w:hint="eastAsia"/>
          <w:color w:val="auto"/>
          <w:highlight w:val="none"/>
        </w:rPr>
        <w:t>承包人的管理人员要按时参加监理例会，例会形成的决议要得到坚决的贯彻执行；除监理工程师通知外，各种会议纪要、工作联系单等文件也应在规定的时间内进行回复。</w:t>
      </w:r>
    </w:p>
    <w:p>
      <w:pPr>
        <w:pStyle w:val="5"/>
        <w:bidi w:val="0"/>
        <w:rPr>
          <w:color w:val="auto"/>
          <w:highlight w:val="none"/>
        </w:rPr>
      </w:pPr>
      <w:r>
        <w:rPr>
          <w:rFonts w:hint="eastAsia"/>
          <w:color w:val="auto"/>
          <w:highlight w:val="none"/>
        </w:rPr>
        <w:t>对监理工程师的指令应严格执行并及时回复，如有不同意见，应书面报告监理工程师并可直接抄送发包人。</w:t>
      </w:r>
    </w:p>
    <w:p>
      <w:pPr>
        <w:pStyle w:val="5"/>
        <w:bidi w:val="0"/>
        <w:rPr>
          <w:color w:val="auto"/>
          <w:highlight w:val="none"/>
        </w:rPr>
      </w:pPr>
      <w:r>
        <w:rPr>
          <w:rFonts w:hint="eastAsia"/>
          <w:color w:val="auto"/>
          <w:highlight w:val="none"/>
        </w:rPr>
        <w:t>总承包人必须随时接受监理人对各类工程资料、质量保证体系及运行情况、安全保证体系及运行情况的检查，并派专人协助、督促各</w:t>
      </w:r>
      <w:r>
        <w:rPr>
          <w:rFonts w:hint="eastAsia"/>
          <w:color w:val="auto"/>
          <w:highlight w:val="none"/>
          <w:lang w:eastAsia="zh-CN"/>
        </w:rPr>
        <w:t>专业承包</w:t>
      </w:r>
      <w:r>
        <w:rPr>
          <w:rFonts w:hint="eastAsia"/>
          <w:color w:val="auto"/>
          <w:highlight w:val="none"/>
        </w:rPr>
        <w:t>人整理好各类工程资料。</w:t>
      </w:r>
    </w:p>
    <w:p>
      <w:pPr>
        <w:pStyle w:val="5"/>
        <w:bidi w:val="0"/>
        <w:rPr>
          <w:color w:val="auto"/>
          <w:highlight w:val="none"/>
        </w:rPr>
      </w:pPr>
      <w:r>
        <w:rPr>
          <w:rFonts w:hint="eastAsia"/>
          <w:color w:val="auto"/>
          <w:highlight w:val="none"/>
        </w:rPr>
        <w:t>督促</w:t>
      </w:r>
      <w:r>
        <w:rPr>
          <w:rFonts w:hint="eastAsia"/>
          <w:color w:val="auto"/>
          <w:highlight w:val="none"/>
          <w:lang w:eastAsia="zh-CN"/>
        </w:rPr>
        <w:t>专业承包</w:t>
      </w:r>
      <w:r>
        <w:rPr>
          <w:rFonts w:hint="eastAsia"/>
          <w:color w:val="auto"/>
          <w:highlight w:val="none"/>
        </w:rPr>
        <w:t>单位执行监理工程师的指令。</w:t>
      </w:r>
    </w:p>
    <w:p>
      <w:pPr>
        <w:pStyle w:val="4"/>
        <w:bidi w:val="0"/>
        <w:rPr>
          <w:color w:val="auto"/>
          <w:highlight w:val="none"/>
          <w:lang w:eastAsia="zh-CN"/>
        </w:rPr>
      </w:pPr>
      <w:r>
        <w:rPr>
          <w:color w:val="auto"/>
          <w:highlight w:val="none"/>
          <w:lang w:eastAsia="zh-CN"/>
        </w:rPr>
        <w:t xml:space="preserve"> </w:t>
      </w:r>
      <w:r>
        <w:rPr>
          <w:rFonts w:hint="eastAsia"/>
          <w:color w:val="auto"/>
          <w:highlight w:val="none"/>
          <w:lang w:val="en-US" w:eastAsia="zh-CN"/>
        </w:rPr>
        <w:t>与</w:t>
      </w:r>
      <w:r>
        <w:rPr>
          <w:color w:val="auto"/>
          <w:highlight w:val="none"/>
          <w:lang w:eastAsia="zh-CN"/>
        </w:rPr>
        <w:t>第三检测、监测配合要求</w:t>
      </w:r>
    </w:p>
    <w:p>
      <w:pPr>
        <w:pStyle w:val="5"/>
        <w:bidi w:val="0"/>
        <w:rPr>
          <w:color w:val="auto"/>
          <w:highlight w:val="none"/>
          <w:lang w:eastAsia="zh-CN"/>
        </w:rPr>
      </w:pPr>
      <w:r>
        <w:rPr>
          <w:color w:val="auto"/>
          <w:highlight w:val="none"/>
          <w:lang w:eastAsia="zh-CN"/>
        </w:rPr>
        <w:t>提供有关该工程检测、监测所需的相关工程技术资料；</w:t>
      </w:r>
    </w:p>
    <w:p>
      <w:pPr>
        <w:pStyle w:val="5"/>
        <w:bidi w:val="0"/>
        <w:rPr>
          <w:color w:val="auto"/>
          <w:highlight w:val="none"/>
          <w:lang w:eastAsia="zh-CN"/>
        </w:rPr>
      </w:pPr>
      <w:r>
        <w:rPr>
          <w:color w:val="auto"/>
          <w:highlight w:val="none"/>
          <w:lang w:eastAsia="zh-CN"/>
        </w:rPr>
        <w:t>现场保障足够的安全措施，符合安全施工要求，保障检测、监测人员及设备的安全；</w:t>
      </w:r>
    </w:p>
    <w:p>
      <w:pPr>
        <w:pStyle w:val="5"/>
        <w:bidi w:val="0"/>
        <w:rPr>
          <w:color w:val="auto"/>
          <w:highlight w:val="none"/>
          <w:lang w:eastAsia="zh-CN"/>
        </w:rPr>
      </w:pPr>
      <w:r>
        <w:rPr>
          <w:color w:val="auto"/>
          <w:highlight w:val="none"/>
          <w:lang w:eastAsia="zh-CN"/>
        </w:rPr>
        <w:t>协助检测、监测单位的设备进退场，包括但不限于提供场内小型机械设备吊运， 安排专人协助检测、监测单位主要检测、监测设备场内搬运等，安排必须的人员配合检测、监测单位工作；</w:t>
      </w:r>
    </w:p>
    <w:p>
      <w:pPr>
        <w:pStyle w:val="5"/>
        <w:bidi w:val="0"/>
        <w:rPr>
          <w:color w:val="auto"/>
          <w:highlight w:val="none"/>
          <w:lang w:eastAsia="zh-CN"/>
        </w:rPr>
      </w:pPr>
      <w:r>
        <w:rPr>
          <w:color w:val="auto"/>
          <w:highlight w:val="none"/>
          <w:lang w:eastAsia="zh-CN"/>
        </w:rPr>
        <w:t>负责协调相关方的关系，及时解决现场检测、监测作业时与相关方产生的矛盾。 对由于未能协调好相关方关系而影响检测、监测工作的顺利进行，造成相应的经济损失承担责任；</w:t>
      </w:r>
    </w:p>
    <w:p>
      <w:pPr>
        <w:pStyle w:val="5"/>
        <w:bidi w:val="0"/>
        <w:rPr>
          <w:color w:val="auto"/>
          <w:highlight w:val="none"/>
          <w:lang w:eastAsia="zh-CN"/>
        </w:rPr>
      </w:pPr>
      <w:r>
        <w:rPr>
          <w:color w:val="auto"/>
          <w:highlight w:val="none"/>
          <w:lang w:eastAsia="zh-CN"/>
        </w:rPr>
        <w:t>现场配合工作：收到进场检测通知后，根据检测、监测单位要求做好配合工作，包括且不限于：提供场地、水、电，修筑满足检测、监测要求的临时施工便道、检测用反力板、桩帽，做好挖土方、换填、检测用梯子、门式架、排水等工作；</w:t>
      </w:r>
    </w:p>
    <w:p>
      <w:pPr>
        <w:pStyle w:val="5"/>
        <w:bidi w:val="0"/>
        <w:rPr>
          <w:color w:val="auto"/>
          <w:highlight w:val="none"/>
        </w:rPr>
      </w:pPr>
      <w:r>
        <w:rPr>
          <w:color w:val="auto"/>
          <w:highlight w:val="none"/>
          <w:lang w:eastAsia="zh-CN"/>
        </w:rPr>
        <w:t>检测过程中可能造成桩头钢筋、砖胎模、垫层、承台钢筋等损坏，</w:t>
      </w:r>
      <w:r>
        <w:rPr>
          <w:rFonts w:hint="eastAsia"/>
          <w:color w:val="auto"/>
          <w:highlight w:val="none"/>
          <w:lang w:val="en-US" w:eastAsia="zh-CN"/>
        </w:rPr>
        <w:t>承包人</w:t>
      </w:r>
      <w:r>
        <w:rPr>
          <w:color w:val="auto"/>
          <w:highlight w:val="none"/>
          <w:lang w:eastAsia="zh-CN"/>
        </w:rPr>
        <w:t>负责修复，所产生的费用已在投标报价中综合考虑。</w:t>
      </w:r>
    </w:p>
    <w:p>
      <w:pPr>
        <w:pStyle w:val="3"/>
        <w:bidi w:val="0"/>
        <w:rPr>
          <w:color w:val="auto"/>
          <w:highlight w:val="none"/>
        </w:rPr>
      </w:pPr>
      <w:bookmarkStart w:id="148" w:name="_Toc6811"/>
      <w:bookmarkStart w:id="149" w:name="_Toc9674"/>
      <w:bookmarkStart w:id="150" w:name="_Toc12047"/>
      <w:bookmarkStart w:id="151" w:name="_Toc2157"/>
      <w:bookmarkStart w:id="152" w:name="_Toc19908"/>
      <w:bookmarkStart w:id="153" w:name="_Toc4101"/>
      <w:bookmarkStart w:id="154" w:name="_Toc5794"/>
      <w:bookmarkStart w:id="155" w:name="_Toc19349"/>
      <w:bookmarkStart w:id="156" w:name="_Toc21952"/>
      <w:bookmarkStart w:id="157" w:name="_Toc13139"/>
      <w:bookmarkStart w:id="158" w:name="_Toc19910"/>
      <w:bookmarkStart w:id="159" w:name="_Toc169722201"/>
      <w:r>
        <w:rPr>
          <w:rFonts w:hint="eastAsia"/>
          <w:color w:val="auto"/>
          <w:highlight w:val="none"/>
        </w:rPr>
        <w:t>总承包人现场整体照管的要求</w:t>
      </w:r>
      <w:bookmarkEnd w:id="148"/>
      <w:bookmarkEnd w:id="149"/>
      <w:bookmarkEnd w:id="150"/>
      <w:bookmarkEnd w:id="151"/>
      <w:bookmarkEnd w:id="152"/>
      <w:bookmarkEnd w:id="153"/>
      <w:bookmarkEnd w:id="154"/>
      <w:bookmarkEnd w:id="155"/>
      <w:bookmarkEnd w:id="156"/>
      <w:bookmarkEnd w:id="157"/>
      <w:bookmarkEnd w:id="158"/>
      <w:bookmarkEnd w:id="159"/>
    </w:p>
    <w:p>
      <w:pPr>
        <w:pStyle w:val="4"/>
        <w:bidi w:val="0"/>
        <w:rPr>
          <w:color w:val="auto"/>
          <w:highlight w:val="none"/>
        </w:rPr>
      </w:pPr>
      <w:r>
        <w:rPr>
          <w:rFonts w:hint="eastAsia"/>
          <w:color w:val="auto"/>
          <w:highlight w:val="none"/>
        </w:rPr>
        <w:t xml:space="preserve"> 一般原则</w:t>
      </w:r>
    </w:p>
    <w:p>
      <w:pPr>
        <w:pStyle w:val="5"/>
        <w:bidi w:val="0"/>
        <w:rPr>
          <w:color w:val="auto"/>
          <w:highlight w:val="none"/>
        </w:rPr>
      </w:pPr>
      <w:r>
        <w:rPr>
          <w:rFonts w:hint="eastAsia"/>
          <w:color w:val="auto"/>
          <w:highlight w:val="none"/>
        </w:rPr>
        <w:t>照管的定义与范围</w:t>
      </w:r>
    </w:p>
    <w:p>
      <w:pPr>
        <w:bidi w:val="0"/>
        <w:rPr>
          <w:color w:val="auto"/>
          <w:highlight w:val="none"/>
        </w:rPr>
      </w:pPr>
      <w:r>
        <w:rPr>
          <w:rFonts w:hint="eastAsia"/>
          <w:color w:val="auto"/>
          <w:highlight w:val="none"/>
        </w:rPr>
        <w:t>在施工现场照管方面，由总承包人统一进行组织。其范围包括但不限于：临时</w:t>
      </w:r>
      <w:r>
        <w:rPr>
          <w:color w:val="auto"/>
          <w:highlight w:val="none"/>
        </w:rPr>
        <w:t>设施、</w:t>
      </w:r>
      <w:r>
        <w:rPr>
          <w:rFonts w:hint="eastAsia"/>
          <w:color w:val="auto"/>
          <w:highlight w:val="none"/>
        </w:rPr>
        <w:t>临时</w:t>
      </w:r>
      <w:r>
        <w:rPr>
          <w:color w:val="auto"/>
          <w:highlight w:val="none"/>
        </w:rPr>
        <w:t>用水、临时用电、临时排污、临时排水、临时</w:t>
      </w:r>
      <w:r>
        <w:rPr>
          <w:rFonts w:hint="eastAsia"/>
          <w:color w:val="auto"/>
          <w:highlight w:val="none"/>
        </w:rPr>
        <w:t>通风、</w:t>
      </w:r>
      <w:r>
        <w:rPr>
          <w:color w:val="auto"/>
          <w:highlight w:val="none"/>
        </w:rPr>
        <w:t>施工场地、现场临时道路、施工机械、脚手架、照明、垃圾清运、安全保卫</w:t>
      </w:r>
      <w:r>
        <w:rPr>
          <w:rFonts w:hint="eastAsia"/>
          <w:color w:val="auto"/>
          <w:highlight w:val="none"/>
        </w:rPr>
        <w:t>、治污减霾等。此外，总承包人应提供冬雨季及特别极端天气所需的特别措施。发包人将根据此规定进行监督、检查、验收，否则，发包人有权在后续费用中扣除。</w:t>
      </w:r>
    </w:p>
    <w:p>
      <w:pPr>
        <w:pStyle w:val="5"/>
        <w:bidi w:val="0"/>
        <w:rPr>
          <w:color w:val="auto"/>
          <w:highlight w:val="none"/>
        </w:rPr>
      </w:pPr>
      <w:r>
        <w:rPr>
          <w:rFonts w:hint="eastAsia"/>
          <w:color w:val="auto"/>
          <w:highlight w:val="none"/>
        </w:rPr>
        <w:t>照管时间要求</w:t>
      </w:r>
    </w:p>
    <w:p>
      <w:pPr>
        <w:bidi w:val="0"/>
        <w:rPr>
          <w:color w:val="auto"/>
          <w:highlight w:val="none"/>
        </w:rPr>
      </w:pPr>
      <w:r>
        <w:rPr>
          <w:rFonts w:hint="eastAsia"/>
          <w:color w:val="auto"/>
          <w:highlight w:val="none"/>
        </w:rPr>
        <w:t>总承包人照管职责自</w:t>
      </w:r>
      <w:r>
        <w:rPr>
          <w:rFonts w:hint="eastAsia"/>
          <w:color w:val="auto"/>
          <w:highlight w:val="none"/>
          <w:lang w:val="en-US" w:eastAsia="zh-CN"/>
        </w:rPr>
        <w:t>总承包单位进场之日起</w:t>
      </w:r>
      <w:r>
        <w:rPr>
          <w:rFonts w:hint="eastAsia"/>
          <w:color w:val="auto"/>
          <w:highlight w:val="none"/>
        </w:rPr>
        <w:t>，到集中交付止</w:t>
      </w:r>
      <w:r>
        <w:rPr>
          <w:rFonts w:hint="eastAsia"/>
          <w:color w:val="auto"/>
          <w:highlight w:val="none"/>
          <w:lang w:eastAsia="zh-CN"/>
        </w:rPr>
        <w:t>（</w:t>
      </w:r>
      <w:r>
        <w:rPr>
          <w:rFonts w:hint="eastAsia"/>
          <w:color w:val="auto"/>
          <w:highlight w:val="none"/>
          <w:lang w:val="en-US" w:eastAsia="zh-CN"/>
        </w:rPr>
        <w:t>工程移交使用方</w:t>
      </w:r>
      <w:r>
        <w:rPr>
          <w:rFonts w:hint="eastAsia"/>
          <w:color w:val="auto"/>
          <w:highlight w:val="none"/>
          <w:lang w:eastAsia="zh-CN"/>
        </w:rPr>
        <w:t>）</w:t>
      </w:r>
      <w:r>
        <w:rPr>
          <w:color w:val="auto"/>
          <w:highlight w:val="none"/>
        </w:rPr>
        <w:t>。</w:t>
      </w:r>
    </w:p>
    <w:p>
      <w:pPr>
        <w:pStyle w:val="5"/>
        <w:bidi w:val="0"/>
        <w:rPr>
          <w:color w:val="auto"/>
          <w:highlight w:val="none"/>
        </w:rPr>
      </w:pPr>
      <w:r>
        <w:rPr>
          <w:rFonts w:hint="eastAsia"/>
          <w:color w:val="auto"/>
          <w:highlight w:val="none"/>
        </w:rPr>
        <w:t>照管费</w:t>
      </w:r>
      <w:r>
        <w:rPr>
          <w:rFonts w:hint="eastAsia"/>
          <w:color w:val="auto"/>
          <w:highlight w:val="none"/>
          <w:lang w:eastAsia="zh-CN"/>
        </w:rPr>
        <w:t>（</w:t>
      </w:r>
      <w:r>
        <w:rPr>
          <w:rFonts w:hint="eastAsia"/>
          <w:color w:val="auto"/>
          <w:highlight w:val="none"/>
          <w:lang w:val="en-US" w:eastAsia="zh-CN"/>
        </w:rPr>
        <w:t>总包配合管理服务费</w:t>
      </w:r>
      <w:r>
        <w:rPr>
          <w:rFonts w:hint="eastAsia"/>
          <w:color w:val="auto"/>
          <w:highlight w:val="none"/>
          <w:lang w:eastAsia="zh-CN"/>
        </w:rPr>
        <w:t>）</w:t>
      </w:r>
    </w:p>
    <w:p>
      <w:pPr>
        <w:bidi w:val="0"/>
        <w:rPr>
          <w:color w:val="auto"/>
          <w:highlight w:val="none"/>
        </w:rPr>
      </w:pPr>
      <w:r>
        <w:rPr>
          <w:rFonts w:hint="eastAsia"/>
          <w:color w:val="auto"/>
          <w:highlight w:val="none"/>
        </w:rPr>
        <w:t>照管</w:t>
      </w:r>
      <w:r>
        <w:rPr>
          <w:color w:val="auto"/>
          <w:highlight w:val="none"/>
        </w:rPr>
        <w:t>费</w:t>
      </w:r>
      <w:r>
        <w:rPr>
          <w:rFonts w:hint="eastAsia"/>
          <w:color w:val="auto"/>
          <w:highlight w:val="none"/>
        </w:rPr>
        <w:t>由总承包人在报价中考虑，发包人统一支付给总承包人，总承包人不得再向</w:t>
      </w:r>
      <w:r>
        <w:rPr>
          <w:rFonts w:hint="eastAsia"/>
          <w:color w:val="auto"/>
          <w:highlight w:val="none"/>
          <w:lang w:eastAsia="zh-CN"/>
        </w:rPr>
        <w:t>专业承包</w:t>
      </w:r>
      <w:r>
        <w:rPr>
          <w:rFonts w:hint="eastAsia"/>
          <w:color w:val="auto"/>
          <w:highlight w:val="none"/>
        </w:rPr>
        <w:t>人/独立承包人收取任何费用。</w:t>
      </w:r>
    </w:p>
    <w:p>
      <w:pPr>
        <w:pStyle w:val="4"/>
        <w:bidi w:val="0"/>
        <w:rPr>
          <w:color w:val="auto"/>
          <w:highlight w:val="none"/>
        </w:rPr>
      </w:pPr>
      <w:r>
        <w:rPr>
          <w:rFonts w:hint="eastAsia"/>
          <w:color w:val="auto"/>
          <w:highlight w:val="none"/>
        </w:rPr>
        <w:t xml:space="preserve"> 临时</w:t>
      </w:r>
      <w:r>
        <w:rPr>
          <w:color w:val="auto"/>
          <w:highlight w:val="none"/>
        </w:rPr>
        <w:t>设施</w:t>
      </w:r>
    </w:p>
    <w:p>
      <w:pPr>
        <w:pStyle w:val="5"/>
        <w:bidi w:val="0"/>
        <w:rPr>
          <w:color w:val="auto"/>
          <w:highlight w:val="none"/>
        </w:rPr>
      </w:pPr>
      <w:r>
        <w:rPr>
          <w:rFonts w:hint="eastAsia"/>
          <w:color w:val="auto"/>
          <w:highlight w:val="none"/>
        </w:rPr>
        <w:t>发包人</w:t>
      </w:r>
      <w:r>
        <w:rPr>
          <w:rFonts w:hint="default"/>
          <w:color w:val="auto"/>
          <w:highlight w:val="none"/>
          <w:lang w:val="en-US"/>
        </w:rPr>
        <w:t>向</w:t>
      </w:r>
      <w:r>
        <w:rPr>
          <w:rFonts w:hint="eastAsia"/>
          <w:color w:val="auto"/>
          <w:highlight w:val="none"/>
        </w:rPr>
        <w:t>总承包人提供生活用地</w:t>
      </w:r>
      <w:r>
        <w:rPr>
          <w:rFonts w:hint="eastAsia"/>
          <w:color w:val="auto"/>
          <w:highlight w:val="none"/>
          <w:lang w:val="en-US" w:eastAsia="zh-CN"/>
        </w:rPr>
        <w:t>或</w:t>
      </w:r>
      <w:r>
        <w:rPr>
          <w:rFonts w:hint="eastAsia"/>
          <w:color w:val="auto"/>
          <w:highlight w:val="none"/>
        </w:rPr>
        <w:t>用房。</w:t>
      </w:r>
    </w:p>
    <w:p>
      <w:pPr>
        <w:pStyle w:val="5"/>
        <w:bidi w:val="0"/>
        <w:rPr>
          <w:color w:val="auto"/>
          <w:highlight w:val="none"/>
        </w:rPr>
      </w:pPr>
      <w:r>
        <w:rPr>
          <w:rFonts w:hint="eastAsia"/>
          <w:color w:val="auto"/>
          <w:highlight w:val="none"/>
        </w:rPr>
        <w:t>本项目任何临时工程的施工方案和开工，必须经监理单位及发包人的同意。合同结束后，对所有修建的红线内外的临时设施，承包人均须拆除运走，恢复修建前的原有状态，并达到监理单位及发包人要求，除非工程合同另有协议约定或监理单位及发包人另有指令。</w:t>
      </w:r>
    </w:p>
    <w:p>
      <w:pPr>
        <w:pStyle w:val="5"/>
        <w:bidi w:val="0"/>
        <w:rPr>
          <w:color w:val="auto"/>
          <w:highlight w:val="none"/>
        </w:rPr>
      </w:pPr>
      <w:r>
        <w:rPr>
          <w:rFonts w:hint="eastAsia"/>
          <w:color w:val="auto"/>
          <w:highlight w:val="none"/>
        </w:rPr>
        <w:t>要求承包人</w:t>
      </w:r>
      <w:r>
        <w:rPr>
          <w:rFonts w:hint="eastAsia"/>
          <w:color w:val="auto"/>
          <w:highlight w:val="none"/>
          <w:lang w:eastAsia="zh-CN"/>
        </w:rPr>
        <w:t>在现有的</w:t>
      </w:r>
      <w:r>
        <w:rPr>
          <w:rFonts w:hint="eastAsia"/>
          <w:color w:val="auto"/>
          <w:highlight w:val="none"/>
          <w:lang w:val="en-US" w:eastAsia="zh-CN"/>
        </w:rPr>
        <w:t>甲方</w:t>
      </w:r>
      <w:r>
        <w:rPr>
          <w:rFonts w:hint="eastAsia"/>
          <w:color w:val="auto"/>
          <w:highlight w:val="none"/>
          <w:lang w:eastAsia="zh-CN"/>
        </w:rPr>
        <w:t>临时</w:t>
      </w:r>
      <w:r>
        <w:rPr>
          <w:rFonts w:hint="eastAsia"/>
          <w:color w:val="auto"/>
          <w:highlight w:val="none"/>
          <w:lang w:val="en-US" w:eastAsia="zh-CN"/>
        </w:rPr>
        <w:t>办公设施</w:t>
      </w:r>
      <w:r>
        <w:rPr>
          <w:rFonts w:hint="eastAsia"/>
          <w:color w:val="auto"/>
          <w:highlight w:val="none"/>
          <w:lang w:eastAsia="zh-CN"/>
        </w:rPr>
        <w:t>基础上</w:t>
      </w:r>
      <w:r>
        <w:rPr>
          <w:rFonts w:hint="eastAsia"/>
          <w:color w:val="auto"/>
          <w:highlight w:val="none"/>
        </w:rPr>
        <w:t>统一将发包人、承包人、监理方对办公的需求考虑在内，</w:t>
      </w:r>
      <w:r>
        <w:rPr>
          <w:rFonts w:hint="eastAsia"/>
          <w:color w:val="auto"/>
          <w:highlight w:val="none"/>
          <w:lang w:val="en-US" w:eastAsia="zh-CN"/>
        </w:rPr>
        <w:t>根据发包人的具体要求，不限接受、修缮已有的甲方临时办公设施及新建甲方临时办公设施，后续由</w:t>
      </w:r>
      <w:r>
        <w:rPr>
          <w:rFonts w:hint="eastAsia"/>
          <w:color w:val="auto"/>
          <w:highlight w:val="none"/>
        </w:rPr>
        <w:t>承包人进行统一管理</w:t>
      </w:r>
      <w:r>
        <w:rPr>
          <w:rFonts w:hint="eastAsia"/>
          <w:color w:val="auto"/>
          <w:highlight w:val="none"/>
          <w:lang w:eastAsia="zh-CN"/>
        </w:rPr>
        <w:t>、</w:t>
      </w:r>
      <w:r>
        <w:rPr>
          <w:rFonts w:hint="eastAsia"/>
          <w:color w:val="auto"/>
          <w:highlight w:val="none"/>
          <w:lang w:val="en-US" w:eastAsia="zh-CN"/>
        </w:rPr>
        <w:t>维护、保洁等</w:t>
      </w:r>
      <w:r>
        <w:rPr>
          <w:rFonts w:hint="eastAsia"/>
          <w:color w:val="auto"/>
          <w:highlight w:val="none"/>
        </w:rPr>
        <w:t>。（此项需在基本要求费中进行报价）</w:t>
      </w:r>
    </w:p>
    <w:p>
      <w:pPr>
        <w:pStyle w:val="5"/>
        <w:bidi w:val="0"/>
        <w:rPr>
          <w:color w:val="auto"/>
          <w:highlight w:val="none"/>
        </w:rPr>
      </w:pPr>
      <w:r>
        <w:rPr>
          <w:rFonts w:hint="eastAsia"/>
          <w:color w:val="auto"/>
          <w:highlight w:val="none"/>
        </w:rPr>
        <w:t>临时设施由总承包人统一规划、统一安排并经发包人审批同意后执行。临时设施根据施工的不同阶段（基础、主体结构、装修、园林市政）进行局部调整，但必须符合各阶段施工平面布置图的总体规划。</w:t>
      </w:r>
    </w:p>
    <w:p>
      <w:pPr>
        <w:pStyle w:val="5"/>
        <w:bidi w:val="0"/>
        <w:rPr>
          <w:color w:val="auto"/>
          <w:highlight w:val="none"/>
        </w:rPr>
      </w:pPr>
      <w:r>
        <w:rPr>
          <w:rFonts w:hint="eastAsia"/>
          <w:color w:val="auto"/>
          <w:highlight w:val="none"/>
        </w:rPr>
        <w:t>除</w:t>
      </w:r>
      <w:r>
        <w:rPr>
          <w:rFonts w:hint="eastAsia"/>
          <w:color w:val="auto"/>
          <w:highlight w:val="none"/>
          <w:lang w:eastAsia="zh-CN"/>
        </w:rPr>
        <w:t>专业承包</w:t>
      </w:r>
      <w:r>
        <w:rPr>
          <w:rFonts w:hint="eastAsia"/>
          <w:color w:val="auto"/>
          <w:highlight w:val="none"/>
        </w:rPr>
        <w:t>人/独立承包人的加工场、现场仓库房外，其他所有施工现场临时设施搭建与拆除由总承包人负责，总承包人应做好临时设施的维护、维修、更换工作。</w:t>
      </w:r>
    </w:p>
    <w:p>
      <w:pPr>
        <w:pStyle w:val="5"/>
        <w:bidi w:val="0"/>
        <w:rPr>
          <w:color w:val="auto"/>
          <w:highlight w:val="none"/>
        </w:rPr>
      </w:pPr>
      <w:r>
        <w:rPr>
          <w:rFonts w:hint="eastAsia"/>
          <w:color w:val="auto"/>
          <w:highlight w:val="none"/>
        </w:rPr>
        <w:t>总承包人应为</w:t>
      </w:r>
      <w:r>
        <w:rPr>
          <w:rFonts w:hint="eastAsia"/>
          <w:color w:val="auto"/>
          <w:highlight w:val="none"/>
          <w:lang w:eastAsia="zh-CN"/>
        </w:rPr>
        <w:t>专业承包</w:t>
      </w:r>
      <w:r>
        <w:rPr>
          <w:rFonts w:hint="eastAsia"/>
          <w:color w:val="auto"/>
          <w:highlight w:val="none"/>
        </w:rPr>
        <w:t>人</w:t>
      </w:r>
      <w:r>
        <w:rPr>
          <w:color w:val="auto"/>
          <w:highlight w:val="none"/>
        </w:rPr>
        <w:t>/</w:t>
      </w:r>
      <w:r>
        <w:rPr>
          <w:rFonts w:hint="eastAsia"/>
          <w:color w:val="auto"/>
          <w:highlight w:val="none"/>
        </w:rPr>
        <w:t>独立承包人提供位置及空间，用以搭建加工场、现场仓库，</w:t>
      </w:r>
      <w:r>
        <w:rPr>
          <w:rFonts w:hint="eastAsia"/>
          <w:color w:val="auto"/>
          <w:highlight w:val="none"/>
          <w:lang w:eastAsia="zh-CN"/>
        </w:rPr>
        <w:t>专业承包</w:t>
      </w:r>
      <w:r>
        <w:rPr>
          <w:rFonts w:hint="eastAsia"/>
          <w:color w:val="auto"/>
          <w:highlight w:val="none"/>
        </w:rPr>
        <w:t>人/独立承包人做好相应的维护、维修、更换和拆除工作。</w:t>
      </w:r>
    </w:p>
    <w:p>
      <w:pPr>
        <w:pStyle w:val="5"/>
        <w:bidi w:val="0"/>
        <w:rPr>
          <w:color w:val="auto"/>
          <w:highlight w:val="none"/>
        </w:rPr>
      </w:pPr>
      <w:r>
        <w:rPr>
          <w:rFonts w:hint="eastAsia"/>
          <w:color w:val="auto"/>
          <w:highlight w:val="none"/>
        </w:rPr>
        <w:t>临时设施（活动室、食堂、临时停车场、厕所、隔油池、化粪池、沉淀池等）要有设计详图和节点图，以上设施及临时管线在各阶段施工平面布置图中要有具体定位。</w:t>
      </w:r>
    </w:p>
    <w:p>
      <w:pPr>
        <w:pStyle w:val="5"/>
        <w:bidi w:val="0"/>
        <w:rPr>
          <w:color w:val="auto"/>
          <w:highlight w:val="none"/>
        </w:rPr>
      </w:pPr>
      <w:r>
        <w:rPr>
          <w:rFonts w:hint="eastAsia"/>
          <w:color w:val="auto"/>
          <w:highlight w:val="none"/>
        </w:rPr>
        <w:t>向发包人及监理人提供办公室、</w:t>
      </w:r>
      <w:r>
        <w:rPr>
          <w:color w:val="auto"/>
          <w:highlight w:val="none"/>
        </w:rPr>
        <w:t>宿舍</w:t>
      </w:r>
      <w:r>
        <w:rPr>
          <w:rFonts w:hint="eastAsia"/>
          <w:color w:val="auto"/>
          <w:highlight w:val="none"/>
        </w:rPr>
        <w:t>，数量</w:t>
      </w:r>
      <w:r>
        <w:rPr>
          <w:color w:val="auto"/>
          <w:highlight w:val="none"/>
        </w:rPr>
        <w:t>、大小及具体配置要求需根据</w:t>
      </w:r>
      <w:r>
        <w:rPr>
          <w:rFonts w:hint="eastAsia"/>
          <w:color w:val="auto"/>
          <w:highlight w:val="none"/>
        </w:rPr>
        <w:t>发包人签发</w:t>
      </w:r>
      <w:r>
        <w:rPr>
          <w:color w:val="auto"/>
          <w:highlight w:val="none"/>
        </w:rPr>
        <w:t>的图纸</w:t>
      </w:r>
      <w:r>
        <w:rPr>
          <w:rFonts w:hint="eastAsia"/>
          <w:color w:val="auto"/>
          <w:highlight w:val="none"/>
        </w:rPr>
        <w:t>进行布置</w:t>
      </w:r>
      <w:r>
        <w:rPr>
          <w:rFonts w:hint="eastAsia"/>
          <w:color w:val="auto"/>
          <w:highlight w:val="none"/>
          <w:lang w:eastAsia="zh-CN"/>
        </w:rPr>
        <w:t>，</w:t>
      </w:r>
      <w:r>
        <w:rPr>
          <w:rFonts w:hint="eastAsia"/>
          <w:color w:val="auto"/>
          <w:highlight w:val="none"/>
          <w:lang w:val="en-US" w:eastAsia="zh-CN"/>
        </w:rPr>
        <w:t>并派专人每天进行保洁</w:t>
      </w:r>
      <w:r>
        <w:rPr>
          <w:rFonts w:hint="eastAsia"/>
          <w:color w:val="auto"/>
          <w:highlight w:val="none"/>
        </w:rPr>
        <w:t>。</w:t>
      </w:r>
    </w:p>
    <w:p>
      <w:pPr>
        <w:pStyle w:val="5"/>
        <w:bidi w:val="0"/>
        <w:rPr>
          <w:color w:val="auto"/>
          <w:highlight w:val="none"/>
        </w:rPr>
      </w:pPr>
      <w:r>
        <w:rPr>
          <w:rFonts w:hint="eastAsia"/>
          <w:color w:val="auto"/>
          <w:highlight w:val="none"/>
        </w:rPr>
        <w:t>向</w:t>
      </w:r>
      <w:r>
        <w:rPr>
          <w:rFonts w:hint="eastAsia"/>
          <w:color w:val="auto"/>
          <w:highlight w:val="none"/>
          <w:lang w:eastAsia="zh-CN"/>
        </w:rPr>
        <w:t>专业承包</w:t>
      </w:r>
      <w:r>
        <w:rPr>
          <w:rFonts w:hint="eastAsia"/>
          <w:color w:val="auto"/>
          <w:highlight w:val="none"/>
        </w:rPr>
        <w:t>人提供办公用房。</w:t>
      </w:r>
    </w:p>
    <w:p>
      <w:pPr>
        <w:pStyle w:val="5"/>
        <w:bidi w:val="0"/>
        <w:rPr>
          <w:color w:val="auto"/>
          <w:highlight w:val="none"/>
        </w:rPr>
      </w:pPr>
      <w:r>
        <w:rPr>
          <w:rFonts w:hint="eastAsia"/>
          <w:color w:val="auto"/>
          <w:highlight w:val="none"/>
        </w:rPr>
        <w:t>统一提供的办公</w:t>
      </w:r>
      <w:r>
        <w:rPr>
          <w:color w:val="auto"/>
          <w:highlight w:val="none"/>
        </w:rPr>
        <w:t>区</w:t>
      </w:r>
      <w:r>
        <w:rPr>
          <w:rFonts w:hint="eastAsia"/>
          <w:color w:val="auto"/>
          <w:highlight w:val="none"/>
        </w:rPr>
        <w:t>厕所。办公室区域设置供总</w:t>
      </w:r>
      <w:r>
        <w:rPr>
          <w:rFonts w:hint="eastAsia"/>
          <w:color w:val="auto"/>
          <w:highlight w:val="none"/>
          <w:lang w:val="en-US" w:eastAsia="zh-CN"/>
        </w:rPr>
        <w:t>承包人</w:t>
      </w:r>
      <w:r>
        <w:rPr>
          <w:rFonts w:hint="eastAsia"/>
          <w:color w:val="auto"/>
          <w:highlight w:val="none"/>
        </w:rPr>
        <w:t>、</w:t>
      </w:r>
      <w:r>
        <w:rPr>
          <w:rFonts w:hint="eastAsia"/>
          <w:color w:val="auto"/>
          <w:highlight w:val="none"/>
          <w:lang w:val="en-US" w:eastAsia="zh-CN"/>
        </w:rPr>
        <w:t>专业承包人</w:t>
      </w:r>
      <w:r>
        <w:rPr>
          <w:rFonts w:hint="eastAsia"/>
          <w:color w:val="auto"/>
          <w:highlight w:val="none"/>
        </w:rPr>
        <w:t>及监理人使用的厕所；自开工至竣工期间，总承包人须保证该厕所的正常使用，派专人对厕所每天进行冲洗及保洁、消毒并保证无异味。</w:t>
      </w:r>
    </w:p>
    <w:p>
      <w:pPr>
        <w:pStyle w:val="5"/>
        <w:bidi w:val="0"/>
        <w:rPr>
          <w:color w:val="auto"/>
          <w:highlight w:val="none"/>
        </w:rPr>
      </w:pPr>
      <w:r>
        <w:rPr>
          <w:rFonts w:hint="eastAsia"/>
          <w:color w:val="auto"/>
          <w:highlight w:val="none"/>
        </w:rPr>
        <w:t>承包人及时与当地卫生防疫部门联系，按相关规定采取有效措施防止发生疫情，并配备设施。</w:t>
      </w:r>
    </w:p>
    <w:p>
      <w:pPr>
        <w:pStyle w:val="5"/>
        <w:bidi w:val="0"/>
        <w:rPr>
          <w:color w:val="auto"/>
          <w:highlight w:val="none"/>
        </w:rPr>
      </w:pPr>
      <w:r>
        <w:rPr>
          <w:rFonts w:hint="eastAsia"/>
          <w:color w:val="auto"/>
          <w:highlight w:val="none"/>
        </w:rPr>
        <w:t>在合同履行期内，承包人除应与当地消防部门取得联系必要时请予协助外，还应负责在现场采取一切有效的防火与消防措施，并应在现场的仓库、加工厂等处及施工机械车辆上采取一切有效的防火与消防措施，并承担所有一切费用。</w:t>
      </w:r>
    </w:p>
    <w:p>
      <w:pPr>
        <w:pStyle w:val="5"/>
        <w:bidi w:val="0"/>
        <w:rPr>
          <w:color w:val="auto"/>
          <w:highlight w:val="none"/>
        </w:rPr>
      </w:pPr>
      <w:r>
        <w:rPr>
          <w:rFonts w:hint="eastAsia"/>
          <w:color w:val="auto"/>
          <w:highlight w:val="none"/>
        </w:rPr>
        <w:t>已完工的</w:t>
      </w:r>
      <w:r>
        <w:rPr>
          <w:rFonts w:hint="eastAsia"/>
          <w:color w:val="auto"/>
          <w:highlight w:val="none"/>
          <w:lang w:eastAsia="zh-CN"/>
        </w:rPr>
        <w:t>专业承包</w:t>
      </w:r>
      <w:r>
        <w:rPr>
          <w:rFonts w:hint="eastAsia"/>
          <w:color w:val="auto"/>
          <w:highlight w:val="none"/>
        </w:rPr>
        <w:t>人临建设施应及时交回总承包人，以安排给后续</w:t>
      </w:r>
      <w:r>
        <w:rPr>
          <w:rFonts w:hint="eastAsia"/>
          <w:color w:val="auto"/>
          <w:highlight w:val="none"/>
          <w:lang w:eastAsia="zh-CN"/>
        </w:rPr>
        <w:t>专业承包</w:t>
      </w:r>
      <w:r>
        <w:rPr>
          <w:rFonts w:hint="eastAsia"/>
          <w:color w:val="auto"/>
          <w:highlight w:val="none"/>
        </w:rPr>
        <w:t>人使用。</w:t>
      </w:r>
    </w:p>
    <w:p>
      <w:pPr>
        <w:pStyle w:val="4"/>
        <w:bidi w:val="0"/>
        <w:rPr>
          <w:color w:val="auto"/>
          <w:highlight w:val="none"/>
        </w:rPr>
      </w:pPr>
      <w:r>
        <w:rPr>
          <w:rFonts w:hint="eastAsia"/>
          <w:color w:val="auto"/>
          <w:highlight w:val="none"/>
        </w:rPr>
        <w:t>临时</w:t>
      </w:r>
      <w:r>
        <w:rPr>
          <w:color w:val="auto"/>
          <w:highlight w:val="none"/>
        </w:rPr>
        <w:t>用水</w:t>
      </w:r>
      <w:r>
        <w:rPr>
          <w:rFonts w:hint="eastAsia"/>
          <w:color w:val="auto"/>
          <w:highlight w:val="none"/>
        </w:rPr>
        <w:t>、</w:t>
      </w:r>
      <w:r>
        <w:rPr>
          <w:color w:val="auto"/>
          <w:highlight w:val="none"/>
        </w:rPr>
        <w:t>用电</w:t>
      </w:r>
      <w:r>
        <w:rPr>
          <w:rFonts w:hint="eastAsia"/>
          <w:color w:val="auto"/>
          <w:highlight w:val="none"/>
        </w:rPr>
        <w:t>、</w:t>
      </w:r>
      <w:r>
        <w:rPr>
          <w:color w:val="auto"/>
          <w:highlight w:val="none"/>
        </w:rPr>
        <w:t>排污</w:t>
      </w:r>
      <w:r>
        <w:rPr>
          <w:rFonts w:hint="eastAsia"/>
          <w:color w:val="auto"/>
          <w:highlight w:val="none"/>
        </w:rPr>
        <w:t>、</w:t>
      </w:r>
      <w:r>
        <w:rPr>
          <w:color w:val="auto"/>
          <w:highlight w:val="none"/>
        </w:rPr>
        <w:t>排水</w:t>
      </w:r>
      <w:r>
        <w:rPr>
          <w:rFonts w:hint="eastAsia"/>
          <w:color w:val="auto"/>
          <w:highlight w:val="none"/>
        </w:rPr>
        <w:t>及</w:t>
      </w:r>
      <w:r>
        <w:rPr>
          <w:color w:val="auto"/>
          <w:highlight w:val="none"/>
        </w:rPr>
        <w:t>通风</w:t>
      </w:r>
    </w:p>
    <w:p>
      <w:pPr>
        <w:pStyle w:val="5"/>
        <w:bidi w:val="0"/>
        <w:rPr>
          <w:color w:val="auto"/>
          <w:highlight w:val="none"/>
        </w:rPr>
      </w:pPr>
      <w:r>
        <w:rPr>
          <w:rFonts w:hint="eastAsia"/>
          <w:color w:val="auto"/>
          <w:highlight w:val="none"/>
        </w:rPr>
        <w:t>发包人提供</w:t>
      </w:r>
      <w:r>
        <w:rPr>
          <w:rFonts w:hint="eastAsia"/>
          <w:color w:val="auto"/>
          <w:highlight w:val="none"/>
          <w:lang w:val="en-US" w:eastAsia="zh-CN"/>
        </w:rPr>
        <w:t>的</w:t>
      </w:r>
      <w:r>
        <w:rPr>
          <w:rFonts w:hint="eastAsia"/>
          <w:color w:val="auto"/>
          <w:highlight w:val="none"/>
        </w:rPr>
        <w:t>临时用水用电</w:t>
      </w:r>
      <w:r>
        <w:rPr>
          <w:rFonts w:hint="eastAsia"/>
          <w:color w:val="auto"/>
          <w:highlight w:val="none"/>
          <w:lang w:val="en-US" w:eastAsia="zh-CN"/>
        </w:rPr>
        <w:t>无法满足承包人的需求</w:t>
      </w:r>
      <w:r>
        <w:rPr>
          <w:rFonts w:hint="eastAsia"/>
          <w:color w:val="auto"/>
          <w:highlight w:val="none"/>
        </w:rPr>
        <w:t>，总承包人需自行考虑。</w:t>
      </w:r>
    </w:p>
    <w:p>
      <w:pPr>
        <w:pStyle w:val="5"/>
        <w:bidi w:val="0"/>
        <w:rPr>
          <w:rFonts w:hint="eastAsia"/>
          <w:color w:val="auto"/>
          <w:highlight w:val="none"/>
        </w:rPr>
      </w:pPr>
      <w:r>
        <w:rPr>
          <w:rFonts w:hint="eastAsia"/>
          <w:color w:val="auto"/>
          <w:highlight w:val="none"/>
          <w:lang w:eastAsia="zh-CN"/>
        </w:rPr>
        <w:t>临时用水及临时用电未接通期间，承包人需自行解决临时电、临时水（如外借电源或租用发电机等方式），上述费用由承包人结合自身的施工组织安排及承包人的工期要求在开办费中进行综合考虑，</w:t>
      </w:r>
      <w:r>
        <w:rPr>
          <w:rFonts w:hint="eastAsia"/>
          <w:color w:val="auto"/>
          <w:highlight w:val="none"/>
          <w:lang w:val="en-US" w:eastAsia="zh-CN"/>
        </w:rPr>
        <w:t>后期不予进行费用调整且不得因此影响工程进度。</w:t>
      </w:r>
    </w:p>
    <w:p>
      <w:pPr>
        <w:pStyle w:val="5"/>
        <w:bidi w:val="0"/>
        <w:rPr>
          <w:color w:val="auto"/>
          <w:highlight w:val="none"/>
        </w:rPr>
      </w:pPr>
      <w:r>
        <w:rPr>
          <w:rFonts w:hint="eastAsia"/>
          <w:color w:val="auto"/>
          <w:highlight w:val="none"/>
        </w:rPr>
        <w:t>自</w:t>
      </w:r>
      <w:r>
        <w:rPr>
          <w:color w:val="auto"/>
          <w:highlight w:val="none"/>
        </w:rPr>
        <w:t>总承包人进场</w:t>
      </w:r>
      <w:r>
        <w:rPr>
          <w:rFonts w:hint="eastAsia"/>
          <w:color w:val="auto"/>
          <w:highlight w:val="none"/>
          <w:lang w:val="en-US" w:eastAsia="zh-CN"/>
        </w:rPr>
        <w:t>接受场地</w:t>
      </w:r>
      <w:r>
        <w:rPr>
          <w:color w:val="auto"/>
          <w:highlight w:val="none"/>
        </w:rPr>
        <w:t>后，施工现场的临时用水</w:t>
      </w:r>
      <w:r>
        <w:rPr>
          <w:rFonts w:hint="eastAsia"/>
          <w:color w:val="auto"/>
          <w:highlight w:val="none"/>
        </w:rPr>
        <w:t>、用电</w:t>
      </w:r>
      <w:r>
        <w:rPr>
          <w:color w:val="auto"/>
          <w:highlight w:val="none"/>
        </w:rPr>
        <w:t>由总承包</w:t>
      </w:r>
      <w:r>
        <w:rPr>
          <w:rFonts w:hint="eastAsia"/>
          <w:color w:val="auto"/>
          <w:highlight w:val="none"/>
        </w:rPr>
        <w:t>人</w:t>
      </w:r>
      <w:r>
        <w:rPr>
          <w:color w:val="auto"/>
          <w:highlight w:val="none"/>
        </w:rPr>
        <w:t>负责</w:t>
      </w:r>
      <w:r>
        <w:rPr>
          <w:rFonts w:hint="eastAsia"/>
          <w:color w:val="auto"/>
          <w:highlight w:val="none"/>
        </w:rPr>
        <w:t>敷设、</w:t>
      </w:r>
      <w:r>
        <w:rPr>
          <w:color w:val="auto"/>
          <w:highlight w:val="none"/>
        </w:rPr>
        <w:t>配置及维护，</w:t>
      </w:r>
      <w:r>
        <w:rPr>
          <w:rFonts w:hint="eastAsia"/>
          <w:color w:val="auto"/>
          <w:highlight w:val="none"/>
        </w:rPr>
        <w:t>并</w:t>
      </w:r>
      <w:r>
        <w:rPr>
          <w:color w:val="auto"/>
          <w:highlight w:val="none"/>
        </w:rPr>
        <w:t>承担全部</w:t>
      </w:r>
      <w:r>
        <w:rPr>
          <w:rFonts w:hint="eastAsia"/>
          <w:color w:val="auto"/>
          <w:highlight w:val="none"/>
        </w:rPr>
        <w:t>施工用水、用电的费用，并含所有专业工程的调试水电费等</w:t>
      </w:r>
      <w:r>
        <w:rPr>
          <w:rFonts w:hint="eastAsia"/>
          <w:color w:val="auto"/>
          <w:highlight w:val="none"/>
          <w:lang w:eastAsia="zh-CN"/>
        </w:rPr>
        <w:t>，</w:t>
      </w:r>
      <w:r>
        <w:rPr>
          <w:rFonts w:hint="eastAsia"/>
          <w:color w:val="auto"/>
          <w:highlight w:val="none"/>
        </w:rPr>
        <w:t>至竣工验收场地移交业主/使用单位之后结束</w:t>
      </w:r>
      <w:r>
        <w:rPr>
          <w:color w:val="auto"/>
          <w:highlight w:val="none"/>
        </w:rPr>
        <w:t>。</w:t>
      </w:r>
      <w:r>
        <w:rPr>
          <w:rFonts w:hint="eastAsia"/>
          <w:color w:val="auto"/>
          <w:highlight w:val="none"/>
        </w:rPr>
        <w:t>总承包人并每月按时缴纳水电费。</w:t>
      </w:r>
    </w:p>
    <w:p>
      <w:pPr>
        <w:pStyle w:val="5"/>
        <w:bidi w:val="0"/>
        <w:rPr>
          <w:color w:val="auto"/>
          <w:highlight w:val="none"/>
        </w:rPr>
      </w:pPr>
      <w:r>
        <w:rPr>
          <w:rFonts w:hint="eastAsia"/>
          <w:color w:val="auto"/>
          <w:highlight w:val="none"/>
        </w:rPr>
        <w:t>承包人在合同履行期内，应负责对本工程的实施与缺陷修复以及所需全部用水（含饮用）的供应，并承担所有一切费用。</w:t>
      </w:r>
    </w:p>
    <w:p>
      <w:pPr>
        <w:pStyle w:val="5"/>
        <w:bidi w:val="0"/>
        <w:rPr>
          <w:color w:val="auto"/>
          <w:highlight w:val="none"/>
        </w:rPr>
      </w:pPr>
      <w:r>
        <w:rPr>
          <w:rFonts w:hint="eastAsia"/>
          <w:color w:val="auto"/>
          <w:highlight w:val="none"/>
        </w:rPr>
        <w:t>施工期间在现场周围布置若干临水接驳点，按照施工要求设置楼层临水接驳点，每</w:t>
      </w:r>
      <w:r>
        <w:rPr>
          <w:color w:val="auto"/>
          <w:highlight w:val="none"/>
        </w:rPr>
        <w:t>个楼层不少于一个</w:t>
      </w:r>
      <w:r>
        <w:rPr>
          <w:rFonts w:hint="eastAsia"/>
          <w:color w:val="auto"/>
          <w:highlight w:val="none"/>
        </w:rPr>
        <w:t>。从接驳点至施工现场的临水管线由</w:t>
      </w:r>
      <w:r>
        <w:rPr>
          <w:rFonts w:hint="eastAsia"/>
          <w:color w:val="auto"/>
          <w:highlight w:val="none"/>
          <w:lang w:eastAsia="zh-CN"/>
        </w:rPr>
        <w:t>专业承包</w:t>
      </w:r>
      <w:r>
        <w:rPr>
          <w:rFonts w:hint="eastAsia"/>
          <w:color w:val="auto"/>
          <w:highlight w:val="none"/>
        </w:rPr>
        <w:t>人/</w:t>
      </w:r>
      <w:r>
        <w:rPr>
          <w:color w:val="auto"/>
          <w:highlight w:val="none"/>
        </w:rPr>
        <w:t>独立承包人</w:t>
      </w:r>
      <w:r>
        <w:rPr>
          <w:rFonts w:hint="eastAsia"/>
          <w:color w:val="auto"/>
          <w:highlight w:val="none"/>
        </w:rPr>
        <w:t>按照总承包人的临水方案要求铺设。施工用水的排放按照要求排放至指定地点。</w:t>
      </w:r>
    </w:p>
    <w:p>
      <w:pPr>
        <w:pStyle w:val="5"/>
        <w:bidi w:val="0"/>
        <w:rPr>
          <w:color w:val="auto"/>
          <w:highlight w:val="none"/>
        </w:rPr>
      </w:pPr>
      <w:r>
        <w:rPr>
          <w:rFonts w:hint="eastAsia"/>
          <w:color w:val="auto"/>
          <w:highlight w:val="none"/>
        </w:rPr>
        <w:t>在现场设置符合相应要求的消防临时设施，承担</w:t>
      </w:r>
      <w:r>
        <w:rPr>
          <w:color w:val="auto"/>
          <w:highlight w:val="none"/>
        </w:rPr>
        <w:t>消防责任</w:t>
      </w:r>
      <w:r>
        <w:rPr>
          <w:rFonts w:hint="eastAsia"/>
          <w:color w:val="auto"/>
          <w:highlight w:val="none"/>
        </w:rPr>
        <w:t>，且须满足现行消防相关规范要求。</w:t>
      </w:r>
      <w:r>
        <w:rPr>
          <w:rFonts w:hint="default"/>
          <w:b w:val="0"/>
          <w:color w:val="auto"/>
          <w:highlight w:val="none"/>
        </w:rPr>
        <w:t>临时消防立管使用正式消防立管。</w:t>
      </w:r>
    </w:p>
    <w:p>
      <w:pPr>
        <w:pStyle w:val="5"/>
        <w:bidi w:val="0"/>
        <w:rPr>
          <w:color w:val="auto"/>
          <w:highlight w:val="none"/>
        </w:rPr>
      </w:pPr>
      <w:r>
        <w:rPr>
          <w:rFonts w:hint="eastAsia"/>
          <w:color w:val="auto"/>
          <w:highlight w:val="none"/>
        </w:rPr>
        <w:t>在精装闭水试验、门窗（幕墙外墙）淋水试验、室外园林临时浇灌用水及其他需要用水期间，总承包人需根据</w:t>
      </w:r>
      <w:r>
        <w:rPr>
          <w:rFonts w:hint="eastAsia"/>
          <w:color w:val="auto"/>
          <w:highlight w:val="none"/>
          <w:lang w:eastAsia="zh-CN"/>
        </w:rPr>
        <w:t>专业承包</w:t>
      </w:r>
      <w:r>
        <w:rPr>
          <w:rFonts w:hint="eastAsia"/>
          <w:color w:val="auto"/>
          <w:highlight w:val="none"/>
        </w:rPr>
        <w:t>人的实际用水要求，提供</w:t>
      </w:r>
      <w:r>
        <w:rPr>
          <w:rFonts w:hint="eastAsia"/>
          <w:color w:val="auto"/>
          <w:highlight w:val="none"/>
          <w:lang w:eastAsia="zh-CN"/>
        </w:rPr>
        <w:t>专业承包</w:t>
      </w:r>
      <w:r>
        <w:rPr>
          <w:rFonts w:hint="eastAsia"/>
          <w:color w:val="auto"/>
          <w:highlight w:val="none"/>
        </w:rPr>
        <w:t>人所需水压、容量。</w:t>
      </w:r>
    </w:p>
    <w:p>
      <w:pPr>
        <w:pStyle w:val="5"/>
        <w:bidi w:val="0"/>
        <w:rPr>
          <w:color w:val="auto"/>
          <w:highlight w:val="none"/>
        </w:rPr>
      </w:pPr>
      <w:r>
        <w:rPr>
          <w:rFonts w:hint="eastAsia"/>
          <w:color w:val="auto"/>
          <w:highlight w:val="none"/>
        </w:rPr>
        <w:t>承包人负责临时配电设施（容量需满足本工程施工单位施工、生活及办公要求）的设计、安装等工作，并负责维护、看护、管理等责任。使用期间所发生的电费计量抄表、电费核算及缴纳、电费缴纳制度的建立和实施均由承包人负责。本工程发包人和监理单位现场使用的电费由承包人支付，费用在投标报价中综合考虑，不再另行计价。</w:t>
      </w:r>
    </w:p>
    <w:p>
      <w:pPr>
        <w:pStyle w:val="5"/>
        <w:bidi w:val="0"/>
        <w:rPr>
          <w:color w:val="auto"/>
          <w:highlight w:val="none"/>
        </w:rPr>
      </w:pPr>
      <w:r>
        <w:rPr>
          <w:rFonts w:hint="eastAsia"/>
          <w:color w:val="auto"/>
          <w:highlight w:val="none"/>
        </w:rPr>
        <w:t>承包人应根据发包人的进度要求配备一定数量的发电机，以满足现场施工及临设办公区用电要求，不能因临电申办和施工安装延误现场进度。</w:t>
      </w:r>
    </w:p>
    <w:p>
      <w:pPr>
        <w:pStyle w:val="5"/>
        <w:bidi w:val="0"/>
        <w:rPr>
          <w:color w:val="auto"/>
          <w:highlight w:val="none"/>
        </w:rPr>
      </w:pPr>
      <w:r>
        <w:rPr>
          <w:rFonts w:hint="eastAsia"/>
          <w:color w:val="auto"/>
          <w:highlight w:val="none"/>
        </w:rPr>
        <w:t>总承包人</w:t>
      </w:r>
      <w:r>
        <w:rPr>
          <w:color w:val="auto"/>
          <w:highlight w:val="none"/>
        </w:rPr>
        <w:t>应根据</w:t>
      </w:r>
      <w:r>
        <w:rPr>
          <w:rFonts w:hint="eastAsia"/>
          <w:color w:val="auto"/>
          <w:highlight w:val="none"/>
        </w:rPr>
        <w:t>临</w:t>
      </w:r>
      <w:r>
        <w:rPr>
          <w:color w:val="auto"/>
          <w:highlight w:val="none"/>
        </w:rPr>
        <w:t>电方案提供符合要求的</w:t>
      </w:r>
      <w:r>
        <w:rPr>
          <w:rFonts w:hint="eastAsia"/>
          <w:color w:val="auto"/>
          <w:highlight w:val="none"/>
        </w:rPr>
        <w:t>新订制的一级配电箱</w:t>
      </w:r>
      <w:r>
        <w:rPr>
          <w:color w:val="auto"/>
          <w:highlight w:val="none"/>
        </w:rPr>
        <w:t>。</w:t>
      </w:r>
      <w:r>
        <w:rPr>
          <w:rFonts w:hint="eastAsia"/>
          <w:color w:val="auto"/>
          <w:highlight w:val="none"/>
        </w:rPr>
        <w:t>在现场周围布设若干个一级配电箱，</w:t>
      </w:r>
      <w:r>
        <w:rPr>
          <w:rFonts w:hint="eastAsia"/>
          <w:color w:val="auto"/>
          <w:highlight w:val="none"/>
          <w:lang w:eastAsia="zh-CN"/>
        </w:rPr>
        <w:t>专业承包</w:t>
      </w:r>
      <w:r>
        <w:rPr>
          <w:rFonts w:hint="eastAsia"/>
          <w:color w:val="auto"/>
          <w:highlight w:val="none"/>
        </w:rPr>
        <w:t>人/独立承包人在施工前提出施工用电计划，经总承包人审核后确定二级配电箱的接口位置、数量，以确保各</w:t>
      </w:r>
      <w:r>
        <w:rPr>
          <w:color w:val="auto"/>
          <w:highlight w:val="none"/>
        </w:rPr>
        <w:t>施工单位</w:t>
      </w:r>
      <w:r>
        <w:rPr>
          <w:rFonts w:hint="eastAsia"/>
          <w:color w:val="auto"/>
          <w:highlight w:val="none"/>
        </w:rPr>
        <w:t>的用电需求。二级配电箱每</w:t>
      </w:r>
      <w:r>
        <w:rPr>
          <w:rFonts w:hint="eastAsia"/>
          <w:color w:val="auto"/>
          <w:highlight w:val="none"/>
          <w:lang w:val="en-US" w:eastAsia="zh-CN"/>
        </w:rPr>
        <w:t>2</w:t>
      </w:r>
      <w:r>
        <w:rPr>
          <w:color w:val="auto"/>
          <w:highlight w:val="none"/>
        </w:rPr>
        <w:t>层至少设置一个</w:t>
      </w:r>
      <w:r>
        <w:rPr>
          <w:rFonts w:hint="default"/>
          <w:color w:val="auto"/>
          <w:highlight w:val="none"/>
          <w:u w:val="none"/>
        </w:rPr>
        <w:t>，</w:t>
      </w:r>
      <w:r>
        <w:rPr>
          <w:rFonts w:hint="eastAsia"/>
          <w:color w:val="auto"/>
          <w:highlight w:val="none"/>
        </w:rPr>
        <w:t>且水平距离不超过</w:t>
      </w:r>
      <w:r>
        <w:rPr>
          <w:color w:val="auto"/>
          <w:highlight w:val="none"/>
        </w:rPr>
        <w:t>50m</w:t>
      </w:r>
      <w:r>
        <w:rPr>
          <w:rFonts w:hint="eastAsia"/>
          <w:color w:val="auto"/>
          <w:highlight w:val="none"/>
        </w:rPr>
        <w:t>，</w:t>
      </w:r>
      <w:r>
        <w:rPr>
          <w:color w:val="auto"/>
          <w:highlight w:val="none"/>
        </w:rPr>
        <w:t>同时必须满足临时用电需求</w:t>
      </w:r>
      <w:r>
        <w:rPr>
          <w:rFonts w:hint="eastAsia"/>
          <w:color w:val="auto"/>
          <w:highlight w:val="none"/>
        </w:rPr>
        <w:t>。</w:t>
      </w:r>
      <w:r>
        <w:rPr>
          <w:color w:val="auto"/>
          <w:highlight w:val="none"/>
        </w:rPr>
        <w:t>总承包人承担全部施工用电的费用。</w:t>
      </w:r>
      <w:r>
        <w:rPr>
          <w:rFonts w:hint="eastAsia"/>
          <w:color w:val="auto"/>
          <w:highlight w:val="none"/>
        </w:rPr>
        <w:t>从二级配电箱出口位置至施工用电点位的电线电缆，由</w:t>
      </w:r>
      <w:r>
        <w:rPr>
          <w:rFonts w:hint="eastAsia"/>
          <w:color w:val="auto"/>
          <w:highlight w:val="none"/>
          <w:lang w:eastAsia="zh-CN"/>
        </w:rPr>
        <w:t>专业承包</w:t>
      </w:r>
      <w:r>
        <w:rPr>
          <w:rFonts w:hint="eastAsia"/>
          <w:color w:val="auto"/>
          <w:highlight w:val="none"/>
        </w:rPr>
        <w:t>人/独立承包人按照临电方案要求铺设。</w:t>
      </w:r>
    </w:p>
    <w:p>
      <w:pPr>
        <w:pStyle w:val="5"/>
        <w:bidi w:val="0"/>
        <w:rPr>
          <w:color w:val="auto"/>
          <w:highlight w:val="none"/>
        </w:rPr>
      </w:pPr>
      <w:r>
        <w:rPr>
          <w:rFonts w:hint="eastAsia"/>
          <w:color w:val="auto"/>
          <w:highlight w:val="none"/>
        </w:rPr>
        <w:t>在设备测试、调试、试运转期间，总承包人按照</w:t>
      </w:r>
      <w:r>
        <w:rPr>
          <w:rFonts w:hint="eastAsia"/>
          <w:color w:val="auto"/>
          <w:highlight w:val="none"/>
          <w:lang w:eastAsia="zh-CN"/>
        </w:rPr>
        <w:t>专业承包</w:t>
      </w:r>
      <w:r>
        <w:rPr>
          <w:rFonts w:hint="eastAsia"/>
          <w:color w:val="auto"/>
          <w:highlight w:val="none"/>
        </w:rPr>
        <w:t>人/独立承包人要求，提供所需的电压及容量，满足各专业测试、调试及试运转的要求，</w:t>
      </w:r>
      <w:r>
        <w:rPr>
          <w:color w:val="auto"/>
          <w:highlight w:val="none"/>
        </w:rPr>
        <w:t>总承包人承担全部</w:t>
      </w:r>
      <w:r>
        <w:rPr>
          <w:rFonts w:hint="eastAsia"/>
          <w:color w:val="auto"/>
          <w:highlight w:val="none"/>
        </w:rPr>
        <w:t>测试、调试、试运转期间</w:t>
      </w:r>
      <w:r>
        <w:rPr>
          <w:color w:val="auto"/>
          <w:highlight w:val="none"/>
        </w:rPr>
        <w:t>用电的费用</w:t>
      </w:r>
      <w:r>
        <w:rPr>
          <w:rFonts w:hint="eastAsia"/>
          <w:color w:val="auto"/>
          <w:highlight w:val="none"/>
        </w:rPr>
        <w:t>，并配备一定数量的备用发电机。</w:t>
      </w:r>
    </w:p>
    <w:p>
      <w:pPr>
        <w:pStyle w:val="5"/>
        <w:bidi w:val="0"/>
        <w:rPr>
          <w:color w:val="auto"/>
          <w:highlight w:val="none"/>
        </w:rPr>
      </w:pPr>
      <w:r>
        <w:rPr>
          <w:rFonts w:hint="eastAsia"/>
          <w:color w:val="auto"/>
          <w:highlight w:val="none"/>
        </w:rPr>
        <w:t>总承包人应负责所有施工区域的临时照明系统的建设、维护管理及拆除。布置临时照明系统，消防楼梯间、消防前室及安全通道必须每层设置LED照明灯具，提供足够的照明，且不留死角。地下室结构施工完成后，承包人开始提供足够的地下室照明， 满足地下室施工需要。</w:t>
      </w:r>
    </w:p>
    <w:p>
      <w:pPr>
        <w:pStyle w:val="5"/>
        <w:bidi w:val="0"/>
        <w:rPr>
          <w:color w:val="auto"/>
          <w:highlight w:val="none"/>
        </w:rPr>
      </w:pPr>
      <w:bookmarkStart w:id="160" w:name="_Hlk168303996"/>
      <w:r>
        <w:rPr>
          <w:rFonts w:hint="eastAsia"/>
          <w:color w:val="auto"/>
          <w:highlight w:val="none"/>
        </w:rPr>
        <w:t>总承包人负责售楼处</w:t>
      </w:r>
      <w:r>
        <w:rPr>
          <w:rFonts w:hint="eastAsia"/>
          <w:color w:val="auto"/>
          <w:highlight w:val="none"/>
          <w:lang w:val="en-US" w:eastAsia="zh-CN"/>
        </w:rPr>
        <w:t>(若有)</w:t>
      </w:r>
      <w:r>
        <w:rPr>
          <w:rFonts w:hint="eastAsia"/>
          <w:color w:val="auto"/>
          <w:highlight w:val="none"/>
        </w:rPr>
        <w:t>、展示区及样板房的临电临水接入和日常维护（需要提供专用电缆供展示区使用，电缆规格满足负荷需要，并提供专用配电箱，电源必须由一级箱引入），保证开放展示时间内供电供水稳定可靠，费用在开办费中列项报价（暂定数量）。</w:t>
      </w:r>
    </w:p>
    <w:p>
      <w:pPr>
        <w:pStyle w:val="5"/>
        <w:bidi w:val="0"/>
        <w:rPr>
          <w:color w:val="auto"/>
          <w:highlight w:val="none"/>
        </w:rPr>
      </w:pPr>
      <w:r>
        <w:rPr>
          <w:rFonts w:hint="eastAsia"/>
          <w:color w:val="auto"/>
          <w:highlight w:val="none"/>
          <w:lang w:val="en-US" w:eastAsia="zh-CN"/>
        </w:rPr>
        <w:t>负责承担</w:t>
      </w:r>
      <w:r>
        <w:rPr>
          <w:rFonts w:hint="eastAsia"/>
          <w:color w:val="auto"/>
          <w:highlight w:val="none"/>
        </w:rPr>
        <w:t>售楼处</w:t>
      </w:r>
      <w:r>
        <w:rPr>
          <w:rFonts w:hint="eastAsia"/>
          <w:color w:val="auto"/>
          <w:highlight w:val="none"/>
          <w:lang w:eastAsia="zh-CN"/>
        </w:rPr>
        <w:t>（</w:t>
      </w:r>
      <w:r>
        <w:rPr>
          <w:rFonts w:hint="eastAsia"/>
          <w:color w:val="auto"/>
          <w:highlight w:val="none"/>
          <w:lang w:val="en-US" w:eastAsia="zh-CN"/>
        </w:rPr>
        <w:t>若有</w:t>
      </w:r>
      <w:r>
        <w:rPr>
          <w:rFonts w:hint="eastAsia"/>
          <w:color w:val="auto"/>
          <w:highlight w:val="none"/>
          <w:lang w:eastAsia="zh-CN"/>
        </w:rPr>
        <w:t>）</w:t>
      </w:r>
      <w:r>
        <w:rPr>
          <w:rFonts w:hint="eastAsia"/>
          <w:color w:val="auto"/>
          <w:highlight w:val="none"/>
        </w:rPr>
        <w:t>、展示区、样板房在展示期间产生的水电费。</w:t>
      </w:r>
      <w:bookmarkEnd w:id="160"/>
    </w:p>
    <w:p>
      <w:pPr>
        <w:pStyle w:val="5"/>
        <w:bidi w:val="0"/>
        <w:rPr>
          <w:color w:val="auto"/>
          <w:highlight w:val="none"/>
        </w:rPr>
      </w:pPr>
      <w:r>
        <w:rPr>
          <w:rFonts w:hint="eastAsia"/>
          <w:color w:val="auto"/>
          <w:highlight w:val="none"/>
        </w:rPr>
        <w:t>正式电梯的</w:t>
      </w:r>
      <w:r>
        <w:rPr>
          <w:rFonts w:hint="eastAsia"/>
          <w:color w:val="auto"/>
          <w:highlight w:val="none"/>
          <w:lang w:val="en-US" w:eastAsia="zh-CN"/>
        </w:rPr>
        <w:t>安装、</w:t>
      </w:r>
      <w:r>
        <w:rPr>
          <w:rFonts w:hint="eastAsia"/>
          <w:color w:val="auto"/>
          <w:highlight w:val="none"/>
        </w:rPr>
        <w:t>调试电缆全部由总包负责</w:t>
      </w:r>
      <w:r>
        <w:rPr>
          <w:rFonts w:hint="eastAsia"/>
          <w:color w:val="auto"/>
          <w:highlight w:val="none"/>
          <w:lang w:eastAsia="zh-CN"/>
        </w:rPr>
        <w:t>，</w:t>
      </w:r>
      <w:r>
        <w:rPr>
          <w:rFonts w:hint="eastAsia"/>
          <w:color w:val="auto"/>
          <w:highlight w:val="none"/>
          <w:lang w:val="en-US" w:eastAsia="zh-CN"/>
        </w:rPr>
        <w:t>负责在离电梯机房5米范围内提供一个二级箱给接驳点给电梯单位单独使用</w:t>
      </w:r>
      <w:r>
        <w:rPr>
          <w:rFonts w:hint="eastAsia"/>
          <w:color w:val="auto"/>
          <w:highlight w:val="none"/>
        </w:rPr>
        <w:t>。</w:t>
      </w:r>
    </w:p>
    <w:p>
      <w:pPr>
        <w:pStyle w:val="5"/>
        <w:bidi w:val="0"/>
        <w:rPr>
          <w:color w:val="auto"/>
          <w:highlight w:val="none"/>
        </w:rPr>
      </w:pPr>
      <w:r>
        <w:rPr>
          <w:color w:val="auto"/>
          <w:highlight w:val="none"/>
        </w:rPr>
        <w:t>排水排污：发包人提供周边</w:t>
      </w:r>
      <w:r>
        <w:rPr>
          <w:rFonts w:hint="eastAsia"/>
          <w:color w:val="auto"/>
          <w:highlight w:val="none"/>
        </w:rPr>
        <w:t>管网</w:t>
      </w:r>
      <w:r>
        <w:rPr>
          <w:color w:val="auto"/>
          <w:highlight w:val="none"/>
        </w:rPr>
        <w:t>条件</w:t>
      </w:r>
      <w:r>
        <w:rPr>
          <w:rFonts w:hint="eastAsia"/>
          <w:color w:val="auto"/>
          <w:highlight w:val="none"/>
        </w:rPr>
        <w:t>及</w:t>
      </w:r>
      <w:r>
        <w:rPr>
          <w:color w:val="auto"/>
          <w:highlight w:val="none"/>
        </w:rPr>
        <w:t>相关资料、图纸</w:t>
      </w:r>
      <w:r>
        <w:rPr>
          <w:rFonts w:hint="eastAsia"/>
          <w:color w:val="auto"/>
          <w:highlight w:val="none"/>
        </w:rPr>
        <w:t>，</w:t>
      </w:r>
      <w:r>
        <w:rPr>
          <w:color w:val="auto"/>
          <w:highlight w:val="none"/>
        </w:rPr>
        <w:t>总承包人自行解决，</w:t>
      </w:r>
      <w:r>
        <w:rPr>
          <w:rFonts w:hint="eastAsia"/>
          <w:color w:val="auto"/>
          <w:highlight w:val="none"/>
        </w:rPr>
        <w:t>负责照管和组织整个现场的排水排污工作，包含排污许可证办理及费用缴纳。</w:t>
      </w:r>
    </w:p>
    <w:p>
      <w:pPr>
        <w:pStyle w:val="5"/>
        <w:bidi w:val="0"/>
        <w:rPr>
          <w:color w:val="auto"/>
          <w:highlight w:val="none"/>
        </w:rPr>
      </w:pPr>
      <w:r>
        <w:rPr>
          <w:rFonts w:hint="eastAsia"/>
          <w:color w:val="auto"/>
          <w:highlight w:val="none"/>
        </w:rPr>
        <w:t>总承包人应负责项目实施期间地下室、</w:t>
      </w:r>
      <w:r>
        <w:rPr>
          <w:color w:val="auto"/>
          <w:highlight w:val="none"/>
        </w:rPr>
        <w:t>电梯底坑</w:t>
      </w:r>
      <w:r>
        <w:rPr>
          <w:rFonts w:hint="eastAsia"/>
          <w:color w:val="auto"/>
          <w:highlight w:val="none"/>
        </w:rPr>
        <w:t>、屋面等</w:t>
      </w:r>
      <w:r>
        <w:rPr>
          <w:color w:val="auto"/>
          <w:highlight w:val="none"/>
        </w:rPr>
        <w:t>重点部位</w:t>
      </w:r>
      <w:r>
        <w:rPr>
          <w:rFonts w:hint="eastAsia"/>
          <w:color w:val="auto"/>
          <w:highlight w:val="none"/>
        </w:rPr>
        <w:t>临时抽排水措施（如水泵、排水管的布置及维护），确保上述</w:t>
      </w:r>
      <w:r>
        <w:rPr>
          <w:color w:val="auto"/>
          <w:highlight w:val="none"/>
        </w:rPr>
        <w:t>部位</w:t>
      </w:r>
      <w:r>
        <w:rPr>
          <w:rFonts w:hint="eastAsia"/>
          <w:color w:val="auto"/>
          <w:highlight w:val="none"/>
        </w:rPr>
        <w:t>不积水，排水顺畅、排放有序；电梯</w:t>
      </w:r>
      <w:r>
        <w:rPr>
          <w:color w:val="auto"/>
          <w:highlight w:val="none"/>
        </w:rPr>
        <w:t>底坑应设置与</w:t>
      </w:r>
      <w:r>
        <w:rPr>
          <w:rFonts w:hint="eastAsia"/>
          <w:color w:val="auto"/>
          <w:highlight w:val="none"/>
        </w:rPr>
        <w:t>设计</w:t>
      </w:r>
      <w:r>
        <w:rPr>
          <w:color w:val="auto"/>
          <w:highlight w:val="none"/>
        </w:rPr>
        <w:t>图</w:t>
      </w:r>
      <w:r>
        <w:rPr>
          <w:rFonts w:hint="eastAsia"/>
          <w:color w:val="auto"/>
          <w:highlight w:val="none"/>
        </w:rPr>
        <w:t>纸</w:t>
      </w:r>
      <w:r>
        <w:rPr>
          <w:color w:val="auto"/>
          <w:highlight w:val="none"/>
        </w:rPr>
        <w:t>要求的</w:t>
      </w:r>
      <w:r>
        <w:rPr>
          <w:rFonts w:hint="eastAsia"/>
          <w:color w:val="auto"/>
          <w:highlight w:val="none"/>
        </w:rPr>
        <w:t>永久</w:t>
      </w:r>
      <w:r>
        <w:rPr>
          <w:color w:val="auto"/>
          <w:highlight w:val="none"/>
        </w:rPr>
        <w:t>水泵功率相同的</w:t>
      </w:r>
      <w:r>
        <w:rPr>
          <w:rFonts w:hint="eastAsia"/>
          <w:color w:val="auto"/>
          <w:highlight w:val="none"/>
        </w:rPr>
        <w:t>临时</w:t>
      </w:r>
      <w:r>
        <w:rPr>
          <w:color w:val="auto"/>
          <w:highlight w:val="none"/>
        </w:rPr>
        <w:t>水泵，并在</w:t>
      </w:r>
      <w:r>
        <w:rPr>
          <w:rFonts w:hint="eastAsia"/>
          <w:color w:val="auto"/>
          <w:highlight w:val="none"/>
        </w:rPr>
        <w:t>集水</w:t>
      </w:r>
      <w:r>
        <w:rPr>
          <w:color w:val="auto"/>
          <w:highlight w:val="none"/>
        </w:rPr>
        <w:t>坑</w:t>
      </w:r>
      <w:r>
        <w:rPr>
          <w:rFonts w:hint="eastAsia"/>
          <w:color w:val="auto"/>
          <w:highlight w:val="none"/>
        </w:rPr>
        <w:t>口设置钢篦子</w:t>
      </w:r>
      <w:r>
        <w:rPr>
          <w:color w:val="auto"/>
          <w:highlight w:val="none"/>
        </w:rPr>
        <w:t>防止杂物阻塞</w:t>
      </w:r>
      <w:r>
        <w:rPr>
          <w:rFonts w:hint="eastAsia"/>
          <w:color w:val="auto"/>
          <w:highlight w:val="none"/>
        </w:rPr>
        <w:t>。各施工作业面均需考虑布置适当的雨水、施工用水的排放措施。</w:t>
      </w:r>
    </w:p>
    <w:p>
      <w:pPr>
        <w:pStyle w:val="5"/>
        <w:bidi w:val="0"/>
        <w:rPr>
          <w:color w:val="auto"/>
          <w:highlight w:val="none"/>
        </w:rPr>
      </w:pPr>
      <w:r>
        <w:rPr>
          <w:rFonts w:hint="eastAsia"/>
          <w:color w:val="auto"/>
          <w:highlight w:val="none"/>
        </w:rPr>
        <w:t>总承包人应负责项目实施期间各</w:t>
      </w:r>
      <w:r>
        <w:rPr>
          <w:color w:val="auto"/>
          <w:highlight w:val="none"/>
        </w:rPr>
        <w:t>楼层</w:t>
      </w:r>
      <w:r>
        <w:rPr>
          <w:rFonts w:hint="eastAsia"/>
          <w:color w:val="auto"/>
          <w:highlight w:val="none"/>
        </w:rPr>
        <w:t>电梯井</w:t>
      </w:r>
      <w:r>
        <w:rPr>
          <w:color w:val="auto"/>
          <w:highlight w:val="none"/>
        </w:rPr>
        <w:t>道洞口的</w:t>
      </w:r>
      <w:r>
        <w:rPr>
          <w:rFonts w:hint="eastAsia"/>
          <w:color w:val="auto"/>
          <w:highlight w:val="none"/>
        </w:rPr>
        <w:t>临时挡</w:t>
      </w:r>
      <w:r>
        <w:rPr>
          <w:color w:val="auto"/>
          <w:highlight w:val="none"/>
        </w:rPr>
        <w:t>水</w:t>
      </w:r>
      <w:r>
        <w:rPr>
          <w:rFonts w:hint="eastAsia"/>
          <w:color w:val="auto"/>
          <w:highlight w:val="none"/>
        </w:rPr>
        <w:t>工作，在</w:t>
      </w:r>
      <w:r>
        <w:rPr>
          <w:color w:val="auto"/>
          <w:highlight w:val="none"/>
        </w:rPr>
        <w:t>电梯安装前</w:t>
      </w:r>
      <w:r>
        <w:rPr>
          <w:rFonts w:hint="eastAsia"/>
          <w:color w:val="auto"/>
          <w:highlight w:val="none"/>
        </w:rPr>
        <w:t>完成</w:t>
      </w:r>
      <w:r>
        <w:rPr>
          <w:color w:val="auto"/>
          <w:highlight w:val="none"/>
        </w:rPr>
        <w:t>，精装修铺装</w:t>
      </w:r>
      <w:r>
        <w:rPr>
          <w:rFonts w:hint="eastAsia"/>
          <w:color w:val="auto"/>
          <w:highlight w:val="none"/>
        </w:rPr>
        <w:t>地面材料</w:t>
      </w:r>
      <w:r>
        <w:rPr>
          <w:color w:val="auto"/>
          <w:highlight w:val="none"/>
        </w:rPr>
        <w:t>时</w:t>
      </w:r>
      <w:r>
        <w:rPr>
          <w:rFonts w:hint="eastAsia"/>
          <w:color w:val="auto"/>
          <w:highlight w:val="none"/>
        </w:rPr>
        <w:t>凿</w:t>
      </w:r>
      <w:r>
        <w:rPr>
          <w:color w:val="auto"/>
          <w:highlight w:val="none"/>
        </w:rPr>
        <w:t>除。</w:t>
      </w:r>
      <w:r>
        <w:rPr>
          <w:rFonts w:hint="eastAsia"/>
          <w:color w:val="auto"/>
          <w:highlight w:val="none"/>
        </w:rPr>
        <w:t>具体</w:t>
      </w:r>
      <w:r>
        <w:rPr>
          <w:color w:val="auto"/>
          <w:highlight w:val="none"/>
        </w:rPr>
        <w:t>做法</w:t>
      </w:r>
      <w:r>
        <w:rPr>
          <w:rFonts w:hint="eastAsia"/>
          <w:color w:val="auto"/>
          <w:highlight w:val="none"/>
        </w:rPr>
        <w:t>示意图如下</w:t>
      </w:r>
      <w:r>
        <w:rPr>
          <w:color w:val="auto"/>
          <w:highlight w:val="none"/>
        </w:rPr>
        <w:t>图</w:t>
      </w:r>
      <w:r>
        <w:rPr>
          <w:rFonts w:hint="eastAsia"/>
          <w:color w:val="auto"/>
          <w:highlight w:val="none"/>
        </w:rPr>
        <w:t>所示</w:t>
      </w:r>
      <w:r>
        <w:rPr>
          <w:color w:val="auto"/>
          <w:highlight w:val="none"/>
        </w:rPr>
        <w:t>：</w:t>
      </w:r>
    </w:p>
    <w:p>
      <w:pPr>
        <w:pStyle w:val="32"/>
        <w:numPr>
          <w:ilvl w:val="0"/>
          <w:numId w:val="0"/>
        </w:numPr>
        <w:spacing w:before="120" w:beforeLines="50" w:after="120" w:afterLines="50"/>
        <w:ind w:left="851"/>
        <w:rPr>
          <w:color w:val="auto"/>
          <w:highlight w:val="none"/>
        </w:rPr>
      </w:pPr>
      <w:r>
        <w:rPr>
          <w:color w:val="auto"/>
          <w:highlight w:val="none"/>
        </w:rPr>
        <w:drawing>
          <wp:inline distT="0" distB="0" distL="0" distR="0">
            <wp:extent cx="5012055" cy="2699385"/>
            <wp:effectExtent l="0" t="0" r="7620" b="571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0"/>
                    <a:srcRect l="3623" t="4807" r="2716" b="9965"/>
                    <a:stretch>
                      <a:fillRect/>
                    </a:stretch>
                  </pic:blipFill>
                  <pic:spPr>
                    <a:xfrm>
                      <a:off x="0" y="0"/>
                      <a:ext cx="5012308" cy="2700000"/>
                    </a:xfrm>
                    <a:prstGeom prst="rect">
                      <a:avLst/>
                    </a:prstGeom>
                    <a:ln>
                      <a:noFill/>
                    </a:ln>
                  </pic:spPr>
                </pic:pic>
              </a:graphicData>
            </a:graphic>
          </wp:inline>
        </w:drawing>
      </w:r>
    </w:p>
    <w:p>
      <w:pPr>
        <w:pStyle w:val="32"/>
        <w:numPr>
          <w:ilvl w:val="0"/>
          <w:numId w:val="0"/>
        </w:numPr>
        <w:spacing w:before="120" w:beforeLines="50" w:after="120" w:afterLines="50"/>
        <w:ind w:left="851"/>
        <w:jc w:val="center"/>
        <w:rPr>
          <w:color w:val="auto"/>
          <w:sz w:val="22"/>
          <w:highlight w:val="none"/>
        </w:rPr>
      </w:pPr>
      <w:r>
        <w:rPr>
          <w:color w:val="auto"/>
          <w:sz w:val="22"/>
          <w:highlight w:val="none"/>
        </w:rPr>
        <w:t>电梯</w:t>
      </w:r>
      <w:r>
        <w:rPr>
          <w:rFonts w:hint="eastAsia"/>
          <w:color w:val="auto"/>
          <w:sz w:val="22"/>
          <w:highlight w:val="none"/>
        </w:rPr>
        <w:t>挡</w:t>
      </w:r>
      <w:r>
        <w:rPr>
          <w:color w:val="auto"/>
          <w:sz w:val="22"/>
          <w:highlight w:val="none"/>
        </w:rPr>
        <w:t>水施工</w:t>
      </w:r>
      <w:r>
        <w:rPr>
          <w:rFonts w:hint="eastAsia"/>
          <w:color w:val="auto"/>
          <w:sz w:val="22"/>
          <w:highlight w:val="none"/>
        </w:rPr>
        <w:t>示意图</w:t>
      </w:r>
    </w:p>
    <w:p>
      <w:pPr>
        <w:pStyle w:val="5"/>
        <w:bidi w:val="0"/>
        <w:rPr>
          <w:color w:val="auto"/>
          <w:highlight w:val="none"/>
        </w:rPr>
      </w:pPr>
      <w:r>
        <w:rPr>
          <w:rFonts w:hint="eastAsia"/>
          <w:color w:val="auto"/>
          <w:highlight w:val="none"/>
        </w:rPr>
        <w:t>承包人负责精装修穿插施工期间楼层及外墙等部位的截水、止水措施。包含不限于以下穿插施工断水措施：</w:t>
      </w:r>
    </w:p>
    <w:tbl>
      <w:tblPr>
        <w:tblStyle w:val="21"/>
        <w:tblW w:w="4999" w:type="pct"/>
        <w:jc w:val="center"/>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autofit"/>
        <w:tblCellMar>
          <w:top w:w="0" w:type="dxa"/>
          <w:left w:w="0" w:type="dxa"/>
          <w:bottom w:w="0" w:type="dxa"/>
          <w:right w:w="0" w:type="dxa"/>
        </w:tblCellMar>
      </w:tblPr>
      <w:tblGrid>
        <w:gridCol w:w="1241"/>
        <w:gridCol w:w="2363"/>
        <w:gridCol w:w="5503"/>
      </w:tblGrid>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397" w:hRule="exact"/>
          <w:jc w:val="center"/>
        </w:trPr>
        <w:tc>
          <w:tcPr>
            <w:tcW w:w="681" w:type="pct"/>
            <w:shd w:val="clear" w:color="auto" w:fill="auto"/>
            <w:tcMar>
              <w:top w:w="15" w:type="dxa"/>
              <w:left w:w="15" w:type="dxa"/>
              <w:bottom w:w="0" w:type="dxa"/>
              <w:right w:w="15" w:type="dxa"/>
            </w:tcMar>
            <w:vAlign w:val="center"/>
          </w:tcPr>
          <w:p>
            <w:pPr>
              <w:spacing w:line="240" w:lineRule="auto"/>
              <w:ind w:left="738" w:hanging="738" w:hangingChars="350"/>
              <w:jc w:val="center"/>
              <w:rPr>
                <w:color w:val="auto"/>
                <w:sz w:val="21"/>
                <w:szCs w:val="21"/>
                <w:highlight w:val="none"/>
              </w:rPr>
            </w:pPr>
            <w:r>
              <w:rPr>
                <w:rFonts w:hint="eastAsia"/>
                <w:b/>
                <w:bCs/>
                <w:color w:val="auto"/>
                <w:sz w:val="21"/>
                <w:szCs w:val="21"/>
                <w:highlight w:val="none"/>
              </w:rPr>
              <w:t>序号</w:t>
            </w:r>
          </w:p>
        </w:tc>
        <w:tc>
          <w:tcPr>
            <w:tcW w:w="1297" w:type="pct"/>
            <w:shd w:val="clear" w:color="auto" w:fill="auto"/>
            <w:tcMar>
              <w:top w:w="15" w:type="dxa"/>
              <w:left w:w="15" w:type="dxa"/>
              <w:bottom w:w="0" w:type="dxa"/>
              <w:right w:w="15" w:type="dxa"/>
            </w:tcMar>
            <w:vAlign w:val="center"/>
          </w:tcPr>
          <w:p>
            <w:pPr>
              <w:spacing w:line="240" w:lineRule="auto"/>
              <w:ind w:left="738" w:hanging="738" w:hangingChars="350"/>
              <w:jc w:val="center"/>
              <w:rPr>
                <w:color w:val="auto"/>
                <w:sz w:val="21"/>
                <w:szCs w:val="21"/>
                <w:highlight w:val="none"/>
              </w:rPr>
            </w:pPr>
            <w:r>
              <w:rPr>
                <w:rFonts w:hint="eastAsia"/>
                <w:b/>
                <w:bCs/>
                <w:color w:val="auto"/>
                <w:sz w:val="21"/>
                <w:szCs w:val="21"/>
                <w:highlight w:val="none"/>
              </w:rPr>
              <w:t>止水部位</w:t>
            </w:r>
          </w:p>
        </w:tc>
        <w:tc>
          <w:tcPr>
            <w:tcW w:w="3020" w:type="pct"/>
            <w:shd w:val="clear" w:color="auto" w:fill="auto"/>
            <w:tcMar>
              <w:top w:w="15" w:type="dxa"/>
              <w:left w:w="15" w:type="dxa"/>
              <w:bottom w:w="0" w:type="dxa"/>
              <w:right w:w="15" w:type="dxa"/>
            </w:tcMar>
            <w:vAlign w:val="center"/>
          </w:tcPr>
          <w:p>
            <w:pPr>
              <w:spacing w:line="240" w:lineRule="auto"/>
              <w:ind w:left="738" w:hanging="738" w:hangingChars="350"/>
              <w:jc w:val="center"/>
              <w:rPr>
                <w:color w:val="auto"/>
                <w:sz w:val="21"/>
                <w:szCs w:val="21"/>
                <w:highlight w:val="none"/>
              </w:rPr>
            </w:pPr>
            <w:r>
              <w:rPr>
                <w:rFonts w:hint="eastAsia"/>
                <w:b/>
                <w:bCs/>
                <w:color w:val="auto"/>
                <w:sz w:val="21"/>
                <w:szCs w:val="21"/>
                <w:highlight w:val="none"/>
              </w:rPr>
              <w:t>止水措施</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397" w:hRule="exact"/>
          <w:jc w:val="center"/>
        </w:trPr>
        <w:tc>
          <w:tcPr>
            <w:tcW w:w="681" w:type="pct"/>
            <w:shd w:val="clear" w:color="auto" w:fill="auto"/>
            <w:tcMar>
              <w:top w:w="15" w:type="dxa"/>
              <w:left w:w="15" w:type="dxa"/>
              <w:bottom w:w="0" w:type="dxa"/>
              <w:right w:w="15" w:type="dxa"/>
            </w:tcMar>
            <w:vAlign w:val="center"/>
          </w:tcPr>
          <w:p>
            <w:pPr>
              <w:spacing w:line="240" w:lineRule="auto"/>
              <w:ind w:left="735" w:hanging="735" w:hangingChars="350"/>
              <w:jc w:val="center"/>
              <w:rPr>
                <w:color w:val="auto"/>
                <w:sz w:val="21"/>
                <w:szCs w:val="21"/>
                <w:highlight w:val="none"/>
              </w:rPr>
            </w:pPr>
            <w:r>
              <w:rPr>
                <w:color w:val="auto"/>
                <w:sz w:val="21"/>
                <w:szCs w:val="21"/>
                <w:highlight w:val="none"/>
              </w:rPr>
              <w:t>1</w:t>
            </w:r>
          </w:p>
        </w:tc>
        <w:tc>
          <w:tcPr>
            <w:tcW w:w="1297" w:type="pct"/>
            <w:shd w:val="clear" w:color="auto" w:fill="auto"/>
            <w:tcMar>
              <w:top w:w="15" w:type="dxa"/>
              <w:left w:w="15" w:type="dxa"/>
              <w:bottom w:w="0" w:type="dxa"/>
              <w:right w:w="15" w:type="dxa"/>
            </w:tcMar>
            <w:vAlign w:val="center"/>
          </w:tcPr>
          <w:p>
            <w:pPr>
              <w:spacing w:line="240" w:lineRule="auto"/>
              <w:ind w:left="735" w:hanging="735" w:hangingChars="350"/>
              <w:jc w:val="center"/>
              <w:rPr>
                <w:color w:val="auto"/>
                <w:sz w:val="21"/>
                <w:szCs w:val="21"/>
                <w:highlight w:val="none"/>
              </w:rPr>
            </w:pPr>
            <w:r>
              <w:rPr>
                <w:rFonts w:hint="eastAsia"/>
                <w:color w:val="auto"/>
                <w:sz w:val="21"/>
                <w:szCs w:val="21"/>
                <w:highlight w:val="none"/>
              </w:rPr>
              <w:t>烟道</w:t>
            </w:r>
          </w:p>
        </w:tc>
        <w:tc>
          <w:tcPr>
            <w:tcW w:w="3020" w:type="pct"/>
            <w:shd w:val="clear" w:color="auto" w:fill="auto"/>
            <w:tcMar>
              <w:top w:w="15" w:type="dxa"/>
              <w:left w:w="15" w:type="dxa"/>
              <w:bottom w:w="0" w:type="dxa"/>
              <w:right w:w="15" w:type="dxa"/>
            </w:tcMar>
            <w:vAlign w:val="center"/>
          </w:tcPr>
          <w:p>
            <w:pPr>
              <w:spacing w:line="240" w:lineRule="auto"/>
              <w:ind w:left="735" w:hanging="735" w:hangingChars="350"/>
              <w:jc w:val="left"/>
              <w:rPr>
                <w:color w:val="auto"/>
                <w:sz w:val="21"/>
                <w:szCs w:val="21"/>
                <w:highlight w:val="none"/>
              </w:rPr>
            </w:pPr>
            <w:r>
              <w:rPr>
                <w:rFonts w:hint="eastAsia"/>
                <w:color w:val="auto"/>
                <w:sz w:val="21"/>
                <w:szCs w:val="21"/>
                <w:highlight w:val="none"/>
              </w:rPr>
              <w:t>在止水层施工反坎盖板钉死止水</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397" w:hRule="exact"/>
          <w:jc w:val="center"/>
        </w:trPr>
        <w:tc>
          <w:tcPr>
            <w:tcW w:w="681" w:type="pct"/>
            <w:shd w:val="clear" w:color="auto" w:fill="auto"/>
            <w:tcMar>
              <w:top w:w="15" w:type="dxa"/>
              <w:left w:w="15" w:type="dxa"/>
              <w:bottom w:w="0" w:type="dxa"/>
              <w:right w:w="15" w:type="dxa"/>
            </w:tcMar>
            <w:vAlign w:val="center"/>
          </w:tcPr>
          <w:p>
            <w:pPr>
              <w:spacing w:line="240" w:lineRule="auto"/>
              <w:ind w:left="735" w:hanging="735" w:hangingChars="350"/>
              <w:jc w:val="center"/>
              <w:rPr>
                <w:color w:val="auto"/>
                <w:sz w:val="21"/>
                <w:szCs w:val="21"/>
                <w:highlight w:val="none"/>
              </w:rPr>
            </w:pPr>
            <w:r>
              <w:rPr>
                <w:color w:val="auto"/>
                <w:sz w:val="21"/>
                <w:szCs w:val="21"/>
                <w:highlight w:val="none"/>
              </w:rPr>
              <w:t>2</w:t>
            </w:r>
          </w:p>
        </w:tc>
        <w:tc>
          <w:tcPr>
            <w:tcW w:w="1297" w:type="pct"/>
            <w:shd w:val="clear" w:color="auto" w:fill="auto"/>
            <w:tcMar>
              <w:top w:w="15" w:type="dxa"/>
              <w:left w:w="15" w:type="dxa"/>
              <w:bottom w:w="0" w:type="dxa"/>
              <w:right w:w="15" w:type="dxa"/>
            </w:tcMar>
            <w:vAlign w:val="center"/>
          </w:tcPr>
          <w:p>
            <w:pPr>
              <w:spacing w:line="240" w:lineRule="auto"/>
              <w:ind w:left="735" w:hanging="735" w:hangingChars="350"/>
              <w:jc w:val="center"/>
              <w:rPr>
                <w:color w:val="auto"/>
                <w:sz w:val="21"/>
                <w:szCs w:val="21"/>
                <w:highlight w:val="none"/>
              </w:rPr>
            </w:pPr>
            <w:r>
              <w:rPr>
                <w:rFonts w:hint="eastAsia"/>
                <w:color w:val="auto"/>
                <w:sz w:val="21"/>
                <w:szCs w:val="21"/>
                <w:highlight w:val="none"/>
              </w:rPr>
              <w:t>厨卫间、阳台预留洞</w:t>
            </w:r>
          </w:p>
        </w:tc>
        <w:tc>
          <w:tcPr>
            <w:tcW w:w="3020" w:type="pct"/>
            <w:shd w:val="clear" w:color="auto" w:fill="auto"/>
            <w:tcMar>
              <w:top w:w="15" w:type="dxa"/>
              <w:left w:w="15" w:type="dxa"/>
              <w:bottom w:w="0" w:type="dxa"/>
              <w:right w:w="15" w:type="dxa"/>
            </w:tcMar>
            <w:vAlign w:val="center"/>
          </w:tcPr>
          <w:p>
            <w:pPr>
              <w:spacing w:line="240" w:lineRule="auto"/>
              <w:ind w:left="735" w:hanging="735" w:hangingChars="350"/>
              <w:jc w:val="left"/>
              <w:rPr>
                <w:color w:val="auto"/>
                <w:sz w:val="21"/>
                <w:szCs w:val="21"/>
                <w:highlight w:val="none"/>
              </w:rPr>
            </w:pPr>
            <w:r>
              <w:rPr>
                <w:rFonts w:hint="eastAsia"/>
                <w:color w:val="auto"/>
                <w:sz w:val="21"/>
                <w:szCs w:val="21"/>
                <w:highlight w:val="none"/>
              </w:rPr>
              <w:t>在止水层完成排水管安装直接将水排出</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397" w:hRule="exact"/>
          <w:jc w:val="center"/>
        </w:trPr>
        <w:tc>
          <w:tcPr>
            <w:tcW w:w="681" w:type="pct"/>
            <w:shd w:val="clear" w:color="auto" w:fill="auto"/>
            <w:tcMar>
              <w:top w:w="15" w:type="dxa"/>
              <w:left w:w="15" w:type="dxa"/>
              <w:bottom w:w="0" w:type="dxa"/>
              <w:right w:w="15" w:type="dxa"/>
            </w:tcMar>
            <w:vAlign w:val="center"/>
          </w:tcPr>
          <w:p>
            <w:pPr>
              <w:spacing w:line="240" w:lineRule="auto"/>
              <w:ind w:left="735" w:hanging="735" w:hangingChars="350"/>
              <w:jc w:val="center"/>
              <w:rPr>
                <w:color w:val="auto"/>
                <w:sz w:val="21"/>
                <w:szCs w:val="21"/>
                <w:highlight w:val="none"/>
              </w:rPr>
            </w:pPr>
            <w:r>
              <w:rPr>
                <w:color w:val="auto"/>
                <w:sz w:val="21"/>
                <w:szCs w:val="21"/>
                <w:highlight w:val="none"/>
              </w:rPr>
              <w:t>3</w:t>
            </w:r>
          </w:p>
        </w:tc>
        <w:tc>
          <w:tcPr>
            <w:tcW w:w="1297" w:type="pct"/>
            <w:shd w:val="clear" w:color="auto" w:fill="auto"/>
            <w:tcMar>
              <w:top w:w="15" w:type="dxa"/>
              <w:left w:w="15" w:type="dxa"/>
              <w:bottom w:w="0" w:type="dxa"/>
              <w:right w:w="15" w:type="dxa"/>
            </w:tcMar>
            <w:vAlign w:val="center"/>
          </w:tcPr>
          <w:p>
            <w:pPr>
              <w:spacing w:line="240" w:lineRule="auto"/>
              <w:ind w:left="735" w:hanging="735" w:hangingChars="350"/>
              <w:jc w:val="center"/>
              <w:rPr>
                <w:color w:val="auto"/>
                <w:sz w:val="21"/>
                <w:szCs w:val="21"/>
                <w:highlight w:val="none"/>
              </w:rPr>
            </w:pPr>
            <w:r>
              <w:rPr>
                <w:rFonts w:hint="eastAsia"/>
                <w:color w:val="auto"/>
                <w:sz w:val="21"/>
                <w:szCs w:val="21"/>
                <w:highlight w:val="none"/>
              </w:rPr>
              <w:t>放线孔</w:t>
            </w:r>
          </w:p>
        </w:tc>
        <w:tc>
          <w:tcPr>
            <w:tcW w:w="3020" w:type="pct"/>
            <w:shd w:val="clear" w:color="auto" w:fill="auto"/>
            <w:tcMar>
              <w:top w:w="15" w:type="dxa"/>
              <w:left w:w="15" w:type="dxa"/>
              <w:bottom w:w="0" w:type="dxa"/>
              <w:right w:w="15" w:type="dxa"/>
            </w:tcMar>
            <w:vAlign w:val="center"/>
          </w:tcPr>
          <w:p>
            <w:pPr>
              <w:spacing w:line="240" w:lineRule="auto"/>
              <w:ind w:left="735" w:hanging="735" w:hangingChars="350"/>
              <w:jc w:val="left"/>
              <w:rPr>
                <w:color w:val="auto"/>
                <w:sz w:val="21"/>
                <w:szCs w:val="21"/>
                <w:highlight w:val="none"/>
              </w:rPr>
            </w:pPr>
            <w:r>
              <w:rPr>
                <w:rFonts w:hint="eastAsia"/>
                <w:color w:val="auto"/>
                <w:sz w:val="21"/>
                <w:szCs w:val="21"/>
                <w:highlight w:val="none"/>
              </w:rPr>
              <w:t>在止水层施工反坎盖板止水，移交装修时浇砼封闭</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397" w:hRule="exact"/>
          <w:jc w:val="center"/>
        </w:trPr>
        <w:tc>
          <w:tcPr>
            <w:tcW w:w="681" w:type="pct"/>
            <w:shd w:val="clear" w:color="auto" w:fill="auto"/>
            <w:tcMar>
              <w:top w:w="15" w:type="dxa"/>
              <w:left w:w="15" w:type="dxa"/>
              <w:bottom w:w="0" w:type="dxa"/>
              <w:right w:w="15" w:type="dxa"/>
            </w:tcMar>
            <w:vAlign w:val="center"/>
          </w:tcPr>
          <w:p>
            <w:pPr>
              <w:spacing w:line="240" w:lineRule="auto"/>
              <w:ind w:left="735" w:hanging="735" w:hangingChars="350"/>
              <w:jc w:val="center"/>
              <w:rPr>
                <w:color w:val="auto"/>
                <w:sz w:val="21"/>
                <w:szCs w:val="21"/>
                <w:highlight w:val="none"/>
              </w:rPr>
            </w:pPr>
            <w:r>
              <w:rPr>
                <w:color w:val="auto"/>
                <w:sz w:val="21"/>
                <w:szCs w:val="21"/>
                <w:highlight w:val="none"/>
              </w:rPr>
              <w:t>4</w:t>
            </w:r>
          </w:p>
        </w:tc>
        <w:tc>
          <w:tcPr>
            <w:tcW w:w="1297" w:type="pct"/>
            <w:shd w:val="clear" w:color="auto" w:fill="auto"/>
            <w:tcMar>
              <w:top w:w="15" w:type="dxa"/>
              <w:left w:w="15" w:type="dxa"/>
              <w:bottom w:w="0" w:type="dxa"/>
              <w:right w:w="15" w:type="dxa"/>
            </w:tcMar>
            <w:vAlign w:val="center"/>
          </w:tcPr>
          <w:p>
            <w:pPr>
              <w:spacing w:line="240" w:lineRule="auto"/>
              <w:ind w:left="735" w:hanging="735" w:hangingChars="350"/>
              <w:jc w:val="center"/>
              <w:rPr>
                <w:color w:val="auto"/>
                <w:sz w:val="21"/>
                <w:szCs w:val="21"/>
                <w:highlight w:val="none"/>
              </w:rPr>
            </w:pPr>
            <w:r>
              <w:rPr>
                <w:rFonts w:hint="eastAsia"/>
                <w:color w:val="auto"/>
                <w:sz w:val="21"/>
                <w:szCs w:val="21"/>
                <w:highlight w:val="none"/>
              </w:rPr>
              <w:t>传料孔</w:t>
            </w:r>
          </w:p>
        </w:tc>
        <w:tc>
          <w:tcPr>
            <w:tcW w:w="3020" w:type="pct"/>
            <w:shd w:val="clear" w:color="auto" w:fill="auto"/>
            <w:tcMar>
              <w:top w:w="15" w:type="dxa"/>
              <w:left w:w="15" w:type="dxa"/>
              <w:bottom w:w="0" w:type="dxa"/>
              <w:right w:w="15" w:type="dxa"/>
            </w:tcMar>
            <w:vAlign w:val="center"/>
          </w:tcPr>
          <w:p>
            <w:pPr>
              <w:spacing w:line="240" w:lineRule="auto"/>
              <w:ind w:left="735" w:hanging="735" w:hangingChars="350"/>
              <w:jc w:val="left"/>
              <w:rPr>
                <w:color w:val="auto"/>
                <w:sz w:val="21"/>
                <w:szCs w:val="21"/>
                <w:highlight w:val="none"/>
              </w:rPr>
            </w:pPr>
            <w:r>
              <w:rPr>
                <w:rFonts w:hint="eastAsia"/>
                <w:color w:val="auto"/>
                <w:sz w:val="21"/>
                <w:szCs w:val="21"/>
                <w:highlight w:val="none"/>
              </w:rPr>
              <w:t>在反坎施工时浇筑封闭</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397" w:hRule="exact"/>
          <w:jc w:val="center"/>
        </w:trPr>
        <w:tc>
          <w:tcPr>
            <w:tcW w:w="681" w:type="pct"/>
            <w:shd w:val="clear" w:color="auto" w:fill="auto"/>
            <w:tcMar>
              <w:top w:w="15" w:type="dxa"/>
              <w:left w:w="15" w:type="dxa"/>
              <w:bottom w:w="0" w:type="dxa"/>
              <w:right w:w="15" w:type="dxa"/>
            </w:tcMar>
            <w:vAlign w:val="center"/>
          </w:tcPr>
          <w:p>
            <w:pPr>
              <w:spacing w:line="240" w:lineRule="auto"/>
              <w:ind w:left="735" w:hanging="735" w:hangingChars="350"/>
              <w:jc w:val="center"/>
              <w:rPr>
                <w:color w:val="auto"/>
                <w:sz w:val="21"/>
                <w:szCs w:val="21"/>
                <w:highlight w:val="none"/>
              </w:rPr>
            </w:pPr>
            <w:r>
              <w:rPr>
                <w:color w:val="auto"/>
                <w:sz w:val="21"/>
                <w:szCs w:val="21"/>
                <w:highlight w:val="none"/>
              </w:rPr>
              <w:t>5</w:t>
            </w:r>
          </w:p>
        </w:tc>
        <w:tc>
          <w:tcPr>
            <w:tcW w:w="1297" w:type="pct"/>
            <w:shd w:val="clear" w:color="auto" w:fill="auto"/>
            <w:tcMar>
              <w:top w:w="15" w:type="dxa"/>
              <w:left w:w="15" w:type="dxa"/>
              <w:bottom w:w="0" w:type="dxa"/>
              <w:right w:w="15" w:type="dxa"/>
            </w:tcMar>
            <w:vAlign w:val="center"/>
          </w:tcPr>
          <w:p>
            <w:pPr>
              <w:spacing w:line="240" w:lineRule="auto"/>
              <w:ind w:left="735" w:hanging="735" w:hangingChars="350"/>
              <w:jc w:val="center"/>
              <w:rPr>
                <w:color w:val="auto"/>
                <w:sz w:val="21"/>
                <w:szCs w:val="21"/>
                <w:highlight w:val="none"/>
              </w:rPr>
            </w:pPr>
            <w:r>
              <w:rPr>
                <w:rFonts w:hint="eastAsia"/>
                <w:color w:val="auto"/>
                <w:sz w:val="21"/>
                <w:szCs w:val="21"/>
                <w:highlight w:val="none"/>
              </w:rPr>
              <w:t>水井预留洞</w:t>
            </w:r>
          </w:p>
        </w:tc>
        <w:tc>
          <w:tcPr>
            <w:tcW w:w="3020" w:type="pct"/>
            <w:shd w:val="clear" w:color="auto" w:fill="auto"/>
            <w:tcMar>
              <w:top w:w="15" w:type="dxa"/>
              <w:left w:w="15" w:type="dxa"/>
              <w:bottom w:w="0" w:type="dxa"/>
              <w:right w:w="15" w:type="dxa"/>
            </w:tcMar>
            <w:vAlign w:val="center"/>
          </w:tcPr>
          <w:p>
            <w:pPr>
              <w:spacing w:line="240" w:lineRule="auto"/>
              <w:ind w:left="735" w:hanging="735" w:hangingChars="350"/>
              <w:jc w:val="left"/>
              <w:rPr>
                <w:color w:val="auto"/>
                <w:sz w:val="21"/>
                <w:szCs w:val="21"/>
                <w:highlight w:val="none"/>
              </w:rPr>
            </w:pPr>
            <w:r>
              <w:rPr>
                <w:rFonts w:hint="eastAsia"/>
                <w:color w:val="auto"/>
                <w:sz w:val="21"/>
                <w:szCs w:val="21"/>
                <w:highlight w:val="none"/>
              </w:rPr>
              <w:t>在止水层完成排水管安装直接将水排出</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397" w:hRule="exact"/>
          <w:jc w:val="center"/>
        </w:trPr>
        <w:tc>
          <w:tcPr>
            <w:tcW w:w="681" w:type="pct"/>
            <w:shd w:val="clear" w:color="auto" w:fill="auto"/>
            <w:tcMar>
              <w:top w:w="15" w:type="dxa"/>
              <w:left w:w="15" w:type="dxa"/>
              <w:bottom w:w="0" w:type="dxa"/>
              <w:right w:w="15" w:type="dxa"/>
            </w:tcMar>
            <w:vAlign w:val="center"/>
          </w:tcPr>
          <w:p>
            <w:pPr>
              <w:spacing w:line="240" w:lineRule="auto"/>
              <w:ind w:left="735" w:hanging="735" w:hangingChars="350"/>
              <w:jc w:val="center"/>
              <w:rPr>
                <w:color w:val="auto"/>
                <w:sz w:val="21"/>
                <w:szCs w:val="21"/>
                <w:highlight w:val="none"/>
              </w:rPr>
            </w:pPr>
            <w:r>
              <w:rPr>
                <w:color w:val="auto"/>
                <w:sz w:val="21"/>
                <w:szCs w:val="21"/>
                <w:highlight w:val="none"/>
              </w:rPr>
              <w:t>6</w:t>
            </w:r>
          </w:p>
        </w:tc>
        <w:tc>
          <w:tcPr>
            <w:tcW w:w="1297" w:type="pct"/>
            <w:shd w:val="clear" w:color="auto" w:fill="auto"/>
            <w:tcMar>
              <w:top w:w="15" w:type="dxa"/>
              <w:left w:w="15" w:type="dxa"/>
              <w:bottom w:w="0" w:type="dxa"/>
              <w:right w:w="15" w:type="dxa"/>
            </w:tcMar>
            <w:vAlign w:val="center"/>
          </w:tcPr>
          <w:p>
            <w:pPr>
              <w:spacing w:line="240" w:lineRule="auto"/>
              <w:ind w:left="735" w:hanging="735" w:hangingChars="350"/>
              <w:jc w:val="center"/>
              <w:rPr>
                <w:color w:val="auto"/>
                <w:sz w:val="21"/>
                <w:szCs w:val="21"/>
                <w:highlight w:val="none"/>
              </w:rPr>
            </w:pPr>
            <w:r>
              <w:rPr>
                <w:rFonts w:hint="eastAsia"/>
                <w:color w:val="auto"/>
                <w:sz w:val="21"/>
                <w:szCs w:val="21"/>
                <w:highlight w:val="none"/>
              </w:rPr>
              <w:t>电井预留洞</w:t>
            </w:r>
          </w:p>
        </w:tc>
        <w:tc>
          <w:tcPr>
            <w:tcW w:w="3020" w:type="pct"/>
            <w:shd w:val="clear" w:color="auto" w:fill="auto"/>
            <w:tcMar>
              <w:top w:w="15" w:type="dxa"/>
              <w:left w:w="15" w:type="dxa"/>
              <w:bottom w:w="0" w:type="dxa"/>
              <w:right w:w="15" w:type="dxa"/>
            </w:tcMar>
            <w:vAlign w:val="center"/>
          </w:tcPr>
          <w:p>
            <w:pPr>
              <w:spacing w:line="240" w:lineRule="auto"/>
              <w:ind w:left="735" w:hanging="735" w:hangingChars="350"/>
              <w:jc w:val="left"/>
              <w:rPr>
                <w:color w:val="auto"/>
                <w:sz w:val="21"/>
                <w:szCs w:val="21"/>
                <w:highlight w:val="none"/>
              </w:rPr>
            </w:pPr>
            <w:r>
              <w:rPr>
                <w:rFonts w:hint="eastAsia"/>
                <w:color w:val="auto"/>
                <w:sz w:val="21"/>
                <w:szCs w:val="21"/>
                <w:highlight w:val="none"/>
              </w:rPr>
              <w:t>在止水层施工反坎，盖板钉死止水</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661" w:hRule="exact"/>
          <w:jc w:val="center"/>
        </w:trPr>
        <w:tc>
          <w:tcPr>
            <w:tcW w:w="681" w:type="pct"/>
            <w:shd w:val="clear" w:color="auto" w:fill="auto"/>
            <w:tcMar>
              <w:top w:w="15" w:type="dxa"/>
              <w:left w:w="15" w:type="dxa"/>
              <w:bottom w:w="0" w:type="dxa"/>
              <w:right w:w="15" w:type="dxa"/>
            </w:tcMar>
            <w:vAlign w:val="center"/>
          </w:tcPr>
          <w:p>
            <w:pPr>
              <w:spacing w:line="240" w:lineRule="auto"/>
              <w:ind w:left="735" w:hanging="735" w:hangingChars="350"/>
              <w:jc w:val="center"/>
              <w:rPr>
                <w:color w:val="auto"/>
                <w:sz w:val="21"/>
                <w:szCs w:val="21"/>
                <w:highlight w:val="none"/>
              </w:rPr>
            </w:pPr>
            <w:r>
              <w:rPr>
                <w:color w:val="auto"/>
                <w:sz w:val="21"/>
                <w:szCs w:val="21"/>
                <w:highlight w:val="none"/>
              </w:rPr>
              <w:t>7</w:t>
            </w:r>
          </w:p>
        </w:tc>
        <w:tc>
          <w:tcPr>
            <w:tcW w:w="1297" w:type="pct"/>
            <w:shd w:val="clear" w:color="auto" w:fill="auto"/>
            <w:tcMar>
              <w:top w:w="15" w:type="dxa"/>
              <w:left w:w="15" w:type="dxa"/>
              <w:bottom w:w="0" w:type="dxa"/>
              <w:right w:w="15" w:type="dxa"/>
            </w:tcMar>
            <w:vAlign w:val="center"/>
          </w:tcPr>
          <w:p>
            <w:pPr>
              <w:spacing w:line="240" w:lineRule="auto"/>
              <w:ind w:left="735" w:hanging="735" w:hangingChars="350"/>
              <w:jc w:val="center"/>
              <w:rPr>
                <w:color w:val="auto"/>
                <w:sz w:val="21"/>
                <w:szCs w:val="21"/>
                <w:highlight w:val="none"/>
              </w:rPr>
            </w:pPr>
            <w:r>
              <w:rPr>
                <w:rFonts w:hint="eastAsia"/>
                <w:color w:val="auto"/>
                <w:sz w:val="21"/>
                <w:szCs w:val="21"/>
                <w:highlight w:val="none"/>
              </w:rPr>
              <w:t>泵管洞</w:t>
            </w:r>
          </w:p>
        </w:tc>
        <w:tc>
          <w:tcPr>
            <w:tcW w:w="3020" w:type="pct"/>
            <w:shd w:val="clear" w:color="auto" w:fill="auto"/>
            <w:tcMar>
              <w:top w:w="15" w:type="dxa"/>
              <w:left w:w="15" w:type="dxa"/>
              <w:bottom w:w="0" w:type="dxa"/>
              <w:right w:w="15" w:type="dxa"/>
            </w:tcMar>
            <w:vAlign w:val="center"/>
          </w:tcPr>
          <w:p>
            <w:pPr>
              <w:spacing w:line="240" w:lineRule="auto"/>
              <w:ind w:left="735" w:hanging="735" w:hangingChars="350"/>
              <w:jc w:val="left"/>
              <w:rPr>
                <w:color w:val="auto"/>
                <w:sz w:val="21"/>
                <w:szCs w:val="21"/>
                <w:highlight w:val="none"/>
              </w:rPr>
            </w:pPr>
            <w:r>
              <w:rPr>
                <w:rFonts w:hint="eastAsia"/>
                <w:color w:val="auto"/>
                <w:sz w:val="21"/>
                <w:szCs w:val="21"/>
                <w:highlight w:val="none"/>
              </w:rPr>
              <w:t>在止水层施工反坎，并用雨布与泵管绑扎牢固，确保水不能沿泵管周边流下</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571" w:hRule="exact"/>
          <w:jc w:val="center"/>
        </w:trPr>
        <w:tc>
          <w:tcPr>
            <w:tcW w:w="681" w:type="pct"/>
            <w:shd w:val="clear" w:color="auto" w:fill="auto"/>
            <w:tcMar>
              <w:top w:w="15" w:type="dxa"/>
              <w:left w:w="15" w:type="dxa"/>
              <w:bottom w:w="0" w:type="dxa"/>
              <w:right w:w="15" w:type="dxa"/>
            </w:tcMar>
            <w:vAlign w:val="center"/>
          </w:tcPr>
          <w:p>
            <w:pPr>
              <w:spacing w:line="240" w:lineRule="auto"/>
              <w:ind w:left="735" w:hanging="735" w:hangingChars="350"/>
              <w:jc w:val="center"/>
              <w:rPr>
                <w:color w:val="auto"/>
                <w:sz w:val="21"/>
                <w:szCs w:val="21"/>
                <w:highlight w:val="none"/>
              </w:rPr>
            </w:pPr>
            <w:r>
              <w:rPr>
                <w:color w:val="auto"/>
                <w:sz w:val="21"/>
                <w:szCs w:val="21"/>
                <w:highlight w:val="none"/>
              </w:rPr>
              <w:t>8</w:t>
            </w:r>
          </w:p>
        </w:tc>
        <w:tc>
          <w:tcPr>
            <w:tcW w:w="1297" w:type="pct"/>
            <w:shd w:val="clear" w:color="auto" w:fill="auto"/>
            <w:tcMar>
              <w:top w:w="15" w:type="dxa"/>
              <w:left w:w="15" w:type="dxa"/>
              <w:bottom w:w="0" w:type="dxa"/>
              <w:right w:w="15" w:type="dxa"/>
            </w:tcMar>
            <w:vAlign w:val="center"/>
          </w:tcPr>
          <w:p>
            <w:pPr>
              <w:spacing w:line="240" w:lineRule="auto"/>
              <w:ind w:left="735" w:hanging="735" w:hangingChars="350"/>
              <w:jc w:val="center"/>
              <w:rPr>
                <w:color w:val="auto"/>
                <w:sz w:val="21"/>
                <w:szCs w:val="21"/>
                <w:highlight w:val="none"/>
              </w:rPr>
            </w:pPr>
            <w:r>
              <w:rPr>
                <w:rFonts w:hint="eastAsia"/>
                <w:color w:val="auto"/>
                <w:sz w:val="21"/>
                <w:szCs w:val="21"/>
                <w:highlight w:val="none"/>
              </w:rPr>
              <w:t>楼梯间</w:t>
            </w:r>
          </w:p>
        </w:tc>
        <w:tc>
          <w:tcPr>
            <w:tcW w:w="3020" w:type="pct"/>
            <w:shd w:val="clear" w:color="auto" w:fill="auto"/>
            <w:tcMar>
              <w:top w:w="15" w:type="dxa"/>
              <w:left w:w="15" w:type="dxa"/>
              <w:bottom w:w="0" w:type="dxa"/>
              <w:right w:w="15" w:type="dxa"/>
            </w:tcMar>
            <w:vAlign w:val="center"/>
          </w:tcPr>
          <w:p>
            <w:pPr>
              <w:spacing w:line="240" w:lineRule="auto"/>
              <w:ind w:left="735" w:hanging="735" w:hangingChars="350"/>
              <w:jc w:val="left"/>
              <w:rPr>
                <w:color w:val="auto"/>
                <w:sz w:val="21"/>
                <w:szCs w:val="21"/>
                <w:highlight w:val="none"/>
              </w:rPr>
            </w:pPr>
            <w:r>
              <w:rPr>
                <w:rFonts w:hint="eastAsia"/>
                <w:color w:val="auto"/>
                <w:sz w:val="21"/>
                <w:szCs w:val="21"/>
                <w:highlight w:val="none"/>
              </w:rPr>
              <w:t>及时塞缝，两侧打胶，中间缝设截水槽排至止水层后，集中排放。</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397" w:hRule="exact"/>
          <w:jc w:val="center"/>
        </w:trPr>
        <w:tc>
          <w:tcPr>
            <w:tcW w:w="681" w:type="pct"/>
            <w:shd w:val="clear" w:color="auto" w:fill="auto"/>
            <w:tcMar>
              <w:top w:w="15" w:type="dxa"/>
              <w:left w:w="15" w:type="dxa"/>
              <w:bottom w:w="0" w:type="dxa"/>
              <w:right w:w="15" w:type="dxa"/>
            </w:tcMar>
            <w:vAlign w:val="center"/>
          </w:tcPr>
          <w:p>
            <w:pPr>
              <w:spacing w:line="240" w:lineRule="auto"/>
              <w:ind w:left="735" w:hanging="735" w:hangingChars="350"/>
              <w:jc w:val="center"/>
              <w:rPr>
                <w:color w:val="auto"/>
                <w:sz w:val="21"/>
                <w:szCs w:val="21"/>
                <w:highlight w:val="none"/>
              </w:rPr>
            </w:pPr>
            <w:r>
              <w:rPr>
                <w:color w:val="auto"/>
                <w:sz w:val="21"/>
                <w:szCs w:val="21"/>
                <w:highlight w:val="none"/>
              </w:rPr>
              <w:t>9</w:t>
            </w:r>
          </w:p>
        </w:tc>
        <w:tc>
          <w:tcPr>
            <w:tcW w:w="1297" w:type="pct"/>
            <w:shd w:val="clear" w:color="auto" w:fill="auto"/>
            <w:tcMar>
              <w:top w:w="15" w:type="dxa"/>
              <w:left w:w="15" w:type="dxa"/>
              <w:bottom w:w="0" w:type="dxa"/>
              <w:right w:w="15" w:type="dxa"/>
            </w:tcMar>
            <w:vAlign w:val="center"/>
          </w:tcPr>
          <w:p>
            <w:pPr>
              <w:spacing w:line="240" w:lineRule="auto"/>
              <w:ind w:left="735" w:hanging="735" w:hangingChars="350"/>
              <w:jc w:val="center"/>
              <w:rPr>
                <w:color w:val="auto"/>
                <w:sz w:val="21"/>
                <w:szCs w:val="21"/>
                <w:highlight w:val="none"/>
              </w:rPr>
            </w:pPr>
            <w:r>
              <w:rPr>
                <w:rFonts w:hint="eastAsia"/>
                <w:color w:val="auto"/>
                <w:sz w:val="21"/>
                <w:szCs w:val="21"/>
                <w:highlight w:val="none"/>
              </w:rPr>
              <w:t>电梯井</w:t>
            </w:r>
          </w:p>
        </w:tc>
        <w:tc>
          <w:tcPr>
            <w:tcW w:w="3020" w:type="pct"/>
            <w:shd w:val="clear" w:color="auto" w:fill="auto"/>
            <w:tcMar>
              <w:top w:w="15" w:type="dxa"/>
              <w:left w:w="15" w:type="dxa"/>
              <w:bottom w:w="0" w:type="dxa"/>
              <w:right w:w="15" w:type="dxa"/>
            </w:tcMar>
            <w:vAlign w:val="center"/>
          </w:tcPr>
          <w:p>
            <w:pPr>
              <w:spacing w:line="240" w:lineRule="auto"/>
              <w:ind w:left="735" w:hanging="735" w:hangingChars="350"/>
              <w:jc w:val="left"/>
              <w:rPr>
                <w:color w:val="auto"/>
                <w:sz w:val="21"/>
                <w:szCs w:val="21"/>
                <w:highlight w:val="none"/>
              </w:rPr>
            </w:pPr>
            <w:r>
              <w:rPr>
                <w:rFonts w:hint="eastAsia"/>
                <w:color w:val="auto"/>
                <w:sz w:val="21"/>
                <w:szCs w:val="21"/>
                <w:highlight w:val="none"/>
              </w:rPr>
              <w:t>层层硬防护，确保作业安全。在止水成作防水处理。</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397" w:hRule="exact"/>
          <w:jc w:val="center"/>
        </w:trPr>
        <w:tc>
          <w:tcPr>
            <w:tcW w:w="681" w:type="pct"/>
            <w:shd w:val="clear" w:color="auto" w:fill="auto"/>
            <w:tcMar>
              <w:top w:w="15" w:type="dxa"/>
              <w:left w:w="15" w:type="dxa"/>
              <w:bottom w:w="0" w:type="dxa"/>
              <w:right w:w="15" w:type="dxa"/>
            </w:tcMar>
            <w:vAlign w:val="center"/>
          </w:tcPr>
          <w:p>
            <w:pPr>
              <w:spacing w:line="240" w:lineRule="auto"/>
              <w:ind w:left="735" w:hanging="735" w:hangingChars="350"/>
              <w:jc w:val="center"/>
              <w:rPr>
                <w:color w:val="auto"/>
                <w:sz w:val="21"/>
                <w:szCs w:val="21"/>
                <w:highlight w:val="none"/>
              </w:rPr>
            </w:pPr>
            <w:r>
              <w:rPr>
                <w:rFonts w:hint="eastAsia"/>
                <w:color w:val="auto"/>
                <w:sz w:val="21"/>
                <w:szCs w:val="21"/>
                <w:highlight w:val="none"/>
              </w:rPr>
              <w:t>1</w:t>
            </w:r>
            <w:r>
              <w:rPr>
                <w:color w:val="auto"/>
                <w:sz w:val="21"/>
                <w:szCs w:val="21"/>
                <w:highlight w:val="none"/>
              </w:rPr>
              <w:t>0</w:t>
            </w:r>
          </w:p>
        </w:tc>
        <w:tc>
          <w:tcPr>
            <w:tcW w:w="1297" w:type="pct"/>
            <w:shd w:val="clear" w:color="auto" w:fill="auto"/>
            <w:tcMar>
              <w:top w:w="15" w:type="dxa"/>
              <w:left w:w="15" w:type="dxa"/>
              <w:bottom w:w="0" w:type="dxa"/>
              <w:right w:w="15" w:type="dxa"/>
            </w:tcMar>
            <w:vAlign w:val="center"/>
          </w:tcPr>
          <w:p>
            <w:pPr>
              <w:spacing w:line="240" w:lineRule="auto"/>
              <w:ind w:left="735" w:hanging="735" w:hangingChars="350"/>
              <w:jc w:val="center"/>
              <w:rPr>
                <w:color w:val="auto"/>
                <w:sz w:val="21"/>
                <w:szCs w:val="21"/>
                <w:highlight w:val="none"/>
              </w:rPr>
            </w:pPr>
            <w:r>
              <w:rPr>
                <w:rFonts w:hint="eastAsia"/>
                <w:color w:val="auto"/>
                <w:sz w:val="21"/>
                <w:szCs w:val="21"/>
                <w:highlight w:val="none"/>
              </w:rPr>
              <w:t>电梯口</w:t>
            </w:r>
          </w:p>
        </w:tc>
        <w:tc>
          <w:tcPr>
            <w:tcW w:w="3020" w:type="pct"/>
            <w:shd w:val="clear" w:color="auto" w:fill="auto"/>
            <w:tcMar>
              <w:top w:w="15" w:type="dxa"/>
              <w:left w:w="15" w:type="dxa"/>
              <w:bottom w:w="0" w:type="dxa"/>
              <w:right w:w="15" w:type="dxa"/>
            </w:tcMar>
            <w:vAlign w:val="center"/>
          </w:tcPr>
          <w:p>
            <w:pPr>
              <w:spacing w:line="240" w:lineRule="auto"/>
              <w:ind w:left="735" w:hanging="735" w:hangingChars="350"/>
              <w:jc w:val="left"/>
              <w:rPr>
                <w:color w:val="auto"/>
                <w:sz w:val="21"/>
                <w:szCs w:val="21"/>
                <w:highlight w:val="none"/>
              </w:rPr>
            </w:pPr>
            <w:r>
              <w:rPr>
                <w:rFonts w:hint="eastAsia"/>
                <w:color w:val="auto"/>
                <w:sz w:val="21"/>
                <w:szCs w:val="21"/>
                <w:highlight w:val="none"/>
              </w:rPr>
              <w:t>设置混凝土挡水坎</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633" w:hRule="exact"/>
          <w:jc w:val="center"/>
        </w:trPr>
        <w:tc>
          <w:tcPr>
            <w:tcW w:w="681" w:type="pct"/>
            <w:shd w:val="clear" w:color="auto" w:fill="auto"/>
            <w:tcMar>
              <w:top w:w="15" w:type="dxa"/>
              <w:left w:w="15" w:type="dxa"/>
              <w:bottom w:w="0" w:type="dxa"/>
              <w:right w:w="15" w:type="dxa"/>
            </w:tcMar>
            <w:vAlign w:val="center"/>
          </w:tcPr>
          <w:p>
            <w:pPr>
              <w:spacing w:line="240" w:lineRule="auto"/>
              <w:ind w:left="735" w:hanging="735" w:hangingChars="350"/>
              <w:jc w:val="center"/>
              <w:rPr>
                <w:color w:val="auto"/>
                <w:sz w:val="21"/>
                <w:szCs w:val="21"/>
                <w:highlight w:val="none"/>
              </w:rPr>
            </w:pPr>
            <w:r>
              <w:rPr>
                <w:rFonts w:hint="eastAsia"/>
                <w:color w:val="auto"/>
                <w:sz w:val="21"/>
                <w:szCs w:val="21"/>
                <w:highlight w:val="none"/>
              </w:rPr>
              <w:t>1</w:t>
            </w:r>
            <w:r>
              <w:rPr>
                <w:color w:val="auto"/>
                <w:sz w:val="21"/>
                <w:szCs w:val="21"/>
                <w:highlight w:val="none"/>
              </w:rPr>
              <w:t>1</w:t>
            </w:r>
          </w:p>
        </w:tc>
        <w:tc>
          <w:tcPr>
            <w:tcW w:w="1297" w:type="pct"/>
            <w:shd w:val="clear" w:color="auto" w:fill="auto"/>
            <w:tcMar>
              <w:top w:w="15" w:type="dxa"/>
              <w:left w:w="15" w:type="dxa"/>
              <w:bottom w:w="0" w:type="dxa"/>
              <w:right w:w="15" w:type="dxa"/>
            </w:tcMar>
            <w:vAlign w:val="center"/>
          </w:tcPr>
          <w:p>
            <w:pPr>
              <w:spacing w:line="240" w:lineRule="auto"/>
              <w:ind w:left="735" w:hanging="735" w:hangingChars="350"/>
              <w:jc w:val="center"/>
              <w:rPr>
                <w:color w:val="auto"/>
                <w:sz w:val="21"/>
                <w:szCs w:val="21"/>
                <w:highlight w:val="none"/>
              </w:rPr>
            </w:pPr>
            <w:r>
              <w:rPr>
                <w:rFonts w:hint="eastAsia"/>
                <w:color w:val="auto"/>
                <w:sz w:val="21"/>
                <w:szCs w:val="21"/>
                <w:highlight w:val="none"/>
              </w:rPr>
              <w:t>各流水作业区防水</w:t>
            </w:r>
          </w:p>
        </w:tc>
        <w:tc>
          <w:tcPr>
            <w:tcW w:w="3020" w:type="pct"/>
            <w:shd w:val="clear" w:color="auto" w:fill="auto"/>
            <w:tcMar>
              <w:top w:w="15" w:type="dxa"/>
              <w:left w:w="15" w:type="dxa"/>
              <w:bottom w:w="0" w:type="dxa"/>
              <w:right w:w="15" w:type="dxa"/>
            </w:tcMar>
            <w:vAlign w:val="center"/>
          </w:tcPr>
          <w:p>
            <w:pPr>
              <w:spacing w:line="240" w:lineRule="auto"/>
              <w:ind w:left="735" w:hanging="735" w:hangingChars="350"/>
              <w:rPr>
                <w:color w:val="auto"/>
                <w:sz w:val="21"/>
                <w:szCs w:val="21"/>
                <w:highlight w:val="none"/>
              </w:rPr>
            </w:pPr>
            <w:r>
              <w:rPr>
                <w:rFonts w:hint="eastAsia"/>
                <w:color w:val="auto"/>
                <w:sz w:val="21"/>
                <w:szCs w:val="21"/>
                <w:highlight w:val="none"/>
              </w:rPr>
              <w:t>结构流水段底层、二次结构及砌筑流水段底层、粗装修流水段底层加强防水</w:t>
            </w:r>
          </w:p>
        </w:tc>
      </w:tr>
    </w:tbl>
    <w:p>
      <w:pPr>
        <w:pStyle w:val="5"/>
        <w:bidi w:val="0"/>
        <w:rPr>
          <w:color w:val="auto"/>
          <w:highlight w:val="none"/>
        </w:rPr>
      </w:pPr>
      <w:r>
        <w:rPr>
          <w:rFonts w:hint="eastAsia"/>
          <w:color w:val="auto"/>
          <w:highlight w:val="none"/>
        </w:rPr>
        <w:t>满足精装修穿插施工要求，承包人应根据项目总控计划安排，在合适的楼层分别设置外墙及楼层内止水层。</w:t>
      </w:r>
    </w:p>
    <w:p>
      <w:pPr>
        <w:pStyle w:val="5"/>
        <w:bidi w:val="0"/>
        <w:rPr>
          <w:color w:val="auto"/>
          <w:highlight w:val="none"/>
        </w:rPr>
      </w:pPr>
      <w:r>
        <w:rPr>
          <w:rFonts w:hint="eastAsia"/>
          <w:color w:val="auto"/>
          <w:highlight w:val="none"/>
        </w:rPr>
        <w:t>在外墙及楼层分别设置有效的截水设施，对施工用水和雨水进行有组织的拦截与引流，实现楼层干湿分区。</w:t>
      </w:r>
    </w:p>
    <w:p>
      <w:pPr>
        <w:pStyle w:val="5"/>
        <w:bidi w:val="0"/>
        <w:rPr>
          <w:color w:val="auto"/>
          <w:highlight w:val="none"/>
        </w:rPr>
      </w:pPr>
      <w:r>
        <w:rPr>
          <w:rFonts w:hint="eastAsia"/>
          <w:color w:val="auto"/>
          <w:highlight w:val="none"/>
        </w:rPr>
        <w:t>外墙截水措施：在外墙四周连续布置成品U型截水槽，并按3-5%放坡,最低点处增加排水管，引流至最近集水点。</w:t>
      </w:r>
    </w:p>
    <w:p>
      <w:pPr>
        <w:pStyle w:val="5"/>
        <w:bidi w:val="0"/>
        <w:rPr>
          <w:color w:val="auto"/>
          <w:highlight w:val="none"/>
        </w:rPr>
      </w:pPr>
      <w:r>
        <w:rPr>
          <w:rFonts w:hint="eastAsia"/>
          <w:color w:val="auto"/>
          <w:highlight w:val="none"/>
        </w:rPr>
        <w:t>楼梯间截水引流措施：在楼梯斜板及平台边缘设置截水系统，将水引流至排水管中。</w:t>
      </w:r>
    </w:p>
    <w:p>
      <w:pPr>
        <w:pStyle w:val="5"/>
        <w:bidi w:val="0"/>
        <w:rPr>
          <w:color w:val="auto"/>
          <w:highlight w:val="none"/>
        </w:rPr>
      </w:pPr>
      <w:r>
        <w:rPr>
          <w:rFonts w:hint="eastAsia"/>
          <w:color w:val="auto"/>
          <w:highlight w:val="none"/>
        </w:rPr>
        <w:t>临时用水点、临时消防水点等用水区域周边应设置混凝土挡水坎，并对洞口进行临时截水封堵。</w:t>
      </w:r>
    </w:p>
    <w:p>
      <w:pPr>
        <w:pStyle w:val="5"/>
        <w:bidi w:val="0"/>
        <w:rPr>
          <w:color w:val="auto"/>
          <w:highlight w:val="none"/>
        </w:rPr>
      </w:pPr>
      <w:r>
        <w:rPr>
          <w:rFonts w:hint="eastAsia"/>
          <w:color w:val="auto"/>
          <w:highlight w:val="none"/>
        </w:rPr>
        <w:t>泵管预留洞及时塞缝固定并打胶，布料机口、传料口、放线口在止水层进行封堵封闭，烟道口、风道口、管道井采用盖板临时封闭，卫生间、阳台、厨房排水管道在止水层完成安装，直接将水排出。</w:t>
      </w:r>
    </w:p>
    <w:p>
      <w:pPr>
        <w:pStyle w:val="5"/>
        <w:bidi w:val="0"/>
        <w:rPr>
          <w:color w:val="auto"/>
          <w:highlight w:val="none"/>
        </w:rPr>
      </w:pPr>
      <w:r>
        <w:rPr>
          <w:rFonts w:hint="eastAsia"/>
          <w:color w:val="auto"/>
          <w:highlight w:val="none"/>
        </w:rPr>
        <w:t>食堂排水应与其它排水系统分开设置，并设隔油池。厕所必须设化粪池，污水经化粪池排入城市污水管网或指定排放点。</w:t>
      </w:r>
    </w:p>
    <w:p>
      <w:pPr>
        <w:pStyle w:val="5"/>
        <w:bidi w:val="0"/>
        <w:rPr>
          <w:color w:val="auto"/>
          <w:highlight w:val="none"/>
        </w:rPr>
      </w:pPr>
      <w:r>
        <w:rPr>
          <w:rFonts w:hint="eastAsia"/>
          <w:color w:val="auto"/>
          <w:highlight w:val="none"/>
        </w:rPr>
        <w:t>总承包人应充分考虑地下室及封闭空间的临时通风措施，采用风扇、风机、通风管道等措施保证空气流通及满足总承包自行施工作业范围内施工要求的空气湿度控制，并负责此措施的实施和日常维护。</w:t>
      </w:r>
      <w:r>
        <w:rPr>
          <w:rFonts w:hint="eastAsia"/>
          <w:color w:val="auto"/>
          <w:highlight w:val="none"/>
          <w:lang w:eastAsia="zh-CN"/>
        </w:rPr>
        <w:t>专业承包</w:t>
      </w:r>
      <w:r>
        <w:rPr>
          <w:color w:val="auto"/>
          <w:highlight w:val="none"/>
        </w:rPr>
        <w:t>人施工作业</w:t>
      </w:r>
      <w:r>
        <w:rPr>
          <w:rFonts w:hint="eastAsia"/>
          <w:color w:val="auto"/>
          <w:highlight w:val="none"/>
        </w:rPr>
        <w:t>范围</w:t>
      </w:r>
      <w:r>
        <w:rPr>
          <w:color w:val="auto"/>
          <w:highlight w:val="none"/>
        </w:rPr>
        <w:t>内</w:t>
      </w:r>
      <w:r>
        <w:rPr>
          <w:rFonts w:hint="eastAsia"/>
          <w:color w:val="auto"/>
          <w:highlight w:val="none"/>
        </w:rPr>
        <w:t>的空气</w:t>
      </w:r>
      <w:r>
        <w:rPr>
          <w:color w:val="auto"/>
          <w:highlight w:val="none"/>
        </w:rPr>
        <w:t>湿度控制由</w:t>
      </w:r>
      <w:r>
        <w:rPr>
          <w:rFonts w:hint="eastAsia"/>
          <w:color w:val="auto"/>
          <w:highlight w:val="none"/>
          <w:lang w:eastAsia="zh-CN"/>
        </w:rPr>
        <w:t>专业承包</w:t>
      </w:r>
      <w:r>
        <w:rPr>
          <w:color w:val="auto"/>
          <w:highlight w:val="none"/>
        </w:rPr>
        <w:t>人</w:t>
      </w:r>
      <w:r>
        <w:rPr>
          <w:rFonts w:hint="eastAsia"/>
          <w:color w:val="auto"/>
          <w:highlight w:val="none"/>
        </w:rPr>
        <w:t>负责</w:t>
      </w:r>
      <w:r>
        <w:rPr>
          <w:color w:val="auto"/>
          <w:highlight w:val="none"/>
        </w:rPr>
        <w:t>实施</w:t>
      </w:r>
      <w:r>
        <w:rPr>
          <w:rFonts w:hint="eastAsia"/>
          <w:color w:val="auto"/>
          <w:highlight w:val="none"/>
        </w:rPr>
        <w:t>和</w:t>
      </w:r>
      <w:r>
        <w:rPr>
          <w:color w:val="auto"/>
          <w:highlight w:val="none"/>
        </w:rPr>
        <w:t>维护</w:t>
      </w:r>
      <w:r>
        <w:rPr>
          <w:rFonts w:hint="eastAsia"/>
          <w:color w:val="auto"/>
          <w:highlight w:val="none"/>
        </w:rPr>
        <w:t>。</w:t>
      </w:r>
    </w:p>
    <w:p>
      <w:pPr>
        <w:pStyle w:val="5"/>
        <w:bidi w:val="0"/>
        <w:rPr>
          <w:color w:val="auto"/>
          <w:highlight w:val="none"/>
        </w:rPr>
      </w:pPr>
      <w:r>
        <w:rPr>
          <w:rFonts w:hint="eastAsia"/>
          <w:color w:val="auto"/>
          <w:highlight w:val="none"/>
        </w:rPr>
        <w:t>临时用</w:t>
      </w:r>
      <w:r>
        <w:rPr>
          <w:color w:val="auto"/>
          <w:highlight w:val="none"/>
        </w:rPr>
        <w:t>水</w:t>
      </w:r>
      <w:r>
        <w:rPr>
          <w:rFonts w:hint="eastAsia"/>
          <w:color w:val="auto"/>
          <w:highlight w:val="none"/>
        </w:rPr>
        <w:t>、用电、排</w:t>
      </w:r>
      <w:r>
        <w:rPr>
          <w:color w:val="auto"/>
          <w:highlight w:val="none"/>
        </w:rPr>
        <w:t>污、排水及通风等所产生的费用，总承包人</w:t>
      </w:r>
      <w:r>
        <w:rPr>
          <w:rFonts w:hint="eastAsia"/>
          <w:color w:val="auto"/>
          <w:highlight w:val="none"/>
        </w:rPr>
        <w:t>需</w:t>
      </w:r>
      <w:r>
        <w:rPr>
          <w:color w:val="auto"/>
          <w:highlight w:val="none"/>
        </w:rPr>
        <w:t>充分</w:t>
      </w:r>
      <w:r>
        <w:rPr>
          <w:rFonts w:hint="eastAsia"/>
          <w:color w:val="auto"/>
          <w:highlight w:val="none"/>
        </w:rPr>
        <w:t>考虑</w:t>
      </w:r>
      <w:r>
        <w:rPr>
          <w:color w:val="auto"/>
          <w:highlight w:val="none"/>
        </w:rPr>
        <w:tab/>
      </w:r>
      <w:r>
        <w:rPr>
          <w:color w:val="auto"/>
          <w:highlight w:val="none"/>
        </w:rPr>
        <w:t>和预估</w:t>
      </w:r>
      <w:r>
        <w:rPr>
          <w:rFonts w:hint="eastAsia"/>
          <w:color w:val="auto"/>
          <w:highlight w:val="none"/>
        </w:rPr>
        <w:t>，包干</w:t>
      </w:r>
      <w:r>
        <w:rPr>
          <w:color w:val="auto"/>
          <w:highlight w:val="none"/>
        </w:rPr>
        <w:t>报价。</w:t>
      </w:r>
    </w:p>
    <w:p>
      <w:pPr>
        <w:pStyle w:val="4"/>
        <w:bidi w:val="0"/>
        <w:rPr>
          <w:color w:val="auto"/>
          <w:highlight w:val="none"/>
        </w:rPr>
      </w:pPr>
      <w:r>
        <w:rPr>
          <w:rFonts w:hint="eastAsia"/>
          <w:color w:val="auto"/>
          <w:highlight w:val="none"/>
        </w:rPr>
        <w:t>施工</w:t>
      </w:r>
      <w:r>
        <w:rPr>
          <w:color w:val="auto"/>
          <w:highlight w:val="none"/>
        </w:rPr>
        <w:t>场地</w:t>
      </w:r>
    </w:p>
    <w:p>
      <w:pPr>
        <w:bidi w:val="0"/>
        <w:rPr>
          <w:color w:val="auto"/>
          <w:highlight w:val="none"/>
        </w:rPr>
      </w:pPr>
      <w:r>
        <w:rPr>
          <w:color w:val="auto"/>
          <w:highlight w:val="none"/>
        </w:rPr>
        <w:tab/>
      </w:r>
      <w:r>
        <w:rPr>
          <w:rFonts w:hint="eastAsia"/>
          <w:color w:val="auto"/>
          <w:highlight w:val="none"/>
        </w:rPr>
        <w:t>根据施工进度计划安排以及现场实际情况，合理安排施工场地，并为专业分</w:t>
      </w:r>
      <w:r>
        <w:rPr>
          <w:color w:val="auto"/>
          <w:highlight w:val="none"/>
        </w:rPr>
        <w:tab/>
      </w:r>
      <w:r>
        <w:rPr>
          <w:rFonts w:hint="eastAsia"/>
          <w:color w:val="auto"/>
          <w:highlight w:val="none"/>
        </w:rPr>
        <w:t>包人提供指定区域</w:t>
      </w:r>
      <w:r>
        <w:rPr>
          <w:color w:val="auto"/>
          <w:highlight w:val="none"/>
        </w:rPr>
        <w:t>，用以</w:t>
      </w:r>
      <w:r>
        <w:rPr>
          <w:rFonts w:hint="eastAsia"/>
          <w:color w:val="auto"/>
          <w:highlight w:val="none"/>
        </w:rPr>
        <w:t>搭建加工</w:t>
      </w:r>
      <w:r>
        <w:rPr>
          <w:color w:val="auto"/>
          <w:highlight w:val="none"/>
        </w:rPr>
        <w:t>场、</w:t>
      </w:r>
      <w:r>
        <w:rPr>
          <w:rFonts w:hint="eastAsia"/>
          <w:color w:val="auto"/>
          <w:highlight w:val="none"/>
        </w:rPr>
        <w:t>物资仓库、材料堆放区，并划分各自的责任区。</w:t>
      </w:r>
    </w:p>
    <w:p>
      <w:pPr>
        <w:pStyle w:val="4"/>
        <w:bidi w:val="0"/>
        <w:rPr>
          <w:color w:val="auto"/>
          <w:highlight w:val="none"/>
        </w:rPr>
      </w:pPr>
      <w:r>
        <w:rPr>
          <w:rFonts w:hint="eastAsia"/>
          <w:color w:val="auto"/>
          <w:highlight w:val="none"/>
        </w:rPr>
        <w:t xml:space="preserve"> 施工运输通道及道路</w:t>
      </w:r>
    </w:p>
    <w:p>
      <w:pPr>
        <w:pStyle w:val="5"/>
        <w:bidi w:val="0"/>
        <w:rPr>
          <w:color w:val="auto"/>
          <w:highlight w:val="none"/>
        </w:rPr>
      </w:pPr>
      <w:r>
        <w:rPr>
          <w:rFonts w:hint="eastAsia"/>
          <w:color w:val="auto"/>
          <w:highlight w:val="none"/>
        </w:rPr>
        <w:t>总承包人应规划并硬化承包标段范围内的施工运输通道及道路，且该道路应满足混凝土罐车的通行条件（包括装配式建筑车辆运行、吊装、堆场的临时道路及硬化），并承担工程施工完成后或因施工需要而导致的</w:t>
      </w:r>
      <w:r>
        <w:rPr>
          <w:rFonts w:hint="eastAsia"/>
          <w:color w:val="auto"/>
          <w:highlight w:val="none"/>
          <w:lang w:val="en-US" w:eastAsia="zh-CN"/>
        </w:rPr>
        <w:t>红线内外临时</w:t>
      </w:r>
      <w:r>
        <w:rPr>
          <w:rFonts w:hint="eastAsia"/>
          <w:color w:val="auto"/>
          <w:highlight w:val="none"/>
        </w:rPr>
        <w:t>道路拆除工作，同时将产生的垃圾清运至场外。工程施工时，应合理安排</w:t>
      </w:r>
      <w:r>
        <w:rPr>
          <w:rFonts w:hint="eastAsia"/>
          <w:color w:val="auto"/>
          <w:highlight w:val="none"/>
          <w:lang w:eastAsia="zh-CN"/>
        </w:rPr>
        <w:t>专业承包</w:t>
      </w:r>
      <w:r>
        <w:rPr>
          <w:rFonts w:hint="eastAsia"/>
          <w:color w:val="auto"/>
          <w:highlight w:val="none"/>
        </w:rPr>
        <w:t>人的施工顺序、设备、材料进场时间、车辆流量控制，确保现场施工道路畅通。除按</w:t>
      </w:r>
      <w:r>
        <w:rPr>
          <w:color w:val="auto"/>
          <w:highlight w:val="none"/>
        </w:rPr>
        <w:t>要求硬化施工场地及施工道路，还需</w:t>
      </w:r>
      <w:r>
        <w:rPr>
          <w:rFonts w:hint="eastAsia"/>
          <w:color w:val="auto"/>
          <w:highlight w:val="none"/>
        </w:rPr>
        <w:t>保证</w:t>
      </w:r>
      <w:r>
        <w:rPr>
          <w:color w:val="auto"/>
          <w:highlight w:val="none"/>
        </w:rPr>
        <w:t>对施工红线范围内的</w:t>
      </w:r>
      <w:r>
        <w:rPr>
          <w:rFonts w:hint="eastAsia"/>
          <w:color w:val="auto"/>
          <w:highlight w:val="none"/>
        </w:rPr>
        <w:t>地面</w:t>
      </w:r>
      <w:r>
        <w:rPr>
          <w:color w:val="auto"/>
          <w:highlight w:val="none"/>
        </w:rPr>
        <w:t>露土</w:t>
      </w:r>
      <w:r>
        <w:rPr>
          <w:rFonts w:hint="eastAsia"/>
          <w:color w:val="auto"/>
          <w:highlight w:val="none"/>
        </w:rPr>
        <w:t>区域</w:t>
      </w:r>
      <w:r>
        <w:rPr>
          <w:color w:val="auto"/>
          <w:highlight w:val="none"/>
        </w:rPr>
        <w:t>进行覆盖。</w:t>
      </w:r>
    </w:p>
    <w:p>
      <w:pPr>
        <w:pStyle w:val="5"/>
        <w:bidi w:val="0"/>
        <w:rPr>
          <w:color w:val="auto"/>
          <w:highlight w:val="none"/>
        </w:rPr>
      </w:pPr>
      <w:r>
        <w:rPr>
          <w:rFonts w:hint="eastAsia"/>
          <w:color w:val="auto"/>
          <w:highlight w:val="none"/>
        </w:rPr>
        <w:t>现有通行的道路、桥梁，凡与本合同工程的施工发生干扰或不能直接抵达施工现场时，承包人应</w:t>
      </w:r>
      <w:r>
        <w:rPr>
          <w:rFonts w:hint="eastAsia"/>
          <w:color w:val="auto"/>
          <w:highlight w:val="none"/>
          <w:lang w:val="en-US" w:eastAsia="zh-CN"/>
        </w:rPr>
        <w:t>根据工程建设需要修缮、新</w:t>
      </w:r>
      <w:r>
        <w:rPr>
          <w:rFonts w:hint="eastAsia"/>
          <w:color w:val="auto"/>
          <w:highlight w:val="none"/>
        </w:rPr>
        <w:t>修筑红线</w:t>
      </w:r>
      <w:r>
        <w:rPr>
          <w:rFonts w:hint="eastAsia"/>
          <w:color w:val="auto"/>
          <w:highlight w:val="none"/>
          <w:lang w:val="en-US" w:eastAsia="zh-CN"/>
        </w:rPr>
        <w:t>内</w:t>
      </w:r>
      <w:r>
        <w:rPr>
          <w:rFonts w:hint="eastAsia"/>
          <w:color w:val="auto"/>
          <w:highlight w:val="none"/>
        </w:rPr>
        <w:t>临时道路，并对其进行硬化、养护</w:t>
      </w:r>
      <w:r>
        <w:rPr>
          <w:rFonts w:hint="eastAsia"/>
          <w:color w:val="auto"/>
          <w:highlight w:val="none"/>
          <w:lang w:eastAsia="zh-CN"/>
        </w:rPr>
        <w:t>、</w:t>
      </w:r>
      <w:r>
        <w:rPr>
          <w:rFonts w:hint="eastAsia"/>
          <w:color w:val="auto"/>
          <w:highlight w:val="none"/>
          <w:lang w:val="en-US" w:eastAsia="zh-CN"/>
        </w:rPr>
        <w:t>维护</w:t>
      </w:r>
      <w:r>
        <w:rPr>
          <w:rFonts w:hint="eastAsia"/>
          <w:color w:val="auto"/>
          <w:highlight w:val="none"/>
        </w:rPr>
        <w:t>，以确保交通的畅通。承包人负责道路的维修平整、清洁、洒水、沿线设施保护等。相关费用在投标时综合考虑，结算时不单独列项计取，承包人不得以此项工作主张任何费用。</w:t>
      </w:r>
    </w:p>
    <w:p>
      <w:pPr>
        <w:pStyle w:val="5"/>
        <w:bidi w:val="0"/>
        <w:rPr>
          <w:color w:val="auto"/>
          <w:highlight w:val="none"/>
        </w:rPr>
      </w:pPr>
      <w:r>
        <w:rPr>
          <w:rFonts w:hint="eastAsia"/>
          <w:color w:val="auto"/>
          <w:highlight w:val="none"/>
        </w:rPr>
        <w:t>在合同履行期内，承包人应参照前期已修筑临时道路，根据施工实际需要增加场内临时道路、施工便道（包含桩基施工、桩基检测等工作和</w:t>
      </w:r>
      <w:r>
        <w:rPr>
          <w:rFonts w:hint="eastAsia"/>
          <w:color w:val="auto"/>
          <w:highlight w:val="none"/>
          <w:lang w:eastAsia="zh-CN"/>
        </w:rPr>
        <w:t>专业承包</w:t>
      </w:r>
      <w:r>
        <w:rPr>
          <w:rFonts w:hint="eastAsia"/>
          <w:color w:val="auto"/>
          <w:highlight w:val="none"/>
        </w:rPr>
        <w:t xml:space="preserve">需求的临时砖渣路面）等，并在使用期间进行平整、排水、清理、洒水等维护工作，保证运输畅通。场内临时路结构、宽度和长度应保证施工车辆的运输需要。开工前承包人施工临时道路、施工便道等的修筑方案须得到监理单位认可。相关费用在投标时综合考虑，结算时不单独列项计取，承包人不得以此项工作主张任何费用。  </w:t>
      </w:r>
    </w:p>
    <w:p>
      <w:pPr>
        <w:pStyle w:val="5"/>
        <w:bidi w:val="0"/>
        <w:rPr>
          <w:color w:val="auto"/>
          <w:highlight w:val="none"/>
        </w:rPr>
      </w:pPr>
      <w:r>
        <w:rPr>
          <w:rFonts w:hint="eastAsia"/>
          <w:color w:val="auto"/>
          <w:highlight w:val="none"/>
        </w:rPr>
        <w:t>施工期间对交通组织的要求必须符合公安交通管理和市交通部门的有关规定，编报施工组织设计时，应充分考虑施工期间的交通组织，并保证车辆运行畅通和安全。</w:t>
      </w:r>
    </w:p>
    <w:p>
      <w:pPr>
        <w:pStyle w:val="5"/>
        <w:bidi w:val="0"/>
        <w:rPr>
          <w:color w:val="auto"/>
          <w:highlight w:val="none"/>
        </w:rPr>
      </w:pPr>
      <w:r>
        <w:rPr>
          <w:rFonts w:hint="eastAsia"/>
          <w:color w:val="auto"/>
          <w:highlight w:val="none"/>
        </w:rPr>
        <w:t>车辆行驶产生尘埃须满足环保部门的检测要求，对于尘埃超标，承包人进行调查并采取措施以降低尘埃至有关部门可接受的程度，并令监理单位满意。</w:t>
      </w:r>
    </w:p>
    <w:p>
      <w:pPr>
        <w:pStyle w:val="5"/>
        <w:bidi w:val="0"/>
        <w:rPr>
          <w:color w:val="auto"/>
          <w:highlight w:val="none"/>
        </w:rPr>
      </w:pPr>
      <w:r>
        <w:rPr>
          <w:rFonts w:hint="eastAsia"/>
          <w:color w:val="auto"/>
          <w:highlight w:val="none"/>
        </w:rPr>
        <w:t>运输车辆产生的噪音须低于环保部门规定的程度，夜晚施工或靠近民居的工地，噪音将被要求降得更低，并满足环保部门的要求。</w:t>
      </w:r>
    </w:p>
    <w:p>
      <w:pPr>
        <w:pStyle w:val="5"/>
        <w:bidi w:val="0"/>
        <w:rPr>
          <w:color w:val="auto"/>
          <w:highlight w:val="none"/>
        </w:rPr>
      </w:pPr>
      <w:r>
        <w:rPr>
          <w:rFonts w:hint="eastAsia"/>
          <w:color w:val="auto"/>
          <w:highlight w:val="none"/>
        </w:rPr>
        <w:t>承包人仅能使用经发包人、监理单位同意的并经有关部门批准的干道出入口点，这些干道出入口点的使用也应遵守相关主管部门的限制规定。标段范围内如需增加临时出入口点，承包人须经监理单位同意后，自行办理相关手续及承担相关费用。在干道、人行道、出入口点内、或附近的施工应尽量减少干扰，应合理的、尽可能短的时间内完成。如本项目范围内设有发包人提供的临时出入口点，承包人应负责临时出入口点的施工、看管、围护和保卫工作；承包人自行申请的出入口由承包人自己负责看管、围护和保卫工作。</w:t>
      </w:r>
    </w:p>
    <w:p>
      <w:pPr>
        <w:pStyle w:val="5"/>
        <w:bidi w:val="0"/>
        <w:rPr>
          <w:color w:val="auto"/>
          <w:highlight w:val="none"/>
        </w:rPr>
      </w:pPr>
      <w:r>
        <w:rPr>
          <w:rFonts w:hint="eastAsia"/>
          <w:color w:val="auto"/>
          <w:highlight w:val="none"/>
        </w:rPr>
        <w:t>临时便道与洗车池等一切相关费用计入措施项目清单中</w:t>
      </w:r>
      <w:r>
        <w:rPr>
          <w:rFonts w:hint="eastAsia"/>
          <w:color w:val="auto"/>
          <w:highlight w:val="none"/>
          <w:lang w:eastAsia="zh-CN"/>
        </w:rPr>
        <w:t>，含淤泥清理，</w:t>
      </w:r>
      <w:r>
        <w:rPr>
          <w:rFonts w:hint="eastAsia"/>
          <w:color w:val="auto"/>
          <w:highlight w:val="none"/>
        </w:rPr>
        <w:t>淤泥清运是指在本工程施工过程中所有发生的淤泥开挖、清理、外运和废弃，所产生的费用综合考虑列入相关的综合单价或措施费中。承包人不得因此获得索偿。</w:t>
      </w:r>
    </w:p>
    <w:p>
      <w:pPr>
        <w:pStyle w:val="4"/>
        <w:bidi w:val="0"/>
        <w:rPr>
          <w:color w:val="auto"/>
          <w:highlight w:val="none"/>
        </w:rPr>
      </w:pPr>
      <w:r>
        <w:rPr>
          <w:rFonts w:hint="eastAsia"/>
          <w:color w:val="auto"/>
          <w:highlight w:val="none"/>
        </w:rPr>
        <w:t>施工</w:t>
      </w:r>
      <w:r>
        <w:rPr>
          <w:color w:val="auto"/>
          <w:highlight w:val="none"/>
        </w:rPr>
        <w:t>机械</w:t>
      </w:r>
    </w:p>
    <w:p>
      <w:pPr>
        <w:pStyle w:val="5"/>
        <w:bidi w:val="0"/>
        <w:rPr>
          <w:color w:val="auto"/>
          <w:highlight w:val="none"/>
        </w:rPr>
      </w:pPr>
      <w:r>
        <w:rPr>
          <w:rFonts w:hint="eastAsia"/>
          <w:color w:val="auto"/>
          <w:highlight w:val="none"/>
        </w:rPr>
        <w:t>无偿向</w:t>
      </w:r>
      <w:r>
        <w:rPr>
          <w:rFonts w:hint="eastAsia"/>
          <w:color w:val="auto"/>
          <w:highlight w:val="none"/>
          <w:lang w:eastAsia="zh-CN"/>
        </w:rPr>
        <w:t>专业承包</w:t>
      </w:r>
      <w:r>
        <w:rPr>
          <w:rFonts w:hint="eastAsia"/>
          <w:color w:val="auto"/>
          <w:highlight w:val="none"/>
        </w:rPr>
        <w:t>人提供现场已有的能够满足</w:t>
      </w:r>
      <w:r>
        <w:rPr>
          <w:rFonts w:hint="eastAsia"/>
          <w:color w:val="auto"/>
          <w:highlight w:val="none"/>
          <w:lang w:val="en-US" w:eastAsia="zh-CN"/>
        </w:rPr>
        <w:t>专业承包人</w:t>
      </w:r>
      <w:r>
        <w:rPr>
          <w:rFonts w:hint="eastAsia"/>
          <w:color w:val="auto"/>
          <w:highlight w:val="none"/>
        </w:rPr>
        <w:t>需求的塔吊、施工电梯、爬梯、工作台等。</w:t>
      </w:r>
    </w:p>
    <w:p>
      <w:pPr>
        <w:pStyle w:val="4"/>
        <w:bidi w:val="0"/>
        <w:rPr>
          <w:color w:val="auto"/>
          <w:highlight w:val="none"/>
        </w:rPr>
      </w:pPr>
      <w:r>
        <w:rPr>
          <w:rFonts w:hint="eastAsia"/>
          <w:color w:val="auto"/>
          <w:highlight w:val="none"/>
        </w:rPr>
        <w:t xml:space="preserve"> 脚手架</w:t>
      </w:r>
    </w:p>
    <w:p>
      <w:pPr>
        <w:bidi w:val="0"/>
        <w:rPr>
          <w:color w:val="auto"/>
          <w:highlight w:val="none"/>
        </w:rPr>
      </w:pPr>
      <w:r>
        <w:rPr>
          <w:rFonts w:hint="eastAsia"/>
          <w:color w:val="auto"/>
          <w:highlight w:val="none"/>
        </w:rPr>
        <w:t>施工脚手架拆除前，总承包人应无偿向</w:t>
      </w:r>
      <w:r>
        <w:rPr>
          <w:rFonts w:hint="eastAsia"/>
          <w:color w:val="auto"/>
          <w:highlight w:val="none"/>
          <w:lang w:eastAsia="zh-CN"/>
        </w:rPr>
        <w:t>专业承包</w:t>
      </w:r>
      <w:r>
        <w:rPr>
          <w:rFonts w:hint="eastAsia"/>
          <w:color w:val="auto"/>
          <w:highlight w:val="none"/>
        </w:rPr>
        <w:t>人/独立承包人提供施工脚手架以供使用，施工脚手架拆除后，如</w:t>
      </w:r>
      <w:r>
        <w:rPr>
          <w:rFonts w:hint="eastAsia"/>
          <w:color w:val="auto"/>
          <w:highlight w:val="none"/>
          <w:lang w:eastAsia="zh-CN"/>
        </w:rPr>
        <w:t>专业承包</w:t>
      </w:r>
      <w:r>
        <w:rPr>
          <w:rFonts w:hint="eastAsia"/>
          <w:color w:val="auto"/>
          <w:highlight w:val="none"/>
        </w:rPr>
        <w:t>人/独立承包人有使用需要，由</w:t>
      </w:r>
      <w:r>
        <w:rPr>
          <w:rFonts w:hint="eastAsia"/>
          <w:color w:val="auto"/>
          <w:highlight w:val="none"/>
          <w:lang w:eastAsia="zh-CN"/>
        </w:rPr>
        <w:t>专业承包</w:t>
      </w:r>
      <w:r>
        <w:rPr>
          <w:rFonts w:hint="eastAsia"/>
          <w:color w:val="auto"/>
          <w:highlight w:val="none"/>
        </w:rPr>
        <w:t>人自行搭设总承包人予以配合；或由总承包人有偿提供搭设脚手架服务，搭设费用标准</w:t>
      </w:r>
      <w:r>
        <w:rPr>
          <w:color w:val="auto"/>
          <w:highlight w:val="none"/>
        </w:rPr>
        <w:t>应与市场价格相当</w:t>
      </w:r>
      <w:r>
        <w:rPr>
          <w:rFonts w:hint="eastAsia"/>
          <w:color w:val="auto"/>
          <w:highlight w:val="none"/>
        </w:rPr>
        <w:t>。</w:t>
      </w:r>
    </w:p>
    <w:p>
      <w:pPr>
        <w:pStyle w:val="4"/>
        <w:bidi w:val="0"/>
        <w:rPr>
          <w:color w:val="auto"/>
          <w:highlight w:val="none"/>
        </w:rPr>
      </w:pPr>
      <w:r>
        <w:rPr>
          <w:rFonts w:hint="eastAsia"/>
          <w:color w:val="auto"/>
          <w:highlight w:val="none"/>
        </w:rPr>
        <w:t>垃圾</w:t>
      </w:r>
      <w:r>
        <w:rPr>
          <w:color w:val="auto"/>
          <w:highlight w:val="none"/>
        </w:rPr>
        <w:t>清运</w:t>
      </w:r>
    </w:p>
    <w:p>
      <w:pPr>
        <w:widowControl/>
        <w:snapToGrid/>
        <w:spacing w:line="360" w:lineRule="auto"/>
        <w:ind w:firstLine="480"/>
        <w:jc w:val="left"/>
        <w:rPr>
          <w:rFonts w:hint="eastAsia"/>
          <w:color w:val="auto"/>
          <w:highlight w:val="none"/>
          <w:lang w:val="zh-TW"/>
        </w:rPr>
      </w:pPr>
      <w:r>
        <w:rPr>
          <w:rFonts w:hint="eastAsia"/>
          <w:color w:val="auto"/>
          <w:highlight w:val="none"/>
        </w:rPr>
        <w:t>4.2.8.1</w:t>
      </w:r>
      <w:r>
        <w:rPr>
          <w:rFonts w:hint="eastAsia"/>
          <w:color w:val="auto"/>
          <w:highlight w:val="none"/>
          <w:lang w:val="zh-TW"/>
        </w:rPr>
        <w:t>本工程按照国家有关规定、规范进行施工、验收，具体以施工图纸及相关技术和验收标准、遵照发包人相关规定要求为准。</w:t>
      </w:r>
    </w:p>
    <w:p>
      <w:pPr>
        <w:widowControl/>
        <w:snapToGrid/>
        <w:spacing w:line="360" w:lineRule="auto"/>
        <w:ind w:firstLine="480"/>
        <w:jc w:val="left"/>
        <w:rPr>
          <w:rFonts w:hint="eastAsia"/>
          <w:color w:val="auto"/>
          <w:highlight w:val="none"/>
          <w:lang w:val="zh-TW"/>
        </w:rPr>
      </w:pPr>
      <w:r>
        <w:rPr>
          <w:rFonts w:hint="eastAsia"/>
          <w:color w:val="auto"/>
          <w:highlight w:val="none"/>
        </w:rPr>
        <w:t>（1）</w:t>
      </w:r>
      <w:r>
        <w:rPr>
          <w:rFonts w:hint="eastAsia"/>
          <w:color w:val="auto"/>
          <w:highlight w:val="none"/>
          <w:lang w:val="zh-TW"/>
        </w:rPr>
        <w:t>本工程采用的工程建设标准、规范必须遵守现行中华人民共和国以及广东省、广州市或行业最新的工程建设标准及规范，且必须满足设计文件的相关要求，和上级主管部门对配售型</w:t>
      </w:r>
      <w:r>
        <w:rPr>
          <w:rFonts w:hint="eastAsia"/>
          <w:color w:val="auto"/>
          <w:highlight w:val="none"/>
        </w:rPr>
        <w:t>住</w:t>
      </w:r>
      <w:r>
        <w:rPr>
          <w:rFonts w:hint="eastAsia"/>
          <w:color w:val="auto"/>
          <w:highlight w:val="none"/>
          <w:lang w:val="zh-TW"/>
        </w:rPr>
        <w:t>房的要求。</w:t>
      </w:r>
    </w:p>
    <w:p>
      <w:pPr>
        <w:widowControl/>
        <w:snapToGrid/>
        <w:spacing w:line="360" w:lineRule="auto"/>
        <w:ind w:firstLine="480"/>
        <w:jc w:val="left"/>
        <w:rPr>
          <w:color w:val="auto"/>
          <w:highlight w:val="none"/>
        </w:rPr>
      </w:pPr>
      <w:r>
        <w:rPr>
          <w:rFonts w:hint="eastAsia"/>
          <w:color w:val="auto"/>
          <w:highlight w:val="none"/>
        </w:rPr>
        <w:t>（2）</w:t>
      </w:r>
      <w:r>
        <w:rPr>
          <w:rFonts w:hint="eastAsia"/>
          <w:color w:val="auto"/>
          <w:highlight w:val="none"/>
          <w:lang w:val="zh-TW"/>
        </w:rPr>
        <w:t>本工程实施中采用的材料、设备与工艺，都必须符合上述标准、规范及设计文件的相应要求。</w:t>
      </w:r>
    </w:p>
    <w:p>
      <w:pPr>
        <w:pStyle w:val="5"/>
        <w:numPr>
          <w:ilvl w:val="3"/>
          <w:numId w:val="0"/>
        </w:numPr>
        <w:ind w:firstLine="480" w:firstLineChars="200"/>
        <w:rPr>
          <w:color w:val="auto"/>
          <w:highlight w:val="none"/>
        </w:rPr>
      </w:pPr>
      <w:r>
        <w:rPr>
          <w:color w:val="auto"/>
          <w:highlight w:val="none"/>
        </w:rPr>
        <w:t>4.2.8.</w:t>
      </w:r>
      <w:r>
        <w:rPr>
          <w:rFonts w:hint="eastAsia"/>
          <w:color w:val="auto"/>
          <w:highlight w:val="none"/>
        </w:rPr>
        <w:t>2</w:t>
      </w:r>
      <w:r>
        <w:rPr>
          <w:color w:val="auto"/>
          <w:highlight w:val="none"/>
        </w:rPr>
        <w:t>总承包人应严格遵守并执行《广东省建筑垃圾管理条例》，应通过施工图纸深化、施工方案优化、永临结合、临时设施和周转材料重复利用、施工过程管理等控制措施，从源头控制施工现场建筑垃圾的产生。</w:t>
      </w:r>
    </w:p>
    <w:p>
      <w:pPr>
        <w:pStyle w:val="5"/>
        <w:numPr>
          <w:ilvl w:val="3"/>
          <w:numId w:val="0"/>
        </w:numPr>
        <w:ind w:firstLine="480" w:firstLineChars="200"/>
        <w:rPr>
          <w:color w:val="auto"/>
          <w:highlight w:val="none"/>
        </w:rPr>
      </w:pPr>
      <w:r>
        <w:rPr>
          <w:color w:val="auto"/>
          <w:highlight w:val="none"/>
        </w:rPr>
        <w:t>4.2.8.</w:t>
      </w:r>
      <w:r>
        <w:rPr>
          <w:rFonts w:hint="eastAsia"/>
          <w:color w:val="auto"/>
          <w:highlight w:val="none"/>
        </w:rPr>
        <w:t>3</w:t>
      </w:r>
      <w:r>
        <w:rPr>
          <w:color w:val="auto"/>
          <w:highlight w:val="none"/>
        </w:rPr>
        <w:t>总承包人应落实《广东省建筑垃圾管理条例》要求，对施工现场的建筑垃圾精细化分类分质利用，将符合条件的建筑垃圾用于生产以建筑垃圾为主要原料的再生粉料、再生骨料、再生骨料混凝土及其构件、再生骨料砂浆、再生混合料、再生混凝土砖、再生混凝土砌块、再生混凝土墙板、烧结砖和烧结砌块等建筑垃圾综合利用产品。对建筑垃圾里分拣出来的废钢筋、废电线、废铁丝等，可用于材料再生；废竹木料可用于制造人造板材或者生产生物质碳等产品。</w:t>
      </w:r>
    </w:p>
    <w:p>
      <w:pPr>
        <w:pStyle w:val="5"/>
        <w:numPr>
          <w:ilvl w:val="3"/>
          <w:numId w:val="0"/>
        </w:numPr>
        <w:ind w:firstLine="480" w:firstLineChars="200"/>
        <w:rPr>
          <w:color w:val="auto"/>
          <w:highlight w:val="none"/>
        </w:rPr>
      </w:pPr>
      <w:r>
        <w:rPr>
          <w:color w:val="auto"/>
          <w:highlight w:val="none"/>
        </w:rPr>
        <w:t>4.2.8.</w:t>
      </w:r>
      <w:r>
        <w:rPr>
          <w:rFonts w:hint="eastAsia"/>
          <w:color w:val="auto"/>
          <w:highlight w:val="none"/>
        </w:rPr>
        <w:t>4</w:t>
      </w:r>
      <w:r>
        <w:rPr>
          <w:color w:val="auto"/>
          <w:highlight w:val="none"/>
        </w:rPr>
        <w:t>总承包单位应当编制建筑垃圾处理方案，采取污染防治措施，并在开工前报工程所在地建筑垃圾主管部门备案。建筑垃圾处理方案内容有调整的，应当及时报告接受备案的部门。建筑垃圾处理方案应当包括下列内容：</w:t>
      </w:r>
    </w:p>
    <w:p>
      <w:pPr>
        <w:ind w:firstLine="480"/>
        <w:rPr>
          <w:color w:val="auto"/>
          <w:highlight w:val="none"/>
        </w:rPr>
      </w:pPr>
      <w:r>
        <w:rPr>
          <w:rFonts w:hint="eastAsia"/>
          <w:color w:val="auto"/>
          <w:highlight w:val="none"/>
        </w:rPr>
        <w:t>（</w:t>
      </w:r>
      <w:r>
        <w:rPr>
          <w:color w:val="auto"/>
          <w:highlight w:val="none"/>
        </w:rPr>
        <w:t>1）工程概况和施工单位基本信息；</w:t>
      </w:r>
    </w:p>
    <w:p>
      <w:pPr>
        <w:ind w:firstLine="480"/>
        <w:rPr>
          <w:color w:val="auto"/>
          <w:highlight w:val="none"/>
        </w:rPr>
      </w:pPr>
      <w:r>
        <w:rPr>
          <w:rFonts w:hint="eastAsia"/>
          <w:color w:val="auto"/>
          <w:highlight w:val="none"/>
        </w:rPr>
        <w:t>（</w:t>
      </w:r>
      <w:r>
        <w:rPr>
          <w:color w:val="auto"/>
          <w:highlight w:val="none"/>
        </w:rPr>
        <w:t>2）建筑垃圾产生量与种类；</w:t>
      </w:r>
    </w:p>
    <w:p>
      <w:pPr>
        <w:ind w:firstLine="480"/>
        <w:rPr>
          <w:color w:val="auto"/>
          <w:highlight w:val="none"/>
        </w:rPr>
      </w:pPr>
      <w:r>
        <w:rPr>
          <w:rFonts w:hint="eastAsia"/>
          <w:color w:val="auto"/>
          <w:highlight w:val="none"/>
        </w:rPr>
        <w:t>（</w:t>
      </w:r>
      <w:r>
        <w:rPr>
          <w:color w:val="auto"/>
          <w:highlight w:val="none"/>
        </w:rPr>
        <w:t>3）建筑垃圾源头减量、分类收集、综合利用、污染防治的措施和目标；</w:t>
      </w:r>
    </w:p>
    <w:p>
      <w:pPr>
        <w:ind w:firstLine="480"/>
        <w:rPr>
          <w:color w:val="auto"/>
          <w:highlight w:val="none"/>
        </w:rPr>
      </w:pPr>
      <w:r>
        <w:rPr>
          <w:rFonts w:hint="eastAsia"/>
          <w:color w:val="auto"/>
          <w:highlight w:val="none"/>
        </w:rPr>
        <w:t>（</w:t>
      </w:r>
      <w:r>
        <w:rPr>
          <w:color w:val="auto"/>
          <w:highlight w:val="none"/>
        </w:rPr>
        <w:t>4）需要外运的建筑垃圾种类、数量与运输的时间、路线、方式和运输单位；</w:t>
      </w:r>
    </w:p>
    <w:p>
      <w:pPr>
        <w:ind w:firstLine="480"/>
        <w:rPr>
          <w:color w:val="auto"/>
          <w:highlight w:val="none"/>
        </w:rPr>
      </w:pPr>
      <w:r>
        <w:rPr>
          <w:rFonts w:hint="eastAsia"/>
          <w:color w:val="auto"/>
          <w:highlight w:val="none"/>
        </w:rPr>
        <w:t>（</w:t>
      </w:r>
      <w:r>
        <w:rPr>
          <w:color w:val="auto"/>
          <w:highlight w:val="none"/>
        </w:rPr>
        <w:t>5）建筑垃圾回填、消纳、综合利用场所名称；</w:t>
      </w:r>
    </w:p>
    <w:p>
      <w:pPr>
        <w:ind w:firstLine="480"/>
        <w:rPr>
          <w:color w:val="auto"/>
          <w:highlight w:val="none"/>
        </w:rPr>
      </w:pPr>
      <w:r>
        <w:rPr>
          <w:rFonts w:hint="eastAsia"/>
          <w:color w:val="auto"/>
          <w:highlight w:val="none"/>
        </w:rPr>
        <w:t>（</w:t>
      </w:r>
      <w:r>
        <w:rPr>
          <w:color w:val="auto"/>
          <w:highlight w:val="none"/>
        </w:rPr>
        <w:t>6）法律、法规规定的其他内容。</w:t>
      </w:r>
    </w:p>
    <w:p>
      <w:pPr>
        <w:pStyle w:val="5"/>
        <w:numPr>
          <w:ilvl w:val="3"/>
          <w:numId w:val="0"/>
        </w:numPr>
        <w:ind w:firstLine="480" w:firstLineChars="200"/>
        <w:rPr>
          <w:color w:val="auto"/>
          <w:highlight w:val="none"/>
        </w:rPr>
      </w:pPr>
      <w:r>
        <w:rPr>
          <w:color w:val="auto"/>
          <w:highlight w:val="none"/>
        </w:rPr>
        <w:t>4.2.8.</w:t>
      </w:r>
      <w:r>
        <w:rPr>
          <w:rFonts w:hint="eastAsia"/>
          <w:color w:val="auto"/>
          <w:highlight w:val="none"/>
        </w:rPr>
        <w:t>5</w:t>
      </w:r>
      <w:r>
        <w:rPr>
          <w:color w:val="auto"/>
          <w:highlight w:val="none"/>
        </w:rPr>
        <w:t>总承包单位应当按照国家有关规定对施工现场的建筑垃圾进行分类，实行分类收集、分类贮存、分类运输、分类处置。</w:t>
      </w:r>
    </w:p>
    <w:p>
      <w:pPr>
        <w:pStyle w:val="5"/>
        <w:numPr>
          <w:ilvl w:val="3"/>
          <w:numId w:val="0"/>
        </w:numPr>
        <w:ind w:firstLine="480" w:firstLineChars="200"/>
        <w:rPr>
          <w:color w:val="auto"/>
          <w:highlight w:val="none"/>
        </w:rPr>
      </w:pPr>
      <w:r>
        <w:rPr>
          <w:color w:val="auto"/>
          <w:highlight w:val="none"/>
        </w:rPr>
        <w:t>4.2.8.</w:t>
      </w:r>
      <w:r>
        <w:rPr>
          <w:rFonts w:hint="eastAsia"/>
          <w:color w:val="auto"/>
          <w:highlight w:val="none"/>
        </w:rPr>
        <w:t>6</w:t>
      </w:r>
      <w:r>
        <w:rPr>
          <w:color w:val="auto"/>
          <w:highlight w:val="none"/>
        </w:rPr>
        <w:t>总承包单位应开展建筑垃圾分类和合法装载，并及时向工程所在地建筑垃圾主管部门报送建筑垃圾处理方案。总承包单位应当建立建筑垃圾管理台账，分类收集、贮存和及时清运施工过程中产生的建筑垃圾，采取有效措施防止混合已分类的建筑垃圾。总承包单位应当将建筑垃圾的产生量与种类、清运时间、最终去向等信息在施工现场公示，接受社会监督。</w:t>
      </w:r>
    </w:p>
    <w:p>
      <w:pPr>
        <w:ind w:firstLine="480"/>
        <w:rPr>
          <w:color w:val="auto"/>
          <w:highlight w:val="none"/>
        </w:rPr>
      </w:pPr>
      <w:r>
        <w:rPr>
          <w:rFonts w:hint="eastAsia"/>
          <w:color w:val="auto"/>
          <w:highlight w:val="none"/>
        </w:rPr>
        <w:t>运输建筑垃圾应当遵守下列规定：</w:t>
      </w:r>
    </w:p>
    <w:p>
      <w:pPr>
        <w:ind w:firstLine="480"/>
        <w:rPr>
          <w:color w:val="auto"/>
          <w:highlight w:val="none"/>
        </w:rPr>
      </w:pPr>
      <w:r>
        <w:rPr>
          <w:rFonts w:hint="eastAsia"/>
          <w:color w:val="auto"/>
          <w:highlight w:val="none"/>
        </w:rPr>
        <w:t>（</w:t>
      </w:r>
      <w:r>
        <w:rPr>
          <w:color w:val="auto"/>
          <w:highlight w:val="none"/>
        </w:rPr>
        <w:t>1）建立建筑垃圾运输管理台账；</w:t>
      </w:r>
    </w:p>
    <w:p>
      <w:pPr>
        <w:ind w:firstLine="480"/>
        <w:rPr>
          <w:color w:val="auto"/>
          <w:highlight w:val="none"/>
        </w:rPr>
      </w:pPr>
      <w:r>
        <w:rPr>
          <w:rFonts w:hint="eastAsia"/>
          <w:color w:val="auto"/>
          <w:highlight w:val="none"/>
        </w:rPr>
        <w:t>（</w:t>
      </w:r>
      <w:r>
        <w:rPr>
          <w:color w:val="auto"/>
          <w:highlight w:val="none"/>
        </w:rPr>
        <w:t>2）不得将工程渣土、工程泥浆与其他建筑垃圾混合运输；</w:t>
      </w:r>
    </w:p>
    <w:p>
      <w:pPr>
        <w:ind w:firstLine="480"/>
        <w:rPr>
          <w:color w:val="auto"/>
          <w:highlight w:val="none"/>
        </w:rPr>
      </w:pPr>
      <w:r>
        <w:rPr>
          <w:rFonts w:hint="eastAsia"/>
          <w:color w:val="auto"/>
          <w:highlight w:val="none"/>
        </w:rPr>
        <w:t>（</w:t>
      </w:r>
      <w:r>
        <w:rPr>
          <w:color w:val="auto"/>
          <w:highlight w:val="none"/>
        </w:rPr>
        <w:t>3）保持运输车辆、船舶等运输工具的行驶记录、卫星定位等电子装置正常使用；</w:t>
      </w:r>
    </w:p>
    <w:p>
      <w:pPr>
        <w:ind w:firstLine="480"/>
        <w:rPr>
          <w:color w:val="auto"/>
          <w:highlight w:val="none"/>
        </w:rPr>
      </w:pPr>
      <w:r>
        <w:rPr>
          <w:rFonts w:hint="eastAsia"/>
          <w:color w:val="auto"/>
          <w:highlight w:val="none"/>
        </w:rPr>
        <w:t>（</w:t>
      </w:r>
      <w:r>
        <w:rPr>
          <w:color w:val="auto"/>
          <w:highlight w:val="none"/>
        </w:rPr>
        <w:t>4）运输过程中保持运输工具整洁，采取密闭或者其他有效措施防止遗撒建筑垃圾，不得擅自倾倒、抛撒建筑垃圾；</w:t>
      </w:r>
    </w:p>
    <w:p>
      <w:pPr>
        <w:ind w:firstLine="480"/>
        <w:rPr>
          <w:color w:val="auto"/>
          <w:highlight w:val="none"/>
        </w:rPr>
      </w:pPr>
      <w:r>
        <w:rPr>
          <w:rFonts w:hint="eastAsia"/>
          <w:color w:val="auto"/>
          <w:highlight w:val="none"/>
        </w:rPr>
        <w:t>（</w:t>
      </w:r>
      <w:r>
        <w:rPr>
          <w:color w:val="auto"/>
          <w:highlight w:val="none"/>
        </w:rPr>
        <w:t>5）按照建筑垃圾处理方案确定的时间、路线、方式、场所进行运输。建筑垃圾运输车辆、船舶应当符合相应的载运技术条件。建筑垃圾处置场所为陆域的，不得采用开底式船舶运输建筑垃圾。</w:t>
      </w:r>
    </w:p>
    <w:p>
      <w:pPr>
        <w:pStyle w:val="5"/>
        <w:numPr>
          <w:ilvl w:val="3"/>
          <w:numId w:val="0"/>
        </w:numPr>
        <w:ind w:firstLine="480" w:firstLineChars="200"/>
        <w:rPr>
          <w:color w:val="auto"/>
          <w:highlight w:val="none"/>
        </w:rPr>
      </w:pPr>
      <w:r>
        <w:rPr>
          <w:color w:val="auto"/>
          <w:highlight w:val="none"/>
        </w:rPr>
        <w:t>4.2.8.</w:t>
      </w:r>
      <w:r>
        <w:rPr>
          <w:rFonts w:hint="eastAsia"/>
          <w:color w:val="auto"/>
          <w:highlight w:val="none"/>
        </w:rPr>
        <w:t>7</w:t>
      </w:r>
      <w:r>
        <w:rPr>
          <w:color w:val="auto"/>
          <w:highlight w:val="none"/>
        </w:rPr>
        <w:t>工程泥浆应当在施工现场进行脱水固化处理。施工现场不具备条件的，应当采用罐装器具密闭运输至依法设置的建筑垃圾处置场所进行处置。水上工程中依法无需经脱水处理的除外。建筑垃圾应当按照下列方式，优先就地就近利用：</w:t>
      </w:r>
    </w:p>
    <w:p>
      <w:pPr>
        <w:ind w:firstLine="480"/>
        <w:rPr>
          <w:color w:val="auto"/>
          <w:highlight w:val="none"/>
        </w:rPr>
      </w:pPr>
      <w:r>
        <w:rPr>
          <w:rFonts w:hint="eastAsia"/>
          <w:color w:val="auto"/>
          <w:highlight w:val="none"/>
        </w:rPr>
        <w:t>（</w:t>
      </w:r>
      <w:r>
        <w:rPr>
          <w:color w:val="auto"/>
          <w:highlight w:val="none"/>
        </w:rPr>
        <w:t>1）工程渣土及脱水后的工程泥浆优先用于土方平衡、矿坑修复、环境治理、烧结制品及回填等；</w:t>
      </w:r>
    </w:p>
    <w:p>
      <w:pPr>
        <w:ind w:firstLine="480"/>
        <w:rPr>
          <w:color w:val="auto"/>
          <w:highlight w:val="none"/>
        </w:rPr>
      </w:pPr>
      <w:r>
        <w:rPr>
          <w:rFonts w:hint="eastAsia"/>
          <w:color w:val="auto"/>
          <w:highlight w:val="none"/>
        </w:rPr>
        <w:t>（</w:t>
      </w:r>
      <w:r>
        <w:rPr>
          <w:color w:val="auto"/>
          <w:highlight w:val="none"/>
        </w:rPr>
        <w:t>2）工程垃圾、拆除垃圾和装修垃圾优先用于生产再生骨料、再生砖、再生砌块、再生沥青混合料等建筑垃圾综合利用产品。具备现场综合利用条件的建设工程，应当进行建筑垃圾现场综合利用。</w:t>
      </w:r>
    </w:p>
    <w:p>
      <w:pPr>
        <w:pStyle w:val="5"/>
        <w:numPr>
          <w:ilvl w:val="3"/>
          <w:numId w:val="0"/>
        </w:numPr>
        <w:ind w:firstLine="480" w:firstLineChars="200"/>
        <w:rPr>
          <w:color w:val="auto"/>
          <w:highlight w:val="none"/>
        </w:rPr>
      </w:pPr>
      <w:r>
        <w:rPr>
          <w:rFonts w:hint="eastAsia"/>
          <w:color w:val="auto"/>
          <w:highlight w:val="none"/>
        </w:rPr>
        <w:t>4.2.8.8总承包人须在施工现场的合理位置设置废弃物与垃圾堆场，并根据施工现场总平面的变化及时变更废弃物与垃圾堆场的位置。</w:t>
      </w:r>
    </w:p>
    <w:p>
      <w:pPr>
        <w:pStyle w:val="5"/>
        <w:numPr>
          <w:ilvl w:val="3"/>
          <w:numId w:val="0"/>
        </w:numPr>
        <w:ind w:firstLine="480" w:firstLineChars="200"/>
        <w:rPr>
          <w:color w:val="auto"/>
          <w:highlight w:val="none"/>
        </w:rPr>
      </w:pPr>
      <w:bookmarkStart w:id="161" w:name="_Hlk168670636"/>
      <w:r>
        <w:rPr>
          <w:rFonts w:hint="eastAsia"/>
          <w:color w:val="auto"/>
          <w:highlight w:val="none"/>
        </w:rPr>
        <w:t>4.2.8.9现场设置垃圾堆场，专业承包人/独立承包人将各自垃圾清理集中运至就近</w:t>
      </w:r>
      <w:r>
        <w:rPr>
          <w:color w:val="auto"/>
          <w:highlight w:val="none"/>
        </w:rPr>
        <w:t>的废物收集点</w:t>
      </w:r>
      <w:r>
        <w:rPr>
          <w:rFonts w:hint="eastAsia"/>
          <w:color w:val="auto"/>
          <w:highlight w:val="none"/>
        </w:rPr>
        <w:t>后，分别进行外运处理，并保证垃圾不过夜。由总承包统筹临时堆放场地、运输安排、弃放场地等并满足文明施工相关规定，费用各自自行承担。</w:t>
      </w:r>
    </w:p>
    <w:bookmarkEnd w:id="161"/>
    <w:p>
      <w:pPr>
        <w:pStyle w:val="4"/>
        <w:bidi w:val="0"/>
        <w:rPr>
          <w:color w:val="auto"/>
          <w:highlight w:val="none"/>
        </w:rPr>
      </w:pPr>
      <w:r>
        <w:rPr>
          <w:rFonts w:hint="eastAsia"/>
          <w:color w:val="auto"/>
          <w:highlight w:val="none"/>
        </w:rPr>
        <w:t>安全</w:t>
      </w:r>
      <w:r>
        <w:rPr>
          <w:color w:val="auto"/>
          <w:highlight w:val="none"/>
        </w:rPr>
        <w:t>保卫</w:t>
      </w:r>
    </w:p>
    <w:p>
      <w:pPr>
        <w:pStyle w:val="5"/>
        <w:bidi w:val="0"/>
        <w:rPr>
          <w:color w:val="auto"/>
          <w:highlight w:val="none"/>
        </w:rPr>
      </w:pPr>
      <w:r>
        <w:rPr>
          <w:rFonts w:hint="eastAsia"/>
          <w:color w:val="auto"/>
          <w:highlight w:val="none"/>
        </w:rPr>
        <w:t>对项目实施</w:t>
      </w:r>
      <w:r>
        <w:rPr>
          <w:color w:val="auto"/>
          <w:highlight w:val="none"/>
        </w:rPr>
        <w:t>24</w:t>
      </w:r>
      <w:r>
        <w:rPr>
          <w:rFonts w:hint="eastAsia"/>
          <w:color w:val="auto"/>
          <w:highlight w:val="none"/>
        </w:rPr>
        <w:t>小时封闭式管理，聘用实力强、有较好信誉及管理水平的专业保安公司负责现场治安保卫工作。</w:t>
      </w:r>
    </w:p>
    <w:p>
      <w:pPr>
        <w:pStyle w:val="5"/>
        <w:bidi w:val="0"/>
        <w:rPr>
          <w:color w:val="auto"/>
          <w:highlight w:val="none"/>
        </w:rPr>
      </w:pPr>
      <w:r>
        <w:rPr>
          <w:rFonts w:hint="eastAsia"/>
          <w:color w:val="auto"/>
          <w:highlight w:val="none"/>
        </w:rPr>
        <w:t>须在现场设置一块不小于4㎡（屏幕净面积）的全彩LED显示屏，及确保LED屏在本工程施工全程的正常工作、安全稳固、耐用所需的一切配套系统、设施及管理维护。显示屏像素间距至少达到P10，具备流畅清晰播放视频动画、图像及文字功能，主要用于播放典型安全事故案例、安全教育宣传动画、播报现场安全动态、质量标杆及良好做法视频或图片等内容。</w:t>
      </w:r>
    </w:p>
    <w:p>
      <w:pPr>
        <w:pStyle w:val="5"/>
        <w:bidi w:val="0"/>
        <w:rPr>
          <w:rFonts w:hint="eastAsia"/>
          <w:color w:val="auto"/>
          <w:highlight w:val="none"/>
        </w:rPr>
      </w:pPr>
      <w:r>
        <w:rPr>
          <w:rFonts w:hint="eastAsia"/>
          <w:color w:val="auto"/>
          <w:highlight w:val="none"/>
        </w:rPr>
        <w:t>工地围挡每50m至少设1个数字摄像头，工地及办公生活区出入口、施工电梯首层出入口、提前投入运行的正式电梯的首层出入口、食堂、饮用水（茶水）集中供应点、贵重材料堆场（仓库）及其它重要区域均须设置不少于1个数字摄像头，同时负责数字摄像头正常工作所需的一切配套设施设备（包括但不限于电子计算机系统、照明系统及防雷接地系统等）。数字摄像头设置的位置应保证重点部位通视、可覆盖，并确保对施工现场进行全天候、全范围监视管理。电子监控影像记录必须保存不少于90日。</w:t>
      </w:r>
      <w:r>
        <w:rPr>
          <w:rFonts w:hint="eastAsia"/>
          <w:color w:val="auto"/>
          <w:highlight w:val="none"/>
          <w:lang w:val="en-US" w:eastAsia="zh-CN"/>
        </w:rPr>
        <w:t>工地的接入住建局系统的摄像头，同步按要求接入发包人指定的视频系统。</w:t>
      </w:r>
    </w:p>
    <w:p>
      <w:pPr>
        <w:pStyle w:val="5"/>
        <w:bidi w:val="0"/>
        <w:rPr>
          <w:color w:val="auto"/>
          <w:highlight w:val="none"/>
        </w:rPr>
      </w:pPr>
      <w:r>
        <w:rPr>
          <w:rFonts w:hint="eastAsia"/>
          <w:color w:val="auto"/>
          <w:highlight w:val="none"/>
        </w:rPr>
        <w:t>在现场每个出入口至少配备</w:t>
      </w:r>
      <w:r>
        <w:rPr>
          <w:color w:val="auto"/>
          <w:highlight w:val="none"/>
        </w:rPr>
        <w:t>2</w:t>
      </w:r>
      <w:r>
        <w:rPr>
          <w:rFonts w:hint="eastAsia"/>
          <w:color w:val="auto"/>
          <w:highlight w:val="none"/>
        </w:rPr>
        <w:t>部金属探测仪、对讲机。</w:t>
      </w:r>
    </w:p>
    <w:p>
      <w:pPr>
        <w:pStyle w:val="5"/>
        <w:bidi w:val="0"/>
        <w:rPr>
          <w:color w:val="auto"/>
          <w:highlight w:val="none"/>
        </w:rPr>
      </w:pPr>
      <w:r>
        <w:rPr>
          <w:rFonts w:hint="eastAsia"/>
          <w:color w:val="auto"/>
          <w:highlight w:val="none"/>
        </w:rPr>
        <w:t>出入口须设置保安岗亭，并有门卫</w:t>
      </w:r>
      <w:r>
        <w:rPr>
          <w:color w:val="auto"/>
          <w:highlight w:val="none"/>
        </w:rPr>
        <w:t>24</w:t>
      </w:r>
      <w:r>
        <w:rPr>
          <w:rFonts w:hint="eastAsia"/>
          <w:color w:val="auto"/>
          <w:highlight w:val="none"/>
        </w:rPr>
        <w:t>小时值班。</w:t>
      </w:r>
    </w:p>
    <w:p>
      <w:pPr>
        <w:pStyle w:val="5"/>
        <w:bidi w:val="0"/>
        <w:rPr>
          <w:color w:val="auto"/>
          <w:highlight w:val="none"/>
        </w:rPr>
      </w:pPr>
      <w:r>
        <w:rPr>
          <w:rFonts w:hint="eastAsia"/>
          <w:color w:val="auto"/>
          <w:highlight w:val="none"/>
        </w:rPr>
        <w:t>设置人脸识别门禁系统，确保所有人员经过门禁系统识别确认后方能进入现场。门禁系统设置应充分考虑高峰期出入人流量，不得对正常出入秩序造成影响。</w:t>
      </w:r>
    </w:p>
    <w:p>
      <w:pPr>
        <w:pStyle w:val="5"/>
        <w:bidi w:val="0"/>
        <w:rPr>
          <w:color w:val="auto"/>
          <w:highlight w:val="none"/>
        </w:rPr>
      </w:pPr>
      <w:r>
        <w:rPr>
          <w:rFonts w:hint="eastAsia"/>
          <w:color w:val="auto"/>
          <w:highlight w:val="none"/>
        </w:rPr>
        <w:t>车辆、材料进出须做好登记拍照及确认后方可放行。</w:t>
      </w:r>
    </w:p>
    <w:p>
      <w:pPr>
        <w:pStyle w:val="5"/>
        <w:bidi w:val="0"/>
        <w:rPr>
          <w:color w:val="auto"/>
          <w:highlight w:val="none"/>
        </w:rPr>
      </w:pPr>
      <w:r>
        <w:rPr>
          <w:rFonts w:hint="eastAsia"/>
          <w:color w:val="auto"/>
          <w:highlight w:val="none"/>
        </w:rPr>
        <w:t>为观摩学习、检查指导等来访人员提供安全防护用品，并做好入场提醒教育、登记。</w:t>
      </w:r>
    </w:p>
    <w:p>
      <w:pPr>
        <w:pStyle w:val="5"/>
        <w:bidi w:val="0"/>
        <w:rPr>
          <w:color w:val="auto"/>
          <w:highlight w:val="none"/>
        </w:rPr>
      </w:pPr>
      <w:r>
        <w:rPr>
          <w:rFonts w:hint="eastAsia"/>
          <w:color w:val="auto"/>
          <w:highlight w:val="none"/>
        </w:rPr>
        <w:t>严禁外来人员私自进入施工现场，严禁现场安保人员与外来人员进行攀谈对项目造成负面影响，如有发生，发包人有权进行处罚。</w:t>
      </w:r>
    </w:p>
    <w:p>
      <w:pPr>
        <w:pStyle w:val="5"/>
        <w:bidi w:val="0"/>
        <w:rPr>
          <w:rFonts w:hint="eastAsia"/>
          <w:color w:val="auto"/>
          <w:highlight w:val="none"/>
          <w:lang w:val="en-US" w:eastAsia="zh-CN"/>
        </w:rPr>
      </w:pPr>
      <w:r>
        <w:rPr>
          <w:rFonts w:hint="eastAsia"/>
          <w:color w:val="auto"/>
          <w:highlight w:val="none"/>
        </w:rPr>
        <w:t>项目交付前总承包人应与物业公司做好安保工作移交手续，避免出现管理空档期。</w:t>
      </w:r>
    </w:p>
    <w:p>
      <w:pPr>
        <w:pStyle w:val="3"/>
        <w:bidi w:val="0"/>
        <w:rPr>
          <w:color w:val="auto"/>
          <w:highlight w:val="none"/>
        </w:rPr>
      </w:pPr>
      <w:bookmarkStart w:id="162" w:name="_Toc169722202"/>
      <w:bookmarkStart w:id="163" w:name="_Toc18865"/>
      <w:bookmarkStart w:id="164" w:name="_Toc11979"/>
      <w:bookmarkStart w:id="165" w:name="_Toc29172"/>
      <w:bookmarkStart w:id="166" w:name="_Toc207"/>
      <w:bookmarkStart w:id="167" w:name="_Toc24204"/>
      <w:bookmarkStart w:id="168" w:name="_Toc16532"/>
      <w:bookmarkStart w:id="169" w:name="_Toc28038"/>
      <w:bookmarkStart w:id="170" w:name="_Toc564"/>
      <w:bookmarkStart w:id="171" w:name="_Toc4771"/>
      <w:bookmarkStart w:id="172" w:name="_Toc2350"/>
      <w:bookmarkStart w:id="173" w:name="_Toc8292"/>
      <w:r>
        <w:rPr>
          <w:rFonts w:hint="eastAsia"/>
          <w:color w:val="auto"/>
          <w:highlight w:val="none"/>
        </w:rPr>
        <w:t>总承包人对</w:t>
      </w:r>
      <w:r>
        <w:rPr>
          <w:rFonts w:hint="eastAsia"/>
          <w:color w:val="auto"/>
          <w:highlight w:val="none"/>
          <w:lang w:eastAsia="zh-CN"/>
        </w:rPr>
        <w:t>专业承包</w:t>
      </w:r>
      <w:r>
        <w:rPr>
          <w:rFonts w:hint="eastAsia"/>
          <w:color w:val="auto"/>
          <w:highlight w:val="none"/>
        </w:rPr>
        <w:t>人</w:t>
      </w:r>
      <w:r>
        <w:rPr>
          <w:color w:val="auto"/>
          <w:highlight w:val="none"/>
        </w:rPr>
        <w:t>的照管</w:t>
      </w:r>
      <w:r>
        <w:rPr>
          <w:rFonts w:hint="eastAsia"/>
          <w:color w:val="auto"/>
          <w:highlight w:val="none"/>
        </w:rPr>
        <w:t>与</w:t>
      </w:r>
      <w:r>
        <w:rPr>
          <w:color w:val="auto"/>
          <w:highlight w:val="none"/>
        </w:rPr>
        <w:t>协调配合要求</w:t>
      </w:r>
      <w:bookmarkEnd w:id="162"/>
      <w:bookmarkEnd w:id="163"/>
      <w:bookmarkEnd w:id="164"/>
      <w:bookmarkEnd w:id="165"/>
      <w:bookmarkEnd w:id="166"/>
      <w:bookmarkEnd w:id="167"/>
      <w:bookmarkEnd w:id="168"/>
      <w:bookmarkEnd w:id="169"/>
      <w:bookmarkEnd w:id="170"/>
      <w:bookmarkEnd w:id="171"/>
      <w:bookmarkEnd w:id="172"/>
      <w:bookmarkEnd w:id="173"/>
    </w:p>
    <w:p>
      <w:pPr>
        <w:pStyle w:val="4"/>
        <w:bidi w:val="0"/>
        <w:rPr>
          <w:color w:val="auto"/>
          <w:highlight w:val="none"/>
        </w:rPr>
      </w:pPr>
      <w:r>
        <w:rPr>
          <w:rFonts w:hint="eastAsia"/>
          <w:color w:val="auto"/>
          <w:highlight w:val="none"/>
        </w:rPr>
        <w:t>一般原则</w:t>
      </w:r>
    </w:p>
    <w:p>
      <w:pPr>
        <w:pStyle w:val="5"/>
        <w:bidi w:val="0"/>
        <w:rPr>
          <w:color w:val="auto"/>
          <w:highlight w:val="none"/>
        </w:rPr>
      </w:pPr>
      <w:r>
        <w:rPr>
          <w:rFonts w:hint="eastAsia"/>
          <w:color w:val="auto"/>
          <w:highlight w:val="none"/>
        </w:rPr>
        <w:t>一般来说，施工总承包的总承包人式下，总承包人的照管与协调工作范围包括以下三部分内容：</w:t>
      </w:r>
    </w:p>
    <w:p>
      <w:pPr>
        <w:numPr>
          <w:ilvl w:val="0"/>
          <w:numId w:val="4"/>
        </w:numPr>
        <w:bidi w:val="0"/>
        <w:rPr>
          <w:color w:val="auto"/>
          <w:highlight w:val="none"/>
        </w:rPr>
      </w:pPr>
      <w:r>
        <w:rPr>
          <w:rFonts w:hint="eastAsia"/>
          <w:color w:val="auto"/>
          <w:highlight w:val="none"/>
        </w:rPr>
        <w:t>总承包人自身承包范围内的工作；</w:t>
      </w:r>
    </w:p>
    <w:p>
      <w:pPr>
        <w:numPr>
          <w:ilvl w:val="0"/>
          <w:numId w:val="4"/>
        </w:numPr>
        <w:bidi w:val="0"/>
        <w:rPr>
          <w:color w:val="auto"/>
          <w:highlight w:val="none"/>
        </w:rPr>
      </w:pPr>
      <w:r>
        <w:rPr>
          <w:rFonts w:hint="eastAsia"/>
          <w:color w:val="auto"/>
          <w:highlight w:val="none"/>
          <w:lang w:eastAsia="zh-CN"/>
        </w:rPr>
        <w:t>专业承包</w:t>
      </w:r>
      <w:r>
        <w:rPr>
          <w:rFonts w:hint="eastAsia"/>
          <w:color w:val="auto"/>
          <w:highlight w:val="none"/>
        </w:rPr>
        <w:t>人实施的工作；</w:t>
      </w:r>
    </w:p>
    <w:p>
      <w:pPr>
        <w:numPr>
          <w:ilvl w:val="0"/>
          <w:numId w:val="4"/>
        </w:numPr>
        <w:bidi w:val="0"/>
        <w:rPr>
          <w:color w:val="auto"/>
          <w:highlight w:val="none"/>
        </w:rPr>
      </w:pPr>
      <w:r>
        <w:rPr>
          <w:rFonts w:hint="eastAsia"/>
          <w:color w:val="auto"/>
          <w:highlight w:val="none"/>
        </w:rPr>
        <w:t>独立承包人实施的工作（</w:t>
      </w:r>
      <w:r>
        <w:rPr>
          <w:rFonts w:hint="eastAsia"/>
          <w:color w:val="auto"/>
          <w:highlight w:val="none"/>
          <w:lang w:val="en-US" w:eastAsia="zh-CN"/>
        </w:rPr>
        <w:t>如有</w:t>
      </w:r>
      <w:r>
        <w:rPr>
          <w:rFonts w:hint="eastAsia"/>
          <w:color w:val="auto"/>
          <w:highlight w:val="none"/>
        </w:rPr>
        <w:t>）。</w:t>
      </w:r>
    </w:p>
    <w:p>
      <w:pPr>
        <w:pStyle w:val="5"/>
        <w:bidi w:val="0"/>
        <w:rPr>
          <w:color w:val="auto"/>
          <w:highlight w:val="none"/>
        </w:rPr>
      </w:pPr>
      <w:r>
        <w:rPr>
          <w:rFonts w:hint="eastAsia"/>
          <w:color w:val="auto"/>
          <w:highlight w:val="none"/>
        </w:rPr>
        <w:t>按照发包人的要求，为</w:t>
      </w:r>
      <w:r>
        <w:rPr>
          <w:rFonts w:hint="eastAsia"/>
          <w:color w:val="auto"/>
          <w:highlight w:val="none"/>
          <w:lang w:eastAsia="zh-CN"/>
        </w:rPr>
        <w:t>专业承包</w:t>
      </w:r>
      <w:r>
        <w:rPr>
          <w:rFonts w:hint="eastAsia"/>
          <w:color w:val="auto"/>
          <w:highlight w:val="none"/>
        </w:rPr>
        <w:t>人提供相应的服务，制定总的工期计划；提供现场施工条件和施工道路；审查</w:t>
      </w:r>
      <w:r>
        <w:rPr>
          <w:rFonts w:hint="eastAsia"/>
          <w:color w:val="auto"/>
          <w:highlight w:val="none"/>
          <w:lang w:eastAsia="zh-CN"/>
        </w:rPr>
        <w:t>专业承包</w:t>
      </w:r>
      <w:r>
        <w:rPr>
          <w:rFonts w:hint="eastAsia"/>
          <w:color w:val="auto"/>
          <w:highlight w:val="none"/>
        </w:rPr>
        <w:t>人的施工进度计划；组织工程验收；检查</w:t>
      </w:r>
      <w:r>
        <w:rPr>
          <w:rFonts w:hint="eastAsia"/>
          <w:color w:val="auto"/>
          <w:highlight w:val="none"/>
          <w:lang w:eastAsia="zh-CN"/>
        </w:rPr>
        <w:t>专业承包</w:t>
      </w:r>
      <w:r>
        <w:rPr>
          <w:rFonts w:hint="eastAsia"/>
          <w:color w:val="auto"/>
          <w:highlight w:val="none"/>
        </w:rPr>
        <w:t>人的施工质量、进度、安全文明施工等。</w:t>
      </w:r>
    </w:p>
    <w:p>
      <w:pPr>
        <w:pStyle w:val="5"/>
        <w:bidi w:val="0"/>
        <w:rPr>
          <w:color w:val="auto"/>
          <w:highlight w:val="none"/>
        </w:rPr>
      </w:pPr>
      <w:r>
        <w:rPr>
          <w:rFonts w:hint="eastAsia"/>
          <w:color w:val="auto"/>
          <w:highlight w:val="none"/>
        </w:rPr>
        <w:t>与现场</w:t>
      </w:r>
      <w:r>
        <w:rPr>
          <w:rFonts w:hint="eastAsia"/>
          <w:color w:val="auto"/>
          <w:highlight w:val="none"/>
          <w:lang w:eastAsia="zh-CN"/>
        </w:rPr>
        <w:t>专业承包</w:t>
      </w:r>
      <w:r>
        <w:rPr>
          <w:rFonts w:hint="eastAsia"/>
          <w:color w:val="auto"/>
          <w:highlight w:val="none"/>
        </w:rPr>
        <w:t>人建立一套总的协调体系，成立专门的机构负责现场所有</w:t>
      </w:r>
      <w:r>
        <w:rPr>
          <w:rFonts w:hint="eastAsia"/>
          <w:color w:val="auto"/>
          <w:highlight w:val="none"/>
          <w:lang w:eastAsia="zh-CN"/>
        </w:rPr>
        <w:t>专业承包</w:t>
      </w:r>
      <w:r>
        <w:rPr>
          <w:rFonts w:hint="eastAsia"/>
          <w:color w:val="auto"/>
          <w:highlight w:val="none"/>
        </w:rPr>
        <w:t>人的管理与协调工作，并根据现场实际需要增减专门负责人员，确保责任到人。</w:t>
      </w:r>
    </w:p>
    <w:p>
      <w:pPr>
        <w:pStyle w:val="5"/>
        <w:bidi w:val="0"/>
        <w:rPr>
          <w:color w:val="auto"/>
          <w:highlight w:val="none"/>
        </w:rPr>
      </w:pPr>
      <w:r>
        <w:rPr>
          <w:color w:val="auto"/>
          <w:highlight w:val="none"/>
        </w:rPr>
        <w:t>进入总承包范围内的所有</w:t>
      </w:r>
      <w:r>
        <w:rPr>
          <w:rFonts w:hint="eastAsia"/>
          <w:color w:val="auto"/>
          <w:highlight w:val="none"/>
          <w:lang w:eastAsia="zh-CN"/>
        </w:rPr>
        <w:t>专业承包</w:t>
      </w:r>
      <w:r>
        <w:rPr>
          <w:rFonts w:hint="eastAsia"/>
          <w:color w:val="auto"/>
          <w:highlight w:val="none"/>
        </w:rPr>
        <w:t>人，都应完全服从总承包人对其作业面、施工顺序等的安排。</w:t>
      </w:r>
    </w:p>
    <w:p>
      <w:pPr>
        <w:pStyle w:val="4"/>
        <w:bidi w:val="0"/>
        <w:rPr>
          <w:color w:val="auto"/>
          <w:highlight w:val="none"/>
        </w:rPr>
      </w:pPr>
      <w:r>
        <w:rPr>
          <w:rFonts w:hint="eastAsia"/>
          <w:color w:val="auto"/>
          <w:highlight w:val="none"/>
        </w:rPr>
        <w:t>合同</w:t>
      </w:r>
      <w:r>
        <w:rPr>
          <w:color w:val="auto"/>
          <w:highlight w:val="none"/>
        </w:rPr>
        <w:t>管理</w:t>
      </w:r>
    </w:p>
    <w:p>
      <w:pPr>
        <w:pStyle w:val="5"/>
        <w:bidi w:val="0"/>
        <w:rPr>
          <w:color w:val="auto"/>
          <w:highlight w:val="none"/>
        </w:rPr>
      </w:pPr>
      <w:r>
        <w:rPr>
          <w:rFonts w:hint="eastAsia"/>
          <w:color w:val="auto"/>
          <w:highlight w:val="none"/>
        </w:rPr>
        <w:t>以合同为纽带，全面协调</w:t>
      </w:r>
      <w:r>
        <w:rPr>
          <w:rFonts w:hint="eastAsia"/>
          <w:color w:val="auto"/>
          <w:highlight w:val="none"/>
          <w:lang w:eastAsia="zh-CN"/>
        </w:rPr>
        <w:t>专业承包</w:t>
      </w:r>
      <w:r>
        <w:rPr>
          <w:rFonts w:hint="eastAsia"/>
          <w:color w:val="auto"/>
          <w:highlight w:val="none"/>
        </w:rPr>
        <w:t>人的关系，组织各项管理。在项目施工的全过程中始终坚持以合同为依据来处理协调各方面问题和相关关系。</w:t>
      </w:r>
    </w:p>
    <w:p>
      <w:pPr>
        <w:pStyle w:val="4"/>
        <w:bidi w:val="0"/>
        <w:rPr>
          <w:color w:val="auto"/>
          <w:highlight w:val="none"/>
        </w:rPr>
      </w:pPr>
      <w:r>
        <w:rPr>
          <w:rFonts w:hint="eastAsia"/>
          <w:color w:val="auto"/>
          <w:highlight w:val="none"/>
        </w:rPr>
        <w:t>物资</w:t>
      </w:r>
      <w:r>
        <w:rPr>
          <w:color w:val="auto"/>
          <w:highlight w:val="none"/>
        </w:rPr>
        <w:t>管理</w:t>
      </w:r>
    </w:p>
    <w:p>
      <w:pPr>
        <w:bidi w:val="0"/>
        <w:rPr>
          <w:color w:val="auto"/>
          <w:highlight w:val="none"/>
        </w:rPr>
      </w:pPr>
      <w:r>
        <w:rPr>
          <w:rFonts w:hint="eastAsia"/>
          <w:color w:val="auto"/>
          <w:highlight w:val="none"/>
        </w:rPr>
        <w:t>严格审定</w:t>
      </w:r>
      <w:r>
        <w:rPr>
          <w:rFonts w:hint="eastAsia"/>
          <w:color w:val="auto"/>
          <w:highlight w:val="none"/>
          <w:lang w:eastAsia="zh-CN"/>
        </w:rPr>
        <w:t>专业承包</w:t>
      </w:r>
      <w:r>
        <w:rPr>
          <w:rFonts w:hint="eastAsia"/>
          <w:color w:val="auto"/>
          <w:highlight w:val="none"/>
        </w:rPr>
        <w:t>人在本工程中所选用的设备和材料。所有进入现场使用的成品、半成品、设备、材料、器具，均具有产品合格证；按规定使用前需进行物理、化学试验检测的材料，由</w:t>
      </w:r>
      <w:r>
        <w:rPr>
          <w:rFonts w:hint="eastAsia"/>
          <w:color w:val="auto"/>
          <w:highlight w:val="none"/>
          <w:lang w:eastAsia="zh-CN"/>
        </w:rPr>
        <w:t>专业承包</w:t>
      </w:r>
      <w:r>
        <w:rPr>
          <w:rFonts w:hint="eastAsia"/>
          <w:color w:val="auto"/>
          <w:highlight w:val="none"/>
        </w:rPr>
        <w:t>人提供检测结果报告；所有大宗材料、设备必须根据施工进度计划限量进场，按总承包人提供的施工平面布置图中指定位置存放。</w:t>
      </w:r>
    </w:p>
    <w:p>
      <w:pPr>
        <w:pStyle w:val="4"/>
        <w:bidi w:val="0"/>
        <w:rPr>
          <w:color w:val="auto"/>
          <w:highlight w:val="none"/>
        </w:rPr>
      </w:pPr>
      <w:r>
        <w:rPr>
          <w:rFonts w:hint="eastAsia"/>
          <w:color w:val="auto"/>
          <w:highlight w:val="none"/>
        </w:rPr>
        <w:t>进度</w:t>
      </w:r>
      <w:r>
        <w:rPr>
          <w:color w:val="auto"/>
          <w:highlight w:val="none"/>
        </w:rPr>
        <w:t>计划管理</w:t>
      </w:r>
    </w:p>
    <w:p>
      <w:pPr>
        <w:pStyle w:val="5"/>
        <w:bidi w:val="0"/>
        <w:rPr>
          <w:color w:val="auto"/>
          <w:highlight w:val="none"/>
        </w:rPr>
      </w:pPr>
      <w:r>
        <w:rPr>
          <w:rFonts w:hint="eastAsia"/>
          <w:color w:val="auto"/>
          <w:highlight w:val="none"/>
        </w:rPr>
        <w:t>根据发包人的开发进度计划编制工程施工总进度计划（总进度计划应按阶段进行编制，包括主要节点、里程碑等），</w:t>
      </w:r>
      <w:r>
        <w:rPr>
          <w:rFonts w:hint="eastAsia"/>
          <w:color w:val="auto"/>
          <w:highlight w:val="none"/>
          <w:lang w:eastAsia="zh-CN"/>
        </w:rPr>
        <w:t>专业承包</w:t>
      </w:r>
      <w:r>
        <w:rPr>
          <w:rFonts w:hint="eastAsia"/>
          <w:color w:val="auto"/>
          <w:highlight w:val="none"/>
        </w:rPr>
        <w:t>人按照总进度计划编制各自的进度计划，经总承包人审核后，由总承包人进行汇总并报监理人审核合格后，报送发包人确认。</w:t>
      </w:r>
    </w:p>
    <w:p>
      <w:pPr>
        <w:pStyle w:val="5"/>
        <w:bidi w:val="0"/>
        <w:rPr>
          <w:color w:val="auto"/>
          <w:highlight w:val="none"/>
        </w:rPr>
      </w:pPr>
      <w:r>
        <w:rPr>
          <w:rFonts w:hint="eastAsia"/>
          <w:color w:val="auto"/>
          <w:highlight w:val="none"/>
        </w:rPr>
        <w:t>根据总进度计划和各阶段计划实施情况下达月度指令性计划，</w:t>
      </w:r>
      <w:r>
        <w:rPr>
          <w:rFonts w:hint="eastAsia"/>
          <w:color w:val="auto"/>
          <w:highlight w:val="none"/>
          <w:lang w:eastAsia="zh-CN"/>
        </w:rPr>
        <w:t>专业承包</w:t>
      </w:r>
      <w:r>
        <w:rPr>
          <w:rFonts w:hint="eastAsia"/>
          <w:color w:val="auto"/>
          <w:highlight w:val="none"/>
        </w:rPr>
        <w:t>人依此编制工程作业计划，包括月进度计划和周进度计划，上报总承包人。</w:t>
      </w:r>
    </w:p>
    <w:p>
      <w:pPr>
        <w:pStyle w:val="5"/>
        <w:bidi w:val="0"/>
        <w:rPr>
          <w:color w:val="auto"/>
          <w:highlight w:val="none"/>
        </w:rPr>
      </w:pPr>
      <w:r>
        <w:rPr>
          <w:rFonts w:hint="eastAsia"/>
          <w:color w:val="auto"/>
          <w:highlight w:val="none"/>
        </w:rPr>
        <w:t>严格按计划管理进度，定期（每周或每月）对本期进度和上期进度采用进度计划比对表进行比对，一旦发现进度滞后，要及时查明原因，并采取相应措施进行调整、纠偏。负责组织每周生产例会、每天碰头会，及时分析、协调、平衡和调整工程进度。按照合同要求，明确责任和责任单位(责任人)、明确内容和任务、明确完成时间，确立计划的调整程序。每月召开月度计划协调会，商定落实月度计划。月计划需要修改时，周计划可根据具体情况进行调整。每周召开施工协调会，对周计划进行检查，并对</w:t>
      </w:r>
      <w:r>
        <w:rPr>
          <w:rFonts w:hint="eastAsia"/>
          <w:color w:val="auto"/>
          <w:highlight w:val="none"/>
          <w:lang w:eastAsia="zh-CN"/>
        </w:rPr>
        <w:t>专业承包</w:t>
      </w:r>
      <w:r>
        <w:rPr>
          <w:rFonts w:hint="eastAsia"/>
          <w:color w:val="auto"/>
          <w:highlight w:val="none"/>
        </w:rPr>
        <w:t>人进行协调管理。</w:t>
      </w:r>
    </w:p>
    <w:p>
      <w:pPr>
        <w:pStyle w:val="5"/>
        <w:bidi w:val="0"/>
        <w:rPr>
          <w:color w:val="auto"/>
          <w:highlight w:val="none"/>
        </w:rPr>
      </w:pPr>
      <w:r>
        <w:rPr>
          <w:rFonts w:hint="eastAsia"/>
          <w:color w:val="auto"/>
          <w:highlight w:val="none"/>
        </w:rPr>
        <w:t>根据工程施工计划，负责安排各施工单位及设备材料供应单位的进场、退场时间及相应施工周期和合理的施工作业区域。</w:t>
      </w:r>
    </w:p>
    <w:p>
      <w:pPr>
        <w:pStyle w:val="4"/>
        <w:bidi w:val="0"/>
        <w:rPr>
          <w:color w:val="auto"/>
          <w:highlight w:val="none"/>
        </w:rPr>
      </w:pPr>
      <w:r>
        <w:rPr>
          <w:rFonts w:hint="eastAsia"/>
          <w:color w:val="auto"/>
          <w:highlight w:val="none"/>
        </w:rPr>
        <w:t>技术</w:t>
      </w:r>
      <w:r>
        <w:rPr>
          <w:color w:val="auto"/>
          <w:highlight w:val="none"/>
        </w:rPr>
        <w:t>管理</w:t>
      </w:r>
    </w:p>
    <w:p>
      <w:pPr>
        <w:pStyle w:val="5"/>
        <w:bidi w:val="0"/>
        <w:rPr>
          <w:color w:val="auto"/>
          <w:highlight w:val="none"/>
        </w:rPr>
      </w:pPr>
      <w:r>
        <w:rPr>
          <w:rFonts w:hint="eastAsia"/>
          <w:color w:val="auto"/>
          <w:highlight w:val="none"/>
        </w:rPr>
        <w:t>协助、指导</w:t>
      </w:r>
      <w:r>
        <w:rPr>
          <w:rFonts w:hint="eastAsia"/>
          <w:color w:val="auto"/>
          <w:highlight w:val="none"/>
          <w:lang w:eastAsia="zh-CN"/>
        </w:rPr>
        <w:t>专业承包</w:t>
      </w:r>
      <w:r>
        <w:rPr>
          <w:rFonts w:hint="eastAsia"/>
          <w:color w:val="auto"/>
          <w:highlight w:val="none"/>
        </w:rPr>
        <w:t>人进行图纸深化设计工作，协调</w:t>
      </w:r>
      <w:r>
        <w:rPr>
          <w:rFonts w:hint="eastAsia"/>
          <w:color w:val="auto"/>
          <w:highlight w:val="none"/>
          <w:lang w:eastAsia="zh-CN"/>
        </w:rPr>
        <w:t>专业承包</w:t>
      </w:r>
      <w:r>
        <w:rPr>
          <w:rFonts w:hint="eastAsia"/>
          <w:color w:val="auto"/>
          <w:highlight w:val="none"/>
        </w:rPr>
        <w:t>人与设计人的关系，及时有效地解决与工程设计和技术相关的问题；协调好不同</w:t>
      </w:r>
      <w:r>
        <w:rPr>
          <w:rFonts w:hint="eastAsia"/>
          <w:color w:val="auto"/>
          <w:highlight w:val="none"/>
          <w:lang w:eastAsia="zh-CN"/>
        </w:rPr>
        <w:t>专业承包</w:t>
      </w:r>
      <w:r>
        <w:rPr>
          <w:rFonts w:hint="eastAsia"/>
          <w:color w:val="auto"/>
          <w:highlight w:val="none"/>
        </w:rPr>
        <w:t>人在设计上的关系，最大限度地消除各专业设计之间的矛盾。</w:t>
      </w:r>
    </w:p>
    <w:p>
      <w:pPr>
        <w:pStyle w:val="5"/>
        <w:bidi w:val="0"/>
        <w:rPr>
          <w:color w:val="auto"/>
          <w:highlight w:val="none"/>
        </w:rPr>
      </w:pPr>
      <w:r>
        <w:rPr>
          <w:rFonts w:hint="eastAsia"/>
          <w:color w:val="auto"/>
          <w:highlight w:val="none"/>
        </w:rPr>
        <w:t>督促和检查</w:t>
      </w:r>
      <w:r>
        <w:rPr>
          <w:rFonts w:hint="eastAsia"/>
          <w:color w:val="auto"/>
          <w:highlight w:val="none"/>
          <w:lang w:eastAsia="zh-CN"/>
        </w:rPr>
        <w:t>专业承包</w:t>
      </w:r>
      <w:r>
        <w:rPr>
          <w:rFonts w:hint="eastAsia"/>
          <w:color w:val="auto"/>
          <w:highlight w:val="none"/>
        </w:rPr>
        <w:t>人整理施工及竣工工程技术资料，负责收集整理、汇编出工程施工过程中的所有有关图纸、技术资料和其他各类文件资料，工程竣工后编制出符合合同及规范要求规定的工程档案，移交发包人。</w:t>
      </w:r>
    </w:p>
    <w:p>
      <w:pPr>
        <w:pStyle w:val="5"/>
        <w:bidi w:val="0"/>
        <w:rPr>
          <w:color w:val="auto"/>
          <w:highlight w:val="none"/>
        </w:rPr>
      </w:pPr>
      <w:r>
        <w:rPr>
          <w:rFonts w:hint="eastAsia"/>
          <w:color w:val="auto"/>
          <w:highlight w:val="none"/>
        </w:rPr>
        <w:t>负责</w:t>
      </w:r>
      <w:r>
        <w:rPr>
          <w:rFonts w:hint="eastAsia"/>
          <w:color w:val="auto"/>
          <w:highlight w:val="none"/>
          <w:lang w:eastAsia="zh-CN"/>
        </w:rPr>
        <w:t>专业承包</w:t>
      </w:r>
      <w:r>
        <w:rPr>
          <w:rFonts w:hint="eastAsia"/>
          <w:color w:val="auto"/>
          <w:highlight w:val="none"/>
        </w:rPr>
        <w:t>人编制的施工方案审核的</w:t>
      </w:r>
      <w:r>
        <w:rPr>
          <w:color w:val="auto"/>
          <w:highlight w:val="none"/>
        </w:rPr>
        <w:t>协调管理</w:t>
      </w:r>
      <w:r>
        <w:rPr>
          <w:rFonts w:hint="eastAsia"/>
          <w:color w:val="auto"/>
          <w:highlight w:val="none"/>
        </w:rPr>
        <w:t>。</w:t>
      </w:r>
    </w:p>
    <w:p>
      <w:pPr>
        <w:pStyle w:val="5"/>
        <w:bidi w:val="0"/>
        <w:rPr>
          <w:color w:val="auto"/>
          <w:highlight w:val="none"/>
        </w:rPr>
      </w:pPr>
      <w:r>
        <w:rPr>
          <w:rFonts w:hint="eastAsia"/>
          <w:color w:val="auto"/>
          <w:highlight w:val="none"/>
        </w:rPr>
        <w:t>设置技术例会制度，承包人根据质量计划和质量保证体系组织相关单位定期开展例会，要求和协助专业承包单位建立起各自完善的质量计划和质量保证体系，明确关键岗位人员。将专业承包单位纳入统一的项目质量管理体系，有效运行，并定期检查质量保证体系的运行情况。</w:t>
      </w:r>
    </w:p>
    <w:p>
      <w:pPr>
        <w:pStyle w:val="5"/>
        <w:bidi w:val="0"/>
        <w:rPr>
          <w:color w:val="auto"/>
          <w:highlight w:val="none"/>
        </w:rPr>
      </w:pPr>
      <w:r>
        <w:rPr>
          <w:rFonts w:hint="eastAsia"/>
          <w:color w:val="auto"/>
          <w:highlight w:val="none"/>
        </w:rPr>
        <w:t>严格实行“样板引路”制度，制定专门的样板准备及呈现计划，对于施工材料需按发包人要求提前寻找且重要材料需提供不少于3个比选，另材料样板需在项目部设置专用的样板陈列室；对于重要效果部位，需按发包人要求提前开展异地打样的准备工作，综合考虑场地布置、样板保存等；对于需大量复制的空间或材料，需按发包人要求在施工现场设置的样板展示区或工程实体上制作样板；样板经发包人、监理单位、承包人、专业承包单位按照样板验收标准联合验收合格后方可大面积施工。</w:t>
      </w:r>
    </w:p>
    <w:p>
      <w:pPr>
        <w:pStyle w:val="4"/>
        <w:bidi w:val="0"/>
        <w:rPr>
          <w:color w:val="auto"/>
          <w:highlight w:val="none"/>
        </w:rPr>
      </w:pPr>
      <w:r>
        <w:rPr>
          <w:rFonts w:hint="eastAsia"/>
          <w:color w:val="auto"/>
          <w:highlight w:val="none"/>
        </w:rPr>
        <w:t>质量</w:t>
      </w:r>
      <w:r>
        <w:rPr>
          <w:color w:val="auto"/>
          <w:highlight w:val="none"/>
        </w:rPr>
        <w:t>管理</w:t>
      </w:r>
    </w:p>
    <w:p>
      <w:pPr>
        <w:pStyle w:val="5"/>
        <w:bidi w:val="0"/>
        <w:rPr>
          <w:color w:val="auto"/>
          <w:highlight w:val="none"/>
        </w:rPr>
      </w:pPr>
      <w:r>
        <w:rPr>
          <w:rFonts w:hint="eastAsia"/>
          <w:color w:val="auto"/>
          <w:highlight w:val="none"/>
        </w:rPr>
        <w:t>根据质量计划和质量保证体系，要求和协助</w:t>
      </w:r>
      <w:r>
        <w:rPr>
          <w:rFonts w:hint="eastAsia"/>
          <w:color w:val="auto"/>
          <w:highlight w:val="none"/>
          <w:lang w:eastAsia="zh-CN"/>
        </w:rPr>
        <w:t>专业承包</w:t>
      </w:r>
      <w:r>
        <w:rPr>
          <w:rFonts w:hint="eastAsia"/>
          <w:color w:val="auto"/>
          <w:highlight w:val="none"/>
        </w:rPr>
        <w:t>人建立起各自完善的质量计划和质量保证体系，明确关键岗位人员。将</w:t>
      </w:r>
      <w:r>
        <w:rPr>
          <w:rFonts w:hint="eastAsia"/>
          <w:color w:val="auto"/>
          <w:highlight w:val="none"/>
          <w:lang w:eastAsia="zh-CN"/>
        </w:rPr>
        <w:t>专业承包</w:t>
      </w:r>
      <w:r>
        <w:rPr>
          <w:rFonts w:hint="eastAsia"/>
          <w:color w:val="auto"/>
          <w:highlight w:val="none"/>
        </w:rPr>
        <w:t>人纳入统一的项目质量管理体系，确保质量体系的有效运行，并定期检查质量保证体系的运行情况。</w:t>
      </w:r>
    </w:p>
    <w:p>
      <w:pPr>
        <w:pStyle w:val="5"/>
        <w:bidi w:val="0"/>
        <w:rPr>
          <w:color w:val="auto"/>
          <w:highlight w:val="none"/>
        </w:rPr>
      </w:pPr>
      <w:r>
        <w:rPr>
          <w:rFonts w:hint="eastAsia"/>
          <w:color w:val="auto"/>
          <w:highlight w:val="none"/>
        </w:rPr>
        <w:t>严格程序控制和过程控制；严格对</w:t>
      </w:r>
      <w:r>
        <w:rPr>
          <w:rFonts w:hint="eastAsia"/>
          <w:color w:val="auto"/>
          <w:highlight w:val="none"/>
          <w:lang w:eastAsia="zh-CN"/>
        </w:rPr>
        <w:t>专业承包</w:t>
      </w:r>
      <w:r>
        <w:rPr>
          <w:rFonts w:hint="eastAsia"/>
          <w:color w:val="auto"/>
          <w:highlight w:val="none"/>
        </w:rPr>
        <w:t>人进行质量管理；严格实行样板制、三检制；严格实行工序交接制度；最大限度的协调好</w:t>
      </w:r>
      <w:r>
        <w:rPr>
          <w:rFonts w:hint="eastAsia"/>
          <w:color w:val="auto"/>
          <w:highlight w:val="none"/>
          <w:lang w:eastAsia="zh-CN"/>
        </w:rPr>
        <w:t>专业承包</w:t>
      </w:r>
      <w:r>
        <w:rPr>
          <w:rFonts w:hint="eastAsia"/>
          <w:color w:val="auto"/>
          <w:highlight w:val="none"/>
        </w:rPr>
        <w:t>人的立体交叉作业和正确的工序衔接；严格检验程序和检验、报验和实验工作。</w:t>
      </w:r>
    </w:p>
    <w:p>
      <w:pPr>
        <w:pStyle w:val="5"/>
        <w:bidi w:val="0"/>
        <w:rPr>
          <w:color w:val="auto"/>
          <w:highlight w:val="none"/>
        </w:rPr>
      </w:pPr>
      <w:r>
        <w:rPr>
          <w:rFonts w:hint="eastAsia"/>
          <w:color w:val="auto"/>
          <w:highlight w:val="none"/>
        </w:rPr>
        <w:t>根据合同和图纸要求，审查</w:t>
      </w:r>
      <w:r>
        <w:rPr>
          <w:rFonts w:hint="eastAsia"/>
          <w:color w:val="auto"/>
          <w:highlight w:val="none"/>
          <w:lang w:eastAsia="zh-CN"/>
        </w:rPr>
        <w:t>专业承包</w:t>
      </w:r>
      <w:r>
        <w:rPr>
          <w:rFonts w:hint="eastAsia"/>
          <w:color w:val="auto"/>
          <w:highlight w:val="none"/>
        </w:rPr>
        <w:t>人提供的材料、设备清单及质保书，配合监理人对工程使用的有关原材料、构件及设备进行必要的抽检、检测、试验、检验、化验及鉴定。对</w:t>
      </w:r>
      <w:r>
        <w:rPr>
          <w:rFonts w:hint="eastAsia"/>
          <w:color w:val="auto"/>
          <w:highlight w:val="none"/>
          <w:lang w:eastAsia="zh-CN"/>
        </w:rPr>
        <w:t>专业承包</w:t>
      </w:r>
      <w:r>
        <w:rPr>
          <w:rFonts w:hint="eastAsia"/>
          <w:color w:val="auto"/>
          <w:highlight w:val="none"/>
        </w:rPr>
        <w:t>人提交的材料样品经审查送监理人审核后报发包人审定，并采取封样（甲供材料、乙供材料）及保护。督促和检查</w:t>
      </w:r>
      <w:r>
        <w:rPr>
          <w:rFonts w:hint="eastAsia"/>
          <w:color w:val="auto"/>
          <w:highlight w:val="none"/>
          <w:lang w:eastAsia="zh-CN"/>
        </w:rPr>
        <w:t>专业承包</w:t>
      </w:r>
      <w:r>
        <w:rPr>
          <w:rFonts w:hint="eastAsia"/>
          <w:color w:val="auto"/>
          <w:highlight w:val="none"/>
        </w:rPr>
        <w:t>人严格按照样品控制采购材料品质。</w:t>
      </w:r>
    </w:p>
    <w:p>
      <w:pPr>
        <w:pStyle w:val="5"/>
        <w:bidi w:val="0"/>
        <w:rPr>
          <w:color w:val="auto"/>
          <w:highlight w:val="none"/>
        </w:rPr>
      </w:pPr>
      <w:r>
        <w:rPr>
          <w:rFonts w:hint="eastAsia"/>
          <w:color w:val="auto"/>
          <w:highlight w:val="none"/>
        </w:rPr>
        <w:t>按照发包人要求的检测项目和验收标准对工程实体进行100%的实测实量，测量结果在工程实体上留存记录，供发包人和监理单位随机抽样复查。</w:t>
      </w:r>
    </w:p>
    <w:p>
      <w:pPr>
        <w:pStyle w:val="4"/>
        <w:bidi w:val="0"/>
        <w:rPr>
          <w:color w:val="auto"/>
          <w:highlight w:val="none"/>
        </w:rPr>
      </w:pPr>
      <w:r>
        <w:rPr>
          <w:rFonts w:hint="eastAsia"/>
          <w:color w:val="auto"/>
          <w:highlight w:val="none"/>
        </w:rPr>
        <w:t>安全</w:t>
      </w:r>
      <w:r>
        <w:rPr>
          <w:color w:val="auto"/>
          <w:highlight w:val="none"/>
        </w:rPr>
        <w:t>生产管理</w:t>
      </w:r>
    </w:p>
    <w:p>
      <w:pPr>
        <w:pStyle w:val="5"/>
        <w:bidi w:val="0"/>
        <w:rPr>
          <w:color w:val="auto"/>
          <w:highlight w:val="none"/>
        </w:rPr>
      </w:pPr>
      <w:r>
        <w:rPr>
          <w:rFonts w:hint="eastAsia"/>
          <w:color w:val="auto"/>
          <w:highlight w:val="none"/>
        </w:rPr>
        <w:t>总承包人应建立有效的安全管理体系，明确相关人员责任。并将</w:t>
      </w:r>
      <w:r>
        <w:rPr>
          <w:rFonts w:hint="eastAsia"/>
          <w:color w:val="auto"/>
          <w:highlight w:val="none"/>
          <w:lang w:eastAsia="zh-CN"/>
        </w:rPr>
        <w:t>专业承包</w:t>
      </w:r>
      <w:r>
        <w:rPr>
          <w:rFonts w:hint="eastAsia"/>
          <w:color w:val="auto"/>
          <w:highlight w:val="none"/>
        </w:rPr>
        <w:t>人纳入统一的安全管理体系，定期检查体系的运行情况。</w:t>
      </w:r>
    </w:p>
    <w:p>
      <w:pPr>
        <w:pStyle w:val="5"/>
        <w:bidi w:val="0"/>
        <w:rPr>
          <w:color w:val="auto"/>
          <w:highlight w:val="none"/>
        </w:rPr>
      </w:pPr>
      <w:r>
        <w:rPr>
          <w:rFonts w:hint="eastAsia"/>
          <w:color w:val="auto"/>
          <w:highlight w:val="none"/>
        </w:rPr>
        <w:t>总承包人应制定安全生产管理办法，对现场所有人员切实做好安全教育，要求施工现场所有人员严格遵守安全管理条例，遵守国家及当地政府有关部门对安全生产、文明施工的规定和要求。</w:t>
      </w:r>
    </w:p>
    <w:p>
      <w:pPr>
        <w:pStyle w:val="5"/>
        <w:bidi w:val="0"/>
        <w:rPr>
          <w:color w:val="auto"/>
          <w:highlight w:val="none"/>
        </w:rPr>
      </w:pPr>
      <w:r>
        <w:rPr>
          <w:rFonts w:hint="eastAsia"/>
          <w:color w:val="auto"/>
          <w:highlight w:val="none"/>
        </w:rPr>
        <w:t>总承包人对施工现场的安全负总体责任，</w:t>
      </w:r>
      <w:r>
        <w:rPr>
          <w:rFonts w:hint="eastAsia"/>
          <w:color w:val="auto"/>
          <w:highlight w:val="none"/>
          <w:lang w:eastAsia="zh-CN"/>
        </w:rPr>
        <w:t>专业承包</w:t>
      </w:r>
      <w:r>
        <w:rPr>
          <w:rFonts w:hint="eastAsia"/>
          <w:color w:val="auto"/>
          <w:highlight w:val="none"/>
        </w:rPr>
        <w:t>人须服从总承包人对施工现场的安全施工管理。</w:t>
      </w:r>
    </w:p>
    <w:p>
      <w:pPr>
        <w:pStyle w:val="5"/>
        <w:bidi w:val="0"/>
        <w:rPr>
          <w:color w:val="auto"/>
          <w:highlight w:val="none"/>
        </w:rPr>
      </w:pPr>
      <w:r>
        <w:rPr>
          <w:rFonts w:hint="eastAsia"/>
          <w:color w:val="auto"/>
          <w:highlight w:val="none"/>
        </w:rPr>
        <w:t>总承包人须与</w:t>
      </w:r>
      <w:r>
        <w:rPr>
          <w:rFonts w:hint="eastAsia"/>
          <w:color w:val="auto"/>
          <w:highlight w:val="none"/>
          <w:lang w:eastAsia="zh-CN"/>
        </w:rPr>
        <w:t>专业承包</w:t>
      </w:r>
      <w:r>
        <w:rPr>
          <w:rFonts w:hint="eastAsia"/>
          <w:color w:val="auto"/>
          <w:highlight w:val="none"/>
        </w:rPr>
        <w:t>人签订安全、临电、消防、保卫等责任管理协议，明确各方责任和义务。</w:t>
      </w:r>
    </w:p>
    <w:p>
      <w:pPr>
        <w:pStyle w:val="5"/>
        <w:bidi w:val="0"/>
        <w:rPr>
          <w:color w:val="auto"/>
          <w:highlight w:val="none"/>
        </w:rPr>
      </w:pPr>
      <w:r>
        <w:rPr>
          <w:rFonts w:hint="eastAsia"/>
          <w:color w:val="auto"/>
          <w:highlight w:val="none"/>
        </w:rPr>
        <w:t>总承包人应负责督促</w:t>
      </w:r>
      <w:r>
        <w:rPr>
          <w:rFonts w:hint="eastAsia"/>
          <w:color w:val="auto"/>
          <w:highlight w:val="none"/>
          <w:lang w:eastAsia="zh-CN"/>
        </w:rPr>
        <w:t>专业承包</w:t>
      </w:r>
      <w:r>
        <w:rPr>
          <w:rFonts w:hint="eastAsia"/>
          <w:color w:val="auto"/>
          <w:highlight w:val="none"/>
        </w:rPr>
        <w:t>人安全生产，组织</w:t>
      </w:r>
      <w:r>
        <w:rPr>
          <w:rFonts w:hint="eastAsia"/>
          <w:color w:val="auto"/>
          <w:highlight w:val="none"/>
          <w:lang w:eastAsia="zh-CN"/>
        </w:rPr>
        <w:t>专业承包</w:t>
      </w:r>
      <w:r>
        <w:rPr>
          <w:rFonts w:hint="eastAsia"/>
          <w:color w:val="auto"/>
          <w:highlight w:val="none"/>
        </w:rPr>
        <w:t>人定期对施工现场进行联合安全大检查，及时发现问题及安全隐患。明确</w:t>
      </w:r>
      <w:r>
        <w:rPr>
          <w:rFonts w:hint="eastAsia"/>
          <w:color w:val="auto"/>
          <w:highlight w:val="none"/>
          <w:lang w:eastAsia="zh-CN"/>
        </w:rPr>
        <w:t>专业承包</w:t>
      </w:r>
      <w:r>
        <w:rPr>
          <w:rFonts w:hint="eastAsia"/>
          <w:color w:val="auto"/>
          <w:highlight w:val="none"/>
        </w:rPr>
        <w:t>人的安全职责，督察和落实</w:t>
      </w:r>
      <w:r>
        <w:rPr>
          <w:rFonts w:hint="eastAsia"/>
          <w:color w:val="auto"/>
          <w:highlight w:val="none"/>
          <w:lang w:eastAsia="zh-CN"/>
        </w:rPr>
        <w:t>专业承包</w:t>
      </w:r>
      <w:r>
        <w:rPr>
          <w:rFonts w:hint="eastAsia"/>
          <w:color w:val="auto"/>
          <w:highlight w:val="none"/>
        </w:rPr>
        <w:t>人采取措施做好现场安全防护工作。</w:t>
      </w:r>
    </w:p>
    <w:p>
      <w:pPr>
        <w:pStyle w:val="5"/>
        <w:bidi w:val="0"/>
        <w:rPr>
          <w:color w:val="auto"/>
          <w:highlight w:val="none"/>
        </w:rPr>
      </w:pPr>
      <w:r>
        <w:rPr>
          <w:rFonts w:hint="eastAsia"/>
          <w:color w:val="auto"/>
          <w:highlight w:val="none"/>
        </w:rPr>
        <w:t>针对</w:t>
      </w:r>
      <w:r>
        <w:rPr>
          <w:color w:val="auto"/>
          <w:highlight w:val="none"/>
        </w:rPr>
        <w:t>发包人</w:t>
      </w:r>
      <w:r>
        <w:rPr>
          <w:rFonts w:hint="eastAsia"/>
          <w:color w:val="auto"/>
          <w:highlight w:val="none"/>
        </w:rPr>
        <w:t>或政府部门组织的安全</w:t>
      </w:r>
      <w:r>
        <w:rPr>
          <w:color w:val="auto"/>
          <w:highlight w:val="none"/>
        </w:rPr>
        <w:t>检查</w:t>
      </w:r>
      <w:r>
        <w:rPr>
          <w:rFonts w:hint="eastAsia"/>
          <w:color w:val="auto"/>
          <w:highlight w:val="none"/>
        </w:rPr>
        <w:t>，总承包人应统一</w:t>
      </w:r>
      <w:r>
        <w:rPr>
          <w:color w:val="auto"/>
          <w:highlight w:val="none"/>
        </w:rPr>
        <w:t>组织</w:t>
      </w:r>
      <w:r>
        <w:rPr>
          <w:rFonts w:hint="eastAsia"/>
          <w:color w:val="auto"/>
          <w:highlight w:val="none"/>
        </w:rPr>
        <w:t>迎检工作</w:t>
      </w:r>
      <w:r>
        <w:rPr>
          <w:color w:val="auto"/>
          <w:highlight w:val="none"/>
        </w:rPr>
        <w:t>和检查问题的</w:t>
      </w:r>
      <w:r>
        <w:rPr>
          <w:rFonts w:hint="eastAsia"/>
          <w:color w:val="auto"/>
          <w:highlight w:val="none"/>
        </w:rPr>
        <w:t>整改</w:t>
      </w:r>
      <w:r>
        <w:rPr>
          <w:color w:val="auto"/>
          <w:highlight w:val="none"/>
        </w:rPr>
        <w:t>回复。</w:t>
      </w:r>
    </w:p>
    <w:p>
      <w:pPr>
        <w:pStyle w:val="5"/>
        <w:bidi w:val="0"/>
        <w:rPr>
          <w:color w:val="auto"/>
          <w:highlight w:val="none"/>
        </w:rPr>
      </w:pPr>
      <w:r>
        <w:rPr>
          <w:rFonts w:hint="eastAsia"/>
          <w:color w:val="auto"/>
          <w:highlight w:val="none"/>
        </w:rPr>
        <w:t>负责</w:t>
      </w:r>
      <w:r>
        <w:rPr>
          <w:rFonts w:hint="eastAsia"/>
          <w:color w:val="auto"/>
          <w:highlight w:val="none"/>
          <w:lang w:eastAsia="zh-CN"/>
        </w:rPr>
        <w:t>专业承包</w:t>
      </w:r>
      <w:r>
        <w:rPr>
          <w:rFonts w:hint="eastAsia"/>
          <w:color w:val="auto"/>
          <w:highlight w:val="none"/>
        </w:rPr>
        <w:t>人进场的安全考核及交底工作。</w:t>
      </w:r>
    </w:p>
    <w:p>
      <w:pPr>
        <w:pStyle w:val="5"/>
        <w:bidi w:val="0"/>
        <w:rPr>
          <w:color w:val="auto"/>
          <w:highlight w:val="none"/>
        </w:rPr>
      </w:pPr>
      <w:r>
        <w:rPr>
          <w:rFonts w:hint="eastAsia"/>
          <w:color w:val="auto"/>
          <w:highlight w:val="none"/>
        </w:rPr>
        <w:t>负责定期组织举行安全应急演练。</w:t>
      </w:r>
    </w:p>
    <w:p>
      <w:pPr>
        <w:pStyle w:val="5"/>
        <w:bidi w:val="0"/>
        <w:rPr>
          <w:color w:val="auto"/>
          <w:highlight w:val="none"/>
        </w:rPr>
      </w:pPr>
      <w:r>
        <w:rPr>
          <w:rFonts w:hint="eastAsia"/>
          <w:color w:val="auto"/>
          <w:highlight w:val="none"/>
        </w:rPr>
        <w:t>总承包人</w:t>
      </w:r>
      <w:r>
        <w:rPr>
          <w:color w:val="auto"/>
          <w:highlight w:val="none"/>
        </w:rPr>
        <w:t>应对</w:t>
      </w:r>
      <w:r>
        <w:rPr>
          <w:rFonts w:hint="eastAsia"/>
          <w:color w:val="auto"/>
          <w:highlight w:val="none"/>
          <w:lang w:eastAsia="zh-CN"/>
        </w:rPr>
        <w:t>专业承包</w:t>
      </w:r>
      <w:r>
        <w:rPr>
          <w:color w:val="auto"/>
          <w:highlight w:val="none"/>
        </w:rPr>
        <w:t>人各类动火作业进行统一</w:t>
      </w:r>
      <w:r>
        <w:rPr>
          <w:rFonts w:hint="eastAsia"/>
          <w:color w:val="auto"/>
          <w:highlight w:val="none"/>
        </w:rPr>
        <w:t>审批、</w:t>
      </w:r>
      <w:r>
        <w:rPr>
          <w:color w:val="auto"/>
          <w:highlight w:val="none"/>
        </w:rPr>
        <w:t>管理。</w:t>
      </w:r>
    </w:p>
    <w:p>
      <w:pPr>
        <w:pStyle w:val="4"/>
        <w:bidi w:val="0"/>
        <w:rPr>
          <w:color w:val="auto"/>
          <w:highlight w:val="none"/>
        </w:rPr>
      </w:pPr>
      <w:r>
        <w:rPr>
          <w:rFonts w:hint="eastAsia"/>
          <w:color w:val="auto"/>
          <w:highlight w:val="none"/>
        </w:rPr>
        <w:t>成品</w:t>
      </w:r>
      <w:r>
        <w:rPr>
          <w:color w:val="auto"/>
          <w:highlight w:val="none"/>
        </w:rPr>
        <w:t>保护管理</w:t>
      </w:r>
    </w:p>
    <w:p>
      <w:pPr>
        <w:bidi w:val="0"/>
        <w:rPr>
          <w:color w:val="auto"/>
          <w:highlight w:val="none"/>
        </w:rPr>
      </w:pPr>
      <w:r>
        <w:rPr>
          <w:rFonts w:hint="eastAsia"/>
          <w:color w:val="auto"/>
          <w:highlight w:val="none"/>
        </w:rPr>
        <w:t>总承包人应建立完善的成品保护制度和措施，明确其成品保护的责任和义务。</w:t>
      </w:r>
      <w:r>
        <w:rPr>
          <w:rFonts w:hint="eastAsia"/>
          <w:color w:val="auto"/>
          <w:highlight w:val="none"/>
          <w:lang w:eastAsia="zh-CN"/>
        </w:rPr>
        <w:t>专业承包</w:t>
      </w:r>
      <w:r>
        <w:rPr>
          <w:rFonts w:hint="eastAsia"/>
          <w:color w:val="auto"/>
          <w:highlight w:val="none"/>
        </w:rPr>
        <w:t>人进场时，进行成品保护意识的教育。明确</w:t>
      </w:r>
      <w:r>
        <w:rPr>
          <w:rFonts w:hint="eastAsia"/>
          <w:color w:val="auto"/>
          <w:highlight w:val="none"/>
          <w:lang w:eastAsia="zh-CN"/>
        </w:rPr>
        <w:t>专业承包</w:t>
      </w:r>
      <w:r>
        <w:rPr>
          <w:rFonts w:hint="eastAsia"/>
          <w:color w:val="auto"/>
          <w:highlight w:val="none"/>
        </w:rPr>
        <w:t>人在施工中负责自身完成部分的成品保护，竣工收尾阶段总承包人统一</w:t>
      </w:r>
      <w:r>
        <w:rPr>
          <w:rFonts w:hint="eastAsia"/>
          <w:color w:val="auto"/>
          <w:highlight w:val="none"/>
          <w:lang w:val="en-US" w:eastAsia="zh-CN"/>
        </w:rPr>
        <w:t>协调</w:t>
      </w:r>
      <w:r>
        <w:rPr>
          <w:rFonts w:hint="eastAsia"/>
          <w:color w:val="auto"/>
          <w:highlight w:val="none"/>
        </w:rPr>
        <w:t>管理。</w:t>
      </w:r>
    </w:p>
    <w:p>
      <w:pPr>
        <w:pStyle w:val="3"/>
        <w:bidi w:val="0"/>
        <w:rPr>
          <w:color w:val="auto"/>
          <w:highlight w:val="none"/>
        </w:rPr>
      </w:pPr>
      <w:bookmarkStart w:id="174" w:name="_Toc169722203"/>
      <w:bookmarkStart w:id="175" w:name="_Toc3548"/>
      <w:bookmarkStart w:id="176" w:name="_Toc373"/>
      <w:bookmarkStart w:id="177" w:name="_Toc20533"/>
      <w:bookmarkStart w:id="178" w:name="_Toc27418"/>
      <w:bookmarkStart w:id="179" w:name="_Toc4395"/>
      <w:bookmarkStart w:id="180" w:name="_Toc17337"/>
      <w:bookmarkStart w:id="181" w:name="_Toc24011"/>
      <w:bookmarkStart w:id="182" w:name="_Toc31621"/>
      <w:bookmarkStart w:id="183" w:name="_Toc607"/>
      <w:bookmarkStart w:id="184" w:name="_Toc7248"/>
      <w:bookmarkStart w:id="185" w:name="_Toc16451"/>
      <w:r>
        <w:rPr>
          <w:rFonts w:hint="eastAsia"/>
          <w:color w:val="auto"/>
          <w:highlight w:val="none"/>
        </w:rPr>
        <w:t>总承包人对</w:t>
      </w:r>
      <w:r>
        <w:rPr>
          <w:color w:val="auto"/>
          <w:highlight w:val="none"/>
        </w:rPr>
        <w:t>独立供货人的照管与协调配合要求</w:t>
      </w:r>
      <w:bookmarkEnd w:id="174"/>
      <w:r>
        <w:rPr>
          <w:rFonts w:hint="eastAsia"/>
          <w:color w:val="auto"/>
          <w:highlight w:val="none"/>
          <w:lang w:val="en-US" w:eastAsia="zh-CN"/>
        </w:rPr>
        <w:t>(若有)</w:t>
      </w:r>
      <w:bookmarkEnd w:id="175"/>
      <w:bookmarkEnd w:id="176"/>
      <w:bookmarkEnd w:id="177"/>
      <w:bookmarkEnd w:id="178"/>
      <w:bookmarkEnd w:id="179"/>
      <w:bookmarkEnd w:id="180"/>
      <w:bookmarkEnd w:id="181"/>
      <w:bookmarkEnd w:id="182"/>
      <w:bookmarkEnd w:id="183"/>
      <w:bookmarkEnd w:id="184"/>
      <w:bookmarkEnd w:id="185"/>
    </w:p>
    <w:p>
      <w:pPr>
        <w:pStyle w:val="4"/>
        <w:bidi w:val="0"/>
        <w:rPr>
          <w:color w:val="auto"/>
          <w:highlight w:val="none"/>
        </w:rPr>
      </w:pPr>
      <w:r>
        <w:rPr>
          <w:rFonts w:hint="eastAsia"/>
          <w:color w:val="auto"/>
          <w:highlight w:val="none"/>
        </w:rPr>
        <w:t>负责提供进场道路给独立供货人。</w:t>
      </w:r>
    </w:p>
    <w:p>
      <w:pPr>
        <w:pStyle w:val="4"/>
        <w:bidi w:val="0"/>
        <w:rPr>
          <w:color w:val="auto"/>
          <w:highlight w:val="none"/>
        </w:rPr>
      </w:pPr>
      <w:r>
        <w:rPr>
          <w:rFonts w:hint="eastAsia"/>
          <w:color w:val="auto"/>
          <w:highlight w:val="none"/>
        </w:rPr>
        <w:t>提供现场材料、设备堆放场地。</w:t>
      </w:r>
    </w:p>
    <w:p>
      <w:pPr>
        <w:pStyle w:val="4"/>
        <w:bidi w:val="0"/>
        <w:rPr>
          <w:color w:val="auto"/>
          <w:highlight w:val="none"/>
        </w:rPr>
      </w:pPr>
      <w:r>
        <w:rPr>
          <w:rFonts w:hint="eastAsia"/>
          <w:color w:val="auto"/>
          <w:highlight w:val="none"/>
        </w:rPr>
        <w:t>提供现有垂直运输、场地，并相应承担所提供垂直运输、场地能够满足运货</w:t>
      </w:r>
      <w:r>
        <w:rPr>
          <w:color w:val="auto"/>
          <w:highlight w:val="none"/>
        </w:rPr>
        <w:t>，以保证</w:t>
      </w:r>
      <w:r>
        <w:rPr>
          <w:rFonts w:hint="eastAsia"/>
          <w:color w:val="auto"/>
          <w:highlight w:val="none"/>
        </w:rPr>
        <w:t>施工进度的责任。</w:t>
      </w:r>
    </w:p>
    <w:p>
      <w:pPr>
        <w:pStyle w:val="3"/>
        <w:bidi w:val="0"/>
        <w:rPr>
          <w:color w:val="auto"/>
          <w:highlight w:val="none"/>
        </w:rPr>
      </w:pPr>
      <w:bookmarkStart w:id="186" w:name="_Toc23324"/>
      <w:bookmarkStart w:id="187" w:name="_Toc169722204"/>
      <w:bookmarkStart w:id="188" w:name="_Toc15298"/>
      <w:bookmarkStart w:id="189" w:name="_Toc10930"/>
      <w:bookmarkStart w:id="190" w:name="_Toc7077"/>
      <w:bookmarkStart w:id="191" w:name="_Toc5363"/>
      <w:bookmarkStart w:id="192" w:name="_Toc22642"/>
      <w:bookmarkStart w:id="193" w:name="_Toc23579"/>
      <w:bookmarkStart w:id="194" w:name="_Toc27350"/>
      <w:bookmarkStart w:id="195" w:name="_Toc24417"/>
      <w:bookmarkStart w:id="196" w:name="_Toc9869"/>
      <w:bookmarkStart w:id="197" w:name="_Toc28650"/>
      <w:r>
        <w:rPr>
          <w:rFonts w:hint="eastAsia"/>
          <w:color w:val="auto"/>
          <w:highlight w:val="none"/>
        </w:rPr>
        <w:t>总承包人对独立承包人</w:t>
      </w:r>
      <w:r>
        <w:rPr>
          <w:color w:val="auto"/>
          <w:highlight w:val="none"/>
        </w:rPr>
        <w:t>的照管与协调配合要求</w:t>
      </w:r>
      <w:bookmarkEnd w:id="186"/>
      <w:bookmarkEnd w:id="187"/>
      <w:bookmarkEnd w:id="188"/>
      <w:bookmarkEnd w:id="189"/>
      <w:bookmarkEnd w:id="190"/>
      <w:bookmarkEnd w:id="191"/>
      <w:bookmarkEnd w:id="192"/>
      <w:bookmarkEnd w:id="193"/>
      <w:bookmarkEnd w:id="194"/>
      <w:bookmarkEnd w:id="195"/>
      <w:bookmarkEnd w:id="196"/>
      <w:bookmarkEnd w:id="197"/>
    </w:p>
    <w:p>
      <w:pPr>
        <w:pStyle w:val="4"/>
        <w:bidi w:val="0"/>
        <w:rPr>
          <w:color w:val="auto"/>
          <w:highlight w:val="none"/>
        </w:rPr>
      </w:pPr>
      <w:r>
        <w:rPr>
          <w:rFonts w:hint="eastAsia"/>
          <w:color w:val="auto"/>
          <w:highlight w:val="none"/>
        </w:rPr>
        <w:t>提供现场已有临时设施、垂直运输设备和脚手架供独立承包人使用。</w:t>
      </w:r>
    </w:p>
    <w:p>
      <w:pPr>
        <w:pStyle w:val="4"/>
        <w:bidi w:val="0"/>
        <w:rPr>
          <w:color w:val="auto"/>
          <w:highlight w:val="none"/>
        </w:rPr>
      </w:pPr>
      <w:r>
        <w:rPr>
          <w:rFonts w:hint="eastAsia"/>
          <w:color w:val="auto"/>
          <w:highlight w:val="none"/>
        </w:rPr>
        <w:t>提供临时用水用电（包含费用）供独立承包人使用。</w:t>
      </w:r>
    </w:p>
    <w:p>
      <w:pPr>
        <w:pStyle w:val="4"/>
        <w:bidi w:val="0"/>
        <w:rPr>
          <w:color w:val="auto"/>
          <w:highlight w:val="none"/>
        </w:rPr>
      </w:pPr>
      <w:r>
        <w:rPr>
          <w:rFonts w:hint="eastAsia"/>
          <w:color w:val="auto"/>
          <w:highlight w:val="none"/>
        </w:rPr>
        <w:t>协调独立承包人按照工程总体工期要求进行施工和工作面移交。</w:t>
      </w:r>
    </w:p>
    <w:p>
      <w:pPr>
        <w:pStyle w:val="4"/>
        <w:bidi w:val="0"/>
        <w:rPr>
          <w:color w:val="auto"/>
          <w:highlight w:val="none"/>
        </w:rPr>
      </w:pPr>
      <w:r>
        <w:rPr>
          <w:rFonts w:hint="eastAsia"/>
          <w:color w:val="auto"/>
          <w:highlight w:val="none"/>
        </w:rPr>
        <w:t>协调</w:t>
      </w:r>
      <w:r>
        <w:rPr>
          <w:color w:val="auto"/>
          <w:highlight w:val="none"/>
        </w:rPr>
        <w:t>独立承包人</w:t>
      </w:r>
      <w:r>
        <w:rPr>
          <w:rFonts w:hint="eastAsia"/>
          <w:color w:val="auto"/>
          <w:highlight w:val="none"/>
        </w:rPr>
        <w:t>对本专业施工范围内的材料、设备进行清点接收，现场仓管和产品保护。</w:t>
      </w:r>
    </w:p>
    <w:p>
      <w:pPr>
        <w:pStyle w:val="4"/>
        <w:bidi w:val="0"/>
        <w:rPr>
          <w:color w:val="auto"/>
          <w:highlight w:val="none"/>
        </w:rPr>
      </w:pPr>
      <w:r>
        <w:rPr>
          <w:rFonts w:hint="eastAsia"/>
          <w:color w:val="auto"/>
          <w:highlight w:val="none"/>
        </w:rPr>
        <w:t>总承包人对施工现场的安全负总体责任，定期对施工现场进行安全检查，及时发现问题及安全隐患，督促独立承包人采取措施做好现场安全防护工作。</w:t>
      </w:r>
    </w:p>
    <w:p>
      <w:pPr>
        <w:pStyle w:val="4"/>
        <w:bidi w:val="0"/>
        <w:rPr>
          <w:color w:val="auto"/>
          <w:highlight w:val="none"/>
        </w:rPr>
      </w:pPr>
      <w:r>
        <w:rPr>
          <w:rFonts w:hint="eastAsia"/>
          <w:color w:val="auto"/>
          <w:highlight w:val="none"/>
        </w:rPr>
        <w:t>负责收集整理、汇编独立承包人竣工资料，工程竣工后编制出符合合同及规范要求的工程档案，移交发包人。</w:t>
      </w:r>
    </w:p>
    <w:p>
      <w:pPr>
        <w:pStyle w:val="3"/>
        <w:bidi w:val="0"/>
        <w:rPr>
          <w:color w:val="auto"/>
          <w:highlight w:val="none"/>
        </w:rPr>
      </w:pPr>
      <w:bookmarkStart w:id="198" w:name="_Toc1267"/>
      <w:bookmarkStart w:id="199" w:name="_Toc14829"/>
      <w:bookmarkStart w:id="200" w:name="_Toc9662"/>
      <w:bookmarkStart w:id="201" w:name="_Toc22240"/>
      <w:bookmarkStart w:id="202" w:name="_Toc32154"/>
      <w:bookmarkStart w:id="203" w:name="_Toc32228"/>
      <w:bookmarkStart w:id="204" w:name="_Toc5527"/>
      <w:bookmarkStart w:id="205" w:name="_Toc8517"/>
      <w:bookmarkStart w:id="206" w:name="_Toc7572"/>
      <w:bookmarkStart w:id="207" w:name="_Toc169722205"/>
      <w:bookmarkStart w:id="208" w:name="_Toc24338"/>
      <w:bookmarkStart w:id="209" w:name="_Toc31819"/>
      <w:r>
        <w:rPr>
          <w:rFonts w:hint="eastAsia"/>
          <w:color w:val="auto"/>
          <w:highlight w:val="none"/>
        </w:rPr>
        <w:t>总承包人对</w:t>
      </w:r>
      <w:r>
        <w:rPr>
          <w:color w:val="auto"/>
          <w:highlight w:val="none"/>
        </w:rPr>
        <w:t>外部社会环境及公共关系的协调</w:t>
      </w:r>
      <w:bookmarkEnd w:id="198"/>
      <w:bookmarkEnd w:id="199"/>
      <w:bookmarkEnd w:id="200"/>
      <w:bookmarkEnd w:id="201"/>
      <w:bookmarkEnd w:id="202"/>
      <w:bookmarkEnd w:id="203"/>
      <w:bookmarkEnd w:id="204"/>
      <w:bookmarkEnd w:id="205"/>
      <w:bookmarkEnd w:id="206"/>
      <w:bookmarkEnd w:id="207"/>
      <w:bookmarkEnd w:id="208"/>
      <w:bookmarkEnd w:id="209"/>
    </w:p>
    <w:p>
      <w:pPr>
        <w:pStyle w:val="12"/>
        <w:bidi w:val="0"/>
        <w:rPr>
          <w:color w:val="auto"/>
          <w:highlight w:val="none"/>
        </w:rPr>
      </w:pPr>
      <w:r>
        <w:rPr>
          <w:rFonts w:hint="eastAsia"/>
          <w:color w:val="auto"/>
          <w:highlight w:val="none"/>
        </w:rPr>
        <w:t>公共关系对外协调一览表等</w:t>
      </w:r>
    </w:p>
    <w:tbl>
      <w:tblPr>
        <w:tblStyle w:val="21"/>
        <w:tblW w:w="5000" w:type="pct"/>
        <w:tblInd w:w="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autofit"/>
        <w:tblCellMar>
          <w:top w:w="0" w:type="dxa"/>
          <w:left w:w="108" w:type="dxa"/>
          <w:bottom w:w="0" w:type="dxa"/>
          <w:right w:w="108" w:type="dxa"/>
        </w:tblCellMar>
      </w:tblPr>
      <w:tblGrid>
        <w:gridCol w:w="818"/>
        <w:gridCol w:w="2621"/>
        <w:gridCol w:w="5856"/>
      </w:tblGrid>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518" w:hRule="atLeast"/>
        </w:trPr>
        <w:tc>
          <w:tcPr>
            <w:tcW w:w="440" w:type="pct"/>
            <w:shd w:val="clear" w:color="auto" w:fill="FFC000"/>
            <w:vAlign w:val="center"/>
          </w:tcPr>
          <w:p>
            <w:pPr>
              <w:pStyle w:val="12"/>
              <w:bidi w:val="0"/>
              <w:rPr>
                <w:b/>
                <w:bCs/>
                <w:color w:val="auto"/>
                <w:highlight w:val="none"/>
              </w:rPr>
            </w:pPr>
            <w:r>
              <w:rPr>
                <w:rFonts w:hint="eastAsia"/>
                <w:b/>
                <w:bCs/>
                <w:color w:val="auto"/>
                <w:highlight w:val="none"/>
              </w:rPr>
              <w:t>序号</w:t>
            </w:r>
          </w:p>
        </w:tc>
        <w:tc>
          <w:tcPr>
            <w:tcW w:w="1410" w:type="pct"/>
            <w:shd w:val="clear" w:color="auto" w:fill="FFC000"/>
            <w:vAlign w:val="center"/>
          </w:tcPr>
          <w:p>
            <w:pPr>
              <w:pStyle w:val="12"/>
              <w:bidi w:val="0"/>
              <w:rPr>
                <w:b/>
                <w:bCs/>
                <w:color w:val="auto"/>
                <w:highlight w:val="none"/>
              </w:rPr>
            </w:pPr>
            <w:r>
              <w:rPr>
                <w:rFonts w:hint="eastAsia"/>
                <w:b/>
                <w:bCs/>
                <w:color w:val="auto"/>
                <w:highlight w:val="none"/>
              </w:rPr>
              <w:t>需要协调的部门或机构</w:t>
            </w:r>
          </w:p>
        </w:tc>
        <w:tc>
          <w:tcPr>
            <w:tcW w:w="3150" w:type="pct"/>
            <w:shd w:val="clear" w:color="auto" w:fill="FFC000"/>
            <w:vAlign w:val="center"/>
          </w:tcPr>
          <w:p>
            <w:pPr>
              <w:pStyle w:val="12"/>
              <w:bidi w:val="0"/>
              <w:rPr>
                <w:b/>
                <w:bCs/>
                <w:color w:val="auto"/>
                <w:highlight w:val="none"/>
              </w:rPr>
            </w:pPr>
            <w:r>
              <w:rPr>
                <w:rFonts w:hint="eastAsia"/>
                <w:b/>
                <w:bCs/>
                <w:color w:val="auto"/>
                <w:highlight w:val="none"/>
              </w:rPr>
              <w:t>协调的主要内容</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170" w:hRule="atLeast"/>
        </w:trPr>
        <w:tc>
          <w:tcPr>
            <w:tcW w:w="440" w:type="pct"/>
            <w:vAlign w:val="center"/>
          </w:tcPr>
          <w:p>
            <w:pPr>
              <w:pStyle w:val="12"/>
              <w:bidi w:val="0"/>
              <w:rPr>
                <w:color w:val="auto"/>
                <w:highlight w:val="none"/>
              </w:rPr>
            </w:pPr>
            <w:r>
              <w:rPr>
                <w:rFonts w:hint="eastAsia"/>
                <w:color w:val="auto"/>
                <w:highlight w:val="none"/>
              </w:rPr>
              <w:t>1</w:t>
            </w:r>
          </w:p>
        </w:tc>
        <w:tc>
          <w:tcPr>
            <w:tcW w:w="1410" w:type="pct"/>
            <w:vAlign w:val="center"/>
          </w:tcPr>
          <w:p>
            <w:pPr>
              <w:pStyle w:val="12"/>
              <w:bidi w:val="0"/>
              <w:rPr>
                <w:rFonts w:hint="eastAsia" w:eastAsia="宋体"/>
                <w:color w:val="auto"/>
                <w:highlight w:val="none"/>
                <w:lang w:eastAsia="zh-CN"/>
              </w:rPr>
            </w:pPr>
            <w:r>
              <w:rPr>
                <w:rFonts w:hint="eastAsia"/>
                <w:color w:val="auto"/>
                <w:highlight w:val="none"/>
              </w:rPr>
              <w:t>住建</w:t>
            </w:r>
            <w:r>
              <w:rPr>
                <w:rFonts w:hint="eastAsia"/>
                <w:color w:val="auto"/>
                <w:highlight w:val="none"/>
                <w:lang w:val="en-US" w:eastAsia="zh-CN"/>
              </w:rPr>
              <w:t>局</w:t>
            </w:r>
          </w:p>
        </w:tc>
        <w:tc>
          <w:tcPr>
            <w:tcW w:w="3150" w:type="pct"/>
            <w:vAlign w:val="center"/>
          </w:tcPr>
          <w:p>
            <w:pPr>
              <w:pStyle w:val="12"/>
              <w:bidi w:val="0"/>
              <w:rPr>
                <w:color w:val="auto"/>
                <w:highlight w:val="none"/>
              </w:rPr>
            </w:pPr>
            <w:r>
              <w:rPr>
                <w:rFonts w:hint="eastAsia"/>
                <w:color w:val="auto"/>
                <w:highlight w:val="none"/>
              </w:rPr>
              <w:t>工程过程质量检查、标准贯彻</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170" w:hRule="atLeast"/>
        </w:trPr>
        <w:tc>
          <w:tcPr>
            <w:tcW w:w="440" w:type="pct"/>
            <w:vAlign w:val="center"/>
          </w:tcPr>
          <w:p>
            <w:pPr>
              <w:pStyle w:val="12"/>
              <w:bidi w:val="0"/>
              <w:rPr>
                <w:color w:val="auto"/>
                <w:highlight w:val="none"/>
              </w:rPr>
            </w:pPr>
            <w:r>
              <w:rPr>
                <w:rFonts w:hint="eastAsia"/>
                <w:color w:val="auto"/>
                <w:highlight w:val="none"/>
              </w:rPr>
              <w:t>2</w:t>
            </w:r>
          </w:p>
        </w:tc>
        <w:tc>
          <w:tcPr>
            <w:tcW w:w="1410" w:type="pct"/>
            <w:vAlign w:val="center"/>
          </w:tcPr>
          <w:p>
            <w:pPr>
              <w:pStyle w:val="12"/>
              <w:bidi w:val="0"/>
              <w:rPr>
                <w:color w:val="auto"/>
                <w:highlight w:val="none"/>
              </w:rPr>
            </w:pPr>
            <w:r>
              <w:rPr>
                <w:rFonts w:hint="eastAsia"/>
                <w:color w:val="auto"/>
                <w:highlight w:val="none"/>
              </w:rPr>
              <w:t>安监局</w:t>
            </w:r>
          </w:p>
        </w:tc>
        <w:tc>
          <w:tcPr>
            <w:tcW w:w="3150" w:type="pct"/>
            <w:vAlign w:val="center"/>
          </w:tcPr>
          <w:p>
            <w:pPr>
              <w:pStyle w:val="12"/>
              <w:bidi w:val="0"/>
              <w:rPr>
                <w:color w:val="auto"/>
                <w:highlight w:val="none"/>
              </w:rPr>
            </w:pPr>
            <w:r>
              <w:rPr>
                <w:rFonts w:hint="eastAsia"/>
                <w:color w:val="auto"/>
                <w:highlight w:val="none"/>
              </w:rPr>
              <w:t>工程过程安全检查、事故调查</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170" w:hRule="atLeast"/>
        </w:trPr>
        <w:tc>
          <w:tcPr>
            <w:tcW w:w="440" w:type="pct"/>
            <w:vAlign w:val="center"/>
          </w:tcPr>
          <w:p>
            <w:pPr>
              <w:pStyle w:val="12"/>
              <w:bidi w:val="0"/>
              <w:rPr>
                <w:color w:val="auto"/>
                <w:highlight w:val="none"/>
              </w:rPr>
            </w:pPr>
            <w:r>
              <w:rPr>
                <w:rFonts w:hint="eastAsia"/>
                <w:color w:val="auto"/>
                <w:highlight w:val="none"/>
              </w:rPr>
              <w:t>3</w:t>
            </w:r>
          </w:p>
        </w:tc>
        <w:tc>
          <w:tcPr>
            <w:tcW w:w="1410" w:type="pct"/>
            <w:vAlign w:val="center"/>
          </w:tcPr>
          <w:p>
            <w:pPr>
              <w:pStyle w:val="12"/>
              <w:bidi w:val="0"/>
              <w:rPr>
                <w:color w:val="auto"/>
                <w:highlight w:val="none"/>
              </w:rPr>
            </w:pPr>
            <w:r>
              <w:rPr>
                <w:rFonts w:hint="eastAsia"/>
                <w:color w:val="auto"/>
                <w:highlight w:val="none"/>
              </w:rPr>
              <w:t>安监、质监站</w:t>
            </w:r>
          </w:p>
        </w:tc>
        <w:tc>
          <w:tcPr>
            <w:tcW w:w="3150" w:type="pct"/>
            <w:vAlign w:val="center"/>
          </w:tcPr>
          <w:p>
            <w:pPr>
              <w:pStyle w:val="12"/>
              <w:bidi w:val="0"/>
              <w:rPr>
                <w:color w:val="auto"/>
                <w:highlight w:val="none"/>
              </w:rPr>
            </w:pPr>
            <w:r>
              <w:rPr>
                <w:rFonts w:hint="eastAsia"/>
                <w:color w:val="auto"/>
                <w:highlight w:val="none"/>
              </w:rPr>
              <w:t>工程安全质量检查、竣工验收、备案</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170" w:hRule="atLeast"/>
        </w:trPr>
        <w:tc>
          <w:tcPr>
            <w:tcW w:w="440" w:type="pct"/>
            <w:vAlign w:val="center"/>
          </w:tcPr>
          <w:p>
            <w:pPr>
              <w:pStyle w:val="12"/>
              <w:bidi w:val="0"/>
              <w:rPr>
                <w:color w:val="auto"/>
                <w:highlight w:val="none"/>
              </w:rPr>
            </w:pPr>
            <w:r>
              <w:rPr>
                <w:rFonts w:hint="eastAsia"/>
                <w:color w:val="auto"/>
                <w:highlight w:val="none"/>
              </w:rPr>
              <w:t>4</w:t>
            </w:r>
          </w:p>
        </w:tc>
        <w:tc>
          <w:tcPr>
            <w:tcW w:w="1410" w:type="pct"/>
            <w:vAlign w:val="center"/>
          </w:tcPr>
          <w:p>
            <w:pPr>
              <w:pStyle w:val="12"/>
              <w:bidi w:val="0"/>
              <w:rPr>
                <w:color w:val="auto"/>
                <w:highlight w:val="none"/>
              </w:rPr>
            </w:pPr>
            <w:r>
              <w:rPr>
                <w:rFonts w:hint="eastAsia"/>
                <w:color w:val="auto"/>
                <w:highlight w:val="none"/>
              </w:rPr>
              <w:t>城管</w:t>
            </w:r>
          </w:p>
        </w:tc>
        <w:tc>
          <w:tcPr>
            <w:tcW w:w="3150" w:type="pct"/>
            <w:vAlign w:val="center"/>
          </w:tcPr>
          <w:p>
            <w:pPr>
              <w:pStyle w:val="12"/>
              <w:bidi w:val="0"/>
              <w:rPr>
                <w:color w:val="auto"/>
                <w:highlight w:val="none"/>
              </w:rPr>
            </w:pPr>
            <w:r>
              <w:rPr>
                <w:rFonts w:hint="eastAsia"/>
                <w:color w:val="auto"/>
                <w:highlight w:val="none"/>
              </w:rPr>
              <w:t>占道施工</w:t>
            </w:r>
            <w:r>
              <w:rPr>
                <w:color w:val="auto"/>
                <w:highlight w:val="none"/>
              </w:rPr>
              <w:t>、</w:t>
            </w:r>
            <w:r>
              <w:rPr>
                <w:rFonts w:hint="eastAsia"/>
                <w:color w:val="auto"/>
                <w:highlight w:val="none"/>
              </w:rPr>
              <w:t>市政</w:t>
            </w:r>
            <w:r>
              <w:rPr>
                <w:color w:val="auto"/>
                <w:highlight w:val="none"/>
              </w:rPr>
              <w:t>绿化迁移等</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170" w:hRule="atLeast"/>
        </w:trPr>
        <w:tc>
          <w:tcPr>
            <w:tcW w:w="440" w:type="pct"/>
            <w:vAlign w:val="center"/>
          </w:tcPr>
          <w:p>
            <w:pPr>
              <w:pStyle w:val="12"/>
              <w:bidi w:val="0"/>
              <w:rPr>
                <w:color w:val="auto"/>
                <w:highlight w:val="none"/>
              </w:rPr>
            </w:pPr>
            <w:r>
              <w:rPr>
                <w:rFonts w:hint="eastAsia"/>
                <w:color w:val="auto"/>
                <w:highlight w:val="none"/>
              </w:rPr>
              <w:t>5</w:t>
            </w:r>
          </w:p>
        </w:tc>
        <w:tc>
          <w:tcPr>
            <w:tcW w:w="1410" w:type="pct"/>
            <w:vAlign w:val="center"/>
          </w:tcPr>
          <w:p>
            <w:pPr>
              <w:pStyle w:val="12"/>
              <w:bidi w:val="0"/>
              <w:rPr>
                <w:color w:val="auto"/>
                <w:highlight w:val="none"/>
              </w:rPr>
            </w:pPr>
            <w:r>
              <w:rPr>
                <w:rFonts w:hint="eastAsia"/>
                <w:color w:val="auto"/>
                <w:highlight w:val="none"/>
              </w:rPr>
              <w:t>环保</w:t>
            </w:r>
          </w:p>
        </w:tc>
        <w:tc>
          <w:tcPr>
            <w:tcW w:w="3150" w:type="pct"/>
            <w:vAlign w:val="center"/>
          </w:tcPr>
          <w:p>
            <w:pPr>
              <w:pStyle w:val="12"/>
              <w:bidi w:val="0"/>
              <w:rPr>
                <w:color w:val="auto"/>
                <w:highlight w:val="none"/>
              </w:rPr>
            </w:pPr>
            <w:r>
              <w:rPr>
                <w:rFonts w:hint="eastAsia"/>
                <w:color w:val="auto"/>
                <w:highlight w:val="none"/>
              </w:rPr>
              <w:t>夜间及重大节日施工噪音等、工地周边及工地内的环保</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170" w:hRule="atLeast"/>
        </w:trPr>
        <w:tc>
          <w:tcPr>
            <w:tcW w:w="440" w:type="pct"/>
            <w:vAlign w:val="center"/>
          </w:tcPr>
          <w:p>
            <w:pPr>
              <w:pStyle w:val="12"/>
              <w:bidi w:val="0"/>
              <w:rPr>
                <w:color w:val="auto"/>
                <w:highlight w:val="none"/>
              </w:rPr>
            </w:pPr>
            <w:r>
              <w:rPr>
                <w:rFonts w:hint="eastAsia"/>
                <w:color w:val="auto"/>
                <w:highlight w:val="none"/>
              </w:rPr>
              <w:t>6</w:t>
            </w:r>
          </w:p>
        </w:tc>
        <w:tc>
          <w:tcPr>
            <w:tcW w:w="1410" w:type="pct"/>
            <w:vAlign w:val="center"/>
          </w:tcPr>
          <w:p>
            <w:pPr>
              <w:pStyle w:val="12"/>
              <w:bidi w:val="0"/>
              <w:rPr>
                <w:color w:val="auto"/>
                <w:highlight w:val="none"/>
              </w:rPr>
            </w:pPr>
            <w:r>
              <w:rPr>
                <w:rFonts w:hint="eastAsia"/>
                <w:color w:val="auto"/>
                <w:highlight w:val="none"/>
              </w:rPr>
              <w:t>公安</w:t>
            </w:r>
          </w:p>
        </w:tc>
        <w:tc>
          <w:tcPr>
            <w:tcW w:w="3150" w:type="pct"/>
            <w:vAlign w:val="center"/>
          </w:tcPr>
          <w:p>
            <w:pPr>
              <w:pStyle w:val="12"/>
              <w:bidi w:val="0"/>
              <w:rPr>
                <w:color w:val="auto"/>
                <w:highlight w:val="none"/>
              </w:rPr>
            </w:pPr>
            <w:r>
              <w:rPr>
                <w:rFonts w:hint="eastAsia"/>
                <w:color w:val="auto"/>
                <w:highlight w:val="none"/>
              </w:rPr>
              <w:t>施工现场内外、生活区的治安</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170" w:hRule="atLeast"/>
        </w:trPr>
        <w:tc>
          <w:tcPr>
            <w:tcW w:w="440" w:type="pct"/>
            <w:vAlign w:val="center"/>
          </w:tcPr>
          <w:p>
            <w:pPr>
              <w:pStyle w:val="12"/>
              <w:bidi w:val="0"/>
              <w:rPr>
                <w:color w:val="auto"/>
                <w:highlight w:val="none"/>
              </w:rPr>
            </w:pPr>
            <w:r>
              <w:rPr>
                <w:rFonts w:hint="eastAsia"/>
                <w:color w:val="auto"/>
                <w:highlight w:val="none"/>
              </w:rPr>
              <w:t>7</w:t>
            </w:r>
          </w:p>
        </w:tc>
        <w:tc>
          <w:tcPr>
            <w:tcW w:w="1410" w:type="pct"/>
            <w:vAlign w:val="center"/>
          </w:tcPr>
          <w:p>
            <w:pPr>
              <w:pStyle w:val="12"/>
              <w:bidi w:val="0"/>
              <w:rPr>
                <w:color w:val="auto"/>
                <w:highlight w:val="none"/>
              </w:rPr>
            </w:pPr>
            <w:r>
              <w:rPr>
                <w:rFonts w:hint="eastAsia"/>
                <w:color w:val="auto"/>
                <w:highlight w:val="none"/>
              </w:rPr>
              <w:t>交通</w:t>
            </w:r>
          </w:p>
        </w:tc>
        <w:tc>
          <w:tcPr>
            <w:tcW w:w="3150" w:type="pct"/>
            <w:vAlign w:val="center"/>
          </w:tcPr>
          <w:p>
            <w:pPr>
              <w:pStyle w:val="12"/>
              <w:bidi w:val="0"/>
              <w:rPr>
                <w:color w:val="auto"/>
                <w:highlight w:val="none"/>
              </w:rPr>
            </w:pPr>
            <w:r>
              <w:rPr>
                <w:rFonts w:hint="eastAsia"/>
                <w:color w:val="auto"/>
                <w:highlight w:val="none"/>
              </w:rPr>
              <w:t>施工现场临时出入口、道路出入、临时占道审批</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170" w:hRule="atLeast"/>
        </w:trPr>
        <w:tc>
          <w:tcPr>
            <w:tcW w:w="440" w:type="pct"/>
            <w:vAlign w:val="center"/>
          </w:tcPr>
          <w:p>
            <w:pPr>
              <w:pStyle w:val="12"/>
              <w:bidi w:val="0"/>
              <w:rPr>
                <w:color w:val="auto"/>
                <w:highlight w:val="none"/>
              </w:rPr>
            </w:pPr>
            <w:r>
              <w:rPr>
                <w:rFonts w:hint="eastAsia"/>
                <w:color w:val="auto"/>
                <w:highlight w:val="none"/>
              </w:rPr>
              <w:t>8</w:t>
            </w:r>
          </w:p>
        </w:tc>
        <w:tc>
          <w:tcPr>
            <w:tcW w:w="1410" w:type="pct"/>
            <w:vAlign w:val="center"/>
          </w:tcPr>
          <w:p>
            <w:pPr>
              <w:pStyle w:val="12"/>
              <w:bidi w:val="0"/>
              <w:rPr>
                <w:color w:val="auto"/>
                <w:highlight w:val="none"/>
              </w:rPr>
            </w:pPr>
            <w:r>
              <w:rPr>
                <w:rFonts w:hint="eastAsia"/>
                <w:color w:val="auto"/>
                <w:highlight w:val="none"/>
              </w:rPr>
              <w:t>消防</w:t>
            </w:r>
          </w:p>
        </w:tc>
        <w:tc>
          <w:tcPr>
            <w:tcW w:w="3150" w:type="pct"/>
            <w:vAlign w:val="center"/>
          </w:tcPr>
          <w:p>
            <w:pPr>
              <w:pStyle w:val="12"/>
              <w:bidi w:val="0"/>
              <w:rPr>
                <w:color w:val="auto"/>
                <w:highlight w:val="none"/>
              </w:rPr>
            </w:pPr>
            <w:r>
              <w:rPr>
                <w:rFonts w:hint="eastAsia"/>
                <w:color w:val="auto"/>
                <w:highlight w:val="none"/>
              </w:rPr>
              <w:t>施工现场内外、生活区防火、临时消防系统审批</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170" w:hRule="atLeast"/>
        </w:trPr>
        <w:tc>
          <w:tcPr>
            <w:tcW w:w="440" w:type="pct"/>
            <w:vAlign w:val="center"/>
          </w:tcPr>
          <w:p>
            <w:pPr>
              <w:pStyle w:val="12"/>
              <w:bidi w:val="0"/>
              <w:rPr>
                <w:color w:val="auto"/>
                <w:highlight w:val="none"/>
              </w:rPr>
            </w:pPr>
            <w:r>
              <w:rPr>
                <w:rFonts w:hint="eastAsia"/>
                <w:color w:val="auto"/>
                <w:highlight w:val="none"/>
              </w:rPr>
              <w:t>9</w:t>
            </w:r>
          </w:p>
        </w:tc>
        <w:tc>
          <w:tcPr>
            <w:tcW w:w="1410" w:type="pct"/>
            <w:vAlign w:val="center"/>
          </w:tcPr>
          <w:p>
            <w:pPr>
              <w:pStyle w:val="12"/>
              <w:bidi w:val="0"/>
              <w:rPr>
                <w:color w:val="auto"/>
                <w:highlight w:val="none"/>
              </w:rPr>
            </w:pPr>
            <w:r>
              <w:rPr>
                <w:rFonts w:hint="eastAsia"/>
                <w:color w:val="auto"/>
                <w:highlight w:val="none"/>
              </w:rPr>
              <w:t>劳动局</w:t>
            </w:r>
          </w:p>
        </w:tc>
        <w:tc>
          <w:tcPr>
            <w:tcW w:w="3150" w:type="pct"/>
            <w:vAlign w:val="center"/>
          </w:tcPr>
          <w:p>
            <w:pPr>
              <w:pStyle w:val="12"/>
              <w:bidi w:val="0"/>
              <w:rPr>
                <w:color w:val="auto"/>
                <w:highlight w:val="none"/>
              </w:rPr>
            </w:pPr>
            <w:r>
              <w:rPr>
                <w:rFonts w:hint="eastAsia"/>
                <w:color w:val="auto"/>
                <w:highlight w:val="none"/>
              </w:rPr>
              <w:t>施工现场所有人员的劳动保障</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170" w:hRule="atLeast"/>
        </w:trPr>
        <w:tc>
          <w:tcPr>
            <w:tcW w:w="440" w:type="pct"/>
            <w:vAlign w:val="center"/>
          </w:tcPr>
          <w:p>
            <w:pPr>
              <w:pStyle w:val="12"/>
              <w:bidi w:val="0"/>
              <w:rPr>
                <w:color w:val="auto"/>
                <w:highlight w:val="none"/>
              </w:rPr>
            </w:pPr>
            <w:r>
              <w:rPr>
                <w:rFonts w:hint="eastAsia"/>
                <w:color w:val="auto"/>
                <w:highlight w:val="none"/>
              </w:rPr>
              <w:t>10</w:t>
            </w:r>
          </w:p>
        </w:tc>
        <w:tc>
          <w:tcPr>
            <w:tcW w:w="1410" w:type="pct"/>
            <w:vAlign w:val="center"/>
          </w:tcPr>
          <w:p>
            <w:pPr>
              <w:pStyle w:val="12"/>
              <w:bidi w:val="0"/>
              <w:rPr>
                <w:color w:val="auto"/>
                <w:highlight w:val="none"/>
              </w:rPr>
            </w:pPr>
            <w:r>
              <w:rPr>
                <w:rFonts w:hint="eastAsia"/>
                <w:color w:val="auto"/>
                <w:highlight w:val="none"/>
              </w:rPr>
              <w:t>工程所在地街道办</w:t>
            </w:r>
          </w:p>
        </w:tc>
        <w:tc>
          <w:tcPr>
            <w:tcW w:w="3150" w:type="pct"/>
            <w:vAlign w:val="center"/>
          </w:tcPr>
          <w:p>
            <w:pPr>
              <w:pStyle w:val="12"/>
              <w:bidi w:val="0"/>
              <w:rPr>
                <w:color w:val="auto"/>
                <w:highlight w:val="none"/>
              </w:rPr>
            </w:pPr>
            <w:r>
              <w:rPr>
                <w:rFonts w:hint="eastAsia"/>
                <w:color w:val="auto"/>
                <w:highlight w:val="none"/>
              </w:rPr>
              <w:t>施工现场周边关系（扰民、扬尘、夜间施工等）</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170" w:hRule="atLeast"/>
        </w:trPr>
        <w:tc>
          <w:tcPr>
            <w:tcW w:w="440" w:type="pct"/>
            <w:vAlign w:val="center"/>
          </w:tcPr>
          <w:p>
            <w:pPr>
              <w:pStyle w:val="12"/>
              <w:bidi w:val="0"/>
              <w:rPr>
                <w:color w:val="auto"/>
                <w:highlight w:val="none"/>
              </w:rPr>
            </w:pPr>
            <w:r>
              <w:rPr>
                <w:rFonts w:hint="eastAsia"/>
                <w:color w:val="auto"/>
                <w:highlight w:val="none"/>
              </w:rPr>
              <w:t>11</w:t>
            </w:r>
          </w:p>
        </w:tc>
        <w:tc>
          <w:tcPr>
            <w:tcW w:w="1410" w:type="pct"/>
            <w:vAlign w:val="center"/>
          </w:tcPr>
          <w:p>
            <w:pPr>
              <w:pStyle w:val="12"/>
              <w:bidi w:val="0"/>
              <w:rPr>
                <w:rFonts w:hint="default" w:eastAsia="宋体"/>
                <w:color w:val="auto"/>
                <w:highlight w:val="none"/>
                <w:lang w:val="en-US" w:eastAsia="zh-CN"/>
              </w:rPr>
            </w:pPr>
            <w:r>
              <w:rPr>
                <w:rFonts w:hint="eastAsia"/>
                <w:color w:val="auto"/>
                <w:highlight w:val="none"/>
                <w:lang w:val="en-US" w:eastAsia="zh-CN"/>
              </w:rPr>
              <w:t>水务</w:t>
            </w:r>
          </w:p>
        </w:tc>
        <w:tc>
          <w:tcPr>
            <w:tcW w:w="3150" w:type="pct"/>
            <w:vAlign w:val="center"/>
          </w:tcPr>
          <w:p>
            <w:pPr>
              <w:pStyle w:val="12"/>
              <w:bidi w:val="0"/>
              <w:rPr>
                <w:color w:val="auto"/>
                <w:highlight w:val="none"/>
              </w:rPr>
            </w:pPr>
            <w:r>
              <w:rPr>
                <w:rFonts w:hint="eastAsia"/>
                <w:color w:val="auto"/>
                <w:highlight w:val="none"/>
              </w:rPr>
              <w:t>工程用水的申请及计量</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170" w:hRule="atLeast"/>
        </w:trPr>
        <w:tc>
          <w:tcPr>
            <w:tcW w:w="440" w:type="pct"/>
            <w:vAlign w:val="center"/>
          </w:tcPr>
          <w:p>
            <w:pPr>
              <w:pStyle w:val="12"/>
              <w:bidi w:val="0"/>
              <w:rPr>
                <w:color w:val="auto"/>
                <w:highlight w:val="none"/>
              </w:rPr>
            </w:pPr>
            <w:r>
              <w:rPr>
                <w:rFonts w:hint="eastAsia"/>
                <w:color w:val="auto"/>
                <w:highlight w:val="none"/>
              </w:rPr>
              <w:t>12</w:t>
            </w:r>
          </w:p>
        </w:tc>
        <w:tc>
          <w:tcPr>
            <w:tcW w:w="1410" w:type="pct"/>
            <w:vAlign w:val="center"/>
          </w:tcPr>
          <w:p>
            <w:pPr>
              <w:pStyle w:val="12"/>
              <w:bidi w:val="0"/>
              <w:rPr>
                <w:color w:val="auto"/>
                <w:highlight w:val="none"/>
              </w:rPr>
            </w:pPr>
            <w:r>
              <w:rPr>
                <w:rFonts w:hint="eastAsia"/>
                <w:color w:val="auto"/>
                <w:highlight w:val="none"/>
              </w:rPr>
              <w:t>供电局</w:t>
            </w:r>
          </w:p>
        </w:tc>
        <w:tc>
          <w:tcPr>
            <w:tcW w:w="3150" w:type="pct"/>
            <w:vAlign w:val="center"/>
          </w:tcPr>
          <w:p>
            <w:pPr>
              <w:pStyle w:val="12"/>
              <w:bidi w:val="0"/>
              <w:rPr>
                <w:color w:val="auto"/>
                <w:highlight w:val="none"/>
              </w:rPr>
            </w:pPr>
            <w:r>
              <w:rPr>
                <w:rFonts w:hint="eastAsia"/>
                <w:color w:val="auto"/>
                <w:highlight w:val="none"/>
              </w:rPr>
              <w:t>工程用电的申请及计量</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170" w:hRule="atLeast"/>
        </w:trPr>
        <w:tc>
          <w:tcPr>
            <w:tcW w:w="440" w:type="pct"/>
            <w:vAlign w:val="center"/>
          </w:tcPr>
          <w:p>
            <w:pPr>
              <w:pStyle w:val="12"/>
              <w:bidi w:val="0"/>
              <w:rPr>
                <w:color w:val="auto"/>
                <w:highlight w:val="none"/>
              </w:rPr>
            </w:pPr>
            <w:r>
              <w:rPr>
                <w:rFonts w:hint="eastAsia"/>
                <w:color w:val="auto"/>
                <w:highlight w:val="none"/>
              </w:rPr>
              <w:t>13</w:t>
            </w:r>
          </w:p>
        </w:tc>
        <w:tc>
          <w:tcPr>
            <w:tcW w:w="1410" w:type="pct"/>
            <w:vAlign w:val="center"/>
          </w:tcPr>
          <w:p>
            <w:pPr>
              <w:pStyle w:val="12"/>
              <w:bidi w:val="0"/>
              <w:rPr>
                <w:color w:val="auto"/>
                <w:highlight w:val="none"/>
              </w:rPr>
            </w:pPr>
            <w:r>
              <w:rPr>
                <w:rFonts w:hint="eastAsia"/>
                <w:color w:val="auto"/>
                <w:highlight w:val="none"/>
              </w:rPr>
              <w:t>城建档案馆</w:t>
            </w:r>
          </w:p>
        </w:tc>
        <w:tc>
          <w:tcPr>
            <w:tcW w:w="3150" w:type="pct"/>
            <w:vAlign w:val="center"/>
          </w:tcPr>
          <w:p>
            <w:pPr>
              <w:pStyle w:val="12"/>
              <w:bidi w:val="0"/>
              <w:rPr>
                <w:color w:val="auto"/>
                <w:highlight w:val="none"/>
              </w:rPr>
            </w:pPr>
            <w:r>
              <w:rPr>
                <w:rFonts w:hint="eastAsia"/>
                <w:color w:val="auto"/>
                <w:highlight w:val="none"/>
              </w:rPr>
              <w:t>工程竣工资料的移交、备案</w:t>
            </w:r>
          </w:p>
        </w:tc>
      </w:tr>
    </w:tbl>
    <w:p>
      <w:pPr>
        <w:pStyle w:val="4"/>
        <w:bidi w:val="0"/>
        <w:rPr>
          <w:color w:val="auto"/>
          <w:highlight w:val="none"/>
        </w:rPr>
      </w:pPr>
      <w:r>
        <w:rPr>
          <w:rFonts w:hint="eastAsia"/>
          <w:color w:val="auto"/>
          <w:highlight w:val="none"/>
        </w:rPr>
        <w:t>与</w:t>
      </w:r>
      <w:r>
        <w:rPr>
          <w:color w:val="auto"/>
          <w:highlight w:val="none"/>
        </w:rPr>
        <w:t>政府相关主管部门关系的协调</w:t>
      </w:r>
    </w:p>
    <w:p>
      <w:pPr>
        <w:pStyle w:val="5"/>
        <w:bidi w:val="0"/>
        <w:rPr>
          <w:color w:val="auto"/>
          <w:highlight w:val="none"/>
        </w:rPr>
      </w:pPr>
      <w:r>
        <w:rPr>
          <w:rFonts w:hint="eastAsia"/>
          <w:color w:val="auto"/>
          <w:highlight w:val="none"/>
        </w:rPr>
        <w:t>相关政府职能部门包括住建、城管、公安、交通、环卫、市政、燃气、自来水、电力、劳动保护、消防等部门。总承包人要积极与职能部门进行沟通，及时通报工程的各项进展情况，征得其对工程建设的支持和帮助，保证建设期间的水、电、气的正常供应和紧急抢修，减少或避免交通、治安等对工程施工造成的影响，及时办理各种手续。</w:t>
      </w:r>
    </w:p>
    <w:p>
      <w:pPr>
        <w:pStyle w:val="5"/>
        <w:bidi w:val="0"/>
        <w:rPr>
          <w:color w:val="auto"/>
          <w:highlight w:val="none"/>
        </w:rPr>
      </w:pPr>
      <w:r>
        <w:rPr>
          <w:rFonts w:hint="eastAsia"/>
          <w:color w:val="auto"/>
          <w:highlight w:val="none"/>
        </w:rPr>
        <w:t>自觉接受政府的依法监督和指导，随时了解国家和政府的有关方针、政策，掌握近期的市场信息。</w:t>
      </w:r>
    </w:p>
    <w:p>
      <w:pPr>
        <w:pStyle w:val="5"/>
        <w:bidi w:val="0"/>
        <w:rPr>
          <w:color w:val="auto"/>
          <w:highlight w:val="none"/>
        </w:rPr>
      </w:pPr>
      <w:r>
        <w:rPr>
          <w:rFonts w:hint="eastAsia"/>
          <w:color w:val="auto"/>
          <w:highlight w:val="none"/>
        </w:rPr>
        <w:t>主动向工商税务部门依法纳税，主动与公安交通部门取得联系，取得施工占用道路的批准和运输的畅通。</w:t>
      </w:r>
    </w:p>
    <w:p>
      <w:pPr>
        <w:pStyle w:val="5"/>
        <w:bidi w:val="0"/>
        <w:rPr>
          <w:color w:val="auto"/>
          <w:highlight w:val="none"/>
        </w:rPr>
      </w:pPr>
      <w:r>
        <w:rPr>
          <w:rFonts w:hint="eastAsia"/>
          <w:color w:val="auto"/>
          <w:highlight w:val="none"/>
        </w:rPr>
        <w:t>主动与司法部门联系，征得法律的保护和指导。</w:t>
      </w:r>
    </w:p>
    <w:p>
      <w:pPr>
        <w:pStyle w:val="5"/>
        <w:bidi w:val="0"/>
        <w:rPr>
          <w:color w:val="auto"/>
          <w:highlight w:val="none"/>
        </w:rPr>
      </w:pPr>
      <w:r>
        <w:rPr>
          <w:rFonts w:hint="eastAsia"/>
          <w:color w:val="auto"/>
          <w:highlight w:val="none"/>
        </w:rPr>
        <w:t>主动与市容监察部门联系，搞好施工现场周围地区的环境卫生。</w:t>
      </w:r>
    </w:p>
    <w:p>
      <w:pPr>
        <w:pStyle w:val="5"/>
        <w:bidi w:val="0"/>
        <w:rPr>
          <w:color w:val="auto"/>
          <w:highlight w:val="none"/>
        </w:rPr>
      </w:pPr>
      <w:r>
        <w:rPr>
          <w:rFonts w:hint="eastAsia"/>
          <w:color w:val="auto"/>
          <w:highlight w:val="none"/>
        </w:rPr>
        <w:t>主动与建设主管部门联系，征得他们对于工程质量和施工安全的指导与认可。</w:t>
      </w:r>
    </w:p>
    <w:p>
      <w:pPr>
        <w:pStyle w:val="5"/>
        <w:bidi w:val="0"/>
        <w:rPr>
          <w:color w:val="auto"/>
          <w:highlight w:val="none"/>
        </w:rPr>
      </w:pPr>
      <w:r>
        <w:rPr>
          <w:rFonts w:hint="eastAsia"/>
          <w:color w:val="auto"/>
          <w:highlight w:val="none"/>
        </w:rPr>
        <w:t>与政府主管部门沟通工序穿插，实现穿插提效。</w:t>
      </w:r>
    </w:p>
    <w:p>
      <w:pPr>
        <w:pStyle w:val="5"/>
        <w:bidi w:val="0"/>
        <w:rPr>
          <w:color w:val="auto"/>
          <w:highlight w:val="none"/>
        </w:rPr>
      </w:pPr>
      <w:r>
        <w:rPr>
          <w:rFonts w:hint="eastAsia"/>
          <w:color w:val="auto"/>
          <w:highlight w:val="none"/>
        </w:rPr>
        <w:t>其他外部社会环境及公共关系的协调。</w:t>
      </w:r>
    </w:p>
    <w:p>
      <w:pPr>
        <w:pStyle w:val="5"/>
        <w:bidi w:val="0"/>
        <w:rPr>
          <w:color w:val="auto"/>
          <w:highlight w:val="none"/>
        </w:rPr>
      </w:pPr>
      <w:r>
        <w:rPr>
          <w:rFonts w:hint="eastAsia"/>
          <w:color w:val="auto"/>
          <w:highlight w:val="none"/>
        </w:rPr>
        <w:t>承包人须负责协助配合发包人与有关政府部门及公用事业机构协调和沟通，若发包人认为承包人缺乏配合或配合力度不够导致工程进展不顺利的。发包人有权要求承包人更换项目总指挥和对于的工作人员，直至工作配合满意。由此造成的工程损失和延误由责任承包人全部承担。</w:t>
      </w:r>
    </w:p>
    <w:p>
      <w:pPr>
        <w:pStyle w:val="5"/>
        <w:bidi w:val="0"/>
        <w:rPr>
          <w:color w:val="auto"/>
          <w:highlight w:val="none"/>
        </w:rPr>
      </w:pPr>
      <w:r>
        <w:rPr>
          <w:rFonts w:hint="eastAsia"/>
          <w:color w:val="auto"/>
          <w:highlight w:val="none"/>
        </w:rPr>
        <w:t>承包人提供所需的有关资料，包括图纸、样品、产品说明等向政府部门或公用事业机构申报，若所有须送审的有关资料未能达到有关政府部门的要求而需重新申报的，由此而导致工期延误及所引起的一切费用损失等全部由承包人负责。</w:t>
      </w:r>
    </w:p>
    <w:p>
      <w:pPr>
        <w:pStyle w:val="5"/>
        <w:bidi w:val="0"/>
        <w:rPr>
          <w:color w:val="auto"/>
          <w:highlight w:val="none"/>
        </w:rPr>
      </w:pPr>
      <w:r>
        <w:rPr>
          <w:rFonts w:hint="eastAsia"/>
          <w:color w:val="auto"/>
          <w:highlight w:val="none"/>
        </w:rPr>
        <w:t>如因承包人与有关政府部门及公用事业机构缺乏协调和沟通而导致已完工的工程需更改或拆除，承包人须负全部承担因此造成的费用增加和工期延误责任。</w:t>
      </w:r>
    </w:p>
    <w:p>
      <w:pPr>
        <w:pStyle w:val="5"/>
        <w:bidi w:val="0"/>
        <w:rPr>
          <w:color w:val="auto"/>
          <w:highlight w:val="none"/>
        </w:rPr>
      </w:pPr>
      <w:r>
        <w:rPr>
          <w:rFonts w:hint="eastAsia"/>
          <w:color w:val="auto"/>
          <w:highlight w:val="none"/>
        </w:rPr>
        <w:t>承包人须无条件全面配合发包人进行本项目相关的报建工作（包含但不限于工作沟通、资料递交等）；及发包人向政府有关部门或公用事业机构的汇报工作。</w:t>
      </w:r>
    </w:p>
    <w:p>
      <w:pPr>
        <w:pStyle w:val="5"/>
        <w:bidi w:val="0"/>
        <w:rPr>
          <w:color w:val="auto"/>
          <w:highlight w:val="none"/>
        </w:rPr>
      </w:pPr>
      <w:r>
        <w:rPr>
          <w:rFonts w:hint="eastAsia"/>
          <w:color w:val="auto"/>
          <w:highlight w:val="none"/>
        </w:rPr>
        <w:t>承包人须全面负责本项目的对外接待工作（包含但不限于政府部门及公用事业机构的现场视察、检查、监督及参观等活动的接待）。</w:t>
      </w:r>
    </w:p>
    <w:p>
      <w:pPr>
        <w:pStyle w:val="5"/>
        <w:bidi w:val="0"/>
        <w:rPr>
          <w:color w:val="auto"/>
          <w:highlight w:val="none"/>
        </w:rPr>
      </w:pPr>
      <w:r>
        <w:rPr>
          <w:rFonts w:hint="eastAsia"/>
          <w:color w:val="auto"/>
          <w:highlight w:val="none"/>
        </w:rPr>
        <w:t>承包人需无条件配合执行政府相关部门下发的相关工程建设政策、文件及其他事项。</w:t>
      </w:r>
    </w:p>
    <w:p>
      <w:pPr>
        <w:pStyle w:val="4"/>
        <w:bidi w:val="0"/>
        <w:rPr>
          <w:color w:val="auto"/>
          <w:highlight w:val="none"/>
        </w:rPr>
      </w:pPr>
      <w:r>
        <w:rPr>
          <w:rFonts w:hint="eastAsia"/>
          <w:color w:val="auto"/>
          <w:highlight w:val="none"/>
        </w:rPr>
        <w:t xml:space="preserve"> 与</w:t>
      </w:r>
      <w:r>
        <w:rPr>
          <w:color w:val="auto"/>
          <w:highlight w:val="none"/>
        </w:rPr>
        <w:t>社会公众及当地社区关系的协调</w:t>
      </w:r>
    </w:p>
    <w:p>
      <w:pPr>
        <w:pStyle w:val="5"/>
        <w:bidi w:val="0"/>
        <w:rPr>
          <w:color w:val="auto"/>
          <w:highlight w:val="none"/>
        </w:rPr>
      </w:pPr>
      <w:r>
        <w:rPr>
          <w:rFonts w:hint="eastAsia"/>
          <w:color w:val="auto"/>
          <w:highlight w:val="none"/>
        </w:rPr>
        <w:t>加强与周边社区、单位的联系沟通，及时向其通报工程情况，宣传工程建设的意义，对给其造成的不便征得谅解，减少或避免相互间的矛盾。对周边社区居民、单位提出的问题，要合理解释和尽量予以满足和解决。</w:t>
      </w:r>
    </w:p>
    <w:p>
      <w:pPr>
        <w:pStyle w:val="5"/>
        <w:bidi w:val="0"/>
        <w:rPr>
          <w:color w:val="auto"/>
          <w:highlight w:val="none"/>
        </w:rPr>
      </w:pPr>
      <w:r>
        <w:rPr>
          <w:rFonts w:hint="eastAsia"/>
          <w:color w:val="auto"/>
          <w:highlight w:val="none"/>
        </w:rPr>
        <w:t>对受施工的噪声、强光、灰尘影响的单位和居民采取必要的弥补措施。同时也积极采取预防措施减少这些危害，尽可能地保护周围单位和居民的利益。</w:t>
      </w:r>
    </w:p>
    <w:p>
      <w:pPr>
        <w:bidi w:val="0"/>
        <w:rPr>
          <w:color w:val="auto"/>
          <w:highlight w:val="none"/>
        </w:rPr>
      </w:pPr>
      <w:bookmarkStart w:id="210" w:name="_Toc20689"/>
      <w:bookmarkStart w:id="211" w:name="_Toc4686"/>
      <w:bookmarkStart w:id="212" w:name="_Toc24775"/>
      <w:bookmarkStart w:id="213" w:name="_Toc26361"/>
      <w:bookmarkStart w:id="214" w:name="_Toc14447"/>
      <w:bookmarkStart w:id="215" w:name="_Toc27954"/>
      <w:r>
        <w:rPr>
          <w:color w:val="auto"/>
          <w:highlight w:val="none"/>
        </w:rPr>
        <w:br w:type="page"/>
      </w:r>
    </w:p>
    <w:p>
      <w:pPr>
        <w:pStyle w:val="2"/>
        <w:bidi w:val="0"/>
        <w:rPr>
          <w:color w:val="auto"/>
          <w:highlight w:val="none"/>
        </w:rPr>
      </w:pPr>
      <w:bookmarkStart w:id="216" w:name="_Toc18234"/>
      <w:bookmarkStart w:id="217" w:name="_Toc2826"/>
      <w:bookmarkStart w:id="218" w:name="_Toc4117"/>
      <w:bookmarkStart w:id="219" w:name="_Toc5957"/>
      <w:bookmarkStart w:id="220" w:name="_Toc29906"/>
      <w:r>
        <w:rPr>
          <w:color w:val="auto"/>
          <w:highlight w:val="none"/>
        </w:rPr>
        <w:t>项目组织架构及工作要求</w:t>
      </w:r>
      <w:bookmarkEnd w:id="73"/>
      <w:bookmarkEnd w:id="210"/>
      <w:bookmarkEnd w:id="211"/>
      <w:bookmarkEnd w:id="212"/>
      <w:bookmarkEnd w:id="213"/>
      <w:bookmarkEnd w:id="214"/>
      <w:bookmarkEnd w:id="215"/>
      <w:bookmarkEnd w:id="216"/>
      <w:bookmarkEnd w:id="217"/>
      <w:bookmarkEnd w:id="218"/>
      <w:bookmarkEnd w:id="219"/>
      <w:bookmarkEnd w:id="220"/>
    </w:p>
    <w:p>
      <w:pPr>
        <w:pStyle w:val="3"/>
        <w:bidi w:val="0"/>
        <w:rPr>
          <w:color w:val="auto"/>
          <w:highlight w:val="none"/>
        </w:rPr>
      </w:pPr>
      <w:bookmarkStart w:id="221" w:name="_Toc10410"/>
      <w:bookmarkStart w:id="222" w:name="_Toc16283"/>
      <w:bookmarkStart w:id="223" w:name="_Toc13183"/>
      <w:bookmarkStart w:id="224" w:name="_Toc169722207"/>
      <w:bookmarkStart w:id="225" w:name="_Toc25537"/>
      <w:bookmarkStart w:id="226" w:name="_Toc18300"/>
      <w:bookmarkStart w:id="227" w:name="_Toc26371"/>
      <w:bookmarkStart w:id="228" w:name="_Toc11797"/>
      <w:bookmarkStart w:id="229" w:name="_Toc27654"/>
      <w:bookmarkStart w:id="230" w:name="_Toc17611"/>
      <w:bookmarkStart w:id="231" w:name="_Toc11930"/>
      <w:bookmarkStart w:id="232" w:name="_Toc5312"/>
      <w:r>
        <w:rPr>
          <w:rFonts w:hint="eastAsia"/>
          <w:color w:val="auto"/>
          <w:highlight w:val="none"/>
        </w:rPr>
        <w:t>项目</w:t>
      </w:r>
      <w:r>
        <w:rPr>
          <w:color w:val="auto"/>
          <w:highlight w:val="none"/>
        </w:rPr>
        <w:t>管理团队组织架构设置要求</w:t>
      </w:r>
      <w:bookmarkEnd w:id="221"/>
      <w:bookmarkEnd w:id="222"/>
      <w:bookmarkEnd w:id="223"/>
      <w:bookmarkEnd w:id="224"/>
      <w:bookmarkEnd w:id="225"/>
      <w:bookmarkEnd w:id="226"/>
      <w:bookmarkEnd w:id="227"/>
      <w:bookmarkEnd w:id="228"/>
      <w:bookmarkEnd w:id="229"/>
      <w:bookmarkEnd w:id="230"/>
      <w:bookmarkEnd w:id="231"/>
      <w:bookmarkEnd w:id="232"/>
    </w:p>
    <w:p>
      <w:pPr>
        <w:pStyle w:val="4"/>
        <w:bidi w:val="0"/>
        <w:rPr>
          <w:color w:val="auto"/>
          <w:highlight w:val="none"/>
        </w:rPr>
      </w:pPr>
      <w:r>
        <w:rPr>
          <w:rFonts w:hint="eastAsia"/>
          <w:color w:val="auto"/>
          <w:highlight w:val="none"/>
        </w:rPr>
        <w:t>总承包人应设置</w:t>
      </w:r>
      <w:r>
        <w:rPr>
          <w:rFonts w:hint="eastAsia"/>
          <w:color w:val="auto"/>
          <w:highlight w:val="none"/>
          <w:lang w:eastAsia="zh-CN"/>
        </w:rPr>
        <w:t>项目指挥长</w:t>
      </w:r>
      <w:r>
        <w:rPr>
          <w:rFonts w:hint="eastAsia"/>
          <w:color w:val="auto"/>
          <w:highlight w:val="none"/>
        </w:rPr>
        <w:t>一职，</w:t>
      </w:r>
      <w:r>
        <w:rPr>
          <w:rFonts w:hint="eastAsia"/>
          <w:color w:val="auto"/>
          <w:highlight w:val="none"/>
          <w:lang w:eastAsia="zh-CN"/>
        </w:rPr>
        <w:t>项目指挥长</w:t>
      </w:r>
      <w:r>
        <w:rPr>
          <w:rFonts w:hint="eastAsia"/>
          <w:color w:val="auto"/>
          <w:highlight w:val="none"/>
        </w:rPr>
        <w:t>由总承包人负责生产的公司副总经理（或以上）级别的人员担任，以保证有效调配、协调公司资源，满足项目在进度、质量、安全文明施工等方面的管理需要。</w:t>
      </w:r>
    </w:p>
    <w:p>
      <w:pPr>
        <w:pStyle w:val="4"/>
        <w:bidi w:val="0"/>
        <w:rPr>
          <w:color w:val="auto"/>
          <w:highlight w:val="none"/>
        </w:rPr>
      </w:pPr>
      <w:r>
        <w:rPr>
          <w:rFonts w:hint="eastAsia"/>
          <w:color w:val="auto"/>
          <w:highlight w:val="none"/>
        </w:rPr>
        <w:t>总承包人应根据发包人对项目组织架构的要求，配备项目管理人员。</w:t>
      </w:r>
    </w:p>
    <w:p>
      <w:pPr>
        <w:pStyle w:val="4"/>
        <w:bidi w:val="0"/>
        <w:rPr>
          <w:color w:val="auto"/>
          <w:highlight w:val="none"/>
        </w:rPr>
      </w:pPr>
      <w:r>
        <w:rPr>
          <w:color w:val="auto"/>
          <w:highlight w:val="none"/>
        </w:rPr>
        <w:t>项目组织架构中的</w:t>
      </w:r>
      <w:r>
        <w:rPr>
          <w:rFonts w:hint="eastAsia"/>
          <w:color w:val="auto"/>
          <w:highlight w:val="none"/>
          <w:lang w:eastAsia="zh-CN"/>
        </w:rPr>
        <w:t>项目负责人</w:t>
      </w:r>
      <w:r>
        <w:rPr>
          <w:rFonts w:hint="eastAsia"/>
          <w:color w:val="auto"/>
          <w:highlight w:val="none"/>
        </w:rPr>
        <w:t>、</w:t>
      </w:r>
      <w:r>
        <w:rPr>
          <w:color w:val="auto"/>
          <w:highlight w:val="none"/>
        </w:rPr>
        <w:t>生产经理</w:t>
      </w:r>
      <w:r>
        <w:rPr>
          <w:rFonts w:hint="eastAsia"/>
          <w:color w:val="auto"/>
          <w:highlight w:val="none"/>
        </w:rPr>
        <w:t>、技术</w:t>
      </w:r>
      <w:r>
        <w:rPr>
          <w:rFonts w:hint="eastAsia"/>
          <w:color w:val="auto"/>
          <w:highlight w:val="none"/>
          <w:lang w:val="en-US" w:eastAsia="zh-CN"/>
        </w:rPr>
        <w:t>负责人</w:t>
      </w:r>
      <w:r>
        <w:rPr>
          <w:rFonts w:hint="eastAsia"/>
          <w:color w:val="auto"/>
          <w:highlight w:val="none"/>
        </w:rPr>
        <w:t>、</w:t>
      </w:r>
      <w:r>
        <w:rPr>
          <w:rFonts w:hint="eastAsia"/>
          <w:color w:val="auto"/>
          <w:highlight w:val="none"/>
          <w:lang w:val="en-US" w:eastAsia="zh-CN"/>
        </w:rPr>
        <w:t>造价负责人</w:t>
      </w:r>
      <w:r>
        <w:rPr>
          <w:rFonts w:hint="eastAsia"/>
          <w:color w:val="auto"/>
          <w:highlight w:val="none"/>
        </w:rPr>
        <w:t>、</w:t>
      </w:r>
      <w:r>
        <w:rPr>
          <w:rFonts w:hint="eastAsia"/>
          <w:color w:val="auto"/>
          <w:highlight w:val="none"/>
          <w:lang w:eastAsia="zh-CN"/>
        </w:rPr>
        <w:t>安全负责人</w:t>
      </w:r>
      <w:r>
        <w:rPr>
          <w:rFonts w:hint="eastAsia"/>
          <w:color w:val="auto"/>
          <w:highlight w:val="none"/>
        </w:rPr>
        <w:t>为</w:t>
      </w:r>
      <w:r>
        <w:rPr>
          <w:color w:val="auto"/>
          <w:highlight w:val="none"/>
        </w:rPr>
        <w:t>关键岗位。</w:t>
      </w:r>
    </w:p>
    <w:p>
      <w:pPr>
        <w:pStyle w:val="4"/>
        <w:bidi w:val="0"/>
        <w:rPr>
          <w:color w:val="auto"/>
          <w:highlight w:val="none"/>
        </w:rPr>
      </w:pPr>
      <w:r>
        <w:rPr>
          <w:rFonts w:hint="eastAsia"/>
          <w:color w:val="auto"/>
          <w:highlight w:val="none"/>
        </w:rPr>
        <w:t>施工管理人员配置要求</w:t>
      </w:r>
    </w:p>
    <w:p>
      <w:pPr>
        <w:bidi w:val="0"/>
        <w:rPr>
          <w:rFonts w:hint="default"/>
          <w:color w:val="auto"/>
          <w:highlight w:val="none"/>
          <w:lang w:val="en-US" w:eastAsia="zh-CN"/>
        </w:rPr>
      </w:pPr>
      <w:r>
        <w:rPr>
          <w:rFonts w:hint="eastAsia"/>
          <w:color w:val="auto"/>
          <w:highlight w:val="none"/>
          <w:lang w:eastAsia="zh-CN"/>
        </w:rPr>
        <w:t>承包人进场即成立项目管理部负责工程管理工作。其中，施工管理人员配备求见《施工管理主要人员配置要求》。</w:t>
      </w:r>
      <w:r>
        <w:rPr>
          <w:rFonts w:hint="eastAsia"/>
          <w:color w:val="auto"/>
          <w:highlight w:val="none"/>
          <w:lang w:val="en-US" w:eastAsia="zh-CN"/>
        </w:rPr>
        <w:t>在分区分阶段建设的情况下，发包人可根据首开区的建筑面积进行调整人员配置。</w:t>
      </w:r>
    </w:p>
    <w:p>
      <w:pPr>
        <w:pStyle w:val="12"/>
        <w:bidi w:val="0"/>
        <w:rPr>
          <w:rFonts w:hint="eastAsia"/>
          <w:color w:val="auto"/>
          <w:highlight w:val="none"/>
          <w:lang w:eastAsia="zh-CN"/>
        </w:rPr>
      </w:pPr>
      <w:r>
        <w:rPr>
          <w:color w:val="auto"/>
          <w:highlight w:val="none"/>
          <w:lang w:eastAsia="zh-CN"/>
        </w:rPr>
        <w:t>施工管理主要人员配置要求</w:t>
      </w:r>
    </w:p>
    <w:tbl>
      <w:tblPr>
        <w:tblStyle w:val="21"/>
        <w:tblW w:w="0" w:type="auto"/>
        <w:tblInd w:w="10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766"/>
        <w:gridCol w:w="1590"/>
        <w:gridCol w:w="660"/>
        <w:gridCol w:w="5237"/>
        <w:gridCol w:w="94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766" w:type="dxa"/>
            <w:tcBorders>
              <w:top w:val="single" w:color="000000" w:sz="8" w:space="0"/>
              <w:left w:val="single" w:color="000000" w:sz="8" w:space="0"/>
              <w:bottom w:val="single" w:color="000000" w:sz="8" w:space="0"/>
              <w:right w:val="single" w:color="000000" w:sz="8" w:space="0"/>
            </w:tcBorders>
            <w:noWrap w:val="0"/>
            <w:vAlign w:val="center"/>
          </w:tcPr>
          <w:p>
            <w:pPr>
              <w:widowControl/>
              <w:kinsoku w:val="0"/>
              <w:autoSpaceDE w:val="0"/>
              <w:autoSpaceDN w:val="0"/>
              <w:adjustRightInd w:val="0"/>
              <w:ind w:left="0" w:leftChars="0" w:firstLine="0" w:firstLineChars="0"/>
              <w:jc w:val="center"/>
              <w:textAlignment w:val="center"/>
              <w:rPr>
                <w:rFonts w:hint="eastAsia" w:asciiTheme="majorEastAsia" w:hAnsiTheme="majorEastAsia" w:eastAsiaTheme="majorEastAsia" w:cstheme="majorEastAsia"/>
                <w:b/>
                <w:bCs/>
                <w:snapToGrid w:val="0"/>
                <w:color w:val="auto"/>
                <w:kern w:val="0"/>
                <w:sz w:val="18"/>
                <w:szCs w:val="18"/>
                <w:highlight w:val="none"/>
                <w:lang w:bidi="ar"/>
              </w:rPr>
            </w:pPr>
            <w:r>
              <w:rPr>
                <w:rFonts w:hint="eastAsia" w:asciiTheme="majorEastAsia" w:hAnsiTheme="majorEastAsia" w:eastAsiaTheme="majorEastAsia" w:cstheme="majorEastAsia"/>
                <w:b/>
                <w:bCs/>
                <w:snapToGrid w:val="0"/>
                <w:color w:val="auto"/>
                <w:kern w:val="0"/>
                <w:sz w:val="18"/>
                <w:szCs w:val="18"/>
                <w:highlight w:val="none"/>
                <w:lang w:val="en-US" w:eastAsia="zh-CN" w:bidi="ar"/>
              </w:rPr>
              <w:t>序号</w:t>
            </w:r>
          </w:p>
        </w:tc>
        <w:tc>
          <w:tcPr>
            <w:tcW w:w="1590" w:type="dxa"/>
            <w:tcBorders>
              <w:top w:val="single" w:color="000000" w:sz="8" w:space="0"/>
              <w:left w:val="nil"/>
              <w:bottom w:val="single" w:color="000000" w:sz="8" w:space="0"/>
              <w:right w:val="single" w:color="000000" w:sz="8" w:space="0"/>
            </w:tcBorders>
            <w:noWrap w:val="0"/>
            <w:vAlign w:val="center"/>
          </w:tcPr>
          <w:p>
            <w:pPr>
              <w:widowControl/>
              <w:kinsoku w:val="0"/>
              <w:autoSpaceDE w:val="0"/>
              <w:autoSpaceDN w:val="0"/>
              <w:adjustRightInd w:val="0"/>
              <w:jc w:val="center"/>
              <w:textAlignment w:val="center"/>
              <w:rPr>
                <w:rFonts w:hint="eastAsia" w:asciiTheme="majorEastAsia" w:hAnsiTheme="majorEastAsia" w:eastAsiaTheme="majorEastAsia" w:cstheme="majorEastAsia"/>
                <w:b/>
                <w:bCs/>
                <w:snapToGrid w:val="0"/>
                <w:color w:val="auto"/>
                <w:kern w:val="0"/>
                <w:sz w:val="18"/>
                <w:szCs w:val="18"/>
                <w:highlight w:val="none"/>
                <w:lang w:bidi="ar"/>
              </w:rPr>
            </w:pPr>
            <w:r>
              <w:rPr>
                <w:rFonts w:hint="eastAsia" w:asciiTheme="majorEastAsia" w:hAnsiTheme="majorEastAsia" w:eastAsiaTheme="majorEastAsia" w:cstheme="majorEastAsia"/>
                <w:b/>
                <w:bCs/>
                <w:snapToGrid w:val="0"/>
                <w:color w:val="auto"/>
                <w:kern w:val="0"/>
                <w:sz w:val="18"/>
                <w:szCs w:val="18"/>
                <w:highlight w:val="none"/>
                <w:lang w:val="en-US" w:eastAsia="zh-CN" w:bidi="ar"/>
              </w:rPr>
              <w:t>职务</w:t>
            </w:r>
          </w:p>
        </w:tc>
        <w:tc>
          <w:tcPr>
            <w:tcW w:w="660" w:type="dxa"/>
            <w:tcBorders>
              <w:top w:val="single" w:color="000000" w:sz="8" w:space="0"/>
              <w:left w:val="nil"/>
              <w:bottom w:val="single" w:color="000000" w:sz="8" w:space="0"/>
              <w:right w:val="single" w:color="000000" w:sz="8" w:space="0"/>
            </w:tcBorders>
            <w:noWrap w:val="0"/>
            <w:vAlign w:val="center"/>
          </w:tcPr>
          <w:p>
            <w:pPr>
              <w:widowControl/>
              <w:kinsoku w:val="0"/>
              <w:autoSpaceDE w:val="0"/>
              <w:autoSpaceDN w:val="0"/>
              <w:adjustRightInd w:val="0"/>
              <w:ind w:left="0" w:leftChars="0" w:firstLine="0" w:firstLineChars="0"/>
              <w:jc w:val="center"/>
              <w:textAlignment w:val="center"/>
              <w:rPr>
                <w:rFonts w:hint="eastAsia" w:asciiTheme="majorEastAsia" w:hAnsiTheme="majorEastAsia" w:eastAsiaTheme="majorEastAsia" w:cstheme="majorEastAsia"/>
                <w:b/>
                <w:bCs/>
                <w:snapToGrid w:val="0"/>
                <w:color w:val="auto"/>
                <w:kern w:val="0"/>
                <w:sz w:val="18"/>
                <w:szCs w:val="18"/>
                <w:highlight w:val="none"/>
                <w:lang w:bidi="ar"/>
              </w:rPr>
            </w:pPr>
            <w:r>
              <w:rPr>
                <w:rFonts w:hint="eastAsia" w:asciiTheme="majorEastAsia" w:hAnsiTheme="majorEastAsia" w:eastAsiaTheme="majorEastAsia" w:cstheme="majorEastAsia"/>
                <w:b/>
                <w:bCs/>
                <w:snapToGrid w:val="0"/>
                <w:color w:val="auto"/>
                <w:kern w:val="0"/>
                <w:sz w:val="18"/>
                <w:szCs w:val="18"/>
                <w:highlight w:val="none"/>
                <w:lang w:val="en-US" w:eastAsia="zh-CN" w:bidi="ar"/>
              </w:rPr>
              <w:t>人数</w:t>
            </w:r>
          </w:p>
        </w:tc>
        <w:tc>
          <w:tcPr>
            <w:tcW w:w="5237" w:type="dxa"/>
            <w:tcBorders>
              <w:top w:val="single" w:color="000000" w:sz="8" w:space="0"/>
              <w:left w:val="nil"/>
              <w:bottom w:val="single" w:color="000000" w:sz="8" w:space="0"/>
              <w:right w:val="single" w:color="000000" w:sz="8" w:space="0"/>
            </w:tcBorders>
            <w:noWrap w:val="0"/>
            <w:vAlign w:val="center"/>
          </w:tcPr>
          <w:p>
            <w:pPr>
              <w:widowControl/>
              <w:kinsoku w:val="0"/>
              <w:autoSpaceDE w:val="0"/>
              <w:autoSpaceDN w:val="0"/>
              <w:adjustRightInd w:val="0"/>
              <w:jc w:val="center"/>
              <w:textAlignment w:val="center"/>
              <w:rPr>
                <w:rFonts w:hint="eastAsia" w:asciiTheme="majorEastAsia" w:hAnsiTheme="majorEastAsia" w:eastAsiaTheme="majorEastAsia" w:cstheme="majorEastAsia"/>
                <w:b/>
                <w:bCs/>
                <w:snapToGrid w:val="0"/>
                <w:color w:val="auto"/>
                <w:kern w:val="0"/>
                <w:sz w:val="18"/>
                <w:szCs w:val="18"/>
                <w:highlight w:val="none"/>
                <w:lang w:bidi="ar"/>
              </w:rPr>
            </w:pPr>
            <w:r>
              <w:rPr>
                <w:rFonts w:hint="eastAsia" w:asciiTheme="majorEastAsia" w:hAnsiTheme="majorEastAsia" w:eastAsiaTheme="majorEastAsia" w:cstheme="majorEastAsia"/>
                <w:b/>
                <w:bCs/>
                <w:snapToGrid w:val="0"/>
                <w:color w:val="auto"/>
                <w:kern w:val="0"/>
                <w:sz w:val="18"/>
                <w:szCs w:val="18"/>
                <w:highlight w:val="none"/>
                <w:lang w:val="en-US" w:eastAsia="zh-CN" w:bidi="ar"/>
              </w:rPr>
              <w:t>基本任职条件</w:t>
            </w:r>
          </w:p>
        </w:tc>
        <w:tc>
          <w:tcPr>
            <w:tcW w:w="942" w:type="dxa"/>
            <w:tcBorders>
              <w:top w:val="single" w:color="000000" w:sz="8" w:space="0"/>
              <w:left w:val="nil"/>
              <w:bottom w:val="single" w:color="000000" w:sz="8" w:space="0"/>
              <w:right w:val="single" w:color="000000" w:sz="8" w:space="0"/>
            </w:tcBorders>
            <w:noWrap w:val="0"/>
            <w:vAlign w:val="center"/>
          </w:tcPr>
          <w:p>
            <w:pPr>
              <w:widowControl/>
              <w:kinsoku w:val="0"/>
              <w:autoSpaceDE w:val="0"/>
              <w:autoSpaceDN w:val="0"/>
              <w:adjustRightInd w:val="0"/>
              <w:ind w:left="0" w:leftChars="0" w:firstLine="0" w:firstLineChars="0"/>
              <w:jc w:val="center"/>
              <w:textAlignment w:val="center"/>
              <w:rPr>
                <w:rFonts w:hint="eastAsia" w:asciiTheme="majorEastAsia" w:hAnsiTheme="majorEastAsia" w:eastAsiaTheme="majorEastAsia" w:cstheme="majorEastAsia"/>
                <w:b/>
                <w:bCs/>
                <w:snapToGrid w:val="0"/>
                <w:color w:val="auto"/>
                <w:kern w:val="0"/>
                <w:sz w:val="18"/>
                <w:szCs w:val="18"/>
                <w:highlight w:val="none"/>
                <w:lang w:bidi="ar"/>
              </w:rPr>
            </w:pPr>
            <w:r>
              <w:rPr>
                <w:rFonts w:hint="eastAsia" w:asciiTheme="majorEastAsia" w:hAnsiTheme="majorEastAsia" w:eastAsiaTheme="majorEastAsia" w:cstheme="majorEastAsia"/>
                <w:b/>
                <w:bCs/>
                <w:snapToGrid w:val="0"/>
                <w:color w:val="auto"/>
                <w:kern w:val="0"/>
                <w:sz w:val="18"/>
                <w:szCs w:val="18"/>
                <w:highlight w:val="none"/>
                <w:lang w:val="en-US" w:eastAsia="zh-CN" w:bidi="ar"/>
              </w:rPr>
              <w:t>备注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5" w:hRule="atLeast"/>
        </w:trPr>
        <w:tc>
          <w:tcPr>
            <w:tcW w:w="766" w:type="dxa"/>
            <w:tcBorders>
              <w:top w:val="nil"/>
              <w:left w:val="single" w:color="000000" w:sz="8" w:space="0"/>
              <w:bottom w:val="single" w:color="000000" w:sz="8" w:space="0"/>
              <w:right w:val="single" w:color="000000" w:sz="8" w:space="0"/>
            </w:tcBorders>
            <w:noWrap w:val="0"/>
            <w:vAlign w:val="center"/>
          </w:tcPr>
          <w:p>
            <w:pPr>
              <w:widowControl/>
              <w:kinsoku w:val="0"/>
              <w:autoSpaceDE w:val="0"/>
              <w:autoSpaceDN w:val="0"/>
              <w:adjustRightInd w:val="0"/>
              <w:spacing w:line="240" w:lineRule="auto"/>
              <w:ind w:firstLine="0" w:firstLineChars="0"/>
              <w:jc w:val="center"/>
              <w:textAlignment w:val="center"/>
              <w:rPr>
                <w:rFonts w:hint="eastAsia" w:asciiTheme="majorEastAsia" w:hAnsiTheme="majorEastAsia" w:eastAsiaTheme="majorEastAsia" w:cstheme="majorEastAsia"/>
                <w:snapToGrid w:val="0"/>
                <w:color w:val="auto"/>
                <w:kern w:val="0"/>
                <w:sz w:val="18"/>
                <w:szCs w:val="18"/>
                <w:highlight w:val="none"/>
                <w:lang w:bidi="ar"/>
              </w:rPr>
            </w:pPr>
            <w:r>
              <w:rPr>
                <w:rFonts w:hint="eastAsia" w:ascii="Times New Roman" w:hAnsi="Times New Roman" w:eastAsia="仿宋" w:cs="Times New Roman"/>
                <w:snapToGrid w:val="0"/>
                <w:color w:val="auto"/>
                <w:kern w:val="0"/>
                <w:sz w:val="24"/>
                <w:highlight w:val="none"/>
                <w:lang w:val="en-US" w:eastAsia="zh-CN" w:bidi="ar"/>
              </w:rPr>
              <w:t>1</w:t>
            </w:r>
          </w:p>
        </w:tc>
        <w:tc>
          <w:tcPr>
            <w:tcW w:w="1590" w:type="dxa"/>
            <w:tcBorders>
              <w:top w:val="nil"/>
              <w:left w:val="nil"/>
              <w:bottom w:val="single" w:color="000000" w:sz="8" w:space="0"/>
              <w:right w:val="single" w:color="000000" w:sz="8" w:space="0"/>
            </w:tcBorders>
            <w:noWrap w:val="0"/>
            <w:vAlign w:val="center"/>
          </w:tcPr>
          <w:p>
            <w:pPr>
              <w:widowControl/>
              <w:kinsoku w:val="0"/>
              <w:autoSpaceDE w:val="0"/>
              <w:autoSpaceDN w:val="0"/>
              <w:adjustRightInd w:val="0"/>
              <w:spacing w:line="240" w:lineRule="auto"/>
              <w:ind w:firstLine="0" w:firstLineChars="0"/>
              <w:jc w:val="center"/>
              <w:textAlignment w:val="center"/>
              <w:rPr>
                <w:rFonts w:hint="eastAsia" w:asciiTheme="majorEastAsia" w:hAnsiTheme="majorEastAsia" w:eastAsiaTheme="majorEastAsia" w:cstheme="majorEastAsia"/>
                <w:snapToGrid w:val="0"/>
                <w:color w:val="auto"/>
                <w:kern w:val="0"/>
                <w:sz w:val="18"/>
                <w:szCs w:val="18"/>
                <w:highlight w:val="none"/>
                <w:lang w:bidi="ar"/>
              </w:rPr>
            </w:pPr>
            <w:r>
              <w:rPr>
                <w:rFonts w:hint="eastAsia" w:ascii="Times New Roman" w:hAnsi="Times New Roman" w:eastAsia="仿宋" w:cs="Times New Roman"/>
                <w:snapToGrid w:val="0"/>
                <w:color w:val="auto"/>
                <w:kern w:val="0"/>
                <w:sz w:val="24"/>
                <w:highlight w:val="none"/>
                <w:lang w:val="en-US" w:eastAsia="zh-CN" w:bidi="ar"/>
              </w:rPr>
              <w:t>指挥长</w:t>
            </w:r>
          </w:p>
        </w:tc>
        <w:tc>
          <w:tcPr>
            <w:tcW w:w="660" w:type="dxa"/>
            <w:tcBorders>
              <w:top w:val="nil"/>
              <w:left w:val="nil"/>
              <w:bottom w:val="single" w:color="000000" w:sz="8" w:space="0"/>
              <w:right w:val="single" w:color="000000" w:sz="8" w:space="0"/>
            </w:tcBorders>
            <w:noWrap w:val="0"/>
            <w:vAlign w:val="center"/>
          </w:tcPr>
          <w:p>
            <w:pPr>
              <w:widowControl/>
              <w:kinsoku w:val="0"/>
              <w:autoSpaceDE w:val="0"/>
              <w:autoSpaceDN w:val="0"/>
              <w:adjustRightInd w:val="0"/>
              <w:spacing w:line="240" w:lineRule="auto"/>
              <w:ind w:firstLine="0" w:firstLineChars="0"/>
              <w:jc w:val="center"/>
              <w:textAlignment w:val="center"/>
              <w:rPr>
                <w:rFonts w:hint="eastAsia" w:asciiTheme="majorEastAsia" w:hAnsiTheme="majorEastAsia" w:eastAsiaTheme="majorEastAsia" w:cstheme="majorEastAsia"/>
                <w:snapToGrid w:val="0"/>
                <w:color w:val="auto"/>
                <w:kern w:val="0"/>
                <w:sz w:val="18"/>
                <w:szCs w:val="18"/>
                <w:highlight w:val="none"/>
                <w:lang w:bidi="ar"/>
              </w:rPr>
            </w:pPr>
            <w:r>
              <w:rPr>
                <w:rFonts w:hint="eastAsia" w:ascii="Times New Roman" w:hAnsi="Times New Roman" w:eastAsia="仿宋" w:cs="Times New Roman"/>
                <w:snapToGrid w:val="0"/>
                <w:color w:val="auto"/>
                <w:kern w:val="0"/>
                <w:sz w:val="24"/>
                <w:highlight w:val="none"/>
                <w:lang w:val="en-US" w:eastAsia="zh-CN" w:bidi="ar"/>
              </w:rPr>
              <w:t>1</w:t>
            </w:r>
          </w:p>
        </w:tc>
        <w:tc>
          <w:tcPr>
            <w:tcW w:w="5237" w:type="dxa"/>
            <w:tcBorders>
              <w:top w:val="nil"/>
              <w:left w:val="nil"/>
              <w:bottom w:val="single" w:color="000000" w:sz="8" w:space="0"/>
              <w:right w:val="single" w:color="000000" w:sz="8" w:space="0"/>
            </w:tcBorders>
            <w:noWrap w:val="0"/>
            <w:vAlign w:val="center"/>
          </w:tcPr>
          <w:p>
            <w:pPr>
              <w:widowControl/>
              <w:kinsoku w:val="0"/>
              <w:autoSpaceDE w:val="0"/>
              <w:autoSpaceDN w:val="0"/>
              <w:adjustRightInd w:val="0"/>
              <w:spacing w:line="240" w:lineRule="auto"/>
              <w:ind w:firstLine="0" w:firstLineChars="0"/>
              <w:jc w:val="center"/>
              <w:textAlignment w:val="center"/>
              <w:rPr>
                <w:rFonts w:hint="eastAsia" w:asciiTheme="majorEastAsia" w:hAnsiTheme="majorEastAsia" w:eastAsiaTheme="majorEastAsia" w:cstheme="majorEastAsia"/>
                <w:snapToGrid w:val="0"/>
                <w:color w:val="auto"/>
                <w:kern w:val="0"/>
                <w:sz w:val="18"/>
                <w:szCs w:val="18"/>
                <w:highlight w:val="none"/>
                <w:lang w:bidi="ar"/>
              </w:rPr>
            </w:pPr>
            <w:r>
              <w:rPr>
                <w:rFonts w:hint="eastAsia" w:ascii="Times New Roman" w:hAnsi="Times New Roman" w:eastAsia="仿宋" w:cs="Times New Roman"/>
                <w:snapToGrid w:val="0"/>
                <w:color w:val="auto"/>
                <w:kern w:val="0"/>
                <w:sz w:val="24"/>
                <w:highlight w:val="none"/>
                <w:lang w:val="en-US" w:eastAsia="zh-CN" w:bidi="ar"/>
              </w:rPr>
              <w:t>应由施工方现任单位领导班子副职或以上级别的领导担任，且应已任该职务满半年或以上。</w:t>
            </w:r>
          </w:p>
        </w:tc>
        <w:tc>
          <w:tcPr>
            <w:tcW w:w="942" w:type="dxa"/>
            <w:tcBorders>
              <w:top w:val="nil"/>
              <w:left w:val="nil"/>
              <w:bottom w:val="single" w:color="000000" w:sz="8" w:space="0"/>
              <w:right w:val="single" w:color="000000" w:sz="8" w:space="0"/>
            </w:tcBorders>
            <w:noWrap w:val="0"/>
            <w:vAlign w:val="center"/>
          </w:tcPr>
          <w:p>
            <w:pPr>
              <w:widowControl/>
              <w:kinsoku w:val="0"/>
              <w:autoSpaceDE w:val="0"/>
              <w:autoSpaceDN w:val="0"/>
              <w:adjustRightInd w:val="0"/>
              <w:spacing w:line="240" w:lineRule="auto"/>
              <w:ind w:firstLine="0" w:firstLineChars="0"/>
              <w:jc w:val="center"/>
              <w:textAlignment w:val="center"/>
              <w:rPr>
                <w:rFonts w:hint="eastAsia" w:asciiTheme="majorEastAsia" w:hAnsiTheme="majorEastAsia" w:eastAsiaTheme="majorEastAsia" w:cstheme="majorEastAsia"/>
                <w:snapToGrid w:val="0"/>
                <w:color w:val="auto"/>
                <w:kern w:val="0"/>
                <w:sz w:val="18"/>
                <w:szCs w:val="18"/>
                <w:highlight w:val="none"/>
                <w:lang w:val="en-US" w:eastAsia="zh-CN" w:bidi="ar"/>
              </w:rPr>
            </w:pPr>
            <w:r>
              <w:rPr>
                <w:rFonts w:hint="eastAsia" w:ascii="Times New Roman" w:hAnsi="Times New Roman" w:eastAsia="仿宋" w:cs="Times New Roman"/>
                <w:snapToGrid w:val="0"/>
                <w:color w:val="auto"/>
                <w:kern w:val="0"/>
                <w:sz w:val="24"/>
                <w:highlight w:val="none"/>
                <w:lang w:val="en-US" w:eastAsia="zh-CN" w:bidi="ar"/>
              </w:rPr>
              <w:t>不要求驻场</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5" w:hRule="atLeast"/>
        </w:trPr>
        <w:tc>
          <w:tcPr>
            <w:tcW w:w="766" w:type="dxa"/>
            <w:tcBorders>
              <w:top w:val="nil"/>
              <w:left w:val="single" w:color="000000" w:sz="8" w:space="0"/>
              <w:bottom w:val="single" w:color="000000" w:sz="8" w:space="0"/>
              <w:right w:val="single" w:color="000000" w:sz="8" w:space="0"/>
            </w:tcBorders>
            <w:noWrap w:val="0"/>
            <w:vAlign w:val="center"/>
          </w:tcPr>
          <w:p>
            <w:pPr>
              <w:widowControl/>
              <w:kinsoku w:val="0"/>
              <w:autoSpaceDE w:val="0"/>
              <w:autoSpaceDN w:val="0"/>
              <w:adjustRightInd w:val="0"/>
              <w:spacing w:line="240" w:lineRule="auto"/>
              <w:ind w:firstLine="0" w:firstLineChars="0"/>
              <w:jc w:val="center"/>
              <w:textAlignment w:val="center"/>
              <w:rPr>
                <w:rFonts w:hint="eastAsia" w:asciiTheme="majorEastAsia" w:hAnsiTheme="majorEastAsia" w:eastAsiaTheme="majorEastAsia" w:cstheme="majorEastAsia"/>
                <w:snapToGrid w:val="0"/>
                <w:color w:val="auto"/>
                <w:kern w:val="0"/>
                <w:sz w:val="18"/>
                <w:szCs w:val="18"/>
                <w:highlight w:val="none"/>
                <w:lang w:bidi="ar"/>
              </w:rPr>
            </w:pPr>
            <w:r>
              <w:rPr>
                <w:rFonts w:hint="eastAsia" w:ascii="Times New Roman" w:hAnsi="Times New Roman" w:eastAsia="仿宋" w:cs="Times New Roman"/>
                <w:snapToGrid w:val="0"/>
                <w:color w:val="auto"/>
                <w:kern w:val="0"/>
                <w:sz w:val="24"/>
                <w:highlight w:val="none"/>
                <w:lang w:val="en-US" w:eastAsia="zh-CN" w:bidi="ar"/>
              </w:rPr>
              <w:t>2</w:t>
            </w:r>
          </w:p>
        </w:tc>
        <w:tc>
          <w:tcPr>
            <w:tcW w:w="1590" w:type="dxa"/>
            <w:tcBorders>
              <w:top w:val="nil"/>
              <w:left w:val="nil"/>
              <w:bottom w:val="single" w:color="000000" w:sz="8" w:space="0"/>
              <w:right w:val="single" w:color="000000" w:sz="8" w:space="0"/>
            </w:tcBorders>
            <w:noWrap w:val="0"/>
            <w:vAlign w:val="center"/>
          </w:tcPr>
          <w:p>
            <w:pPr>
              <w:widowControl/>
              <w:kinsoku w:val="0"/>
              <w:autoSpaceDE w:val="0"/>
              <w:autoSpaceDN w:val="0"/>
              <w:adjustRightInd w:val="0"/>
              <w:spacing w:line="240" w:lineRule="auto"/>
              <w:ind w:firstLine="0" w:firstLineChars="0"/>
              <w:jc w:val="center"/>
              <w:textAlignment w:val="center"/>
              <w:rPr>
                <w:rFonts w:hint="eastAsia" w:asciiTheme="majorEastAsia" w:hAnsiTheme="majorEastAsia" w:eastAsiaTheme="majorEastAsia" w:cstheme="majorEastAsia"/>
                <w:snapToGrid w:val="0"/>
                <w:color w:val="auto"/>
                <w:kern w:val="0"/>
                <w:sz w:val="18"/>
                <w:szCs w:val="18"/>
                <w:highlight w:val="none"/>
                <w:lang w:bidi="ar"/>
              </w:rPr>
            </w:pPr>
            <w:r>
              <w:rPr>
                <w:rFonts w:hint="eastAsia" w:ascii="Times New Roman" w:hAnsi="Times New Roman" w:eastAsia="仿宋" w:cs="Times New Roman"/>
                <w:snapToGrid w:val="0"/>
                <w:color w:val="auto"/>
                <w:kern w:val="0"/>
                <w:sz w:val="24"/>
                <w:highlight w:val="none"/>
                <w:lang w:val="en-US" w:eastAsia="zh-CN" w:bidi="ar"/>
              </w:rPr>
              <w:t>项目负责人</w:t>
            </w:r>
          </w:p>
        </w:tc>
        <w:tc>
          <w:tcPr>
            <w:tcW w:w="660" w:type="dxa"/>
            <w:tcBorders>
              <w:top w:val="nil"/>
              <w:left w:val="nil"/>
              <w:bottom w:val="single" w:color="000000" w:sz="8" w:space="0"/>
              <w:right w:val="single" w:color="000000" w:sz="8" w:space="0"/>
            </w:tcBorders>
            <w:noWrap w:val="0"/>
            <w:vAlign w:val="center"/>
          </w:tcPr>
          <w:p>
            <w:pPr>
              <w:widowControl/>
              <w:kinsoku w:val="0"/>
              <w:autoSpaceDE w:val="0"/>
              <w:autoSpaceDN w:val="0"/>
              <w:adjustRightInd w:val="0"/>
              <w:spacing w:line="240" w:lineRule="auto"/>
              <w:ind w:firstLine="0" w:firstLineChars="0"/>
              <w:jc w:val="center"/>
              <w:textAlignment w:val="center"/>
              <w:rPr>
                <w:rFonts w:hint="eastAsia" w:asciiTheme="majorEastAsia" w:hAnsiTheme="majorEastAsia" w:eastAsiaTheme="majorEastAsia" w:cstheme="majorEastAsia"/>
                <w:snapToGrid w:val="0"/>
                <w:color w:val="auto"/>
                <w:kern w:val="0"/>
                <w:sz w:val="18"/>
                <w:szCs w:val="18"/>
                <w:highlight w:val="none"/>
                <w:lang w:bidi="ar"/>
              </w:rPr>
            </w:pPr>
            <w:r>
              <w:rPr>
                <w:rFonts w:hint="eastAsia" w:ascii="Times New Roman" w:hAnsi="Times New Roman" w:eastAsia="仿宋" w:cs="Times New Roman"/>
                <w:snapToGrid w:val="0"/>
                <w:color w:val="auto"/>
                <w:kern w:val="0"/>
                <w:sz w:val="24"/>
                <w:highlight w:val="none"/>
                <w:lang w:val="en-US" w:eastAsia="zh-CN" w:bidi="ar"/>
              </w:rPr>
              <w:t>1</w:t>
            </w:r>
          </w:p>
        </w:tc>
        <w:tc>
          <w:tcPr>
            <w:tcW w:w="5237" w:type="dxa"/>
            <w:tcBorders>
              <w:top w:val="nil"/>
              <w:left w:val="nil"/>
              <w:bottom w:val="single" w:color="000000" w:sz="8" w:space="0"/>
              <w:right w:val="single" w:color="000000" w:sz="8" w:space="0"/>
            </w:tcBorders>
            <w:noWrap w:val="0"/>
            <w:vAlign w:val="center"/>
          </w:tcPr>
          <w:p>
            <w:pPr>
              <w:widowControl/>
              <w:kinsoku w:val="0"/>
              <w:autoSpaceDE w:val="0"/>
              <w:autoSpaceDN w:val="0"/>
              <w:adjustRightInd w:val="0"/>
              <w:spacing w:line="240" w:lineRule="auto"/>
              <w:ind w:firstLine="0" w:firstLineChars="0"/>
              <w:jc w:val="center"/>
              <w:textAlignment w:val="center"/>
              <w:rPr>
                <w:rFonts w:hint="eastAsia" w:asciiTheme="majorEastAsia" w:hAnsiTheme="majorEastAsia" w:eastAsiaTheme="majorEastAsia" w:cstheme="majorEastAsia"/>
                <w:snapToGrid w:val="0"/>
                <w:color w:val="auto"/>
                <w:kern w:val="0"/>
                <w:sz w:val="18"/>
                <w:szCs w:val="18"/>
                <w:highlight w:val="none"/>
                <w:lang w:val="en-US" w:bidi="ar"/>
              </w:rPr>
            </w:pPr>
            <w:r>
              <w:rPr>
                <w:rFonts w:hint="eastAsia" w:ascii="Times New Roman" w:hAnsi="Times New Roman" w:eastAsia="仿宋" w:cs="Times New Roman"/>
                <w:snapToGrid w:val="0"/>
                <w:color w:val="auto"/>
                <w:kern w:val="0"/>
                <w:sz w:val="24"/>
                <w:highlight w:val="none"/>
                <w:lang w:val="en-US" w:eastAsia="zh-CN" w:bidi="ar"/>
              </w:rPr>
              <w:t>按招标公告要求</w:t>
            </w:r>
          </w:p>
        </w:tc>
        <w:tc>
          <w:tcPr>
            <w:tcW w:w="942" w:type="dxa"/>
            <w:tcBorders>
              <w:top w:val="nil"/>
              <w:left w:val="nil"/>
              <w:bottom w:val="single" w:color="000000" w:sz="8" w:space="0"/>
              <w:right w:val="single" w:color="000000" w:sz="8" w:space="0"/>
            </w:tcBorders>
            <w:noWrap w:val="0"/>
            <w:vAlign w:val="center"/>
          </w:tcPr>
          <w:p>
            <w:pPr>
              <w:widowControl/>
              <w:kinsoku w:val="0"/>
              <w:autoSpaceDE w:val="0"/>
              <w:autoSpaceDN w:val="0"/>
              <w:adjustRightInd w:val="0"/>
              <w:spacing w:line="240" w:lineRule="auto"/>
              <w:ind w:firstLine="0" w:firstLineChars="0"/>
              <w:jc w:val="center"/>
              <w:textAlignment w:val="center"/>
              <w:rPr>
                <w:rFonts w:hint="eastAsia" w:asciiTheme="majorEastAsia" w:hAnsiTheme="majorEastAsia" w:eastAsiaTheme="majorEastAsia" w:cstheme="majorEastAsia"/>
                <w:snapToGrid w:val="0"/>
                <w:color w:val="auto"/>
                <w:kern w:val="0"/>
                <w:sz w:val="18"/>
                <w:szCs w:val="18"/>
                <w:highlight w:val="none"/>
                <w:lang w:bidi="ar"/>
              </w:rPr>
            </w:pPr>
            <w:r>
              <w:rPr>
                <w:rFonts w:hint="eastAsia" w:ascii="Times New Roman" w:hAnsi="Times New Roman" w:eastAsia="仿宋" w:cs="Times New Roman"/>
                <w:snapToGrid w:val="0"/>
                <w:color w:val="auto"/>
                <w:kern w:val="0"/>
                <w:sz w:val="24"/>
                <w:highlight w:val="none"/>
                <w:lang w:val="en-US" w:eastAsia="zh-CN" w:bidi="ar"/>
              </w:rPr>
              <w:t>关键岗位</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5" w:hRule="atLeast"/>
        </w:trPr>
        <w:tc>
          <w:tcPr>
            <w:tcW w:w="766" w:type="dxa"/>
            <w:tcBorders>
              <w:top w:val="nil"/>
              <w:left w:val="single" w:color="000000" w:sz="8" w:space="0"/>
              <w:bottom w:val="single" w:color="000000" w:sz="8" w:space="0"/>
              <w:right w:val="single" w:color="000000" w:sz="8" w:space="0"/>
            </w:tcBorders>
            <w:noWrap w:val="0"/>
            <w:vAlign w:val="center"/>
          </w:tcPr>
          <w:p>
            <w:pPr>
              <w:widowControl/>
              <w:kinsoku w:val="0"/>
              <w:autoSpaceDE w:val="0"/>
              <w:autoSpaceDN w:val="0"/>
              <w:adjustRightInd w:val="0"/>
              <w:spacing w:line="240" w:lineRule="auto"/>
              <w:ind w:firstLine="0" w:firstLineChars="0"/>
              <w:jc w:val="center"/>
              <w:textAlignment w:val="center"/>
              <w:rPr>
                <w:rFonts w:hint="eastAsia" w:asciiTheme="majorEastAsia" w:hAnsiTheme="majorEastAsia" w:eastAsiaTheme="majorEastAsia" w:cstheme="majorEastAsia"/>
                <w:snapToGrid w:val="0"/>
                <w:color w:val="auto"/>
                <w:kern w:val="0"/>
                <w:sz w:val="18"/>
                <w:szCs w:val="18"/>
                <w:highlight w:val="none"/>
                <w:lang w:bidi="ar"/>
              </w:rPr>
            </w:pPr>
            <w:r>
              <w:rPr>
                <w:rFonts w:hint="eastAsia" w:ascii="Times New Roman" w:hAnsi="Times New Roman" w:eastAsia="仿宋" w:cs="Times New Roman"/>
                <w:snapToGrid w:val="0"/>
                <w:color w:val="auto"/>
                <w:kern w:val="0"/>
                <w:sz w:val="24"/>
                <w:highlight w:val="none"/>
                <w:lang w:val="en-US" w:eastAsia="zh-CN" w:bidi="ar"/>
              </w:rPr>
              <w:t>3</w:t>
            </w:r>
          </w:p>
        </w:tc>
        <w:tc>
          <w:tcPr>
            <w:tcW w:w="1590" w:type="dxa"/>
            <w:tcBorders>
              <w:top w:val="nil"/>
              <w:left w:val="nil"/>
              <w:bottom w:val="single" w:color="000000" w:sz="8" w:space="0"/>
              <w:right w:val="single" w:color="000000" w:sz="8" w:space="0"/>
            </w:tcBorders>
            <w:noWrap w:val="0"/>
            <w:vAlign w:val="center"/>
          </w:tcPr>
          <w:p>
            <w:pPr>
              <w:widowControl/>
              <w:kinsoku w:val="0"/>
              <w:autoSpaceDE w:val="0"/>
              <w:autoSpaceDN w:val="0"/>
              <w:adjustRightInd w:val="0"/>
              <w:spacing w:line="240" w:lineRule="auto"/>
              <w:ind w:firstLine="0" w:firstLineChars="0"/>
              <w:jc w:val="center"/>
              <w:textAlignment w:val="center"/>
              <w:rPr>
                <w:rFonts w:hint="eastAsia" w:asciiTheme="majorEastAsia" w:hAnsiTheme="majorEastAsia" w:eastAsiaTheme="majorEastAsia" w:cstheme="majorEastAsia"/>
                <w:snapToGrid w:val="0"/>
                <w:color w:val="auto"/>
                <w:kern w:val="0"/>
                <w:sz w:val="18"/>
                <w:szCs w:val="18"/>
                <w:highlight w:val="none"/>
                <w:lang w:bidi="ar"/>
              </w:rPr>
            </w:pPr>
            <w:r>
              <w:rPr>
                <w:rFonts w:hint="eastAsia" w:ascii="Times New Roman" w:hAnsi="Times New Roman" w:eastAsia="仿宋" w:cs="Times New Roman"/>
                <w:snapToGrid w:val="0"/>
                <w:color w:val="auto"/>
                <w:kern w:val="0"/>
                <w:sz w:val="24"/>
                <w:highlight w:val="none"/>
                <w:lang w:val="en-US" w:eastAsia="zh-CN" w:bidi="ar"/>
              </w:rPr>
              <w:t>项目生产经理</w:t>
            </w:r>
          </w:p>
        </w:tc>
        <w:tc>
          <w:tcPr>
            <w:tcW w:w="660" w:type="dxa"/>
            <w:tcBorders>
              <w:top w:val="nil"/>
              <w:left w:val="nil"/>
              <w:bottom w:val="single" w:color="000000" w:sz="8" w:space="0"/>
              <w:right w:val="single" w:color="000000" w:sz="8" w:space="0"/>
            </w:tcBorders>
            <w:noWrap w:val="0"/>
            <w:vAlign w:val="center"/>
          </w:tcPr>
          <w:p>
            <w:pPr>
              <w:widowControl/>
              <w:kinsoku w:val="0"/>
              <w:autoSpaceDE w:val="0"/>
              <w:autoSpaceDN w:val="0"/>
              <w:adjustRightInd w:val="0"/>
              <w:spacing w:line="240" w:lineRule="auto"/>
              <w:ind w:firstLine="0" w:firstLineChars="0"/>
              <w:jc w:val="center"/>
              <w:textAlignment w:val="center"/>
              <w:rPr>
                <w:rFonts w:hint="eastAsia" w:asciiTheme="majorEastAsia" w:hAnsiTheme="majorEastAsia" w:eastAsiaTheme="majorEastAsia" w:cstheme="majorEastAsia"/>
                <w:snapToGrid w:val="0"/>
                <w:color w:val="auto"/>
                <w:kern w:val="0"/>
                <w:sz w:val="18"/>
                <w:szCs w:val="18"/>
                <w:highlight w:val="none"/>
                <w:lang w:bidi="ar"/>
              </w:rPr>
            </w:pPr>
            <w:r>
              <w:rPr>
                <w:rFonts w:hint="eastAsia" w:ascii="Times New Roman" w:hAnsi="Times New Roman" w:eastAsia="仿宋" w:cs="Times New Roman"/>
                <w:snapToGrid w:val="0"/>
                <w:color w:val="auto"/>
                <w:kern w:val="0"/>
                <w:sz w:val="24"/>
                <w:highlight w:val="none"/>
                <w:lang w:val="en-US" w:eastAsia="zh-CN" w:bidi="ar"/>
              </w:rPr>
              <w:t>1</w:t>
            </w:r>
          </w:p>
        </w:tc>
        <w:tc>
          <w:tcPr>
            <w:tcW w:w="5237" w:type="dxa"/>
            <w:tcBorders>
              <w:top w:val="nil"/>
              <w:left w:val="nil"/>
              <w:bottom w:val="single" w:color="000000" w:sz="8" w:space="0"/>
              <w:right w:val="single" w:color="000000" w:sz="8" w:space="0"/>
            </w:tcBorders>
            <w:noWrap w:val="0"/>
            <w:vAlign w:val="center"/>
          </w:tcPr>
          <w:p>
            <w:pPr>
              <w:widowControl/>
              <w:kinsoku w:val="0"/>
              <w:autoSpaceDE w:val="0"/>
              <w:autoSpaceDN w:val="0"/>
              <w:adjustRightInd w:val="0"/>
              <w:spacing w:line="240" w:lineRule="auto"/>
              <w:ind w:firstLine="0" w:firstLineChars="0"/>
              <w:jc w:val="center"/>
              <w:textAlignment w:val="center"/>
              <w:rPr>
                <w:rFonts w:hint="eastAsia" w:asciiTheme="majorEastAsia" w:hAnsiTheme="majorEastAsia" w:eastAsiaTheme="majorEastAsia" w:cstheme="majorEastAsia"/>
                <w:snapToGrid w:val="0"/>
                <w:color w:val="auto"/>
                <w:kern w:val="0"/>
                <w:sz w:val="18"/>
                <w:szCs w:val="18"/>
                <w:highlight w:val="none"/>
                <w:lang w:bidi="ar"/>
              </w:rPr>
            </w:pPr>
            <w:r>
              <w:rPr>
                <w:rFonts w:hint="eastAsia" w:ascii="Times New Roman" w:hAnsi="Times New Roman" w:eastAsia="仿宋" w:cs="Times New Roman"/>
                <w:snapToGrid w:val="0"/>
                <w:color w:val="auto"/>
                <w:kern w:val="0"/>
                <w:sz w:val="24"/>
                <w:highlight w:val="none"/>
                <w:lang w:val="en-US" w:eastAsia="zh-CN" w:bidi="ar"/>
              </w:rPr>
              <w:t>具有工程相关专业中级或以上技术职称，具有工作经历8年或以上。</w:t>
            </w:r>
          </w:p>
        </w:tc>
        <w:tc>
          <w:tcPr>
            <w:tcW w:w="942" w:type="dxa"/>
            <w:tcBorders>
              <w:top w:val="nil"/>
              <w:left w:val="nil"/>
              <w:bottom w:val="single" w:color="000000" w:sz="8" w:space="0"/>
              <w:right w:val="single" w:color="000000" w:sz="8" w:space="0"/>
            </w:tcBorders>
            <w:noWrap w:val="0"/>
            <w:vAlign w:val="center"/>
          </w:tcPr>
          <w:p>
            <w:pPr>
              <w:widowControl/>
              <w:kinsoku w:val="0"/>
              <w:autoSpaceDE w:val="0"/>
              <w:autoSpaceDN w:val="0"/>
              <w:adjustRightInd w:val="0"/>
              <w:spacing w:line="240" w:lineRule="auto"/>
              <w:ind w:firstLine="0" w:firstLineChars="0"/>
              <w:jc w:val="center"/>
              <w:textAlignment w:val="center"/>
              <w:rPr>
                <w:rFonts w:hint="eastAsia" w:asciiTheme="majorEastAsia" w:hAnsiTheme="majorEastAsia" w:eastAsiaTheme="majorEastAsia" w:cstheme="majorEastAsia"/>
                <w:snapToGrid w:val="0"/>
                <w:color w:val="auto"/>
                <w:kern w:val="0"/>
                <w:sz w:val="18"/>
                <w:szCs w:val="18"/>
                <w:highlight w:val="none"/>
                <w:lang w:bidi="ar"/>
              </w:rPr>
            </w:pPr>
            <w:r>
              <w:rPr>
                <w:rFonts w:hint="eastAsia" w:ascii="Times New Roman" w:hAnsi="Times New Roman" w:eastAsia="仿宋" w:cs="Times New Roman"/>
                <w:snapToGrid w:val="0"/>
                <w:color w:val="auto"/>
                <w:kern w:val="0"/>
                <w:sz w:val="24"/>
                <w:highlight w:val="none"/>
                <w:lang w:val="en-US" w:eastAsia="zh-CN" w:bidi="ar"/>
              </w:rPr>
              <w:t>关键岗位</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5" w:hRule="atLeast"/>
        </w:trPr>
        <w:tc>
          <w:tcPr>
            <w:tcW w:w="766" w:type="dxa"/>
            <w:tcBorders>
              <w:top w:val="nil"/>
              <w:left w:val="single" w:color="000000" w:sz="8" w:space="0"/>
              <w:bottom w:val="single" w:color="000000" w:sz="8" w:space="0"/>
              <w:right w:val="single" w:color="000000" w:sz="8" w:space="0"/>
            </w:tcBorders>
            <w:noWrap w:val="0"/>
            <w:vAlign w:val="center"/>
          </w:tcPr>
          <w:p>
            <w:pPr>
              <w:widowControl/>
              <w:kinsoku w:val="0"/>
              <w:autoSpaceDE w:val="0"/>
              <w:autoSpaceDN w:val="0"/>
              <w:adjustRightInd w:val="0"/>
              <w:spacing w:line="240" w:lineRule="auto"/>
              <w:ind w:firstLine="0" w:firstLineChars="0"/>
              <w:jc w:val="center"/>
              <w:textAlignment w:val="center"/>
              <w:rPr>
                <w:rFonts w:hint="eastAsia" w:asciiTheme="majorEastAsia" w:hAnsiTheme="majorEastAsia" w:eastAsiaTheme="majorEastAsia" w:cstheme="majorEastAsia"/>
                <w:snapToGrid w:val="0"/>
                <w:color w:val="auto"/>
                <w:kern w:val="0"/>
                <w:sz w:val="18"/>
                <w:szCs w:val="18"/>
                <w:highlight w:val="none"/>
                <w:lang w:bidi="ar"/>
              </w:rPr>
            </w:pPr>
            <w:r>
              <w:rPr>
                <w:rFonts w:hint="eastAsia" w:ascii="Times New Roman" w:hAnsi="Times New Roman" w:eastAsia="仿宋" w:cs="Times New Roman"/>
                <w:snapToGrid w:val="0"/>
                <w:color w:val="auto"/>
                <w:kern w:val="0"/>
                <w:sz w:val="24"/>
                <w:highlight w:val="none"/>
                <w:lang w:val="en-US" w:eastAsia="zh-CN" w:bidi="ar"/>
              </w:rPr>
              <w:t>4</w:t>
            </w:r>
          </w:p>
        </w:tc>
        <w:tc>
          <w:tcPr>
            <w:tcW w:w="1590" w:type="dxa"/>
            <w:tcBorders>
              <w:top w:val="nil"/>
              <w:left w:val="nil"/>
              <w:bottom w:val="single" w:color="000000" w:sz="8" w:space="0"/>
              <w:right w:val="single" w:color="000000" w:sz="8" w:space="0"/>
            </w:tcBorders>
            <w:noWrap w:val="0"/>
            <w:vAlign w:val="center"/>
          </w:tcPr>
          <w:p>
            <w:pPr>
              <w:widowControl/>
              <w:kinsoku w:val="0"/>
              <w:autoSpaceDE w:val="0"/>
              <w:autoSpaceDN w:val="0"/>
              <w:adjustRightInd w:val="0"/>
              <w:spacing w:line="240" w:lineRule="auto"/>
              <w:ind w:firstLine="0" w:firstLineChars="0"/>
              <w:jc w:val="center"/>
              <w:textAlignment w:val="center"/>
              <w:rPr>
                <w:rFonts w:hint="eastAsia" w:asciiTheme="majorEastAsia" w:hAnsiTheme="majorEastAsia" w:eastAsiaTheme="majorEastAsia" w:cstheme="majorEastAsia"/>
                <w:snapToGrid w:val="0"/>
                <w:color w:val="auto"/>
                <w:kern w:val="0"/>
                <w:sz w:val="18"/>
                <w:szCs w:val="18"/>
                <w:highlight w:val="none"/>
                <w:lang w:bidi="ar"/>
              </w:rPr>
            </w:pPr>
            <w:r>
              <w:rPr>
                <w:rFonts w:hint="eastAsia" w:ascii="Times New Roman" w:hAnsi="Times New Roman" w:eastAsia="仿宋" w:cs="Times New Roman"/>
                <w:snapToGrid w:val="0"/>
                <w:color w:val="auto"/>
                <w:kern w:val="0"/>
                <w:sz w:val="24"/>
                <w:highlight w:val="none"/>
                <w:lang w:val="en-US" w:eastAsia="zh-CN" w:bidi="ar"/>
              </w:rPr>
              <w:t>技术负责人</w:t>
            </w:r>
          </w:p>
        </w:tc>
        <w:tc>
          <w:tcPr>
            <w:tcW w:w="660" w:type="dxa"/>
            <w:tcBorders>
              <w:top w:val="nil"/>
              <w:left w:val="nil"/>
              <w:bottom w:val="single" w:color="000000" w:sz="8" w:space="0"/>
              <w:right w:val="single" w:color="000000" w:sz="8" w:space="0"/>
            </w:tcBorders>
            <w:noWrap w:val="0"/>
            <w:vAlign w:val="center"/>
          </w:tcPr>
          <w:p>
            <w:pPr>
              <w:widowControl/>
              <w:kinsoku w:val="0"/>
              <w:autoSpaceDE w:val="0"/>
              <w:autoSpaceDN w:val="0"/>
              <w:adjustRightInd w:val="0"/>
              <w:spacing w:line="240" w:lineRule="auto"/>
              <w:ind w:firstLine="0" w:firstLineChars="0"/>
              <w:jc w:val="center"/>
              <w:textAlignment w:val="center"/>
              <w:rPr>
                <w:rFonts w:hint="eastAsia" w:asciiTheme="majorEastAsia" w:hAnsiTheme="majorEastAsia" w:eastAsiaTheme="majorEastAsia" w:cstheme="majorEastAsia"/>
                <w:snapToGrid w:val="0"/>
                <w:color w:val="auto"/>
                <w:kern w:val="0"/>
                <w:sz w:val="18"/>
                <w:szCs w:val="18"/>
                <w:highlight w:val="none"/>
                <w:lang w:bidi="ar"/>
              </w:rPr>
            </w:pPr>
            <w:r>
              <w:rPr>
                <w:rFonts w:hint="eastAsia" w:ascii="Times New Roman" w:hAnsi="Times New Roman" w:eastAsia="仿宋" w:cs="Times New Roman"/>
                <w:snapToGrid w:val="0"/>
                <w:color w:val="auto"/>
                <w:kern w:val="0"/>
                <w:sz w:val="24"/>
                <w:highlight w:val="none"/>
                <w:lang w:val="en-US" w:eastAsia="zh-CN" w:bidi="ar"/>
              </w:rPr>
              <w:t>1</w:t>
            </w:r>
          </w:p>
        </w:tc>
        <w:tc>
          <w:tcPr>
            <w:tcW w:w="5237" w:type="dxa"/>
            <w:tcBorders>
              <w:top w:val="nil"/>
              <w:left w:val="nil"/>
              <w:bottom w:val="single" w:color="000000" w:sz="8" w:space="0"/>
              <w:right w:val="single" w:color="000000" w:sz="8" w:space="0"/>
            </w:tcBorders>
            <w:noWrap w:val="0"/>
            <w:vAlign w:val="center"/>
          </w:tcPr>
          <w:p>
            <w:pPr>
              <w:widowControl/>
              <w:kinsoku w:val="0"/>
              <w:autoSpaceDE w:val="0"/>
              <w:autoSpaceDN w:val="0"/>
              <w:adjustRightInd w:val="0"/>
              <w:spacing w:line="240" w:lineRule="auto"/>
              <w:ind w:firstLine="0" w:firstLineChars="0"/>
              <w:jc w:val="center"/>
              <w:textAlignment w:val="center"/>
              <w:rPr>
                <w:rFonts w:hint="eastAsia" w:asciiTheme="majorEastAsia" w:hAnsiTheme="majorEastAsia" w:eastAsiaTheme="majorEastAsia" w:cstheme="majorEastAsia"/>
                <w:snapToGrid w:val="0"/>
                <w:color w:val="auto"/>
                <w:kern w:val="0"/>
                <w:sz w:val="18"/>
                <w:szCs w:val="18"/>
                <w:highlight w:val="none"/>
                <w:lang w:val="en-US" w:bidi="ar"/>
              </w:rPr>
            </w:pPr>
            <w:r>
              <w:rPr>
                <w:rFonts w:hint="eastAsia" w:ascii="Times New Roman" w:hAnsi="Times New Roman" w:eastAsia="仿宋" w:cs="Times New Roman"/>
                <w:snapToGrid w:val="0"/>
                <w:color w:val="auto"/>
                <w:kern w:val="0"/>
                <w:sz w:val="24"/>
                <w:highlight w:val="none"/>
                <w:lang w:val="en-US" w:eastAsia="zh-CN" w:bidi="ar"/>
              </w:rPr>
              <w:t>按招标公告要求</w:t>
            </w:r>
          </w:p>
        </w:tc>
        <w:tc>
          <w:tcPr>
            <w:tcW w:w="942" w:type="dxa"/>
            <w:tcBorders>
              <w:top w:val="nil"/>
              <w:left w:val="nil"/>
              <w:bottom w:val="single" w:color="000000" w:sz="8" w:space="0"/>
              <w:right w:val="single" w:color="000000" w:sz="8" w:space="0"/>
            </w:tcBorders>
            <w:noWrap w:val="0"/>
            <w:vAlign w:val="center"/>
          </w:tcPr>
          <w:p>
            <w:pPr>
              <w:widowControl/>
              <w:kinsoku w:val="0"/>
              <w:autoSpaceDE w:val="0"/>
              <w:autoSpaceDN w:val="0"/>
              <w:adjustRightInd w:val="0"/>
              <w:spacing w:line="240" w:lineRule="auto"/>
              <w:ind w:firstLine="0" w:firstLineChars="0"/>
              <w:jc w:val="center"/>
              <w:textAlignment w:val="center"/>
              <w:rPr>
                <w:rFonts w:hint="eastAsia" w:asciiTheme="majorEastAsia" w:hAnsiTheme="majorEastAsia" w:eastAsiaTheme="majorEastAsia" w:cstheme="majorEastAsia"/>
                <w:snapToGrid w:val="0"/>
                <w:color w:val="auto"/>
                <w:kern w:val="0"/>
                <w:sz w:val="18"/>
                <w:szCs w:val="18"/>
                <w:highlight w:val="none"/>
                <w:lang w:bidi="ar"/>
              </w:rPr>
            </w:pPr>
            <w:r>
              <w:rPr>
                <w:rFonts w:hint="eastAsia" w:ascii="Times New Roman" w:hAnsi="Times New Roman" w:eastAsia="仿宋" w:cs="Times New Roman"/>
                <w:snapToGrid w:val="0"/>
                <w:color w:val="auto"/>
                <w:kern w:val="0"/>
                <w:sz w:val="24"/>
                <w:highlight w:val="none"/>
                <w:lang w:val="en-US" w:eastAsia="zh-CN" w:bidi="ar"/>
              </w:rPr>
              <w:t>关键岗位</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766" w:type="dxa"/>
            <w:tcBorders>
              <w:top w:val="nil"/>
              <w:left w:val="single" w:color="000000" w:sz="8" w:space="0"/>
              <w:bottom w:val="single" w:color="000000" w:sz="8" w:space="0"/>
              <w:right w:val="single" w:color="000000" w:sz="8" w:space="0"/>
            </w:tcBorders>
            <w:noWrap w:val="0"/>
            <w:vAlign w:val="center"/>
          </w:tcPr>
          <w:p>
            <w:pPr>
              <w:widowControl/>
              <w:kinsoku w:val="0"/>
              <w:autoSpaceDE w:val="0"/>
              <w:autoSpaceDN w:val="0"/>
              <w:adjustRightInd w:val="0"/>
              <w:spacing w:line="240" w:lineRule="auto"/>
              <w:ind w:firstLine="0" w:firstLineChars="0"/>
              <w:jc w:val="center"/>
              <w:textAlignment w:val="center"/>
              <w:rPr>
                <w:rFonts w:hint="eastAsia" w:asciiTheme="majorEastAsia" w:hAnsiTheme="majorEastAsia" w:eastAsiaTheme="majorEastAsia" w:cstheme="majorEastAsia"/>
                <w:snapToGrid w:val="0"/>
                <w:color w:val="auto"/>
                <w:kern w:val="0"/>
                <w:sz w:val="18"/>
                <w:szCs w:val="18"/>
                <w:highlight w:val="none"/>
                <w:lang w:val="en-US" w:eastAsia="zh-CN" w:bidi="ar"/>
              </w:rPr>
            </w:pPr>
            <w:r>
              <w:rPr>
                <w:rFonts w:hint="eastAsia" w:ascii="Times New Roman" w:hAnsi="Times New Roman" w:eastAsia="仿宋" w:cs="Times New Roman"/>
                <w:snapToGrid w:val="0"/>
                <w:color w:val="auto"/>
                <w:kern w:val="0"/>
                <w:sz w:val="24"/>
                <w:highlight w:val="none"/>
                <w:lang w:val="en-US" w:eastAsia="zh-CN" w:bidi="ar"/>
              </w:rPr>
              <w:t>5</w:t>
            </w:r>
          </w:p>
        </w:tc>
        <w:tc>
          <w:tcPr>
            <w:tcW w:w="1590" w:type="dxa"/>
            <w:tcBorders>
              <w:top w:val="nil"/>
              <w:left w:val="nil"/>
              <w:bottom w:val="single" w:color="000000" w:sz="8" w:space="0"/>
              <w:right w:val="single" w:color="000000" w:sz="8" w:space="0"/>
            </w:tcBorders>
            <w:noWrap w:val="0"/>
            <w:vAlign w:val="center"/>
          </w:tcPr>
          <w:p>
            <w:pPr>
              <w:widowControl/>
              <w:kinsoku w:val="0"/>
              <w:autoSpaceDE w:val="0"/>
              <w:autoSpaceDN w:val="0"/>
              <w:adjustRightInd w:val="0"/>
              <w:spacing w:line="240" w:lineRule="auto"/>
              <w:ind w:firstLine="0" w:firstLineChars="0"/>
              <w:jc w:val="center"/>
              <w:textAlignment w:val="center"/>
              <w:rPr>
                <w:rFonts w:hint="eastAsia" w:asciiTheme="majorEastAsia" w:hAnsiTheme="majorEastAsia" w:eastAsiaTheme="majorEastAsia" w:cstheme="majorEastAsia"/>
                <w:snapToGrid w:val="0"/>
                <w:color w:val="auto"/>
                <w:kern w:val="0"/>
                <w:sz w:val="18"/>
                <w:szCs w:val="18"/>
                <w:highlight w:val="none"/>
                <w:lang w:bidi="ar"/>
              </w:rPr>
            </w:pPr>
            <w:r>
              <w:rPr>
                <w:rFonts w:hint="eastAsia" w:ascii="Times New Roman" w:hAnsi="Times New Roman" w:eastAsia="仿宋" w:cs="Times New Roman"/>
                <w:snapToGrid w:val="0"/>
                <w:color w:val="auto"/>
                <w:kern w:val="0"/>
                <w:sz w:val="24"/>
                <w:highlight w:val="none"/>
                <w:lang w:val="en-US" w:eastAsia="zh-CN" w:bidi="ar"/>
              </w:rPr>
              <w:t>技术工程师</w:t>
            </w:r>
          </w:p>
        </w:tc>
        <w:tc>
          <w:tcPr>
            <w:tcW w:w="660" w:type="dxa"/>
            <w:tcBorders>
              <w:top w:val="nil"/>
              <w:left w:val="nil"/>
              <w:bottom w:val="single" w:color="000000" w:sz="8" w:space="0"/>
              <w:right w:val="single" w:color="000000" w:sz="8" w:space="0"/>
            </w:tcBorders>
            <w:noWrap w:val="0"/>
            <w:vAlign w:val="center"/>
          </w:tcPr>
          <w:p>
            <w:pPr>
              <w:widowControl/>
              <w:kinsoku w:val="0"/>
              <w:autoSpaceDE w:val="0"/>
              <w:autoSpaceDN w:val="0"/>
              <w:adjustRightInd w:val="0"/>
              <w:spacing w:line="240" w:lineRule="auto"/>
              <w:ind w:firstLine="0" w:firstLineChars="0"/>
              <w:jc w:val="center"/>
              <w:textAlignment w:val="center"/>
              <w:rPr>
                <w:rFonts w:hint="eastAsia" w:asciiTheme="majorEastAsia" w:hAnsiTheme="majorEastAsia" w:eastAsiaTheme="majorEastAsia" w:cstheme="majorEastAsia"/>
                <w:snapToGrid w:val="0"/>
                <w:color w:val="auto"/>
                <w:kern w:val="0"/>
                <w:sz w:val="18"/>
                <w:szCs w:val="18"/>
                <w:highlight w:val="none"/>
                <w:lang w:bidi="ar"/>
              </w:rPr>
            </w:pPr>
            <w:r>
              <w:rPr>
                <w:rFonts w:hint="eastAsia" w:ascii="Times New Roman" w:hAnsi="Times New Roman" w:eastAsia="仿宋" w:cs="Times New Roman"/>
                <w:snapToGrid w:val="0"/>
                <w:color w:val="auto"/>
                <w:kern w:val="0"/>
                <w:sz w:val="24"/>
                <w:highlight w:val="none"/>
                <w:lang w:val="en-US" w:eastAsia="zh-CN" w:bidi="ar"/>
              </w:rPr>
              <w:t>4</w:t>
            </w:r>
          </w:p>
        </w:tc>
        <w:tc>
          <w:tcPr>
            <w:tcW w:w="5237" w:type="dxa"/>
            <w:tcBorders>
              <w:top w:val="nil"/>
              <w:left w:val="nil"/>
              <w:bottom w:val="single" w:color="000000" w:sz="8" w:space="0"/>
              <w:right w:val="single" w:color="000000" w:sz="8" w:space="0"/>
            </w:tcBorders>
            <w:noWrap w:val="0"/>
            <w:vAlign w:val="center"/>
          </w:tcPr>
          <w:p>
            <w:pPr>
              <w:widowControl/>
              <w:kinsoku w:val="0"/>
              <w:autoSpaceDE w:val="0"/>
              <w:autoSpaceDN w:val="0"/>
              <w:adjustRightInd w:val="0"/>
              <w:spacing w:line="240" w:lineRule="auto"/>
              <w:ind w:firstLine="0" w:firstLineChars="0"/>
              <w:jc w:val="center"/>
              <w:textAlignment w:val="center"/>
              <w:rPr>
                <w:rFonts w:hint="eastAsia" w:asciiTheme="majorEastAsia" w:hAnsiTheme="majorEastAsia" w:eastAsiaTheme="majorEastAsia" w:cstheme="majorEastAsia"/>
                <w:snapToGrid w:val="0"/>
                <w:color w:val="auto"/>
                <w:kern w:val="0"/>
                <w:sz w:val="18"/>
                <w:szCs w:val="18"/>
                <w:highlight w:val="none"/>
                <w:lang w:bidi="ar"/>
              </w:rPr>
            </w:pPr>
            <w:r>
              <w:rPr>
                <w:rFonts w:hint="eastAsia" w:ascii="Times New Roman" w:hAnsi="Times New Roman" w:eastAsia="仿宋" w:cs="Times New Roman"/>
                <w:snapToGrid w:val="0"/>
                <w:color w:val="auto"/>
                <w:kern w:val="0"/>
                <w:sz w:val="24"/>
                <w:highlight w:val="none"/>
                <w:lang w:val="en-US" w:eastAsia="zh-CN" w:bidi="ar"/>
              </w:rPr>
              <w:t>具有工程相关专业中级或以上技术职称。</w:t>
            </w:r>
          </w:p>
        </w:tc>
        <w:tc>
          <w:tcPr>
            <w:tcW w:w="942" w:type="dxa"/>
            <w:tcBorders>
              <w:top w:val="nil"/>
              <w:left w:val="nil"/>
              <w:bottom w:val="single" w:color="000000" w:sz="8" w:space="0"/>
              <w:right w:val="single" w:color="000000" w:sz="8" w:space="0"/>
            </w:tcBorders>
            <w:noWrap w:val="0"/>
            <w:vAlign w:val="center"/>
          </w:tcPr>
          <w:p>
            <w:pPr>
              <w:widowControl/>
              <w:kinsoku w:val="0"/>
              <w:autoSpaceDE w:val="0"/>
              <w:autoSpaceDN w:val="0"/>
              <w:adjustRightInd w:val="0"/>
              <w:spacing w:line="240" w:lineRule="auto"/>
              <w:ind w:firstLine="0" w:firstLineChars="0"/>
              <w:jc w:val="center"/>
              <w:textAlignment w:val="center"/>
              <w:rPr>
                <w:rFonts w:hint="eastAsia" w:asciiTheme="majorEastAsia" w:hAnsiTheme="majorEastAsia" w:eastAsiaTheme="majorEastAsia" w:cstheme="majorEastAsia"/>
                <w:snapToGrid w:val="0"/>
                <w:color w:val="auto"/>
                <w:kern w:val="0"/>
                <w:sz w:val="18"/>
                <w:szCs w:val="18"/>
                <w:highlight w:val="none"/>
                <w:lang w:bidi="ar"/>
              </w:rPr>
            </w:pPr>
            <w:r>
              <w:rPr>
                <w:rFonts w:hint="eastAsia" w:ascii="Times New Roman" w:hAnsi="Times New Roman" w:eastAsia="仿宋" w:cs="Times New Roman"/>
                <w:snapToGrid w:val="0"/>
                <w:color w:val="auto"/>
                <w:kern w:val="0"/>
                <w:sz w:val="24"/>
                <w:highlight w:val="none"/>
                <w:lang w:val="en-US" w:eastAsia="zh-CN" w:bidi="ar"/>
              </w:rPr>
              <w:t>要求深化设计专职负责</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35" w:hRule="atLeast"/>
        </w:trPr>
        <w:tc>
          <w:tcPr>
            <w:tcW w:w="766" w:type="dxa"/>
            <w:tcBorders>
              <w:top w:val="nil"/>
              <w:left w:val="single" w:color="000000" w:sz="8" w:space="0"/>
              <w:bottom w:val="single" w:color="000000" w:sz="8" w:space="0"/>
              <w:right w:val="single" w:color="000000" w:sz="8" w:space="0"/>
            </w:tcBorders>
            <w:noWrap w:val="0"/>
            <w:vAlign w:val="center"/>
          </w:tcPr>
          <w:p>
            <w:pPr>
              <w:widowControl/>
              <w:kinsoku w:val="0"/>
              <w:autoSpaceDE w:val="0"/>
              <w:autoSpaceDN w:val="0"/>
              <w:adjustRightInd w:val="0"/>
              <w:spacing w:line="240" w:lineRule="auto"/>
              <w:ind w:firstLine="0" w:firstLineChars="0"/>
              <w:jc w:val="center"/>
              <w:textAlignment w:val="center"/>
              <w:rPr>
                <w:rFonts w:hint="eastAsia" w:asciiTheme="majorEastAsia" w:hAnsiTheme="majorEastAsia" w:eastAsiaTheme="majorEastAsia" w:cstheme="majorEastAsia"/>
                <w:snapToGrid w:val="0"/>
                <w:color w:val="auto"/>
                <w:kern w:val="0"/>
                <w:sz w:val="18"/>
                <w:szCs w:val="18"/>
                <w:highlight w:val="none"/>
                <w:lang w:bidi="ar"/>
              </w:rPr>
            </w:pPr>
            <w:r>
              <w:rPr>
                <w:rFonts w:hint="eastAsia" w:ascii="Times New Roman" w:hAnsi="Times New Roman" w:eastAsia="仿宋" w:cs="Times New Roman"/>
                <w:snapToGrid w:val="0"/>
                <w:color w:val="auto"/>
                <w:kern w:val="0"/>
                <w:sz w:val="24"/>
                <w:highlight w:val="none"/>
                <w:lang w:val="en-US" w:eastAsia="zh-CN" w:bidi="ar"/>
              </w:rPr>
              <w:t>6</w:t>
            </w:r>
          </w:p>
        </w:tc>
        <w:tc>
          <w:tcPr>
            <w:tcW w:w="1590" w:type="dxa"/>
            <w:tcBorders>
              <w:top w:val="nil"/>
              <w:left w:val="nil"/>
              <w:bottom w:val="single" w:color="000000" w:sz="8" w:space="0"/>
              <w:right w:val="single" w:color="000000" w:sz="8" w:space="0"/>
            </w:tcBorders>
            <w:noWrap w:val="0"/>
            <w:vAlign w:val="center"/>
          </w:tcPr>
          <w:p>
            <w:pPr>
              <w:widowControl/>
              <w:kinsoku w:val="0"/>
              <w:autoSpaceDE w:val="0"/>
              <w:autoSpaceDN w:val="0"/>
              <w:adjustRightInd w:val="0"/>
              <w:spacing w:line="240" w:lineRule="auto"/>
              <w:ind w:firstLine="0" w:firstLineChars="0"/>
              <w:jc w:val="center"/>
              <w:textAlignment w:val="center"/>
              <w:rPr>
                <w:rFonts w:hint="eastAsia" w:asciiTheme="majorEastAsia" w:hAnsiTheme="majorEastAsia" w:eastAsiaTheme="majorEastAsia" w:cstheme="majorEastAsia"/>
                <w:snapToGrid w:val="0"/>
                <w:color w:val="auto"/>
                <w:kern w:val="0"/>
                <w:sz w:val="18"/>
                <w:szCs w:val="18"/>
                <w:highlight w:val="none"/>
                <w:lang w:bidi="ar"/>
              </w:rPr>
            </w:pPr>
            <w:r>
              <w:rPr>
                <w:rFonts w:hint="eastAsia" w:ascii="Times New Roman" w:hAnsi="Times New Roman" w:eastAsia="仿宋" w:cs="Times New Roman"/>
                <w:snapToGrid w:val="0"/>
                <w:color w:val="auto"/>
                <w:kern w:val="0"/>
                <w:sz w:val="24"/>
                <w:highlight w:val="none"/>
                <w:lang w:val="en-US" w:eastAsia="zh-CN" w:bidi="ar"/>
              </w:rPr>
              <w:t>安全负责人</w:t>
            </w:r>
          </w:p>
        </w:tc>
        <w:tc>
          <w:tcPr>
            <w:tcW w:w="660" w:type="dxa"/>
            <w:tcBorders>
              <w:top w:val="nil"/>
              <w:left w:val="nil"/>
              <w:bottom w:val="single" w:color="000000" w:sz="8" w:space="0"/>
              <w:right w:val="single" w:color="000000" w:sz="8" w:space="0"/>
            </w:tcBorders>
            <w:noWrap w:val="0"/>
            <w:vAlign w:val="center"/>
          </w:tcPr>
          <w:p>
            <w:pPr>
              <w:widowControl/>
              <w:kinsoku w:val="0"/>
              <w:autoSpaceDE w:val="0"/>
              <w:autoSpaceDN w:val="0"/>
              <w:adjustRightInd w:val="0"/>
              <w:spacing w:line="240" w:lineRule="auto"/>
              <w:ind w:firstLine="0" w:firstLineChars="0"/>
              <w:jc w:val="center"/>
              <w:textAlignment w:val="center"/>
              <w:rPr>
                <w:rFonts w:hint="eastAsia" w:asciiTheme="majorEastAsia" w:hAnsiTheme="majorEastAsia" w:eastAsiaTheme="majorEastAsia" w:cstheme="majorEastAsia"/>
                <w:snapToGrid w:val="0"/>
                <w:color w:val="auto"/>
                <w:kern w:val="0"/>
                <w:sz w:val="18"/>
                <w:szCs w:val="18"/>
                <w:highlight w:val="none"/>
                <w:lang w:bidi="ar"/>
              </w:rPr>
            </w:pPr>
            <w:r>
              <w:rPr>
                <w:rFonts w:hint="eastAsia" w:ascii="Times New Roman" w:hAnsi="Times New Roman" w:eastAsia="仿宋" w:cs="Times New Roman"/>
                <w:snapToGrid w:val="0"/>
                <w:color w:val="auto"/>
                <w:kern w:val="0"/>
                <w:sz w:val="24"/>
                <w:highlight w:val="none"/>
                <w:lang w:val="en-US" w:eastAsia="zh-CN" w:bidi="ar"/>
              </w:rPr>
              <w:t>1</w:t>
            </w:r>
          </w:p>
        </w:tc>
        <w:tc>
          <w:tcPr>
            <w:tcW w:w="5237" w:type="dxa"/>
            <w:tcBorders>
              <w:top w:val="nil"/>
              <w:left w:val="nil"/>
              <w:bottom w:val="single" w:color="000000" w:sz="8" w:space="0"/>
              <w:right w:val="single" w:color="000000" w:sz="8" w:space="0"/>
            </w:tcBorders>
            <w:noWrap w:val="0"/>
            <w:vAlign w:val="center"/>
          </w:tcPr>
          <w:p>
            <w:pPr>
              <w:widowControl/>
              <w:kinsoku w:val="0"/>
              <w:autoSpaceDE w:val="0"/>
              <w:autoSpaceDN w:val="0"/>
              <w:adjustRightInd w:val="0"/>
              <w:spacing w:line="240" w:lineRule="auto"/>
              <w:ind w:firstLine="0" w:firstLineChars="0"/>
              <w:jc w:val="center"/>
              <w:textAlignment w:val="center"/>
              <w:rPr>
                <w:rFonts w:hint="eastAsia" w:asciiTheme="majorEastAsia" w:hAnsiTheme="majorEastAsia" w:eastAsiaTheme="majorEastAsia" w:cstheme="majorEastAsia"/>
                <w:snapToGrid w:val="0"/>
                <w:color w:val="auto"/>
                <w:kern w:val="0"/>
                <w:sz w:val="18"/>
                <w:szCs w:val="18"/>
                <w:highlight w:val="none"/>
                <w:lang w:bidi="ar"/>
              </w:rPr>
            </w:pPr>
            <w:r>
              <w:rPr>
                <w:rFonts w:hint="eastAsia" w:ascii="Times New Roman" w:hAnsi="Times New Roman" w:eastAsia="仿宋" w:cs="Times New Roman"/>
                <w:snapToGrid w:val="0"/>
                <w:color w:val="auto"/>
                <w:kern w:val="0"/>
                <w:sz w:val="24"/>
                <w:highlight w:val="none"/>
                <w:lang w:val="en-US" w:eastAsia="zh-CN" w:bidi="ar"/>
              </w:rPr>
              <w:t>具有工程相关专业</w:t>
            </w:r>
            <w:r>
              <w:rPr>
                <w:rFonts w:ascii="Times New Roman" w:hAnsi="Times New Roman" w:eastAsia="仿宋"/>
                <w:snapToGrid w:val="0"/>
                <w:color w:val="auto"/>
                <w:kern w:val="0"/>
                <w:sz w:val="24"/>
                <w:highlight w:val="none"/>
                <w:lang w:bidi="ar"/>
              </w:rPr>
              <w:t>中级或以上技术职称，具有在有效期内的安全生产考核合格证(A类)或建筑施工企业主要负责人安全生产考核合格证书或安全生产考核合格证(B类)或建筑施工企业项目负责人安全生产考核合格证书或安全生产考核合格证(C类)或建筑施工企业专职安全生产管理人员安全生产考核合格证书(C3)，具有工作经</w:t>
            </w:r>
            <w:r>
              <w:rPr>
                <w:rFonts w:hint="eastAsia" w:ascii="Times New Roman" w:hAnsi="Times New Roman" w:eastAsia="仿宋"/>
                <w:snapToGrid w:val="0"/>
                <w:color w:val="auto"/>
                <w:kern w:val="0"/>
                <w:sz w:val="24"/>
                <w:highlight w:val="none"/>
                <w:lang w:val="en-US" w:eastAsia="zh-CN" w:bidi="ar"/>
              </w:rPr>
              <w:t>历</w:t>
            </w:r>
            <w:r>
              <w:rPr>
                <w:rFonts w:ascii="Times New Roman" w:hAnsi="Times New Roman" w:eastAsia="仿宋"/>
                <w:snapToGrid w:val="0"/>
                <w:color w:val="auto"/>
                <w:kern w:val="0"/>
                <w:sz w:val="24"/>
                <w:highlight w:val="none"/>
                <w:lang w:bidi="ar"/>
              </w:rPr>
              <w:t>5年</w:t>
            </w:r>
            <w:r>
              <w:rPr>
                <w:rFonts w:hint="eastAsia" w:ascii="Times New Roman" w:hAnsi="Times New Roman" w:eastAsia="仿宋"/>
                <w:snapToGrid w:val="0"/>
                <w:color w:val="auto"/>
                <w:kern w:val="0"/>
                <w:sz w:val="24"/>
                <w:highlight w:val="none"/>
                <w:lang w:bidi="ar"/>
              </w:rPr>
              <w:t>或</w:t>
            </w:r>
            <w:r>
              <w:rPr>
                <w:rFonts w:ascii="Times New Roman" w:hAnsi="Times New Roman" w:eastAsia="仿宋"/>
                <w:snapToGrid w:val="0"/>
                <w:color w:val="auto"/>
                <w:kern w:val="0"/>
                <w:sz w:val="24"/>
                <w:highlight w:val="none"/>
                <w:lang w:bidi="ar"/>
              </w:rPr>
              <w:t>以上。</w:t>
            </w:r>
          </w:p>
        </w:tc>
        <w:tc>
          <w:tcPr>
            <w:tcW w:w="942" w:type="dxa"/>
            <w:tcBorders>
              <w:top w:val="nil"/>
              <w:left w:val="nil"/>
              <w:bottom w:val="single" w:color="000000" w:sz="8" w:space="0"/>
              <w:right w:val="single" w:color="000000" w:sz="8" w:space="0"/>
            </w:tcBorders>
            <w:noWrap w:val="0"/>
            <w:vAlign w:val="center"/>
          </w:tcPr>
          <w:p>
            <w:pPr>
              <w:widowControl/>
              <w:kinsoku w:val="0"/>
              <w:autoSpaceDE w:val="0"/>
              <w:autoSpaceDN w:val="0"/>
              <w:adjustRightInd w:val="0"/>
              <w:spacing w:line="240" w:lineRule="auto"/>
              <w:ind w:firstLine="0" w:firstLineChars="0"/>
              <w:jc w:val="center"/>
              <w:textAlignment w:val="center"/>
              <w:rPr>
                <w:rFonts w:hint="eastAsia" w:asciiTheme="majorEastAsia" w:hAnsiTheme="majorEastAsia" w:eastAsiaTheme="majorEastAsia" w:cstheme="majorEastAsia"/>
                <w:snapToGrid w:val="0"/>
                <w:color w:val="auto"/>
                <w:kern w:val="0"/>
                <w:sz w:val="18"/>
                <w:szCs w:val="18"/>
                <w:highlight w:val="none"/>
                <w:lang w:bidi="ar"/>
              </w:rPr>
            </w:pPr>
            <w:r>
              <w:rPr>
                <w:rFonts w:hint="eastAsia" w:ascii="Times New Roman" w:hAnsi="Times New Roman" w:eastAsia="仿宋" w:cs="Times New Roman"/>
                <w:snapToGrid w:val="0"/>
                <w:color w:val="auto"/>
                <w:kern w:val="0"/>
                <w:sz w:val="24"/>
                <w:highlight w:val="none"/>
                <w:lang w:val="en-US" w:eastAsia="zh-CN" w:bidi="ar"/>
              </w:rPr>
              <w:t>关键岗位</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766" w:type="dxa"/>
            <w:tcBorders>
              <w:top w:val="nil"/>
              <w:left w:val="single" w:color="000000" w:sz="8" w:space="0"/>
              <w:bottom w:val="single" w:color="000000" w:sz="8" w:space="0"/>
              <w:right w:val="single" w:color="000000" w:sz="8" w:space="0"/>
            </w:tcBorders>
            <w:noWrap w:val="0"/>
            <w:vAlign w:val="center"/>
          </w:tcPr>
          <w:p>
            <w:pPr>
              <w:widowControl/>
              <w:kinsoku w:val="0"/>
              <w:autoSpaceDE w:val="0"/>
              <w:autoSpaceDN w:val="0"/>
              <w:adjustRightInd w:val="0"/>
              <w:spacing w:line="240" w:lineRule="auto"/>
              <w:ind w:firstLine="0" w:firstLineChars="0"/>
              <w:jc w:val="center"/>
              <w:textAlignment w:val="center"/>
              <w:rPr>
                <w:rFonts w:hint="eastAsia" w:asciiTheme="majorEastAsia" w:hAnsiTheme="majorEastAsia" w:eastAsiaTheme="majorEastAsia" w:cstheme="majorEastAsia"/>
                <w:snapToGrid w:val="0"/>
                <w:color w:val="auto"/>
                <w:kern w:val="0"/>
                <w:sz w:val="18"/>
                <w:szCs w:val="18"/>
                <w:highlight w:val="none"/>
                <w:lang w:bidi="ar"/>
              </w:rPr>
            </w:pPr>
            <w:r>
              <w:rPr>
                <w:rFonts w:hint="eastAsia" w:ascii="Times New Roman" w:hAnsi="Times New Roman" w:eastAsia="仿宋" w:cs="Times New Roman"/>
                <w:snapToGrid w:val="0"/>
                <w:color w:val="auto"/>
                <w:kern w:val="0"/>
                <w:sz w:val="24"/>
                <w:highlight w:val="none"/>
                <w:lang w:val="en-US" w:eastAsia="zh-CN" w:bidi="ar"/>
              </w:rPr>
              <w:t>7</w:t>
            </w:r>
          </w:p>
        </w:tc>
        <w:tc>
          <w:tcPr>
            <w:tcW w:w="1590" w:type="dxa"/>
            <w:tcBorders>
              <w:top w:val="nil"/>
              <w:left w:val="nil"/>
              <w:bottom w:val="single" w:color="000000" w:sz="8" w:space="0"/>
              <w:right w:val="single" w:color="000000" w:sz="8" w:space="0"/>
            </w:tcBorders>
            <w:noWrap w:val="0"/>
            <w:vAlign w:val="center"/>
          </w:tcPr>
          <w:p>
            <w:pPr>
              <w:widowControl/>
              <w:kinsoku w:val="0"/>
              <w:autoSpaceDE w:val="0"/>
              <w:autoSpaceDN w:val="0"/>
              <w:adjustRightInd w:val="0"/>
              <w:spacing w:line="240" w:lineRule="auto"/>
              <w:ind w:firstLine="0" w:firstLineChars="0"/>
              <w:jc w:val="center"/>
              <w:textAlignment w:val="center"/>
              <w:rPr>
                <w:rFonts w:hint="eastAsia" w:asciiTheme="majorEastAsia" w:hAnsiTheme="majorEastAsia" w:eastAsiaTheme="majorEastAsia" w:cstheme="majorEastAsia"/>
                <w:snapToGrid w:val="0"/>
                <w:color w:val="auto"/>
                <w:kern w:val="0"/>
                <w:sz w:val="18"/>
                <w:szCs w:val="18"/>
                <w:highlight w:val="none"/>
                <w:lang w:val="en-US" w:bidi="ar"/>
              </w:rPr>
            </w:pPr>
            <w:r>
              <w:rPr>
                <w:rFonts w:hint="eastAsia" w:ascii="Times New Roman" w:hAnsi="Times New Roman" w:eastAsia="仿宋" w:cs="Times New Roman"/>
                <w:snapToGrid w:val="0"/>
                <w:color w:val="auto"/>
                <w:kern w:val="0"/>
                <w:sz w:val="24"/>
                <w:highlight w:val="none"/>
                <w:lang w:val="en-US" w:eastAsia="zh-CN" w:bidi="ar"/>
              </w:rPr>
              <w:t>造价负责人</w:t>
            </w:r>
          </w:p>
        </w:tc>
        <w:tc>
          <w:tcPr>
            <w:tcW w:w="660" w:type="dxa"/>
            <w:tcBorders>
              <w:top w:val="nil"/>
              <w:left w:val="nil"/>
              <w:bottom w:val="single" w:color="000000" w:sz="8" w:space="0"/>
              <w:right w:val="single" w:color="000000" w:sz="8" w:space="0"/>
            </w:tcBorders>
            <w:noWrap w:val="0"/>
            <w:vAlign w:val="center"/>
          </w:tcPr>
          <w:p>
            <w:pPr>
              <w:widowControl/>
              <w:kinsoku w:val="0"/>
              <w:autoSpaceDE w:val="0"/>
              <w:autoSpaceDN w:val="0"/>
              <w:adjustRightInd w:val="0"/>
              <w:spacing w:line="240" w:lineRule="auto"/>
              <w:ind w:firstLine="0" w:firstLineChars="0"/>
              <w:jc w:val="center"/>
              <w:textAlignment w:val="center"/>
              <w:rPr>
                <w:rFonts w:hint="eastAsia" w:asciiTheme="majorEastAsia" w:hAnsiTheme="majorEastAsia" w:eastAsiaTheme="majorEastAsia" w:cstheme="majorEastAsia"/>
                <w:snapToGrid w:val="0"/>
                <w:color w:val="auto"/>
                <w:kern w:val="0"/>
                <w:sz w:val="18"/>
                <w:szCs w:val="18"/>
                <w:highlight w:val="none"/>
                <w:lang w:bidi="ar"/>
              </w:rPr>
            </w:pPr>
            <w:r>
              <w:rPr>
                <w:rFonts w:hint="eastAsia" w:ascii="Times New Roman" w:hAnsi="Times New Roman" w:eastAsia="仿宋" w:cs="Times New Roman"/>
                <w:snapToGrid w:val="0"/>
                <w:color w:val="auto"/>
                <w:kern w:val="0"/>
                <w:sz w:val="24"/>
                <w:highlight w:val="none"/>
                <w:lang w:val="en-US" w:eastAsia="zh-CN" w:bidi="ar"/>
              </w:rPr>
              <w:t>1</w:t>
            </w:r>
          </w:p>
        </w:tc>
        <w:tc>
          <w:tcPr>
            <w:tcW w:w="5237" w:type="dxa"/>
            <w:tcBorders>
              <w:top w:val="nil"/>
              <w:left w:val="nil"/>
              <w:bottom w:val="single" w:color="000000" w:sz="8" w:space="0"/>
              <w:right w:val="single" w:color="000000" w:sz="8" w:space="0"/>
            </w:tcBorders>
            <w:noWrap w:val="0"/>
            <w:vAlign w:val="center"/>
          </w:tcPr>
          <w:p>
            <w:pPr>
              <w:widowControl/>
              <w:kinsoku w:val="0"/>
              <w:autoSpaceDE w:val="0"/>
              <w:autoSpaceDN w:val="0"/>
              <w:adjustRightInd w:val="0"/>
              <w:spacing w:line="240" w:lineRule="auto"/>
              <w:ind w:firstLine="0" w:firstLineChars="0"/>
              <w:jc w:val="center"/>
              <w:textAlignment w:val="center"/>
              <w:rPr>
                <w:rFonts w:hint="eastAsia" w:asciiTheme="majorEastAsia" w:hAnsiTheme="majorEastAsia" w:eastAsiaTheme="majorEastAsia" w:cstheme="majorEastAsia"/>
                <w:snapToGrid w:val="0"/>
                <w:color w:val="auto"/>
                <w:kern w:val="0"/>
                <w:sz w:val="18"/>
                <w:szCs w:val="18"/>
                <w:highlight w:val="none"/>
                <w:lang w:bidi="ar"/>
              </w:rPr>
            </w:pPr>
            <w:r>
              <w:rPr>
                <w:rFonts w:hint="eastAsia" w:ascii="Times New Roman" w:hAnsi="Times New Roman" w:eastAsia="仿宋"/>
                <w:snapToGrid w:val="0"/>
                <w:color w:val="auto"/>
                <w:kern w:val="0"/>
                <w:sz w:val="24"/>
                <w:highlight w:val="none"/>
                <w:lang w:bidi="ar"/>
              </w:rPr>
              <w:t>具</w:t>
            </w:r>
            <w:r>
              <w:rPr>
                <w:rFonts w:hint="eastAsia" w:ascii="Times New Roman" w:hAnsi="Times New Roman" w:eastAsia="仿宋"/>
                <w:snapToGrid w:val="0"/>
                <w:color w:val="auto"/>
                <w:kern w:val="0"/>
                <w:sz w:val="24"/>
                <w:highlight w:val="none"/>
                <w:lang w:val="en-US" w:eastAsia="zh-CN" w:bidi="ar"/>
              </w:rPr>
              <w:t>有</w:t>
            </w:r>
            <w:r>
              <w:rPr>
                <w:rFonts w:hint="eastAsia" w:ascii="Times New Roman" w:hAnsi="Times New Roman" w:eastAsia="仿宋"/>
                <w:snapToGrid w:val="0"/>
                <w:color w:val="auto"/>
                <w:kern w:val="0"/>
                <w:sz w:val="24"/>
                <w:highlight w:val="none"/>
                <w:lang w:bidi="ar"/>
              </w:rPr>
              <w:t>一级注册造价工程师执业资格或工程相关专业(含造价类专业)工程师或以上技术职称，具有工作经</w:t>
            </w:r>
            <w:r>
              <w:rPr>
                <w:rFonts w:hint="eastAsia" w:ascii="Times New Roman" w:hAnsi="Times New Roman" w:eastAsia="仿宋"/>
                <w:snapToGrid w:val="0"/>
                <w:color w:val="auto"/>
                <w:kern w:val="0"/>
                <w:sz w:val="24"/>
                <w:highlight w:val="none"/>
                <w:lang w:val="en-US" w:eastAsia="zh-CN" w:bidi="ar"/>
              </w:rPr>
              <w:t>历</w:t>
            </w:r>
            <w:r>
              <w:rPr>
                <w:rFonts w:hint="eastAsia" w:ascii="Times New Roman" w:hAnsi="Times New Roman" w:eastAsia="仿宋"/>
                <w:snapToGrid w:val="0"/>
                <w:color w:val="auto"/>
                <w:kern w:val="0"/>
                <w:sz w:val="24"/>
                <w:highlight w:val="none"/>
                <w:lang w:bidi="ar"/>
              </w:rPr>
              <w:t>5年或以上。</w:t>
            </w:r>
            <w:r>
              <w:rPr>
                <w:rFonts w:hint="eastAsia" w:ascii="Times New Roman" w:hAnsi="Times New Roman" w:eastAsia="仿宋"/>
                <w:snapToGrid w:val="0"/>
                <w:color w:val="auto"/>
                <w:kern w:val="0"/>
                <w:sz w:val="24"/>
                <w:highlight w:val="none"/>
                <w:lang w:bidi="ar"/>
              </w:rPr>
              <w:t>。</w:t>
            </w:r>
          </w:p>
        </w:tc>
        <w:tc>
          <w:tcPr>
            <w:tcW w:w="942" w:type="dxa"/>
            <w:tcBorders>
              <w:top w:val="nil"/>
              <w:left w:val="nil"/>
              <w:bottom w:val="single" w:color="000000" w:sz="8" w:space="0"/>
              <w:right w:val="single" w:color="000000" w:sz="8" w:space="0"/>
            </w:tcBorders>
            <w:noWrap w:val="0"/>
            <w:vAlign w:val="center"/>
          </w:tcPr>
          <w:p>
            <w:pPr>
              <w:widowControl/>
              <w:kinsoku w:val="0"/>
              <w:autoSpaceDE w:val="0"/>
              <w:autoSpaceDN w:val="0"/>
              <w:adjustRightInd w:val="0"/>
              <w:spacing w:line="240" w:lineRule="auto"/>
              <w:ind w:firstLine="0" w:firstLineChars="0"/>
              <w:jc w:val="center"/>
              <w:textAlignment w:val="center"/>
              <w:rPr>
                <w:rFonts w:hint="eastAsia" w:asciiTheme="majorEastAsia" w:hAnsiTheme="majorEastAsia" w:eastAsiaTheme="majorEastAsia" w:cstheme="majorEastAsia"/>
                <w:snapToGrid w:val="0"/>
                <w:color w:val="auto"/>
                <w:kern w:val="0"/>
                <w:sz w:val="18"/>
                <w:szCs w:val="18"/>
                <w:highlight w:val="none"/>
                <w:lang w:bidi="ar"/>
              </w:rPr>
            </w:pPr>
            <w:r>
              <w:rPr>
                <w:rFonts w:hint="eastAsia" w:ascii="Times New Roman" w:hAnsi="Times New Roman" w:eastAsia="仿宋" w:cs="Times New Roman"/>
                <w:snapToGrid w:val="0"/>
                <w:color w:val="auto"/>
                <w:kern w:val="0"/>
                <w:sz w:val="24"/>
                <w:highlight w:val="none"/>
                <w:lang w:val="en-US" w:eastAsia="zh-CN" w:bidi="ar"/>
              </w:rPr>
              <w:t>关键岗位</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5" w:hRule="atLeast"/>
        </w:trPr>
        <w:tc>
          <w:tcPr>
            <w:tcW w:w="766" w:type="dxa"/>
            <w:tcBorders>
              <w:top w:val="nil"/>
              <w:left w:val="single" w:color="000000" w:sz="8" w:space="0"/>
              <w:bottom w:val="single" w:color="000000" w:sz="8" w:space="0"/>
              <w:right w:val="single" w:color="000000" w:sz="8" w:space="0"/>
            </w:tcBorders>
            <w:noWrap w:val="0"/>
            <w:vAlign w:val="center"/>
          </w:tcPr>
          <w:p>
            <w:pPr>
              <w:widowControl/>
              <w:kinsoku w:val="0"/>
              <w:autoSpaceDE w:val="0"/>
              <w:autoSpaceDN w:val="0"/>
              <w:adjustRightInd w:val="0"/>
              <w:spacing w:line="240" w:lineRule="auto"/>
              <w:ind w:firstLine="0" w:firstLineChars="0"/>
              <w:jc w:val="center"/>
              <w:textAlignment w:val="center"/>
              <w:rPr>
                <w:rFonts w:hint="eastAsia" w:asciiTheme="majorEastAsia" w:hAnsiTheme="majorEastAsia" w:eastAsiaTheme="majorEastAsia" w:cstheme="majorEastAsia"/>
                <w:snapToGrid w:val="0"/>
                <w:color w:val="auto"/>
                <w:kern w:val="0"/>
                <w:sz w:val="18"/>
                <w:szCs w:val="18"/>
                <w:highlight w:val="none"/>
                <w:lang w:bidi="ar"/>
              </w:rPr>
            </w:pPr>
            <w:r>
              <w:rPr>
                <w:rFonts w:hint="eastAsia" w:ascii="Times New Roman" w:hAnsi="Times New Roman" w:eastAsia="仿宋" w:cs="Times New Roman"/>
                <w:snapToGrid w:val="0"/>
                <w:color w:val="auto"/>
                <w:kern w:val="0"/>
                <w:sz w:val="24"/>
                <w:highlight w:val="none"/>
                <w:lang w:val="en-US" w:eastAsia="zh-CN" w:bidi="ar"/>
              </w:rPr>
              <w:t>8</w:t>
            </w:r>
          </w:p>
        </w:tc>
        <w:tc>
          <w:tcPr>
            <w:tcW w:w="1590" w:type="dxa"/>
            <w:tcBorders>
              <w:top w:val="nil"/>
              <w:left w:val="nil"/>
              <w:bottom w:val="single" w:color="000000" w:sz="8" w:space="0"/>
              <w:right w:val="single" w:color="000000" w:sz="8" w:space="0"/>
            </w:tcBorders>
            <w:noWrap w:val="0"/>
            <w:vAlign w:val="center"/>
          </w:tcPr>
          <w:p>
            <w:pPr>
              <w:widowControl/>
              <w:kinsoku w:val="0"/>
              <w:autoSpaceDE w:val="0"/>
              <w:autoSpaceDN w:val="0"/>
              <w:adjustRightInd w:val="0"/>
              <w:spacing w:line="240" w:lineRule="auto"/>
              <w:ind w:firstLine="0" w:firstLineChars="0"/>
              <w:jc w:val="center"/>
              <w:textAlignment w:val="center"/>
              <w:rPr>
                <w:rFonts w:hint="eastAsia" w:asciiTheme="majorEastAsia" w:hAnsiTheme="majorEastAsia" w:eastAsiaTheme="majorEastAsia" w:cstheme="majorEastAsia"/>
                <w:snapToGrid w:val="0"/>
                <w:color w:val="auto"/>
                <w:kern w:val="0"/>
                <w:sz w:val="18"/>
                <w:szCs w:val="18"/>
                <w:highlight w:val="none"/>
                <w:lang w:bidi="ar"/>
              </w:rPr>
            </w:pPr>
            <w:r>
              <w:rPr>
                <w:rFonts w:hint="eastAsia" w:ascii="Times New Roman" w:hAnsi="Times New Roman" w:eastAsia="仿宋" w:cs="Times New Roman"/>
                <w:snapToGrid w:val="0"/>
                <w:color w:val="auto"/>
                <w:kern w:val="0"/>
                <w:sz w:val="24"/>
                <w:highlight w:val="none"/>
                <w:lang w:val="en-US" w:eastAsia="zh-CN" w:bidi="ar"/>
              </w:rPr>
              <w:t>造价工程师</w:t>
            </w:r>
          </w:p>
        </w:tc>
        <w:tc>
          <w:tcPr>
            <w:tcW w:w="660" w:type="dxa"/>
            <w:tcBorders>
              <w:top w:val="nil"/>
              <w:left w:val="nil"/>
              <w:bottom w:val="single" w:color="000000" w:sz="8" w:space="0"/>
              <w:right w:val="single" w:color="000000" w:sz="8" w:space="0"/>
            </w:tcBorders>
            <w:noWrap w:val="0"/>
            <w:vAlign w:val="center"/>
          </w:tcPr>
          <w:p>
            <w:pPr>
              <w:widowControl/>
              <w:kinsoku w:val="0"/>
              <w:autoSpaceDE w:val="0"/>
              <w:autoSpaceDN w:val="0"/>
              <w:adjustRightInd w:val="0"/>
              <w:spacing w:line="240" w:lineRule="auto"/>
              <w:ind w:firstLine="0" w:firstLineChars="0"/>
              <w:jc w:val="center"/>
              <w:textAlignment w:val="center"/>
              <w:rPr>
                <w:rFonts w:hint="eastAsia" w:asciiTheme="majorEastAsia" w:hAnsiTheme="majorEastAsia" w:eastAsiaTheme="majorEastAsia" w:cstheme="majorEastAsia"/>
                <w:snapToGrid w:val="0"/>
                <w:color w:val="auto"/>
                <w:kern w:val="0"/>
                <w:sz w:val="18"/>
                <w:szCs w:val="18"/>
                <w:highlight w:val="none"/>
                <w:lang w:bidi="ar"/>
              </w:rPr>
            </w:pPr>
            <w:r>
              <w:rPr>
                <w:rFonts w:hint="eastAsia" w:ascii="Times New Roman" w:hAnsi="Times New Roman" w:eastAsia="仿宋" w:cs="Times New Roman"/>
                <w:snapToGrid w:val="0"/>
                <w:color w:val="auto"/>
                <w:kern w:val="0"/>
                <w:sz w:val="24"/>
                <w:highlight w:val="none"/>
                <w:lang w:val="en-US" w:eastAsia="zh-CN" w:bidi="ar"/>
              </w:rPr>
              <w:t>4</w:t>
            </w:r>
          </w:p>
        </w:tc>
        <w:tc>
          <w:tcPr>
            <w:tcW w:w="5237" w:type="dxa"/>
            <w:tcBorders>
              <w:top w:val="nil"/>
              <w:left w:val="nil"/>
              <w:bottom w:val="single" w:color="000000" w:sz="8" w:space="0"/>
              <w:right w:val="single" w:color="000000" w:sz="8" w:space="0"/>
            </w:tcBorders>
            <w:noWrap w:val="0"/>
            <w:vAlign w:val="center"/>
          </w:tcPr>
          <w:p>
            <w:pPr>
              <w:widowControl/>
              <w:kinsoku w:val="0"/>
              <w:autoSpaceDE w:val="0"/>
              <w:autoSpaceDN w:val="0"/>
              <w:adjustRightInd w:val="0"/>
              <w:spacing w:line="240" w:lineRule="auto"/>
              <w:ind w:firstLine="0" w:firstLineChars="0"/>
              <w:jc w:val="center"/>
              <w:textAlignment w:val="center"/>
              <w:rPr>
                <w:rFonts w:hint="eastAsia" w:asciiTheme="majorEastAsia" w:hAnsiTheme="majorEastAsia" w:eastAsiaTheme="majorEastAsia" w:cstheme="majorEastAsia"/>
                <w:snapToGrid w:val="0"/>
                <w:color w:val="auto"/>
                <w:kern w:val="0"/>
                <w:sz w:val="18"/>
                <w:szCs w:val="18"/>
                <w:highlight w:val="none"/>
                <w:lang w:bidi="ar"/>
              </w:rPr>
            </w:pPr>
            <w:r>
              <w:rPr>
                <w:rFonts w:hint="eastAsia" w:ascii="Times New Roman" w:hAnsi="Times New Roman" w:eastAsia="仿宋" w:cs="Times New Roman"/>
                <w:snapToGrid w:val="0"/>
                <w:color w:val="auto"/>
                <w:kern w:val="0"/>
                <w:sz w:val="24"/>
                <w:highlight w:val="none"/>
                <w:lang w:val="en-US" w:eastAsia="zh-CN" w:bidi="ar"/>
              </w:rPr>
              <w:t>具有工程（含造价类）相关专业大学专科（或以上）学历，具有工作经历5年或以上。</w:t>
            </w:r>
          </w:p>
        </w:tc>
        <w:tc>
          <w:tcPr>
            <w:tcW w:w="942" w:type="dxa"/>
            <w:tcBorders>
              <w:top w:val="nil"/>
              <w:left w:val="nil"/>
              <w:bottom w:val="single" w:color="000000" w:sz="8" w:space="0"/>
              <w:right w:val="single" w:color="000000" w:sz="8" w:space="0"/>
            </w:tcBorders>
            <w:noWrap w:val="0"/>
            <w:vAlign w:val="center"/>
          </w:tcPr>
          <w:p>
            <w:pPr>
              <w:widowControl/>
              <w:kinsoku w:val="0"/>
              <w:autoSpaceDE w:val="0"/>
              <w:autoSpaceDN w:val="0"/>
              <w:adjustRightInd w:val="0"/>
              <w:spacing w:line="240" w:lineRule="auto"/>
              <w:ind w:firstLine="0" w:firstLineChars="0"/>
              <w:jc w:val="center"/>
              <w:textAlignment w:val="center"/>
              <w:rPr>
                <w:rFonts w:hint="eastAsia" w:asciiTheme="majorEastAsia" w:hAnsiTheme="majorEastAsia" w:eastAsiaTheme="majorEastAsia" w:cstheme="majorEastAsia"/>
                <w:snapToGrid w:val="0"/>
                <w:color w:val="auto"/>
                <w:kern w:val="0"/>
                <w:sz w:val="18"/>
                <w:szCs w:val="18"/>
                <w:highlight w:val="none"/>
                <w:lang w:bidi="ar"/>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5" w:hRule="atLeast"/>
        </w:trPr>
        <w:tc>
          <w:tcPr>
            <w:tcW w:w="766" w:type="dxa"/>
            <w:tcBorders>
              <w:top w:val="nil"/>
              <w:left w:val="single" w:color="000000" w:sz="8" w:space="0"/>
              <w:bottom w:val="single" w:color="000000" w:sz="8" w:space="0"/>
              <w:right w:val="single" w:color="000000" w:sz="8" w:space="0"/>
            </w:tcBorders>
            <w:noWrap w:val="0"/>
            <w:vAlign w:val="center"/>
          </w:tcPr>
          <w:p>
            <w:pPr>
              <w:widowControl/>
              <w:kinsoku w:val="0"/>
              <w:autoSpaceDE w:val="0"/>
              <w:autoSpaceDN w:val="0"/>
              <w:adjustRightInd w:val="0"/>
              <w:spacing w:line="240" w:lineRule="auto"/>
              <w:ind w:firstLine="0" w:firstLineChars="0"/>
              <w:jc w:val="center"/>
              <w:textAlignment w:val="center"/>
              <w:rPr>
                <w:rFonts w:hint="eastAsia" w:asciiTheme="majorEastAsia" w:hAnsiTheme="majorEastAsia" w:eastAsiaTheme="majorEastAsia" w:cstheme="majorEastAsia"/>
                <w:snapToGrid w:val="0"/>
                <w:color w:val="auto"/>
                <w:kern w:val="0"/>
                <w:sz w:val="18"/>
                <w:szCs w:val="18"/>
                <w:highlight w:val="none"/>
                <w:lang w:bidi="ar"/>
              </w:rPr>
            </w:pPr>
            <w:r>
              <w:rPr>
                <w:rFonts w:hint="eastAsia" w:ascii="Times New Roman" w:hAnsi="Times New Roman" w:eastAsia="仿宋" w:cs="Times New Roman"/>
                <w:snapToGrid w:val="0"/>
                <w:color w:val="auto"/>
                <w:kern w:val="0"/>
                <w:sz w:val="24"/>
                <w:highlight w:val="none"/>
                <w:lang w:val="en-US" w:eastAsia="zh-CN" w:bidi="ar"/>
              </w:rPr>
              <w:t>9</w:t>
            </w:r>
          </w:p>
        </w:tc>
        <w:tc>
          <w:tcPr>
            <w:tcW w:w="1590" w:type="dxa"/>
            <w:tcBorders>
              <w:top w:val="nil"/>
              <w:left w:val="nil"/>
              <w:bottom w:val="single" w:color="000000" w:sz="8" w:space="0"/>
              <w:right w:val="single" w:color="000000" w:sz="8" w:space="0"/>
            </w:tcBorders>
            <w:noWrap w:val="0"/>
            <w:vAlign w:val="center"/>
          </w:tcPr>
          <w:p>
            <w:pPr>
              <w:widowControl/>
              <w:kinsoku w:val="0"/>
              <w:autoSpaceDE w:val="0"/>
              <w:autoSpaceDN w:val="0"/>
              <w:adjustRightInd w:val="0"/>
              <w:spacing w:line="240" w:lineRule="auto"/>
              <w:ind w:firstLine="0" w:firstLineChars="0"/>
              <w:jc w:val="center"/>
              <w:textAlignment w:val="center"/>
              <w:rPr>
                <w:rFonts w:hint="eastAsia" w:asciiTheme="majorEastAsia" w:hAnsiTheme="majorEastAsia" w:eastAsiaTheme="majorEastAsia" w:cstheme="majorEastAsia"/>
                <w:snapToGrid w:val="0"/>
                <w:color w:val="auto"/>
                <w:kern w:val="0"/>
                <w:sz w:val="18"/>
                <w:szCs w:val="18"/>
                <w:highlight w:val="none"/>
                <w:lang w:bidi="ar"/>
              </w:rPr>
            </w:pPr>
            <w:r>
              <w:rPr>
                <w:rFonts w:hint="eastAsia" w:ascii="Times New Roman" w:hAnsi="Times New Roman" w:eastAsia="仿宋" w:cs="Times New Roman"/>
                <w:snapToGrid w:val="0"/>
                <w:color w:val="auto"/>
                <w:kern w:val="0"/>
                <w:sz w:val="24"/>
                <w:highlight w:val="none"/>
                <w:lang w:val="en-US" w:eastAsia="zh-CN" w:bidi="ar"/>
              </w:rPr>
              <w:t>质量负责人</w:t>
            </w:r>
          </w:p>
        </w:tc>
        <w:tc>
          <w:tcPr>
            <w:tcW w:w="660" w:type="dxa"/>
            <w:tcBorders>
              <w:top w:val="nil"/>
              <w:left w:val="nil"/>
              <w:bottom w:val="single" w:color="000000" w:sz="8" w:space="0"/>
              <w:right w:val="single" w:color="000000" w:sz="8" w:space="0"/>
            </w:tcBorders>
            <w:noWrap w:val="0"/>
            <w:vAlign w:val="center"/>
          </w:tcPr>
          <w:p>
            <w:pPr>
              <w:widowControl/>
              <w:kinsoku w:val="0"/>
              <w:autoSpaceDE w:val="0"/>
              <w:autoSpaceDN w:val="0"/>
              <w:adjustRightInd w:val="0"/>
              <w:spacing w:line="240" w:lineRule="auto"/>
              <w:ind w:firstLine="0" w:firstLineChars="0"/>
              <w:jc w:val="center"/>
              <w:textAlignment w:val="center"/>
              <w:rPr>
                <w:rFonts w:hint="eastAsia" w:asciiTheme="majorEastAsia" w:hAnsiTheme="majorEastAsia" w:eastAsiaTheme="majorEastAsia" w:cstheme="majorEastAsia"/>
                <w:snapToGrid w:val="0"/>
                <w:color w:val="auto"/>
                <w:kern w:val="0"/>
                <w:sz w:val="18"/>
                <w:szCs w:val="18"/>
                <w:highlight w:val="none"/>
                <w:lang w:bidi="ar"/>
              </w:rPr>
            </w:pPr>
            <w:r>
              <w:rPr>
                <w:rFonts w:hint="eastAsia" w:ascii="Times New Roman" w:hAnsi="Times New Roman" w:eastAsia="仿宋" w:cs="Times New Roman"/>
                <w:snapToGrid w:val="0"/>
                <w:color w:val="auto"/>
                <w:kern w:val="0"/>
                <w:sz w:val="24"/>
                <w:highlight w:val="none"/>
                <w:lang w:val="en-US" w:eastAsia="zh-CN" w:bidi="ar"/>
              </w:rPr>
              <w:t>1</w:t>
            </w:r>
          </w:p>
        </w:tc>
        <w:tc>
          <w:tcPr>
            <w:tcW w:w="5237" w:type="dxa"/>
            <w:tcBorders>
              <w:top w:val="nil"/>
              <w:left w:val="nil"/>
              <w:bottom w:val="single" w:color="000000" w:sz="8" w:space="0"/>
              <w:right w:val="single" w:color="000000" w:sz="8" w:space="0"/>
            </w:tcBorders>
            <w:noWrap w:val="0"/>
            <w:vAlign w:val="center"/>
          </w:tcPr>
          <w:p>
            <w:pPr>
              <w:widowControl/>
              <w:kinsoku w:val="0"/>
              <w:autoSpaceDE w:val="0"/>
              <w:autoSpaceDN w:val="0"/>
              <w:adjustRightInd w:val="0"/>
              <w:spacing w:line="240" w:lineRule="auto"/>
              <w:ind w:firstLine="0" w:firstLineChars="0"/>
              <w:jc w:val="center"/>
              <w:textAlignment w:val="center"/>
              <w:rPr>
                <w:rFonts w:hint="eastAsia" w:asciiTheme="majorEastAsia" w:hAnsiTheme="majorEastAsia" w:eastAsiaTheme="majorEastAsia" w:cstheme="majorEastAsia"/>
                <w:snapToGrid w:val="0"/>
                <w:color w:val="auto"/>
                <w:kern w:val="0"/>
                <w:sz w:val="18"/>
                <w:szCs w:val="18"/>
                <w:highlight w:val="none"/>
                <w:lang w:bidi="ar"/>
              </w:rPr>
            </w:pPr>
            <w:r>
              <w:rPr>
                <w:rFonts w:hint="eastAsia" w:ascii="Times New Roman" w:hAnsi="Times New Roman" w:eastAsia="仿宋" w:cs="Times New Roman"/>
                <w:snapToGrid w:val="0"/>
                <w:color w:val="auto"/>
                <w:kern w:val="0"/>
                <w:sz w:val="24"/>
                <w:highlight w:val="none"/>
                <w:lang w:val="en-US" w:eastAsia="zh-CN" w:bidi="ar"/>
              </w:rPr>
              <w:t>具有工程相关专业大学专科（或以上）学历，工程相关专业中级或以上技术职称，具有工作经历5年或以上。</w:t>
            </w:r>
          </w:p>
        </w:tc>
        <w:tc>
          <w:tcPr>
            <w:tcW w:w="942" w:type="dxa"/>
            <w:tcBorders>
              <w:top w:val="nil"/>
              <w:left w:val="nil"/>
              <w:bottom w:val="single" w:color="000000" w:sz="8" w:space="0"/>
              <w:right w:val="single" w:color="000000" w:sz="8" w:space="0"/>
            </w:tcBorders>
            <w:noWrap w:val="0"/>
            <w:vAlign w:val="center"/>
          </w:tcPr>
          <w:p>
            <w:pPr>
              <w:widowControl/>
              <w:kinsoku w:val="0"/>
              <w:autoSpaceDE w:val="0"/>
              <w:autoSpaceDN w:val="0"/>
              <w:adjustRightInd w:val="0"/>
              <w:spacing w:line="240" w:lineRule="auto"/>
              <w:ind w:firstLine="0" w:firstLineChars="0"/>
              <w:jc w:val="center"/>
              <w:textAlignment w:val="center"/>
              <w:rPr>
                <w:rFonts w:hint="eastAsia" w:asciiTheme="majorEastAsia" w:hAnsiTheme="majorEastAsia" w:eastAsiaTheme="majorEastAsia" w:cstheme="majorEastAsia"/>
                <w:snapToGrid w:val="0"/>
                <w:color w:val="auto"/>
                <w:kern w:val="0"/>
                <w:sz w:val="18"/>
                <w:szCs w:val="18"/>
                <w:highlight w:val="none"/>
                <w:lang w:bidi="ar"/>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766" w:type="dxa"/>
            <w:tcBorders>
              <w:top w:val="nil"/>
              <w:left w:val="single" w:color="000000" w:sz="8" w:space="0"/>
              <w:bottom w:val="single" w:color="000000" w:sz="8" w:space="0"/>
              <w:right w:val="single" w:color="000000" w:sz="8" w:space="0"/>
            </w:tcBorders>
            <w:noWrap w:val="0"/>
            <w:vAlign w:val="center"/>
          </w:tcPr>
          <w:p>
            <w:pPr>
              <w:widowControl/>
              <w:kinsoku w:val="0"/>
              <w:autoSpaceDE w:val="0"/>
              <w:autoSpaceDN w:val="0"/>
              <w:adjustRightInd w:val="0"/>
              <w:spacing w:line="240" w:lineRule="auto"/>
              <w:ind w:firstLine="0" w:firstLineChars="0"/>
              <w:jc w:val="center"/>
              <w:textAlignment w:val="center"/>
              <w:rPr>
                <w:rFonts w:hint="eastAsia" w:asciiTheme="majorEastAsia" w:hAnsiTheme="majorEastAsia" w:eastAsiaTheme="majorEastAsia" w:cstheme="majorEastAsia"/>
                <w:snapToGrid w:val="0"/>
                <w:color w:val="auto"/>
                <w:kern w:val="0"/>
                <w:sz w:val="18"/>
                <w:szCs w:val="18"/>
                <w:highlight w:val="none"/>
                <w:lang w:bidi="ar"/>
              </w:rPr>
            </w:pPr>
            <w:r>
              <w:rPr>
                <w:rFonts w:hint="eastAsia" w:ascii="Times New Roman" w:hAnsi="Times New Roman" w:eastAsia="仿宋" w:cs="Times New Roman"/>
                <w:snapToGrid w:val="0"/>
                <w:color w:val="auto"/>
                <w:kern w:val="0"/>
                <w:sz w:val="24"/>
                <w:highlight w:val="none"/>
                <w:lang w:val="en-US" w:eastAsia="zh-CN" w:bidi="ar"/>
              </w:rPr>
              <w:t>10</w:t>
            </w:r>
          </w:p>
        </w:tc>
        <w:tc>
          <w:tcPr>
            <w:tcW w:w="1590" w:type="dxa"/>
            <w:tcBorders>
              <w:top w:val="nil"/>
              <w:left w:val="nil"/>
              <w:bottom w:val="single" w:color="000000" w:sz="8" w:space="0"/>
              <w:right w:val="single" w:color="000000" w:sz="8" w:space="0"/>
            </w:tcBorders>
            <w:noWrap w:val="0"/>
            <w:vAlign w:val="center"/>
          </w:tcPr>
          <w:p>
            <w:pPr>
              <w:widowControl/>
              <w:kinsoku w:val="0"/>
              <w:autoSpaceDE w:val="0"/>
              <w:autoSpaceDN w:val="0"/>
              <w:adjustRightInd w:val="0"/>
              <w:spacing w:line="240" w:lineRule="auto"/>
              <w:ind w:firstLine="0" w:firstLineChars="0"/>
              <w:jc w:val="center"/>
              <w:textAlignment w:val="center"/>
              <w:rPr>
                <w:rFonts w:hint="eastAsia" w:asciiTheme="majorEastAsia" w:hAnsiTheme="majorEastAsia" w:eastAsiaTheme="majorEastAsia" w:cstheme="majorEastAsia"/>
                <w:snapToGrid w:val="0"/>
                <w:color w:val="auto"/>
                <w:kern w:val="0"/>
                <w:sz w:val="18"/>
                <w:szCs w:val="18"/>
                <w:highlight w:val="none"/>
                <w:lang w:bidi="ar"/>
              </w:rPr>
            </w:pPr>
            <w:r>
              <w:rPr>
                <w:rFonts w:hint="eastAsia" w:ascii="Times New Roman" w:hAnsi="Times New Roman" w:eastAsia="仿宋" w:cs="Times New Roman"/>
                <w:snapToGrid w:val="0"/>
                <w:color w:val="auto"/>
                <w:kern w:val="0"/>
                <w:sz w:val="24"/>
                <w:highlight w:val="none"/>
                <w:lang w:val="en-US" w:eastAsia="zh-CN" w:bidi="ar"/>
              </w:rPr>
              <w:t>专职安全员</w:t>
            </w:r>
          </w:p>
        </w:tc>
        <w:tc>
          <w:tcPr>
            <w:tcW w:w="660" w:type="dxa"/>
            <w:tcBorders>
              <w:top w:val="nil"/>
              <w:left w:val="nil"/>
              <w:bottom w:val="single" w:color="000000" w:sz="8" w:space="0"/>
              <w:right w:val="single" w:color="000000" w:sz="8" w:space="0"/>
            </w:tcBorders>
            <w:noWrap w:val="0"/>
            <w:vAlign w:val="center"/>
          </w:tcPr>
          <w:p>
            <w:pPr>
              <w:widowControl/>
              <w:kinsoku w:val="0"/>
              <w:autoSpaceDE w:val="0"/>
              <w:autoSpaceDN w:val="0"/>
              <w:adjustRightInd w:val="0"/>
              <w:spacing w:line="240" w:lineRule="auto"/>
              <w:ind w:firstLine="0" w:firstLineChars="0"/>
              <w:jc w:val="center"/>
              <w:textAlignment w:val="center"/>
              <w:rPr>
                <w:rFonts w:hint="eastAsia" w:asciiTheme="majorEastAsia" w:hAnsiTheme="majorEastAsia" w:eastAsiaTheme="majorEastAsia" w:cstheme="majorEastAsia"/>
                <w:snapToGrid w:val="0"/>
                <w:color w:val="auto"/>
                <w:kern w:val="0"/>
                <w:sz w:val="18"/>
                <w:szCs w:val="18"/>
                <w:highlight w:val="none"/>
                <w:lang w:val="en-US" w:eastAsia="zh-CN" w:bidi="ar"/>
              </w:rPr>
            </w:pPr>
            <w:r>
              <w:rPr>
                <w:rFonts w:hint="eastAsia" w:ascii="Times New Roman" w:hAnsi="Times New Roman" w:eastAsia="仿宋" w:cs="Times New Roman"/>
                <w:snapToGrid w:val="0"/>
                <w:color w:val="auto"/>
                <w:kern w:val="0"/>
                <w:sz w:val="24"/>
                <w:highlight w:val="none"/>
                <w:lang w:val="en-US" w:eastAsia="zh-CN" w:bidi="ar"/>
              </w:rPr>
              <w:t>4</w:t>
            </w:r>
          </w:p>
        </w:tc>
        <w:tc>
          <w:tcPr>
            <w:tcW w:w="5237" w:type="dxa"/>
            <w:tcBorders>
              <w:top w:val="nil"/>
              <w:left w:val="nil"/>
              <w:bottom w:val="single" w:color="000000" w:sz="8" w:space="0"/>
              <w:right w:val="single" w:color="000000" w:sz="8" w:space="0"/>
            </w:tcBorders>
            <w:noWrap w:val="0"/>
            <w:vAlign w:val="center"/>
          </w:tcPr>
          <w:p>
            <w:pPr>
              <w:widowControl/>
              <w:kinsoku w:val="0"/>
              <w:autoSpaceDE w:val="0"/>
              <w:autoSpaceDN w:val="0"/>
              <w:adjustRightInd w:val="0"/>
              <w:spacing w:line="240" w:lineRule="auto"/>
              <w:ind w:firstLine="0" w:firstLineChars="0"/>
              <w:jc w:val="center"/>
              <w:textAlignment w:val="center"/>
              <w:rPr>
                <w:rFonts w:hint="eastAsia" w:asciiTheme="majorEastAsia" w:hAnsiTheme="majorEastAsia" w:eastAsiaTheme="majorEastAsia" w:cstheme="majorEastAsia"/>
                <w:snapToGrid w:val="0"/>
                <w:color w:val="auto"/>
                <w:kern w:val="0"/>
                <w:sz w:val="18"/>
                <w:szCs w:val="18"/>
                <w:highlight w:val="none"/>
                <w:lang w:val="en-US" w:bidi="ar"/>
              </w:rPr>
            </w:pPr>
            <w:r>
              <w:rPr>
                <w:rFonts w:hint="eastAsia" w:ascii="Times New Roman" w:hAnsi="Times New Roman" w:eastAsia="仿宋" w:cs="Times New Roman"/>
                <w:snapToGrid w:val="0"/>
                <w:color w:val="auto"/>
                <w:kern w:val="0"/>
                <w:sz w:val="24"/>
                <w:highlight w:val="none"/>
                <w:lang w:val="en-US" w:eastAsia="zh-CN" w:bidi="ar"/>
              </w:rPr>
              <w:t>按招标公告要求</w:t>
            </w:r>
          </w:p>
        </w:tc>
        <w:tc>
          <w:tcPr>
            <w:tcW w:w="942" w:type="dxa"/>
            <w:tcBorders>
              <w:top w:val="nil"/>
              <w:left w:val="nil"/>
              <w:bottom w:val="single" w:color="000000" w:sz="8" w:space="0"/>
              <w:right w:val="single" w:color="000000" w:sz="8" w:space="0"/>
            </w:tcBorders>
            <w:noWrap w:val="0"/>
            <w:vAlign w:val="center"/>
          </w:tcPr>
          <w:p>
            <w:pPr>
              <w:widowControl/>
              <w:kinsoku w:val="0"/>
              <w:autoSpaceDE w:val="0"/>
              <w:autoSpaceDN w:val="0"/>
              <w:adjustRightInd w:val="0"/>
              <w:spacing w:line="240" w:lineRule="auto"/>
              <w:ind w:firstLine="0" w:firstLineChars="0"/>
              <w:jc w:val="center"/>
              <w:textAlignment w:val="center"/>
              <w:rPr>
                <w:rFonts w:hint="eastAsia" w:asciiTheme="majorEastAsia" w:hAnsiTheme="majorEastAsia" w:eastAsiaTheme="majorEastAsia" w:cstheme="majorEastAsia"/>
                <w:snapToGrid w:val="0"/>
                <w:color w:val="auto"/>
                <w:kern w:val="0"/>
                <w:sz w:val="18"/>
                <w:szCs w:val="18"/>
                <w:highlight w:val="none"/>
                <w:lang w:bidi="ar"/>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5" w:hRule="atLeast"/>
        </w:trPr>
        <w:tc>
          <w:tcPr>
            <w:tcW w:w="766" w:type="dxa"/>
            <w:tcBorders>
              <w:top w:val="nil"/>
              <w:left w:val="single" w:color="000000" w:sz="8" w:space="0"/>
              <w:bottom w:val="single" w:color="000000" w:sz="8" w:space="0"/>
              <w:right w:val="single" w:color="000000" w:sz="8" w:space="0"/>
            </w:tcBorders>
            <w:noWrap w:val="0"/>
            <w:vAlign w:val="center"/>
          </w:tcPr>
          <w:p>
            <w:pPr>
              <w:widowControl/>
              <w:kinsoku w:val="0"/>
              <w:autoSpaceDE w:val="0"/>
              <w:autoSpaceDN w:val="0"/>
              <w:adjustRightInd w:val="0"/>
              <w:spacing w:line="240" w:lineRule="auto"/>
              <w:ind w:firstLine="0" w:firstLineChars="0"/>
              <w:jc w:val="center"/>
              <w:textAlignment w:val="center"/>
              <w:rPr>
                <w:rFonts w:hint="eastAsia" w:asciiTheme="majorEastAsia" w:hAnsiTheme="majorEastAsia" w:eastAsiaTheme="majorEastAsia" w:cstheme="majorEastAsia"/>
                <w:snapToGrid w:val="0"/>
                <w:color w:val="auto"/>
                <w:kern w:val="0"/>
                <w:sz w:val="18"/>
                <w:szCs w:val="18"/>
                <w:highlight w:val="none"/>
                <w:lang w:bidi="ar"/>
              </w:rPr>
            </w:pPr>
            <w:r>
              <w:rPr>
                <w:rFonts w:hint="eastAsia" w:ascii="Times New Roman" w:hAnsi="Times New Roman" w:eastAsia="仿宋" w:cs="Times New Roman"/>
                <w:snapToGrid w:val="0"/>
                <w:color w:val="auto"/>
                <w:kern w:val="0"/>
                <w:sz w:val="24"/>
                <w:highlight w:val="none"/>
                <w:lang w:val="en-US" w:eastAsia="zh-CN" w:bidi="ar"/>
              </w:rPr>
              <w:t>11</w:t>
            </w:r>
          </w:p>
        </w:tc>
        <w:tc>
          <w:tcPr>
            <w:tcW w:w="1590" w:type="dxa"/>
            <w:tcBorders>
              <w:top w:val="nil"/>
              <w:left w:val="nil"/>
              <w:bottom w:val="single" w:color="000000" w:sz="8" w:space="0"/>
              <w:right w:val="single" w:color="000000" w:sz="8" w:space="0"/>
            </w:tcBorders>
            <w:noWrap w:val="0"/>
            <w:vAlign w:val="center"/>
          </w:tcPr>
          <w:p>
            <w:pPr>
              <w:widowControl/>
              <w:kinsoku w:val="0"/>
              <w:autoSpaceDE w:val="0"/>
              <w:autoSpaceDN w:val="0"/>
              <w:adjustRightInd w:val="0"/>
              <w:spacing w:line="240" w:lineRule="auto"/>
              <w:ind w:firstLine="0" w:firstLineChars="0"/>
              <w:jc w:val="center"/>
              <w:textAlignment w:val="center"/>
              <w:rPr>
                <w:rFonts w:hint="eastAsia" w:asciiTheme="majorEastAsia" w:hAnsiTheme="majorEastAsia" w:eastAsiaTheme="majorEastAsia" w:cstheme="majorEastAsia"/>
                <w:snapToGrid w:val="0"/>
                <w:color w:val="auto"/>
                <w:kern w:val="0"/>
                <w:sz w:val="18"/>
                <w:szCs w:val="18"/>
                <w:highlight w:val="none"/>
                <w:lang w:bidi="ar"/>
              </w:rPr>
            </w:pPr>
            <w:r>
              <w:rPr>
                <w:rFonts w:hint="eastAsia" w:ascii="Times New Roman" w:hAnsi="Times New Roman" w:eastAsia="仿宋" w:cs="Times New Roman"/>
                <w:snapToGrid w:val="0"/>
                <w:color w:val="auto"/>
                <w:kern w:val="0"/>
                <w:sz w:val="24"/>
                <w:highlight w:val="none"/>
                <w:lang w:val="en-US" w:eastAsia="zh-CN" w:bidi="ar"/>
              </w:rPr>
              <w:t>土建工程师</w:t>
            </w:r>
          </w:p>
        </w:tc>
        <w:tc>
          <w:tcPr>
            <w:tcW w:w="660" w:type="dxa"/>
            <w:tcBorders>
              <w:top w:val="nil"/>
              <w:left w:val="nil"/>
              <w:bottom w:val="single" w:color="000000" w:sz="8" w:space="0"/>
              <w:right w:val="single" w:color="000000" w:sz="8" w:space="0"/>
            </w:tcBorders>
            <w:noWrap w:val="0"/>
            <w:vAlign w:val="center"/>
          </w:tcPr>
          <w:p>
            <w:pPr>
              <w:widowControl/>
              <w:kinsoku w:val="0"/>
              <w:autoSpaceDE w:val="0"/>
              <w:autoSpaceDN w:val="0"/>
              <w:adjustRightInd w:val="0"/>
              <w:spacing w:line="240" w:lineRule="auto"/>
              <w:ind w:firstLine="0" w:firstLineChars="0"/>
              <w:jc w:val="center"/>
              <w:textAlignment w:val="center"/>
              <w:rPr>
                <w:rFonts w:hint="eastAsia" w:asciiTheme="majorEastAsia" w:hAnsiTheme="majorEastAsia" w:eastAsiaTheme="majorEastAsia" w:cstheme="majorEastAsia"/>
                <w:snapToGrid w:val="0"/>
                <w:color w:val="auto"/>
                <w:kern w:val="0"/>
                <w:sz w:val="18"/>
                <w:szCs w:val="18"/>
                <w:highlight w:val="none"/>
                <w:lang w:bidi="ar"/>
              </w:rPr>
            </w:pPr>
            <w:r>
              <w:rPr>
                <w:rFonts w:hint="eastAsia" w:ascii="Times New Roman" w:hAnsi="Times New Roman" w:eastAsia="仿宋" w:cs="Times New Roman"/>
                <w:snapToGrid w:val="0"/>
                <w:color w:val="auto"/>
                <w:kern w:val="0"/>
                <w:sz w:val="24"/>
                <w:highlight w:val="none"/>
                <w:lang w:val="en-US" w:eastAsia="zh-CN" w:bidi="ar"/>
              </w:rPr>
              <w:t>4</w:t>
            </w:r>
          </w:p>
        </w:tc>
        <w:tc>
          <w:tcPr>
            <w:tcW w:w="5237" w:type="dxa"/>
            <w:tcBorders>
              <w:top w:val="nil"/>
              <w:left w:val="nil"/>
              <w:bottom w:val="single" w:color="000000" w:sz="8" w:space="0"/>
              <w:right w:val="single" w:color="000000" w:sz="8" w:space="0"/>
            </w:tcBorders>
            <w:noWrap w:val="0"/>
            <w:vAlign w:val="center"/>
          </w:tcPr>
          <w:p>
            <w:pPr>
              <w:widowControl/>
              <w:kinsoku w:val="0"/>
              <w:autoSpaceDE w:val="0"/>
              <w:autoSpaceDN w:val="0"/>
              <w:adjustRightInd w:val="0"/>
              <w:spacing w:line="240" w:lineRule="auto"/>
              <w:ind w:firstLine="0" w:firstLineChars="0"/>
              <w:jc w:val="center"/>
              <w:textAlignment w:val="center"/>
              <w:rPr>
                <w:rFonts w:hint="eastAsia" w:asciiTheme="majorEastAsia" w:hAnsiTheme="majorEastAsia" w:eastAsiaTheme="majorEastAsia" w:cstheme="majorEastAsia"/>
                <w:snapToGrid w:val="0"/>
                <w:color w:val="auto"/>
                <w:kern w:val="0"/>
                <w:sz w:val="18"/>
                <w:szCs w:val="18"/>
                <w:highlight w:val="none"/>
                <w:lang w:bidi="ar"/>
              </w:rPr>
            </w:pPr>
            <w:r>
              <w:rPr>
                <w:rFonts w:hint="eastAsia" w:ascii="Times New Roman" w:hAnsi="Times New Roman" w:eastAsia="仿宋" w:cs="Times New Roman"/>
                <w:snapToGrid w:val="0"/>
                <w:color w:val="auto"/>
                <w:kern w:val="0"/>
                <w:sz w:val="24"/>
                <w:highlight w:val="none"/>
                <w:lang w:val="en-US" w:eastAsia="zh-CN" w:bidi="ar"/>
              </w:rPr>
              <w:t>所学专业或职称为工程相关专业，具有工作经历5年或以上。</w:t>
            </w:r>
          </w:p>
        </w:tc>
        <w:tc>
          <w:tcPr>
            <w:tcW w:w="942" w:type="dxa"/>
            <w:tcBorders>
              <w:top w:val="nil"/>
              <w:left w:val="nil"/>
              <w:bottom w:val="single" w:color="000000" w:sz="8" w:space="0"/>
              <w:right w:val="single" w:color="000000" w:sz="8" w:space="0"/>
            </w:tcBorders>
            <w:noWrap w:val="0"/>
            <w:vAlign w:val="center"/>
          </w:tcPr>
          <w:p>
            <w:pPr>
              <w:widowControl/>
              <w:kinsoku w:val="0"/>
              <w:autoSpaceDE w:val="0"/>
              <w:autoSpaceDN w:val="0"/>
              <w:adjustRightInd w:val="0"/>
              <w:spacing w:line="240" w:lineRule="auto"/>
              <w:ind w:firstLine="0" w:firstLineChars="0"/>
              <w:jc w:val="center"/>
              <w:textAlignment w:val="center"/>
              <w:rPr>
                <w:rFonts w:hint="eastAsia" w:asciiTheme="majorEastAsia" w:hAnsiTheme="majorEastAsia" w:eastAsiaTheme="majorEastAsia" w:cstheme="majorEastAsia"/>
                <w:snapToGrid w:val="0"/>
                <w:color w:val="auto"/>
                <w:kern w:val="0"/>
                <w:sz w:val="18"/>
                <w:szCs w:val="18"/>
                <w:highlight w:val="none"/>
                <w:lang w:bidi="ar"/>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5" w:hRule="atLeast"/>
        </w:trPr>
        <w:tc>
          <w:tcPr>
            <w:tcW w:w="766" w:type="dxa"/>
            <w:tcBorders>
              <w:top w:val="nil"/>
              <w:left w:val="single" w:color="000000" w:sz="8" w:space="0"/>
              <w:bottom w:val="single" w:color="000000" w:sz="8" w:space="0"/>
              <w:right w:val="single" w:color="000000" w:sz="8" w:space="0"/>
            </w:tcBorders>
            <w:noWrap w:val="0"/>
            <w:vAlign w:val="center"/>
          </w:tcPr>
          <w:p>
            <w:pPr>
              <w:widowControl/>
              <w:kinsoku w:val="0"/>
              <w:autoSpaceDE w:val="0"/>
              <w:autoSpaceDN w:val="0"/>
              <w:adjustRightInd w:val="0"/>
              <w:spacing w:line="240" w:lineRule="auto"/>
              <w:ind w:firstLine="0" w:firstLineChars="0"/>
              <w:jc w:val="center"/>
              <w:textAlignment w:val="center"/>
              <w:rPr>
                <w:rFonts w:hint="eastAsia" w:asciiTheme="majorEastAsia" w:hAnsiTheme="majorEastAsia" w:eastAsiaTheme="majorEastAsia" w:cstheme="majorEastAsia"/>
                <w:snapToGrid w:val="0"/>
                <w:color w:val="auto"/>
                <w:kern w:val="0"/>
                <w:sz w:val="18"/>
                <w:szCs w:val="18"/>
                <w:highlight w:val="none"/>
                <w:lang w:bidi="ar"/>
              </w:rPr>
            </w:pPr>
            <w:r>
              <w:rPr>
                <w:rFonts w:hint="eastAsia" w:ascii="Times New Roman" w:hAnsi="Times New Roman" w:eastAsia="仿宋" w:cs="Times New Roman"/>
                <w:snapToGrid w:val="0"/>
                <w:color w:val="auto"/>
                <w:kern w:val="0"/>
                <w:sz w:val="24"/>
                <w:highlight w:val="none"/>
                <w:lang w:val="en-US" w:eastAsia="zh-CN" w:bidi="ar"/>
              </w:rPr>
              <w:t>12</w:t>
            </w:r>
          </w:p>
        </w:tc>
        <w:tc>
          <w:tcPr>
            <w:tcW w:w="1590" w:type="dxa"/>
            <w:tcBorders>
              <w:top w:val="nil"/>
              <w:left w:val="nil"/>
              <w:bottom w:val="single" w:color="000000" w:sz="8" w:space="0"/>
              <w:right w:val="single" w:color="000000" w:sz="8" w:space="0"/>
            </w:tcBorders>
            <w:noWrap w:val="0"/>
            <w:vAlign w:val="center"/>
          </w:tcPr>
          <w:p>
            <w:pPr>
              <w:widowControl/>
              <w:kinsoku w:val="0"/>
              <w:autoSpaceDE w:val="0"/>
              <w:autoSpaceDN w:val="0"/>
              <w:adjustRightInd w:val="0"/>
              <w:spacing w:line="240" w:lineRule="auto"/>
              <w:ind w:firstLine="0" w:firstLineChars="0"/>
              <w:jc w:val="center"/>
              <w:textAlignment w:val="center"/>
              <w:rPr>
                <w:rFonts w:hint="eastAsia" w:asciiTheme="majorEastAsia" w:hAnsiTheme="majorEastAsia" w:eastAsiaTheme="majorEastAsia" w:cstheme="majorEastAsia"/>
                <w:snapToGrid w:val="0"/>
                <w:color w:val="auto"/>
                <w:kern w:val="0"/>
                <w:sz w:val="18"/>
                <w:szCs w:val="18"/>
                <w:highlight w:val="none"/>
                <w:lang w:bidi="ar"/>
              </w:rPr>
            </w:pPr>
            <w:r>
              <w:rPr>
                <w:rFonts w:hint="eastAsia" w:ascii="Times New Roman" w:hAnsi="Times New Roman" w:eastAsia="仿宋" w:cs="Times New Roman"/>
                <w:snapToGrid w:val="0"/>
                <w:color w:val="auto"/>
                <w:kern w:val="0"/>
                <w:sz w:val="24"/>
                <w:highlight w:val="none"/>
                <w:lang w:val="en-US" w:eastAsia="zh-CN" w:bidi="ar"/>
              </w:rPr>
              <w:t>电气工程师</w:t>
            </w:r>
          </w:p>
        </w:tc>
        <w:tc>
          <w:tcPr>
            <w:tcW w:w="660" w:type="dxa"/>
            <w:tcBorders>
              <w:top w:val="nil"/>
              <w:left w:val="nil"/>
              <w:bottom w:val="single" w:color="000000" w:sz="8" w:space="0"/>
              <w:right w:val="single" w:color="000000" w:sz="8" w:space="0"/>
            </w:tcBorders>
            <w:noWrap w:val="0"/>
            <w:vAlign w:val="center"/>
          </w:tcPr>
          <w:p>
            <w:pPr>
              <w:widowControl/>
              <w:kinsoku w:val="0"/>
              <w:autoSpaceDE w:val="0"/>
              <w:autoSpaceDN w:val="0"/>
              <w:adjustRightInd w:val="0"/>
              <w:spacing w:line="240" w:lineRule="auto"/>
              <w:ind w:firstLine="0" w:firstLineChars="0"/>
              <w:jc w:val="center"/>
              <w:textAlignment w:val="center"/>
              <w:rPr>
                <w:rFonts w:hint="eastAsia" w:asciiTheme="majorEastAsia" w:hAnsiTheme="majorEastAsia" w:eastAsiaTheme="majorEastAsia" w:cstheme="majorEastAsia"/>
                <w:snapToGrid w:val="0"/>
                <w:color w:val="auto"/>
                <w:kern w:val="0"/>
                <w:sz w:val="18"/>
                <w:szCs w:val="18"/>
                <w:highlight w:val="none"/>
                <w:lang w:bidi="ar"/>
              </w:rPr>
            </w:pPr>
            <w:r>
              <w:rPr>
                <w:rFonts w:hint="eastAsia" w:ascii="Times New Roman" w:hAnsi="Times New Roman" w:eastAsia="仿宋" w:cs="Times New Roman"/>
                <w:snapToGrid w:val="0"/>
                <w:color w:val="auto"/>
                <w:kern w:val="0"/>
                <w:sz w:val="24"/>
                <w:highlight w:val="none"/>
                <w:lang w:val="en-US" w:eastAsia="zh-CN" w:bidi="ar"/>
              </w:rPr>
              <w:t>1</w:t>
            </w:r>
          </w:p>
        </w:tc>
        <w:tc>
          <w:tcPr>
            <w:tcW w:w="5237" w:type="dxa"/>
            <w:tcBorders>
              <w:top w:val="nil"/>
              <w:left w:val="nil"/>
              <w:bottom w:val="single" w:color="000000" w:sz="8" w:space="0"/>
              <w:right w:val="single" w:color="000000" w:sz="8" w:space="0"/>
            </w:tcBorders>
            <w:noWrap w:val="0"/>
            <w:vAlign w:val="center"/>
          </w:tcPr>
          <w:p>
            <w:pPr>
              <w:widowControl/>
              <w:kinsoku w:val="0"/>
              <w:autoSpaceDE w:val="0"/>
              <w:autoSpaceDN w:val="0"/>
              <w:adjustRightInd w:val="0"/>
              <w:spacing w:line="240" w:lineRule="auto"/>
              <w:ind w:firstLine="0" w:firstLineChars="0"/>
              <w:jc w:val="center"/>
              <w:textAlignment w:val="center"/>
              <w:rPr>
                <w:rFonts w:hint="eastAsia" w:asciiTheme="majorEastAsia" w:hAnsiTheme="majorEastAsia" w:eastAsiaTheme="majorEastAsia" w:cstheme="majorEastAsia"/>
                <w:snapToGrid w:val="0"/>
                <w:color w:val="auto"/>
                <w:kern w:val="0"/>
                <w:sz w:val="18"/>
                <w:szCs w:val="18"/>
                <w:highlight w:val="none"/>
                <w:lang w:bidi="ar"/>
              </w:rPr>
            </w:pPr>
            <w:r>
              <w:rPr>
                <w:rFonts w:hint="eastAsia" w:ascii="Times New Roman" w:hAnsi="Times New Roman" w:eastAsia="仿宋" w:cs="Times New Roman"/>
                <w:snapToGrid w:val="0"/>
                <w:color w:val="auto"/>
                <w:kern w:val="0"/>
                <w:sz w:val="24"/>
                <w:highlight w:val="none"/>
                <w:lang w:val="en-US" w:eastAsia="zh-CN" w:bidi="ar"/>
              </w:rPr>
              <w:t>具有工程相关专业大学专科（或以上）学历，具有工作经历5年或以上。</w:t>
            </w:r>
          </w:p>
        </w:tc>
        <w:tc>
          <w:tcPr>
            <w:tcW w:w="942" w:type="dxa"/>
            <w:tcBorders>
              <w:top w:val="nil"/>
              <w:left w:val="nil"/>
              <w:bottom w:val="single" w:color="000000" w:sz="8" w:space="0"/>
              <w:right w:val="single" w:color="000000" w:sz="8" w:space="0"/>
            </w:tcBorders>
            <w:noWrap w:val="0"/>
            <w:vAlign w:val="center"/>
          </w:tcPr>
          <w:p>
            <w:pPr>
              <w:widowControl/>
              <w:kinsoku w:val="0"/>
              <w:autoSpaceDE w:val="0"/>
              <w:autoSpaceDN w:val="0"/>
              <w:adjustRightInd w:val="0"/>
              <w:spacing w:line="240" w:lineRule="auto"/>
              <w:ind w:firstLine="0" w:firstLineChars="0"/>
              <w:jc w:val="center"/>
              <w:textAlignment w:val="center"/>
              <w:rPr>
                <w:rFonts w:hint="eastAsia" w:asciiTheme="majorEastAsia" w:hAnsiTheme="majorEastAsia" w:eastAsiaTheme="majorEastAsia" w:cstheme="majorEastAsia"/>
                <w:snapToGrid w:val="0"/>
                <w:color w:val="auto"/>
                <w:kern w:val="0"/>
                <w:sz w:val="18"/>
                <w:szCs w:val="18"/>
                <w:highlight w:val="none"/>
                <w:lang w:bidi="ar"/>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35" w:hRule="atLeast"/>
        </w:trPr>
        <w:tc>
          <w:tcPr>
            <w:tcW w:w="766" w:type="dxa"/>
            <w:tcBorders>
              <w:top w:val="nil"/>
              <w:left w:val="single" w:color="000000" w:sz="8" w:space="0"/>
              <w:bottom w:val="single" w:color="000000" w:sz="8" w:space="0"/>
              <w:right w:val="single" w:color="000000" w:sz="8" w:space="0"/>
            </w:tcBorders>
            <w:noWrap w:val="0"/>
            <w:vAlign w:val="center"/>
          </w:tcPr>
          <w:p>
            <w:pPr>
              <w:widowControl/>
              <w:kinsoku w:val="0"/>
              <w:autoSpaceDE w:val="0"/>
              <w:autoSpaceDN w:val="0"/>
              <w:adjustRightInd w:val="0"/>
              <w:spacing w:line="240" w:lineRule="auto"/>
              <w:ind w:firstLine="0" w:firstLineChars="0"/>
              <w:jc w:val="center"/>
              <w:textAlignment w:val="center"/>
              <w:rPr>
                <w:rFonts w:hint="eastAsia" w:asciiTheme="majorEastAsia" w:hAnsiTheme="majorEastAsia" w:eastAsiaTheme="majorEastAsia" w:cstheme="majorEastAsia"/>
                <w:snapToGrid w:val="0"/>
                <w:color w:val="auto"/>
                <w:kern w:val="0"/>
                <w:sz w:val="18"/>
                <w:szCs w:val="18"/>
                <w:highlight w:val="none"/>
                <w:lang w:bidi="ar"/>
              </w:rPr>
            </w:pPr>
            <w:r>
              <w:rPr>
                <w:rFonts w:hint="eastAsia" w:ascii="Times New Roman" w:hAnsi="Times New Roman" w:eastAsia="仿宋" w:cs="Times New Roman"/>
                <w:snapToGrid w:val="0"/>
                <w:color w:val="auto"/>
                <w:kern w:val="0"/>
                <w:sz w:val="24"/>
                <w:highlight w:val="none"/>
                <w:lang w:val="en-US" w:eastAsia="zh-CN" w:bidi="ar"/>
              </w:rPr>
              <w:t>13</w:t>
            </w:r>
          </w:p>
        </w:tc>
        <w:tc>
          <w:tcPr>
            <w:tcW w:w="1590" w:type="dxa"/>
            <w:tcBorders>
              <w:top w:val="nil"/>
              <w:left w:val="nil"/>
              <w:bottom w:val="nil"/>
              <w:right w:val="single" w:color="000000" w:sz="8" w:space="0"/>
            </w:tcBorders>
            <w:noWrap w:val="0"/>
            <w:vAlign w:val="center"/>
          </w:tcPr>
          <w:p>
            <w:pPr>
              <w:widowControl/>
              <w:kinsoku w:val="0"/>
              <w:autoSpaceDE w:val="0"/>
              <w:autoSpaceDN w:val="0"/>
              <w:adjustRightInd w:val="0"/>
              <w:spacing w:line="240" w:lineRule="auto"/>
              <w:ind w:firstLine="0" w:firstLineChars="0"/>
              <w:jc w:val="center"/>
              <w:textAlignment w:val="center"/>
              <w:rPr>
                <w:rFonts w:hint="eastAsia" w:asciiTheme="majorEastAsia" w:hAnsiTheme="majorEastAsia" w:eastAsiaTheme="majorEastAsia" w:cstheme="majorEastAsia"/>
                <w:snapToGrid w:val="0"/>
                <w:color w:val="auto"/>
                <w:kern w:val="0"/>
                <w:sz w:val="18"/>
                <w:szCs w:val="18"/>
                <w:highlight w:val="none"/>
                <w:lang w:bidi="ar"/>
              </w:rPr>
            </w:pPr>
            <w:r>
              <w:rPr>
                <w:rFonts w:hint="eastAsia" w:ascii="Times New Roman" w:hAnsi="Times New Roman" w:eastAsia="仿宋" w:cs="Times New Roman"/>
                <w:snapToGrid w:val="0"/>
                <w:color w:val="auto"/>
                <w:kern w:val="0"/>
                <w:sz w:val="24"/>
                <w:highlight w:val="none"/>
                <w:lang w:val="en-US" w:eastAsia="zh-CN" w:bidi="ar"/>
              </w:rPr>
              <w:t>机电工程师（通风空调及给排水）</w:t>
            </w:r>
          </w:p>
        </w:tc>
        <w:tc>
          <w:tcPr>
            <w:tcW w:w="660" w:type="dxa"/>
            <w:tcBorders>
              <w:top w:val="nil"/>
              <w:left w:val="nil"/>
              <w:bottom w:val="single" w:color="000000" w:sz="8" w:space="0"/>
              <w:right w:val="single" w:color="000000" w:sz="8" w:space="0"/>
            </w:tcBorders>
            <w:noWrap w:val="0"/>
            <w:vAlign w:val="center"/>
          </w:tcPr>
          <w:p>
            <w:pPr>
              <w:widowControl/>
              <w:kinsoku w:val="0"/>
              <w:autoSpaceDE w:val="0"/>
              <w:autoSpaceDN w:val="0"/>
              <w:adjustRightInd w:val="0"/>
              <w:spacing w:line="240" w:lineRule="auto"/>
              <w:ind w:firstLine="0" w:firstLineChars="0"/>
              <w:jc w:val="center"/>
              <w:textAlignment w:val="center"/>
              <w:rPr>
                <w:rFonts w:hint="eastAsia" w:asciiTheme="majorEastAsia" w:hAnsiTheme="majorEastAsia" w:eastAsiaTheme="majorEastAsia" w:cstheme="majorEastAsia"/>
                <w:snapToGrid w:val="0"/>
                <w:color w:val="auto"/>
                <w:kern w:val="0"/>
                <w:sz w:val="18"/>
                <w:szCs w:val="18"/>
                <w:highlight w:val="none"/>
                <w:lang w:bidi="ar"/>
              </w:rPr>
            </w:pPr>
            <w:r>
              <w:rPr>
                <w:rFonts w:hint="eastAsia" w:ascii="Times New Roman" w:hAnsi="Times New Roman" w:eastAsia="仿宋" w:cs="Times New Roman"/>
                <w:snapToGrid w:val="0"/>
                <w:color w:val="auto"/>
                <w:kern w:val="0"/>
                <w:sz w:val="24"/>
                <w:highlight w:val="none"/>
                <w:lang w:val="en-US" w:eastAsia="zh-CN" w:bidi="ar"/>
              </w:rPr>
              <w:t>1</w:t>
            </w:r>
          </w:p>
        </w:tc>
        <w:tc>
          <w:tcPr>
            <w:tcW w:w="5237" w:type="dxa"/>
            <w:tcBorders>
              <w:top w:val="nil"/>
              <w:left w:val="nil"/>
              <w:bottom w:val="single" w:color="000000" w:sz="8" w:space="0"/>
              <w:right w:val="single" w:color="000000" w:sz="8" w:space="0"/>
            </w:tcBorders>
            <w:noWrap w:val="0"/>
            <w:vAlign w:val="center"/>
          </w:tcPr>
          <w:p>
            <w:pPr>
              <w:widowControl/>
              <w:kinsoku w:val="0"/>
              <w:autoSpaceDE w:val="0"/>
              <w:autoSpaceDN w:val="0"/>
              <w:adjustRightInd w:val="0"/>
              <w:spacing w:line="240" w:lineRule="auto"/>
              <w:ind w:firstLine="0" w:firstLineChars="0"/>
              <w:jc w:val="center"/>
              <w:textAlignment w:val="center"/>
              <w:rPr>
                <w:rFonts w:hint="eastAsia" w:asciiTheme="majorEastAsia" w:hAnsiTheme="majorEastAsia" w:eastAsiaTheme="majorEastAsia" w:cstheme="majorEastAsia"/>
                <w:snapToGrid w:val="0"/>
                <w:color w:val="auto"/>
                <w:kern w:val="0"/>
                <w:sz w:val="18"/>
                <w:szCs w:val="18"/>
                <w:highlight w:val="none"/>
                <w:lang w:bidi="ar"/>
              </w:rPr>
            </w:pPr>
            <w:r>
              <w:rPr>
                <w:rFonts w:hint="eastAsia" w:ascii="Times New Roman" w:hAnsi="Times New Roman" w:eastAsia="仿宋" w:cs="Times New Roman"/>
                <w:snapToGrid w:val="0"/>
                <w:color w:val="auto"/>
                <w:kern w:val="0"/>
                <w:sz w:val="24"/>
                <w:highlight w:val="none"/>
                <w:lang w:val="en-US" w:eastAsia="zh-CN" w:bidi="ar"/>
              </w:rPr>
              <w:t>具有工程相关专业大学专科（或以上）学历，具有工作经历5年或以上。</w:t>
            </w:r>
          </w:p>
        </w:tc>
        <w:tc>
          <w:tcPr>
            <w:tcW w:w="942" w:type="dxa"/>
            <w:tcBorders>
              <w:top w:val="nil"/>
              <w:left w:val="nil"/>
              <w:bottom w:val="single" w:color="000000" w:sz="8" w:space="0"/>
              <w:right w:val="single" w:color="000000" w:sz="8" w:space="0"/>
            </w:tcBorders>
            <w:noWrap w:val="0"/>
            <w:vAlign w:val="center"/>
          </w:tcPr>
          <w:p>
            <w:pPr>
              <w:widowControl/>
              <w:kinsoku w:val="0"/>
              <w:autoSpaceDE w:val="0"/>
              <w:autoSpaceDN w:val="0"/>
              <w:adjustRightInd w:val="0"/>
              <w:spacing w:line="240" w:lineRule="auto"/>
              <w:ind w:firstLine="0" w:firstLineChars="0"/>
              <w:jc w:val="center"/>
              <w:textAlignment w:val="center"/>
              <w:rPr>
                <w:rFonts w:hint="eastAsia" w:asciiTheme="majorEastAsia" w:hAnsiTheme="majorEastAsia" w:eastAsiaTheme="majorEastAsia" w:cstheme="majorEastAsia"/>
                <w:snapToGrid w:val="0"/>
                <w:color w:val="auto"/>
                <w:kern w:val="0"/>
                <w:sz w:val="18"/>
                <w:szCs w:val="18"/>
                <w:highlight w:val="none"/>
                <w:lang w:bidi="ar"/>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5" w:hRule="atLeast"/>
        </w:trPr>
        <w:tc>
          <w:tcPr>
            <w:tcW w:w="766" w:type="dxa"/>
            <w:tcBorders>
              <w:top w:val="nil"/>
              <w:left w:val="single" w:color="000000" w:sz="8" w:space="0"/>
              <w:bottom w:val="single" w:color="000000" w:sz="8" w:space="0"/>
              <w:right w:val="single" w:color="000000" w:sz="8" w:space="0"/>
            </w:tcBorders>
            <w:noWrap w:val="0"/>
            <w:vAlign w:val="center"/>
          </w:tcPr>
          <w:p>
            <w:pPr>
              <w:widowControl/>
              <w:kinsoku w:val="0"/>
              <w:autoSpaceDE w:val="0"/>
              <w:autoSpaceDN w:val="0"/>
              <w:adjustRightInd w:val="0"/>
              <w:spacing w:line="240" w:lineRule="auto"/>
              <w:ind w:firstLine="0" w:firstLineChars="0"/>
              <w:jc w:val="center"/>
              <w:textAlignment w:val="center"/>
              <w:rPr>
                <w:rFonts w:hint="eastAsia" w:asciiTheme="majorEastAsia" w:hAnsiTheme="majorEastAsia" w:eastAsiaTheme="majorEastAsia" w:cstheme="majorEastAsia"/>
                <w:snapToGrid w:val="0"/>
                <w:color w:val="auto"/>
                <w:kern w:val="0"/>
                <w:sz w:val="18"/>
                <w:szCs w:val="18"/>
                <w:highlight w:val="none"/>
                <w:lang w:bidi="ar"/>
              </w:rPr>
            </w:pPr>
            <w:r>
              <w:rPr>
                <w:rFonts w:hint="eastAsia" w:ascii="Times New Roman" w:hAnsi="Times New Roman" w:eastAsia="仿宋" w:cs="Times New Roman"/>
                <w:snapToGrid w:val="0"/>
                <w:color w:val="auto"/>
                <w:kern w:val="0"/>
                <w:sz w:val="24"/>
                <w:highlight w:val="none"/>
                <w:lang w:val="en-US" w:eastAsia="zh-CN" w:bidi="ar"/>
              </w:rPr>
              <w:t>14</w:t>
            </w:r>
          </w:p>
        </w:tc>
        <w:tc>
          <w:tcPr>
            <w:tcW w:w="1590" w:type="dxa"/>
            <w:tcBorders>
              <w:top w:val="single" w:color="000000" w:sz="8" w:space="0"/>
              <w:left w:val="nil"/>
              <w:bottom w:val="single" w:color="000000" w:sz="8" w:space="0"/>
              <w:right w:val="single" w:color="000000" w:sz="8" w:space="0"/>
            </w:tcBorders>
            <w:noWrap w:val="0"/>
            <w:vAlign w:val="center"/>
          </w:tcPr>
          <w:p>
            <w:pPr>
              <w:widowControl/>
              <w:kinsoku w:val="0"/>
              <w:autoSpaceDE w:val="0"/>
              <w:autoSpaceDN w:val="0"/>
              <w:adjustRightInd w:val="0"/>
              <w:spacing w:line="240" w:lineRule="auto"/>
              <w:ind w:firstLine="0" w:firstLineChars="0"/>
              <w:jc w:val="center"/>
              <w:textAlignment w:val="center"/>
              <w:rPr>
                <w:rFonts w:hint="eastAsia" w:asciiTheme="majorEastAsia" w:hAnsiTheme="majorEastAsia" w:eastAsiaTheme="majorEastAsia" w:cstheme="majorEastAsia"/>
                <w:snapToGrid w:val="0"/>
                <w:color w:val="auto"/>
                <w:kern w:val="0"/>
                <w:sz w:val="18"/>
                <w:szCs w:val="18"/>
                <w:highlight w:val="none"/>
                <w:lang w:bidi="ar"/>
              </w:rPr>
            </w:pPr>
            <w:r>
              <w:rPr>
                <w:rFonts w:hint="eastAsia" w:ascii="Times New Roman" w:hAnsi="Times New Roman" w:eastAsia="仿宋" w:cs="Times New Roman"/>
                <w:snapToGrid w:val="0"/>
                <w:color w:val="auto"/>
                <w:kern w:val="0"/>
                <w:sz w:val="24"/>
                <w:highlight w:val="none"/>
                <w:lang w:val="en-US" w:eastAsia="zh-CN" w:bidi="ar"/>
              </w:rPr>
              <w:t>弱电智能化工程师</w:t>
            </w:r>
          </w:p>
        </w:tc>
        <w:tc>
          <w:tcPr>
            <w:tcW w:w="660" w:type="dxa"/>
            <w:tcBorders>
              <w:top w:val="nil"/>
              <w:left w:val="nil"/>
              <w:bottom w:val="single" w:color="000000" w:sz="8" w:space="0"/>
              <w:right w:val="single" w:color="000000" w:sz="8" w:space="0"/>
            </w:tcBorders>
            <w:noWrap w:val="0"/>
            <w:vAlign w:val="center"/>
          </w:tcPr>
          <w:p>
            <w:pPr>
              <w:widowControl/>
              <w:kinsoku w:val="0"/>
              <w:autoSpaceDE w:val="0"/>
              <w:autoSpaceDN w:val="0"/>
              <w:adjustRightInd w:val="0"/>
              <w:spacing w:line="240" w:lineRule="auto"/>
              <w:ind w:firstLine="0" w:firstLineChars="0"/>
              <w:jc w:val="center"/>
              <w:textAlignment w:val="center"/>
              <w:rPr>
                <w:rFonts w:hint="eastAsia" w:asciiTheme="majorEastAsia" w:hAnsiTheme="majorEastAsia" w:eastAsiaTheme="majorEastAsia" w:cstheme="majorEastAsia"/>
                <w:snapToGrid w:val="0"/>
                <w:color w:val="auto"/>
                <w:kern w:val="0"/>
                <w:sz w:val="18"/>
                <w:szCs w:val="18"/>
                <w:highlight w:val="none"/>
                <w:lang w:bidi="ar"/>
              </w:rPr>
            </w:pPr>
            <w:r>
              <w:rPr>
                <w:rFonts w:hint="eastAsia" w:ascii="Times New Roman" w:hAnsi="Times New Roman" w:eastAsia="仿宋" w:cs="Times New Roman"/>
                <w:snapToGrid w:val="0"/>
                <w:color w:val="auto"/>
                <w:kern w:val="0"/>
                <w:sz w:val="24"/>
                <w:highlight w:val="none"/>
                <w:lang w:val="en-US" w:eastAsia="zh-CN" w:bidi="ar"/>
              </w:rPr>
              <w:t>1</w:t>
            </w:r>
          </w:p>
        </w:tc>
        <w:tc>
          <w:tcPr>
            <w:tcW w:w="5237" w:type="dxa"/>
            <w:tcBorders>
              <w:top w:val="nil"/>
              <w:left w:val="nil"/>
              <w:bottom w:val="single" w:color="000000" w:sz="8" w:space="0"/>
              <w:right w:val="single" w:color="000000" w:sz="8" w:space="0"/>
            </w:tcBorders>
            <w:noWrap w:val="0"/>
            <w:vAlign w:val="center"/>
          </w:tcPr>
          <w:p>
            <w:pPr>
              <w:widowControl/>
              <w:kinsoku w:val="0"/>
              <w:autoSpaceDE w:val="0"/>
              <w:autoSpaceDN w:val="0"/>
              <w:adjustRightInd w:val="0"/>
              <w:spacing w:line="240" w:lineRule="auto"/>
              <w:ind w:firstLine="0" w:firstLineChars="0"/>
              <w:jc w:val="center"/>
              <w:textAlignment w:val="center"/>
              <w:rPr>
                <w:rFonts w:hint="eastAsia" w:asciiTheme="majorEastAsia" w:hAnsiTheme="majorEastAsia" w:eastAsiaTheme="majorEastAsia" w:cstheme="majorEastAsia"/>
                <w:snapToGrid w:val="0"/>
                <w:color w:val="auto"/>
                <w:kern w:val="0"/>
                <w:sz w:val="18"/>
                <w:szCs w:val="18"/>
                <w:highlight w:val="none"/>
                <w:lang w:bidi="ar"/>
              </w:rPr>
            </w:pPr>
            <w:r>
              <w:rPr>
                <w:rFonts w:hint="eastAsia" w:ascii="Times New Roman" w:hAnsi="Times New Roman" w:eastAsia="仿宋" w:cs="Times New Roman"/>
                <w:snapToGrid w:val="0"/>
                <w:color w:val="auto"/>
                <w:kern w:val="0"/>
                <w:sz w:val="24"/>
                <w:highlight w:val="none"/>
                <w:lang w:val="en-US" w:eastAsia="zh-CN" w:bidi="ar"/>
              </w:rPr>
              <w:t>具有工程相关专业大学专科（或以上）学历，具有工作经历5年或以上。</w:t>
            </w:r>
          </w:p>
        </w:tc>
        <w:tc>
          <w:tcPr>
            <w:tcW w:w="942" w:type="dxa"/>
            <w:tcBorders>
              <w:top w:val="nil"/>
              <w:left w:val="nil"/>
              <w:bottom w:val="single" w:color="000000" w:sz="8" w:space="0"/>
              <w:right w:val="single" w:color="000000" w:sz="8" w:space="0"/>
            </w:tcBorders>
            <w:noWrap w:val="0"/>
            <w:vAlign w:val="center"/>
          </w:tcPr>
          <w:p>
            <w:pPr>
              <w:widowControl/>
              <w:kinsoku w:val="0"/>
              <w:autoSpaceDE w:val="0"/>
              <w:autoSpaceDN w:val="0"/>
              <w:adjustRightInd w:val="0"/>
              <w:spacing w:line="240" w:lineRule="auto"/>
              <w:ind w:firstLine="0" w:firstLineChars="0"/>
              <w:jc w:val="center"/>
              <w:textAlignment w:val="center"/>
              <w:rPr>
                <w:rFonts w:hint="eastAsia" w:asciiTheme="majorEastAsia" w:hAnsiTheme="majorEastAsia" w:eastAsiaTheme="majorEastAsia" w:cstheme="majorEastAsia"/>
                <w:snapToGrid w:val="0"/>
                <w:color w:val="auto"/>
                <w:kern w:val="0"/>
                <w:sz w:val="18"/>
                <w:szCs w:val="18"/>
                <w:highlight w:val="none"/>
                <w:lang w:bidi="ar"/>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5" w:hRule="atLeast"/>
        </w:trPr>
        <w:tc>
          <w:tcPr>
            <w:tcW w:w="766" w:type="dxa"/>
            <w:tcBorders>
              <w:top w:val="nil"/>
              <w:left w:val="single" w:color="000000" w:sz="8" w:space="0"/>
              <w:bottom w:val="single" w:color="000000" w:sz="8" w:space="0"/>
              <w:right w:val="single" w:color="000000" w:sz="8" w:space="0"/>
            </w:tcBorders>
            <w:noWrap w:val="0"/>
            <w:vAlign w:val="center"/>
          </w:tcPr>
          <w:p>
            <w:pPr>
              <w:widowControl/>
              <w:kinsoku w:val="0"/>
              <w:autoSpaceDE w:val="0"/>
              <w:autoSpaceDN w:val="0"/>
              <w:adjustRightInd w:val="0"/>
              <w:spacing w:line="240" w:lineRule="auto"/>
              <w:ind w:firstLine="0" w:firstLineChars="0"/>
              <w:jc w:val="center"/>
              <w:textAlignment w:val="center"/>
              <w:rPr>
                <w:rFonts w:hint="eastAsia" w:asciiTheme="majorEastAsia" w:hAnsiTheme="majorEastAsia" w:eastAsiaTheme="majorEastAsia" w:cstheme="majorEastAsia"/>
                <w:snapToGrid w:val="0"/>
                <w:color w:val="auto"/>
                <w:kern w:val="0"/>
                <w:sz w:val="18"/>
                <w:szCs w:val="18"/>
                <w:highlight w:val="none"/>
                <w:lang w:bidi="ar"/>
              </w:rPr>
            </w:pPr>
            <w:r>
              <w:rPr>
                <w:rFonts w:hint="eastAsia" w:ascii="Times New Roman" w:hAnsi="Times New Roman" w:eastAsia="仿宋" w:cs="Times New Roman"/>
                <w:snapToGrid w:val="0"/>
                <w:color w:val="auto"/>
                <w:kern w:val="0"/>
                <w:sz w:val="24"/>
                <w:highlight w:val="none"/>
                <w:lang w:val="en-US" w:eastAsia="zh-CN" w:bidi="ar"/>
              </w:rPr>
              <w:t>15</w:t>
            </w:r>
          </w:p>
        </w:tc>
        <w:tc>
          <w:tcPr>
            <w:tcW w:w="1590" w:type="dxa"/>
            <w:tcBorders>
              <w:top w:val="nil"/>
              <w:left w:val="nil"/>
              <w:bottom w:val="single" w:color="000000" w:sz="8" w:space="0"/>
              <w:right w:val="single" w:color="000000" w:sz="8" w:space="0"/>
            </w:tcBorders>
            <w:noWrap w:val="0"/>
            <w:vAlign w:val="center"/>
          </w:tcPr>
          <w:p>
            <w:pPr>
              <w:widowControl/>
              <w:kinsoku w:val="0"/>
              <w:autoSpaceDE w:val="0"/>
              <w:autoSpaceDN w:val="0"/>
              <w:adjustRightInd w:val="0"/>
              <w:spacing w:line="240" w:lineRule="auto"/>
              <w:ind w:firstLine="0" w:firstLineChars="0"/>
              <w:jc w:val="center"/>
              <w:textAlignment w:val="center"/>
              <w:rPr>
                <w:rFonts w:hint="eastAsia" w:asciiTheme="majorEastAsia" w:hAnsiTheme="majorEastAsia" w:eastAsiaTheme="majorEastAsia" w:cstheme="majorEastAsia"/>
                <w:snapToGrid w:val="0"/>
                <w:color w:val="auto"/>
                <w:kern w:val="0"/>
                <w:sz w:val="18"/>
                <w:szCs w:val="18"/>
                <w:highlight w:val="none"/>
                <w:lang w:bidi="ar"/>
              </w:rPr>
            </w:pPr>
            <w:r>
              <w:rPr>
                <w:rFonts w:hint="eastAsia" w:ascii="Times New Roman" w:hAnsi="Times New Roman" w:eastAsia="仿宋" w:cs="Times New Roman"/>
                <w:snapToGrid w:val="0"/>
                <w:color w:val="auto"/>
                <w:kern w:val="0"/>
                <w:sz w:val="24"/>
                <w:highlight w:val="none"/>
                <w:lang w:val="en-US" w:eastAsia="zh-CN" w:bidi="ar"/>
              </w:rPr>
              <w:t>BIM工程师</w:t>
            </w:r>
          </w:p>
        </w:tc>
        <w:tc>
          <w:tcPr>
            <w:tcW w:w="660" w:type="dxa"/>
            <w:tcBorders>
              <w:top w:val="nil"/>
              <w:left w:val="nil"/>
              <w:bottom w:val="single" w:color="000000" w:sz="8" w:space="0"/>
              <w:right w:val="single" w:color="000000" w:sz="8" w:space="0"/>
            </w:tcBorders>
            <w:noWrap w:val="0"/>
            <w:vAlign w:val="center"/>
          </w:tcPr>
          <w:p>
            <w:pPr>
              <w:widowControl/>
              <w:kinsoku w:val="0"/>
              <w:autoSpaceDE w:val="0"/>
              <w:autoSpaceDN w:val="0"/>
              <w:adjustRightInd w:val="0"/>
              <w:spacing w:line="240" w:lineRule="auto"/>
              <w:ind w:firstLine="0" w:firstLineChars="0"/>
              <w:jc w:val="center"/>
              <w:textAlignment w:val="center"/>
              <w:rPr>
                <w:rFonts w:hint="eastAsia" w:asciiTheme="majorEastAsia" w:hAnsiTheme="majorEastAsia" w:eastAsiaTheme="majorEastAsia" w:cstheme="majorEastAsia"/>
                <w:snapToGrid w:val="0"/>
                <w:color w:val="auto"/>
                <w:kern w:val="0"/>
                <w:sz w:val="18"/>
                <w:szCs w:val="18"/>
                <w:highlight w:val="none"/>
                <w:lang w:bidi="ar"/>
              </w:rPr>
            </w:pPr>
            <w:r>
              <w:rPr>
                <w:rFonts w:hint="eastAsia" w:ascii="Times New Roman" w:hAnsi="Times New Roman" w:eastAsia="仿宋" w:cs="Times New Roman"/>
                <w:snapToGrid w:val="0"/>
                <w:color w:val="auto"/>
                <w:kern w:val="0"/>
                <w:sz w:val="24"/>
                <w:highlight w:val="none"/>
                <w:lang w:val="en-US" w:eastAsia="zh-CN" w:bidi="ar"/>
              </w:rPr>
              <w:t>1</w:t>
            </w:r>
          </w:p>
        </w:tc>
        <w:tc>
          <w:tcPr>
            <w:tcW w:w="5237" w:type="dxa"/>
            <w:tcBorders>
              <w:top w:val="nil"/>
              <w:left w:val="nil"/>
              <w:bottom w:val="single" w:color="000000" w:sz="8" w:space="0"/>
              <w:right w:val="single" w:color="000000" w:sz="8" w:space="0"/>
            </w:tcBorders>
            <w:noWrap w:val="0"/>
            <w:vAlign w:val="center"/>
          </w:tcPr>
          <w:p>
            <w:pPr>
              <w:widowControl/>
              <w:kinsoku w:val="0"/>
              <w:autoSpaceDE w:val="0"/>
              <w:autoSpaceDN w:val="0"/>
              <w:adjustRightInd w:val="0"/>
              <w:spacing w:line="240" w:lineRule="auto"/>
              <w:ind w:firstLine="0" w:firstLineChars="0"/>
              <w:jc w:val="center"/>
              <w:textAlignment w:val="center"/>
              <w:rPr>
                <w:rFonts w:hint="eastAsia" w:asciiTheme="majorEastAsia" w:hAnsiTheme="majorEastAsia" w:eastAsiaTheme="majorEastAsia" w:cstheme="majorEastAsia"/>
                <w:snapToGrid w:val="0"/>
                <w:color w:val="auto"/>
                <w:kern w:val="0"/>
                <w:sz w:val="18"/>
                <w:szCs w:val="18"/>
                <w:highlight w:val="none"/>
                <w:lang w:bidi="ar"/>
              </w:rPr>
            </w:pPr>
            <w:r>
              <w:rPr>
                <w:rFonts w:hint="eastAsia" w:ascii="Times New Roman" w:hAnsi="Times New Roman" w:eastAsia="仿宋" w:cs="Times New Roman"/>
                <w:snapToGrid w:val="0"/>
                <w:color w:val="auto"/>
                <w:kern w:val="0"/>
                <w:sz w:val="24"/>
                <w:highlight w:val="none"/>
                <w:lang w:val="en-US" w:eastAsia="zh-CN" w:bidi="ar"/>
              </w:rPr>
              <w:t>具有工程相关专业大学专科（或以上）学历，具有工作经历5年或以上。</w:t>
            </w:r>
          </w:p>
        </w:tc>
        <w:tc>
          <w:tcPr>
            <w:tcW w:w="942" w:type="dxa"/>
            <w:tcBorders>
              <w:top w:val="nil"/>
              <w:left w:val="nil"/>
              <w:bottom w:val="single" w:color="000000" w:sz="8" w:space="0"/>
              <w:right w:val="single" w:color="000000" w:sz="8" w:space="0"/>
            </w:tcBorders>
            <w:noWrap w:val="0"/>
            <w:vAlign w:val="center"/>
          </w:tcPr>
          <w:p>
            <w:pPr>
              <w:widowControl/>
              <w:kinsoku w:val="0"/>
              <w:autoSpaceDE w:val="0"/>
              <w:autoSpaceDN w:val="0"/>
              <w:adjustRightInd w:val="0"/>
              <w:spacing w:line="240" w:lineRule="auto"/>
              <w:ind w:firstLine="0" w:firstLineChars="0"/>
              <w:jc w:val="center"/>
              <w:textAlignment w:val="center"/>
              <w:rPr>
                <w:rFonts w:hint="eastAsia" w:asciiTheme="majorEastAsia" w:hAnsiTheme="majorEastAsia" w:eastAsiaTheme="majorEastAsia" w:cstheme="majorEastAsia"/>
                <w:snapToGrid w:val="0"/>
                <w:color w:val="auto"/>
                <w:kern w:val="0"/>
                <w:sz w:val="18"/>
                <w:szCs w:val="18"/>
                <w:highlight w:val="none"/>
                <w:lang w:bidi="ar"/>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5" w:hRule="atLeast"/>
        </w:trPr>
        <w:tc>
          <w:tcPr>
            <w:tcW w:w="766" w:type="dxa"/>
            <w:tcBorders>
              <w:top w:val="nil"/>
              <w:left w:val="single" w:color="000000" w:sz="8" w:space="0"/>
              <w:bottom w:val="single" w:color="000000" w:sz="8" w:space="0"/>
              <w:right w:val="single" w:color="000000" w:sz="8" w:space="0"/>
            </w:tcBorders>
            <w:noWrap w:val="0"/>
            <w:vAlign w:val="center"/>
          </w:tcPr>
          <w:p>
            <w:pPr>
              <w:widowControl/>
              <w:kinsoku w:val="0"/>
              <w:autoSpaceDE w:val="0"/>
              <w:autoSpaceDN w:val="0"/>
              <w:adjustRightInd w:val="0"/>
              <w:spacing w:line="240" w:lineRule="auto"/>
              <w:ind w:firstLine="0" w:firstLineChars="0"/>
              <w:jc w:val="center"/>
              <w:textAlignment w:val="center"/>
              <w:rPr>
                <w:rFonts w:hint="eastAsia" w:asciiTheme="majorEastAsia" w:hAnsiTheme="majorEastAsia" w:eastAsiaTheme="majorEastAsia" w:cstheme="majorEastAsia"/>
                <w:snapToGrid w:val="0"/>
                <w:color w:val="auto"/>
                <w:kern w:val="0"/>
                <w:sz w:val="18"/>
                <w:szCs w:val="18"/>
                <w:highlight w:val="none"/>
                <w:lang w:bidi="ar"/>
              </w:rPr>
            </w:pPr>
            <w:r>
              <w:rPr>
                <w:rFonts w:hint="eastAsia" w:ascii="Times New Roman" w:hAnsi="Times New Roman" w:eastAsia="仿宋" w:cs="Times New Roman"/>
                <w:snapToGrid w:val="0"/>
                <w:color w:val="auto"/>
                <w:kern w:val="0"/>
                <w:sz w:val="24"/>
                <w:highlight w:val="none"/>
                <w:lang w:val="en-US" w:eastAsia="zh-CN" w:bidi="ar"/>
              </w:rPr>
              <w:t>16</w:t>
            </w:r>
          </w:p>
        </w:tc>
        <w:tc>
          <w:tcPr>
            <w:tcW w:w="1590" w:type="dxa"/>
            <w:tcBorders>
              <w:top w:val="nil"/>
              <w:left w:val="nil"/>
              <w:bottom w:val="single" w:color="000000" w:sz="8" w:space="0"/>
              <w:right w:val="single" w:color="000000" w:sz="8" w:space="0"/>
            </w:tcBorders>
            <w:noWrap w:val="0"/>
            <w:vAlign w:val="center"/>
          </w:tcPr>
          <w:p>
            <w:pPr>
              <w:widowControl/>
              <w:kinsoku w:val="0"/>
              <w:autoSpaceDE w:val="0"/>
              <w:autoSpaceDN w:val="0"/>
              <w:adjustRightInd w:val="0"/>
              <w:spacing w:line="240" w:lineRule="auto"/>
              <w:ind w:firstLine="0" w:firstLineChars="0"/>
              <w:jc w:val="center"/>
              <w:textAlignment w:val="center"/>
              <w:rPr>
                <w:rFonts w:hint="eastAsia" w:asciiTheme="majorEastAsia" w:hAnsiTheme="majorEastAsia" w:eastAsiaTheme="majorEastAsia" w:cstheme="majorEastAsia"/>
                <w:snapToGrid w:val="0"/>
                <w:color w:val="auto"/>
                <w:kern w:val="0"/>
                <w:sz w:val="18"/>
                <w:szCs w:val="18"/>
                <w:highlight w:val="none"/>
                <w:lang w:bidi="ar"/>
              </w:rPr>
            </w:pPr>
            <w:r>
              <w:rPr>
                <w:rFonts w:hint="eastAsia" w:ascii="Times New Roman" w:hAnsi="Times New Roman" w:eastAsia="仿宋" w:cs="Times New Roman"/>
                <w:snapToGrid w:val="0"/>
                <w:color w:val="auto"/>
                <w:kern w:val="0"/>
                <w:sz w:val="24"/>
                <w:highlight w:val="none"/>
                <w:lang w:val="en-US" w:eastAsia="zh-CN" w:bidi="ar"/>
              </w:rPr>
              <w:t>材料工程师</w:t>
            </w:r>
          </w:p>
        </w:tc>
        <w:tc>
          <w:tcPr>
            <w:tcW w:w="660" w:type="dxa"/>
            <w:tcBorders>
              <w:top w:val="nil"/>
              <w:left w:val="nil"/>
              <w:bottom w:val="single" w:color="000000" w:sz="8" w:space="0"/>
              <w:right w:val="single" w:color="000000" w:sz="8" w:space="0"/>
            </w:tcBorders>
            <w:noWrap w:val="0"/>
            <w:vAlign w:val="center"/>
          </w:tcPr>
          <w:p>
            <w:pPr>
              <w:widowControl/>
              <w:kinsoku w:val="0"/>
              <w:autoSpaceDE w:val="0"/>
              <w:autoSpaceDN w:val="0"/>
              <w:adjustRightInd w:val="0"/>
              <w:spacing w:line="240" w:lineRule="auto"/>
              <w:ind w:firstLine="0" w:firstLineChars="0"/>
              <w:jc w:val="center"/>
              <w:textAlignment w:val="center"/>
              <w:rPr>
                <w:rFonts w:hint="eastAsia" w:asciiTheme="majorEastAsia" w:hAnsiTheme="majorEastAsia" w:eastAsiaTheme="majorEastAsia" w:cstheme="majorEastAsia"/>
                <w:snapToGrid w:val="0"/>
                <w:color w:val="auto"/>
                <w:kern w:val="0"/>
                <w:sz w:val="18"/>
                <w:szCs w:val="18"/>
                <w:highlight w:val="none"/>
                <w:lang w:bidi="ar"/>
              </w:rPr>
            </w:pPr>
            <w:r>
              <w:rPr>
                <w:rFonts w:hint="eastAsia" w:ascii="Times New Roman" w:hAnsi="Times New Roman" w:eastAsia="仿宋" w:cs="Times New Roman"/>
                <w:snapToGrid w:val="0"/>
                <w:color w:val="auto"/>
                <w:kern w:val="0"/>
                <w:sz w:val="24"/>
                <w:highlight w:val="none"/>
                <w:lang w:val="en-US" w:eastAsia="zh-CN" w:bidi="ar"/>
              </w:rPr>
              <w:t>1</w:t>
            </w:r>
          </w:p>
        </w:tc>
        <w:tc>
          <w:tcPr>
            <w:tcW w:w="5237" w:type="dxa"/>
            <w:tcBorders>
              <w:top w:val="nil"/>
              <w:left w:val="nil"/>
              <w:bottom w:val="single" w:color="000000" w:sz="8" w:space="0"/>
              <w:right w:val="single" w:color="000000" w:sz="8" w:space="0"/>
            </w:tcBorders>
            <w:noWrap w:val="0"/>
            <w:vAlign w:val="center"/>
          </w:tcPr>
          <w:p>
            <w:pPr>
              <w:widowControl/>
              <w:kinsoku w:val="0"/>
              <w:autoSpaceDE w:val="0"/>
              <w:autoSpaceDN w:val="0"/>
              <w:adjustRightInd w:val="0"/>
              <w:spacing w:line="240" w:lineRule="auto"/>
              <w:ind w:firstLine="0" w:firstLineChars="0"/>
              <w:jc w:val="center"/>
              <w:textAlignment w:val="center"/>
              <w:rPr>
                <w:rFonts w:hint="eastAsia" w:asciiTheme="majorEastAsia" w:hAnsiTheme="majorEastAsia" w:eastAsiaTheme="majorEastAsia" w:cstheme="majorEastAsia"/>
                <w:snapToGrid w:val="0"/>
                <w:color w:val="auto"/>
                <w:kern w:val="0"/>
                <w:sz w:val="18"/>
                <w:szCs w:val="18"/>
                <w:highlight w:val="none"/>
                <w:lang w:bidi="ar"/>
              </w:rPr>
            </w:pPr>
            <w:r>
              <w:rPr>
                <w:rFonts w:hint="eastAsia" w:ascii="Times New Roman" w:hAnsi="Times New Roman" w:eastAsia="仿宋" w:cs="Times New Roman"/>
                <w:snapToGrid w:val="0"/>
                <w:color w:val="auto"/>
                <w:kern w:val="0"/>
                <w:sz w:val="24"/>
                <w:highlight w:val="none"/>
                <w:lang w:val="en-US" w:eastAsia="zh-CN" w:bidi="ar"/>
              </w:rPr>
              <w:t>具有工程相关专业大学专科（或以上）学历，具有工作经历5年或以上。</w:t>
            </w:r>
          </w:p>
        </w:tc>
        <w:tc>
          <w:tcPr>
            <w:tcW w:w="942" w:type="dxa"/>
            <w:tcBorders>
              <w:top w:val="nil"/>
              <w:left w:val="nil"/>
              <w:bottom w:val="single" w:color="000000" w:sz="8" w:space="0"/>
              <w:right w:val="single" w:color="000000" w:sz="8" w:space="0"/>
            </w:tcBorders>
            <w:noWrap w:val="0"/>
            <w:vAlign w:val="center"/>
          </w:tcPr>
          <w:p>
            <w:pPr>
              <w:widowControl/>
              <w:kinsoku w:val="0"/>
              <w:autoSpaceDE w:val="0"/>
              <w:autoSpaceDN w:val="0"/>
              <w:adjustRightInd w:val="0"/>
              <w:spacing w:line="240" w:lineRule="auto"/>
              <w:ind w:firstLine="0" w:firstLineChars="0"/>
              <w:jc w:val="center"/>
              <w:textAlignment w:val="center"/>
              <w:rPr>
                <w:rFonts w:hint="eastAsia" w:asciiTheme="majorEastAsia" w:hAnsiTheme="majorEastAsia" w:eastAsiaTheme="majorEastAsia" w:cstheme="majorEastAsia"/>
                <w:snapToGrid w:val="0"/>
                <w:color w:val="auto"/>
                <w:kern w:val="0"/>
                <w:sz w:val="18"/>
                <w:szCs w:val="18"/>
                <w:highlight w:val="none"/>
                <w:lang w:bidi="ar"/>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5" w:hRule="atLeast"/>
        </w:trPr>
        <w:tc>
          <w:tcPr>
            <w:tcW w:w="766" w:type="dxa"/>
            <w:tcBorders>
              <w:top w:val="nil"/>
              <w:left w:val="single" w:color="000000" w:sz="8" w:space="0"/>
              <w:bottom w:val="single" w:color="000000" w:sz="8" w:space="0"/>
              <w:right w:val="single" w:color="000000" w:sz="8" w:space="0"/>
            </w:tcBorders>
            <w:noWrap w:val="0"/>
            <w:vAlign w:val="center"/>
          </w:tcPr>
          <w:p>
            <w:pPr>
              <w:widowControl/>
              <w:kinsoku w:val="0"/>
              <w:autoSpaceDE w:val="0"/>
              <w:autoSpaceDN w:val="0"/>
              <w:adjustRightInd w:val="0"/>
              <w:spacing w:line="240" w:lineRule="auto"/>
              <w:ind w:firstLine="0" w:firstLineChars="0"/>
              <w:jc w:val="center"/>
              <w:textAlignment w:val="center"/>
              <w:rPr>
                <w:rFonts w:hint="eastAsia" w:asciiTheme="majorEastAsia" w:hAnsiTheme="majorEastAsia" w:eastAsiaTheme="majorEastAsia" w:cstheme="majorEastAsia"/>
                <w:snapToGrid w:val="0"/>
                <w:color w:val="auto"/>
                <w:kern w:val="0"/>
                <w:sz w:val="18"/>
                <w:szCs w:val="18"/>
                <w:highlight w:val="none"/>
                <w:lang w:bidi="ar"/>
              </w:rPr>
            </w:pPr>
            <w:r>
              <w:rPr>
                <w:rFonts w:hint="eastAsia" w:ascii="Times New Roman" w:hAnsi="Times New Roman" w:eastAsia="仿宋" w:cs="Times New Roman"/>
                <w:snapToGrid w:val="0"/>
                <w:color w:val="auto"/>
                <w:kern w:val="0"/>
                <w:sz w:val="24"/>
                <w:highlight w:val="none"/>
                <w:lang w:val="en-US" w:eastAsia="zh-CN" w:bidi="ar"/>
              </w:rPr>
              <w:t>17</w:t>
            </w:r>
          </w:p>
        </w:tc>
        <w:tc>
          <w:tcPr>
            <w:tcW w:w="1590" w:type="dxa"/>
            <w:tcBorders>
              <w:top w:val="nil"/>
              <w:left w:val="nil"/>
              <w:bottom w:val="single" w:color="000000" w:sz="8" w:space="0"/>
              <w:right w:val="single" w:color="000000" w:sz="8" w:space="0"/>
            </w:tcBorders>
            <w:noWrap w:val="0"/>
            <w:vAlign w:val="center"/>
          </w:tcPr>
          <w:p>
            <w:pPr>
              <w:widowControl/>
              <w:kinsoku w:val="0"/>
              <w:autoSpaceDE w:val="0"/>
              <w:autoSpaceDN w:val="0"/>
              <w:adjustRightInd w:val="0"/>
              <w:spacing w:line="240" w:lineRule="auto"/>
              <w:ind w:firstLine="0" w:firstLineChars="0"/>
              <w:jc w:val="center"/>
              <w:textAlignment w:val="center"/>
              <w:rPr>
                <w:rFonts w:hint="eastAsia" w:asciiTheme="majorEastAsia" w:hAnsiTheme="majorEastAsia" w:eastAsiaTheme="majorEastAsia" w:cstheme="majorEastAsia"/>
                <w:snapToGrid w:val="0"/>
                <w:color w:val="auto"/>
                <w:kern w:val="0"/>
                <w:sz w:val="18"/>
                <w:szCs w:val="18"/>
                <w:highlight w:val="none"/>
                <w:lang w:bidi="ar"/>
              </w:rPr>
            </w:pPr>
            <w:r>
              <w:rPr>
                <w:rFonts w:hint="eastAsia" w:ascii="Times New Roman" w:hAnsi="Times New Roman" w:eastAsia="仿宋" w:cs="Times New Roman"/>
                <w:snapToGrid w:val="0"/>
                <w:color w:val="auto"/>
                <w:kern w:val="0"/>
                <w:sz w:val="24"/>
                <w:highlight w:val="none"/>
                <w:lang w:val="en-US" w:eastAsia="zh-CN" w:bidi="ar"/>
              </w:rPr>
              <w:t>质量工程师</w:t>
            </w:r>
          </w:p>
        </w:tc>
        <w:tc>
          <w:tcPr>
            <w:tcW w:w="660" w:type="dxa"/>
            <w:tcBorders>
              <w:top w:val="nil"/>
              <w:left w:val="nil"/>
              <w:bottom w:val="single" w:color="000000" w:sz="8" w:space="0"/>
              <w:right w:val="single" w:color="000000" w:sz="8" w:space="0"/>
            </w:tcBorders>
            <w:noWrap w:val="0"/>
            <w:vAlign w:val="center"/>
          </w:tcPr>
          <w:p>
            <w:pPr>
              <w:widowControl/>
              <w:kinsoku w:val="0"/>
              <w:autoSpaceDE w:val="0"/>
              <w:autoSpaceDN w:val="0"/>
              <w:adjustRightInd w:val="0"/>
              <w:spacing w:line="240" w:lineRule="auto"/>
              <w:ind w:firstLine="0" w:firstLineChars="0"/>
              <w:jc w:val="center"/>
              <w:textAlignment w:val="center"/>
              <w:rPr>
                <w:rFonts w:hint="eastAsia" w:asciiTheme="majorEastAsia" w:hAnsiTheme="majorEastAsia" w:eastAsiaTheme="majorEastAsia" w:cstheme="majorEastAsia"/>
                <w:snapToGrid w:val="0"/>
                <w:color w:val="auto"/>
                <w:kern w:val="0"/>
                <w:sz w:val="18"/>
                <w:szCs w:val="18"/>
                <w:highlight w:val="none"/>
                <w:lang w:bidi="ar"/>
              </w:rPr>
            </w:pPr>
            <w:r>
              <w:rPr>
                <w:rFonts w:hint="eastAsia" w:ascii="Times New Roman" w:hAnsi="Times New Roman" w:eastAsia="仿宋" w:cs="Times New Roman"/>
                <w:snapToGrid w:val="0"/>
                <w:color w:val="auto"/>
                <w:kern w:val="0"/>
                <w:sz w:val="24"/>
                <w:highlight w:val="none"/>
                <w:lang w:val="en-US" w:eastAsia="zh-CN" w:bidi="ar"/>
              </w:rPr>
              <w:t>3</w:t>
            </w:r>
          </w:p>
        </w:tc>
        <w:tc>
          <w:tcPr>
            <w:tcW w:w="5237" w:type="dxa"/>
            <w:tcBorders>
              <w:top w:val="nil"/>
              <w:left w:val="nil"/>
              <w:bottom w:val="single" w:color="000000" w:sz="8" w:space="0"/>
              <w:right w:val="single" w:color="000000" w:sz="8" w:space="0"/>
            </w:tcBorders>
            <w:noWrap w:val="0"/>
            <w:vAlign w:val="center"/>
          </w:tcPr>
          <w:p>
            <w:pPr>
              <w:widowControl/>
              <w:kinsoku w:val="0"/>
              <w:autoSpaceDE w:val="0"/>
              <w:autoSpaceDN w:val="0"/>
              <w:adjustRightInd w:val="0"/>
              <w:spacing w:line="240" w:lineRule="auto"/>
              <w:ind w:firstLine="0" w:firstLineChars="0"/>
              <w:jc w:val="center"/>
              <w:textAlignment w:val="center"/>
              <w:rPr>
                <w:rFonts w:hint="eastAsia" w:asciiTheme="majorEastAsia" w:hAnsiTheme="majorEastAsia" w:eastAsiaTheme="majorEastAsia" w:cstheme="majorEastAsia"/>
                <w:snapToGrid w:val="0"/>
                <w:color w:val="auto"/>
                <w:kern w:val="0"/>
                <w:sz w:val="18"/>
                <w:szCs w:val="18"/>
                <w:highlight w:val="none"/>
                <w:lang w:bidi="ar"/>
              </w:rPr>
            </w:pPr>
            <w:r>
              <w:rPr>
                <w:rFonts w:hint="eastAsia" w:ascii="Times New Roman" w:hAnsi="Times New Roman" w:eastAsia="仿宋" w:cs="Times New Roman"/>
                <w:snapToGrid w:val="0"/>
                <w:color w:val="auto"/>
                <w:kern w:val="0"/>
                <w:sz w:val="24"/>
                <w:highlight w:val="none"/>
                <w:lang w:val="en-US" w:eastAsia="zh-CN" w:bidi="ar"/>
              </w:rPr>
              <w:t>具有质量员岗位证书或培训证。具有工作经历5年或以上。</w:t>
            </w:r>
          </w:p>
        </w:tc>
        <w:tc>
          <w:tcPr>
            <w:tcW w:w="942" w:type="dxa"/>
            <w:tcBorders>
              <w:top w:val="nil"/>
              <w:left w:val="nil"/>
              <w:bottom w:val="single" w:color="000000" w:sz="8" w:space="0"/>
              <w:right w:val="single" w:color="000000" w:sz="8" w:space="0"/>
            </w:tcBorders>
            <w:noWrap w:val="0"/>
            <w:vAlign w:val="center"/>
          </w:tcPr>
          <w:p>
            <w:pPr>
              <w:widowControl/>
              <w:kinsoku w:val="0"/>
              <w:autoSpaceDE w:val="0"/>
              <w:autoSpaceDN w:val="0"/>
              <w:adjustRightInd w:val="0"/>
              <w:spacing w:line="240" w:lineRule="auto"/>
              <w:ind w:firstLine="0" w:firstLineChars="0"/>
              <w:jc w:val="center"/>
              <w:textAlignment w:val="center"/>
              <w:rPr>
                <w:rFonts w:hint="eastAsia" w:asciiTheme="majorEastAsia" w:hAnsiTheme="majorEastAsia" w:eastAsiaTheme="majorEastAsia" w:cstheme="majorEastAsia"/>
                <w:snapToGrid w:val="0"/>
                <w:color w:val="auto"/>
                <w:kern w:val="0"/>
                <w:sz w:val="18"/>
                <w:szCs w:val="18"/>
                <w:highlight w:val="none"/>
                <w:lang w:bidi="ar"/>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766" w:type="dxa"/>
            <w:vMerge w:val="restart"/>
            <w:tcBorders>
              <w:top w:val="nil"/>
              <w:left w:val="single" w:color="000000" w:sz="8" w:space="0"/>
              <w:bottom w:val="single" w:color="000000" w:sz="8" w:space="0"/>
              <w:right w:val="single" w:color="000000" w:sz="8" w:space="0"/>
            </w:tcBorders>
            <w:noWrap w:val="0"/>
            <w:vAlign w:val="center"/>
          </w:tcPr>
          <w:p>
            <w:pPr>
              <w:widowControl/>
              <w:kinsoku w:val="0"/>
              <w:autoSpaceDE w:val="0"/>
              <w:autoSpaceDN w:val="0"/>
              <w:adjustRightInd w:val="0"/>
              <w:jc w:val="center"/>
              <w:textAlignment w:val="center"/>
              <w:rPr>
                <w:rFonts w:hint="eastAsia" w:asciiTheme="majorEastAsia" w:hAnsiTheme="majorEastAsia" w:eastAsiaTheme="majorEastAsia" w:cstheme="majorEastAsia"/>
                <w:snapToGrid w:val="0"/>
                <w:color w:val="auto"/>
                <w:kern w:val="0"/>
                <w:sz w:val="18"/>
                <w:szCs w:val="18"/>
                <w:highlight w:val="none"/>
                <w:lang w:bidi="ar"/>
              </w:rPr>
            </w:pPr>
          </w:p>
        </w:tc>
        <w:tc>
          <w:tcPr>
            <w:tcW w:w="1590" w:type="dxa"/>
            <w:vMerge w:val="restart"/>
            <w:tcBorders>
              <w:top w:val="nil"/>
              <w:left w:val="nil"/>
              <w:bottom w:val="single" w:color="000000" w:sz="8" w:space="0"/>
              <w:right w:val="single" w:color="000000" w:sz="8" w:space="0"/>
            </w:tcBorders>
            <w:noWrap w:val="0"/>
            <w:vAlign w:val="center"/>
          </w:tcPr>
          <w:p>
            <w:pPr>
              <w:widowControl/>
              <w:kinsoku w:val="0"/>
              <w:autoSpaceDE w:val="0"/>
              <w:autoSpaceDN w:val="0"/>
              <w:adjustRightInd w:val="0"/>
              <w:jc w:val="center"/>
              <w:textAlignment w:val="center"/>
              <w:rPr>
                <w:rFonts w:hint="eastAsia" w:asciiTheme="majorEastAsia" w:hAnsiTheme="majorEastAsia" w:eastAsiaTheme="majorEastAsia" w:cstheme="majorEastAsia"/>
                <w:snapToGrid w:val="0"/>
                <w:color w:val="auto"/>
                <w:kern w:val="0"/>
                <w:sz w:val="18"/>
                <w:szCs w:val="18"/>
                <w:highlight w:val="none"/>
                <w:lang w:bidi="ar"/>
              </w:rPr>
            </w:pPr>
            <w:r>
              <w:rPr>
                <w:rFonts w:hint="eastAsia" w:asciiTheme="majorEastAsia" w:hAnsiTheme="majorEastAsia" w:eastAsiaTheme="majorEastAsia" w:cstheme="majorEastAsia"/>
                <w:snapToGrid w:val="0"/>
                <w:color w:val="auto"/>
                <w:kern w:val="0"/>
                <w:sz w:val="18"/>
                <w:szCs w:val="18"/>
                <w:highlight w:val="none"/>
                <w:lang w:val="en-US" w:eastAsia="zh-CN" w:bidi="ar"/>
              </w:rPr>
              <w:t>小计</w:t>
            </w:r>
          </w:p>
        </w:tc>
        <w:tc>
          <w:tcPr>
            <w:tcW w:w="660" w:type="dxa"/>
            <w:vMerge w:val="restart"/>
            <w:tcBorders>
              <w:top w:val="nil"/>
              <w:left w:val="nil"/>
              <w:bottom w:val="single" w:color="000000" w:sz="8" w:space="0"/>
              <w:right w:val="single" w:color="000000" w:sz="8" w:space="0"/>
            </w:tcBorders>
            <w:noWrap w:val="0"/>
            <w:vAlign w:val="center"/>
          </w:tcPr>
          <w:p>
            <w:pPr>
              <w:widowControl/>
              <w:kinsoku w:val="0"/>
              <w:autoSpaceDE w:val="0"/>
              <w:autoSpaceDN w:val="0"/>
              <w:adjustRightInd w:val="0"/>
              <w:ind w:left="0" w:leftChars="0" w:firstLine="0" w:firstLineChars="0"/>
              <w:jc w:val="both"/>
              <w:textAlignment w:val="center"/>
              <w:rPr>
                <w:rFonts w:hint="eastAsia" w:asciiTheme="majorEastAsia" w:hAnsiTheme="majorEastAsia" w:eastAsiaTheme="majorEastAsia" w:cstheme="majorEastAsia"/>
                <w:snapToGrid w:val="0"/>
                <w:color w:val="auto"/>
                <w:kern w:val="0"/>
                <w:sz w:val="18"/>
                <w:szCs w:val="18"/>
                <w:highlight w:val="none"/>
                <w:lang w:bidi="ar"/>
              </w:rPr>
            </w:pPr>
            <w:r>
              <w:rPr>
                <w:rFonts w:hint="eastAsia" w:asciiTheme="majorEastAsia" w:hAnsiTheme="majorEastAsia" w:eastAsiaTheme="majorEastAsia" w:cstheme="majorEastAsia"/>
                <w:snapToGrid w:val="0"/>
                <w:color w:val="auto"/>
                <w:kern w:val="0"/>
                <w:sz w:val="18"/>
                <w:szCs w:val="18"/>
                <w:highlight w:val="none"/>
                <w:lang w:val="en-US" w:eastAsia="zh-CN" w:bidi="ar"/>
              </w:rPr>
              <w:t>31</w:t>
            </w:r>
          </w:p>
        </w:tc>
        <w:tc>
          <w:tcPr>
            <w:tcW w:w="5237" w:type="dxa"/>
            <w:vMerge w:val="restart"/>
            <w:tcBorders>
              <w:top w:val="nil"/>
              <w:left w:val="nil"/>
              <w:bottom w:val="single" w:color="000000" w:sz="8" w:space="0"/>
              <w:right w:val="single" w:color="000000" w:sz="8" w:space="0"/>
            </w:tcBorders>
            <w:noWrap w:val="0"/>
            <w:vAlign w:val="center"/>
          </w:tcPr>
          <w:p>
            <w:pPr>
              <w:widowControl/>
              <w:kinsoku w:val="0"/>
              <w:autoSpaceDE w:val="0"/>
              <w:autoSpaceDN w:val="0"/>
              <w:adjustRightInd w:val="0"/>
              <w:jc w:val="center"/>
              <w:textAlignment w:val="center"/>
              <w:rPr>
                <w:rFonts w:hint="eastAsia" w:asciiTheme="majorEastAsia" w:hAnsiTheme="majorEastAsia" w:eastAsiaTheme="majorEastAsia" w:cstheme="majorEastAsia"/>
                <w:snapToGrid w:val="0"/>
                <w:color w:val="auto"/>
                <w:kern w:val="0"/>
                <w:sz w:val="18"/>
                <w:szCs w:val="18"/>
                <w:highlight w:val="none"/>
                <w:lang w:bidi="ar"/>
              </w:rPr>
            </w:pPr>
          </w:p>
        </w:tc>
        <w:tc>
          <w:tcPr>
            <w:tcW w:w="942" w:type="dxa"/>
            <w:vMerge w:val="restart"/>
            <w:tcBorders>
              <w:top w:val="nil"/>
              <w:left w:val="nil"/>
              <w:bottom w:val="single" w:color="000000" w:sz="8" w:space="0"/>
              <w:right w:val="single" w:color="000000" w:sz="8" w:space="0"/>
            </w:tcBorders>
            <w:noWrap/>
            <w:vAlign w:val="center"/>
          </w:tcPr>
          <w:p>
            <w:pPr>
              <w:widowControl/>
              <w:kinsoku w:val="0"/>
              <w:autoSpaceDE w:val="0"/>
              <w:autoSpaceDN w:val="0"/>
              <w:adjustRightInd w:val="0"/>
              <w:jc w:val="center"/>
              <w:textAlignment w:val="center"/>
              <w:rPr>
                <w:rFonts w:hint="eastAsia" w:asciiTheme="majorEastAsia" w:hAnsiTheme="majorEastAsia" w:eastAsiaTheme="majorEastAsia" w:cstheme="majorEastAsia"/>
                <w:snapToGrid w:val="0"/>
                <w:color w:val="auto"/>
                <w:kern w:val="0"/>
                <w:sz w:val="18"/>
                <w:szCs w:val="18"/>
                <w:highlight w:val="none"/>
                <w:lang w:bidi="ar"/>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766" w:type="dxa"/>
            <w:vMerge w:val="continue"/>
            <w:tcBorders>
              <w:top w:val="nil"/>
              <w:left w:val="single" w:color="000000" w:sz="8" w:space="0"/>
              <w:bottom w:val="single" w:color="000000" w:sz="8" w:space="0"/>
              <w:right w:val="single" w:color="000000" w:sz="8" w:space="0"/>
            </w:tcBorders>
            <w:noWrap w:val="0"/>
            <w:vAlign w:val="center"/>
          </w:tcPr>
          <w:p>
            <w:pPr>
              <w:widowControl/>
              <w:kinsoku w:val="0"/>
              <w:autoSpaceDE w:val="0"/>
              <w:autoSpaceDN w:val="0"/>
              <w:adjustRightInd w:val="0"/>
              <w:jc w:val="center"/>
              <w:textAlignment w:val="center"/>
              <w:rPr>
                <w:rFonts w:hint="eastAsia" w:asciiTheme="majorEastAsia" w:hAnsiTheme="majorEastAsia" w:eastAsiaTheme="majorEastAsia" w:cstheme="majorEastAsia"/>
                <w:snapToGrid w:val="0"/>
                <w:color w:val="auto"/>
                <w:kern w:val="0"/>
                <w:sz w:val="18"/>
                <w:szCs w:val="18"/>
                <w:highlight w:val="none"/>
                <w:lang w:bidi="ar"/>
              </w:rPr>
            </w:pPr>
          </w:p>
        </w:tc>
        <w:tc>
          <w:tcPr>
            <w:tcW w:w="1590" w:type="dxa"/>
            <w:vMerge w:val="continue"/>
            <w:tcBorders>
              <w:top w:val="nil"/>
              <w:left w:val="nil"/>
              <w:bottom w:val="single" w:color="000000" w:sz="8" w:space="0"/>
              <w:right w:val="single" w:color="000000" w:sz="8" w:space="0"/>
            </w:tcBorders>
            <w:noWrap w:val="0"/>
            <w:vAlign w:val="center"/>
          </w:tcPr>
          <w:p>
            <w:pPr>
              <w:widowControl/>
              <w:kinsoku w:val="0"/>
              <w:autoSpaceDE w:val="0"/>
              <w:autoSpaceDN w:val="0"/>
              <w:adjustRightInd w:val="0"/>
              <w:jc w:val="center"/>
              <w:textAlignment w:val="center"/>
              <w:rPr>
                <w:rFonts w:hint="eastAsia" w:asciiTheme="majorEastAsia" w:hAnsiTheme="majorEastAsia" w:eastAsiaTheme="majorEastAsia" w:cstheme="majorEastAsia"/>
                <w:snapToGrid w:val="0"/>
                <w:color w:val="auto"/>
                <w:kern w:val="0"/>
                <w:sz w:val="18"/>
                <w:szCs w:val="18"/>
                <w:highlight w:val="none"/>
                <w:lang w:bidi="ar"/>
              </w:rPr>
            </w:pPr>
          </w:p>
        </w:tc>
        <w:tc>
          <w:tcPr>
            <w:tcW w:w="660" w:type="dxa"/>
            <w:vMerge w:val="continue"/>
            <w:tcBorders>
              <w:top w:val="nil"/>
              <w:left w:val="nil"/>
              <w:bottom w:val="single" w:color="000000" w:sz="8" w:space="0"/>
              <w:right w:val="single" w:color="000000" w:sz="8" w:space="0"/>
            </w:tcBorders>
            <w:noWrap w:val="0"/>
            <w:vAlign w:val="center"/>
          </w:tcPr>
          <w:p>
            <w:pPr>
              <w:widowControl/>
              <w:kinsoku w:val="0"/>
              <w:autoSpaceDE w:val="0"/>
              <w:autoSpaceDN w:val="0"/>
              <w:adjustRightInd w:val="0"/>
              <w:jc w:val="center"/>
              <w:textAlignment w:val="center"/>
              <w:rPr>
                <w:rFonts w:hint="eastAsia" w:asciiTheme="majorEastAsia" w:hAnsiTheme="majorEastAsia" w:eastAsiaTheme="majorEastAsia" w:cstheme="majorEastAsia"/>
                <w:snapToGrid w:val="0"/>
                <w:color w:val="auto"/>
                <w:kern w:val="0"/>
                <w:sz w:val="18"/>
                <w:szCs w:val="18"/>
                <w:highlight w:val="none"/>
                <w:lang w:bidi="ar"/>
              </w:rPr>
            </w:pPr>
          </w:p>
        </w:tc>
        <w:tc>
          <w:tcPr>
            <w:tcW w:w="5237" w:type="dxa"/>
            <w:vMerge w:val="continue"/>
            <w:tcBorders>
              <w:top w:val="nil"/>
              <w:left w:val="nil"/>
              <w:bottom w:val="single" w:color="000000" w:sz="8" w:space="0"/>
              <w:right w:val="single" w:color="000000" w:sz="8" w:space="0"/>
            </w:tcBorders>
            <w:noWrap w:val="0"/>
            <w:vAlign w:val="center"/>
          </w:tcPr>
          <w:p>
            <w:pPr>
              <w:widowControl/>
              <w:kinsoku w:val="0"/>
              <w:autoSpaceDE w:val="0"/>
              <w:autoSpaceDN w:val="0"/>
              <w:adjustRightInd w:val="0"/>
              <w:jc w:val="center"/>
              <w:textAlignment w:val="center"/>
              <w:rPr>
                <w:rFonts w:hint="eastAsia" w:asciiTheme="majorEastAsia" w:hAnsiTheme="majorEastAsia" w:eastAsiaTheme="majorEastAsia" w:cstheme="majorEastAsia"/>
                <w:snapToGrid w:val="0"/>
                <w:color w:val="auto"/>
                <w:kern w:val="0"/>
                <w:sz w:val="18"/>
                <w:szCs w:val="18"/>
                <w:highlight w:val="none"/>
                <w:lang w:bidi="ar"/>
              </w:rPr>
            </w:pPr>
          </w:p>
        </w:tc>
        <w:tc>
          <w:tcPr>
            <w:tcW w:w="942" w:type="dxa"/>
            <w:vMerge w:val="continue"/>
            <w:tcBorders>
              <w:top w:val="nil"/>
              <w:left w:val="nil"/>
              <w:bottom w:val="single" w:color="000000" w:sz="8" w:space="0"/>
              <w:right w:val="single" w:color="000000" w:sz="8" w:space="0"/>
            </w:tcBorders>
            <w:noWrap/>
            <w:vAlign w:val="center"/>
          </w:tcPr>
          <w:p>
            <w:pPr>
              <w:widowControl/>
              <w:kinsoku w:val="0"/>
              <w:autoSpaceDE w:val="0"/>
              <w:autoSpaceDN w:val="0"/>
              <w:adjustRightInd w:val="0"/>
              <w:jc w:val="center"/>
              <w:textAlignment w:val="center"/>
              <w:rPr>
                <w:rFonts w:hint="eastAsia" w:asciiTheme="majorEastAsia" w:hAnsiTheme="majorEastAsia" w:eastAsiaTheme="majorEastAsia" w:cstheme="majorEastAsia"/>
                <w:snapToGrid w:val="0"/>
                <w:color w:val="auto"/>
                <w:kern w:val="0"/>
                <w:sz w:val="18"/>
                <w:szCs w:val="18"/>
                <w:highlight w:val="none"/>
                <w:lang w:bidi="ar"/>
              </w:rPr>
            </w:pPr>
          </w:p>
        </w:tc>
      </w:tr>
    </w:tbl>
    <w:p>
      <w:pPr>
        <w:bidi w:val="0"/>
        <w:rPr>
          <w:rFonts w:hint="eastAsia"/>
          <w:color w:val="auto"/>
          <w:highlight w:val="none"/>
          <w:lang w:eastAsia="zh-CN"/>
        </w:rPr>
      </w:pPr>
      <w:r>
        <w:rPr>
          <w:color w:val="auto"/>
          <w:sz w:val="18"/>
          <w:szCs w:val="18"/>
          <w:highlight w:val="none"/>
          <w:lang w:eastAsia="zh-CN"/>
        </w:rPr>
        <w:t xml:space="preserve">  </w:t>
      </w:r>
      <w:r>
        <w:rPr>
          <w:rFonts w:hint="eastAsia"/>
          <w:color w:val="auto"/>
          <w:sz w:val="18"/>
          <w:szCs w:val="18"/>
          <w:highlight w:val="none"/>
          <w:lang w:eastAsia="zh-CN"/>
        </w:rPr>
        <w:t>注：</w:t>
      </w:r>
    </w:p>
    <w:p>
      <w:pPr>
        <w:bidi w:val="0"/>
        <w:rPr>
          <w:color w:val="auto"/>
          <w:highlight w:val="none"/>
          <w:lang w:eastAsia="zh-CN"/>
        </w:rPr>
      </w:pPr>
      <w:r>
        <w:rPr>
          <w:rFonts w:hint="eastAsia"/>
          <w:color w:val="auto"/>
          <w:highlight w:val="none"/>
          <w:lang w:eastAsia="zh-CN"/>
        </w:rPr>
        <w:t>（1）人员工作经验时间从毕业时间起计。</w:t>
      </w:r>
    </w:p>
    <w:p>
      <w:pPr>
        <w:bidi w:val="0"/>
        <w:rPr>
          <w:color w:val="auto"/>
          <w:highlight w:val="none"/>
          <w:lang w:eastAsia="zh-CN"/>
        </w:rPr>
      </w:pPr>
      <w:r>
        <w:rPr>
          <w:rFonts w:hint="eastAsia"/>
          <w:color w:val="auto"/>
          <w:highlight w:val="none"/>
          <w:lang w:eastAsia="zh-CN"/>
        </w:rPr>
        <w:t>（2）一级注册造价工程师是指根据住房城乡建设部、交通运输部、水利部、人力资源社会保障部发布的《造价工程师职业资格制度规定》、《造价工程师职业资格考试实施办法》（建人［2018］67 号）取得的一级造价工程师职业资格，并经注册且在有效期内。按照《造价工程师职业资格制度规定》的规定，根据原人事部、原建设部发布的《造价工程师执业资格制度暂行规定》（人发[1996]77号)取得的造价工程师执业资格，并经注册且在有效期内的，等同于一级注册造价工程师。</w:t>
      </w:r>
    </w:p>
    <w:p>
      <w:pPr>
        <w:bidi w:val="0"/>
        <w:rPr>
          <w:rFonts w:hint="eastAsia"/>
          <w:color w:val="auto"/>
          <w:highlight w:val="none"/>
          <w:lang w:eastAsia="zh-CN"/>
        </w:rPr>
      </w:pPr>
      <w:r>
        <w:rPr>
          <w:rFonts w:hint="eastAsia"/>
          <w:color w:val="auto"/>
          <w:highlight w:val="none"/>
          <w:lang w:eastAsia="zh-CN"/>
        </w:rPr>
        <w:t>（3）上表人员均要求为投标单位正式职工，即指在投标单位已购买发布招标公告前一个月或以上社保的在职人员，须同时提供社保证明。除特别约定外，各岗位人员不得相互兼职。</w:t>
      </w:r>
    </w:p>
    <w:p>
      <w:pPr>
        <w:bidi w:val="0"/>
        <w:rPr>
          <w:rFonts w:hint="eastAsia"/>
          <w:color w:val="auto"/>
          <w:highlight w:val="none"/>
          <w:lang w:val="en-US" w:eastAsia="zh-CN"/>
        </w:rPr>
      </w:pPr>
      <w:r>
        <w:rPr>
          <w:rFonts w:hint="eastAsia"/>
          <w:color w:val="auto"/>
          <w:highlight w:val="none"/>
          <w:lang w:val="en-US" w:eastAsia="zh-CN"/>
        </w:rPr>
        <w:t>（4）经发包人或监理人考核，承包人投入本项目的人员不能满足项目工程建设要求的，承包人必须无条件按照发包人的要求更换或者增加人员，直至满足本工程建设要求为止，而且，不能满足本工程建设要求的人员按照缺勤处理。</w:t>
      </w:r>
    </w:p>
    <w:p>
      <w:pPr>
        <w:rPr>
          <w:color w:val="auto"/>
          <w:highlight w:val="none"/>
        </w:rPr>
      </w:pPr>
    </w:p>
    <w:p>
      <w:pPr>
        <w:pStyle w:val="3"/>
        <w:bidi w:val="0"/>
        <w:rPr>
          <w:color w:val="auto"/>
          <w:highlight w:val="none"/>
        </w:rPr>
      </w:pPr>
      <w:bookmarkStart w:id="233" w:name="_Toc29769"/>
      <w:bookmarkStart w:id="234" w:name="_Toc14167"/>
      <w:bookmarkStart w:id="235" w:name="_Toc169722208"/>
      <w:bookmarkStart w:id="236" w:name="_Toc24939"/>
      <w:bookmarkStart w:id="237" w:name="_Toc25407"/>
      <w:bookmarkStart w:id="238" w:name="_Toc20717"/>
      <w:bookmarkStart w:id="239" w:name="_Toc11826"/>
      <w:bookmarkStart w:id="240" w:name="_Toc12175"/>
      <w:bookmarkStart w:id="241" w:name="_Toc6506"/>
      <w:bookmarkStart w:id="242" w:name="_Toc10309"/>
      <w:bookmarkStart w:id="243" w:name="_Toc26086"/>
      <w:bookmarkStart w:id="244" w:name="_Toc20982"/>
      <w:r>
        <w:rPr>
          <w:rFonts w:hint="eastAsia"/>
          <w:color w:val="auto"/>
          <w:highlight w:val="none"/>
          <w:lang w:eastAsia="zh-CN"/>
        </w:rPr>
        <w:t>项目负责人</w:t>
      </w:r>
      <w:r>
        <w:rPr>
          <w:color w:val="auto"/>
          <w:highlight w:val="none"/>
        </w:rPr>
        <w:t>的要求</w:t>
      </w:r>
      <w:bookmarkEnd w:id="233"/>
      <w:bookmarkEnd w:id="234"/>
      <w:bookmarkEnd w:id="235"/>
      <w:bookmarkEnd w:id="236"/>
      <w:bookmarkEnd w:id="237"/>
      <w:bookmarkEnd w:id="238"/>
      <w:bookmarkEnd w:id="239"/>
      <w:bookmarkEnd w:id="240"/>
      <w:bookmarkEnd w:id="241"/>
      <w:bookmarkEnd w:id="242"/>
      <w:bookmarkEnd w:id="243"/>
      <w:bookmarkEnd w:id="244"/>
    </w:p>
    <w:p>
      <w:pPr>
        <w:pStyle w:val="4"/>
        <w:bidi w:val="0"/>
        <w:rPr>
          <w:color w:val="auto"/>
          <w:highlight w:val="none"/>
        </w:rPr>
      </w:pPr>
      <w:r>
        <w:rPr>
          <w:rFonts w:hint="eastAsia"/>
          <w:color w:val="auto"/>
          <w:highlight w:val="none"/>
          <w:lang w:eastAsia="zh-CN"/>
        </w:rPr>
        <w:t>项目负责人</w:t>
      </w:r>
      <w:r>
        <w:rPr>
          <w:rFonts w:hint="eastAsia"/>
          <w:color w:val="auto"/>
          <w:highlight w:val="none"/>
        </w:rPr>
        <w:t>具有类似项目管理经验，且有质量、安全第三方检查评估经验。</w:t>
      </w:r>
    </w:p>
    <w:p>
      <w:pPr>
        <w:pStyle w:val="4"/>
        <w:bidi w:val="0"/>
        <w:rPr>
          <w:color w:val="auto"/>
          <w:highlight w:val="none"/>
        </w:rPr>
      </w:pPr>
      <w:r>
        <w:rPr>
          <w:rFonts w:hint="eastAsia"/>
          <w:color w:val="auto"/>
          <w:highlight w:val="none"/>
          <w:lang w:eastAsia="zh-CN"/>
        </w:rPr>
        <w:t>项目负责人</w:t>
      </w:r>
      <w:r>
        <w:rPr>
          <w:rFonts w:hint="eastAsia"/>
          <w:color w:val="auto"/>
          <w:highlight w:val="none"/>
        </w:rPr>
        <w:t>在授权范围内对总承包人项目部进行全面管理，是项目经营、施工和管理的第一责任人，具备对项目工期、质量、安全、进度、成本、机械、材料、文明施工等充分掌控的素质。</w:t>
      </w:r>
    </w:p>
    <w:p>
      <w:pPr>
        <w:pStyle w:val="4"/>
        <w:bidi w:val="0"/>
        <w:rPr>
          <w:color w:val="auto"/>
          <w:highlight w:val="none"/>
        </w:rPr>
      </w:pPr>
      <w:r>
        <w:rPr>
          <w:rFonts w:hint="eastAsia"/>
          <w:color w:val="auto"/>
          <w:highlight w:val="none"/>
          <w:lang w:eastAsia="zh-CN"/>
        </w:rPr>
        <w:t>项目负责人</w:t>
      </w:r>
      <w:r>
        <w:rPr>
          <w:rFonts w:hint="eastAsia"/>
          <w:color w:val="auto"/>
          <w:highlight w:val="none"/>
        </w:rPr>
        <w:t>具备良好的决策、组织、领导和沟通能力，能正确处理和协调与发包人、相关各方之间及企业内部各专业、各部门之间的关系。</w:t>
      </w:r>
    </w:p>
    <w:p>
      <w:pPr>
        <w:pStyle w:val="4"/>
        <w:bidi w:val="0"/>
        <w:rPr>
          <w:color w:val="auto"/>
          <w:highlight w:val="none"/>
        </w:rPr>
      </w:pPr>
      <w:r>
        <w:rPr>
          <w:rFonts w:hint="eastAsia"/>
          <w:color w:val="auto"/>
          <w:highlight w:val="none"/>
          <w:lang w:eastAsia="zh-CN"/>
        </w:rPr>
        <w:t>项目负责人</w:t>
      </w:r>
      <w:r>
        <w:rPr>
          <w:rFonts w:hint="eastAsia"/>
          <w:color w:val="auto"/>
          <w:highlight w:val="none"/>
        </w:rPr>
        <w:t>具备工程总承包项目管理的专业技术，有关项目管理的经济和法律、法规知识。</w:t>
      </w:r>
    </w:p>
    <w:p>
      <w:pPr>
        <w:pStyle w:val="4"/>
        <w:bidi w:val="0"/>
        <w:rPr>
          <w:color w:val="auto"/>
          <w:highlight w:val="none"/>
        </w:rPr>
      </w:pPr>
      <w:r>
        <w:rPr>
          <w:rFonts w:hint="eastAsia"/>
          <w:color w:val="auto"/>
          <w:highlight w:val="none"/>
          <w:lang w:eastAsia="zh-CN"/>
        </w:rPr>
        <w:t>项目负责人</w:t>
      </w:r>
      <w:r>
        <w:rPr>
          <w:rFonts w:hint="eastAsia"/>
          <w:color w:val="auto"/>
          <w:highlight w:val="none"/>
        </w:rPr>
        <w:t>具有良好的职业道德。</w:t>
      </w:r>
    </w:p>
    <w:p>
      <w:pPr>
        <w:pStyle w:val="3"/>
        <w:bidi w:val="0"/>
        <w:rPr>
          <w:color w:val="auto"/>
          <w:highlight w:val="none"/>
        </w:rPr>
      </w:pPr>
      <w:bookmarkStart w:id="245" w:name="_Toc17233"/>
      <w:bookmarkStart w:id="246" w:name="_Toc12138"/>
      <w:bookmarkStart w:id="247" w:name="_Toc23314"/>
      <w:bookmarkStart w:id="248" w:name="_Toc169722209"/>
      <w:bookmarkStart w:id="249" w:name="_Toc28780"/>
      <w:bookmarkStart w:id="250" w:name="_Toc15883"/>
      <w:bookmarkStart w:id="251" w:name="_Toc29403"/>
      <w:bookmarkStart w:id="252" w:name="_Toc31926"/>
      <w:bookmarkStart w:id="253" w:name="_Toc21312"/>
      <w:bookmarkStart w:id="254" w:name="_Toc14236"/>
      <w:bookmarkStart w:id="255" w:name="_Toc32296"/>
      <w:bookmarkStart w:id="256" w:name="_Toc14724"/>
      <w:r>
        <w:rPr>
          <w:rFonts w:hint="eastAsia"/>
          <w:color w:val="auto"/>
          <w:highlight w:val="none"/>
        </w:rPr>
        <w:t>项目关键岗位人员</w:t>
      </w:r>
      <w:r>
        <w:rPr>
          <w:color w:val="auto"/>
          <w:highlight w:val="none"/>
        </w:rPr>
        <w:t>的</w:t>
      </w:r>
      <w:r>
        <w:rPr>
          <w:rFonts w:hint="eastAsia"/>
          <w:color w:val="auto"/>
          <w:highlight w:val="none"/>
        </w:rPr>
        <w:t>要求</w:t>
      </w:r>
      <w:bookmarkEnd w:id="245"/>
      <w:bookmarkEnd w:id="246"/>
      <w:bookmarkEnd w:id="247"/>
      <w:bookmarkEnd w:id="248"/>
      <w:bookmarkEnd w:id="249"/>
      <w:bookmarkEnd w:id="250"/>
      <w:bookmarkEnd w:id="251"/>
      <w:bookmarkEnd w:id="252"/>
      <w:bookmarkEnd w:id="253"/>
      <w:bookmarkEnd w:id="254"/>
      <w:bookmarkEnd w:id="255"/>
      <w:bookmarkEnd w:id="256"/>
    </w:p>
    <w:p>
      <w:pPr>
        <w:pStyle w:val="4"/>
        <w:bidi w:val="0"/>
        <w:rPr>
          <w:color w:val="auto"/>
          <w:highlight w:val="none"/>
        </w:rPr>
      </w:pPr>
      <w:r>
        <w:rPr>
          <w:rFonts w:hint="eastAsia"/>
          <w:color w:val="auto"/>
          <w:highlight w:val="none"/>
        </w:rPr>
        <w:t>项目管理团队主要人员</w:t>
      </w:r>
      <w:r>
        <w:rPr>
          <w:rFonts w:hint="eastAsia"/>
          <w:color w:val="auto"/>
          <w:highlight w:val="none"/>
          <w:lang w:eastAsia="zh-CN"/>
        </w:rPr>
        <w:t>项目负责人</w:t>
      </w:r>
      <w:r>
        <w:rPr>
          <w:rFonts w:hint="eastAsia"/>
          <w:color w:val="auto"/>
          <w:highlight w:val="none"/>
        </w:rPr>
        <w:t>、</w:t>
      </w:r>
      <w:r>
        <w:rPr>
          <w:color w:val="auto"/>
          <w:highlight w:val="none"/>
        </w:rPr>
        <w:t>生产经理</w:t>
      </w:r>
      <w:r>
        <w:rPr>
          <w:rFonts w:hint="eastAsia"/>
          <w:color w:val="auto"/>
          <w:highlight w:val="none"/>
        </w:rPr>
        <w:t>、技术</w:t>
      </w:r>
      <w:r>
        <w:rPr>
          <w:rFonts w:hint="eastAsia"/>
          <w:color w:val="auto"/>
          <w:highlight w:val="none"/>
          <w:lang w:val="en-US" w:eastAsia="zh-CN"/>
        </w:rPr>
        <w:t>负责人</w:t>
      </w:r>
      <w:r>
        <w:rPr>
          <w:rFonts w:hint="eastAsia"/>
          <w:color w:val="auto"/>
          <w:highlight w:val="none"/>
        </w:rPr>
        <w:t>、</w:t>
      </w:r>
      <w:r>
        <w:rPr>
          <w:rFonts w:hint="eastAsia"/>
          <w:color w:val="auto"/>
          <w:highlight w:val="none"/>
          <w:lang w:val="en-US" w:eastAsia="zh-CN"/>
        </w:rPr>
        <w:t>造价负责人</w:t>
      </w:r>
      <w:r>
        <w:rPr>
          <w:rFonts w:hint="eastAsia"/>
          <w:color w:val="auto"/>
          <w:highlight w:val="none"/>
        </w:rPr>
        <w:t>、</w:t>
      </w:r>
      <w:r>
        <w:rPr>
          <w:rFonts w:hint="eastAsia"/>
          <w:color w:val="auto"/>
          <w:highlight w:val="none"/>
          <w:lang w:eastAsia="zh-CN"/>
        </w:rPr>
        <w:t>安全负责人</w:t>
      </w:r>
      <w:r>
        <w:rPr>
          <w:rFonts w:hint="eastAsia"/>
          <w:color w:val="auto"/>
          <w:highlight w:val="none"/>
        </w:rPr>
        <w:t>等应按照发包人要求分别配置。</w:t>
      </w:r>
    </w:p>
    <w:p>
      <w:pPr>
        <w:pStyle w:val="4"/>
        <w:bidi w:val="0"/>
        <w:rPr>
          <w:color w:val="auto"/>
          <w:highlight w:val="none"/>
        </w:rPr>
      </w:pPr>
      <w:r>
        <w:rPr>
          <w:rFonts w:hint="eastAsia"/>
          <w:color w:val="auto"/>
          <w:highlight w:val="none"/>
        </w:rPr>
        <w:t>发包人对备选</w:t>
      </w:r>
      <w:r>
        <w:rPr>
          <w:rFonts w:hint="eastAsia"/>
          <w:color w:val="auto"/>
          <w:highlight w:val="none"/>
          <w:lang w:eastAsia="zh-CN"/>
        </w:rPr>
        <w:t>项目负责人</w:t>
      </w:r>
      <w:r>
        <w:rPr>
          <w:rFonts w:hint="eastAsia"/>
          <w:color w:val="auto"/>
          <w:highlight w:val="none"/>
        </w:rPr>
        <w:t>的已完项目进行考察，组织发包人间交流，并给予评价。</w:t>
      </w:r>
    </w:p>
    <w:p>
      <w:pPr>
        <w:pStyle w:val="4"/>
        <w:bidi w:val="0"/>
        <w:rPr>
          <w:color w:val="auto"/>
          <w:highlight w:val="none"/>
        </w:rPr>
      </w:pPr>
      <w:r>
        <w:rPr>
          <w:rFonts w:hint="eastAsia"/>
          <w:color w:val="auto"/>
          <w:highlight w:val="none"/>
        </w:rPr>
        <w:t>发包人</w:t>
      </w:r>
      <w:r>
        <w:rPr>
          <w:color w:val="auto"/>
          <w:highlight w:val="none"/>
        </w:rPr>
        <w:t>组织对总承包人项目团队的面试</w:t>
      </w:r>
      <w:r>
        <w:rPr>
          <w:rFonts w:hint="eastAsia"/>
          <w:color w:val="auto"/>
          <w:highlight w:val="none"/>
        </w:rPr>
        <w:t>交流会</w:t>
      </w:r>
      <w:r>
        <w:rPr>
          <w:color w:val="auto"/>
          <w:highlight w:val="none"/>
        </w:rPr>
        <w:t>。</w:t>
      </w:r>
      <w:r>
        <w:rPr>
          <w:rFonts w:hint="eastAsia"/>
          <w:color w:val="auto"/>
          <w:highlight w:val="none"/>
        </w:rPr>
        <w:t>发包人对整体评价达到要求的项目成员发书面通知给总承包人；对未达到要求之成员，要求总承包人进行更换并重新面试。</w:t>
      </w:r>
    </w:p>
    <w:p>
      <w:pPr>
        <w:pStyle w:val="4"/>
        <w:bidi w:val="0"/>
        <w:rPr>
          <w:color w:val="auto"/>
          <w:highlight w:val="none"/>
        </w:rPr>
      </w:pPr>
      <w:r>
        <w:rPr>
          <w:rFonts w:hint="eastAsia"/>
          <w:color w:val="auto"/>
          <w:highlight w:val="none"/>
        </w:rPr>
        <w:t>一旦完成总承包人项目部人员的选择，总承包人应做出书面承诺，内容包括：</w:t>
      </w:r>
    </w:p>
    <w:p>
      <w:pPr>
        <w:pStyle w:val="5"/>
        <w:bidi w:val="0"/>
        <w:ind w:left="253"/>
        <w:rPr>
          <w:color w:val="auto"/>
          <w:highlight w:val="none"/>
        </w:rPr>
      </w:pPr>
      <w:r>
        <w:rPr>
          <w:rFonts w:hint="eastAsia"/>
          <w:color w:val="auto"/>
          <w:highlight w:val="none"/>
        </w:rPr>
        <w:t>项目团队关键成员必须专职，</w:t>
      </w:r>
      <w:r>
        <w:rPr>
          <w:rFonts w:hint="eastAsia"/>
          <w:color w:val="auto"/>
          <w:highlight w:val="none"/>
          <w:lang w:eastAsia="zh-CN"/>
        </w:rPr>
        <w:t>项目负责人</w:t>
      </w:r>
      <w:r>
        <w:rPr>
          <w:rFonts w:hint="eastAsia"/>
          <w:color w:val="auto"/>
          <w:highlight w:val="none"/>
        </w:rPr>
        <w:t>、</w:t>
      </w:r>
      <w:r>
        <w:rPr>
          <w:color w:val="auto"/>
          <w:highlight w:val="none"/>
        </w:rPr>
        <w:t>生产经理</w:t>
      </w:r>
      <w:r>
        <w:rPr>
          <w:rFonts w:hint="eastAsia"/>
          <w:color w:val="auto"/>
          <w:highlight w:val="none"/>
        </w:rPr>
        <w:t>、技术</w:t>
      </w:r>
      <w:r>
        <w:rPr>
          <w:rFonts w:hint="eastAsia"/>
          <w:color w:val="auto"/>
          <w:highlight w:val="none"/>
          <w:lang w:val="en-US" w:eastAsia="zh-CN"/>
        </w:rPr>
        <w:t>负责人</w:t>
      </w:r>
      <w:r>
        <w:rPr>
          <w:rFonts w:hint="eastAsia"/>
          <w:color w:val="auto"/>
          <w:highlight w:val="none"/>
        </w:rPr>
        <w:t>、</w:t>
      </w:r>
      <w:r>
        <w:rPr>
          <w:rFonts w:hint="eastAsia"/>
          <w:color w:val="auto"/>
          <w:highlight w:val="none"/>
          <w:lang w:val="en-US" w:eastAsia="zh-CN"/>
        </w:rPr>
        <w:t>造价负责人</w:t>
      </w:r>
      <w:r>
        <w:rPr>
          <w:rFonts w:hint="eastAsia"/>
          <w:color w:val="auto"/>
          <w:highlight w:val="none"/>
        </w:rPr>
        <w:t>、</w:t>
      </w:r>
      <w:r>
        <w:rPr>
          <w:rFonts w:hint="eastAsia"/>
          <w:color w:val="auto"/>
          <w:highlight w:val="none"/>
          <w:lang w:eastAsia="zh-CN"/>
        </w:rPr>
        <w:t>安全负责人</w:t>
      </w:r>
      <w:r>
        <w:rPr>
          <w:rFonts w:hint="eastAsia"/>
          <w:color w:val="auto"/>
          <w:highlight w:val="none"/>
        </w:rPr>
        <w:t>等不得跨项目兼职，从开工至交付过程全程参与项目实施。</w:t>
      </w:r>
    </w:p>
    <w:p>
      <w:pPr>
        <w:pStyle w:val="5"/>
        <w:bidi w:val="0"/>
        <w:ind w:left="253"/>
        <w:rPr>
          <w:color w:val="auto"/>
          <w:highlight w:val="none"/>
        </w:rPr>
      </w:pPr>
      <w:r>
        <w:rPr>
          <w:rFonts w:hint="eastAsia"/>
          <w:color w:val="auto"/>
          <w:highlight w:val="none"/>
        </w:rPr>
        <w:t>非无法控制原因如刑拘、身亡、离开单位（但不含升职），总承包人擅自更换关键岗位人员（</w:t>
      </w:r>
      <w:r>
        <w:rPr>
          <w:rFonts w:hint="eastAsia"/>
          <w:color w:val="auto"/>
          <w:highlight w:val="none"/>
          <w:lang w:eastAsia="zh-CN"/>
        </w:rPr>
        <w:t>项目负责人</w:t>
      </w:r>
      <w:r>
        <w:rPr>
          <w:rFonts w:hint="eastAsia"/>
          <w:color w:val="auto"/>
          <w:highlight w:val="none"/>
        </w:rPr>
        <w:t>、</w:t>
      </w:r>
      <w:r>
        <w:rPr>
          <w:color w:val="auto"/>
          <w:highlight w:val="none"/>
        </w:rPr>
        <w:t>生产经理</w:t>
      </w:r>
      <w:r>
        <w:rPr>
          <w:rFonts w:hint="eastAsia"/>
          <w:color w:val="auto"/>
          <w:highlight w:val="none"/>
        </w:rPr>
        <w:t>、技术</w:t>
      </w:r>
      <w:r>
        <w:rPr>
          <w:rFonts w:hint="eastAsia"/>
          <w:color w:val="auto"/>
          <w:highlight w:val="none"/>
          <w:lang w:val="en-US" w:eastAsia="zh-CN"/>
        </w:rPr>
        <w:t>负责人</w:t>
      </w:r>
      <w:r>
        <w:rPr>
          <w:rFonts w:hint="eastAsia"/>
          <w:color w:val="auto"/>
          <w:highlight w:val="none"/>
        </w:rPr>
        <w:t>、</w:t>
      </w:r>
      <w:r>
        <w:rPr>
          <w:rFonts w:hint="eastAsia"/>
          <w:color w:val="auto"/>
          <w:highlight w:val="none"/>
          <w:lang w:val="en-US" w:eastAsia="zh-CN"/>
        </w:rPr>
        <w:t>造价负责人</w:t>
      </w:r>
      <w:r>
        <w:rPr>
          <w:rFonts w:hint="eastAsia"/>
          <w:color w:val="auto"/>
          <w:highlight w:val="none"/>
        </w:rPr>
        <w:t>、</w:t>
      </w:r>
      <w:r>
        <w:rPr>
          <w:rFonts w:hint="eastAsia"/>
          <w:color w:val="auto"/>
          <w:highlight w:val="none"/>
          <w:lang w:eastAsia="zh-CN"/>
        </w:rPr>
        <w:t>安全负责人</w:t>
      </w:r>
      <w:r>
        <w:rPr>
          <w:rFonts w:hint="eastAsia"/>
          <w:color w:val="auto"/>
          <w:highlight w:val="none"/>
        </w:rPr>
        <w:t>）而未通知发包人的，总承包人应承担</w:t>
      </w:r>
      <w:r>
        <w:rPr>
          <w:rFonts w:hint="eastAsia"/>
          <w:color w:val="auto"/>
          <w:highlight w:val="none"/>
          <w:lang w:val="en-US" w:eastAsia="zh-CN"/>
        </w:rPr>
        <w:t>相应</w:t>
      </w:r>
      <w:r>
        <w:rPr>
          <w:rFonts w:hint="eastAsia"/>
          <w:color w:val="auto"/>
          <w:highlight w:val="none"/>
        </w:rPr>
        <w:t>违约责任。</w:t>
      </w:r>
    </w:p>
    <w:p>
      <w:pPr>
        <w:pStyle w:val="5"/>
        <w:bidi w:val="0"/>
        <w:ind w:left="253"/>
        <w:rPr>
          <w:color w:val="auto"/>
          <w:highlight w:val="none"/>
        </w:rPr>
      </w:pPr>
      <w:r>
        <w:rPr>
          <w:rFonts w:hint="eastAsia"/>
          <w:color w:val="auto"/>
          <w:highlight w:val="none"/>
        </w:rPr>
        <w:t>如总承包人确因无法控制的原因如刑拘、身亡、离开单位（但不含升职），需要更换关键人员，须书面通知发包人，经发包人同意后方可更换，但不因此免除总承包人违约责任，发包人视更换人员后期履约情况保留处罚权利。新拟派人员（至少提供</w:t>
      </w:r>
      <w:r>
        <w:rPr>
          <w:rFonts w:hint="eastAsia"/>
          <w:color w:val="auto"/>
          <w:highlight w:val="none"/>
          <w:lang w:val="en-US" w:eastAsia="zh-CN"/>
        </w:rPr>
        <w:t>3</w:t>
      </w:r>
      <w:r>
        <w:rPr>
          <w:rFonts w:hint="eastAsia"/>
          <w:color w:val="auto"/>
          <w:highlight w:val="none"/>
        </w:rPr>
        <w:t>名）须重新面试，面试通过后方可上岗。在发包人批准的新人员未到场且到场工作移交未完成前，均按照擅自离岗进行违约处理。</w:t>
      </w:r>
    </w:p>
    <w:p>
      <w:pPr>
        <w:pStyle w:val="5"/>
        <w:bidi w:val="0"/>
        <w:ind w:left="253"/>
        <w:rPr>
          <w:color w:val="auto"/>
          <w:highlight w:val="none"/>
        </w:rPr>
      </w:pPr>
      <w:r>
        <w:rPr>
          <w:rFonts w:hint="eastAsia"/>
          <w:color w:val="auto"/>
          <w:highlight w:val="none"/>
        </w:rPr>
        <w:t>总承包人</w:t>
      </w:r>
      <w:r>
        <w:rPr>
          <w:rFonts w:hint="eastAsia"/>
          <w:color w:val="auto"/>
          <w:highlight w:val="none"/>
          <w:lang w:eastAsia="zh-CN"/>
        </w:rPr>
        <w:t>项目负责人</w:t>
      </w:r>
      <w:r>
        <w:rPr>
          <w:rFonts w:hint="eastAsia"/>
          <w:color w:val="auto"/>
          <w:highlight w:val="none"/>
        </w:rPr>
        <w:t>和其他关键岗位人员应保证在施工阶段常驻现场。</w:t>
      </w:r>
    </w:p>
    <w:p>
      <w:pPr>
        <w:pStyle w:val="5"/>
        <w:bidi w:val="0"/>
        <w:ind w:left="253"/>
        <w:rPr>
          <w:color w:val="auto"/>
          <w:highlight w:val="none"/>
        </w:rPr>
      </w:pPr>
      <w:r>
        <w:rPr>
          <w:rFonts w:hint="eastAsia"/>
          <w:color w:val="auto"/>
          <w:highlight w:val="none"/>
        </w:rPr>
        <w:t>更换</w:t>
      </w:r>
      <w:r>
        <w:rPr>
          <w:rFonts w:hint="eastAsia"/>
          <w:color w:val="auto"/>
          <w:highlight w:val="none"/>
          <w:lang w:eastAsia="zh-CN"/>
        </w:rPr>
        <w:t>项目负责人</w:t>
      </w:r>
      <w:r>
        <w:rPr>
          <w:rFonts w:hint="eastAsia"/>
          <w:color w:val="auto"/>
          <w:highlight w:val="none"/>
        </w:rPr>
        <w:t>、</w:t>
      </w:r>
      <w:r>
        <w:rPr>
          <w:color w:val="auto"/>
          <w:highlight w:val="none"/>
        </w:rPr>
        <w:t>生产经理</w:t>
      </w:r>
      <w:r>
        <w:rPr>
          <w:rFonts w:hint="eastAsia"/>
          <w:color w:val="auto"/>
          <w:highlight w:val="none"/>
        </w:rPr>
        <w:t>、技术</w:t>
      </w:r>
      <w:r>
        <w:rPr>
          <w:rFonts w:hint="eastAsia"/>
          <w:color w:val="auto"/>
          <w:highlight w:val="none"/>
          <w:lang w:val="en-US" w:eastAsia="zh-CN"/>
        </w:rPr>
        <w:t>负责人</w:t>
      </w:r>
      <w:r>
        <w:rPr>
          <w:rFonts w:hint="eastAsia"/>
          <w:color w:val="auto"/>
          <w:highlight w:val="none"/>
        </w:rPr>
        <w:t>、</w:t>
      </w:r>
      <w:r>
        <w:rPr>
          <w:rFonts w:hint="eastAsia"/>
          <w:color w:val="auto"/>
          <w:highlight w:val="none"/>
          <w:lang w:val="en-US" w:eastAsia="zh-CN"/>
        </w:rPr>
        <w:t>造价负责人</w:t>
      </w:r>
      <w:r>
        <w:rPr>
          <w:rFonts w:hint="eastAsia"/>
          <w:color w:val="auto"/>
          <w:highlight w:val="none"/>
        </w:rPr>
        <w:t>、</w:t>
      </w:r>
      <w:r>
        <w:rPr>
          <w:rFonts w:hint="eastAsia"/>
          <w:color w:val="auto"/>
          <w:highlight w:val="none"/>
          <w:lang w:eastAsia="zh-CN"/>
        </w:rPr>
        <w:t>安全负责人</w:t>
      </w:r>
      <w:r>
        <w:rPr>
          <w:rFonts w:hint="eastAsia"/>
          <w:color w:val="auto"/>
          <w:highlight w:val="none"/>
        </w:rPr>
        <w:t>等关键岗位人员，需提前</w:t>
      </w:r>
      <w:r>
        <w:rPr>
          <w:color w:val="auto"/>
          <w:highlight w:val="none"/>
        </w:rPr>
        <w:t>7</w:t>
      </w:r>
      <w:r>
        <w:rPr>
          <w:rFonts w:hint="eastAsia"/>
          <w:color w:val="auto"/>
          <w:highlight w:val="none"/>
        </w:rPr>
        <w:t>天以书面形式通知发包人并获得发包人书面同意后方可更换，但不因此免除总承包人违约责任，发包人视更换人员后期履约情况保留处罚权利。</w:t>
      </w:r>
    </w:p>
    <w:p>
      <w:pPr>
        <w:pStyle w:val="5"/>
        <w:bidi w:val="0"/>
        <w:ind w:left="253"/>
        <w:rPr>
          <w:color w:val="auto"/>
          <w:highlight w:val="none"/>
        </w:rPr>
      </w:pPr>
      <w:r>
        <w:rPr>
          <w:rFonts w:hint="eastAsia"/>
          <w:color w:val="auto"/>
          <w:highlight w:val="none"/>
        </w:rPr>
        <w:t>发包人有权对不适合的项目团队</w:t>
      </w:r>
      <w:r>
        <w:rPr>
          <w:color w:val="auto"/>
          <w:highlight w:val="none"/>
        </w:rPr>
        <w:t>人员</w:t>
      </w:r>
      <w:r>
        <w:rPr>
          <w:rFonts w:hint="eastAsia"/>
          <w:color w:val="auto"/>
          <w:highlight w:val="none"/>
        </w:rPr>
        <w:t>向总承包人提出更换，接发包人书面通知后新成员</w:t>
      </w:r>
      <w:r>
        <w:rPr>
          <w:color w:val="auto"/>
          <w:highlight w:val="none"/>
        </w:rPr>
        <w:t>7</w:t>
      </w:r>
      <w:r>
        <w:rPr>
          <w:rFonts w:hint="eastAsia"/>
          <w:color w:val="auto"/>
          <w:highlight w:val="none"/>
        </w:rPr>
        <w:t>天内必须通过面试到岗。</w:t>
      </w:r>
    </w:p>
    <w:p>
      <w:pPr>
        <w:pStyle w:val="5"/>
        <w:bidi w:val="0"/>
        <w:ind w:left="253"/>
        <w:rPr>
          <w:color w:val="auto"/>
          <w:highlight w:val="none"/>
        </w:rPr>
      </w:pPr>
      <w:r>
        <w:rPr>
          <w:rFonts w:hint="eastAsia"/>
          <w:color w:val="auto"/>
          <w:highlight w:val="none"/>
        </w:rPr>
        <w:t>总承包人的</w:t>
      </w:r>
      <w:r>
        <w:rPr>
          <w:rFonts w:hint="eastAsia"/>
          <w:color w:val="auto"/>
          <w:highlight w:val="none"/>
          <w:lang w:val="en-US" w:eastAsia="zh-CN"/>
        </w:rPr>
        <w:t>工程</w:t>
      </w:r>
      <w:r>
        <w:rPr>
          <w:color w:val="auto"/>
          <w:highlight w:val="none"/>
        </w:rPr>
        <w:t>经理需</w:t>
      </w:r>
      <w:r>
        <w:rPr>
          <w:rFonts w:hint="eastAsia"/>
          <w:color w:val="auto"/>
          <w:highlight w:val="none"/>
        </w:rPr>
        <w:t>对</w:t>
      </w:r>
      <w:r>
        <w:rPr>
          <w:rFonts w:hint="eastAsia"/>
          <w:color w:val="auto"/>
          <w:highlight w:val="none"/>
          <w:lang w:eastAsia="zh-CN"/>
        </w:rPr>
        <w:t>专业承包</w:t>
      </w:r>
      <w:r>
        <w:rPr>
          <w:rFonts w:hint="eastAsia"/>
          <w:color w:val="auto"/>
          <w:highlight w:val="none"/>
        </w:rPr>
        <w:t>人的各项资源投入进行详细的检查、统计，在每周/月报告中报监理人备案，发现</w:t>
      </w:r>
      <w:r>
        <w:rPr>
          <w:rFonts w:hint="eastAsia"/>
          <w:color w:val="auto"/>
          <w:highlight w:val="none"/>
          <w:lang w:eastAsia="zh-CN"/>
        </w:rPr>
        <w:t>专业承包</w:t>
      </w:r>
      <w:r>
        <w:rPr>
          <w:rFonts w:hint="eastAsia"/>
          <w:color w:val="auto"/>
          <w:highlight w:val="none"/>
        </w:rPr>
        <w:t>人的投入不能满足工程进度要求时，及时向</w:t>
      </w:r>
      <w:r>
        <w:rPr>
          <w:rFonts w:hint="eastAsia"/>
          <w:color w:val="auto"/>
          <w:highlight w:val="none"/>
          <w:lang w:eastAsia="zh-CN"/>
        </w:rPr>
        <w:t>专业承包</w:t>
      </w:r>
      <w:r>
        <w:rPr>
          <w:rFonts w:hint="eastAsia"/>
          <w:color w:val="auto"/>
          <w:highlight w:val="none"/>
        </w:rPr>
        <w:t>人发出预警通知。</w:t>
      </w:r>
    </w:p>
    <w:p>
      <w:pPr>
        <w:pStyle w:val="5"/>
        <w:bidi w:val="0"/>
        <w:ind w:left="253"/>
        <w:rPr>
          <w:color w:val="auto"/>
          <w:highlight w:val="none"/>
        </w:rPr>
      </w:pPr>
      <w:r>
        <w:rPr>
          <w:rFonts w:hint="eastAsia"/>
          <w:color w:val="auto"/>
          <w:highlight w:val="none"/>
        </w:rPr>
        <w:t>现场要配备足够的现场管理人员，如果现场管理人员明显不足，影响到现场的正常施工，发包人有权要求总承包人增加管理人员，总承包人接到发包人通知，7天内人员必须到位。</w:t>
      </w:r>
      <w:r>
        <w:rPr>
          <w:color w:val="auto"/>
          <w:highlight w:val="none"/>
        </w:rPr>
        <w:t xml:space="preserve"> </w:t>
      </w:r>
    </w:p>
    <w:p>
      <w:pPr>
        <w:spacing w:before="120" w:beforeLines="50" w:after="120" w:afterLines="50"/>
        <w:ind w:firstLine="480"/>
        <w:rPr>
          <w:color w:val="auto"/>
          <w:highlight w:val="none"/>
        </w:rPr>
      </w:pPr>
      <w:r>
        <w:rPr>
          <w:color w:val="auto"/>
          <w:highlight w:val="none"/>
        </w:rPr>
        <w:br w:type="page"/>
      </w:r>
    </w:p>
    <w:p>
      <w:pPr>
        <w:pStyle w:val="2"/>
        <w:bidi w:val="0"/>
        <w:rPr>
          <w:color w:val="auto"/>
          <w:highlight w:val="none"/>
        </w:rPr>
      </w:pPr>
      <w:bookmarkStart w:id="257" w:name="_Toc9054"/>
      <w:bookmarkStart w:id="258" w:name="_Toc5611"/>
      <w:bookmarkStart w:id="259" w:name="_Toc11953"/>
      <w:bookmarkStart w:id="260" w:name="_Toc3566"/>
      <w:bookmarkStart w:id="261" w:name="_Toc22301"/>
      <w:bookmarkStart w:id="262" w:name="_Toc11055"/>
      <w:bookmarkStart w:id="263" w:name="_Toc31769"/>
      <w:bookmarkStart w:id="264" w:name="_Toc20751"/>
      <w:bookmarkStart w:id="265" w:name="_Toc10341"/>
      <w:bookmarkStart w:id="266" w:name="_Toc14210"/>
      <w:bookmarkStart w:id="267" w:name="_Toc169722210"/>
      <w:bookmarkStart w:id="268" w:name="_Toc28296"/>
      <w:r>
        <w:rPr>
          <w:rFonts w:hint="eastAsia"/>
          <w:color w:val="auto"/>
          <w:highlight w:val="none"/>
        </w:rPr>
        <w:t>施工</w:t>
      </w:r>
      <w:r>
        <w:rPr>
          <w:color w:val="auto"/>
          <w:highlight w:val="none"/>
        </w:rPr>
        <w:t>管理要求</w:t>
      </w:r>
      <w:bookmarkEnd w:id="257"/>
      <w:bookmarkEnd w:id="258"/>
      <w:bookmarkEnd w:id="259"/>
      <w:bookmarkEnd w:id="260"/>
      <w:bookmarkEnd w:id="261"/>
      <w:bookmarkEnd w:id="262"/>
      <w:bookmarkEnd w:id="263"/>
      <w:bookmarkEnd w:id="264"/>
      <w:bookmarkEnd w:id="265"/>
      <w:bookmarkEnd w:id="266"/>
      <w:bookmarkEnd w:id="267"/>
      <w:bookmarkEnd w:id="268"/>
    </w:p>
    <w:p>
      <w:pPr>
        <w:pStyle w:val="3"/>
        <w:bidi w:val="0"/>
        <w:rPr>
          <w:color w:val="auto"/>
          <w:highlight w:val="none"/>
        </w:rPr>
      </w:pPr>
      <w:bookmarkStart w:id="269" w:name="_Toc169722211"/>
      <w:bookmarkStart w:id="270" w:name="_Toc9034"/>
      <w:bookmarkStart w:id="271" w:name="_Toc27206"/>
      <w:bookmarkStart w:id="272" w:name="_Toc15715"/>
      <w:bookmarkStart w:id="273" w:name="_Toc10304"/>
      <w:bookmarkStart w:id="274" w:name="_Toc13596"/>
      <w:bookmarkStart w:id="275" w:name="_Toc19509"/>
      <w:bookmarkStart w:id="276" w:name="_Toc3889"/>
      <w:bookmarkStart w:id="277" w:name="_Toc19527"/>
      <w:bookmarkStart w:id="278" w:name="_Toc31000"/>
      <w:bookmarkStart w:id="279" w:name="_Toc10171"/>
      <w:bookmarkStart w:id="280" w:name="_Toc22389"/>
      <w:r>
        <w:rPr>
          <w:color w:val="auto"/>
          <w:highlight w:val="none"/>
        </w:rPr>
        <w:t>质量管理要求</w:t>
      </w:r>
      <w:bookmarkEnd w:id="269"/>
      <w:bookmarkEnd w:id="270"/>
      <w:bookmarkEnd w:id="271"/>
      <w:bookmarkEnd w:id="272"/>
      <w:bookmarkEnd w:id="273"/>
      <w:bookmarkEnd w:id="274"/>
      <w:bookmarkEnd w:id="275"/>
      <w:bookmarkEnd w:id="276"/>
      <w:bookmarkEnd w:id="277"/>
      <w:bookmarkEnd w:id="278"/>
      <w:bookmarkEnd w:id="279"/>
      <w:bookmarkEnd w:id="280"/>
    </w:p>
    <w:p>
      <w:pPr>
        <w:pStyle w:val="4"/>
        <w:bidi w:val="0"/>
        <w:rPr>
          <w:color w:val="auto"/>
          <w:highlight w:val="none"/>
        </w:rPr>
      </w:pPr>
      <w:r>
        <w:rPr>
          <w:rFonts w:hint="eastAsia"/>
          <w:color w:val="auto"/>
          <w:highlight w:val="none"/>
        </w:rPr>
        <w:t>总承包人</w:t>
      </w:r>
      <w:r>
        <w:rPr>
          <w:color w:val="auto"/>
          <w:highlight w:val="none"/>
        </w:rPr>
        <w:t>质量管理的基本要求</w:t>
      </w:r>
    </w:p>
    <w:p>
      <w:pPr>
        <w:pStyle w:val="5"/>
        <w:bidi w:val="0"/>
        <w:ind w:left="253"/>
        <w:rPr>
          <w:color w:val="auto"/>
          <w:highlight w:val="none"/>
        </w:rPr>
      </w:pPr>
      <w:r>
        <w:rPr>
          <w:rFonts w:hint="eastAsia"/>
          <w:color w:val="auto"/>
          <w:highlight w:val="none"/>
        </w:rPr>
        <w:t>总承包人</w:t>
      </w:r>
      <w:r>
        <w:rPr>
          <w:color w:val="auto"/>
          <w:highlight w:val="none"/>
        </w:rPr>
        <w:t>对合同约定总承包管理范围</w:t>
      </w:r>
      <w:r>
        <w:rPr>
          <w:rFonts w:hint="eastAsia"/>
          <w:color w:val="auto"/>
          <w:highlight w:val="none"/>
        </w:rPr>
        <w:t>的</w:t>
      </w:r>
      <w:r>
        <w:rPr>
          <w:color w:val="auto"/>
          <w:highlight w:val="none"/>
        </w:rPr>
        <w:t>全</w:t>
      </w:r>
      <w:r>
        <w:rPr>
          <w:rFonts w:hint="eastAsia"/>
          <w:color w:val="auto"/>
          <w:highlight w:val="none"/>
        </w:rPr>
        <w:t>部</w:t>
      </w:r>
      <w:r>
        <w:rPr>
          <w:color w:val="auto"/>
          <w:highlight w:val="none"/>
        </w:rPr>
        <w:t>工程承担整体</w:t>
      </w:r>
      <w:r>
        <w:rPr>
          <w:rFonts w:hint="eastAsia"/>
          <w:color w:val="auto"/>
          <w:highlight w:val="none"/>
        </w:rPr>
        <w:t>质量</w:t>
      </w:r>
      <w:r>
        <w:rPr>
          <w:color w:val="auto"/>
          <w:highlight w:val="none"/>
        </w:rPr>
        <w:t>责任。</w:t>
      </w:r>
    </w:p>
    <w:p>
      <w:pPr>
        <w:pStyle w:val="5"/>
        <w:bidi w:val="0"/>
        <w:ind w:left="253"/>
        <w:rPr>
          <w:color w:val="auto"/>
          <w:highlight w:val="none"/>
        </w:rPr>
      </w:pPr>
      <w:bookmarkStart w:id="281" w:name="_Toc308643219"/>
      <w:bookmarkStart w:id="282" w:name="_Toc308696231"/>
      <w:bookmarkStart w:id="283" w:name="_Toc246820725"/>
      <w:r>
        <w:rPr>
          <w:color w:val="auto"/>
          <w:highlight w:val="none"/>
        </w:rPr>
        <w:t>质量</w:t>
      </w:r>
      <w:bookmarkEnd w:id="281"/>
      <w:bookmarkEnd w:id="282"/>
      <w:bookmarkEnd w:id="283"/>
      <w:r>
        <w:rPr>
          <w:rFonts w:hint="eastAsia"/>
          <w:color w:val="auto"/>
          <w:highlight w:val="none"/>
        </w:rPr>
        <w:t>管理体系和制度</w:t>
      </w:r>
    </w:p>
    <w:p>
      <w:pPr>
        <w:bidi w:val="0"/>
        <w:rPr>
          <w:color w:val="auto"/>
          <w:highlight w:val="none"/>
        </w:rPr>
      </w:pPr>
      <w:r>
        <w:rPr>
          <w:rFonts w:hint="eastAsia" w:eastAsia="宋体" w:cs="Arial"/>
          <w:color w:val="auto"/>
          <w:highlight w:val="none"/>
        </w:rPr>
        <w:t>总承包人应当建立一套完整而有效的质量管理体系以及相应的质量管理措施，建立并完善各项目质量管理检查制度及企业质量管理文件</w:t>
      </w:r>
      <w:r>
        <w:rPr>
          <w:rFonts w:hint="eastAsia" w:eastAsia="宋体" w:cs="Arial"/>
          <w:color w:val="auto"/>
          <w:highlight w:val="none"/>
          <w:lang w:eastAsia="zh-CN"/>
        </w:rPr>
        <w:t>，</w:t>
      </w:r>
      <w:r>
        <w:rPr>
          <w:rFonts w:hint="eastAsia" w:eastAsia="宋体" w:cs="Arial"/>
          <w:color w:val="auto"/>
          <w:highlight w:val="none"/>
        </w:rPr>
        <w:t>并将</w:t>
      </w:r>
      <w:r>
        <w:rPr>
          <w:color w:val="auto"/>
          <w:highlight w:val="none"/>
        </w:rPr>
        <w:t>本项目全</w:t>
      </w:r>
      <w:r>
        <w:rPr>
          <w:rFonts w:hint="eastAsia"/>
          <w:color w:val="auto"/>
          <w:highlight w:val="none"/>
        </w:rPr>
        <w:t>部施工单位的质量</w:t>
      </w:r>
      <w:r>
        <w:rPr>
          <w:color w:val="auto"/>
          <w:highlight w:val="none"/>
        </w:rPr>
        <w:t>管理</w:t>
      </w:r>
      <w:r>
        <w:rPr>
          <w:rFonts w:hint="eastAsia"/>
          <w:color w:val="auto"/>
          <w:highlight w:val="none"/>
        </w:rPr>
        <w:t>组织有机</w:t>
      </w:r>
      <w:r>
        <w:rPr>
          <w:color w:val="auto"/>
          <w:highlight w:val="none"/>
        </w:rPr>
        <w:t>融合在</w:t>
      </w:r>
      <w:r>
        <w:rPr>
          <w:rFonts w:hint="eastAsia"/>
          <w:color w:val="auto"/>
          <w:highlight w:val="none"/>
        </w:rPr>
        <w:t>总承包人的</w:t>
      </w:r>
      <w:r>
        <w:rPr>
          <w:color w:val="auto"/>
          <w:highlight w:val="none"/>
        </w:rPr>
        <w:t>工程质量管理体系</w:t>
      </w:r>
      <w:r>
        <w:rPr>
          <w:rFonts w:hint="eastAsia"/>
          <w:color w:val="auto"/>
          <w:highlight w:val="none"/>
        </w:rPr>
        <w:t>和</w:t>
      </w:r>
      <w:r>
        <w:rPr>
          <w:color w:val="auto"/>
          <w:highlight w:val="none"/>
        </w:rPr>
        <w:t>组织中，实施全方位质量管理，</w:t>
      </w:r>
      <w:r>
        <w:rPr>
          <w:rFonts w:hint="eastAsia" w:eastAsia="宋体" w:cs="Arial"/>
          <w:color w:val="auto"/>
          <w:highlight w:val="none"/>
        </w:rPr>
        <w:t>严格执行材料管理、样板引路、工序交接、隐蔽验收、工作面移交、分户验收等质量管理制度，加强流程管控和过程管理，并接受发包人、监理人的监督和检查，持续改进，满足发包人的质量要求，</w:t>
      </w:r>
      <w:r>
        <w:rPr>
          <w:color w:val="auto"/>
          <w:highlight w:val="none"/>
        </w:rPr>
        <w:t>保证整体工程</w:t>
      </w:r>
      <w:r>
        <w:rPr>
          <w:rFonts w:hint="eastAsia" w:eastAsia="宋体" w:cs="Arial"/>
          <w:color w:val="auto"/>
          <w:highlight w:val="none"/>
        </w:rPr>
        <w:t>达到合同中规定的质量目标</w:t>
      </w:r>
      <w:r>
        <w:rPr>
          <w:rFonts w:eastAsia="宋体" w:cs="Arial"/>
          <w:color w:val="auto"/>
          <w:highlight w:val="none"/>
        </w:rPr>
        <w:t>。</w:t>
      </w:r>
    </w:p>
    <w:p>
      <w:pPr>
        <w:pStyle w:val="5"/>
        <w:bidi w:val="0"/>
        <w:ind w:left="253"/>
        <w:rPr>
          <w:color w:val="auto"/>
          <w:highlight w:val="none"/>
        </w:rPr>
      </w:pPr>
      <w:r>
        <w:rPr>
          <w:color w:val="auto"/>
          <w:highlight w:val="none"/>
        </w:rPr>
        <w:t>三检制</w:t>
      </w:r>
      <w:r>
        <w:rPr>
          <w:rFonts w:hint="eastAsia"/>
          <w:color w:val="auto"/>
          <w:highlight w:val="none"/>
        </w:rPr>
        <w:t>验收程序</w:t>
      </w:r>
    </w:p>
    <w:p>
      <w:pPr>
        <w:bidi w:val="0"/>
        <w:rPr>
          <w:rFonts w:hint="eastAsia"/>
          <w:color w:val="auto"/>
          <w:highlight w:val="none"/>
        </w:rPr>
      </w:pPr>
      <w:r>
        <w:rPr>
          <w:rFonts w:hint="eastAsia"/>
          <w:color w:val="auto"/>
          <w:highlight w:val="none"/>
        </w:rPr>
        <w:t>总承包人</w:t>
      </w:r>
      <w:r>
        <w:rPr>
          <w:color w:val="auto"/>
          <w:highlight w:val="none"/>
        </w:rPr>
        <w:t>每道工序都要坚持自检、互检、专检制度，关键工序经监理</w:t>
      </w:r>
      <w:r>
        <w:rPr>
          <w:rFonts w:hint="eastAsia"/>
          <w:color w:val="auto"/>
          <w:highlight w:val="none"/>
        </w:rPr>
        <w:t>人/发包人</w:t>
      </w:r>
      <w:r>
        <w:rPr>
          <w:color w:val="auto"/>
          <w:highlight w:val="none"/>
        </w:rPr>
        <w:t>检查放行，否则不得进行下道工序施工。自检要做文字记录，隐蔽工程检查</w:t>
      </w:r>
      <w:r>
        <w:rPr>
          <w:rFonts w:hint="eastAsia"/>
          <w:color w:val="auto"/>
          <w:highlight w:val="none"/>
        </w:rPr>
        <w:t>应</w:t>
      </w:r>
      <w:r>
        <w:rPr>
          <w:color w:val="auto"/>
          <w:highlight w:val="none"/>
        </w:rPr>
        <w:t>做好齐全的文字记录</w:t>
      </w:r>
      <w:r>
        <w:rPr>
          <w:rFonts w:hint="eastAsia"/>
          <w:color w:val="auto"/>
          <w:highlight w:val="none"/>
        </w:rPr>
        <w:t>拍照存档</w:t>
      </w:r>
      <w:r>
        <w:rPr>
          <w:color w:val="auto"/>
          <w:highlight w:val="none"/>
        </w:rPr>
        <w:t>。各工序及最终工程质量，均需进行验收，分部工程</w:t>
      </w:r>
      <w:r>
        <w:rPr>
          <w:rFonts w:hint="eastAsia"/>
          <w:color w:val="auto"/>
          <w:highlight w:val="none"/>
        </w:rPr>
        <w:t>及单位工程</w:t>
      </w:r>
      <w:r>
        <w:rPr>
          <w:color w:val="auto"/>
          <w:highlight w:val="none"/>
        </w:rPr>
        <w:t>验收由</w:t>
      </w:r>
      <w:r>
        <w:rPr>
          <w:rFonts w:hint="eastAsia"/>
          <w:color w:val="auto"/>
          <w:highlight w:val="none"/>
        </w:rPr>
        <w:t>发包人</w:t>
      </w:r>
      <w:r>
        <w:rPr>
          <w:color w:val="auto"/>
          <w:highlight w:val="none"/>
        </w:rPr>
        <w:t>参加，未经核定或不合格者不得交工</w:t>
      </w:r>
      <w:r>
        <w:rPr>
          <w:rFonts w:hint="eastAsia"/>
          <w:color w:val="auto"/>
          <w:highlight w:val="none"/>
        </w:rPr>
        <w:t>。</w:t>
      </w:r>
    </w:p>
    <w:p>
      <w:pPr>
        <w:pStyle w:val="5"/>
        <w:bidi w:val="0"/>
        <w:ind w:left="253"/>
        <w:rPr>
          <w:rFonts w:hint="eastAsia"/>
          <w:color w:val="auto"/>
          <w:highlight w:val="none"/>
          <w:lang w:eastAsia="zh-CN"/>
        </w:rPr>
      </w:pPr>
      <w:bookmarkStart w:id="284" w:name="_Toc32219"/>
      <w:r>
        <w:rPr>
          <w:rFonts w:hint="default"/>
          <w:color w:val="auto"/>
          <w:highlight w:val="none"/>
          <w:lang w:eastAsia="zh-CN"/>
        </w:rPr>
        <w:t>质量常见问题防治</w:t>
      </w:r>
      <w:bookmarkEnd w:id="284"/>
    </w:p>
    <w:p>
      <w:pPr>
        <w:bidi w:val="0"/>
        <w:rPr>
          <w:rFonts w:hint="eastAsia"/>
          <w:color w:val="auto"/>
          <w:highlight w:val="none"/>
          <w:lang w:eastAsia="zh-CN"/>
        </w:rPr>
      </w:pPr>
      <w:r>
        <w:rPr>
          <w:rFonts w:hint="eastAsia"/>
          <w:color w:val="auto"/>
          <w:highlight w:val="none"/>
          <w:lang w:eastAsia="zh-CN"/>
        </w:rPr>
        <w:t>承包人必须严格执行有关质量常见问题治理措施、工程建设强制性标准和有关节、环境保护、绿色施工的规定。承包人须针对本项目制定工程质量常见问题防治措施方案需报监理人、发包人审批通过后按方案实施。</w:t>
      </w:r>
    </w:p>
    <w:p>
      <w:pPr>
        <w:pStyle w:val="5"/>
        <w:bidi w:val="0"/>
        <w:ind w:left="253"/>
        <w:rPr>
          <w:color w:val="auto"/>
          <w:highlight w:val="none"/>
          <w:lang w:eastAsia="zh-CN"/>
        </w:rPr>
      </w:pPr>
      <w:bookmarkStart w:id="285" w:name="_Toc24296"/>
      <w:r>
        <w:rPr>
          <w:rFonts w:hint="default"/>
          <w:color w:val="auto"/>
          <w:highlight w:val="none"/>
          <w:lang w:eastAsia="zh-CN"/>
        </w:rPr>
        <w:t>材料、设备质量保证</w:t>
      </w:r>
      <w:bookmarkEnd w:id="285"/>
    </w:p>
    <w:p>
      <w:pPr>
        <w:bidi w:val="0"/>
        <w:rPr>
          <w:rFonts w:hint="eastAsia"/>
          <w:color w:val="auto"/>
          <w:highlight w:val="none"/>
          <w:lang w:eastAsia="zh-CN"/>
        </w:rPr>
      </w:pPr>
      <w:r>
        <w:rPr>
          <w:rFonts w:hint="eastAsia"/>
          <w:color w:val="auto"/>
          <w:highlight w:val="none"/>
          <w:lang w:eastAsia="zh-CN"/>
        </w:rPr>
        <w:t>工程所用材料设备必须符合设计要求和国家有关规范与规定。承包人须确保使用的材料设备是合格的、全新的、未使用过的，凡材料设备质量不符合要求，承包人须停工和返工，返工费用由承包人承担，工期不予顺延。</w:t>
      </w:r>
    </w:p>
    <w:p>
      <w:pPr>
        <w:pStyle w:val="5"/>
        <w:bidi w:val="0"/>
        <w:ind w:left="253"/>
        <w:rPr>
          <w:color w:val="auto"/>
          <w:highlight w:val="none"/>
          <w:lang w:eastAsia="zh-CN"/>
        </w:rPr>
      </w:pPr>
      <w:bookmarkStart w:id="286" w:name="_Toc13989"/>
      <w:r>
        <w:rPr>
          <w:rFonts w:hint="default"/>
          <w:color w:val="auto"/>
          <w:highlight w:val="none"/>
          <w:lang w:eastAsia="zh-CN"/>
        </w:rPr>
        <w:t>人员持证上岗</w:t>
      </w:r>
      <w:bookmarkEnd w:id="286"/>
    </w:p>
    <w:p>
      <w:pPr>
        <w:bidi w:val="0"/>
        <w:rPr>
          <w:rFonts w:hint="eastAsia"/>
          <w:color w:val="auto"/>
          <w:highlight w:val="none"/>
          <w:lang w:eastAsia="zh-CN"/>
        </w:rPr>
      </w:pPr>
      <w:r>
        <w:rPr>
          <w:rFonts w:hint="eastAsia"/>
          <w:color w:val="auto"/>
          <w:highlight w:val="none"/>
          <w:lang w:eastAsia="zh-CN"/>
        </w:rPr>
        <w:t>承包人投入的施工作业人员必须具备相应的上岗证，如特种人员，还须具备特种人员作业证书，以确保施工质量。所有特种作业人员必须带证上岗，随时接受发包人、监理人检查，否则按合同约定承担违约责任。特种作业人员包含但不限于：</w:t>
      </w:r>
    </w:p>
    <w:p>
      <w:pPr>
        <w:bidi w:val="0"/>
        <w:rPr>
          <w:rFonts w:hint="eastAsia"/>
          <w:color w:val="auto"/>
          <w:highlight w:val="none"/>
          <w:lang w:eastAsia="zh-CN"/>
        </w:rPr>
      </w:pPr>
      <w:r>
        <w:rPr>
          <w:rFonts w:hint="eastAsia"/>
          <w:color w:val="auto"/>
          <w:highlight w:val="none"/>
          <w:lang w:eastAsia="zh-CN"/>
        </w:rPr>
        <w:t>电工：建筑电工（临时用电）、高压电（正式电）、低压电工（正式用电调试、送电等）。</w:t>
      </w:r>
    </w:p>
    <w:p>
      <w:pPr>
        <w:bidi w:val="0"/>
        <w:rPr>
          <w:rFonts w:hint="eastAsia"/>
          <w:color w:val="auto"/>
          <w:highlight w:val="none"/>
          <w:lang w:eastAsia="zh-CN"/>
        </w:rPr>
      </w:pPr>
      <w:r>
        <w:rPr>
          <w:rFonts w:hint="eastAsia"/>
          <w:color w:val="auto"/>
          <w:highlight w:val="none"/>
          <w:lang w:eastAsia="zh-CN"/>
        </w:rPr>
        <w:t>建筑架子工：普通架子工、高处作业吊篮安装拆卸工、附着式升降脚手架安装拆卸工建筑起重机械类：塔吊/施工电梯安装拆卸工、建筑起重机械司机（塔吊、施工电梯）、建筑起重信号司索工。</w:t>
      </w:r>
    </w:p>
    <w:p>
      <w:pPr>
        <w:bidi w:val="0"/>
        <w:rPr>
          <w:rFonts w:hint="eastAsia"/>
          <w:color w:val="auto"/>
          <w:highlight w:val="none"/>
          <w:lang w:eastAsia="zh-CN"/>
        </w:rPr>
      </w:pPr>
      <w:r>
        <w:rPr>
          <w:rFonts w:hint="eastAsia"/>
          <w:color w:val="auto"/>
          <w:highlight w:val="none"/>
          <w:lang w:eastAsia="zh-CN"/>
        </w:rPr>
        <w:t>桩机操作类：搅拌桩机操作工、旋挖桩机操作工等。</w:t>
      </w:r>
    </w:p>
    <w:p>
      <w:pPr>
        <w:bidi w:val="0"/>
        <w:rPr>
          <w:rFonts w:hint="eastAsia"/>
          <w:color w:val="auto"/>
          <w:highlight w:val="none"/>
          <w:lang w:eastAsia="zh-CN"/>
        </w:rPr>
      </w:pPr>
      <w:r>
        <w:rPr>
          <w:rFonts w:hint="eastAsia"/>
          <w:color w:val="auto"/>
          <w:highlight w:val="none"/>
          <w:lang w:eastAsia="zh-CN"/>
        </w:rPr>
        <w:t>焊工：建筑焊工、焊接与热切割作业。</w:t>
      </w:r>
    </w:p>
    <w:p>
      <w:pPr>
        <w:bidi w:val="0"/>
        <w:rPr>
          <w:rFonts w:hint="eastAsia"/>
          <w:color w:val="auto"/>
          <w:highlight w:val="none"/>
          <w:lang w:eastAsia="zh-CN"/>
        </w:rPr>
      </w:pPr>
      <w:r>
        <w:rPr>
          <w:rFonts w:hint="eastAsia"/>
          <w:color w:val="auto"/>
          <w:highlight w:val="none"/>
          <w:lang w:eastAsia="zh-CN"/>
        </w:rPr>
        <w:t>其他：省级建设主管部门认可的其他特种作业人员。</w:t>
      </w:r>
    </w:p>
    <w:p>
      <w:pPr>
        <w:pStyle w:val="5"/>
        <w:bidi w:val="0"/>
        <w:ind w:left="253"/>
        <w:rPr>
          <w:color w:val="auto"/>
          <w:highlight w:val="none"/>
          <w:lang w:eastAsia="zh-CN"/>
        </w:rPr>
      </w:pPr>
      <w:bookmarkStart w:id="287" w:name="_Toc12787"/>
      <w:r>
        <w:rPr>
          <w:rFonts w:hint="default"/>
          <w:color w:val="auto"/>
          <w:highlight w:val="none"/>
          <w:lang w:eastAsia="zh-CN"/>
        </w:rPr>
        <w:t>按图施工</w:t>
      </w:r>
      <w:bookmarkEnd w:id="287"/>
    </w:p>
    <w:p>
      <w:pPr>
        <w:bidi w:val="0"/>
        <w:rPr>
          <w:rFonts w:hint="eastAsia"/>
          <w:color w:val="auto"/>
          <w:highlight w:val="none"/>
          <w:lang w:eastAsia="zh-CN"/>
        </w:rPr>
      </w:pPr>
      <w:r>
        <w:rPr>
          <w:rFonts w:hint="eastAsia"/>
          <w:color w:val="auto"/>
          <w:highlight w:val="none"/>
          <w:lang w:eastAsia="zh-CN"/>
        </w:rPr>
        <w:t>承包人必须严格按审查批准的施工方案和设计图纸施工，不得擅自修改施工方案及设计图纸，</w:t>
      </w:r>
      <w:r>
        <w:rPr>
          <w:rFonts w:hint="eastAsia"/>
          <w:color w:val="auto"/>
          <w:highlight w:val="none"/>
          <w:lang w:val="en-US" w:eastAsia="zh-CN"/>
        </w:rPr>
        <w:t>发包人对任何现场实施与图纸不符的地方有权要求承包人返工，承包人需无条件配合</w:t>
      </w:r>
      <w:r>
        <w:rPr>
          <w:rFonts w:hint="eastAsia"/>
          <w:color w:val="auto"/>
          <w:highlight w:val="none"/>
          <w:lang w:eastAsia="zh-CN"/>
        </w:rPr>
        <w:t>。</w:t>
      </w:r>
    </w:p>
    <w:p>
      <w:pPr>
        <w:pStyle w:val="5"/>
        <w:bidi w:val="0"/>
        <w:rPr>
          <w:rFonts w:hint="eastAsia"/>
          <w:color w:val="auto"/>
          <w:highlight w:val="none"/>
          <w:lang w:val="en-US" w:eastAsia="zh-CN"/>
        </w:rPr>
      </w:pPr>
      <w:r>
        <w:rPr>
          <w:rFonts w:hint="eastAsia"/>
          <w:color w:val="auto"/>
          <w:highlight w:val="none"/>
          <w:lang w:val="en-US" w:eastAsia="zh-CN"/>
        </w:rPr>
        <w:t>关键工序停止点检查要求</w:t>
      </w:r>
    </w:p>
    <w:p>
      <w:pPr>
        <w:bidi w:val="0"/>
        <w:rPr>
          <w:rFonts w:hint="default"/>
          <w:b/>
          <w:bCs/>
          <w:color w:val="auto"/>
          <w:highlight w:val="none"/>
          <w:lang w:val="en-US" w:eastAsia="zh-CN"/>
        </w:rPr>
      </w:pPr>
      <w:r>
        <w:rPr>
          <w:rFonts w:hint="eastAsia"/>
          <w:color w:val="auto"/>
          <w:highlight w:val="none"/>
          <w:lang w:val="en-US" w:eastAsia="zh-CN"/>
        </w:rPr>
        <w:t>对于主体阶段、地下室阶段、粗装修阶段、机电阶段、装饰装修等阶段的关键工序，总承包人要坚持自检、互检、专检制度，关键工序经监理人/发包人检查放行，并形成验收记录，否则不得进行下道工序施工。需监理人/发包人进行检查、抽查的关键工序批次比例，详见</w:t>
      </w:r>
      <w:r>
        <w:rPr>
          <w:rFonts w:hint="eastAsia"/>
          <w:b/>
          <w:bCs/>
          <w:color w:val="auto"/>
          <w:highlight w:val="none"/>
          <w:lang w:val="en-US" w:eastAsia="zh-CN"/>
        </w:rPr>
        <w:t>《【附件B-4】关键工序停止点验收清单》</w:t>
      </w:r>
    </w:p>
    <w:p>
      <w:pPr>
        <w:pStyle w:val="4"/>
        <w:bidi w:val="0"/>
        <w:rPr>
          <w:rFonts w:hint="eastAsia"/>
          <w:color w:val="auto"/>
          <w:highlight w:val="none"/>
          <w:lang w:eastAsia="zh-CN"/>
        </w:rPr>
      </w:pPr>
      <w:bookmarkStart w:id="288" w:name="_Toc18473"/>
      <w:r>
        <w:rPr>
          <w:rFonts w:hint="eastAsia"/>
          <w:color w:val="auto"/>
          <w:highlight w:val="none"/>
          <w:lang w:val="en-US" w:eastAsia="zh-CN"/>
        </w:rPr>
        <w:t>成品</w:t>
      </w:r>
      <w:r>
        <w:rPr>
          <w:rFonts w:hint="eastAsia"/>
          <w:color w:val="auto"/>
          <w:highlight w:val="none"/>
          <w:lang w:eastAsia="zh-CN"/>
        </w:rPr>
        <w:t>保护</w:t>
      </w:r>
      <w:bookmarkEnd w:id="288"/>
    </w:p>
    <w:p>
      <w:pPr>
        <w:bidi w:val="0"/>
        <w:rPr>
          <w:color w:val="auto"/>
          <w:highlight w:val="none"/>
          <w:lang w:eastAsia="zh-CN"/>
        </w:rPr>
      </w:pPr>
      <w:r>
        <w:rPr>
          <w:rFonts w:hint="default"/>
          <w:color w:val="auto"/>
          <w:highlight w:val="none"/>
          <w:lang w:eastAsia="zh-CN"/>
        </w:rPr>
        <w:t>承包人应加强工程材料、设备、半成品、成品的现场保护工作，项目移交之前造成的遗失或损坏由中标单位自行承担。</w:t>
      </w:r>
    </w:p>
    <w:p>
      <w:pPr>
        <w:pStyle w:val="5"/>
        <w:bidi w:val="0"/>
        <w:ind w:left="253"/>
        <w:rPr>
          <w:color w:val="auto"/>
          <w:highlight w:val="none"/>
          <w:lang w:eastAsia="zh-CN"/>
        </w:rPr>
      </w:pPr>
      <w:r>
        <w:rPr>
          <w:rFonts w:hint="default"/>
          <w:color w:val="auto"/>
          <w:highlight w:val="none"/>
          <w:lang w:eastAsia="zh-CN"/>
        </w:rPr>
        <w:t>成品保护遵循谁施工谁保护的原则，承包人有责任做好场地内的成品保护的后续检查和维护工作，并在必要的情况下做好二次保护工作。</w:t>
      </w:r>
    </w:p>
    <w:p>
      <w:pPr>
        <w:pStyle w:val="5"/>
        <w:bidi w:val="0"/>
        <w:ind w:left="253"/>
        <w:rPr>
          <w:color w:val="auto"/>
          <w:highlight w:val="none"/>
          <w:lang w:eastAsia="zh-CN"/>
        </w:rPr>
      </w:pPr>
      <w:r>
        <w:rPr>
          <w:rFonts w:hint="eastAsia"/>
          <w:color w:val="auto"/>
          <w:highlight w:val="none"/>
          <w:lang w:eastAsia="zh-CN"/>
        </w:rPr>
        <w:t>成品保护应遵循先验收后保护的原则；所有工序必须经过施工单位自检、监理验收并做好成品清洁后方可进行保护。</w:t>
      </w:r>
    </w:p>
    <w:p>
      <w:pPr>
        <w:pStyle w:val="5"/>
        <w:bidi w:val="0"/>
        <w:ind w:left="253"/>
        <w:rPr>
          <w:color w:val="auto"/>
          <w:highlight w:val="none"/>
          <w:lang w:eastAsia="zh-CN"/>
        </w:rPr>
      </w:pPr>
      <w:r>
        <w:rPr>
          <w:rFonts w:hint="eastAsia"/>
          <w:color w:val="auto"/>
          <w:highlight w:val="none"/>
          <w:lang w:eastAsia="zh-CN"/>
        </w:rPr>
        <w:t>成品保护应遵循持续保护原则，施工中及细部检查阶段，承包人有责任做好成品保护的后续检查和维护工作，对于成品保护措施被破坏、拆除的必须在恢复保护措施后方可进行施工。</w:t>
      </w:r>
    </w:p>
    <w:p>
      <w:pPr>
        <w:pStyle w:val="5"/>
        <w:bidi w:val="0"/>
        <w:ind w:left="253"/>
        <w:rPr>
          <w:color w:val="auto"/>
          <w:highlight w:val="none"/>
          <w:lang w:eastAsia="zh-CN"/>
        </w:rPr>
      </w:pPr>
      <w:r>
        <w:rPr>
          <w:rFonts w:hint="eastAsia"/>
          <w:color w:val="auto"/>
          <w:highlight w:val="none"/>
          <w:lang w:eastAsia="zh-CN"/>
        </w:rPr>
        <w:t>责任明确原则</w:t>
      </w:r>
    </w:p>
    <w:p>
      <w:pPr>
        <w:bidi w:val="0"/>
        <w:rPr>
          <w:color w:val="auto"/>
          <w:highlight w:val="none"/>
          <w:lang w:eastAsia="zh-CN"/>
        </w:rPr>
      </w:pPr>
      <w:r>
        <w:rPr>
          <w:rFonts w:hint="eastAsia"/>
          <w:color w:val="auto"/>
          <w:highlight w:val="none"/>
          <w:lang w:eastAsia="zh-CN"/>
        </w:rPr>
        <w:t>（1）承包人对已方产品的保护负有最终的责任，包括对成品采取防护措施的责任、看管和巡查的责任、与后续相关单位的协调和交底的责任等。承包人必须保证在交接或验收时，其产品的品质和数量符合合同和相关规范的要求。</w:t>
      </w:r>
    </w:p>
    <w:p>
      <w:pPr>
        <w:bidi w:val="0"/>
        <w:rPr>
          <w:color w:val="auto"/>
          <w:highlight w:val="none"/>
          <w:lang w:eastAsia="zh-CN"/>
        </w:rPr>
      </w:pPr>
      <w:r>
        <w:rPr>
          <w:rFonts w:hint="eastAsia"/>
          <w:color w:val="auto"/>
          <w:highlight w:val="none"/>
          <w:lang w:eastAsia="zh-CN"/>
        </w:rPr>
        <w:t>（2）户门安装上锁后，室内成品保护进入专人看护集中管理阶段。后续工序施工人员进出室内需要办理移交手续（提交入内施工申请）。项目部每周组织召开协调会，明确以流水方式进入具体房间的时间表，看护人员根据此表组织场地移交，负责开门、检查、关门、再检查的工作。</w:t>
      </w:r>
    </w:p>
    <w:p>
      <w:pPr>
        <w:pStyle w:val="5"/>
        <w:bidi w:val="0"/>
        <w:ind w:left="253"/>
        <w:rPr>
          <w:color w:val="auto"/>
          <w:highlight w:val="none"/>
          <w:lang w:eastAsia="zh-CN"/>
        </w:rPr>
      </w:pPr>
      <w:r>
        <w:rPr>
          <w:rFonts w:hint="eastAsia"/>
          <w:color w:val="auto"/>
          <w:highlight w:val="none"/>
          <w:lang w:eastAsia="zh-CN"/>
        </w:rPr>
        <w:t>工序合理化原则</w:t>
      </w:r>
    </w:p>
    <w:p>
      <w:pPr>
        <w:bidi w:val="0"/>
        <w:rPr>
          <w:color w:val="auto"/>
          <w:highlight w:val="none"/>
          <w:lang w:eastAsia="zh-CN"/>
        </w:rPr>
      </w:pPr>
      <w:r>
        <w:rPr>
          <w:color w:val="auto"/>
          <w:highlight w:val="none"/>
          <w:lang w:eastAsia="zh-CN"/>
        </w:rPr>
        <w:t xml:space="preserve"> </w:t>
      </w:r>
      <w:r>
        <w:rPr>
          <w:rFonts w:hint="eastAsia"/>
          <w:color w:val="auto"/>
          <w:highlight w:val="none"/>
          <w:lang w:eastAsia="zh-CN"/>
        </w:rPr>
        <w:t>项目部根据施工内容合理规划施工工序和交叉作业。承包人应严格执行，尽量避免多工种在同一房间内交叉施工。</w:t>
      </w:r>
    </w:p>
    <w:p>
      <w:pPr>
        <w:pStyle w:val="5"/>
        <w:bidi w:val="0"/>
        <w:ind w:left="253"/>
        <w:rPr>
          <w:color w:val="auto"/>
          <w:highlight w:val="none"/>
          <w:lang w:eastAsia="zh-CN"/>
        </w:rPr>
      </w:pPr>
      <w:r>
        <w:rPr>
          <w:rFonts w:hint="eastAsia"/>
          <w:color w:val="auto"/>
          <w:highlight w:val="none"/>
          <w:lang w:eastAsia="zh-CN"/>
        </w:rPr>
        <w:t>防护措施的持续维护原则</w:t>
      </w:r>
    </w:p>
    <w:p>
      <w:pPr>
        <w:bidi w:val="0"/>
        <w:rPr>
          <w:color w:val="auto"/>
          <w:highlight w:val="none"/>
          <w:lang w:eastAsia="zh-CN"/>
        </w:rPr>
      </w:pPr>
      <w:r>
        <w:rPr>
          <w:color w:val="auto"/>
          <w:highlight w:val="none"/>
          <w:lang w:eastAsia="zh-CN"/>
        </w:rPr>
        <w:t xml:space="preserve"> </w:t>
      </w:r>
      <w:r>
        <w:rPr>
          <w:rFonts w:hint="eastAsia"/>
          <w:color w:val="auto"/>
          <w:highlight w:val="none"/>
          <w:lang w:eastAsia="zh-CN"/>
        </w:rPr>
        <w:t>承包人负有对成品防护措施进行巡视检查的责任，同时负有对已破坏的部分及时进行修补的责任。</w:t>
      </w:r>
    </w:p>
    <w:p>
      <w:pPr>
        <w:pStyle w:val="5"/>
        <w:bidi w:val="0"/>
        <w:ind w:left="253"/>
        <w:rPr>
          <w:color w:val="auto"/>
          <w:highlight w:val="none"/>
          <w:lang w:eastAsia="zh-CN"/>
        </w:rPr>
      </w:pPr>
      <w:r>
        <w:rPr>
          <w:rFonts w:hint="eastAsia"/>
          <w:color w:val="auto"/>
          <w:highlight w:val="none"/>
          <w:lang w:eastAsia="zh-CN"/>
        </w:rPr>
        <w:t>其它要求</w:t>
      </w:r>
    </w:p>
    <w:p>
      <w:pPr>
        <w:bidi w:val="0"/>
        <w:rPr>
          <w:color w:val="auto"/>
          <w:highlight w:val="none"/>
          <w:lang w:eastAsia="zh-CN"/>
        </w:rPr>
      </w:pPr>
      <w:r>
        <w:rPr>
          <w:rFonts w:hint="eastAsia"/>
          <w:color w:val="auto"/>
          <w:highlight w:val="none"/>
          <w:lang w:eastAsia="zh-CN"/>
        </w:rPr>
        <w:t>（</w:t>
      </w:r>
      <w:r>
        <w:rPr>
          <w:rFonts w:hint="eastAsia"/>
          <w:color w:val="auto"/>
          <w:highlight w:val="none"/>
          <w:lang w:val="en-US" w:eastAsia="zh-CN"/>
        </w:rPr>
        <w:t>1</w:t>
      </w:r>
      <w:r>
        <w:rPr>
          <w:rFonts w:hint="eastAsia"/>
          <w:color w:val="auto"/>
          <w:highlight w:val="none"/>
          <w:lang w:eastAsia="zh-CN"/>
        </w:rPr>
        <w:t>）施工过程中的成品保护</w:t>
      </w:r>
    </w:p>
    <w:p>
      <w:pPr>
        <w:bidi w:val="0"/>
        <w:rPr>
          <w:color w:val="auto"/>
          <w:highlight w:val="none"/>
          <w:lang w:eastAsia="zh-CN"/>
        </w:rPr>
      </w:pPr>
      <w:r>
        <w:rPr>
          <w:color w:val="auto"/>
          <w:highlight w:val="none"/>
          <w:lang w:eastAsia="zh-CN"/>
        </w:rPr>
        <w:t>1</w:t>
      </w:r>
      <w:r>
        <w:rPr>
          <w:rFonts w:hint="eastAsia"/>
          <w:color w:val="auto"/>
          <w:highlight w:val="none"/>
          <w:lang w:eastAsia="zh-CN"/>
        </w:rPr>
        <w:t>）各工种在施工中不得污染、损坏其他工种的半成品、成品。</w:t>
      </w:r>
    </w:p>
    <w:p>
      <w:pPr>
        <w:bidi w:val="0"/>
        <w:rPr>
          <w:color w:val="auto"/>
          <w:highlight w:val="none"/>
          <w:lang w:eastAsia="zh-CN"/>
        </w:rPr>
      </w:pPr>
      <w:r>
        <w:rPr>
          <w:color w:val="auto"/>
          <w:highlight w:val="none"/>
          <w:lang w:eastAsia="zh-CN"/>
        </w:rPr>
        <w:t>2</w:t>
      </w:r>
      <w:r>
        <w:rPr>
          <w:rFonts w:hint="eastAsia"/>
          <w:color w:val="auto"/>
          <w:highlight w:val="none"/>
          <w:lang w:eastAsia="zh-CN"/>
        </w:rPr>
        <w:t>）材料表面保护膜实施单位应负责在交付保洁前拆除。</w:t>
      </w:r>
    </w:p>
    <w:p>
      <w:pPr>
        <w:bidi w:val="0"/>
        <w:rPr>
          <w:rFonts w:hint="eastAsia"/>
          <w:color w:val="auto"/>
          <w:highlight w:val="none"/>
          <w:lang w:eastAsia="zh-CN"/>
        </w:rPr>
        <w:sectPr>
          <w:pgSz w:w="11905" w:h="16839"/>
          <w:pgMar w:top="1426" w:right="1379" w:bottom="1309" w:left="1447" w:header="0" w:footer="1144" w:gutter="0"/>
          <w:pgNumType w:fmt="decimal"/>
          <w:cols w:space="720" w:num="1"/>
        </w:sectPr>
      </w:pPr>
      <w:r>
        <w:rPr>
          <w:color w:val="auto"/>
          <w:highlight w:val="none"/>
          <w:lang w:eastAsia="zh-CN"/>
        </w:rPr>
        <w:t>3</w:t>
      </w:r>
      <w:r>
        <w:rPr>
          <w:rFonts w:hint="eastAsia"/>
          <w:color w:val="auto"/>
          <w:highlight w:val="none"/>
          <w:lang w:eastAsia="zh-CN"/>
        </w:rPr>
        <w:t>）成品保护措施在移交时各项措施应完善、固定牢靠。</w:t>
      </w:r>
    </w:p>
    <w:p>
      <w:pPr>
        <w:pStyle w:val="5"/>
        <w:bidi w:val="0"/>
        <w:ind w:left="253"/>
        <w:rPr>
          <w:color w:val="auto"/>
          <w:highlight w:val="none"/>
        </w:rPr>
      </w:pPr>
      <w:r>
        <w:rPr>
          <w:rFonts w:hint="eastAsia"/>
          <w:color w:val="auto"/>
          <w:highlight w:val="none"/>
        </w:rPr>
        <w:t>土建成品保护标准做法</w:t>
      </w:r>
    </w:p>
    <w:tbl>
      <w:tblPr>
        <w:tblStyle w:val="21"/>
        <w:tblW w:w="0" w:type="auto"/>
        <w:jc w:val="center"/>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0" w:type="dxa"/>
          <w:bottom w:w="0" w:type="dxa"/>
          <w:right w:w="0" w:type="dxa"/>
        </w:tblCellMar>
      </w:tblPr>
      <w:tblGrid>
        <w:gridCol w:w="664"/>
        <w:gridCol w:w="1204"/>
        <w:gridCol w:w="2461"/>
        <w:gridCol w:w="3870"/>
        <w:gridCol w:w="3800"/>
        <w:gridCol w:w="720"/>
      </w:tblGrid>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PrEx>
        <w:trPr>
          <w:trHeight w:val="583" w:hRule="atLeast"/>
          <w:jc w:val="center"/>
        </w:trPr>
        <w:tc>
          <w:tcPr>
            <w:tcW w:w="12719" w:type="dxa"/>
            <w:gridSpan w:val="6"/>
            <w:shd w:val="clear" w:color="auto" w:fill="auto"/>
            <w:vAlign w:val="center"/>
          </w:tcPr>
          <w:p>
            <w:pPr>
              <w:pStyle w:val="12"/>
              <w:bidi w:val="0"/>
              <w:rPr>
                <w:b/>
                <w:bCs/>
                <w:color w:val="auto"/>
                <w:highlight w:val="none"/>
                <w:lang w:val="zh-CN" w:eastAsia="zh-CN"/>
              </w:rPr>
            </w:pPr>
            <w:r>
              <w:rPr>
                <w:rFonts w:hint="eastAsia"/>
                <w:b/>
                <w:bCs/>
                <w:color w:val="auto"/>
                <w:highlight w:val="none"/>
                <w:lang w:val="zh-CN" w:eastAsia="zh-CN"/>
              </w:rPr>
              <w:t>土建成品保护标准做法</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79" w:hRule="atLeast"/>
          <w:jc w:val="center"/>
        </w:trPr>
        <w:tc>
          <w:tcPr>
            <w:tcW w:w="664" w:type="dxa"/>
            <w:shd w:val="clear" w:color="auto" w:fill="auto"/>
            <w:vAlign w:val="center"/>
          </w:tcPr>
          <w:p>
            <w:pPr>
              <w:pStyle w:val="12"/>
              <w:bidi w:val="0"/>
              <w:rPr>
                <w:b/>
                <w:bCs/>
                <w:color w:val="auto"/>
                <w:highlight w:val="none"/>
                <w:lang w:val="zh-CN" w:eastAsia="zh-CN"/>
              </w:rPr>
            </w:pPr>
            <w:r>
              <w:rPr>
                <w:rFonts w:hint="eastAsia"/>
                <w:b/>
                <w:bCs/>
                <w:color w:val="auto"/>
                <w:highlight w:val="none"/>
                <w:lang w:val="zh-CN" w:eastAsia="zh-CN"/>
              </w:rPr>
              <w:t>序号</w:t>
            </w:r>
          </w:p>
        </w:tc>
        <w:tc>
          <w:tcPr>
            <w:tcW w:w="1204" w:type="dxa"/>
            <w:shd w:val="clear" w:color="auto" w:fill="auto"/>
            <w:vAlign w:val="center"/>
          </w:tcPr>
          <w:p>
            <w:pPr>
              <w:pStyle w:val="12"/>
              <w:bidi w:val="0"/>
              <w:rPr>
                <w:b/>
                <w:bCs/>
                <w:color w:val="auto"/>
                <w:highlight w:val="none"/>
                <w:lang w:val="zh-CN" w:eastAsia="zh-CN"/>
              </w:rPr>
            </w:pPr>
            <w:r>
              <w:rPr>
                <w:rFonts w:hint="eastAsia"/>
                <w:b/>
                <w:bCs/>
                <w:color w:val="auto"/>
                <w:highlight w:val="none"/>
                <w:lang w:val="zh-CN" w:eastAsia="zh-CN"/>
              </w:rPr>
              <w:t>保护内容</w:t>
            </w:r>
          </w:p>
        </w:tc>
        <w:tc>
          <w:tcPr>
            <w:tcW w:w="2461" w:type="dxa"/>
            <w:shd w:val="clear" w:color="auto" w:fill="auto"/>
            <w:vAlign w:val="center"/>
          </w:tcPr>
          <w:p>
            <w:pPr>
              <w:pStyle w:val="12"/>
              <w:bidi w:val="0"/>
              <w:rPr>
                <w:b/>
                <w:bCs/>
                <w:color w:val="auto"/>
                <w:highlight w:val="none"/>
                <w:lang w:val="zh-CN" w:eastAsia="zh-CN"/>
              </w:rPr>
            </w:pPr>
            <w:r>
              <w:rPr>
                <w:rFonts w:hint="eastAsia"/>
                <w:b/>
                <w:bCs/>
                <w:color w:val="auto"/>
                <w:highlight w:val="none"/>
                <w:lang w:val="zh-CN" w:eastAsia="zh-CN"/>
              </w:rPr>
              <w:t>保护标准</w:t>
            </w:r>
          </w:p>
        </w:tc>
        <w:tc>
          <w:tcPr>
            <w:tcW w:w="7670" w:type="dxa"/>
            <w:gridSpan w:val="2"/>
            <w:shd w:val="clear" w:color="auto" w:fill="auto"/>
            <w:vAlign w:val="center"/>
          </w:tcPr>
          <w:p>
            <w:pPr>
              <w:pStyle w:val="12"/>
              <w:bidi w:val="0"/>
              <w:rPr>
                <w:b/>
                <w:bCs/>
                <w:color w:val="auto"/>
                <w:highlight w:val="none"/>
                <w:lang w:val="zh-CN" w:eastAsia="zh-CN"/>
              </w:rPr>
            </w:pPr>
            <w:r>
              <w:rPr>
                <w:rFonts w:hint="eastAsia"/>
                <w:b/>
                <w:bCs/>
                <w:color w:val="auto"/>
                <w:highlight w:val="none"/>
                <w:lang w:val="zh-CN" w:eastAsia="zh-CN"/>
              </w:rPr>
              <w:t>图示</w:t>
            </w:r>
          </w:p>
        </w:tc>
        <w:tc>
          <w:tcPr>
            <w:tcW w:w="720" w:type="dxa"/>
            <w:shd w:val="clear" w:color="auto" w:fill="auto"/>
            <w:vAlign w:val="center"/>
          </w:tcPr>
          <w:p>
            <w:pPr>
              <w:pStyle w:val="12"/>
              <w:bidi w:val="0"/>
              <w:rPr>
                <w:b/>
                <w:bCs/>
                <w:color w:val="auto"/>
                <w:highlight w:val="none"/>
                <w:lang w:val="zh-CN" w:eastAsia="zh-CN"/>
              </w:rPr>
            </w:pPr>
            <w:r>
              <w:rPr>
                <w:rFonts w:hint="eastAsia"/>
                <w:b/>
                <w:bCs/>
                <w:color w:val="auto"/>
                <w:highlight w:val="none"/>
                <w:lang w:val="zh-CN" w:eastAsia="zh-CN"/>
              </w:rPr>
              <w:t>备注</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599" w:hRule="atLeast"/>
          <w:jc w:val="center"/>
        </w:trPr>
        <w:tc>
          <w:tcPr>
            <w:tcW w:w="664" w:type="dxa"/>
            <w:vAlign w:val="center"/>
          </w:tcPr>
          <w:p>
            <w:pPr>
              <w:pStyle w:val="12"/>
              <w:bidi w:val="0"/>
              <w:rPr>
                <w:color w:val="auto"/>
                <w:highlight w:val="none"/>
                <w:lang w:val="zh-CN" w:eastAsia="zh-CN"/>
              </w:rPr>
            </w:pPr>
            <w:r>
              <w:rPr>
                <w:rFonts w:hint="eastAsia"/>
                <w:color w:val="auto"/>
                <w:highlight w:val="none"/>
                <w:lang w:eastAsia="zh-CN"/>
              </w:rPr>
              <w:t>1</w:t>
            </w:r>
          </w:p>
        </w:tc>
        <w:tc>
          <w:tcPr>
            <w:tcW w:w="1204" w:type="dxa"/>
            <w:vAlign w:val="center"/>
          </w:tcPr>
          <w:p>
            <w:pPr>
              <w:pStyle w:val="12"/>
              <w:bidi w:val="0"/>
              <w:rPr>
                <w:color w:val="auto"/>
                <w:highlight w:val="none"/>
                <w:lang w:val="zh-CN" w:eastAsia="zh-CN"/>
              </w:rPr>
            </w:pPr>
            <w:r>
              <w:rPr>
                <w:color w:val="auto"/>
                <w:highlight w:val="none"/>
                <w:lang w:val="zh-CN" w:eastAsia="zh-CN"/>
              </w:rPr>
              <w:t>后期施工钢筋保护</w:t>
            </w:r>
          </w:p>
        </w:tc>
        <w:tc>
          <w:tcPr>
            <w:tcW w:w="2461" w:type="dxa"/>
            <w:vAlign w:val="center"/>
          </w:tcPr>
          <w:p>
            <w:pPr>
              <w:pStyle w:val="12"/>
              <w:bidi w:val="0"/>
              <w:rPr>
                <w:color w:val="auto"/>
                <w:highlight w:val="none"/>
                <w:lang w:val="zh-CN" w:eastAsia="zh-CN"/>
              </w:rPr>
            </w:pPr>
            <w:r>
              <w:rPr>
                <w:color w:val="auto"/>
                <w:highlight w:val="none"/>
                <w:lang w:val="zh-CN" w:eastAsia="zh-CN"/>
              </w:rPr>
              <w:t>现场对于结构面上后期施工的钢筋采用</w:t>
            </w:r>
            <w:r>
              <w:rPr>
                <w:rFonts w:hint="eastAsia"/>
                <w:color w:val="auto"/>
                <w:highlight w:val="none"/>
                <w:lang w:val="en-US" w:eastAsia="zh-CN"/>
              </w:rPr>
              <w:t>覆膜</w:t>
            </w:r>
            <w:r>
              <w:rPr>
                <w:color w:val="auto"/>
                <w:highlight w:val="none"/>
                <w:lang w:val="zh-CN" w:eastAsia="zh-CN"/>
              </w:rPr>
              <w:t>保护，防止钢筋锈蚀</w:t>
            </w:r>
          </w:p>
        </w:tc>
        <w:tc>
          <w:tcPr>
            <w:tcW w:w="3870" w:type="dxa"/>
            <w:vAlign w:val="center"/>
          </w:tcPr>
          <w:p>
            <w:pPr>
              <w:pStyle w:val="12"/>
              <w:bidi w:val="0"/>
              <w:rPr>
                <w:color w:val="auto"/>
                <w:highlight w:val="none"/>
                <w:lang w:val="zh-CN" w:eastAsia="zh-CN"/>
              </w:rPr>
            </w:pPr>
          </w:p>
          <w:p>
            <w:pPr>
              <w:pStyle w:val="12"/>
              <w:bidi w:val="0"/>
              <w:rPr>
                <w:rFonts w:hint="eastAsia"/>
                <w:color w:val="auto"/>
                <w:highlight w:val="none"/>
                <w:lang w:val="zh-CN" w:eastAsia="zh"/>
              </w:rPr>
            </w:pPr>
            <w:r>
              <w:rPr>
                <w:rFonts w:hint="eastAsia"/>
                <w:color w:val="auto"/>
                <w:highlight w:val="none"/>
                <w:lang w:val="zh-CN" w:eastAsia="zh"/>
              </w:rPr>
              <w:drawing>
                <wp:inline distT="0" distB="0" distL="114300" distR="114300">
                  <wp:extent cx="2336165" cy="1517650"/>
                  <wp:effectExtent l="0" t="0" r="6985" b="6350"/>
                  <wp:docPr id="248" name="图片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图片 248"/>
                          <pic:cNvPicPr>
                            <a:picLocks noChangeAspect="1"/>
                          </pic:cNvPicPr>
                        </pic:nvPicPr>
                        <pic:blipFill>
                          <a:blip r:embed="rId11"/>
                          <a:stretch>
                            <a:fillRect/>
                          </a:stretch>
                        </pic:blipFill>
                        <pic:spPr>
                          <a:xfrm>
                            <a:off x="0" y="0"/>
                            <a:ext cx="2336165" cy="1517650"/>
                          </a:xfrm>
                          <a:prstGeom prst="rect">
                            <a:avLst/>
                          </a:prstGeom>
                        </pic:spPr>
                      </pic:pic>
                    </a:graphicData>
                  </a:graphic>
                </wp:inline>
              </w:drawing>
            </w:r>
          </w:p>
        </w:tc>
        <w:tc>
          <w:tcPr>
            <w:tcW w:w="3800" w:type="dxa"/>
            <w:vAlign w:val="center"/>
          </w:tcPr>
          <w:p>
            <w:pPr>
              <w:pStyle w:val="12"/>
              <w:bidi w:val="0"/>
              <w:rPr>
                <w:rFonts w:hint="default"/>
                <w:color w:val="auto"/>
                <w:highlight w:val="none"/>
                <w:lang w:val="en-US" w:eastAsia="zh-CN"/>
              </w:rPr>
            </w:pPr>
            <w:r>
              <w:rPr>
                <w:rFonts w:hint="eastAsia"/>
                <w:color w:val="auto"/>
                <w:highlight w:val="none"/>
                <w:lang w:val="en-US" w:eastAsia="zh-CN"/>
              </w:rPr>
              <w:t>/</w:t>
            </w:r>
          </w:p>
        </w:tc>
        <w:tc>
          <w:tcPr>
            <w:tcW w:w="720" w:type="dxa"/>
            <w:vAlign w:val="center"/>
          </w:tcPr>
          <w:p>
            <w:pPr>
              <w:pStyle w:val="12"/>
              <w:bidi w:val="0"/>
              <w:rPr>
                <w:color w:val="auto"/>
                <w:highlight w:val="none"/>
                <w:lang w:val="zh-CN" w:eastAsia="zh-CN"/>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599" w:hRule="atLeast"/>
          <w:jc w:val="center"/>
        </w:trPr>
        <w:tc>
          <w:tcPr>
            <w:tcW w:w="664" w:type="dxa"/>
            <w:vAlign w:val="center"/>
          </w:tcPr>
          <w:p>
            <w:pPr>
              <w:pStyle w:val="12"/>
              <w:bidi w:val="0"/>
              <w:rPr>
                <w:color w:val="auto"/>
                <w:highlight w:val="none"/>
                <w:lang w:val="zh-CN" w:eastAsia="zh-CN"/>
              </w:rPr>
            </w:pPr>
            <w:r>
              <w:rPr>
                <w:rFonts w:hint="eastAsia"/>
                <w:color w:val="auto"/>
                <w:highlight w:val="none"/>
                <w:lang w:eastAsia="zh-CN"/>
              </w:rPr>
              <w:t>2</w:t>
            </w:r>
          </w:p>
        </w:tc>
        <w:tc>
          <w:tcPr>
            <w:tcW w:w="1204" w:type="dxa"/>
            <w:vAlign w:val="center"/>
          </w:tcPr>
          <w:p>
            <w:pPr>
              <w:pStyle w:val="12"/>
              <w:bidi w:val="0"/>
              <w:rPr>
                <w:color w:val="auto"/>
                <w:highlight w:val="none"/>
                <w:lang w:val="zh-CN" w:eastAsia="zh-CN"/>
              </w:rPr>
            </w:pPr>
            <w:r>
              <w:rPr>
                <w:color w:val="auto"/>
                <w:highlight w:val="none"/>
                <w:lang w:val="zh-CN" w:eastAsia="zh-CN"/>
              </w:rPr>
              <w:t>钢筋原材料堆放</w:t>
            </w:r>
          </w:p>
        </w:tc>
        <w:tc>
          <w:tcPr>
            <w:tcW w:w="2461" w:type="dxa"/>
            <w:vAlign w:val="center"/>
          </w:tcPr>
          <w:p>
            <w:pPr>
              <w:pStyle w:val="12"/>
              <w:bidi w:val="0"/>
              <w:rPr>
                <w:color w:val="auto"/>
                <w:highlight w:val="none"/>
                <w:lang w:val="zh-CN" w:eastAsia="zh-CN"/>
              </w:rPr>
            </w:pPr>
            <w:r>
              <w:rPr>
                <w:color w:val="auto"/>
                <w:highlight w:val="none"/>
                <w:lang w:val="zh-CN" w:eastAsia="zh-CN"/>
              </w:rPr>
              <w:t>钢筋应堆放整齐，下部加不小于 100mm 高垫木，防止钢筋变形、 锈蚀；直螺纹连接头，在丝工成型后，需要套上塑料保护帽防止碰撞丝头</w:t>
            </w:r>
          </w:p>
        </w:tc>
        <w:tc>
          <w:tcPr>
            <w:tcW w:w="3870" w:type="dxa"/>
            <w:vAlign w:val="center"/>
          </w:tcPr>
          <w:p>
            <w:pPr>
              <w:pStyle w:val="12"/>
              <w:bidi w:val="0"/>
              <w:rPr>
                <w:color w:val="auto"/>
                <w:highlight w:val="none"/>
                <w:lang w:val="zh-CN" w:eastAsia="zh-CN"/>
              </w:rPr>
            </w:pPr>
            <w:r>
              <w:rPr>
                <w:color w:val="auto"/>
                <w:highlight w:val="none"/>
                <w:lang w:val="zh-CN" w:eastAsia="zh-CN"/>
              </w:rPr>
              <w:drawing>
                <wp:inline distT="0" distB="0" distL="0" distR="0">
                  <wp:extent cx="2237740" cy="2225040"/>
                  <wp:effectExtent l="0" t="0" r="635" b="3810"/>
                  <wp:docPr id="162"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image5.jpeg"/>
                          <pic:cNvPicPr>
                            <a:picLocks noChangeAspect="1"/>
                          </pic:cNvPicPr>
                        </pic:nvPicPr>
                        <pic:blipFill>
                          <a:blip r:embed="rId12" cstate="print"/>
                          <a:stretch>
                            <a:fillRect/>
                          </a:stretch>
                        </pic:blipFill>
                        <pic:spPr>
                          <a:xfrm>
                            <a:off x="0" y="0"/>
                            <a:ext cx="2237901" cy="2225040"/>
                          </a:xfrm>
                          <a:prstGeom prst="rect">
                            <a:avLst/>
                          </a:prstGeom>
                        </pic:spPr>
                      </pic:pic>
                    </a:graphicData>
                  </a:graphic>
                </wp:inline>
              </w:drawing>
            </w:r>
          </w:p>
        </w:tc>
        <w:tc>
          <w:tcPr>
            <w:tcW w:w="3800" w:type="dxa"/>
            <w:vAlign w:val="center"/>
          </w:tcPr>
          <w:p>
            <w:pPr>
              <w:pStyle w:val="12"/>
              <w:bidi w:val="0"/>
              <w:rPr>
                <w:color w:val="auto"/>
                <w:highlight w:val="none"/>
                <w:lang w:val="zh-CN" w:eastAsia="zh-CN"/>
              </w:rPr>
            </w:pPr>
            <w:r>
              <w:rPr>
                <w:color w:val="auto"/>
                <w:highlight w:val="none"/>
                <w:lang w:val="zh-CN" w:eastAsia="zh-CN"/>
              </w:rPr>
              <w:drawing>
                <wp:inline distT="0" distB="0" distL="0" distR="0">
                  <wp:extent cx="2268220" cy="2230755"/>
                  <wp:effectExtent l="0" t="0" r="8255" b="7620"/>
                  <wp:docPr id="11"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6.jpeg"/>
                          <pic:cNvPicPr>
                            <a:picLocks noChangeAspect="1"/>
                          </pic:cNvPicPr>
                        </pic:nvPicPr>
                        <pic:blipFill>
                          <a:blip r:embed="rId13" cstate="print"/>
                          <a:stretch>
                            <a:fillRect/>
                          </a:stretch>
                        </pic:blipFill>
                        <pic:spPr>
                          <a:xfrm>
                            <a:off x="0" y="0"/>
                            <a:ext cx="2268776" cy="2231136"/>
                          </a:xfrm>
                          <a:prstGeom prst="rect">
                            <a:avLst/>
                          </a:prstGeom>
                        </pic:spPr>
                      </pic:pic>
                    </a:graphicData>
                  </a:graphic>
                </wp:inline>
              </w:drawing>
            </w:r>
          </w:p>
        </w:tc>
        <w:tc>
          <w:tcPr>
            <w:tcW w:w="720" w:type="dxa"/>
            <w:vAlign w:val="center"/>
          </w:tcPr>
          <w:p>
            <w:pPr>
              <w:pStyle w:val="12"/>
              <w:bidi w:val="0"/>
              <w:rPr>
                <w:color w:val="auto"/>
                <w:highlight w:val="none"/>
                <w:lang w:val="zh-CN" w:eastAsia="zh-CN"/>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599" w:hRule="atLeast"/>
          <w:jc w:val="center"/>
        </w:trPr>
        <w:tc>
          <w:tcPr>
            <w:tcW w:w="664" w:type="dxa"/>
            <w:vAlign w:val="center"/>
          </w:tcPr>
          <w:p>
            <w:pPr>
              <w:pStyle w:val="12"/>
              <w:bidi w:val="0"/>
              <w:rPr>
                <w:color w:val="auto"/>
                <w:highlight w:val="none"/>
                <w:lang w:val="zh-CN" w:eastAsia="zh-CN"/>
              </w:rPr>
            </w:pPr>
            <w:r>
              <w:rPr>
                <w:rFonts w:hint="eastAsia"/>
                <w:color w:val="auto"/>
                <w:highlight w:val="none"/>
                <w:lang w:eastAsia="zh-CN"/>
              </w:rPr>
              <w:t>3</w:t>
            </w:r>
          </w:p>
        </w:tc>
        <w:tc>
          <w:tcPr>
            <w:tcW w:w="1204" w:type="dxa"/>
            <w:vAlign w:val="center"/>
          </w:tcPr>
          <w:p>
            <w:pPr>
              <w:pStyle w:val="12"/>
              <w:bidi w:val="0"/>
              <w:rPr>
                <w:color w:val="auto"/>
                <w:highlight w:val="none"/>
                <w:lang w:val="zh-CN" w:eastAsia="zh-CN"/>
              </w:rPr>
            </w:pPr>
            <w:r>
              <w:rPr>
                <w:color w:val="auto"/>
                <w:highlight w:val="none"/>
                <w:lang w:val="zh-CN" w:eastAsia="zh-CN"/>
              </w:rPr>
              <w:t>模板内钢筋保护</w:t>
            </w:r>
          </w:p>
        </w:tc>
        <w:tc>
          <w:tcPr>
            <w:tcW w:w="2461" w:type="dxa"/>
            <w:vAlign w:val="center"/>
          </w:tcPr>
          <w:p>
            <w:pPr>
              <w:pStyle w:val="12"/>
              <w:bidi w:val="0"/>
              <w:rPr>
                <w:color w:val="auto"/>
                <w:highlight w:val="none"/>
                <w:lang w:val="zh-CN" w:eastAsia="zh-CN"/>
              </w:rPr>
            </w:pPr>
            <w:r>
              <w:rPr>
                <w:color w:val="auto"/>
                <w:highlight w:val="none"/>
                <w:lang w:val="zh-CN" w:eastAsia="zh-CN"/>
              </w:rPr>
              <w:t>模板内的弯起钢筋、负矩和上层绑好后， 不准在上面踩踏行 走，应铺设跳板走道；浇筑混凝土时混凝土泵应架起，不允许直接放置在已经绑好的钢筋上</w:t>
            </w:r>
          </w:p>
        </w:tc>
        <w:tc>
          <w:tcPr>
            <w:tcW w:w="3870" w:type="dxa"/>
            <w:vAlign w:val="center"/>
          </w:tcPr>
          <w:p>
            <w:pPr>
              <w:pStyle w:val="12"/>
              <w:bidi w:val="0"/>
              <w:rPr>
                <w:color w:val="auto"/>
                <w:highlight w:val="none"/>
                <w:lang w:val="zh-CN" w:eastAsia="zh-CN"/>
              </w:rPr>
            </w:pPr>
            <w:r>
              <w:rPr>
                <w:color w:val="auto"/>
                <w:highlight w:val="none"/>
                <w:lang w:eastAsia="en-US"/>
              </w:rPr>
              <w:drawing>
                <wp:inline distT="0" distB="0" distL="0" distR="0">
                  <wp:extent cx="2444750" cy="1520825"/>
                  <wp:effectExtent l="0" t="0" r="3175" b="3175"/>
                  <wp:docPr id="147154677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1546777" name="图片 1"/>
                          <pic:cNvPicPr>
                            <a:picLocks noChangeAspect="1"/>
                          </pic:cNvPicPr>
                        </pic:nvPicPr>
                        <pic:blipFill>
                          <a:blip r:embed="rId14"/>
                          <a:stretch>
                            <a:fillRect/>
                          </a:stretch>
                        </pic:blipFill>
                        <pic:spPr>
                          <a:xfrm>
                            <a:off x="0" y="0"/>
                            <a:ext cx="2444750" cy="1520825"/>
                          </a:xfrm>
                          <a:prstGeom prst="rect">
                            <a:avLst/>
                          </a:prstGeom>
                        </pic:spPr>
                      </pic:pic>
                    </a:graphicData>
                  </a:graphic>
                </wp:inline>
              </w:drawing>
            </w:r>
          </w:p>
        </w:tc>
        <w:tc>
          <w:tcPr>
            <w:tcW w:w="3800" w:type="dxa"/>
            <w:vAlign w:val="center"/>
          </w:tcPr>
          <w:p>
            <w:pPr>
              <w:pStyle w:val="12"/>
              <w:bidi w:val="0"/>
              <w:rPr>
                <w:color w:val="auto"/>
                <w:highlight w:val="none"/>
                <w:lang w:val="zh-CN" w:eastAsia="zh-CN"/>
              </w:rPr>
            </w:pPr>
            <w:r>
              <w:rPr>
                <w:color w:val="auto"/>
                <w:highlight w:val="none"/>
                <w:lang w:eastAsia="en-US"/>
              </w:rPr>
              <w:drawing>
                <wp:inline distT="0" distB="0" distL="0" distR="0">
                  <wp:extent cx="2400300" cy="2386965"/>
                  <wp:effectExtent l="0" t="0" r="0" b="3810"/>
                  <wp:docPr id="3441010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101031" name="图片 1"/>
                          <pic:cNvPicPr>
                            <a:picLocks noChangeAspect="1"/>
                          </pic:cNvPicPr>
                        </pic:nvPicPr>
                        <pic:blipFill>
                          <a:blip r:embed="rId15"/>
                          <a:stretch>
                            <a:fillRect/>
                          </a:stretch>
                        </pic:blipFill>
                        <pic:spPr>
                          <a:xfrm>
                            <a:off x="0" y="0"/>
                            <a:ext cx="2400300" cy="2386965"/>
                          </a:xfrm>
                          <a:prstGeom prst="rect">
                            <a:avLst/>
                          </a:prstGeom>
                        </pic:spPr>
                      </pic:pic>
                    </a:graphicData>
                  </a:graphic>
                </wp:inline>
              </w:drawing>
            </w:r>
          </w:p>
        </w:tc>
        <w:tc>
          <w:tcPr>
            <w:tcW w:w="720" w:type="dxa"/>
            <w:vAlign w:val="center"/>
          </w:tcPr>
          <w:p>
            <w:pPr>
              <w:pStyle w:val="12"/>
              <w:bidi w:val="0"/>
              <w:rPr>
                <w:color w:val="auto"/>
                <w:highlight w:val="none"/>
                <w:lang w:val="zh-CN" w:eastAsia="zh-CN"/>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539" w:hRule="atLeast"/>
          <w:jc w:val="center"/>
        </w:trPr>
        <w:tc>
          <w:tcPr>
            <w:tcW w:w="664" w:type="dxa"/>
            <w:vAlign w:val="center"/>
          </w:tcPr>
          <w:p>
            <w:pPr>
              <w:pStyle w:val="12"/>
              <w:bidi w:val="0"/>
              <w:rPr>
                <w:color w:val="auto"/>
                <w:highlight w:val="none"/>
                <w:lang w:val="zh-CN" w:eastAsia="zh-CN"/>
              </w:rPr>
            </w:pPr>
            <w:r>
              <w:rPr>
                <w:rFonts w:hint="eastAsia"/>
                <w:color w:val="auto"/>
                <w:highlight w:val="none"/>
                <w:lang w:eastAsia="zh-CN"/>
              </w:rPr>
              <w:t>4</w:t>
            </w:r>
          </w:p>
        </w:tc>
        <w:tc>
          <w:tcPr>
            <w:tcW w:w="1204" w:type="dxa"/>
            <w:vAlign w:val="center"/>
          </w:tcPr>
          <w:p>
            <w:pPr>
              <w:pStyle w:val="12"/>
              <w:bidi w:val="0"/>
              <w:rPr>
                <w:color w:val="auto"/>
                <w:highlight w:val="none"/>
                <w:lang w:val="zh-CN" w:eastAsia="zh-CN"/>
              </w:rPr>
            </w:pPr>
            <w:r>
              <w:rPr>
                <w:color w:val="auto"/>
                <w:highlight w:val="none"/>
                <w:lang w:val="zh-CN" w:eastAsia="zh-CN"/>
              </w:rPr>
              <w:t>混凝土阳角部位保护</w:t>
            </w:r>
          </w:p>
        </w:tc>
        <w:tc>
          <w:tcPr>
            <w:tcW w:w="2461" w:type="dxa"/>
            <w:vAlign w:val="center"/>
          </w:tcPr>
          <w:p>
            <w:pPr>
              <w:pStyle w:val="12"/>
              <w:bidi w:val="0"/>
              <w:rPr>
                <w:color w:val="auto"/>
                <w:highlight w:val="none"/>
                <w:lang w:val="zh-CN" w:eastAsia="zh-CN"/>
              </w:rPr>
            </w:pPr>
            <w:r>
              <w:rPr>
                <w:color w:val="auto"/>
                <w:highlight w:val="none"/>
                <w:lang w:val="zh-CN" w:eastAsia="zh-CN"/>
              </w:rPr>
              <w:t>所有墙、柱、较大孔洞口应做角钢或多层胶合板护脚进行保护</w:t>
            </w:r>
            <w:r>
              <w:rPr>
                <w:rFonts w:hint="eastAsia"/>
                <w:color w:val="auto"/>
                <w:highlight w:val="none"/>
                <w:lang w:val="zh-CN" w:eastAsia="zh-CN"/>
              </w:rPr>
              <w:t>。</w:t>
            </w:r>
          </w:p>
        </w:tc>
        <w:tc>
          <w:tcPr>
            <w:tcW w:w="3870" w:type="dxa"/>
            <w:vAlign w:val="center"/>
          </w:tcPr>
          <w:p>
            <w:pPr>
              <w:pStyle w:val="12"/>
              <w:bidi w:val="0"/>
              <w:rPr>
                <w:color w:val="auto"/>
                <w:highlight w:val="none"/>
                <w:lang w:val="zh-CN" w:eastAsia="zh-CN"/>
              </w:rPr>
            </w:pPr>
          </w:p>
          <w:p>
            <w:pPr>
              <w:pStyle w:val="12"/>
              <w:bidi w:val="0"/>
              <w:rPr>
                <w:color w:val="auto"/>
                <w:highlight w:val="none"/>
                <w:lang w:val="zh-CN" w:eastAsia="zh-CN"/>
              </w:rPr>
            </w:pPr>
            <w:r>
              <w:rPr>
                <w:color w:val="auto"/>
                <w:highlight w:val="none"/>
                <w:lang w:val="zh-CN" w:eastAsia="zh-CN"/>
              </w:rPr>
              <w:drawing>
                <wp:inline distT="0" distB="0" distL="0" distR="0">
                  <wp:extent cx="2220595" cy="2171700"/>
                  <wp:effectExtent l="0" t="0" r="8255" b="0"/>
                  <wp:docPr id="17"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9.jpeg"/>
                          <pic:cNvPicPr>
                            <a:picLocks noChangeAspect="1"/>
                          </pic:cNvPicPr>
                        </pic:nvPicPr>
                        <pic:blipFill>
                          <a:blip r:embed="rId16" cstate="print"/>
                          <a:stretch>
                            <a:fillRect/>
                          </a:stretch>
                        </pic:blipFill>
                        <pic:spPr>
                          <a:xfrm>
                            <a:off x="0" y="0"/>
                            <a:ext cx="2221088" cy="2171700"/>
                          </a:xfrm>
                          <a:prstGeom prst="rect">
                            <a:avLst/>
                          </a:prstGeom>
                        </pic:spPr>
                      </pic:pic>
                    </a:graphicData>
                  </a:graphic>
                </wp:inline>
              </w:drawing>
            </w:r>
          </w:p>
        </w:tc>
        <w:tc>
          <w:tcPr>
            <w:tcW w:w="3800" w:type="dxa"/>
            <w:vAlign w:val="center"/>
          </w:tcPr>
          <w:p>
            <w:pPr>
              <w:pStyle w:val="12"/>
              <w:bidi w:val="0"/>
              <w:rPr>
                <w:color w:val="auto"/>
                <w:highlight w:val="none"/>
                <w:lang w:val="zh-CN" w:eastAsia="zh-CN"/>
              </w:rPr>
            </w:pPr>
          </w:p>
          <w:p>
            <w:pPr>
              <w:pStyle w:val="12"/>
              <w:bidi w:val="0"/>
              <w:rPr>
                <w:color w:val="auto"/>
                <w:highlight w:val="none"/>
                <w:lang w:val="zh-CN" w:eastAsia="zh-CN"/>
              </w:rPr>
            </w:pPr>
            <w:r>
              <w:rPr>
                <w:color w:val="auto"/>
                <w:highlight w:val="none"/>
                <w:lang w:val="zh-CN" w:eastAsia="zh-CN"/>
              </w:rPr>
              <w:drawing>
                <wp:inline distT="0" distB="0" distL="0" distR="0">
                  <wp:extent cx="2293620" cy="2205990"/>
                  <wp:effectExtent l="0" t="0" r="1905" b="3810"/>
                  <wp:docPr id="19" name="image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10.png"/>
                          <pic:cNvPicPr>
                            <a:picLocks noChangeAspect="1"/>
                          </pic:cNvPicPr>
                        </pic:nvPicPr>
                        <pic:blipFill>
                          <a:blip r:embed="rId17" cstate="print"/>
                          <a:stretch>
                            <a:fillRect/>
                          </a:stretch>
                        </pic:blipFill>
                        <pic:spPr>
                          <a:xfrm>
                            <a:off x="0" y="0"/>
                            <a:ext cx="2293663" cy="2206180"/>
                          </a:xfrm>
                          <a:prstGeom prst="rect">
                            <a:avLst/>
                          </a:prstGeom>
                        </pic:spPr>
                      </pic:pic>
                    </a:graphicData>
                  </a:graphic>
                </wp:inline>
              </w:drawing>
            </w:r>
          </w:p>
        </w:tc>
        <w:tc>
          <w:tcPr>
            <w:tcW w:w="720" w:type="dxa"/>
            <w:vAlign w:val="center"/>
          </w:tcPr>
          <w:p>
            <w:pPr>
              <w:pStyle w:val="12"/>
              <w:bidi w:val="0"/>
              <w:rPr>
                <w:color w:val="auto"/>
                <w:highlight w:val="none"/>
                <w:lang w:val="zh-CN" w:eastAsia="zh-CN"/>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90" w:hRule="atLeast"/>
          <w:jc w:val="center"/>
        </w:trPr>
        <w:tc>
          <w:tcPr>
            <w:tcW w:w="664" w:type="dxa"/>
            <w:vAlign w:val="center"/>
          </w:tcPr>
          <w:p>
            <w:pPr>
              <w:pStyle w:val="12"/>
              <w:bidi w:val="0"/>
              <w:rPr>
                <w:color w:val="auto"/>
                <w:highlight w:val="none"/>
                <w:lang w:val="zh-CN" w:eastAsia="zh-CN"/>
              </w:rPr>
            </w:pPr>
            <w:r>
              <w:rPr>
                <w:rFonts w:hint="eastAsia"/>
                <w:color w:val="auto"/>
                <w:highlight w:val="none"/>
                <w:lang w:eastAsia="zh-CN"/>
              </w:rPr>
              <w:t>5</w:t>
            </w:r>
          </w:p>
        </w:tc>
        <w:tc>
          <w:tcPr>
            <w:tcW w:w="1204" w:type="dxa"/>
            <w:vAlign w:val="center"/>
          </w:tcPr>
          <w:p>
            <w:pPr>
              <w:pStyle w:val="12"/>
              <w:bidi w:val="0"/>
              <w:rPr>
                <w:color w:val="auto"/>
                <w:highlight w:val="none"/>
                <w:lang w:val="zh-CN" w:eastAsia="zh-CN"/>
              </w:rPr>
            </w:pPr>
            <w:r>
              <w:rPr>
                <w:color w:val="auto"/>
                <w:highlight w:val="none"/>
                <w:lang w:val="zh-CN" w:eastAsia="zh-CN"/>
              </w:rPr>
              <w:t>地库外墙防水保护</w:t>
            </w:r>
          </w:p>
        </w:tc>
        <w:tc>
          <w:tcPr>
            <w:tcW w:w="2461" w:type="dxa"/>
            <w:vAlign w:val="center"/>
          </w:tcPr>
          <w:p>
            <w:pPr>
              <w:pStyle w:val="12"/>
              <w:bidi w:val="0"/>
              <w:rPr>
                <w:color w:val="auto"/>
                <w:highlight w:val="none"/>
                <w:lang w:val="zh-CN" w:eastAsia="zh-CN"/>
              </w:rPr>
            </w:pPr>
            <w:r>
              <w:rPr>
                <w:rFonts w:hint="eastAsia"/>
                <w:color w:val="auto"/>
                <w:highlight w:val="none"/>
                <w:lang w:val="en-US" w:eastAsia="zh-CN"/>
              </w:rPr>
              <w:t>地下室侧壁使用聚苯板或加气块进行保护，对于地下室车库顶板上翻位置的防水，砌筑加气块并进行抹灰保护</w:t>
            </w:r>
          </w:p>
        </w:tc>
        <w:tc>
          <w:tcPr>
            <w:tcW w:w="3870" w:type="dxa"/>
            <w:vAlign w:val="center"/>
          </w:tcPr>
          <w:p>
            <w:pPr>
              <w:pStyle w:val="12"/>
              <w:bidi w:val="0"/>
              <w:rPr>
                <w:color w:val="auto"/>
                <w:highlight w:val="none"/>
                <w:lang w:val="zh-CN" w:eastAsia="zh-CN"/>
              </w:rPr>
            </w:pPr>
            <w:r>
              <w:rPr>
                <w:rFonts w:hint="eastAsia"/>
                <w:color w:val="auto"/>
                <w:highlight w:val="none"/>
                <w:lang w:val="zh-CN" w:eastAsia="zh"/>
              </w:rPr>
              <w:drawing>
                <wp:inline distT="0" distB="0" distL="114300" distR="114300">
                  <wp:extent cx="2443480" cy="2565400"/>
                  <wp:effectExtent l="0" t="0" r="4445" b="6350"/>
                  <wp:docPr id="249" name="图片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图片 249"/>
                          <pic:cNvPicPr>
                            <a:picLocks noChangeAspect="1"/>
                          </pic:cNvPicPr>
                        </pic:nvPicPr>
                        <pic:blipFill>
                          <a:blip r:embed="rId18"/>
                          <a:stretch>
                            <a:fillRect/>
                          </a:stretch>
                        </pic:blipFill>
                        <pic:spPr>
                          <a:xfrm>
                            <a:off x="0" y="0"/>
                            <a:ext cx="2443480" cy="2565400"/>
                          </a:xfrm>
                          <a:prstGeom prst="rect">
                            <a:avLst/>
                          </a:prstGeom>
                        </pic:spPr>
                      </pic:pic>
                    </a:graphicData>
                  </a:graphic>
                </wp:inline>
              </w:drawing>
            </w:r>
          </w:p>
        </w:tc>
        <w:tc>
          <w:tcPr>
            <w:tcW w:w="3800" w:type="dxa"/>
            <w:vAlign w:val="center"/>
          </w:tcPr>
          <w:p>
            <w:pPr>
              <w:pStyle w:val="12"/>
              <w:bidi w:val="0"/>
              <w:rPr>
                <w:color w:val="auto"/>
                <w:highlight w:val="none"/>
                <w:lang w:val="zh-CN" w:eastAsia="zh-CN"/>
              </w:rPr>
            </w:pPr>
            <w:r>
              <w:rPr>
                <w:color w:val="auto"/>
                <w:highlight w:val="none"/>
                <w:lang w:val="zh-CN" w:eastAsia="zh-CN"/>
              </w:rPr>
              <w:drawing>
                <wp:inline distT="0" distB="0" distL="0" distR="0">
                  <wp:extent cx="2254885" cy="2228850"/>
                  <wp:effectExtent l="0" t="0" r="2540" b="0"/>
                  <wp:docPr id="25"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13.png"/>
                          <pic:cNvPicPr>
                            <a:picLocks noChangeAspect="1"/>
                          </pic:cNvPicPr>
                        </pic:nvPicPr>
                        <pic:blipFill>
                          <a:blip r:embed="rId19" cstate="print"/>
                          <a:stretch>
                            <a:fillRect/>
                          </a:stretch>
                        </pic:blipFill>
                        <pic:spPr>
                          <a:xfrm>
                            <a:off x="0" y="0"/>
                            <a:ext cx="2254894" cy="2228850"/>
                          </a:xfrm>
                          <a:prstGeom prst="rect">
                            <a:avLst/>
                          </a:prstGeom>
                        </pic:spPr>
                      </pic:pic>
                    </a:graphicData>
                  </a:graphic>
                </wp:inline>
              </w:drawing>
            </w:r>
          </w:p>
        </w:tc>
        <w:tc>
          <w:tcPr>
            <w:tcW w:w="720" w:type="dxa"/>
            <w:vAlign w:val="center"/>
          </w:tcPr>
          <w:p>
            <w:pPr>
              <w:pStyle w:val="12"/>
              <w:bidi w:val="0"/>
              <w:rPr>
                <w:color w:val="auto"/>
                <w:highlight w:val="none"/>
                <w:lang w:val="zh-CN" w:eastAsia="zh-CN"/>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539" w:hRule="atLeast"/>
          <w:jc w:val="center"/>
        </w:trPr>
        <w:tc>
          <w:tcPr>
            <w:tcW w:w="664" w:type="dxa"/>
            <w:vAlign w:val="center"/>
          </w:tcPr>
          <w:p>
            <w:pPr>
              <w:pStyle w:val="12"/>
              <w:bidi w:val="0"/>
              <w:rPr>
                <w:color w:val="auto"/>
                <w:highlight w:val="none"/>
                <w:lang w:eastAsia="zh-CN"/>
              </w:rPr>
            </w:pPr>
            <w:r>
              <w:rPr>
                <w:color w:val="auto"/>
                <w:highlight w:val="none"/>
                <w:lang w:eastAsia="zh-CN"/>
              </w:rPr>
              <w:t>6</w:t>
            </w:r>
          </w:p>
        </w:tc>
        <w:tc>
          <w:tcPr>
            <w:tcW w:w="1204" w:type="dxa"/>
            <w:vAlign w:val="center"/>
          </w:tcPr>
          <w:p>
            <w:pPr>
              <w:pStyle w:val="12"/>
              <w:bidi w:val="0"/>
              <w:rPr>
                <w:color w:val="auto"/>
                <w:highlight w:val="none"/>
                <w:lang w:eastAsia="zh-CN"/>
              </w:rPr>
            </w:pPr>
            <w:r>
              <w:rPr>
                <w:color w:val="auto"/>
                <w:highlight w:val="none"/>
                <w:lang w:eastAsia="zh-CN"/>
              </w:rPr>
              <w:t xml:space="preserve">PC楼梯成品保护 </w:t>
            </w:r>
          </w:p>
        </w:tc>
        <w:tc>
          <w:tcPr>
            <w:tcW w:w="2461" w:type="dxa"/>
            <w:vAlign w:val="center"/>
          </w:tcPr>
          <w:p>
            <w:pPr>
              <w:pStyle w:val="12"/>
              <w:bidi w:val="0"/>
              <w:rPr>
                <w:color w:val="auto"/>
                <w:highlight w:val="none"/>
                <w:lang w:val="en-US" w:eastAsia="zh-CN"/>
              </w:rPr>
            </w:pPr>
            <w:r>
              <w:rPr>
                <w:rFonts w:hint="eastAsia"/>
                <w:color w:val="auto"/>
                <w:highlight w:val="none"/>
                <w:lang w:val="en-US" w:eastAsia="zh-CN"/>
              </w:rPr>
              <w:t>使用塑料单板保护。</w:t>
            </w:r>
          </w:p>
          <w:p>
            <w:pPr>
              <w:pStyle w:val="12"/>
              <w:bidi w:val="0"/>
              <w:rPr>
                <w:color w:val="auto"/>
                <w:highlight w:val="none"/>
                <w:lang w:eastAsia="zh-CN"/>
              </w:rPr>
            </w:pPr>
            <w:r>
              <w:rPr>
                <w:rFonts w:hint="eastAsia"/>
                <w:color w:val="auto"/>
                <w:highlight w:val="none"/>
                <w:lang w:eastAsia="zh-CN"/>
              </w:rPr>
              <w:t xml:space="preserve">使用木模板保护。 </w:t>
            </w:r>
          </w:p>
          <w:p>
            <w:pPr>
              <w:pStyle w:val="12"/>
              <w:bidi w:val="0"/>
              <w:rPr>
                <w:color w:val="auto"/>
                <w:highlight w:val="none"/>
                <w:lang w:val="zh-CN" w:eastAsia="zh-CN"/>
              </w:rPr>
            </w:pPr>
          </w:p>
        </w:tc>
        <w:tc>
          <w:tcPr>
            <w:tcW w:w="3870" w:type="dxa"/>
            <w:vAlign w:val="center"/>
          </w:tcPr>
          <w:p>
            <w:pPr>
              <w:pStyle w:val="12"/>
              <w:bidi w:val="0"/>
              <w:rPr>
                <w:color w:val="auto"/>
                <w:highlight w:val="none"/>
                <w:lang w:eastAsia="zh-CN"/>
              </w:rPr>
            </w:pPr>
            <w:r>
              <w:rPr>
                <w:color w:val="auto"/>
                <w:highlight w:val="none"/>
                <w:lang w:eastAsia="zh-CN"/>
              </w:rPr>
              <w:drawing>
                <wp:inline distT="0" distB="0" distL="114300" distR="114300">
                  <wp:extent cx="2352675" cy="1760855"/>
                  <wp:effectExtent l="0" t="0" r="0" b="1270"/>
                  <wp:docPr id="218"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图片 218"/>
                          <pic:cNvPicPr>
                            <a:picLocks noChangeAspect="1"/>
                          </pic:cNvPicPr>
                        </pic:nvPicPr>
                        <pic:blipFill>
                          <a:blip r:embed="rId20"/>
                          <a:stretch>
                            <a:fillRect/>
                          </a:stretch>
                        </pic:blipFill>
                        <pic:spPr>
                          <a:xfrm>
                            <a:off x="0" y="0"/>
                            <a:ext cx="2352675" cy="1760855"/>
                          </a:xfrm>
                          <a:prstGeom prst="rect">
                            <a:avLst/>
                          </a:prstGeom>
                        </pic:spPr>
                      </pic:pic>
                    </a:graphicData>
                  </a:graphic>
                </wp:inline>
              </w:drawing>
            </w:r>
          </w:p>
        </w:tc>
        <w:tc>
          <w:tcPr>
            <w:tcW w:w="3800" w:type="dxa"/>
            <w:vAlign w:val="center"/>
          </w:tcPr>
          <w:p>
            <w:pPr>
              <w:pStyle w:val="12"/>
              <w:bidi w:val="0"/>
              <w:rPr>
                <w:color w:val="auto"/>
                <w:highlight w:val="none"/>
                <w:lang w:eastAsia="zh-CN"/>
              </w:rPr>
            </w:pPr>
            <w:r>
              <w:rPr>
                <w:color w:val="auto"/>
                <w:highlight w:val="none"/>
                <w:lang w:eastAsia="zh-CN"/>
              </w:rPr>
              <w:drawing>
                <wp:inline distT="0" distB="0" distL="114300" distR="114300">
                  <wp:extent cx="2312035" cy="1631315"/>
                  <wp:effectExtent l="0" t="0" r="2540" b="6985"/>
                  <wp:docPr id="219"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图片 219"/>
                          <pic:cNvPicPr>
                            <a:picLocks noChangeAspect="1"/>
                          </pic:cNvPicPr>
                        </pic:nvPicPr>
                        <pic:blipFill>
                          <a:blip r:embed="rId21"/>
                          <a:stretch>
                            <a:fillRect/>
                          </a:stretch>
                        </pic:blipFill>
                        <pic:spPr>
                          <a:xfrm>
                            <a:off x="0" y="0"/>
                            <a:ext cx="2312035" cy="1631315"/>
                          </a:xfrm>
                          <a:prstGeom prst="rect">
                            <a:avLst/>
                          </a:prstGeom>
                        </pic:spPr>
                      </pic:pic>
                    </a:graphicData>
                  </a:graphic>
                </wp:inline>
              </w:drawing>
            </w:r>
          </w:p>
        </w:tc>
        <w:tc>
          <w:tcPr>
            <w:tcW w:w="720" w:type="dxa"/>
            <w:vAlign w:val="center"/>
          </w:tcPr>
          <w:p>
            <w:pPr>
              <w:pStyle w:val="12"/>
              <w:bidi w:val="0"/>
              <w:rPr>
                <w:color w:val="auto"/>
                <w:highlight w:val="none"/>
                <w:lang w:val="zh-CN" w:eastAsia="zh-CN"/>
              </w:rPr>
            </w:pPr>
          </w:p>
        </w:tc>
      </w:tr>
    </w:tbl>
    <w:p>
      <w:pPr>
        <w:spacing w:before="120" w:beforeLines="50" w:after="120" w:afterLines="50"/>
        <w:ind w:left="501"/>
        <w:rPr>
          <w:rFonts w:ascii="宋体" w:hAnsi="宋体" w:eastAsia="宋体" w:cs="宋体"/>
          <w:color w:val="auto"/>
          <w:spacing w:val="2"/>
          <w:sz w:val="24"/>
          <w:szCs w:val="24"/>
          <w:highlight w:val="none"/>
        </w:rPr>
      </w:pPr>
    </w:p>
    <w:p>
      <w:pPr>
        <w:spacing w:before="120" w:beforeLines="50" w:after="120" w:afterLines="50"/>
        <w:rPr>
          <w:color w:val="auto"/>
          <w:highlight w:val="none"/>
        </w:rPr>
      </w:pPr>
      <w:r>
        <w:rPr>
          <w:rFonts w:hint="eastAsia" w:ascii="宋体" w:hAnsi="宋体" w:eastAsia="宋体" w:cs="宋体"/>
          <w:color w:val="auto"/>
          <w:spacing w:val="2"/>
          <w:sz w:val="24"/>
          <w:szCs w:val="24"/>
          <w:highlight w:val="none"/>
          <w:lang w:eastAsia="zh-CN" w:bidi="ar"/>
        </w:rPr>
        <w:br w:type="page"/>
      </w:r>
    </w:p>
    <w:p>
      <w:pPr>
        <w:spacing w:before="120" w:beforeLines="50" w:after="120" w:afterLines="50"/>
        <w:rPr>
          <w:rFonts w:ascii="宋体" w:hAnsi="宋体" w:eastAsia="宋体" w:cs="宋体"/>
          <w:color w:val="auto"/>
          <w:spacing w:val="2"/>
          <w:sz w:val="24"/>
          <w:szCs w:val="24"/>
          <w:highlight w:val="none"/>
          <w:lang w:eastAsia="zh-CN"/>
        </w:rPr>
      </w:pPr>
    </w:p>
    <w:p>
      <w:pPr>
        <w:pStyle w:val="5"/>
        <w:bidi w:val="0"/>
        <w:ind w:left="253"/>
        <w:rPr>
          <w:color w:val="auto"/>
          <w:highlight w:val="none"/>
        </w:rPr>
      </w:pPr>
      <w:r>
        <w:rPr>
          <w:rFonts w:hint="eastAsia"/>
          <w:color w:val="auto"/>
          <w:highlight w:val="none"/>
        </w:rPr>
        <w:t>机电成品保护标准做法</w:t>
      </w:r>
    </w:p>
    <w:tbl>
      <w:tblPr>
        <w:tblStyle w:val="21"/>
        <w:tblpPr w:leftFromText="180" w:rightFromText="180" w:vertAnchor="text" w:horzAnchor="page" w:tblpX="1777" w:tblpY="422"/>
        <w:tblOverlap w:val="never"/>
        <w:tblW w:w="13133" w:type="dxa"/>
        <w:tblInd w:w="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0" w:type="dxa"/>
          <w:bottom w:w="0" w:type="dxa"/>
          <w:right w:w="0" w:type="dxa"/>
        </w:tblCellMar>
      </w:tblPr>
      <w:tblGrid>
        <w:gridCol w:w="672"/>
        <w:gridCol w:w="1562"/>
        <w:gridCol w:w="1808"/>
        <w:gridCol w:w="7893"/>
        <w:gridCol w:w="1198"/>
      </w:tblGrid>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46" w:hRule="atLeast"/>
        </w:trPr>
        <w:tc>
          <w:tcPr>
            <w:tcW w:w="13133" w:type="dxa"/>
            <w:gridSpan w:val="5"/>
            <w:shd w:val="clear" w:color="auto" w:fill="auto"/>
            <w:vAlign w:val="center"/>
          </w:tcPr>
          <w:p>
            <w:pPr>
              <w:pStyle w:val="12"/>
              <w:bidi w:val="0"/>
              <w:rPr>
                <w:color w:val="auto"/>
                <w:highlight w:val="none"/>
                <w:lang w:val="zh-CN" w:eastAsia="zh-CN"/>
              </w:rPr>
            </w:pPr>
            <w:r>
              <w:rPr>
                <w:rFonts w:hint="eastAsia"/>
                <w:color w:val="auto"/>
                <w:highlight w:val="none"/>
                <w:lang w:val="zh-CN" w:eastAsia="zh-CN"/>
              </w:rPr>
              <w:t>机电成品保护标准做法</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PrEx>
        <w:trPr>
          <w:trHeight w:val="202" w:hRule="atLeast"/>
        </w:trPr>
        <w:tc>
          <w:tcPr>
            <w:tcW w:w="672" w:type="dxa"/>
            <w:shd w:val="clear" w:color="auto" w:fill="auto"/>
            <w:vAlign w:val="center"/>
          </w:tcPr>
          <w:p>
            <w:pPr>
              <w:pStyle w:val="12"/>
              <w:bidi w:val="0"/>
              <w:rPr>
                <w:color w:val="auto"/>
                <w:highlight w:val="none"/>
                <w:lang w:val="zh-CN" w:eastAsia="zh-CN"/>
              </w:rPr>
            </w:pPr>
            <w:r>
              <w:rPr>
                <w:rFonts w:hint="eastAsia"/>
                <w:color w:val="auto"/>
                <w:highlight w:val="none"/>
                <w:lang w:val="zh-CN" w:eastAsia="zh-CN"/>
              </w:rPr>
              <w:t>序号</w:t>
            </w:r>
          </w:p>
        </w:tc>
        <w:tc>
          <w:tcPr>
            <w:tcW w:w="1562" w:type="dxa"/>
            <w:shd w:val="clear" w:color="auto" w:fill="auto"/>
            <w:vAlign w:val="center"/>
          </w:tcPr>
          <w:p>
            <w:pPr>
              <w:pStyle w:val="12"/>
              <w:bidi w:val="0"/>
              <w:rPr>
                <w:color w:val="auto"/>
                <w:highlight w:val="none"/>
                <w:lang w:val="zh-CN" w:eastAsia="zh-CN"/>
              </w:rPr>
            </w:pPr>
            <w:r>
              <w:rPr>
                <w:rFonts w:hint="eastAsia"/>
                <w:color w:val="auto"/>
                <w:highlight w:val="none"/>
                <w:lang w:val="zh-CN" w:eastAsia="zh-CN"/>
              </w:rPr>
              <w:t>保护内容</w:t>
            </w:r>
          </w:p>
        </w:tc>
        <w:tc>
          <w:tcPr>
            <w:tcW w:w="1808" w:type="dxa"/>
            <w:shd w:val="clear" w:color="auto" w:fill="auto"/>
            <w:vAlign w:val="center"/>
          </w:tcPr>
          <w:p>
            <w:pPr>
              <w:pStyle w:val="12"/>
              <w:bidi w:val="0"/>
              <w:rPr>
                <w:color w:val="auto"/>
                <w:highlight w:val="none"/>
                <w:lang w:val="zh-CN" w:eastAsia="zh-CN"/>
              </w:rPr>
            </w:pPr>
            <w:r>
              <w:rPr>
                <w:rFonts w:hint="eastAsia"/>
                <w:color w:val="auto"/>
                <w:highlight w:val="none"/>
                <w:lang w:val="zh-CN" w:eastAsia="zh-CN"/>
              </w:rPr>
              <w:t>保护方法</w:t>
            </w:r>
          </w:p>
        </w:tc>
        <w:tc>
          <w:tcPr>
            <w:tcW w:w="7893" w:type="dxa"/>
            <w:shd w:val="clear" w:color="auto" w:fill="auto"/>
            <w:vAlign w:val="center"/>
          </w:tcPr>
          <w:p>
            <w:pPr>
              <w:pStyle w:val="12"/>
              <w:bidi w:val="0"/>
              <w:rPr>
                <w:color w:val="auto"/>
                <w:highlight w:val="none"/>
                <w:lang w:val="zh-CN" w:eastAsia="zh-CN"/>
              </w:rPr>
            </w:pPr>
            <w:r>
              <w:rPr>
                <w:rFonts w:hint="eastAsia"/>
                <w:color w:val="auto"/>
                <w:highlight w:val="none"/>
                <w:lang w:val="zh-CN" w:eastAsia="zh-CN"/>
              </w:rPr>
              <w:t>图示</w:t>
            </w:r>
          </w:p>
        </w:tc>
        <w:tc>
          <w:tcPr>
            <w:tcW w:w="1198" w:type="dxa"/>
            <w:shd w:val="clear" w:color="auto" w:fill="auto"/>
            <w:vAlign w:val="center"/>
          </w:tcPr>
          <w:p>
            <w:pPr>
              <w:pStyle w:val="12"/>
              <w:bidi w:val="0"/>
              <w:rPr>
                <w:color w:val="auto"/>
                <w:highlight w:val="none"/>
                <w:lang w:val="zh-CN" w:eastAsia="zh-CN"/>
              </w:rPr>
            </w:pPr>
            <w:r>
              <w:rPr>
                <w:rFonts w:hint="eastAsia"/>
                <w:color w:val="auto"/>
                <w:highlight w:val="none"/>
                <w:lang w:val="zh-CN" w:eastAsia="zh-CN"/>
              </w:rPr>
              <w:t>备注</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179" w:hRule="atLeast"/>
        </w:trPr>
        <w:tc>
          <w:tcPr>
            <w:tcW w:w="672" w:type="dxa"/>
            <w:vMerge w:val="restart"/>
            <w:vAlign w:val="center"/>
          </w:tcPr>
          <w:p>
            <w:pPr>
              <w:pStyle w:val="12"/>
              <w:bidi w:val="0"/>
              <w:rPr>
                <w:color w:val="auto"/>
                <w:highlight w:val="none"/>
                <w:lang w:val="zh-CN" w:eastAsia="zh-CN"/>
              </w:rPr>
            </w:pPr>
            <w:r>
              <w:rPr>
                <w:color w:val="auto"/>
                <w:highlight w:val="none"/>
                <w:lang w:val="zh-CN" w:eastAsia="zh-CN"/>
              </w:rPr>
              <w:t>1</w:t>
            </w:r>
          </w:p>
        </w:tc>
        <w:tc>
          <w:tcPr>
            <w:tcW w:w="1562" w:type="dxa"/>
            <w:vMerge w:val="restart"/>
            <w:vAlign w:val="center"/>
          </w:tcPr>
          <w:p>
            <w:pPr>
              <w:pStyle w:val="12"/>
              <w:bidi w:val="0"/>
              <w:rPr>
                <w:color w:val="auto"/>
                <w:highlight w:val="none"/>
                <w:lang w:val="zh-CN" w:eastAsia="zh-CN"/>
              </w:rPr>
            </w:pPr>
            <w:r>
              <w:rPr>
                <w:color w:val="auto"/>
                <w:highlight w:val="none"/>
                <w:lang w:val="zh-CN" w:eastAsia="zh-CN"/>
              </w:rPr>
              <w:t>水电预埋管</w:t>
            </w:r>
          </w:p>
        </w:tc>
        <w:tc>
          <w:tcPr>
            <w:tcW w:w="1808" w:type="dxa"/>
            <w:vAlign w:val="center"/>
          </w:tcPr>
          <w:p>
            <w:pPr>
              <w:pStyle w:val="12"/>
              <w:bidi w:val="0"/>
              <w:rPr>
                <w:color w:val="auto"/>
                <w:highlight w:val="none"/>
                <w:lang w:val="zh-CN" w:eastAsia="zh-CN"/>
              </w:rPr>
            </w:pPr>
            <w:r>
              <w:rPr>
                <w:color w:val="auto"/>
                <w:highlight w:val="none"/>
                <w:lang w:val="zh-CN" w:eastAsia="zh-CN"/>
              </w:rPr>
              <w:t>水电预埋管线端口要包封 好，防止砼浇筑时堵塞管道</w:t>
            </w:r>
          </w:p>
        </w:tc>
        <w:tc>
          <w:tcPr>
            <w:tcW w:w="7893" w:type="dxa"/>
            <w:vAlign w:val="center"/>
          </w:tcPr>
          <w:p>
            <w:pPr>
              <w:pStyle w:val="12"/>
              <w:bidi w:val="0"/>
              <w:rPr>
                <w:color w:val="auto"/>
                <w:highlight w:val="none"/>
                <w:lang w:val="zh-CN" w:eastAsia="zh-CN"/>
              </w:rPr>
            </w:pPr>
            <w:r>
              <w:rPr>
                <w:color w:val="auto"/>
                <w:highlight w:val="none"/>
                <w:lang w:val="zh-CN" w:eastAsia="zh-CN"/>
              </w:rPr>
              <w:drawing>
                <wp:inline distT="0" distB="0" distL="114300" distR="114300">
                  <wp:extent cx="2268220" cy="1683385"/>
                  <wp:effectExtent l="0" t="0" r="8255" b="2540"/>
                  <wp:docPr id="1274316542" name="图片 1274316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316542" name="图片 1274316542"/>
                          <pic:cNvPicPr>
                            <a:picLocks noChangeAspect="1"/>
                          </pic:cNvPicPr>
                        </pic:nvPicPr>
                        <pic:blipFill>
                          <a:blip r:embed="rId22"/>
                          <a:stretch>
                            <a:fillRect/>
                          </a:stretch>
                        </pic:blipFill>
                        <pic:spPr>
                          <a:xfrm>
                            <a:off x="0" y="0"/>
                            <a:ext cx="2268220" cy="1683385"/>
                          </a:xfrm>
                          <a:prstGeom prst="rect">
                            <a:avLst/>
                          </a:prstGeom>
                          <a:noFill/>
                          <a:ln>
                            <a:noFill/>
                          </a:ln>
                        </pic:spPr>
                      </pic:pic>
                    </a:graphicData>
                  </a:graphic>
                </wp:inline>
              </w:drawing>
            </w:r>
            <w:r>
              <w:rPr>
                <w:color w:val="auto"/>
                <w:highlight w:val="none"/>
                <w:lang w:val="zh-CN" w:eastAsia="zh-CN"/>
              </w:rPr>
              <w:drawing>
                <wp:inline distT="0" distB="0" distL="114300" distR="114300">
                  <wp:extent cx="2336165" cy="1652905"/>
                  <wp:effectExtent l="0" t="0" r="6985" b="4445"/>
                  <wp:docPr id="1639802979" name="图片 1639802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802979" name="图片 1639802979"/>
                          <pic:cNvPicPr>
                            <a:picLocks noChangeAspect="1"/>
                          </pic:cNvPicPr>
                        </pic:nvPicPr>
                        <pic:blipFill>
                          <a:blip r:embed="rId23"/>
                          <a:stretch>
                            <a:fillRect/>
                          </a:stretch>
                        </pic:blipFill>
                        <pic:spPr>
                          <a:xfrm>
                            <a:off x="0" y="0"/>
                            <a:ext cx="2336165" cy="1652905"/>
                          </a:xfrm>
                          <a:prstGeom prst="rect">
                            <a:avLst/>
                          </a:prstGeom>
                          <a:noFill/>
                          <a:ln>
                            <a:noFill/>
                          </a:ln>
                        </pic:spPr>
                      </pic:pic>
                    </a:graphicData>
                  </a:graphic>
                </wp:inline>
              </w:drawing>
            </w:r>
          </w:p>
        </w:tc>
        <w:tc>
          <w:tcPr>
            <w:tcW w:w="1198" w:type="dxa"/>
            <w:vAlign w:val="center"/>
          </w:tcPr>
          <w:p>
            <w:pPr>
              <w:pStyle w:val="12"/>
              <w:bidi w:val="0"/>
              <w:rPr>
                <w:color w:val="auto"/>
                <w:highlight w:val="none"/>
                <w:lang w:val="zh-CN" w:eastAsia="zh-CN"/>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52" w:hRule="atLeast"/>
        </w:trPr>
        <w:tc>
          <w:tcPr>
            <w:tcW w:w="672" w:type="dxa"/>
            <w:vMerge w:val="continue"/>
            <w:tcBorders>
              <w:top w:val="nil"/>
            </w:tcBorders>
            <w:vAlign w:val="center"/>
          </w:tcPr>
          <w:p>
            <w:pPr>
              <w:pStyle w:val="12"/>
              <w:bidi w:val="0"/>
              <w:rPr>
                <w:color w:val="auto"/>
                <w:highlight w:val="none"/>
                <w:lang w:val="zh-CN" w:eastAsia="zh-CN"/>
              </w:rPr>
            </w:pPr>
          </w:p>
        </w:tc>
        <w:tc>
          <w:tcPr>
            <w:tcW w:w="1562" w:type="dxa"/>
            <w:vMerge w:val="continue"/>
            <w:tcBorders>
              <w:top w:val="nil"/>
            </w:tcBorders>
            <w:vAlign w:val="center"/>
          </w:tcPr>
          <w:p>
            <w:pPr>
              <w:pStyle w:val="12"/>
              <w:bidi w:val="0"/>
              <w:rPr>
                <w:color w:val="auto"/>
                <w:highlight w:val="none"/>
                <w:lang w:val="zh-CN" w:eastAsia="zh-CN"/>
              </w:rPr>
            </w:pPr>
          </w:p>
        </w:tc>
        <w:tc>
          <w:tcPr>
            <w:tcW w:w="1808" w:type="dxa"/>
            <w:vAlign w:val="center"/>
          </w:tcPr>
          <w:p>
            <w:pPr>
              <w:pStyle w:val="12"/>
              <w:bidi w:val="0"/>
              <w:rPr>
                <w:color w:val="auto"/>
                <w:highlight w:val="none"/>
                <w:lang w:val="zh-CN" w:eastAsia="zh-CN"/>
              </w:rPr>
            </w:pPr>
            <w:r>
              <w:rPr>
                <w:color w:val="auto"/>
                <w:highlight w:val="none"/>
                <w:lang w:val="zh-CN" w:eastAsia="zh-CN"/>
              </w:rPr>
              <w:t>首层楼板的预留洞，提前进行封堵，防止养护用水流至地下室。</w:t>
            </w:r>
          </w:p>
        </w:tc>
        <w:tc>
          <w:tcPr>
            <w:tcW w:w="7893" w:type="dxa"/>
            <w:vAlign w:val="center"/>
          </w:tcPr>
          <w:p>
            <w:pPr>
              <w:pStyle w:val="12"/>
              <w:bidi w:val="0"/>
              <w:rPr>
                <w:color w:val="auto"/>
                <w:highlight w:val="none"/>
                <w:lang w:val="zh-CN" w:eastAsia="zh-CN"/>
              </w:rPr>
            </w:pPr>
          </w:p>
          <w:p>
            <w:pPr>
              <w:pStyle w:val="12"/>
              <w:bidi w:val="0"/>
              <w:rPr>
                <w:color w:val="auto"/>
                <w:highlight w:val="none"/>
                <w:lang w:val="zh-CN" w:eastAsia="zh-CN"/>
              </w:rPr>
            </w:pPr>
            <w:r>
              <w:rPr>
                <w:color w:val="auto"/>
                <w:highlight w:val="none"/>
                <w:lang w:val="zh-CN" w:eastAsia="zh-CN"/>
              </w:rPr>
              <w:drawing>
                <wp:inline distT="0" distB="0" distL="0" distR="0">
                  <wp:extent cx="2161540" cy="2327910"/>
                  <wp:effectExtent l="0" t="0" r="635" b="5715"/>
                  <wp:docPr id="27"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14.jpeg"/>
                          <pic:cNvPicPr>
                            <a:picLocks noChangeAspect="1"/>
                          </pic:cNvPicPr>
                        </pic:nvPicPr>
                        <pic:blipFill>
                          <a:blip r:embed="rId24" cstate="print"/>
                          <a:stretch>
                            <a:fillRect/>
                          </a:stretch>
                        </pic:blipFill>
                        <pic:spPr>
                          <a:xfrm>
                            <a:off x="0" y="0"/>
                            <a:ext cx="2161671" cy="2328100"/>
                          </a:xfrm>
                          <a:prstGeom prst="rect">
                            <a:avLst/>
                          </a:prstGeom>
                        </pic:spPr>
                      </pic:pic>
                    </a:graphicData>
                  </a:graphic>
                </wp:inline>
              </w:drawing>
            </w:r>
            <w:r>
              <w:rPr>
                <w:color w:val="auto"/>
                <w:highlight w:val="none"/>
                <w:lang w:val="zh-CN" w:eastAsia="zh-CN"/>
              </w:rPr>
              <w:drawing>
                <wp:inline distT="0" distB="0" distL="0" distR="0">
                  <wp:extent cx="2343785" cy="2268855"/>
                  <wp:effectExtent l="0" t="0" r="8890" b="7620"/>
                  <wp:docPr id="29"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15.jpeg"/>
                          <pic:cNvPicPr>
                            <a:picLocks noChangeAspect="1"/>
                          </pic:cNvPicPr>
                        </pic:nvPicPr>
                        <pic:blipFill>
                          <a:blip r:embed="rId25" cstate="print"/>
                          <a:stretch>
                            <a:fillRect/>
                          </a:stretch>
                        </pic:blipFill>
                        <pic:spPr>
                          <a:xfrm>
                            <a:off x="0" y="0"/>
                            <a:ext cx="2344128" cy="2269426"/>
                          </a:xfrm>
                          <a:prstGeom prst="rect">
                            <a:avLst/>
                          </a:prstGeom>
                        </pic:spPr>
                      </pic:pic>
                    </a:graphicData>
                  </a:graphic>
                </wp:inline>
              </w:drawing>
            </w:r>
          </w:p>
        </w:tc>
        <w:tc>
          <w:tcPr>
            <w:tcW w:w="1198" w:type="dxa"/>
            <w:vAlign w:val="center"/>
          </w:tcPr>
          <w:p>
            <w:pPr>
              <w:pStyle w:val="12"/>
              <w:bidi w:val="0"/>
              <w:rPr>
                <w:color w:val="auto"/>
                <w:highlight w:val="none"/>
                <w:lang w:val="zh-CN" w:eastAsia="zh-CN"/>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223" w:hRule="atLeast"/>
        </w:trPr>
        <w:tc>
          <w:tcPr>
            <w:tcW w:w="672" w:type="dxa"/>
            <w:vMerge w:val="continue"/>
            <w:tcBorders>
              <w:top w:val="nil"/>
            </w:tcBorders>
            <w:vAlign w:val="center"/>
          </w:tcPr>
          <w:p>
            <w:pPr>
              <w:pStyle w:val="12"/>
              <w:bidi w:val="0"/>
              <w:rPr>
                <w:color w:val="auto"/>
                <w:highlight w:val="none"/>
                <w:lang w:val="zh-CN" w:eastAsia="zh-CN"/>
              </w:rPr>
            </w:pPr>
          </w:p>
        </w:tc>
        <w:tc>
          <w:tcPr>
            <w:tcW w:w="1562" w:type="dxa"/>
            <w:vMerge w:val="continue"/>
            <w:tcBorders>
              <w:top w:val="nil"/>
            </w:tcBorders>
            <w:vAlign w:val="center"/>
          </w:tcPr>
          <w:p>
            <w:pPr>
              <w:pStyle w:val="12"/>
              <w:bidi w:val="0"/>
              <w:rPr>
                <w:color w:val="auto"/>
                <w:highlight w:val="none"/>
                <w:lang w:val="zh-CN" w:eastAsia="zh-CN"/>
              </w:rPr>
            </w:pPr>
          </w:p>
        </w:tc>
        <w:tc>
          <w:tcPr>
            <w:tcW w:w="1808" w:type="dxa"/>
            <w:vAlign w:val="center"/>
          </w:tcPr>
          <w:p>
            <w:pPr>
              <w:pStyle w:val="12"/>
              <w:bidi w:val="0"/>
              <w:rPr>
                <w:color w:val="auto"/>
                <w:highlight w:val="none"/>
                <w:lang w:val="zh-CN" w:eastAsia="zh-CN"/>
              </w:rPr>
            </w:pPr>
            <w:r>
              <w:rPr>
                <w:color w:val="auto"/>
                <w:highlight w:val="none"/>
                <w:lang w:val="zh-CN" w:eastAsia="zh-CN"/>
              </w:rPr>
              <w:t>出楼面线管采用木盒进行保护。</w:t>
            </w:r>
          </w:p>
        </w:tc>
        <w:tc>
          <w:tcPr>
            <w:tcW w:w="7893" w:type="dxa"/>
            <w:vAlign w:val="center"/>
          </w:tcPr>
          <w:p>
            <w:pPr>
              <w:pStyle w:val="12"/>
              <w:bidi w:val="0"/>
              <w:rPr>
                <w:color w:val="auto"/>
                <w:highlight w:val="none"/>
                <w:lang w:val="zh-CN" w:eastAsia="zh-CN"/>
              </w:rPr>
            </w:pPr>
          </w:p>
        </w:tc>
        <w:tc>
          <w:tcPr>
            <w:tcW w:w="1198" w:type="dxa"/>
            <w:vAlign w:val="center"/>
          </w:tcPr>
          <w:p>
            <w:pPr>
              <w:pStyle w:val="12"/>
              <w:bidi w:val="0"/>
              <w:rPr>
                <w:color w:val="auto"/>
                <w:highlight w:val="none"/>
                <w:lang w:val="zh-CN" w:eastAsia="zh-CN"/>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324" w:hRule="atLeast"/>
        </w:trPr>
        <w:tc>
          <w:tcPr>
            <w:tcW w:w="672" w:type="dxa"/>
            <w:vAlign w:val="center"/>
          </w:tcPr>
          <w:p>
            <w:pPr>
              <w:pStyle w:val="12"/>
              <w:bidi w:val="0"/>
              <w:rPr>
                <w:color w:val="auto"/>
                <w:highlight w:val="none"/>
                <w:lang w:val="zh-CN" w:eastAsia="zh-CN"/>
              </w:rPr>
            </w:pPr>
            <w:r>
              <w:rPr>
                <w:color w:val="auto"/>
                <w:highlight w:val="none"/>
                <w:lang w:val="zh-CN" w:eastAsia="zh-CN"/>
              </w:rPr>
              <w:t>2</w:t>
            </w:r>
          </w:p>
        </w:tc>
        <w:tc>
          <w:tcPr>
            <w:tcW w:w="1562" w:type="dxa"/>
            <w:vAlign w:val="center"/>
          </w:tcPr>
          <w:p>
            <w:pPr>
              <w:pStyle w:val="12"/>
              <w:bidi w:val="0"/>
              <w:rPr>
                <w:color w:val="auto"/>
                <w:highlight w:val="none"/>
                <w:lang w:val="zh-CN" w:eastAsia="zh-CN"/>
              </w:rPr>
            </w:pPr>
            <w:r>
              <w:rPr>
                <w:rFonts w:hint="eastAsia"/>
                <w:color w:val="auto"/>
                <w:highlight w:val="none"/>
                <w:lang w:val="zh-CN" w:eastAsia="zh-CN"/>
              </w:rPr>
              <w:t>管道</w:t>
            </w:r>
          </w:p>
        </w:tc>
        <w:tc>
          <w:tcPr>
            <w:tcW w:w="1808" w:type="dxa"/>
            <w:vAlign w:val="center"/>
          </w:tcPr>
          <w:p>
            <w:pPr>
              <w:pStyle w:val="12"/>
              <w:bidi w:val="0"/>
              <w:rPr>
                <w:color w:val="auto"/>
                <w:highlight w:val="none"/>
                <w:lang w:val="zh-CN" w:eastAsia="zh-CN"/>
              </w:rPr>
            </w:pPr>
            <w:r>
              <w:rPr>
                <w:color w:val="auto"/>
                <w:highlight w:val="none"/>
                <w:lang w:val="zh-CN" w:eastAsia="zh-CN"/>
              </w:rPr>
              <w:t>采用塑料薄膜包裹，防止封堵及污染</w:t>
            </w:r>
          </w:p>
        </w:tc>
        <w:tc>
          <w:tcPr>
            <w:tcW w:w="7893" w:type="dxa"/>
            <w:vAlign w:val="center"/>
          </w:tcPr>
          <w:p>
            <w:pPr>
              <w:pStyle w:val="12"/>
              <w:bidi w:val="0"/>
              <w:rPr>
                <w:color w:val="auto"/>
                <w:highlight w:val="none"/>
                <w:lang w:val="zh-CN" w:eastAsia="zh-CN"/>
              </w:rPr>
            </w:pPr>
            <w:r>
              <w:rPr>
                <w:color w:val="auto"/>
                <w:highlight w:val="none"/>
                <w:lang w:val="zh-CN" w:eastAsia="zh-CN"/>
              </w:rPr>
              <w:drawing>
                <wp:inline distT="0" distB="0" distL="0" distR="0">
                  <wp:extent cx="2360295" cy="2637790"/>
                  <wp:effectExtent l="0" t="0" r="1905" b="635"/>
                  <wp:docPr id="31" name="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16.jpeg"/>
                          <pic:cNvPicPr>
                            <a:picLocks noChangeAspect="1"/>
                          </pic:cNvPicPr>
                        </pic:nvPicPr>
                        <pic:blipFill>
                          <a:blip r:embed="rId26" cstate="print"/>
                          <a:stretch>
                            <a:fillRect/>
                          </a:stretch>
                        </pic:blipFill>
                        <pic:spPr>
                          <a:xfrm>
                            <a:off x="0" y="0"/>
                            <a:ext cx="2360882" cy="2637853"/>
                          </a:xfrm>
                          <a:prstGeom prst="rect">
                            <a:avLst/>
                          </a:prstGeom>
                        </pic:spPr>
                      </pic:pic>
                    </a:graphicData>
                  </a:graphic>
                </wp:inline>
              </w:drawing>
            </w:r>
            <w:r>
              <w:rPr>
                <w:color w:val="auto"/>
                <w:highlight w:val="none"/>
                <w:lang w:val="zh-CN" w:eastAsia="zh-CN"/>
              </w:rPr>
              <w:drawing>
                <wp:inline distT="0" distB="0" distL="0" distR="0">
                  <wp:extent cx="2192655" cy="2630170"/>
                  <wp:effectExtent l="0" t="0" r="7620" b="8255"/>
                  <wp:docPr id="33" name="image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17.jpeg"/>
                          <pic:cNvPicPr>
                            <a:picLocks noChangeAspect="1"/>
                          </pic:cNvPicPr>
                        </pic:nvPicPr>
                        <pic:blipFill>
                          <a:blip r:embed="rId27" cstate="print"/>
                          <a:stretch>
                            <a:fillRect/>
                          </a:stretch>
                        </pic:blipFill>
                        <pic:spPr>
                          <a:xfrm>
                            <a:off x="0" y="0"/>
                            <a:ext cx="2193015" cy="2630709"/>
                          </a:xfrm>
                          <a:prstGeom prst="rect">
                            <a:avLst/>
                          </a:prstGeom>
                        </pic:spPr>
                      </pic:pic>
                    </a:graphicData>
                  </a:graphic>
                </wp:inline>
              </w:drawing>
            </w:r>
          </w:p>
        </w:tc>
        <w:tc>
          <w:tcPr>
            <w:tcW w:w="1198" w:type="dxa"/>
            <w:vAlign w:val="center"/>
          </w:tcPr>
          <w:p>
            <w:pPr>
              <w:pStyle w:val="12"/>
              <w:bidi w:val="0"/>
              <w:rPr>
                <w:color w:val="auto"/>
                <w:highlight w:val="none"/>
                <w:lang w:val="zh-CN" w:eastAsia="zh-CN"/>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46" w:hRule="atLeast"/>
        </w:trPr>
        <w:tc>
          <w:tcPr>
            <w:tcW w:w="672" w:type="dxa"/>
            <w:vAlign w:val="center"/>
          </w:tcPr>
          <w:p>
            <w:pPr>
              <w:pStyle w:val="12"/>
              <w:bidi w:val="0"/>
              <w:rPr>
                <w:color w:val="auto"/>
                <w:highlight w:val="none"/>
                <w:lang w:val="zh-CN" w:eastAsia="zh-CN"/>
              </w:rPr>
            </w:pPr>
            <w:r>
              <w:rPr>
                <w:color w:val="auto"/>
                <w:highlight w:val="none"/>
                <w:lang w:val="zh-CN" w:eastAsia="zh-CN"/>
              </w:rPr>
              <w:t>3</w:t>
            </w:r>
          </w:p>
        </w:tc>
        <w:tc>
          <w:tcPr>
            <w:tcW w:w="1562" w:type="dxa"/>
            <w:vAlign w:val="center"/>
          </w:tcPr>
          <w:p>
            <w:pPr>
              <w:pStyle w:val="12"/>
              <w:bidi w:val="0"/>
              <w:rPr>
                <w:color w:val="auto"/>
                <w:highlight w:val="none"/>
                <w:lang w:val="zh-CN" w:eastAsia="zh-CN"/>
              </w:rPr>
            </w:pPr>
            <w:r>
              <w:rPr>
                <w:rFonts w:hint="eastAsia"/>
                <w:color w:val="auto"/>
                <w:highlight w:val="none"/>
                <w:lang w:val="zh-CN" w:eastAsia="zh-CN"/>
              </w:rPr>
              <w:t>室内空调及部件</w:t>
            </w:r>
          </w:p>
        </w:tc>
        <w:tc>
          <w:tcPr>
            <w:tcW w:w="1808" w:type="dxa"/>
            <w:vAlign w:val="center"/>
          </w:tcPr>
          <w:p>
            <w:pPr>
              <w:pStyle w:val="12"/>
              <w:bidi w:val="0"/>
              <w:rPr>
                <w:color w:val="auto"/>
                <w:highlight w:val="none"/>
                <w:lang w:val="zh-CN" w:eastAsia="zh-CN"/>
              </w:rPr>
            </w:pPr>
            <w:r>
              <w:rPr>
                <w:color w:val="auto"/>
                <w:highlight w:val="none"/>
                <w:lang w:val="zh-CN" w:eastAsia="zh-CN"/>
              </w:rPr>
              <w:t>1、 安装调试完成后，室内壁挂机立即用原厂包装用的塑料薄膜与机身固定，确保每边都封闭密实。</w:t>
            </w:r>
          </w:p>
          <w:p>
            <w:pPr>
              <w:pStyle w:val="12"/>
              <w:bidi w:val="0"/>
              <w:rPr>
                <w:color w:val="auto"/>
                <w:highlight w:val="none"/>
                <w:lang w:val="zh-CN" w:eastAsia="zh-CN"/>
              </w:rPr>
            </w:pPr>
            <w:r>
              <w:rPr>
                <w:color w:val="auto"/>
                <w:highlight w:val="none"/>
                <w:lang w:val="zh-CN" w:eastAsia="zh-CN"/>
              </w:rPr>
              <w:t>2、 风管机、出回风口均用薄膜裁剪成与风口同一尺 寸，满铺，并用美纹纸将薄膜与风口翻边黏贴固定</w:t>
            </w:r>
          </w:p>
        </w:tc>
        <w:tc>
          <w:tcPr>
            <w:tcW w:w="7893" w:type="dxa"/>
            <w:vAlign w:val="center"/>
          </w:tcPr>
          <w:p>
            <w:pPr>
              <w:pStyle w:val="12"/>
              <w:bidi w:val="0"/>
              <w:rPr>
                <w:color w:val="auto"/>
                <w:highlight w:val="none"/>
                <w:lang w:val="zh-CN" w:eastAsia="zh-CN"/>
              </w:rPr>
            </w:pPr>
            <w:r>
              <w:rPr>
                <w:color w:val="auto"/>
                <w:highlight w:val="none"/>
                <w:lang w:val="zh-CN" w:eastAsia="zh-CN"/>
              </w:rPr>
              <w:drawing>
                <wp:inline distT="0" distB="0" distL="0" distR="0">
                  <wp:extent cx="2222500" cy="2162175"/>
                  <wp:effectExtent l="0" t="0" r="6350" b="0"/>
                  <wp:docPr id="35" name="image21.jpeg"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21.jpeg" descr="11"/>
                          <pic:cNvPicPr>
                            <a:picLocks noChangeAspect="1"/>
                          </pic:cNvPicPr>
                        </pic:nvPicPr>
                        <pic:blipFill>
                          <a:blip r:embed="rId28" cstate="print"/>
                          <a:stretch>
                            <a:fillRect/>
                          </a:stretch>
                        </pic:blipFill>
                        <pic:spPr>
                          <a:xfrm>
                            <a:off x="0" y="0"/>
                            <a:ext cx="2222937" cy="2162555"/>
                          </a:xfrm>
                          <a:prstGeom prst="rect">
                            <a:avLst/>
                          </a:prstGeom>
                        </pic:spPr>
                      </pic:pic>
                    </a:graphicData>
                  </a:graphic>
                </wp:inline>
              </w:drawing>
            </w:r>
            <w:r>
              <w:rPr>
                <w:color w:val="auto"/>
                <w:highlight w:val="none"/>
                <w:lang w:val="zh-CN" w:eastAsia="zh-CN"/>
              </w:rPr>
              <w:drawing>
                <wp:inline distT="0" distB="0" distL="0" distR="0">
                  <wp:extent cx="2329815" cy="2095500"/>
                  <wp:effectExtent l="0" t="0" r="3810" b="0"/>
                  <wp:docPr id="37" name="image22.jpeg"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age22.jpeg" descr="12"/>
                          <pic:cNvPicPr>
                            <a:picLocks noChangeAspect="1"/>
                          </pic:cNvPicPr>
                        </pic:nvPicPr>
                        <pic:blipFill>
                          <a:blip r:embed="rId29" cstate="print"/>
                          <a:stretch>
                            <a:fillRect/>
                          </a:stretch>
                        </pic:blipFill>
                        <pic:spPr>
                          <a:xfrm>
                            <a:off x="0" y="0"/>
                            <a:ext cx="2330208" cy="2095690"/>
                          </a:xfrm>
                          <a:prstGeom prst="rect">
                            <a:avLst/>
                          </a:prstGeom>
                        </pic:spPr>
                      </pic:pic>
                    </a:graphicData>
                  </a:graphic>
                </wp:inline>
              </w:drawing>
            </w:r>
          </w:p>
        </w:tc>
        <w:tc>
          <w:tcPr>
            <w:tcW w:w="1198" w:type="dxa"/>
            <w:vAlign w:val="center"/>
          </w:tcPr>
          <w:p>
            <w:pPr>
              <w:pStyle w:val="12"/>
              <w:bidi w:val="0"/>
              <w:rPr>
                <w:color w:val="auto"/>
                <w:highlight w:val="none"/>
                <w:lang w:val="zh-CN" w:eastAsia="zh-CN"/>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324" w:hRule="atLeast"/>
        </w:trPr>
        <w:tc>
          <w:tcPr>
            <w:tcW w:w="672" w:type="dxa"/>
            <w:vAlign w:val="center"/>
          </w:tcPr>
          <w:p>
            <w:pPr>
              <w:pStyle w:val="12"/>
              <w:bidi w:val="0"/>
              <w:rPr>
                <w:color w:val="auto"/>
                <w:highlight w:val="none"/>
                <w:lang w:val="zh-CN" w:eastAsia="zh-CN"/>
              </w:rPr>
            </w:pPr>
            <w:r>
              <w:rPr>
                <w:color w:val="auto"/>
                <w:highlight w:val="none"/>
                <w:lang w:val="zh-CN" w:eastAsia="zh-CN"/>
              </w:rPr>
              <w:t>5</w:t>
            </w:r>
          </w:p>
        </w:tc>
        <w:tc>
          <w:tcPr>
            <w:tcW w:w="1562" w:type="dxa"/>
            <w:vAlign w:val="center"/>
          </w:tcPr>
          <w:p>
            <w:pPr>
              <w:pStyle w:val="12"/>
              <w:bidi w:val="0"/>
              <w:rPr>
                <w:color w:val="auto"/>
                <w:highlight w:val="none"/>
                <w:lang w:val="zh-CN" w:eastAsia="zh-CN"/>
              </w:rPr>
            </w:pPr>
            <w:r>
              <w:rPr>
                <w:color w:val="auto"/>
                <w:highlight w:val="none"/>
                <w:lang w:val="zh-CN" w:eastAsia="zh-CN"/>
              </w:rPr>
              <w:t>风柜、风口</w:t>
            </w:r>
          </w:p>
        </w:tc>
        <w:tc>
          <w:tcPr>
            <w:tcW w:w="1808" w:type="dxa"/>
            <w:vAlign w:val="center"/>
          </w:tcPr>
          <w:p>
            <w:pPr>
              <w:pStyle w:val="12"/>
              <w:bidi w:val="0"/>
              <w:rPr>
                <w:color w:val="auto"/>
                <w:highlight w:val="none"/>
                <w:lang w:val="zh-CN" w:eastAsia="zh-CN"/>
              </w:rPr>
            </w:pPr>
            <w:r>
              <w:rPr>
                <w:color w:val="auto"/>
                <w:highlight w:val="none"/>
                <w:lang w:val="zh-CN" w:eastAsia="zh-CN"/>
              </w:rPr>
              <w:t>1、 风柜安装完成后，用</w:t>
            </w:r>
            <w:r>
              <w:rPr>
                <w:color w:val="auto"/>
                <w:highlight w:val="none"/>
                <w:lang w:eastAsia="zh-CN"/>
              </w:rPr>
              <w:t>防火布</w:t>
            </w:r>
            <w:r>
              <w:rPr>
                <w:color w:val="auto"/>
                <w:highlight w:val="none"/>
                <w:lang w:val="zh-CN" w:eastAsia="zh-CN"/>
              </w:rPr>
              <w:t>覆盖包裹保护，并贴上警示标识；  2、 风口用塑料薄膜进行包裹。</w:t>
            </w:r>
          </w:p>
        </w:tc>
        <w:tc>
          <w:tcPr>
            <w:tcW w:w="7893" w:type="dxa"/>
            <w:vAlign w:val="center"/>
          </w:tcPr>
          <w:p>
            <w:pPr>
              <w:pStyle w:val="12"/>
              <w:bidi w:val="0"/>
              <w:rPr>
                <w:color w:val="auto"/>
                <w:highlight w:val="none"/>
                <w:lang w:val="zh-CN" w:eastAsia="zh-CN"/>
              </w:rPr>
            </w:pPr>
            <w:r>
              <w:rPr>
                <w:color w:val="auto"/>
                <w:highlight w:val="none"/>
                <w:lang w:val="zh-CN" w:eastAsia="zh-CN"/>
              </w:rPr>
              <w:drawing>
                <wp:inline distT="0" distB="0" distL="0" distR="0">
                  <wp:extent cx="2324100" cy="2384425"/>
                  <wp:effectExtent l="0" t="0" r="0" b="6350"/>
                  <wp:docPr id="45" name="image26.jpeg" descr="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image26.jpeg" descr="18"/>
                          <pic:cNvPicPr>
                            <a:picLocks noChangeAspect="1"/>
                          </pic:cNvPicPr>
                        </pic:nvPicPr>
                        <pic:blipFill>
                          <a:blip r:embed="rId30" cstate="print"/>
                          <a:stretch>
                            <a:fillRect/>
                          </a:stretch>
                        </pic:blipFill>
                        <pic:spPr>
                          <a:xfrm>
                            <a:off x="0" y="0"/>
                            <a:ext cx="2324364" cy="2384869"/>
                          </a:xfrm>
                          <a:prstGeom prst="rect">
                            <a:avLst/>
                          </a:prstGeom>
                        </pic:spPr>
                      </pic:pic>
                    </a:graphicData>
                  </a:graphic>
                </wp:inline>
              </w:drawing>
            </w:r>
          </w:p>
        </w:tc>
        <w:tc>
          <w:tcPr>
            <w:tcW w:w="1198" w:type="dxa"/>
            <w:vAlign w:val="center"/>
          </w:tcPr>
          <w:p>
            <w:pPr>
              <w:pStyle w:val="12"/>
              <w:bidi w:val="0"/>
              <w:rPr>
                <w:color w:val="auto"/>
                <w:highlight w:val="none"/>
                <w:lang w:val="zh-CN" w:eastAsia="zh-CN"/>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324" w:hRule="atLeast"/>
        </w:trPr>
        <w:tc>
          <w:tcPr>
            <w:tcW w:w="672" w:type="dxa"/>
            <w:vAlign w:val="center"/>
          </w:tcPr>
          <w:p>
            <w:pPr>
              <w:pStyle w:val="12"/>
              <w:bidi w:val="0"/>
              <w:rPr>
                <w:color w:val="auto"/>
                <w:highlight w:val="none"/>
                <w:lang w:val="zh-CN" w:eastAsia="zh-CN"/>
              </w:rPr>
            </w:pPr>
            <w:r>
              <w:rPr>
                <w:color w:val="auto"/>
                <w:highlight w:val="none"/>
                <w:lang w:val="zh-CN" w:eastAsia="zh-CN"/>
              </w:rPr>
              <w:t>6</w:t>
            </w:r>
          </w:p>
        </w:tc>
        <w:tc>
          <w:tcPr>
            <w:tcW w:w="1562" w:type="dxa"/>
            <w:vAlign w:val="center"/>
          </w:tcPr>
          <w:p>
            <w:pPr>
              <w:pStyle w:val="12"/>
              <w:bidi w:val="0"/>
              <w:rPr>
                <w:color w:val="auto"/>
                <w:highlight w:val="none"/>
                <w:lang w:val="zh-CN" w:eastAsia="zh-CN"/>
              </w:rPr>
            </w:pPr>
            <w:r>
              <w:rPr>
                <w:color w:val="auto"/>
                <w:highlight w:val="none"/>
                <w:lang w:val="zh-CN" w:eastAsia="zh-CN"/>
              </w:rPr>
              <w:t>垂直电梯</w:t>
            </w:r>
          </w:p>
        </w:tc>
        <w:tc>
          <w:tcPr>
            <w:tcW w:w="1808" w:type="dxa"/>
            <w:vAlign w:val="center"/>
          </w:tcPr>
          <w:p>
            <w:pPr>
              <w:pStyle w:val="12"/>
              <w:bidi w:val="0"/>
              <w:rPr>
                <w:color w:val="auto"/>
                <w:highlight w:val="none"/>
                <w:lang w:val="zh-CN" w:eastAsia="zh-CN"/>
              </w:rPr>
            </w:pPr>
            <w:r>
              <w:rPr>
                <w:color w:val="auto"/>
                <w:highlight w:val="none"/>
                <w:lang w:val="zh-CN" w:eastAsia="zh-CN"/>
              </w:rPr>
              <w:t>电梯公共部分装修验收合格后，用适宜尺寸的成品瓦楞纸（或9厘夹板）折成门套形状，用胶带固定在外侧瓷砖上。在转角部位用硬板条加强保护。</w:t>
            </w:r>
          </w:p>
          <w:p>
            <w:pPr>
              <w:pStyle w:val="12"/>
              <w:bidi w:val="0"/>
              <w:rPr>
                <w:color w:val="auto"/>
                <w:highlight w:val="none"/>
                <w:lang w:val="zh-CN" w:eastAsia="zh-CN"/>
              </w:rPr>
            </w:pPr>
            <w:r>
              <w:rPr>
                <w:color w:val="auto"/>
                <w:highlight w:val="none"/>
                <w:lang w:val="zh-CN" w:eastAsia="zh-CN"/>
              </w:rPr>
              <w:t>2、 电梯轿厢内地面与箱壁采用9厘夹板满铺保护。</w:t>
            </w:r>
          </w:p>
        </w:tc>
        <w:tc>
          <w:tcPr>
            <w:tcW w:w="7893" w:type="dxa"/>
            <w:vAlign w:val="center"/>
          </w:tcPr>
          <w:p>
            <w:pPr>
              <w:pStyle w:val="12"/>
              <w:bidi w:val="0"/>
              <w:rPr>
                <w:color w:val="auto"/>
                <w:highlight w:val="none"/>
                <w:lang w:val="zh-CN" w:eastAsia="zh-CN"/>
              </w:rPr>
            </w:pPr>
            <w:r>
              <w:rPr>
                <w:color w:val="auto"/>
                <w:highlight w:val="none"/>
                <w:lang w:val="zh-CN" w:eastAsia="zh-CN"/>
              </w:rPr>
              <w:drawing>
                <wp:inline distT="0" distB="0" distL="0" distR="0">
                  <wp:extent cx="2134235" cy="2935605"/>
                  <wp:effectExtent l="0" t="0" r="8890" b="7620"/>
                  <wp:docPr id="47" name="image27.jpeg" descr="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image27.jpeg" descr="20"/>
                          <pic:cNvPicPr>
                            <a:picLocks noChangeAspect="1"/>
                          </pic:cNvPicPr>
                        </pic:nvPicPr>
                        <pic:blipFill>
                          <a:blip r:embed="rId31" cstate="print"/>
                          <a:stretch>
                            <a:fillRect/>
                          </a:stretch>
                        </pic:blipFill>
                        <pic:spPr>
                          <a:xfrm>
                            <a:off x="0" y="0"/>
                            <a:ext cx="2134432" cy="2936081"/>
                          </a:xfrm>
                          <a:prstGeom prst="rect">
                            <a:avLst/>
                          </a:prstGeom>
                        </pic:spPr>
                      </pic:pic>
                    </a:graphicData>
                  </a:graphic>
                </wp:inline>
              </w:drawing>
            </w:r>
            <w:r>
              <w:rPr>
                <w:color w:val="auto"/>
                <w:highlight w:val="none"/>
                <w:lang w:val="zh-CN" w:eastAsia="zh-CN"/>
              </w:rPr>
              <w:drawing>
                <wp:inline distT="0" distB="0" distL="0" distR="0">
                  <wp:extent cx="2292350" cy="2921000"/>
                  <wp:effectExtent l="0" t="0" r="3175" b="3175"/>
                  <wp:docPr id="49" name="image28.jpeg" descr="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image28.jpeg" descr="19"/>
                          <pic:cNvPicPr>
                            <a:picLocks noChangeAspect="1"/>
                          </pic:cNvPicPr>
                        </pic:nvPicPr>
                        <pic:blipFill>
                          <a:blip r:embed="rId32" cstate="print"/>
                          <a:stretch>
                            <a:fillRect/>
                          </a:stretch>
                        </pic:blipFill>
                        <pic:spPr>
                          <a:xfrm>
                            <a:off x="0" y="0"/>
                            <a:ext cx="2292641" cy="2921507"/>
                          </a:xfrm>
                          <a:prstGeom prst="rect">
                            <a:avLst/>
                          </a:prstGeom>
                        </pic:spPr>
                      </pic:pic>
                    </a:graphicData>
                  </a:graphic>
                </wp:inline>
              </w:drawing>
            </w:r>
          </w:p>
        </w:tc>
        <w:tc>
          <w:tcPr>
            <w:tcW w:w="1198" w:type="dxa"/>
            <w:vAlign w:val="center"/>
          </w:tcPr>
          <w:p>
            <w:pPr>
              <w:pStyle w:val="12"/>
              <w:bidi w:val="0"/>
              <w:rPr>
                <w:color w:val="auto"/>
                <w:highlight w:val="none"/>
                <w:lang w:val="zh-CN" w:eastAsia="zh-CN"/>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324" w:hRule="atLeast"/>
        </w:trPr>
        <w:tc>
          <w:tcPr>
            <w:tcW w:w="672" w:type="dxa"/>
            <w:vAlign w:val="center"/>
          </w:tcPr>
          <w:p>
            <w:pPr>
              <w:pStyle w:val="12"/>
              <w:bidi w:val="0"/>
              <w:rPr>
                <w:color w:val="auto"/>
                <w:highlight w:val="none"/>
                <w:lang w:val="zh-CN" w:eastAsia="zh-CN"/>
              </w:rPr>
            </w:pPr>
            <w:r>
              <w:rPr>
                <w:color w:val="auto"/>
                <w:highlight w:val="none"/>
                <w:lang w:val="zh-CN" w:eastAsia="zh-CN"/>
              </w:rPr>
              <w:t>8</w:t>
            </w:r>
          </w:p>
        </w:tc>
        <w:tc>
          <w:tcPr>
            <w:tcW w:w="1562" w:type="dxa"/>
            <w:vAlign w:val="center"/>
          </w:tcPr>
          <w:p>
            <w:pPr>
              <w:pStyle w:val="12"/>
              <w:bidi w:val="0"/>
              <w:rPr>
                <w:color w:val="auto"/>
                <w:highlight w:val="none"/>
                <w:lang w:val="zh-CN" w:eastAsia="zh-CN"/>
              </w:rPr>
            </w:pPr>
            <w:r>
              <w:rPr>
                <w:color w:val="auto"/>
                <w:highlight w:val="none"/>
                <w:lang w:val="zh-CN" w:eastAsia="zh-CN"/>
              </w:rPr>
              <w:t>冷水机组、热交换器、落地式空调机组、柴油发电机</w:t>
            </w:r>
          </w:p>
        </w:tc>
        <w:tc>
          <w:tcPr>
            <w:tcW w:w="1808" w:type="dxa"/>
            <w:vAlign w:val="center"/>
          </w:tcPr>
          <w:p>
            <w:pPr>
              <w:pStyle w:val="12"/>
              <w:bidi w:val="0"/>
              <w:rPr>
                <w:color w:val="auto"/>
                <w:highlight w:val="none"/>
                <w:lang w:val="zh-CN" w:eastAsia="zh-CN"/>
              </w:rPr>
            </w:pPr>
            <w:r>
              <w:rPr>
                <w:color w:val="auto"/>
                <w:highlight w:val="none"/>
                <w:lang w:val="zh-CN" w:eastAsia="zh-CN"/>
              </w:rPr>
              <w:t>采用包装箱或者</w:t>
            </w:r>
            <w:r>
              <w:rPr>
                <w:color w:val="auto"/>
                <w:highlight w:val="none"/>
                <w:lang w:eastAsia="zh-CN"/>
              </w:rPr>
              <w:t>防火布</w:t>
            </w:r>
            <w:r>
              <w:rPr>
                <w:color w:val="auto"/>
                <w:highlight w:val="none"/>
                <w:lang w:val="zh-CN" w:eastAsia="zh-CN"/>
              </w:rPr>
              <w:t>及时包裹保护， 防止设备污染和破坏</w:t>
            </w:r>
          </w:p>
        </w:tc>
        <w:tc>
          <w:tcPr>
            <w:tcW w:w="7893" w:type="dxa"/>
            <w:vAlign w:val="center"/>
          </w:tcPr>
          <w:p>
            <w:pPr>
              <w:pStyle w:val="12"/>
              <w:bidi w:val="0"/>
              <w:rPr>
                <w:color w:val="auto"/>
                <w:highlight w:val="none"/>
                <w:lang w:val="zh-CN" w:eastAsia="zh-CN"/>
              </w:rPr>
            </w:pPr>
            <w:r>
              <w:rPr>
                <w:color w:val="auto"/>
                <w:highlight w:val="none"/>
                <w:lang w:val="zh-CN" w:eastAsia="zh-CN"/>
              </w:rPr>
              <w:drawing>
                <wp:inline distT="0" distB="0" distL="0" distR="0">
                  <wp:extent cx="4165600" cy="2665095"/>
                  <wp:effectExtent l="0" t="0" r="6350" b="1905"/>
                  <wp:docPr id="53" name="image30.jpeg" descr="CIMG2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image30.jpeg" descr="CIMG2293"/>
                          <pic:cNvPicPr>
                            <a:picLocks noChangeAspect="1"/>
                          </pic:cNvPicPr>
                        </pic:nvPicPr>
                        <pic:blipFill>
                          <a:blip r:embed="rId33" cstate="print"/>
                          <a:stretch>
                            <a:fillRect/>
                          </a:stretch>
                        </pic:blipFill>
                        <pic:spPr>
                          <a:xfrm>
                            <a:off x="0" y="0"/>
                            <a:ext cx="4166059" cy="2665476"/>
                          </a:xfrm>
                          <a:prstGeom prst="rect">
                            <a:avLst/>
                          </a:prstGeom>
                        </pic:spPr>
                      </pic:pic>
                    </a:graphicData>
                  </a:graphic>
                </wp:inline>
              </w:drawing>
            </w:r>
          </w:p>
        </w:tc>
        <w:tc>
          <w:tcPr>
            <w:tcW w:w="1198" w:type="dxa"/>
            <w:vAlign w:val="center"/>
          </w:tcPr>
          <w:p>
            <w:pPr>
              <w:pStyle w:val="12"/>
              <w:bidi w:val="0"/>
              <w:rPr>
                <w:color w:val="auto"/>
                <w:highlight w:val="none"/>
                <w:lang w:val="zh-CN" w:eastAsia="zh-CN"/>
              </w:rPr>
            </w:pPr>
          </w:p>
        </w:tc>
      </w:tr>
    </w:tbl>
    <w:p>
      <w:pPr>
        <w:widowControl w:val="0"/>
        <w:spacing w:before="120" w:beforeLines="50" w:beforeAutospacing="0" w:after="120" w:afterLines="50" w:afterAutospacing="0"/>
        <w:jc w:val="both"/>
        <w:rPr>
          <w:rFonts w:ascii="宋体" w:hAnsi="宋体" w:eastAsia="宋体" w:cs="宋体"/>
          <w:color w:val="auto"/>
          <w:szCs w:val="24"/>
          <w:highlight w:val="none"/>
          <w:lang w:bidi="ar"/>
        </w:rPr>
      </w:pPr>
    </w:p>
    <w:p>
      <w:pPr>
        <w:pStyle w:val="5"/>
        <w:bidi w:val="0"/>
        <w:ind w:left="253"/>
        <w:rPr>
          <w:color w:val="auto"/>
          <w:highlight w:val="none"/>
        </w:rPr>
      </w:pPr>
      <w:r>
        <w:rPr>
          <w:rFonts w:hint="eastAsia"/>
          <w:color w:val="auto"/>
          <w:highlight w:val="none"/>
        </w:rPr>
        <w:t xml:space="preserve"> 精装修成品保护标准做法</w:t>
      </w:r>
    </w:p>
    <w:p>
      <w:pPr>
        <w:widowControl w:val="0"/>
        <w:spacing w:before="120" w:beforeLines="50" w:beforeAutospacing="0" w:after="120" w:afterLines="50" w:afterAutospacing="0"/>
        <w:ind w:left="480" w:leftChars="200"/>
        <w:jc w:val="both"/>
        <w:rPr>
          <w:rFonts w:ascii="宋体" w:hAnsi="宋体" w:eastAsia="宋体" w:cs="宋体"/>
          <w:color w:val="auto"/>
          <w:szCs w:val="24"/>
          <w:highlight w:val="none"/>
          <w:lang w:bidi="ar"/>
        </w:rPr>
      </w:pPr>
    </w:p>
    <w:tbl>
      <w:tblPr>
        <w:tblStyle w:val="21"/>
        <w:tblW w:w="0" w:type="auto"/>
        <w:jc w:val="center"/>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0" w:type="dxa"/>
          <w:bottom w:w="0" w:type="dxa"/>
          <w:right w:w="0" w:type="dxa"/>
        </w:tblCellMar>
      </w:tblPr>
      <w:tblGrid>
        <w:gridCol w:w="765"/>
        <w:gridCol w:w="1080"/>
        <w:gridCol w:w="812"/>
        <w:gridCol w:w="2072"/>
        <w:gridCol w:w="7186"/>
        <w:gridCol w:w="884"/>
      </w:tblGrid>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595" w:hRule="atLeast"/>
          <w:jc w:val="center"/>
        </w:trPr>
        <w:tc>
          <w:tcPr>
            <w:tcW w:w="12799" w:type="dxa"/>
            <w:gridSpan w:val="6"/>
            <w:shd w:val="clear" w:color="auto" w:fill="auto"/>
            <w:vAlign w:val="center"/>
          </w:tcPr>
          <w:p>
            <w:pPr>
              <w:pStyle w:val="12"/>
              <w:bidi w:val="0"/>
              <w:rPr>
                <w:b/>
                <w:bCs/>
                <w:color w:val="auto"/>
                <w:highlight w:val="none"/>
                <w:lang w:val="zh-CN" w:eastAsia="zh-CN"/>
              </w:rPr>
            </w:pPr>
            <w:r>
              <w:rPr>
                <w:rFonts w:hint="eastAsia"/>
                <w:b/>
                <w:bCs/>
                <w:color w:val="auto"/>
                <w:highlight w:val="none"/>
                <w:lang w:val="zh-CN" w:eastAsia="zh-CN"/>
              </w:rPr>
              <w:t>精装修成品保护标准做法</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92" w:hRule="atLeast"/>
          <w:jc w:val="center"/>
        </w:trPr>
        <w:tc>
          <w:tcPr>
            <w:tcW w:w="765" w:type="dxa"/>
            <w:shd w:val="clear" w:color="auto" w:fill="auto"/>
            <w:vAlign w:val="center"/>
          </w:tcPr>
          <w:p>
            <w:pPr>
              <w:pStyle w:val="12"/>
              <w:bidi w:val="0"/>
              <w:rPr>
                <w:b/>
                <w:bCs/>
                <w:color w:val="auto"/>
                <w:highlight w:val="none"/>
                <w:lang w:val="zh-CN" w:eastAsia="zh-CN"/>
              </w:rPr>
            </w:pPr>
            <w:r>
              <w:rPr>
                <w:rFonts w:hint="eastAsia"/>
                <w:b/>
                <w:bCs/>
                <w:color w:val="auto"/>
                <w:highlight w:val="none"/>
                <w:lang w:val="zh-CN" w:eastAsia="zh-CN"/>
              </w:rPr>
              <w:t>序号</w:t>
            </w:r>
          </w:p>
        </w:tc>
        <w:tc>
          <w:tcPr>
            <w:tcW w:w="1892" w:type="dxa"/>
            <w:gridSpan w:val="2"/>
            <w:shd w:val="clear" w:color="auto" w:fill="auto"/>
            <w:vAlign w:val="center"/>
          </w:tcPr>
          <w:p>
            <w:pPr>
              <w:pStyle w:val="12"/>
              <w:bidi w:val="0"/>
              <w:rPr>
                <w:b/>
                <w:bCs/>
                <w:color w:val="auto"/>
                <w:highlight w:val="none"/>
                <w:lang w:val="zh-CN" w:eastAsia="zh-CN"/>
              </w:rPr>
            </w:pPr>
            <w:r>
              <w:rPr>
                <w:rFonts w:hint="eastAsia"/>
                <w:b/>
                <w:bCs/>
                <w:color w:val="auto"/>
                <w:highlight w:val="none"/>
                <w:lang w:val="zh-CN" w:eastAsia="zh-CN"/>
              </w:rPr>
              <w:t>保护内容</w:t>
            </w:r>
          </w:p>
        </w:tc>
        <w:tc>
          <w:tcPr>
            <w:tcW w:w="2072" w:type="dxa"/>
            <w:shd w:val="clear" w:color="auto" w:fill="auto"/>
            <w:vAlign w:val="center"/>
          </w:tcPr>
          <w:p>
            <w:pPr>
              <w:pStyle w:val="12"/>
              <w:bidi w:val="0"/>
              <w:rPr>
                <w:b/>
                <w:bCs/>
                <w:color w:val="auto"/>
                <w:highlight w:val="none"/>
                <w:lang w:val="zh-CN" w:eastAsia="zh-CN"/>
              </w:rPr>
            </w:pPr>
            <w:r>
              <w:rPr>
                <w:rFonts w:hint="eastAsia"/>
                <w:b/>
                <w:bCs/>
                <w:color w:val="auto"/>
                <w:highlight w:val="none"/>
                <w:lang w:val="zh-CN" w:eastAsia="zh-CN"/>
              </w:rPr>
              <w:t>保护标准</w:t>
            </w:r>
          </w:p>
        </w:tc>
        <w:tc>
          <w:tcPr>
            <w:tcW w:w="7186" w:type="dxa"/>
            <w:shd w:val="clear" w:color="auto" w:fill="auto"/>
            <w:vAlign w:val="center"/>
          </w:tcPr>
          <w:p>
            <w:pPr>
              <w:pStyle w:val="12"/>
              <w:bidi w:val="0"/>
              <w:rPr>
                <w:b/>
                <w:bCs/>
                <w:color w:val="auto"/>
                <w:highlight w:val="none"/>
                <w:lang w:val="zh-CN" w:eastAsia="zh-CN"/>
              </w:rPr>
            </w:pPr>
            <w:r>
              <w:rPr>
                <w:rFonts w:hint="eastAsia"/>
                <w:b/>
                <w:bCs/>
                <w:color w:val="auto"/>
                <w:highlight w:val="none"/>
                <w:lang w:val="zh-CN" w:eastAsia="zh-CN"/>
              </w:rPr>
              <w:t>图示</w:t>
            </w:r>
          </w:p>
        </w:tc>
        <w:tc>
          <w:tcPr>
            <w:tcW w:w="884" w:type="dxa"/>
            <w:shd w:val="clear" w:color="auto" w:fill="auto"/>
            <w:vAlign w:val="center"/>
          </w:tcPr>
          <w:p>
            <w:pPr>
              <w:pStyle w:val="12"/>
              <w:bidi w:val="0"/>
              <w:rPr>
                <w:b/>
                <w:bCs/>
                <w:color w:val="auto"/>
                <w:highlight w:val="none"/>
                <w:lang w:val="zh-CN" w:eastAsia="zh-CN"/>
              </w:rPr>
            </w:pPr>
            <w:r>
              <w:rPr>
                <w:rFonts w:hint="eastAsia"/>
                <w:b/>
                <w:bCs/>
                <w:color w:val="auto"/>
                <w:highlight w:val="none"/>
                <w:lang w:val="zh-CN" w:eastAsia="zh-CN"/>
              </w:rPr>
              <w:t>备注</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072" w:hRule="atLeast"/>
          <w:jc w:val="center"/>
        </w:trPr>
        <w:tc>
          <w:tcPr>
            <w:tcW w:w="765" w:type="dxa"/>
            <w:vMerge w:val="restart"/>
            <w:vAlign w:val="center"/>
          </w:tcPr>
          <w:p>
            <w:pPr>
              <w:pStyle w:val="12"/>
              <w:bidi w:val="0"/>
              <w:rPr>
                <w:color w:val="auto"/>
                <w:highlight w:val="none"/>
                <w:lang w:val="zh-CN" w:eastAsia="zh-CN"/>
              </w:rPr>
            </w:pPr>
            <w:r>
              <w:rPr>
                <w:color w:val="auto"/>
                <w:highlight w:val="none"/>
                <w:lang w:val="zh-CN" w:eastAsia="zh-CN"/>
              </w:rPr>
              <w:t>1</w:t>
            </w:r>
          </w:p>
        </w:tc>
        <w:tc>
          <w:tcPr>
            <w:tcW w:w="1080" w:type="dxa"/>
            <w:vMerge w:val="restart"/>
            <w:vAlign w:val="center"/>
          </w:tcPr>
          <w:p>
            <w:pPr>
              <w:pStyle w:val="12"/>
              <w:bidi w:val="0"/>
              <w:rPr>
                <w:color w:val="auto"/>
                <w:highlight w:val="none"/>
                <w:lang w:val="zh-CN" w:eastAsia="zh-CN"/>
              </w:rPr>
            </w:pPr>
            <w:r>
              <w:rPr>
                <w:rFonts w:hint="eastAsia"/>
                <w:color w:val="auto"/>
                <w:highlight w:val="none"/>
                <w:lang w:val="zh-CN" w:eastAsia="zh-CN"/>
              </w:rPr>
              <w:t>石材</w:t>
            </w:r>
            <w:r>
              <w:rPr>
                <w:color w:val="auto"/>
                <w:highlight w:val="none"/>
                <w:lang w:val="zh-CN" w:eastAsia="zh-CN"/>
              </w:rPr>
              <w:t>（墙</w:t>
            </w:r>
          </w:p>
          <w:p>
            <w:pPr>
              <w:pStyle w:val="12"/>
              <w:bidi w:val="0"/>
              <w:rPr>
                <w:color w:val="auto"/>
                <w:highlight w:val="none"/>
                <w:lang w:val="zh-CN" w:eastAsia="zh-CN"/>
              </w:rPr>
            </w:pPr>
            <w:r>
              <w:rPr>
                <w:color w:val="auto"/>
                <w:highlight w:val="none"/>
                <w:lang w:val="zh-CN" w:eastAsia="zh-CN"/>
              </w:rPr>
              <w:t>、地面）</w:t>
            </w:r>
          </w:p>
        </w:tc>
        <w:tc>
          <w:tcPr>
            <w:tcW w:w="812" w:type="dxa"/>
            <w:vAlign w:val="center"/>
          </w:tcPr>
          <w:p>
            <w:pPr>
              <w:pStyle w:val="12"/>
              <w:bidi w:val="0"/>
              <w:rPr>
                <w:color w:val="auto"/>
                <w:highlight w:val="none"/>
                <w:lang w:val="zh-CN" w:eastAsia="zh-CN"/>
              </w:rPr>
            </w:pPr>
            <w:r>
              <w:rPr>
                <w:color w:val="auto"/>
                <w:highlight w:val="none"/>
                <w:lang w:val="zh-CN" w:eastAsia="zh-CN"/>
              </w:rPr>
              <w:t>工厂包装</w:t>
            </w:r>
          </w:p>
        </w:tc>
        <w:tc>
          <w:tcPr>
            <w:tcW w:w="2072" w:type="dxa"/>
            <w:vAlign w:val="center"/>
          </w:tcPr>
          <w:p>
            <w:pPr>
              <w:pStyle w:val="12"/>
              <w:bidi w:val="0"/>
              <w:rPr>
                <w:color w:val="auto"/>
                <w:highlight w:val="none"/>
                <w:lang w:val="zh-CN" w:eastAsia="zh-CN"/>
              </w:rPr>
            </w:pPr>
            <w:r>
              <w:rPr>
                <w:color w:val="auto"/>
                <w:highlight w:val="none"/>
                <w:lang w:val="zh-CN" w:eastAsia="zh-CN"/>
              </w:rPr>
              <w:t>箱体实木条厚度不低于20mm；宽度不低于80mm；箱体内衬珍珠棉；</w:t>
            </w:r>
          </w:p>
        </w:tc>
        <w:tc>
          <w:tcPr>
            <w:tcW w:w="7186" w:type="dxa"/>
            <w:vAlign w:val="center"/>
          </w:tcPr>
          <w:p>
            <w:pPr>
              <w:pStyle w:val="12"/>
              <w:bidi w:val="0"/>
              <w:rPr>
                <w:color w:val="auto"/>
                <w:highlight w:val="none"/>
                <w:lang w:val="zh-CN" w:eastAsia="zh-CN"/>
              </w:rPr>
            </w:pPr>
          </w:p>
          <w:p>
            <w:pPr>
              <w:pStyle w:val="12"/>
              <w:bidi w:val="0"/>
              <w:rPr>
                <w:color w:val="auto"/>
                <w:highlight w:val="none"/>
                <w:lang w:val="zh-CN" w:eastAsia="zh-CN"/>
              </w:rPr>
            </w:pPr>
            <w:r>
              <w:rPr>
                <w:color w:val="auto"/>
                <w:highlight w:val="none"/>
                <w:lang w:val="zh-CN" w:eastAsia="zh-CN"/>
              </w:rPr>
              <w:drawing>
                <wp:inline distT="0" distB="0" distL="0" distR="0">
                  <wp:extent cx="2114550" cy="1910080"/>
                  <wp:effectExtent l="0" t="0" r="0" b="4445"/>
                  <wp:docPr id="59" name="image33.jpeg"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image33.jpeg" descr="3"/>
                          <pic:cNvPicPr>
                            <a:picLocks noChangeAspect="1"/>
                          </pic:cNvPicPr>
                        </pic:nvPicPr>
                        <pic:blipFill>
                          <a:blip r:embed="rId34" cstate="print"/>
                          <a:stretch>
                            <a:fillRect/>
                          </a:stretch>
                        </pic:blipFill>
                        <pic:spPr>
                          <a:xfrm>
                            <a:off x="0" y="0"/>
                            <a:ext cx="2114760" cy="1910333"/>
                          </a:xfrm>
                          <a:prstGeom prst="rect">
                            <a:avLst/>
                          </a:prstGeom>
                        </pic:spPr>
                      </pic:pic>
                    </a:graphicData>
                  </a:graphic>
                </wp:inline>
              </w:drawing>
            </w:r>
            <w:r>
              <w:rPr>
                <w:color w:val="auto"/>
                <w:highlight w:val="none"/>
                <w:lang w:val="zh-CN" w:eastAsia="zh-CN"/>
              </w:rPr>
              <w:drawing>
                <wp:inline distT="0" distB="0" distL="0" distR="0">
                  <wp:extent cx="2268855" cy="1885950"/>
                  <wp:effectExtent l="0" t="0" r="7620" b="0"/>
                  <wp:docPr id="61" name="image34.jpeg"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image34.jpeg" descr="2"/>
                          <pic:cNvPicPr>
                            <a:picLocks noChangeAspect="1"/>
                          </pic:cNvPicPr>
                        </pic:nvPicPr>
                        <pic:blipFill>
                          <a:blip r:embed="rId35" cstate="print"/>
                          <a:stretch>
                            <a:fillRect/>
                          </a:stretch>
                        </pic:blipFill>
                        <pic:spPr>
                          <a:xfrm>
                            <a:off x="0" y="0"/>
                            <a:ext cx="2269442" cy="1885950"/>
                          </a:xfrm>
                          <a:prstGeom prst="rect">
                            <a:avLst/>
                          </a:prstGeom>
                        </pic:spPr>
                      </pic:pic>
                    </a:graphicData>
                  </a:graphic>
                </wp:inline>
              </w:drawing>
            </w:r>
          </w:p>
        </w:tc>
        <w:tc>
          <w:tcPr>
            <w:tcW w:w="884" w:type="dxa"/>
            <w:vAlign w:val="center"/>
          </w:tcPr>
          <w:p>
            <w:pPr>
              <w:pStyle w:val="12"/>
              <w:bidi w:val="0"/>
              <w:rPr>
                <w:color w:val="auto"/>
                <w:highlight w:val="none"/>
                <w:lang w:val="zh-CN" w:eastAsia="zh-CN"/>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071" w:hRule="atLeast"/>
          <w:jc w:val="center"/>
        </w:trPr>
        <w:tc>
          <w:tcPr>
            <w:tcW w:w="765" w:type="dxa"/>
            <w:vMerge w:val="continue"/>
            <w:tcBorders>
              <w:top w:val="nil"/>
            </w:tcBorders>
            <w:vAlign w:val="center"/>
          </w:tcPr>
          <w:p>
            <w:pPr>
              <w:pStyle w:val="12"/>
              <w:bidi w:val="0"/>
              <w:rPr>
                <w:color w:val="auto"/>
                <w:highlight w:val="none"/>
                <w:lang w:val="zh-CN" w:eastAsia="zh-CN"/>
              </w:rPr>
            </w:pPr>
          </w:p>
        </w:tc>
        <w:tc>
          <w:tcPr>
            <w:tcW w:w="1080" w:type="dxa"/>
            <w:vMerge w:val="continue"/>
            <w:tcBorders>
              <w:top w:val="nil"/>
            </w:tcBorders>
            <w:vAlign w:val="center"/>
          </w:tcPr>
          <w:p>
            <w:pPr>
              <w:pStyle w:val="12"/>
              <w:bidi w:val="0"/>
              <w:rPr>
                <w:color w:val="auto"/>
                <w:highlight w:val="none"/>
                <w:lang w:val="zh-CN" w:eastAsia="zh-CN"/>
              </w:rPr>
            </w:pPr>
          </w:p>
        </w:tc>
        <w:tc>
          <w:tcPr>
            <w:tcW w:w="812" w:type="dxa"/>
            <w:vAlign w:val="center"/>
          </w:tcPr>
          <w:p>
            <w:pPr>
              <w:pStyle w:val="12"/>
              <w:bidi w:val="0"/>
              <w:rPr>
                <w:color w:val="auto"/>
                <w:highlight w:val="none"/>
                <w:lang w:val="zh-CN" w:eastAsia="zh-CN"/>
              </w:rPr>
            </w:pPr>
            <w:r>
              <w:rPr>
                <w:color w:val="auto"/>
                <w:highlight w:val="none"/>
                <w:lang w:val="zh-CN" w:eastAsia="zh-CN"/>
              </w:rPr>
              <w:t>堆放</w:t>
            </w:r>
          </w:p>
        </w:tc>
        <w:tc>
          <w:tcPr>
            <w:tcW w:w="2072" w:type="dxa"/>
            <w:vAlign w:val="center"/>
          </w:tcPr>
          <w:p>
            <w:pPr>
              <w:pStyle w:val="12"/>
              <w:bidi w:val="0"/>
              <w:rPr>
                <w:color w:val="auto"/>
                <w:highlight w:val="none"/>
                <w:lang w:val="zh-CN" w:eastAsia="zh-CN"/>
              </w:rPr>
            </w:pPr>
            <w:r>
              <w:rPr>
                <w:color w:val="auto"/>
                <w:highlight w:val="none"/>
                <w:lang w:val="zh-CN" w:eastAsia="zh-CN"/>
              </w:rPr>
              <w:t>现场石材应堆放于衬条上，衬条厚度不低于15mm；</w:t>
            </w:r>
          </w:p>
        </w:tc>
        <w:tc>
          <w:tcPr>
            <w:tcW w:w="7186" w:type="dxa"/>
            <w:vAlign w:val="center"/>
          </w:tcPr>
          <w:p>
            <w:pPr>
              <w:pStyle w:val="12"/>
              <w:bidi w:val="0"/>
              <w:rPr>
                <w:color w:val="auto"/>
                <w:highlight w:val="none"/>
                <w:lang w:val="zh-CN" w:eastAsia="zh-CN"/>
              </w:rPr>
            </w:pPr>
            <w:r>
              <w:rPr>
                <w:color w:val="auto"/>
                <w:highlight w:val="none"/>
                <w:lang w:val="zh-CN" w:eastAsia="zh-CN"/>
              </w:rPr>
              <w:drawing>
                <wp:inline distT="0" distB="0" distL="0" distR="0">
                  <wp:extent cx="2111375" cy="1910715"/>
                  <wp:effectExtent l="0" t="0" r="3175" b="3810"/>
                  <wp:docPr id="63" name="image35.jpeg" descr="20150801_14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image35.jpeg" descr="20150801_142959"/>
                          <pic:cNvPicPr>
                            <a:picLocks noChangeAspect="1"/>
                          </pic:cNvPicPr>
                        </pic:nvPicPr>
                        <pic:blipFill>
                          <a:blip r:embed="rId36" cstate="print"/>
                          <a:stretch>
                            <a:fillRect/>
                          </a:stretch>
                        </pic:blipFill>
                        <pic:spPr>
                          <a:xfrm>
                            <a:off x="0" y="0"/>
                            <a:ext cx="2111429" cy="1911096"/>
                          </a:xfrm>
                          <a:prstGeom prst="rect">
                            <a:avLst/>
                          </a:prstGeom>
                        </pic:spPr>
                      </pic:pic>
                    </a:graphicData>
                  </a:graphic>
                </wp:inline>
              </w:drawing>
            </w:r>
            <w:r>
              <w:rPr>
                <w:color w:val="auto"/>
                <w:highlight w:val="none"/>
                <w:lang w:val="zh-CN" w:eastAsia="zh-CN"/>
              </w:rPr>
              <w:drawing>
                <wp:inline distT="0" distB="0" distL="0" distR="0">
                  <wp:extent cx="2315845" cy="1885950"/>
                  <wp:effectExtent l="0" t="0" r="8255" b="0"/>
                  <wp:docPr id="65" name="image36.jpeg" descr="QQ截图20151102160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image36.jpeg" descr="QQ截图20151102160638"/>
                          <pic:cNvPicPr>
                            <a:picLocks noChangeAspect="1"/>
                          </pic:cNvPicPr>
                        </pic:nvPicPr>
                        <pic:blipFill>
                          <a:blip r:embed="rId37" cstate="print"/>
                          <a:stretch>
                            <a:fillRect/>
                          </a:stretch>
                        </pic:blipFill>
                        <pic:spPr>
                          <a:xfrm>
                            <a:off x="0" y="0"/>
                            <a:ext cx="2315874" cy="1886235"/>
                          </a:xfrm>
                          <a:prstGeom prst="rect">
                            <a:avLst/>
                          </a:prstGeom>
                        </pic:spPr>
                      </pic:pic>
                    </a:graphicData>
                  </a:graphic>
                </wp:inline>
              </w:drawing>
            </w:r>
          </w:p>
        </w:tc>
        <w:tc>
          <w:tcPr>
            <w:tcW w:w="884" w:type="dxa"/>
            <w:vAlign w:val="center"/>
          </w:tcPr>
          <w:p>
            <w:pPr>
              <w:pStyle w:val="12"/>
              <w:bidi w:val="0"/>
              <w:rPr>
                <w:color w:val="auto"/>
                <w:highlight w:val="none"/>
                <w:lang w:val="zh-CN" w:eastAsia="zh-CN"/>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354" w:hRule="atLeast"/>
          <w:jc w:val="center"/>
        </w:trPr>
        <w:tc>
          <w:tcPr>
            <w:tcW w:w="765" w:type="dxa"/>
            <w:vMerge w:val="continue"/>
            <w:tcBorders>
              <w:top w:val="nil"/>
            </w:tcBorders>
            <w:vAlign w:val="center"/>
          </w:tcPr>
          <w:p>
            <w:pPr>
              <w:pStyle w:val="12"/>
              <w:bidi w:val="0"/>
              <w:rPr>
                <w:color w:val="auto"/>
                <w:highlight w:val="none"/>
                <w:lang w:val="zh-CN" w:eastAsia="zh-CN"/>
              </w:rPr>
            </w:pPr>
          </w:p>
        </w:tc>
        <w:tc>
          <w:tcPr>
            <w:tcW w:w="1080" w:type="dxa"/>
            <w:vMerge w:val="continue"/>
            <w:tcBorders>
              <w:top w:val="nil"/>
            </w:tcBorders>
            <w:vAlign w:val="center"/>
          </w:tcPr>
          <w:p>
            <w:pPr>
              <w:pStyle w:val="12"/>
              <w:bidi w:val="0"/>
              <w:rPr>
                <w:color w:val="auto"/>
                <w:highlight w:val="none"/>
                <w:lang w:val="zh-CN" w:eastAsia="zh-CN"/>
              </w:rPr>
            </w:pPr>
          </w:p>
        </w:tc>
        <w:tc>
          <w:tcPr>
            <w:tcW w:w="812" w:type="dxa"/>
            <w:vAlign w:val="center"/>
          </w:tcPr>
          <w:p>
            <w:pPr>
              <w:pStyle w:val="12"/>
              <w:bidi w:val="0"/>
              <w:rPr>
                <w:color w:val="auto"/>
                <w:highlight w:val="none"/>
                <w:lang w:val="zh-CN" w:eastAsia="zh-CN"/>
              </w:rPr>
            </w:pPr>
            <w:r>
              <w:rPr>
                <w:color w:val="auto"/>
                <w:highlight w:val="none"/>
                <w:lang w:val="zh-CN" w:eastAsia="zh-CN"/>
              </w:rPr>
              <w:t>安装成品</w:t>
            </w:r>
          </w:p>
        </w:tc>
        <w:tc>
          <w:tcPr>
            <w:tcW w:w="2072" w:type="dxa"/>
            <w:vAlign w:val="center"/>
          </w:tcPr>
          <w:p>
            <w:pPr>
              <w:pStyle w:val="12"/>
              <w:bidi w:val="0"/>
              <w:rPr>
                <w:color w:val="auto"/>
                <w:highlight w:val="none"/>
                <w:lang w:val="zh-CN" w:eastAsia="zh-CN"/>
              </w:rPr>
            </w:pPr>
          </w:p>
          <w:p>
            <w:pPr>
              <w:pStyle w:val="12"/>
              <w:bidi w:val="0"/>
              <w:rPr>
                <w:color w:val="auto"/>
                <w:highlight w:val="none"/>
                <w:lang w:val="zh-CN" w:eastAsia="zh-CN"/>
              </w:rPr>
            </w:pPr>
            <w:r>
              <w:rPr>
                <w:color w:val="auto"/>
                <w:highlight w:val="none"/>
                <w:lang w:val="zh-CN" w:eastAsia="zh-CN"/>
              </w:rPr>
              <w:t>底层采用厚度不低于2.5mmPVC针织棉，面层采用厚度不低于9mm厚木夹板进行保护； 墙面采用薄膜保 护，且阳角处需采用厚度不低于9mm木夹板进行保护；</w:t>
            </w:r>
          </w:p>
        </w:tc>
        <w:tc>
          <w:tcPr>
            <w:tcW w:w="7186" w:type="dxa"/>
            <w:vAlign w:val="center"/>
          </w:tcPr>
          <w:p>
            <w:pPr>
              <w:pStyle w:val="12"/>
              <w:bidi w:val="0"/>
              <w:rPr>
                <w:color w:val="auto"/>
                <w:highlight w:val="none"/>
                <w:lang w:val="zh-CN" w:eastAsia="zh-CN"/>
              </w:rPr>
            </w:pPr>
          </w:p>
          <w:p>
            <w:pPr>
              <w:pStyle w:val="12"/>
              <w:bidi w:val="0"/>
              <w:rPr>
                <w:color w:val="auto"/>
                <w:highlight w:val="none"/>
                <w:lang w:val="zh-CN" w:eastAsia="zh-CN"/>
              </w:rPr>
            </w:pPr>
          </w:p>
          <w:p>
            <w:pPr>
              <w:pStyle w:val="12"/>
              <w:bidi w:val="0"/>
              <w:rPr>
                <w:color w:val="auto"/>
                <w:highlight w:val="none"/>
                <w:lang w:val="zh-CN" w:eastAsia="zh-CN"/>
              </w:rPr>
            </w:pPr>
            <w:r>
              <w:rPr>
                <w:color w:val="auto"/>
                <w:highlight w:val="none"/>
                <w:lang w:val="zh-CN" w:eastAsia="zh-CN"/>
              </w:rPr>
              <w:drawing>
                <wp:inline distT="0" distB="0" distL="0" distR="0">
                  <wp:extent cx="2121535" cy="1979295"/>
                  <wp:effectExtent l="0" t="0" r="2540" b="1905"/>
                  <wp:docPr id="67" name="image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image37.jpeg"/>
                          <pic:cNvPicPr>
                            <a:picLocks noChangeAspect="1"/>
                          </pic:cNvPicPr>
                        </pic:nvPicPr>
                        <pic:blipFill>
                          <a:blip r:embed="rId38" cstate="print"/>
                          <a:stretch>
                            <a:fillRect/>
                          </a:stretch>
                        </pic:blipFill>
                        <pic:spPr>
                          <a:xfrm>
                            <a:off x="0" y="0"/>
                            <a:ext cx="2121933" cy="1979676"/>
                          </a:xfrm>
                          <a:prstGeom prst="rect">
                            <a:avLst/>
                          </a:prstGeom>
                        </pic:spPr>
                      </pic:pic>
                    </a:graphicData>
                  </a:graphic>
                </wp:inline>
              </w:drawing>
            </w:r>
            <w:r>
              <w:rPr>
                <w:color w:val="auto"/>
                <w:highlight w:val="none"/>
                <w:lang w:val="zh-CN" w:eastAsia="zh-CN"/>
              </w:rPr>
              <w:drawing>
                <wp:inline distT="0" distB="0" distL="0" distR="0">
                  <wp:extent cx="2287905" cy="1991360"/>
                  <wp:effectExtent l="0" t="0" r="7620" b="8890"/>
                  <wp:docPr id="69" name="image38.jpeg" desc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image38.jpeg" descr="2.jpg"/>
                          <pic:cNvPicPr>
                            <a:picLocks noChangeAspect="1"/>
                          </pic:cNvPicPr>
                        </pic:nvPicPr>
                        <pic:blipFill>
                          <a:blip r:embed="rId39" cstate="print"/>
                          <a:stretch>
                            <a:fillRect/>
                          </a:stretch>
                        </pic:blipFill>
                        <pic:spPr>
                          <a:xfrm>
                            <a:off x="0" y="0"/>
                            <a:ext cx="2288003" cy="1991677"/>
                          </a:xfrm>
                          <a:prstGeom prst="rect">
                            <a:avLst/>
                          </a:prstGeom>
                        </pic:spPr>
                      </pic:pic>
                    </a:graphicData>
                  </a:graphic>
                </wp:inline>
              </w:drawing>
            </w:r>
          </w:p>
        </w:tc>
        <w:tc>
          <w:tcPr>
            <w:tcW w:w="884" w:type="dxa"/>
            <w:vAlign w:val="center"/>
          </w:tcPr>
          <w:p>
            <w:pPr>
              <w:pStyle w:val="12"/>
              <w:bidi w:val="0"/>
              <w:rPr>
                <w:color w:val="auto"/>
                <w:highlight w:val="none"/>
                <w:lang w:val="zh-CN" w:eastAsia="zh-CN"/>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072" w:hRule="atLeast"/>
          <w:jc w:val="center"/>
        </w:trPr>
        <w:tc>
          <w:tcPr>
            <w:tcW w:w="765" w:type="dxa"/>
            <w:vMerge w:val="restart"/>
            <w:tcBorders>
              <w:bottom w:val="nil"/>
            </w:tcBorders>
            <w:vAlign w:val="center"/>
          </w:tcPr>
          <w:p>
            <w:pPr>
              <w:pStyle w:val="12"/>
              <w:bidi w:val="0"/>
              <w:rPr>
                <w:color w:val="auto"/>
                <w:highlight w:val="none"/>
                <w:lang w:val="zh-CN" w:eastAsia="zh-CN"/>
              </w:rPr>
            </w:pPr>
            <w:r>
              <w:rPr>
                <w:color w:val="auto"/>
                <w:highlight w:val="none"/>
                <w:lang w:val="zh-CN" w:eastAsia="zh-CN"/>
              </w:rPr>
              <w:t>2</w:t>
            </w:r>
          </w:p>
        </w:tc>
        <w:tc>
          <w:tcPr>
            <w:tcW w:w="1080" w:type="dxa"/>
            <w:vMerge w:val="restart"/>
            <w:tcBorders>
              <w:bottom w:val="nil"/>
            </w:tcBorders>
            <w:vAlign w:val="center"/>
          </w:tcPr>
          <w:p>
            <w:pPr>
              <w:pStyle w:val="12"/>
              <w:bidi w:val="0"/>
              <w:rPr>
                <w:color w:val="auto"/>
                <w:highlight w:val="none"/>
                <w:lang w:val="zh-CN" w:eastAsia="zh-CN"/>
              </w:rPr>
            </w:pPr>
            <w:r>
              <w:rPr>
                <w:rFonts w:hint="eastAsia"/>
                <w:color w:val="auto"/>
                <w:highlight w:val="none"/>
                <w:lang w:val="zh-CN" w:eastAsia="zh-CN"/>
              </w:rPr>
              <w:t>瓷砖</w:t>
            </w:r>
            <w:r>
              <w:rPr>
                <w:color w:val="auto"/>
                <w:highlight w:val="none"/>
                <w:lang w:val="zh-CN" w:eastAsia="zh-CN"/>
              </w:rPr>
              <w:t>（墙</w:t>
            </w:r>
          </w:p>
          <w:p>
            <w:pPr>
              <w:pStyle w:val="12"/>
              <w:bidi w:val="0"/>
              <w:rPr>
                <w:color w:val="auto"/>
                <w:highlight w:val="none"/>
                <w:lang w:val="zh-CN" w:eastAsia="zh-CN"/>
              </w:rPr>
            </w:pPr>
            <w:r>
              <w:rPr>
                <w:color w:val="auto"/>
                <w:highlight w:val="none"/>
                <w:lang w:val="zh-CN" w:eastAsia="zh-CN"/>
              </w:rPr>
              <w:t>、地面）</w:t>
            </w:r>
          </w:p>
        </w:tc>
        <w:tc>
          <w:tcPr>
            <w:tcW w:w="812" w:type="dxa"/>
            <w:vAlign w:val="center"/>
          </w:tcPr>
          <w:p>
            <w:pPr>
              <w:pStyle w:val="12"/>
              <w:bidi w:val="0"/>
              <w:rPr>
                <w:color w:val="auto"/>
                <w:highlight w:val="none"/>
                <w:lang w:val="zh-CN" w:eastAsia="zh-CN"/>
              </w:rPr>
            </w:pPr>
            <w:r>
              <w:rPr>
                <w:color w:val="auto"/>
                <w:highlight w:val="none"/>
                <w:lang w:val="zh-CN" w:eastAsia="zh-CN"/>
              </w:rPr>
              <w:t>工厂包装</w:t>
            </w:r>
          </w:p>
        </w:tc>
        <w:tc>
          <w:tcPr>
            <w:tcW w:w="2072" w:type="dxa"/>
            <w:vAlign w:val="center"/>
          </w:tcPr>
          <w:p>
            <w:pPr>
              <w:pStyle w:val="12"/>
              <w:bidi w:val="0"/>
              <w:rPr>
                <w:color w:val="auto"/>
                <w:highlight w:val="none"/>
                <w:lang w:val="zh-CN" w:eastAsia="zh-CN"/>
              </w:rPr>
            </w:pPr>
            <w:r>
              <w:rPr>
                <w:color w:val="auto"/>
                <w:highlight w:val="none"/>
                <w:lang w:val="zh-CN" w:eastAsia="zh-CN"/>
              </w:rPr>
              <w:t>采用珍珠棉加包装盒进行包装，包装盒外需加装羊角条进行保护；</w:t>
            </w:r>
          </w:p>
        </w:tc>
        <w:tc>
          <w:tcPr>
            <w:tcW w:w="7186" w:type="dxa"/>
            <w:vAlign w:val="center"/>
          </w:tcPr>
          <w:p>
            <w:pPr>
              <w:pStyle w:val="12"/>
              <w:bidi w:val="0"/>
              <w:rPr>
                <w:color w:val="auto"/>
                <w:highlight w:val="none"/>
                <w:lang w:val="zh-CN" w:eastAsia="zh-CN"/>
              </w:rPr>
            </w:pPr>
            <w:r>
              <w:rPr>
                <w:color w:val="auto"/>
                <w:highlight w:val="none"/>
                <w:lang w:val="zh-CN" w:eastAsia="zh-CN"/>
              </w:rPr>
              <w:drawing>
                <wp:inline distT="0" distB="0" distL="0" distR="0">
                  <wp:extent cx="2124710" cy="1923415"/>
                  <wp:effectExtent l="0" t="0" r="8890" b="635"/>
                  <wp:docPr id="71" name="image39.jpeg" descr="212246x9w4avyoevavyby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image39.jpeg" descr="212246x9w4avyoevavybyy.jpg"/>
                          <pic:cNvPicPr>
                            <a:picLocks noChangeAspect="1"/>
                          </pic:cNvPicPr>
                        </pic:nvPicPr>
                        <pic:blipFill>
                          <a:blip r:embed="rId40" cstate="print"/>
                          <a:stretch>
                            <a:fillRect/>
                          </a:stretch>
                        </pic:blipFill>
                        <pic:spPr>
                          <a:xfrm>
                            <a:off x="0" y="0"/>
                            <a:ext cx="2125320" cy="1923669"/>
                          </a:xfrm>
                          <a:prstGeom prst="rect">
                            <a:avLst/>
                          </a:prstGeom>
                        </pic:spPr>
                      </pic:pic>
                    </a:graphicData>
                  </a:graphic>
                </wp:inline>
              </w:drawing>
            </w:r>
            <w:r>
              <w:rPr>
                <w:color w:val="auto"/>
                <w:highlight w:val="none"/>
                <w:lang w:val="zh-CN" w:eastAsia="zh-CN"/>
              </w:rPr>
              <w:drawing>
                <wp:inline distT="0" distB="0" distL="0" distR="0">
                  <wp:extent cx="2289175" cy="1857375"/>
                  <wp:effectExtent l="0" t="0" r="6350" b="0"/>
                  <wp:docPr id="73" name="image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image40.jpeg"/>
                          <pic:cNvPicPr>
                            <a:picLocks noChangeAspect="1"/>
                          </pic:cNvPicPr>
                        </pic:nvPicPr>
                        <pic:blipFill>
                          <a:blip r:embed="rId41" cstate="print"/>
                          <a:stretch>
                            <a:fillRect/>
                          </a:stretch>
                        </pic:blipFill>
                        <pic:spPr>
                          <a:xfrm>
                            <a:off x="0" y="0"/>
                            <a:ext cx="2289599" cy="1857756"/>
                          </a:xfrm>
                          <a:prstGeom prst="rect">
                            <a:avLst/>
                          </a:prstGeom>
                        </pic:spPr>
                      </pic:pic>
                    </a:graphicData>
                  </a:graphic>
                </wp:inline>
              </w:drawing>
            </w:r>
          </w:p>
        </w:tc>
        <w:tc>
          <w:tcPr>
            <w:tcW w:w="884" w:type="dxa"/>
            <w:vAlign w:val="center"/>
          </w:tcPr>
          <w:p>
            <w:pPr>
              <w:pStyle w:val="12"/>
              <w:bidi w:val="0"/>
              <w:rPr>
                <w:color w:val="auto"/>
                <w:highlight w:val="none"/>
                <w:lang w:val="zh-CN" w:eastAsia="zh-CN"/>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071" w:hRule="atLeast"/>
          <w:jc w:val="center"/>
        </w:trPr>
        <w:tc>
          <w:tcPr>
            <w:tcW w:w="765" w:type="dxa"/>
            <w:vMerge w:val="continue"/>
            <w:tcBorders>
              <w:top w:val="nil"/>
              <w:bottom w:val="nil"/>
            </w:tcBorders>
            <w:vAlign w:val="center"/>
          </w:tcPr>
          <w:p>
            <w:pPr>
              <w:pStyle w:val="12"/>
              <w:bidi w:val="0"/>
              <w:rPr>
                <w:color w:val="auto"/>
                <w:highlight w:val="none"/>
                <w:lang w:val="zh-CN" w:eastAsia="zh-CN"/>
              </w:rPr>
            </w:pPr>
          </w:p>
        </w:tc>
        <w:tc>
          <w:tcPr>
            <w:tcW w:w="1080" w:type="dxa"/>
            <w:vMerge w:val="continue"/>
            <w:tcBorders>
              <w:top w:val="nil"/>
              <w:bottom w:val="nil"/>
            </w:tcBorders>
            <w:vAlign w:val="center"/>
          </w:tcPr>
          <w:p>
            <w:pPr>
              <w:pStyle w:val="12"/>
              <w:bidi w:val="0"/>
              <w:rPr>
                <w:color w:val="auto"/>
                <w:highlight w:val="none"/>
                <w:lang w:val="zh-CN" w:eastAsia="zh-CN"/>
              </w:rPr>
            </w:pPr>
          </w:p>
        </w:tc>
        <w:tc>
          <w:tcPr>
            <w:tcW w:w="812" w:type="dxa"/>
            <w:vAlign w:val="center"/>
          </w:tcPr>
          <w:p>
            <w:pPr>
              <w:pStyle w:val="12"/>
              <w:bidi w:val="0"/>
              <w:rPr>
                <w:color w:val="auto"/>
                <w:highlight w:val="none"/>
                <w:lang w:val="zh-CN" w:eastAsia="zh-CN"/>
              </w:rPr>
            </w:pPr>
          </w:p>
        </w:tc>
        <w:tc>
          <w:tcPr>
            <w:tcW w:w="2072" w:type="dxa"/>
            <w:vAlign w:val="center"/>
          </w:tcPr>
          <w:p>
            <w:pPr>
              <w:pStyle w:val="12"/>
              <w:bidi w:val="0"/>
              <w:rPr>
                <w:color w:val="auto"/>
                <w:highlight w:val="none"/>
                <w:lang w:val="zh-CN" w:eastAsia="zh-CN"/>
              </w:rPr>
            </w:pPr>
            <w:r>
              <w:rPr>
                <w:color w:val="auto"/>
                <w:highlight w:val="none"/>
                <w:lang w:val="zh-CN" w:eastAsia="zh-CN"/>
              </w:rPr>
              <w:t>现场瓷砖应堆放于户内垫木上，垫木高度不得小于100mm</w:t>
            </w:r>
          </w:p>
        </w:tc>
        <w:tc>
          <w:tcPr>
            <w:tcW w:w="7186" w:type="dxa"/>
            <w:vAlign w:val="center"/>
          </w:tcPr>
          <w:p>
            <w:pPr>
              <w:pStyle w:val="12"/>
              <w:bidi w:val="0"/>
              <w:rPr>
                <w:color w:val="auto"/>
                <w:highlight w:val="none"/>
                <w:lang w:val="zh-CN" w:eastAsia="zh-CN"/>
              </w:rPr>
            </w:pPr>
            <w:r>
              <w:rPr>
                <w:color w:val="auto"/>
                <w:highlight w:val="none"/>
                <w:lang w:val="zh-CN" w:eastAsia="zh-CN"/>
              </w:rPr>
              <w:drawing>
                <wp:inline distT="0" distB="0" distL="0" distR="0">
                  <wp:extent cx="2159635" cy="1948180"/>
                  <wp:effectExtent l="0" t="0" r="2540" b="4445"/>
                  <wp:docPr id="75" name="image41.jpeg" descr="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image41.jpeg" descr="3.jpg"/>
                          <pic:cNvPicPr>
                            <a:picLocks noChangeAspect="1"/>
                          </pic:cNvPicPr>
                        </pic:nvPicPr>
                        <pic:blipFill>
                          <a:blip r:embed="rId42" cstate="print"/>
                          <a:stretch>
                            <a:fillRect/>
                          </a:stretch>
                        </pic:blipFill>
                        <pic:spPr>
                          <a:xfrm>
                            <a:off x="0" y="0"/>
                            <a:ext cx="2160000" cy="1948814"/>
                          </a:xfrm>
                          <a:prstGeom prst="rect">
                            <a:avLst/>
                          </a:prstGeom>
                        </pic:spPr>
                      </pic:pic>
                    </a:graphicData>
                  </a:graphic>
                </wp:inline>
              </w:drawing>
            </w:r>
            <w:r>
              <w:rPr>
                <w:color w:val="auto"/>
                <w:highlight w:val="none"/>
                <w:lang w:val="zh-CN" w:eastAsia="zh-CN"/>
              </w:rPr>
              <w:drawing>
                <wp:inline distT="0" distB="0" distL="0" distR="0">
                  <wp:extent cx="2265680" cy="1910715"/>
                  <wp:effectExtent l="0" t="0" r="1270" b="3810"/>
                  <wp:docPr id="77" name="image42.jpeg" descr="IMG_99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image42.jpeg" descr="IMG_9938.JPG"/>
                          <pic:cNvPicPr>
                            <a:picLocks noChangeAspect="1"/>
                          </pic:cNvPicPr>
                        </pic:nvPicPr>
                        <pic:blipFill>
                          <a:blip r:embed="rId43" cstate="print"/>
                          <a:stretch>
                            <a:fillRect/>
                          </a:stretch>
                        </pic:blipFill>
                        <pic:spPr>
                          <a:xfrm>
                            <a:off x="0" y="0"/>
                            <a:ext cx="2265707" cy="1911096"/>
                          </a:xfrm>
                          <a:prstGeom prst="rect">
                            <a:avLst/>
                          </a:prstGeom>
                        </pic:spPr>
                      </pic:pic>
                    </a:graphicData>
                  </a:graphic>
                </wp:inline>
              </w:drawing>
            </w:r>
          </w:p>
        </w:tc>
        <w:tc>
          <w:tcPr>
            <w:tcW w:w="884" w:type="dxa"/>
            <w:vAlign w:val="center"/>
          </w:tcPr>
          <w:p>
            <w:pPr>
              <w:pStyle w:val="12"/>
              <w:bidi w:val="0"/>
              <w:rPr>
                <w:color w:val="auto"/>
                <w:highlight w:val="none"/>
                <w:lang w:val="zh-CN" w:eastAsia="zh-CN"/>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136" w:hRule="atLeast"/>
          <w:jc w:val="center"/>
        </w:trPr>
        <w:tc>
          <w:tcPr>
            <w:tcW w:w="765" w:type="dxa"/>
            <w:tcBorders>
              <w:top w:val="nil"/>
            </w:tcBorders>
            <w:vAlign w:val="center"/>
          </w:tcPr>
          <w:p>
            <w:pPr>
              <w:pStyle w:val="12"/>
              <w:bidi w:val="0"/>
              <w:rPr>
                <w:color w:val="auto"/>
                <w:highlight w:val="none"/>
                <w:lang w:val="zh-CN" w:eastAsia="zh-CN"/>
              </w:rPr>
            </w:pPr>
          </w:p>
        </w:tc>
        <w:tc>
          <w:tcPr>
            <w:tcW w:w="1080" w:type="dxa"/>
            <w:tcBorders>
              <w:top w:val="nil"/>
            </w:tcBorders>
            <w:vAlign w:val="center"/>
          </w:tcPr>
          <w:p>
            <w:pPr>
              <w:pStyle w:val="12"/>
              <w:bidi w:val="0"/>
              <w:rPr>
                <w:color w:val="auto"/>
                <w:highlight w:val="none"/>
                <w:lang w:val="zh-CN" w:eastAsia="zh-CN"/>
              </w:rPr>
            </w:pPr>
          </w:p>
        </w:tc>
        <w:tc>
          <w:tcPr>
            <w:tcW w:w="812" w:type="dxa"/>
            <w:vAlign w:val="center"/>
          </w:tcPr>
          <w:p>
            <w:pPr>
              <w:pStyle w:val="12"/>
              <w:bidi w:val="0"/>
              <w:rPr>
                <w:color w:val="auto"/>
                <w:highlight w:val="none"/>
                <w:lang w:val="zh-CN" w:eastAsia="zh-CN"/>
              </w:rPr>
            </w:pPr>
            <w:r>
              <w:rPr>
                <w:color w:val="auto"/>
                <w:highlight w:val="none"/>
                <w:lang w:val="zh-CN" w:eastAsia="zh-CN"/>
              </w:rPr>
              <w:t>安装成品</w:t>
            </w:r>
          </w:p>
        </w:tc>
        <w:tc>
          <w:tcPr>
            <w:tcW w:w="2072" w:type="dxa"/>
            <w:vAlign w:val="center"/>
          </w:tcPr>
          <w:p>
            <w:pPr>
              <w:pStyle w:val="12"/>
              <w:bidi w:val="0"/>
              <w:rPr>
                <w:color w:val="auto"/>
                <w:highlight w:val="none"/>
                <w:lang w:val="zh-CN" w:eastAsia="zh-CN"/>
              </w:rPr>
            </w:pPr>
          </w:p>
          <w:p>
            <w:pPr>
              <w:pStyle w:val="12"/>
              <w:bidi w:val="0"/>
              <w:rPr>
                <w:color w:val="auto"/>
                <w:highlight w:val="none"/>
                <w:lang w:val="zh-CN" w:eastAsia="zh-CN"/>
              </w:rPr>
            </w:pPr>
            <w:r>
              <w:rPr>
                <w:color w:val="auto"/>
                <w:highlight w:val="none"/>
                <w:lang w:val="zh-CN" w:eastAsia="zh-CN"/>
              </w:rPr>
              <w:t>底层采用厚度不低于2.5mmPVC针织棉，面层采用厚度不低于9mm厚木夹板进行保护</w:t>
            </w:r>
            <w:r>
              <w:rPr>
                <w:rFonts w:hint="eastAsia"/>
                <w:color w:val="auto"/>
                <w:highlight w:val="none"/>
                <w:lang w:eastAsia="zh-CN"/>
              </w:rPr>
              <w:t>或地面保护垫（编织布）进行保护</w:t>
            </w:r>
            <w:r>
              <w:rPr>
                <w:color w:val="auto"/>
                <w:highlight w:val="none"/>
                <w:lang w:val="zh-CN" w:eastAsia="zh-CN"/>
              </w:rPr>
              <w:t>； 墙面采用薄膜保 护，且阳角处需采用厚度不低于9mm木夹板进行保护；</w:t>
            </w:r>
          </w:p>
        </w:tc>
        <w:tc>
          <w:tcPr>
            <w:tcW w:w="7186" w:type="dxa"/>
            <w:vAlign w:val="center"/>
          </w:tcPr>
          <w:p>
            <w:pPr>
              <w:pStyle w:val="12"/>
              <w:bidi w:val="0"/>
              <w:rPr>
                <w:color w:val="auto"/>
                <w:highlight w:val="none"/>
                <w:lang w:val="zh-CN" w:eastAsia="zh-CN"/>
              </w:rPr>
            </w:pPr>
          </w:p>
          <w:p>
            <w:pPr>
              <w:pStyle w:val="12"/>
              <w:bidi w:val="0"/>
              <w:rPr>
                <w:color w:val="auto"/>
                <w:highlight w:val="none"/>
                <w:lang w:val="zh-CN" w:eastAsia="zh-CN"/>
              </w:rPr>
            </w:pPr>
            <w:r>
              <w:rPr>
                <w:color w:val="auto"/>
                <w:highlight w:val="none"/>
                <w:lang w:val="zh-CN" w:eastAsia="zh-CN"/>
              </w:rPr>
              <w:drawing>
                <wp:inline distT="0" distB="0" distL="0" distR="0">
                  <wp:extent cx="2150110" cy="2543810"/>
                  <wp:effectExtent l="0" t="0" r="2540" b="8890"/>
                  <wp:docPr id="79" name="image43.png" descr="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image43.png" descr="1.png"/>
                          <pic:cNvPicPr>
                            <a:picLocks noChangeAspect="1"/>
                          </pic:cNvPicPr>
                        </pic:nvPicPr>
                        <pic:blipFill>
                          <a:blip r:embed="rId44" cstate="print"/>
                          <a:stretch>
                            <a:fillRect/>
                          </a:stretch>
                        </pic:blipFill>
                        <pic:spPr>
                          <a:xfrm>
                            <a:off x="0" y="0"/>
                            <a:ext cx="2150244" cy="2544032"/>
                          </a:xfrm>
                          <a:prstGeom prst="rect">
                            <a:avLst/>
                          </a:prstGeom>
                        </pic:spPr>
                      </pic:pic>
                    </a:graphicData>
                  </a:graphic>
                </wp:inline>
              </w:drawing>
            </w:r>
            <w:r>
              <w:rPr>
                <w:color w:val="auto"/>
                <w:highlight w:val="none"/>
                <w:lang w:val="zh-CN" w:eastAsia="zh-CN"/>
              </w:rPr>
              <w:drawing>
                <wp:inline distT="0" distB="0" distL="0" distR="0">
                  <wp:extent cx="2298700" cy="2576830"/>
                  <wp:effectExtent l="0" t="0" r="6350" b="4445"/>
                  <wp:docPr id="81" name="image44.jpeg" desc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image44.jpeg" descr="2.jpg"/>
                          <pic:cNvPicPr>
                            <a:picLocks noChangeAspect="1"/>
                          </pic:cNvPicPr>
                        </pic:nvPicPr>
                        <pic:blipFill>
                          <a:blip r:embed="rId45" cstate="print"/>
                          <a:stretch>
                            <a:fillRect/>
                          </a:stretch>
                        </pic:blipFill>
                        <pic:spPr>
                          <a:xfrm>
                            <a:off x="0" y="0"/>
                            <a:ext cx="2299141" cy="2577464"/>
                          </a:xfrm>
                          <a:prstGeom prst="rect">
                            <a:avLst/>
                          </a:prstGeom>
                        </pic:spPr>
                      </pic:pic>
                    </a:graphicData>
                  </a:graphic>
                </wp:inline>
              </w:drawing>
            </w:r>
          </w:p>
        </w:tc>
        <w:tc>
          <w:tcPr>
            <w:tcW w:w="884" w:type="dxa"/>
            <w:vAlign w:val="center"/>
          </w:tcPr>
          <w:p>
            <w:pPr>
              <w:pStyle w:val="12"/>
              <w:bidi w:val="0"/>
              <w:rPr>
                <w:color w:val="auto"/>
                <w:highlight w:val="none"/>
                <w:lang w:val="zh-CN" w:eastAsia="zh-CN"/>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072" w:hRule="atLeast"/>
          <w:jc w:val="center"/>
        </w:trPr>
        <w:tc>
          <w:tcPr>
            <w:tcW w:w="765" w:type="dxa"/>
            <w:vMerge w:val="restart"/>
            <w:vAlign w:val="center"/>
          </w:tcPr>
          <w:p>
            <w:pPr>
              <w:pStyle w:val="12"/>
              <w:bidi w:val="0"/>
              <w:rPr>
                <w:color w:val="auto"/>
                <w:highlight w:val="none"/>
                <w:lang w:val="zh-CN" w:eastAsia="zh-CN"/>
              </w:rPr>
            </w:pPr>
            <w:r>
              <w:rPr>
                <w:color w:val="auto"/>
                <w:highlight w:val="none"/>
                <w:lang w:val="zh-CN" w:eastAsia="zh-CN"/>
              </w:rPr>
              <w:t>3</w:t>
            </w:r>
          </w:p>
        </w:tc>
        <w:tc>
          <w:tcPr>
            <w:tcW w:w="1080" w:type="dxa"/>
            <w:vMerge w:val="restart"/>
            <w:vAlign w:val="center"/>
          </w:tcPr>
          <w:p>
            <w:pPr>
              <w:pStyle w:val="12"/>
              <w:bidi w:val="0"/>
              <w:rPr>
                <w:color w:val="auto"/>
                <w:highlight w:val="none"/>
                <w:lang w:val="zh-CN" w:eastAsia="zh-CN"/>
              </w:rPr>
            </w:pPr>
            <w:r>
              <w:rPr>
                <w:rFonts w:hint="eastAsia"/>
                <w:color w:val="auto"/>
                <w:highlight w:val="none"/>
                <w:lang w:val="zh-CN" w:eastAsia="zh-CN"/>
              </w:rPr>
              <w:t>木地板</w:t>
            </w:r>
          </w:p>
        </w:tc>
        <w:tc>
          <w:tcPr>
            <w:tcW w:w="812" w:type="dxa"/>
            <w:vAlign w:val="center"/>
          </w:tcPr>
          <w:p>
            <w:pPr>
              <w:pStyle w:val="12"/>
              <w:bidi w:val="0"/>
              <w:rPr>
                <w:color w:val="auto"/>
                <w:highlight w:val="none"/>
                <w:lang w:val="zh-CN" w:eastAsia="zh-CN"/>
              </w:rPr>
            </w:pPr>
            <w:r>
              <w:rPr>
                <w:color w:val="auto"/>
                <w:highlight w:val="none"/>
                <w:lang w:val="zh-CN" w:eastAsia="zh-CN"/>
              </w:rPr>
              <w:t>工厂包装</w:t>
            </w:r>
          </w:p>
        </w:tc>
        <w:tc>
          <w:tcPr>
            <w:tcW w:w="2072" w:type="dxa"/>
            <w:vAlign w:val="center"/>
          </w:tcPr>
          <w:p>
            <w:pPr>
              <w:pStyle w:val="12"/>
              <w:bidi w:val="0"/>
              <w:rPr>
                <w:color w:val="auto"/>
                <w:highlight w:val="none"/>
                <w:lang w:val="zh-CN" w:eastAsia="zh-CN"/>
              </w:rPr>
            </w:pPr>
            <w:r>
              <w:rPr>
                <w:color w:val="auto"/>
                <w:highlight w:val="none"/>
                <w:lang w:val="zh-CN" w:eastAsia="zh-CN"/>
              </w:rPr>
              <w:t>采用珍珠棉加包装盒进行包装</w:t>
            </w:r>
          </w:p>
        </w:tc>
        <w:tc>
          <w:tcPr>
            <w:tcW w:w="7186" w:type="dxa"/>
            <w:vAlign w:val="center"/>
          </w:tcPr>
          <w:p>
            <w:pPr>
              <w:pStyle w:val="12"/>
              <w:bidi w:val="0"/>
              <w:rPr>
                <w:color w:val="auto"/>
                <w:highlight w:val="none"/>
                <w:lang w:val="zh-CN" w:eastAsia="zh-CN"/>
              </w:rPr>
            </w:pPr>
            <w:r>
              <w:rPr>
                <w:color w:val="auto"/>
                <w:highlight w:val="none"/>
                <w:lang w:val="zh-CN" w:eastAsia="zh-CN"/>
              </w:rPr>
              <w:drawing>
                <wp:inline distT="0" distB="0" distL="0" distR="0">
                  <wp:extent cx="2129155" cy="1913890"/>
                  <wp:effectExtent l="0" t="0" r="4445" b="635"/>
                  <wp:docPr id="83" name="image45.jpeg" descr="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image45.jpeg" descr="04.jpg"/>
                          <pic:cNvPicPr>
                            <a:picLocks noChangeAspect="1"/>
                          </pic:cNvPicPr>
                        </pic:nvPicPr>
                        <pic:blipFill>
                          <a:blip r:embed="rId46" cstate="print"/>
                          <a:stretch>
                            <a:fillRect/>
                          </a:stretch>
                        </pic:blipFill>
                        <pic:spPr>
                          <a:xfrm>
                            <a:off x="0" y="0"/>
                            <a:ext cx="2129559" cy="1914239"/>
                          </a:xfrm>
                          <a:prstGeom prst="rect">
                            <a:avLst/>
                          </a:prstGeom>
                        </pic:spPr>
                      </pic:pic>
                    </a:graphicData>
                  </a:graphic>
                </wp:inline>
              </w:drawing>
            </w:r>
            <w:r>
              <w:rPr>
                <w:color w:val="auto"/>
                <w:highlight w:val="none"/>
                <w:lang w:val="zh-CN" w:eastAsia="zh-CN"/>
              </w:rPr>
              <w:drawing>
                <wp:inline distT="0" distB="0" distL="0" distR="0">
                  <wp:extent cx="1951990" cy="1951990"/>
                  <wp:effectExtent l="0" t="0" r="635" b="635"/>
                  <wp:docPr id="85" name="image46.jpeg" descr="IMG_96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image46.jpeg" descr="IMG_9612.JPG"/>
                          <pic:cNvPicPr>
                            <a:picLocks noChangeAspect="1"/>
                          </pic:cNvPicPr>
                        </pic:nvPicPr>
                        <pic:blipFill>
                          <a:blip r:embed="rId47" cstate="print"/>
                          <a:stretch>
                            <a:fillRect/>
                          </a:stretch>
                        </pic:blipFill>
                        <pic:spPr>
                          <a:xfrm>
                            <a:off x="0" y="0"/>
                            <a:ext cx="1952244" cy="1952244"/>
                          </a:xfrm>
                          <a:prstGeom prst="rect">
                            <a:avLst/>
                          </a:prstGeom>
                        </pic:spPr>
                      </pic:pic>
                    </a:graphicData>
                  </a:graphic>
                </wp:inline>
              </w:drawing>
            </w:r>
          </w:p>
        </w:tc>
        <w:tc>
          <w:tcPr>
            <w:tcW w:w="884" w:type="dxa"/>
            <w:vAlign w:val="center"/>
          </w:tcPr>
          <w:p>
            <w:pPr>
              <w:pStyle w:val="12"/>
              <w:bidi w:val="0"/>
              <w:rPr>
                <w:color w:val="auto"/>
                <w:highlight w:val="none"/>
                <w:lang w:val="zh-CN" w:eastAsia="zh-CN"/>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068" w:hRule="atLeast"/>
          <w:jc w:val="center"/>
        </w:trPr>
        <w:tc>
          <w:tcPr>
            <w:tcW w:w="765" w:type="dxa"/>
            <w:vMerge w:val="continue"/>
            <w:tcBorders>
              <w:top w:val="nil"/>
            </w:tcBorders>
            <w:vAlign w:val="center"/>
          </w:tcPr>
          <w:p>
            <w:pPr>
              <w:pStyle w:val="12"/>
              <w:bidi w:val="0"/>
              <w:rPr>
                <w:color w:val="auto"/>
                <w:highlight w:val="none"/>
                <w:lang w:val="zh-CN" w:eastAsia="zh-CN"/>
              </w:rPr>
            </w:pPr>
          </w:p>
        </w:tc>
        <w:tc>
          <w:tcPr>
            <w:tcW w:w="1080" w:type="dxa"/>
            <w:vMerge w:val="continue"/>
            <w:tcBorders>
              <w:top w:val="nil"/>
            </w:tcBorders>
            <w:vAlign w:val="center"/>
          </w:tcPr>
          <w:p>
            <w:pPr>
              <w:pStyle w:val="12"/>
              <w:bidi w:val="0"/>
              <w:rPr>
                <w:color w:val="auto"/>
                <w:highlight w:val="none"/>
                <w:lang w:val="zh-CN" w:eastAsia="zh-CN"/>
              </w:rPr>
            </w:pPr>
          </w:p>
        </w:tc>
        <w:tc>
          <w:tcPr>
            <w:tcW w:w="812" w:type="dxa"/>
            <w:vAlign w:val="center"/>
          </w:tcPr>
          <w:p>
            <w:pPr>
              <w:pStyle w:val="12"/>
              <w:bidi w:val="0"/>
              <w:rPr>
                <w:color w:val="auto"/>
                <w:highlight w:val="none"/>
                <w:lang w:val="zh-CN" w:eastAsia="zh-CN"/>
              </w:rPr>
            </w:pPr>
            <w:r>
              <w:rPr>
                <w:color w:val="auto"/>
                <w:highlight w:val="none"/>
                <w:lang w:val="zh-CN" w:eastAsia="zh-CN"/>
              </w:rPr>
              <w:t>堆放</w:t>
            </w:r>
          </w:p>
        </w:tc>
        <w:tc>
          <w:tcPr>
            <w:tcW w:w="2072" w:type="dxa"/>
            <w:vAlign w:val="center"/>
          </w:tcPr>
          <w:p>
            <w:pPr>
              <w:pStyle w:val="12"/>
              <w:bidi w:val="0"/>
              <w:rPr>
                <w:color w:val="auto"/>
                <w:highlight w:val="none"/>
                <w:lang w:val="zh-CN" w:eastAsia="zh-CN"/>
              </w:rPr>
            </w:pPr>
            <w:r>
              <w:rPr>
                <w:color w:val="auto"/>
                <w:highlight w:val="none"/>
                <w:lang w:val="zh-CN" w:eastAsia="zh-CN"/>
              </w:rPr>
              <w:t>应置于户内垫木上，垫木高度不得小于100mm, 堆码高度不得超过1.5m</w:t>
            </w:r>
          </w:p>
        </w:tc>
        <w:tc>
          <w:tcPr>
            <w:tcW w:w="7186" w:type="dxa"/>
            <w:vAlign w:val="center"/>
          </w:tcPr>
          <w:p>
            <w:pPr>
              <w:pStyle w:val="12"/>
              <w:bidi w:val="0"/>
              <w:rPr>
                <w:color w:val="auto"/>
                <w:highlight w:val="none"/>
                <w:lang w:val="zh-CN" w:eastAsia="zh-CN"/>
              </w:rPr>
            </w:pPr>
            <w:r>
              <w:rPr>
                <w:color w:val="auto"/>
                <w:highlight w:val="none"/>
                <w:lang w:val="zh-CN" w:eastAsia="zh-CN"/>
              </w:rPr>
              <w:drawing>
                <wp:inline distT="0" distB="0" distL="0" distR="0">
                  <wp:extent cx="2159000" cy="1910715"/>
                  <wp:effectExtent l="0" t="0" r="3175" b="3810"/>
                  <wp:docPr id="87" name="image47.jpeg" descr="IMG_96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image47.jpeg" descr="IMG_9619.JPG"/>
                          <pic:cNvPicPr>
                            <a:picLocks noChangeAspect="1"/>
                          </pic:cNvPicPr>
                        </pic:nvPicPr>
                        <pic:blipFill>
                          <a:blip r:embed="rId48" cstate="print"/>
                          <a:stretch>
                            <a:fillRect/>
                          </a:stretch>
                        </pic:blipFill>
                        <pic:spPr>
                          <a:xfrm>
                            <a:off x="0" y="0"/>
                            <a:ext cx="2159514" cy="1911096"/>
                          </a:xfrm>
                          <a:prstGeom prst="rect">
                            <a:avLst/>
                          </a:prstGeom>
                        </pic:spPr>
                      </pic:pic>
                    </a:graphicData>
                  </a:graphic>
                </wp:inline>
              </w:drawing>
            </w:r>
            <w:r>
              <w:rPr>
                <w:color w:val="auto"/>
                <w:highlight w:val="none"/>
                <w:lang w:val="zh-CN" w:eastAsia="zh-CN"/>
              </w:rPr>
              <w:drawing>
                <wp:inline distT="0" distB="0" distL="0" distR="0">
                  <wp:extent cx="2197100" cy="1910715"/>
                  <wp:effectExtent l="0" t="0" r="3175" b="3810"/>
                  <wp:docPr id="89" name="image48.jpeg" descr="IMG_96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image48.jpeg" descr="IMG_9618.JPG"/>
                          <pic:cNvPicPr>
                            <a:picLocks noChangeAspect="1"/>
                          </pic:cNvPicPr>
                        </pic:nvPicPr>
                        <pic:blipFill>
                          <a:blip r:embed="rId49" cstate="print"/>
                          <a:stretch>
                            <a:fillRect/>
                          </a:stretch>
                        </pic:blipFill>
                        <pic:spPr>
                          <a:xfrm>
                            <a:off x="0" y="0"/>
                            <a:ext cx="2197576" cy="1911096"/>
                          </a:xfrm>
                          <a:prstGeom prst="rect">
                            <a:avLst/>
                          </a:prstGeom>
                        </pic:spPr>
                      </pic:pic>
                    </a:graphicData>
                  </a:graphic>
                </wp:inline>
              </w:drawing>
            </w:r>
          </w:p>
        </w:tc>
        <w:tc>
          <w:tcPr>
            <w:tcW w:w="884" w:type="dxa"/>
            <w:vAlign w:val="center"/>
          </w:tcPr>
          <w:p>
            <w:pPr>
              <w:pStyle w:val="12"/>
              <w:bidi w:val="0"/>
              <w:rPr>
                <w:color w:val="auto"/>
                <w:highlight w:val="none"/>
                <w:lang w:val="zh-CN" w:eastAsia="zh-CN"/>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721" w:hRule="atLeast"/>
          <w:jc w:val="center"/>
        </w:trPr>
        <w:tc>
          <w:tcPr>
            <w:tcW w:w="765" w:type="dxa"/>
            <w:vMerge w:val="continue"/>
            <w:tcBorders>
              <w:top w:val="nil"/>
            </w:tcBorders>
            <w:vAlign w:val="center"/>
          </w:tcPr>
          <w:p>
            <w:pPr>
              <w:pStyle w:val="12"/>
              <w:bidi w:val="0"/>
              <w:rPr>
                <w:color w:val="auto"/>
                <w:highlight w:val="none"/>
                <w:lang w:val="zh-CN" w:eastAsia="zh-CN"/>
              </w:rPr>
            </w:pPr>
          </w:p>
        </w:tc>
        <w:tc>
          <w:tcPr>
            <w:tcW w:w="1080" w:type="dxa"/>
            <w:vMerge w:val="continue"/>
            <w:tcBorders>
              <w:top w:val="nil"/>
            </w:tcBorders>
            <w:vAlign w:val="center"/>
          </w:tcPr>
          <w:p>
            <w:pPr>
              <w:pStyle w:val="12"/>
              <w:bidi w:val="0"/>
              <w:rPr>
                <w:color w:val="auto"/>
                <w:highlight w:val="none"/>
                <w:lang w:val="zh-CN" w:eastAsia="zh-CN"/>
              </w:rPr>
            </w:pPr>
          </w:p>
        </w:tc>
        <w:tc>
          <w:tcPr>
            <w:tcW w:w="812" w:type="dxa"/>
            <w:vAlign w:val="center"/>
          </w:tcPr>
          <w:p>
            <w:pPr>
              <w:pStyle w:val="12"/>
              <w:bidi w:val="0"/>
              <w:rPr>
                <w:color w:val="auto"/>
                <w:highlight w:val="none"/>
                <w:lang w:val="zh-CN" w:eastAsia="zh-CN"/>
              </w:rPr>
            </w:pPr>
            <w:r>
              <w:rPr>
                <w:color w:val="auto"/>
                <w:highlight w:val="none"/>
                <w:lang w:val="zh-CN" w:eastAsia="zh-CN"/>
              </w:rPr>
              <w:t>安装成品</w:t>
            </w:r>
          </w:p>
        </w:tc>
        <w:tc>
          <w:tcPr>
            <w:tcW w:w="2072" w:type="dxa"/>
            <w:vAlign w:val="center"/>
          </w:tcPr>
          <w:p>
            <w:pPr>
              <w:pStyle w:val="12"/>
              <w:bidi w:val="0"/>
              <w:rPr>
                <w:color w:val="auto"/>
                <w:highlight w:val="none"/>
                <w:lang w:val="zh-CN" w:eastAsia="zh-CN"/>
              </w:rPr>
            </w:pPr>
            <w:r>
              <w:rPr>
                <w:color w:val="auto"/>
                <w:highlight w:val="none"/>
                <w:lang w:val="zh-CN" w:eastAsia="zh-CN"/>
              </w:rPr>
              <w:t>底层采用厚度不低于2.5mmPVC针 织棉，面层采用瓦楞纸板覆盖保护；</w:t>
            </w:r>
          </w:p>
        </w:tc>
        <w:tc>
          <w:tcPr>
            <w:tcW w:w="7186" w:type="dxa"/>
            <w:vAlign w:val="center"/>
          </w:tcPr>
          <w:p>
            <w:pPr>
              <w:pStyle w:val="12"/>
              <w:bidi w:val="0"/>
              <w:rPr>
                <w:color w:val="auto"/>
                <w:highlight w:val="none"/>
                <w:lang w:val="zh-CN" w:eastAsia="zh-CN"/>
              </w:rPr>
            </w:pPr>
          </w:p>
          <w:p>
            <w:pPr>
              <w:pStyle w:val="12"/>
              <w:bidi w:val="0"/>
              <w:rPr>
                <w:color w:val="auto"/>
                <w:highlight w:val="none"/>
                <w:lang w:val="zh-CN" w:eastAsia="zh-CN"/>
              </w:rPr>
            </w:pPr>
            <w:r>
              <w:rPr>
                <w:color w:val="auto"/>
                <w:highlight w:val="none"/>
                <w:lang w:val="zh-CN" w:eastAsia="zh-CN"/>
              </w:rPr>
              <w:drawing>
                <wp:inline distT="0" distB="0" distL="0" distR="0">
                  <wp:extent cx="2142490" cy="1685925"/>
                  <wp:effectExtent l="0" t="0" r="635" b="0"/>
                  <wp:docPr id="91" name="image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image49.jpeg"/>
                          <pic:cNvPicPr>
                            <a:picLocks noChangeAspect="1"/>
                          </pic:cNvPicPr>
                        </pic:nvPicPr>
                        <pic:blipFill>
                          <a:blip r:embed="rId50" cstate="print"/>
                          <a:stretch>
                            <a:fillRect/>
                          </a:stretch>
                        </pic:blipFill>
                        <pic:spPr>
                          <a:xfrm>
                            <a:off x="0" y="0"/>
                            <a:ext cx="2143124" cy="1685925"/>
                          </a:xfrm>
                          <a:prstGeom prst="rect">
                            <a:avLst/>
                          </a:prstGeom>
                        </pic:spPr>
                      </pic:pic>
                    </a:graphicData>
                  </a:graphic>
                </wp:inline>
              </w:drawing>
            </w:r>
            <w:r>
              <w:rPr>
                <w:color w:val="auto"/>
                <w:highlight w:val="none"/>
                <w:lang w:val="zh-CN" w:eastAsia="zh-CN"/>
              </w:rPr>
              <w:drawing>
                <wp:inline distT="0" distB="0" distL="0" distR="0">
                  <wp:extent cx="2241550" cy="1645285"/>
                  <wp:effectExtent l="0" t="0" r="6350" b="2540"/>
                  <wp:docPr id="93" name="image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image50.jpeg"/>
                          <pic:cNvPicPr>
                            <a:picLocks noChangeAspect="1"/>
                          </pic:cNvPicPr>
                        </pic:nvPicPr>
                        <pic:blipFill>
                          <a:blip r:embed="rId51" cstate="print"/>
                          <a:stretch>
                            <a:fillRect/>
                          </a:stretch>
                        </pic:blipFill>
                        <pic:spPr>
                          <a:xfrm>
                            <a:off x="0" y="0"/>
                            <a:ext cx="2241845" cy="1645919"/>
                          </a:xfrm>
                          <a:prstGeom prst="rect">
                            <a:avLst/>
                          </a:prstGeom>
                        </pic:spPr>
                      </pic:pic>
                    </a:graphicData>
                  </a:graphic>
                </wp:inline>
              </w:drawing>
            </w:r>
          </w:p>
        </w:tc>
        <w:tc>
          <w:tcPr>
            <w:tcW w:w="884" w:type="dxa"/>
            <w:vAlign w:val="center"/>
          </w:tcPr>
          <w:p>
            <w:pPr>
              <w:pStyle w:val="12"/>
              <w:bidi w:val="0"/>
              <w:rPr>
                <w:color w:val="auto"/>
                <w:highlight w:val="none"/>
                <w:lang w:val="zh-CN" w:eastAsia="zh-CN"/>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072" w:hRule="atLeast"/>
          <w:jc w:val="center"/>
        </w:trPr>
        <w:tc>
          <w:tcPr>
            <w:tcW w:w="765" w:type="dxa"/>
            <w:tcBorders>
              <w:bottom w:val="nil"/>
            </w:tcBorders>
            <w:vAlign w:val="center"/>
          </w:tcPr>
          <w:p>
            <w:pPr>
              <w:pStyle w:val="12"/>
              <w:bidi w:val="0"/>
              <w:rPr>
                <w:color w:val="auto"/>
                <w:highlight w:val="none"/>
                <w:lang w:val="zh-CN" w:eastAsia="zh-CN"/>
              </w:rPr>
            </w:pPr>
          </w:p>
        </w:tc>
        <w:tc>
          <w:tcPr>
            <w:tcW w:w="1080" w:type="dxa"/>
            <w:tcBorders>
              <w:bottom w:val="nil"/>
            </w:tcBorders>
            <w:vAlign w:val="center"/>
          </w:tcPr>
          <w:p>
            <w:pPr>
              <w:pStyle w:val="12"/>
              <w:bidi w:val="0"/>
              <w:rPr>
                <w:color w:val="auto"/>
                <w:highlight w:val="none"/>
                <w:lang w:val="zh-CN" w:eastAsia="zh-CN"/>
              </w:rPr>
            </w:pPr>
          </w:p>
        </w:tc>
        <w:tc>
          <w:tcPr>
            <w:tcW w:w="812" w:type="dxa"/>
            <w:vAlign w:val="center"/>
          </w:tcPr>
          <w:p>
            <w:pPr>
              <w:pStyle w:val="12"/>
              <w:bidi w:val="0"/>
              <w:rPr>
                <w:color w:val="auto"/>
                <w:highlight w:val="none"/>
                <w:lang w:val="zh-CN" w:eastAsia="zh-CN"/>
              </w:rPr>
            </w:pPr>
            <w:r>
              <w:rPr>
                <w:color w:val="auto"/>
                <w:highlight w:val="none"/>
                <w:lang w:val="zh-CN" w:eastAsia="zh-CN"/>
              </w:rPr>
              <w:t>工厂包装</w:t>
            </w:r>
          </w:p>
        </w:tc>
        <w:tc>
          <w:tcPr>
            <w:tcW w:w="2072" w:type="dxa"/>
            <w:vAlign w:val="center"/>
          </w:tcPr>
          <w:p>
            <w:pPr>
              <w:pStyle w:val="12"/>
              <w:bidi w:val="0"/>
              <w:rPr>
                <w:color w:val="auto"/>
                <w:highlight w:val="none"/>
                <w:lang w:val="zh-CN" w:eastAsia="zh-CN"/>
              </w:rPr>
            </w:pPr>
            <w:r>
              <w:rPr>
                <w:color w:val="auto"/>
                <w:highlight w:val="none"/>
                <w:lang w:val="zh-CN" w:eastAsia="zh-CN"/>
              </w:rPr>
              <w:t>pvc保护膜加编织袋进行保护</w:t>
            </w:r>
          </w:p>
        </w:tc>
        <w:tc>
          <w:tcPr>
            <w:tcW w:w="7186" w:type="dxa"/>
            <w:vAlign w:val="center"/>
          </w:tcPr>
          <w:p>
            <w:pPr>
              <w:pStyle w:val="12"/>
              <w:bidi w:val="0"/>
              <w:rPr>
                <w:color w:val="auto"/>
                <w:highlight w:val="none"/>
                <w:lang w:val="zh-CN" w:eastAsia="zh-CN"/>
              </w:rPr>
            </w:pPr>
            <w:r>
              <w:rPr>
                <w:color w:val="auto"/>
                <w:highlight w:val="none"/>
                <w:lang w:val="zh-CN" w:eastAsia="zh-CN"/>
              </w:rPr>
              <w:drawing>
                <wp:inline distT="0" distB="0" distL="114300" distR="114300">
                  <wp:extent cx="1457325" cy="1981200"/>
                  <wp:effectExtent l="0" t="0" r="0" b="0"/>
                  <wp:docPr id="161043424" name="图片 161043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43424" name="图片 161043424"/>
                          <pic:cNvPicPr>
                            <a:picLocks noChangeAspect="1"/>
                          </pic:cNvPicPr>
                        </pic:nvPicPr>
                        <pic:blipFill>
                          <a:blip r:embed="rId52"/>
                          <a:stretch>
                            <a:fillRect/>
                          </a:stretch>
                        </pic:blipFill>
                        <pic:spPr>
                          <a:xfrm>
                            <a:off x="0" y="0"/>
                            <a:ext cx="1457325" cy="1981200"/>
                          </a:xfrm>
                          <a:prstGeom prst="rect">
                            <a:avLst/>
                          </a:prstGeom>
                          <a:noFill/>
                          <a:ln>
                            <a:noFill/>
                          </a:ln>
                        </pic:spPr>
                      </pic:pic>
                    </a:graphicData>
                  </a:graphic>
                </wp:inline>
              </w:drawing>
            </w:r>
            <w:r>
              <w:rPr>
                <w:color w:val="auto"/>
                <w:highlight w:val="none"/>
                <w:lang w:val="zh-CN" w:eastAsia="zh-CN"/>
              </w:rPr>
              <w:drawing>
                <wp:inline distT="0" distB="0" distL="114300" distR="114300">
                  <wp:extent cx="1447800" cy="1990725"/>
                  <wp:effectExtent l="0" t="0" r="0" b="0"/>
                  <wp:docPr id="227896652" name="图片 227896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896652" name="图片 227896652"/>
                          <pic:cNvPicPr>
                            <a:picLocks noChangeAspect="1"/>
                          </pic:cNvPicPr>
                        </pic:nvPicPr>
                        <pic:blipFill>
                          <a:blip r:embed="rId53"/>
                          <a:stretch>
                            <a:fillRect/>
                          </a:stretch>
                        </pic:blipFill>
                        <pic:spPr>
                          <a:xfrm>
                            <a:off x="0" y="0"/>
                            <a:ext cx="1447800" cy="1990725"/>
                          </a:xfrm>
                          <a:prstGeom prst="rect">
                            <a:avLst/>
                          </a:prstGeom>
                          <a:noFill/>
                          <a:ln>
                            <a:noFill/>
                          </a:ln>
                        </pic:spPr>
                      </pic:pic>
                    </a:graphicData>
                  </a:graphic>
                </wp:inline>
              </w:drawing>
            </w:r>
            <w:r>
              <w:rPr>
                <w:color w:val="auto"/>
                <w:highlight w:val="none"/>
                <w:lang w:val="zh-CN" w:eastAsia="zh-CN"/>
              </w:rPr>
              <w:drawing>
                <wp:inline distT="0" distB="0" distL="114300" distR="114300">
                  <wp:extent cx="1586230" cy="2009775"/>
                  <wp:effectExtent l="0" t="0" r="4445" b="0"/>
                  <wp:docPr id="528439308" name="图片 528439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439308" name="图片 528439308"/>
                          <pic:cNvPicPr>
                            <a:picLocks noChangeAspect="1"/>
                          </pic:cNvPicPr>
                        </pic:nvPicPr>
                        <pic:blipFill>
                          <a:blip r:embed="rId54"/>
                          <a:stretch>
                            <a:fillRect/>
                          </a:stretch>
                        </pic:blipFill>
                        <pic:spPr>
                          <a:xfrm>
                            <a:off x="0" y="0"/>
                            <a:ext cx="1586230" cy="2009775"/>
                          </a:xfrm>
                          <a:prstGeom prst="rect">
                            <a:avLst/>
                          </a:prstGeom>
                          <a:noFill/>
                          <a:ln>
                            <a:noFill/>
                          </a:ln>
                        </pic:spPr>
                      </pic:pic>
                    </a:graphicData>
                  </a:graphic>
                </wp:inline>
              </w:drawing>
            </w:r>
          </w:p>
        </w:tc>
        <w:tc>
          <w:tcPr>
            <w:tcW w:w="884" w:type="dxa"/>
            <w:vAlign w:val="center"/>
          </w:tcPr>
          <w:p>
            <w:pPr>
              <w:pStyle w:val="12"/>
              <w:bidi w:val="0"/>
              <w:rPr>
                <w:color w:val="auto"/>
                <w:highlight w:val="none"/>
                <w:lang w:val="zh-CN" w:eastAsia="zh-CN"/>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072" w:hRule="atLeast"/>
          <w:jc w:val="center"/>
        </w:trPr>
        <w:tc>
          <w:tcPr>
            <w:tcW w:w="765" w:type="dxa"/>
            <w:vMerge w:val="restart"/>
            <w:tcBorders>
              <w:top w:val="nil"/>
            </w:tcBorders>
            <w:vAlign w:val="center"/>
          </w:tcPr>
          <w:p>
            <w:pPr>
              <w:pStyle w:val="12"/>
              <w:bidi w:val="0"/>
              <w:rPr>
                <w:color w:val="auto"/>
                <w:highlight w:val="none"/>
                <w:lang w:val="zh-CN" w:eastAsia="zh-CN"/>
              </w:rPr>
            </w:pPr>
            <w:r>
              <w:rPr>
                <w:color w:val="auto"/>
                <w:highlight w:val="none"/>
                <w:lang w:val="zh-CN" w:eastAsia="zh-CN"/>
              </w:rPr>
              <w:t>4</w:t>
            </w:r>
          </w:p>
        </w:tc>
        <w:tc>
          <w:tcPr>
            <w:tcW w:w="1080" w:type="dxa"/>
            <w:vMerge w:val="restart"/>
            <w:tcBorders>
              <w:top w:val="nil"/>
            </w:tcBorders>
            <w:vAlign w:val="center"/>
          </w:tcPr>
          <w:p>
            <w:pPr>
              <w:pStyle w:val="12"/>
              <w:bidi w:val="0"/>
              <w:rPr>
                <w:color w:val="auto"/>
                <w:highlight w:val="none"/>
                <w:lang w:val="zh-CN" w:eastAsia="zh-CN"/>
              </w:rPr>
            </w:pPr>
            <w:r>
              <w:rPr>
                <w:rFonts w:hint="eastAsia"/>
                <w:color w:val="auto"/>
                <w:highlight w:val="none"/>
                <w:lang w:val="zh-CN" w:eastAsia="zh-CN"/>
              </w:rPr>
              <w:t>地毯</w:t>
            </w:r>
          </w:p>
        </w:tc>
        <w:tc>
          <w:tcPr>
            <w:tcW w:w="812" w:type="dxa"/>
            <w:vAlign w:val="center"/>
          </w:tcPr>
          <w:p>
            <w:pPr>
              <w:pStyle w:val="12"/>
              <w:bidi w:val="0"/>
              <w:rPr>
                <w:color w:val="auto"/>
                <w:highlight w:val="none"/>
                <w:lang w:val="zh-CN" w:eastAsia="zh-CN"/>
              </w:rPr>
            </w:pPr>
            <w:r>
              <w:rPr>
                <w:color w:val="auto"/>
                <w:highlight w:val="none"/>
                <w:lang w:val="zh-CN" w:eastAsia="zh-CN"/>
              </w:rPr>
              <w:t>堆放</w:t>
            </w:r>
          </w:p>
        </w:tc>
        <w:tc>
          <w:tcPr>
            <w:tcW w:w="2072" w:type="dxa"/>
            <w:vAlign w:val="center"/>
          </w:tcPr>
          <w:p>
            <w:pPr>
              <w:pStyle w:val="12"/>
              <w:bidi w:val="0"/>
              <w:rPr>
                <w:color w:val="auto"/>
                <w:highlight w:val="none"/>
                <w:lang w:val="zh-CN" w:eastAsia="zh-CN"/>
              </w:rPr>
            </w:pPr>
            <w:r>
              <w:rPr>
                <w:color w:val="auto"/>
                <w:highlight w:val="none"/>
                <w:lang w:val="zh-CN" w:eastAsia="zh-CN"/>
              </w:rPr>
              <w:t>现场地毯应置于户内垫木上，垫木高度不得小于100mm</w:t>
            </w:r>
          </w:p>
        </w:tc>
        <w:tc>
          <w:tcPr>
            <w:tcW w:w="7186" w:type="dxa"/>
            <w:vAlign w:val="center"/>
          </w:tcPr>
          <w:p>
            <w:pPr>
              <w:pStyle w:val="12"/>
              <w:bidi w:val="0"/>
              <w:rPr>
                <w:color w:val="auto"/>
                <w:highlight w:val="none"/>
                <w:lang w:val="zh-CN" w:eastAsia="zh-CN"/>
              </w:rPr>
            </w:pPr>
          </w:p>
          <w:p>
            <w:pPr>
              <w:pStyle w:val="12"/>
              <w:bidi w:val="0"/>
              <w:rPr>
                <w:color w:val="auto"/>
                <w:highlight w:val="none"/>
                <w:lang w:val="zh-CN" w:eastAsia="zh-CN"/>
              </w:rPr>
            </w:pPr>
            <w:r>
              <w:rPr>
                <w:color w:val="auto"/>
                <w:highlight w:val="none"/>
                <w:lang w:val="zh-CN" w:eastAsia="zh-CN"/>
              </w:rPr>
              <w:drawing>
                <wp:inline distT="0" distB="0" distL="0" distR="0">
                  <wp:extent cx="2217420" cy="1910715"/>
                  <wp:effectExtent l="0" t="0" r="1905" b="3810"/>
                  <wp:docPr id="95" name="image51.jpeg" descr="IMG_18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image51.jpeg" descr="IMG_1884.JPG"/>
                          <pic:cNvPicPr>
                            <a:picLocks noChangeAspect="1"/>
                          </pic:cNvPicPr>
                        </pic:nvPicPr>
                        <pic:blipFill>
                          <a:blip r:embed="rId55" cstate="print"/>
                          <a:stretch>
                            <a:fillRect/>
                          </a:stretch>
                        </pic:blipFill>
                        <pic:spPr>
                          <a:xfrm>
                            <a:off x="0" y="0"/>
                            <a:ext cx="2217622" cy="1911096"/>
                          </a:xfrm>
                          <a:prstGeom prst="rect">
                            <a:avLst/>
                          </a:prstGeom>
                        </pic:spPr>
                      </pic:pic>
                    </a:graphicData>
                  </a:graphic>
                </wp:inline>
              </w:drawing>
            </w:r>
          </w:p>
        </w:tc>
        <w:tc>
          <w:tcPr>
            <w:tcW w:w="884" w:type="dxa"/>
            <w:vAlign w:val="center"/>
          </w:tcPr>
          <w:p>
            <w:pPr>
              <w:pStyle w:val="12"/>
              <w:bidi w:val="0"/>
              <w:rPr>
                <w:color w:val="auto"/>
                <w:highlight w:val="none"/>
                <w:lang w:val="zh-CN" w:eastAsia="zh-CN"/>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072" w:hRule="atLeast"/>
          <w:jc w:val="center"/>
        </w:trPr>
        <w:tc>
          <w:tcPr>
            <w:tcW w:w="765" w:type="dxa"/>
            <w:vMerge w:val="continue"/>
            <w:tcBorders>
              <w:top w:val="nil"/>
            </w:tcBorders>
            <w:vAlign w:val="center"/>
          </w:tcPr>
          <w:p>
            <w:pPr>
              <w:pStyle w:val="12"/>
              <w:bidi w:val="0"/>
              <w:rPr>
                <w:color w:val="auto"/>
                <w:highlight w:val="none"/>
                <w:lang w:val="zh-CN" w:eastAsia="zh-CN"/>
              </w:rPr>
            </w:pPr>
          </w:p>
        </w:tc>
        <w:tc>
          <w:tcPr>
            <w:tcW w:w="1080" w:type="dxa"/>
            <w:vMerge w:val="continue"/>
            <w:tcBorders>
              <w:top w:val="nil"/>
            </w:tcBorders>
            <w:vAlign w:val="center"/>
          </w:tcPr>
          <w:p>
            <w:pPr>
              <w:pStyle w:val="12"/>
              <w:bidi w:val="0"/>
              <w:rPr>
                <w:color w:val="auto"/>
                <w:highlight w:val="none"/>
                <w:lang w:val="zh-CN" w:eastAsia="zh-CN"/>
              </w:rPr>
            </w:pPr>
          </w:p>
        </w:tc>
        <w:tc>
          <w:tcPr>
            <w:tcW w:w="812" w:type="dxa"/>
            <w:vAlign w:val="center"/>
          </w:tcPr>
          <w:p>
            <w:pPr>
              <w:pStyle w:val="12"/>
              <w:bidi w:val="0"/>
              <w:rPr>
                <w:color w:val="auto"/>
                <w:highlight w:val="none"/>
                <w:lang w:val="zh-CN" w:eastAsia="zh-CN"/>
              </w:rPr>
            </w:pPr>
            <w:r>
              <w:rPr>
                <w:color w:val="auto"/>
                <w:highlight w:val="none"/>
                <w:lang w:val="zh-CN" w:eastAsia="zh-CN"/>
              </w:rPr>
              <w:t>安装成品</w:t>
            </w:r>
          </w:p>
        </w:tc>
        <w:tc>
          <w:tcPr>
            <w:tcW w:w="2072" w:type="dxa"/>
            <w:vAlign w:val="center"/>
          </w:tcPr>
          <w:p>
            <w:pPr>
              <w:pStyle w:val="12"/>
              <w:bidi w:val="0"/>
              <w:rPr>
                <w:color w:val="auto"/>
                <w:highlight w:val="none"/>
                <w:lang w:val="zh-CN" w:eastAsia="zh-CN"/>
              </w:rPr>
            </w:pPr>
            <w:r>
              <w:rPr>
                <w:color w:val="auto"/>
                <w:highlight w:val="none"/>
                <w:lang w:val="zh-CN" w:eastAsia="zh-CN"/>
              </w:rPr>
              <w:t>底层保护：防潮保护膜；面层保护： 瓦楞纸板；胶带；</w:t>
            </w:r>
          </w:p>
        </w:tc>
        <w:tc>
          <w:tcPr>
            <w:tcW w:w="7186" w:type="dxa"/>
            <w:vAlign w:val="center"/>
          </w:tcPr>
          <w:p>
            <w:pPr>
              <w:pStyle w:val="12"/>
              <w:bidi w:val="0"/>
              <w:rPr>
                <w:color w:val="auto"/>
                <w:highlight w:val="none"/>
                <w:lang w:val="zh-CN" w:eastAsia="zh-CN"/>
              </w:rPr>
            </w:pPr>
            <w:r>
              <w:rPr>
                <w:color w:val="auto"/>
                <w:highlight w:val="none"/>
                <w:lang w:val="zh-CN" w:eastAsia="zh-CN"/>
              </w:rPr>
              <w:drawing>
                <wp:inline distT="0" distB="0" distL="0" distR="0">
                  <wp:extent cx="2157730" cy="1943100"/>
                  <wp:effectExtent l="0" t="0" r="4445" b="0"/>
                  <wp:docPr id="97" name="image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image52.jpeg"/>
                          <pic:cNvPicPr>
                            <a:picLocks noChangeAspect="1"/>
                          </pic:cNvPicPr>
                        </pic:nvPicPr>
                        <pic:blipFill>
                          <a:blip r:embed="rId56" cstate="print"/>
                          <a:stretch>
                            <a:fillRect/>
                          </a:stretch>
                        </pic:blipFill>
                        <pic:spPr>
                          <a:xfrm>
                            <a:off x="0" y="0"/>
                            <a:ext cx="2158091" cy="1943576"/>
                          </a:xfrm>
                          <a:prstGeom prst="rect">
                            <a:avLst/>
                          </a:prstGeom>
                        </pic:spPr>
                      </pic:pic>
                    </a:graphicData>
                  </a:graphic>
                </wp:inline>
              </w:drawing>
            </w:r>
            <w:r>
              <w:rPr>
                <w:color w:val="auto"/>
                <w:highlight w:val="none"/>
                <w:lang w:val="zh-CN" w:eastAsia="zh-CN"/>
              </w:rPr>
              <w:drawing>
                <wp:inline distT="0" distB="0" distL="0" distR="0">
                  <wp:extent cx="2218055" cy="1944370"/>
                  <wp:effectExtent l="0" t="0" r="1270" b="8255"/>
                  <wp:docPr id="99" name="image53.jpeg" descr="照片 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image53.jpeg" descr="照片 085"/>
                          <pic:cNvPicPr>
                            <a:picLocks noChangeAspect="1"/>
                          </pic:cNvPicPr>
                        </pic:nvPicPr>
                        <pic:blipFill>
                          <a:blip r:embed="rId57" cstate="print"/>
                          <a:stretch>
                            <a:fillRect/>
                          </a:stretch>
                        </pic:blipFill>
                        <pic:spPr>
                          <a:xfrm>
                            <a:off x="0" y="0"/>
                            <a:ext cx="2218345" cy="1944814"/>
                          </a:xfrm>
                          <a:prstGeom prst="rect">
                            <a:avLst/>
                          </a:prstGeom>
                        </pic:spPr>
                      </pic:pic>
                    </a:graphicData>
                  </a:graphic>
                </wp:inline>
              </w:drawing>
            </w:r>
          </w:p>
        </w:tc>
        <w:tc>
          <w:tcPr>
            <w:tcW w:w="884" w:type="dxa"/>
            <w:vAlign w:val="center"/>
          </w:tcPr>
          <w:p>
            <w:pPr>
              <w:pStyle w:val="12"/>
              <w:bidi w:val="0"/>
              <w:rPr>
                <w:color w:val="auto"/>
                <w:highlight w:val="none"/>
                <w:lang w:val="zh-CN" w:eastAsia="zh-CN"/>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006" w:hRule="atLeast"/>
          <w:jc w:val="center"/>
        </w:trPr>
        <w:tc>
          <w:tcPr>
            <w:tcW w:w="765" w:type="dxa"/>
            <w:vMerge w:val="restart"/>
            <w:vAlign w:val="center"/>
          </w:tcPr>
          <w:p>
            <w:pPr>
              <w:pStyle w:val="12"/>
              <w:bidi w:val="0"/>
              <w:rPr>
                <w:color w:val="auto"/>
                <w:highlight w:val="none"/>
                <w:lang w:val="zh-CN" w:eastAsia="zh-CN"/>
              </w:rPr>
            </w:pPr>
            <w:r>
              <w:rPr>
                <w:color w:val="auto"/>
                <w:highlight w:val="none"/>
                <w:lang w:val="zh-CN" w:eastAsia="zh-CN"/>
              </w:rPr>
              <w:t>5</w:t>
            </w:r>
          </w:p>
        </w:tc>
        <w:tc>
          <w:tcPr>
            <w:tcW w:w="1080" w:type="dxa"/>
            <w:vMerge w:val="restart"/>
            <w:vAlign w:val="center"/>
          </w:tcPr>
          <w:p>
            <w:pPr>
              <w:pStyle w:val="12"/>
              <w:bidi w:val="0"/>
              <w:rPr>
                <w:color w:val="auto"/>
                <w:highlight w:val="none"/>
                <w:lang w:val="zh-CN" w:eastAsia="zh-CN"/>
              </w:rPr>
            </w:pPr>
            <w:r>
              <w:rPr>
                <w:rFonts w:hint="eastAsia"/>
                <w:color w:val="auto"/>
                <w:highlight w:val="none"/>
                <w:lang w:val="zh-CN" w:eastAsia="zh-CN"/>
              </w:rPr>
              <w:t>入户门及户内门</w:t>
            </w:r>
          </w:p>
        </w:tc>
        <w:tc>
          <w:tcPr>
            <w:tcW w:w="812" w:type="dxa"/>
            <w:vMerge w:val="restart"/>
            <w:vAlign w:val="center"/>
          </w:tcPr>
          <w:p>
            <w:pPr>
              <w:pStyle w:val="12"/>
              <w:bidi w:val="0"/>
              <w:rPr>
                <w:color w:val="auto"/>
                <w:highlight w:val="none"/>
                <w:lang w:val="zh-CN" w:eastAsia="zh-CN"/>
              </w:rPr>
            </w:pPr>
            <w:r>
              <w:rPr>
                <w:color w:val="auto"/>
                <w:highlight w:val="none"/>
                <w:lang w:val="zh-CN" w:eastAsia="zh-CN"/>
              </w:rPr>
              <w:t>工厂包装</w:t>
            </w:r>
          </w:p>
        </w:tc>
        <w:tc>
          <w:tcPr>
            <w:tcW w:w="2072" w:type="dxa"/>
            <w:tcBorders>
              <w:bottom w:val="single" w:color="auto" w:sz="4" w:space="0"/>
            </w:tcBorders>
            <w:vAlign w:val="center"/>
          </w:tcPr>
          <w:p>
            <w:pPr>
              <w:pStyle w:val="12"/>
              <w:bidi w:val="0"/>
              <w:rPr>
                <w:color w:val="auto"/>
                <w:highlight w:val="none"/>
                <w:lang w:val="zh-CN" w:eastAsia="zh-CN"/>
              </w:rPr>
            </w:pPr>
            <w:r>
              <w:rPr>
                <w:color w:val="auto"/>
                <w:highlight w:val="none"/>
                <w:lang w:val="zh-CN" w:eastAsia="zh-CN"/>
              </w:rPr>
              <w:t>门套及门扇应分三</w:t>
            </w:r>
          </w:p>
          <w:p>
            <w:pPr>
              <w:pStyle w:val="12"/>
              <w:bidi w:val="0"/>
              <w:rPr>
                <w:color w:val="auto"/>
                <w:highlight w:val="none"/>
                <w:lang w:val="zh-CN" w:eastAsia="zh-CN"/>
              </w:rPr>
            </w:pPr>
            <w:r>
              <w:rPr>
                <w:color w:val="auto"/>
                <w:highlight w:val="none"/>
                <w:lang w:val="zh-CN" w:eastAsia="zh-CN"/>
              </w:rPr>
              <w:t>层包装，表面包珍珠棉，双面放</w:t>
            </w:r>
          </w:p>
          <w:p>
            <w:pPr>
              <w:pStyle w:val="12"/>
              <w:bidi w:val="0"/>
              <w:rPr>
                <w:color w:val="auto"/>
                <w:highlight w:val="none"/>
                <w:lang w:val="zh-CN" w:eastAsia="zh-CN"/>
              </w:rPr>
            </w:pPr>
            <w:r>
              <w:rPr>
                <w:color w:val="auto"/>
                <w:highlight w:val="none"/>
                <w:lang w:val="zh-CN" w:eastAsia="zh-CN"/>
              </w:rPr>
              <w:t>5mm后泡沫板，</w:t>
            </w:r>
          </w:p>
          <w:p>
            <w:pPr>
              <w:pStyle w:val="12"/>
              <w:bidi w:val="0"/>
              <w:rPr>
                <w:color w:val="auto"/>
                <w:highlight w:val="none"/>
                <w:lang w:val="zh-CN" w:eastAsia="zh-CN"/>
              </w:rPr>
            </w:pPr>
            <w:r>
              <w:rPr>
                <w:color w:val="auto"/>
                <w:highlight w:val="none"/>
                <w:lang w:val="zh-CN" w:eastAsia="zh-CN"/>
              </w:rPr>
              <w:t>最后用纸盒包装好</w:t>
            </w:r>
          </w:p>
        </w:tc>
        <w:tc>
          <w:tcPr>
            <w:tcW w:w="7186" w:type="dxa"/>
            <w:vMerge w:val="restart"/>
            <w:vAlign w:val="center"/>
          </w:tcPr>
          <w:p>
            <w:pPr>
              <w:pStyle w:val="12"/>
              <w:bidi w:val="0"/>
              <w:rPr>
                <w:color w:val="auto"/>
                <w:highlight w:val="none"/>
                <w:lang w:val="zh-CN" w:eastAsia="zh-CN"/>
              </w:rPr>
            </w:pPr>
            <w:r>
              <w:rPr>
                <w:color w:val="auto"/>
                <w:highlight w:val="none"/>
                <w:lang w:val="zh-CN" w:eastAsia="zh-CN"/>
              </w:rPr>
              <w:drawing>
                <wp:inline distT="0" distB="0" distL="0" distR="0">
                  <wp:extent cx="2198370" cy="1901825"/>
                  <wp:effectExtent l="0" t="0" r="1905" b="3175"/>
                  <wp:docPr id="101" name="image54.jpeg" descr="IMG_96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image54.jpeg" descr="IMG_9612.JPG"/>
                          <pic:cNvPicPr>
                            <a:picLocks noChangeAspect="1"/>
                          </pic:cNvPicPr>
                        </pic:nvPicPr>
                        <pic:blipFill>
                          <a:blip r:embed="rId58" cstate="print"/>
                          <a:stretch>
                            <a:fillRect/>
                          </a:stretch>
                        </pic:blipFill>
                        <pic:spPr>
                          <a:xfrm>
                            <a:off x="0" y="0"/>
                            <a:ext cx="2198592" cy="1901952"/>
                          </a:xfrm>
                          <a:prstGeom prst="rect">
                            <a:avLst/>
                          </a:prstGeom>
                        </pic:spPr>
                      </pic:pic>
                    </a:graphicData>
                  </a:graphic>
                </wp:inline>
              </w:drawing>
            </w:r>
            <w:r>
              <w:rPr>
                <w:color w:val="auto"/>
                <w:highlight w:val="none"/>
                <w:lang w:val="zh-CN" w:eastAsia="zh-CN"/>
              </w:rPr>
              <w:drawing>
                <wp:inline distT="0" distB="0" distL="0" distR="0">
                  <wp:extent cx="2188210" cy="1920240"/>
                  <wp:effectExtent l="0" t="0" r="2540" b="3810"/>
                  <wp:docPr id="103" name="image55.jpeg" descr="IMG_96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image55.jpeg" descr="IMG_9615.JPG"/>
                          <pic:cNvPicPr>
                            <a:picLocks noChangeAspect="1"/>
                          </pic:cNvPicPr>
                        </pic:nvPicPr>
                        <pic:blipFill>
                          <a:blip r:embed="rId59" cstate="print"/>
                          <a:stretch>
                            <a:fillRect/>
                          </a:stretch>
                        </pic:blipFill>
                        <pic:spPr>
                          <a:xfrm>
                            <a:off x="0" y="0"/>
                            <a:ext cx="2188581" cy="1920240"/>
                          </a:xfrm>
                          <a:prstGeom prst="rect">
                            <a:avLst/>
                          </a:prstGeom>
                        </pic:spPr>
                      </pic:pic>
                    </a:graphicData>
                  </a:graphic>
                </wp:inline>
              </w:drawing>
            </w:r>
          </w:p>
        </w:tc>
        <w:tc>
          <w:tcPr>
            <w:tcW w:w="884" w:type="dxa"/>
            <w:vMerge w:val="restart"/>
            <w:vAlign w:val="center"/>
          </w:tcPr>
          <w:p>
            <w:pPr>
              <w:pStyle w:val="12"/>
              <w:bidi w:val="0"/>
              <w:rPr>
                <w:color w:val="auto"/>
                <w:highlight w:val="none"/>
                <w:lang w:val="zh-CN" w:eastAsia="zh-CN"/>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522" w:hRule="atLeast"/>
          <w:jc w:val="center"/>
        </w:trPr>
        <w:tc>
          <w:tcPr>
            <w:tcW w:w="765" w:type="dxa"/>
            <w:vMerge w:val="continue"/>
            <w:vAlign w:val="center"/>
          </w:tcPr>
          <w:p>
            <w:pPr>
              <w:pStyle w:val="12"/>
              <w:bidi w:val="0"/>
              <w:rPr>
                <w:color w:val="auto"/>
                <w:highlight w:val="none"/>
                <w:lang w:val="zh-CN" w:eastAsia="zh-CN"/>
              </w:rPr>
            </w:pPr>
          </w:p>
        </w:tc>
        <w:tc>
          <w:tcPr>
            <w:tcW w:w="1080" w:type="dxa"/>
            <w:vMerge w:val="continue"/>
            <w:vAlign w:val="center"/>
          </w:tcPr>
          <w:p>
            <w:pPr>
              <w:pStyle w:val="12"/>
              <w:bidi w:val="0"/>
              <w:rPr>
                <w:color w:val="auto"/>
                <w:highlight w:val="none"/>
                <w:lang w:val="zh-CN" w:eastAsia="zh-CN"/>
              </w:rPr>
            </w:pPr>
          </w:p>
        </w:tc>
        <w:tc>
          <w:tcPr>
            <w:tcW w:w="812" w:type="dxa"/>
            <w:tcBorders>
              <w:right w:val="single" w:color="auto" w:sz="4" w:space="0"/>
            </w:tcBorders>
            <w:vAlign w:val="center"/>
          </w:tcPr>
          <w:p>
            <w:pPr>
              <w:pStyle w:val="12"/>
              <w:bidi w:val="0"/>
              <w:rPr>
                <w:color w:val="auto"/>
                <w:highlight w:val="none"/>
                <w:lang w:val="zh-CN" w:eastAsia="zh-CN"/>
              </w:rPr>
            </w:pPr>
            <w:r>
              <w:rPr>
                <w:color w:val="auto"/>
                <w:highlight w:val="none"/>
                <w:lang w:val="zh-CN" w:eastAsia="zh-CN"/>
              </w:rPr>
              <w:t>堆放</w:t>
            </w:r>
          </w:p>
        </w:tc>
        <w:tc>
          <w:tcPr>
            <w:tcW w:w="2072" w:type="dxa"/>
            <w:tcBorders>
              <w:top w:val="single" w:color="auto" w:sz="4" w:space="0"/>
              <w:left w:val="single" w:color="auto" w:sz="4" w:space="0"/>
              <w:bottom w:val="single" w:color="auto" w:sz="4" w:space="0"/>
              <w:right w:val="single" w:color="auto" w:sz="4" w:space="0"/>
            </w:tcBorders>
            <w:vAlign w:val="center"/>
          </w:tcPr>
          <w:p>
            <w:pPr>
              <w:pStyle w:val="12"/>
              <w:bidi w:val="0"/>
              <w:rPr>
                <w:color w:val="auto"/>
                <w:highlight w:val="none"/>
                <w:lang w:val="zh-CN" w:eastAsia="zh-CN"/>
              </w:rPr>
            </w:pPr>
          </w:p>
          <w:p>
            <w:pPr>
              <w:pStyle w:val="12"/>
              <w:bidi w:val="0"/>
              <w:rPr>
                <w:color w:val="auto"/>
                <w:highlight w:val="none"/>
                <w:lang w:val="zh-CN" w:eastAsia="zh-CN"/>
              </w:rPr>
            </w:pPr>
            <w:r>
              <w:rPr>
                <w:color w:val="auto"/>
                <w:highlight w:val="none"/>
                <w:lang w:val="zh-CN" w:eastAsia="zh-CN"/>
              </w:rPr>
              <w:t>应置于户内垫木</w:t>
            </w:r>
          </w:p>
          <w:p>
            <w:pPr>
              <w:pStyle w:val="12"/>
              <w:bidi w:val="0"/>
              <w:rPr>
                <w:color w:val="auto"/>
                <w:highlight w:val="none"/>
                <w:lang w:val="zh-CN" w:eastAsia="zh-CN"/>
              </w:rPr>
            </w:pPr>
            <w:r>
              <w:rPr>
                <w:color w:val="auto"/>
                <w:highlight w:val="none"/>
                <w:lang w:val="zh-CN" w:eastAsia="zh-CN"/>
              </w:rPr>
              <w:t>上，垫木高度不得</w:t>
            </w:r>
          </w:p>
          <w:p>
            <w:pPr>
              <w:pStyle w:val="12"/>
              <w:bidi w:val="0"/>
              <w:rPr>
                <w:color w:val="auto"/>
                <w:highlight w:val="none"/>
                <w:lang w:val="zh-CN" w:eastAsia="zh-CN"/>
              </w:rPr>
            </w:pPr>
            <w:r>
              <w:rPr>
                <w:color w:val="auto"/>
                <w:highlight w:val="none"/>
                <w:lang w:val="zh-CN" w:eastAsia="zh-CN"/>
              </w:rPr>
              <w:t>小于100mm, 门框</w:t>
            </w:r>
          </w:p>
          <w:p>
            <w:pPr>
              <w:pStyle w:val="12"/>
              <w:bidi w:val="0"/>
              <w:rPr>
                <w:color w:val="auto"/>
                <w:highlight w:val="none"/>
                <w:lang w:val="zh-CN" w:eastAsia="zh-CN"/>
              </w:rPr>
            </w:pPr>
            <w:r>
              <w:rPr>
                <w:color w:val="auto"/>
                <w:highlight w:val="none"/>
                <w:lang w:val="zh-CN" w:eastAsia="zh-CN"/>
              </w:rPr>
              <w:t>堆码高度不得超过</w:t>
            </w:r>
          </w:p>
          <w:p>
            <w:pPr>
              <w:pStyle w:val="12"/>
              <w:bidi w:val="0"/>
              <w:rPr>
                <w:color w:val="auto"/>
                <w:highlight w:val="none"/>
                <w:lang w:val="zh-CN" w:eastAsia="zh-CN"/>
              </w:rPr>
            </w:pPr>
            <w:r>
              <w:rPr>
                <w:color w:val="auto"/>
                <w:highlight w:val="none"/>
                <w:lang w:val="zh-CN" w:eastAsia="zh-CN"/>
              </w:rPr>
              <w:t>1.5m，门扇堆放</w:t>
            </w:r>
          </w:p>
          <w:p>
            <w:pPr>
              <w:pStyle w:val="12"/>
              <w:bidi w:val="0"/>
              <w:rPr>
                <w:color w:val="auto"/>
                <w:highlight w:val="none"/>
                <w:lang w:val="zh-CN" w:eastAsia="zh-CN"/>
              </w:rPr>
            </w:pPr>
            <w:r>
              <w:rPr>
                <w:color w:val="auto"/>
                <w:highlight w:val="none"/>
                <w:lang w:val="zh-CN" w:eastAsia="zh-CN"/>
              </w:rPr>
              <w:t>高度不超过1.2m，产品竖放时，其倾斜角度不得大于20°，长度不得大于5.0m</w:t>
            </w:r>
          </w:p>
        </w:tc>
        <w:tc>
          <w:tcPr>
            <w:tcW w:w="7186" w:type="dxa"/>
            <w:tcBorders>
              <w:left w:val="single" w:color="auto" w:sz="4" w:space="0"/>
            </w:tcBorders>
            <w:vAlign w:val="center"/>
          </w:tcPr>
          <w:p>
            <w:pPr>
              <w:pStyle w:val="12"/>
              <w:bidi w:val="0"/>
              <w:rPr>
                <w:color w:val="auto"/>
                <w:highlight w:val="none"/>
                <w:lang w:val="zh-CN" w:eastAsia="zh-CN"/>
              </w:rPr>
            </w:pPr>
          </w:p>
          <w:p>
            <w:pPr>
              <w:pStyle w:val="12"/>
              <w:bidi w:val="0"/>
              <w:rPr>
                <w:color w:val="auto"/>
                <w:highlight w:val="none"/>
                <w:lang w:val="zh-CN" w:eastAsia="zh-CN"/>
              </w:rPr>
            </w:pPr>
            <w:r>
              <w:rPr>
                <w:color w:val="auto"/>
                <w:highlight w:val="none"/>
                <w:lang w:val="zh-CN" w:eastAsia="zh-CN"/>
              </w:rPr>
              <w:drawing>
                <wp:inline distT="0" distB="0" distL="0" distR="0">
                  <wp:extent cx="2190750" cy="2687955"/>
                  <wp:effectExtent l="0" t="0" r="0" b="7620"/>
                  <wp:docPr id="105" name="image56.jpeg" descr="IMG_96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image56.jpeg" descr="IMG_9620.JPG"/>
                          <pic:cNvPicPr>
                            <a:picLocks noChangeAspect="1"/>
                          </pic:cNvPicPr>
                        </pic:nvPicPr>
                        <pic:blipFill>
                          <a:blip r:embed="rId60" cstate="print"/>
                          <a:stretch>
                            <a:fillRect/>
                          </a:stretch>
                        </pic:blipFill>
                        <pic:spPr>
                          <a:xfrm>
                            <a:off x="0" y="0"/>
                            <a:ext cx="2191144" cy="2688336"/>
                          </a:xfrm>
                          <a:prstGeom prst="rect">
                            <a:avLst/>
                          </a:prstGeom>
                        </pic:spPr>
                      </pic:pic>
                    </a:graphicData>
                  </a:graphic>
                </wp:inline>
              </w:drawing>
            </w:r>
            <w:r>
              <w:rPr>
                <w:color w:val="auto"/>
                <w:highlight w:val="none"/>
                <w:lang w:val="zh-CN" w:eastAsia="zh-CN"/>
              </w:rPr>
              <w:drawing>
                <wp:inline distT="0" distB="0" distL="0" distR="0">
                  <wp:extent cx="2207260" cy="2706370"/>
                  <wp:effectExtent l="0" t="0" r="2540" b="8255"/>
                  <wp:docPr id="107" name="image57.jpeg" descr="IMG_96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image57.jpeg" descr="IMG_9616.JPG"/>
                          <pic:cNvPicPr>
                            <a:picLocks noChangeAspect="1"/>
                          </pic:cNvPicPr>
                        </pic:nvPicPr>
                        <pic:blipFill>
                          <a:blip r:embed="rId61" cstate="print"/>
                          <a:stretch>
                            <a:fillRect/>
                          </a:stretch>
                        </pic:blipFill>
                        <pic:spPr>
                          <a:xfrm>
                            <a:off x="0" y="0"/>
                            <a:ext cx="2207728" cy="2706624"/>
                          </a:xfrm>
                          <a:prstGeom prst="rect">
                            <a:avLst/>
                          </a:prstGeom>
                        </pic:spPr>
                      </pic:pic>
                    </a:graphicData>
                  </a:graphic>
                </wp:inline>
              </w:drawing>
            </w:r>
          </w:p>
        </w:tc>
        <w:tc>
          <w:tcPr>
            <w:tcW w:w="884" w:type="dxa"/>
            <w:vAlign w:val="center"/>
          </w:tcPr>
          <w:p>
            <w:pPr>
              <w:pStyle w:val="12"/>
              <w:bidi w:val="0"/>
              <w:rPr>
                <w:color w:val="auto"/>
                <w:highlight w:val="none"/>
                <w:lang w:val="zh-CN" w:eastAsia="zh-CN"/>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861" w:hRule="atLeast"/>
          <w:jc w:val="center"/>
        </w:trPr>
        <w:tc>
          <w:tcPr>
            <w:tcW w:w="765" w:type="dxa"/>
            <w:vMerge w:val="continue"/>
            <w:tcBorders>
              <w:bottom w:val="nil"/>
            </w:tcBorders>
            <w:vAlign w:val="center"/>
          </w:tcPr>
          <w:p>
            <w:pPr>
              <w:pStyle w:val="12"/>
              <w:bidi w:val="0"/>
              <w:rPr>
                <w:color w:val="auto"/>
                <w:highlight w:val="none"/>
                <w:lang w:val="zh-CN" w:eastAsia="zh-CN"/>
              </w:rPr>
            </w:pPr>
          </w:p>
        </w:tc>
        <w:tc>
          <w:tcPr>
            <w:tcW w:w="1080" w:type="dxa"/>
            <w:vMerge w:val="continue"/>
            <w:tcBorders>
              <w:bottom w:val="nil"/>
            </w:tcBorders>
            <w:vAlign w:val="center"/>
          </w:tcPr>
          <w:p>
            <w:pPr>
              <w:pStyle w:val="12"/>
              <w:bidi w:val="0"/>
              <w:rPr>
                <w:color w:val="auto"/>
                <w:highlight w:val="none"/>
                <w:lang w:val="zh-CN" w:eastAsia="zh-CN"/>
              </w:rPr>
            </w:pPr>
          </w:p>
        </w:tc>
        <w:tc>
          <w:tcPr>
            <w:tcW w:w="812" w:type="dxa"/>
            <w:tcBorders>
              <w:right w:val="single" w:color="auto" w:sz="4" w:space="0"/>
            </w:tcBorders>
            <w:vAlign w:val="center"/>
          </w:tcPr>
          <w:p>
            <w:pPr>
              <w:pStyle w:val="12"/>
              <w:bidi w:val="0"/>
              <w:rPr>
                <w:color w:val="auto"/>
                <w:highlight w:val="none"/>
                <w:lang w:val="zh-CN" w:eastAsia="zh-CN"/>
              </w:rPr>
            </w:pPr>
            <w:r>
              <w:rPr>
                <w:color w:val="auto"/>
                <w:highlight w:val="none"/>
                <w:lang w:val="zh-CN" w:eastAsia="zh-CN"/>
              </w:rPr>
              <w:t>成品保护</w:t>
            </w:r>
          </w:p>
        </w:tc>
        <w:tc>
          <w:tcPr>
            <w:tcW w:w="2072" w:type="dxa"/>
            <w:tcBorders>
              <w:top w:val="single" w:color="auto" w:sz="4" w:space="0"/>
              <w:left w:val="single" w:color="auto" w:sz="4" w:space="0"/>
              <w:bottom w:val="single" w:color="auto" w:sz="4" w:space="0"/>
              <w:right w:val="single" w:color="auto" w:sz="4" w:space="0"/>
            </w:tcBorders>
            <w:vAlign w:val="center"/>
          </w:tcPr>
          <w:p>
            <w:pPr>
              <w:pStyle w:val="12"/>
              <w:bidi w:val="0"/>
              <w:rPr>
                <w:color w:val="auto"/>
                <w:highlight w:val="none"/>
                <w:lang w:val="zh-CN" w:eastAsia="zh-CN"/>
              </w:rPr>
            </w:pPr>
            <w:r>
              <w:rPr>
                <w:color w:val="auto"/>
                <w:highlight w:val="none"/>
                <w:lang w:val="zh-CN" w:eastAsia="zh-CN"/>
              </w:rPr>
              <w:t>1、门框安装完成后，精装单位需对所有门框采取U型12mm夹板进行固定保护，防止碰伤划伤；      2、门扇安装完成后采用无纺布全面覆盖保护，门锁应采用珍珠棉进行包裹保护。</w:t>
            </w:r>
          </w:p>
        </w:tc>
        <w:tc>
          <w:tcPr>
            <w:tcW w:w="7186" w:type="dxa"/>
            <w:tcBorders>
              <w:top w:val="nil"/>
              <w:left w:val="single" w:color="auto" w:sz="4" w:space="0"/>
            </w:tcBorders>
            <w:vAlign w:val="center"/>
          </w:tcPr>
          <w:p>
            <w:pPr>
              <w:pStyle w:val="12"/>
              <w:bidi w:val="0"/>
              <w:rPr>
                <w:color w:val="auto"/>
                <w:highlight w:val="none"/>
                <w:lang w:val="zh-CN" w:eastAsia="zh-CN"/>
              </w:rPr>
            </w:pPr>
          </w:p>
          <w:p>
            <w:pPr>
              <w:pStyle w:val="12"/>
              <w:bidi w:val="0"/>
              <w:rPr>
                <w:color w:val="auto"/>
                <w:highlight w:val="none"/>
                <w:lang w:val="zh-CN" w:eastAsia="zh-CN"/>
              </w:rPr>
            </w:pPr>
            <w:r>
              <w:rPr>
                <w:color w:val="auto"/>
                <w:highlight w:val="none"/>
                <w:lang w:val="zh-CN" w:eastAsia="zh-CN"/>
              </w:rPr>
              <w:drawing>
                <wp:inline distT="0" distB="0" distL="0" distR="0">
                  <wp:extent cx="2172970" cy="2967990"/>
                  <wp:effectExtent l="0" t="0" r="8255" b="3810"/>
                  <wp:docPr id="48" name="image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58.jpeg"/>
                          <pic:cNvPicPr>
                            <a:picLocks noChangeAspect="1"/>
                          </pic:cNvPicPr>
                        </pic:nvPicPr>
                        <pic:blipFill>
                          <a:blip r:embed="rId62" cstate="print"/>
                          <a:stretch>
                            <a:fillRect/>
                          </a:stretch>
                        </pic:blipFill>
                        <pic:spPr>
                          <a:xfrm>
                            <a:off x="0" y="0"/>
                            <a:ext cx="2173559" cy="2968371"/>
                          </a:xfrm>
                          <a:prstGeom prst="rect">
                            <a:avLst/>
                          </a:prstGeom>
                        </pic:spPr>
                      </pic:pic>
                    </a:graphicData>
                  </a:graphic>
                </wp:inline>
              </w:drawing>
            </w:r>
            <w:r>
              <w:rPr>
                <w:color w:val="auto"/>
                <w:highlight w:val="none"/>
                <w:lang w:val="zh-CN" w:eastAsia="zh-CN"/>
              </w:rPr>
              <w:drawing>
                <wp:inline distT="0" distB="0" distL="0" distR="0">
                  <wp:extent cx="2217420" cy="2976245"/>
                  <wp:effectExtent l="0" t="0" r="1905" b="5080"/>
                  <wp:docPr id="50" name="image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59.jpeg"/>
                          <pic:cNvPicPr>
                            <a:picLocks noChangeAspect="1"/>
                          </pic:cNvPicPr>
                        </pic:nvPicPr>
                        <pic:blipFill>
                          <a:blip r:embed="rId63" cstate="print"/>
                          <a:stretch>
                            <a:fillRect/>
                          </a:stretch>
                        </pic:blipFill>
                        <pic:spPr>
                          <a:xfrm>
                            <a:off x="0" y="0"/>
                            <a:ext cx="2217653" cy="2976372"/>
                          </a:xfrm>
                          <a:prstGeom prst="rect">
                            <a:avLst/>
                          </a:prstGeom>
                        </pic:spPr>
                      </pic:pic>
                    </a:graphicData>
                  </a:graphic>
                </wp:inline>
              </w:drawing>
            </w:r>
          </w:p>
        </w:tc>
        <w:tc>
          <w:tcPr>
            <w:tcW w:w="884" w:type="dxa"/>
            <w:tcBorders>
              <w:top w:val="nil"/>
            </w:tcBorders>
            <w:vAlign w:val="center"/>
          </w:tcPr>
          <w:p>
            <w:pPr>
              <w:pStyle w:val="12"/>
              <w:bidi w:val="0"/>
              <w:rPr>
                <w:color w:val="auto"/>
                <w:highlight w:val="none"/>
                <w:lang w:val="zh-CN" w:eastAsia="zh-CN"/>
              </w:rPr>
            </w:pPr>
            <w:r>
              <w:rPr>
                <w:color w:val="auto"/>
                <w:highlight w:val="none"/>
                <w:lang w:val="zh-CN" w:eastAsia="zh-CN"/>
              </w:rPr>
              <w:t>猫眼及防盗链在业主入住前安装</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861" w:hRule="atLeast"/>
          <w:jc w:val="center"/>
        </w:trPr>
        <w:tc>
          <w:tcPr>
            <w:tcW w:w="765" w:type="dxa"/>
            <w:vMerge w:val="continue"/>
            <w:tcBorders>
              <w:bottom w:val="nil"/>
            </w:tcBorders>
            <w:vAlign w:val="center"/>
          </w:tcPr>
          <w:p>
            <w:pPr>
              <w:pStyle w:val="12"/>
              <w:bidi w:val="0"/>
              <w:rPr>
                <w:color w:val="auto"/>
                <w:highlight w:val="none"/>
                <w:lang w:val="zh-CN" w:eastAsia="zh-CN"/>
              </w:rPr>
            </w:pPr>
            <w:r>
              <w:rPr>
                <w:color w:val="auto"/>
                <w:highlight w:val="none"/>
                <w:lang w:val="zh-CN" w:eastAsia="zh-CN"/>
              </w:rPr>
              <w:t>6</w:t>
            </w:r>
          </w:p>
        </w:tc>
        <w:tc>
          <w:tcPr>
            <w:tcW w:w="1080" w:type="dxa"/>
            <w:vMerge w:val="continue"/>
            <w:tcBorders>
              <w:bottom w:val="nil"/>
            </w:tcBorders>
            <w:vAlign w:val="center"/>
          </w:tcPr>
          <w:p>
            <w:pPr>
              <w:pStyle w:val="12"/>
              <w:bidi w:val="0"/>
              <w:rPr>
                <w:color w:val="auto"/>
                <w:highlight w:val="none"/>
                <w:lang w:val="zh-CN" w:eastAsia="zh-CN"/>
              </w:rPr>
            </w:pPr>
            <w:r>
              <w:rPr>
                <w:rFonts w:hint="eastAsia"/>
                <w:color w:val="auto"/>
                <w:highlight w:val="none"/>
                <w:lang w:val="zh-CN" w:eastAsia="zh-CN"/>
              </w:rPr>
              <w:t>木饰面</w:t>
            </w:r>
          </w:p>
          <w:p>
            <w:pPr>
              <w:pStyle w:val="12"/>
              <w:bidi w:val="0"/>
              <w:rPr>
                <w:color w:val="auto"/>
                <w:highlight w:val="none"/>
                <w:lang w:val="zh-CN" w:eastAsia="zh-CN"/>
              </w:rPr>
            </w:pPr>
            <w:r>
              <w:rPr>
                <w:rFonts w:hint="eastAsia"/>
                <w:color w:val="auto"/>
                <w:highlight w:val="none"/>
                <w:lang w:val="zh-CN" w:eastAsia="zh-CN"/>
              </w:rPr>
              <w:t>（含固定家私）</w:t>
            </w:r>
          </w:p>
        </w:tc>
        <w:tc>
          <w:tcPr>
            <w:tcW w:w="812" w:type="dxa"/>
            <w:tcBorders>
              <w:top w:val="single" w:color="000000" w:sz="8" w:space="0"/>
              <w:left w:val="single" w:color="000000" w:sz="8" w:space="0"/>
              <w:bottom w:val="single" w:color="000000" w:sz="8" w:space="0"/>
              <w:right w:val="single" w:color="auto" w:sz="4" w:space="0"/>
            </w:tcBorders>
            <w:vAlign w:val="center"/>
          </w:tcPr>
          <w:p>
            <w:pPr>
              <w:pStyle w:val="12"/>
              <w:bidi w:val="0"/>
              <w:rPr>
                <w:color w:val="auto"/>
                <w:highlight w:val="none"/>
                <w:lang w:val="zh-CN" w:eastAsia="zh-CN"/>
              </w:rPr>
            </w:pPr>
            <w:r>
              <w:rPr>
                <w:color w:val="auto"/>
                <w:highlight w:val="none"/>
                <w:lang w:val="zh-CN" w:eastAsia="zh-CN"/>
              </w:rPr>
              <w:t>安装成品</w:t>
            </w:r>
          </w:p>
        </w:tc>
        <w:tc>
          <w:tcPr>
            <w:tcW w:w="2072" w:type="dxa"/>
            <w:tcBorders>
              <w:top w:val="single" w:color="auto" w:sz="4" w:space="0"/>
              <w:left w:val="single" w:color="auto" w:sz="4" w:space="0"/>
              <w:bottom w:val="single" w:color="auto" w:sz="4" w:space="0"/>
              <w:right w:val="single" w:color="auto" w:sz="4" w:space="0"/>
            </w:tcBorders>
            <w:vAlign w:val="center"/>
          </w:tcPr>
          <w:p>
            <w:pPr>
              <w:pStyle w:val="12"/>
              <w:bidi w:val="0"/>
              <w:rPr>
                <w:color w:val="auto"/>
                <w:highlight w:val="none"/>
                <w:lang w:val="zh-CN" w:eastAsia="zh-CN"/>
              </w:rPr>
            </w:pPr>
            <w:r>
              <w:rPr>
                <w:color w:val="auto"/>
                <w:highlight w:val="none"/>
                <w:lang w:val="zh-CN" w:eastAsia="zh-CN"/>
              </w:rPr>
              <w:t>所有外露木饰面及家私均采用塑料薄膜进行保护</w:t>
            </w:r>
          </w:p>
        </w:tc>
        <w:tc>
          <w:tcPr>
            <w:tcW w:w="7186" w:type="dxa"/>
            <w:tcBorders>
              <w:top w:val="nil"/>
              <w:left w:val="single" w:color="auto" w:sz="4" w:space="0"/>
              <w:bottom w:val="single" w:color="000000" w:sz="8" w:space="0"/>
              <w:right w:val="single" w:color="000000" w:sz="8" w:space="0"/>
            </w:tcBorders>
            <w:vAlign w:val="center"/>
          </w:tcPr>
          <w:p>
            <w:pPr>
              <w:pStyle w:val="12"/>
              <w:bidi w:val="0"/>
              <w:rPr>
                <w:color w:val="auto"/>
                <w:highlight w:val="none"/>
                <w:lang w:val="zh-CN" w:eastAsia="zh-CN"/>
              </w:rPr>
            </w:pPr>
            <w:r>
              <w:rPr>
                <w:color w:val="auto"/>
                <w:highlight w:val="none"/>
                <w:lang w:val="zh-CN" w:eastAsia="zh-CN"/>
              </w:rPr>
              <w:drawing>
                <wp:inline distT="0" distB="0" distL="0" distR="0">
                  <wp:extent cx="2171065" cy="1872615"/>
                  <wp:effectExtent l="0" t="0" r="635" b="3810"/>
                  <wp:docPr id="113" name="image60.jpeg" descr="C:\Users\lenovo\AppData\Local\Temp\ksohtml\wpsD8D.t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image60.jpeg" descr="C:\Users\lenovo\AppData\Local\Temp\ksohtml\wpsD8D.tmp.png"/>
                          <pic:cNvPicPr>
                            <a:picLocks noChangeAspect="1"/>
                          </pic:cNvPicPr>
                        </pic:nvPicPr>
                        <pic:blipFill>
                          <a:blip r:embed="rId64" cstate="print"/>
                          <a:stretch>
                            <a:fillRect/>
                          </a:stretch>
                        </pic:blipFill>
                        <pic:spPr>
                          <a:xfrm>
                            <a:off x="0" y="0"/>
                            <a:ext cx="2171199" cy="1873091"/>
                          </a:xfrm>
                          <a:prstGeom prst="rect">
                            <a:avLst/>
                          </a:prstGeom>
                        </pic:spPr>
                      </pic:pic>
                    </a:graphicData>
                  </a:graphic>
                </wp:inline>
              </w:drawing>
            </w:r>
            <w:r>
              <w:rPr>
                <w:color w:val="auto"/>
                <w:highlight w:val="none"/>
                <w:lang w:val="zh-CN" w:eastAsia="zh-CN"/>
              </w:rPr>
              <w:t xml:space="preserve"> </w:t>
            </w:r>
            <w:r>
              <w:rPr>
                <w:color w:val="auto"/>
                <w:highlight w:val="none"/>
                <w:lang w:val="zh-CN" w:eastAsia="zh-CN"/>
              </w:rPr>
              <w:drawing>
                <wp:inline distT="0" distB="0" distL="0" distR="0">
                  <wp:extent cx="2216785" cy="1847850"/>
                  <wp:effectExtent l="0" t="0" r="2540" b="0"/>
                  <wp:docPr id="115" name="image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image61.jpeg"/>
                          <pic:cNvPicPr>
                            <a:picLocks noChangeAspect="1"/>
                          </pic:cNvPicPr>
                        </pic:nvPicPr>
                        <pic:blipFill>
                          <a:blip r:embed="rId65" cstate="print"/>
                          <a:stretch>
                            <a:fillRect/>
                          </a:stretch>
                        </pic:blipFill>
                        <pic:spPr>
                          <a:xfrm>
                            <a:off x="0" y="0"/>
                            <a:ext cx="2217015" cy="1847850"/>
                          </a:xfrm>
                          <a:prstGeom prst="rect">
                            <a:avLst/>
                          </a:prstGeom>
                        </pic:spPr>
                      </pic:pic>
                    </a:graphicData>
                  </a:graphic>
                </wp:inline>
              </w:drawing>
            </w:r>
          </w:p>
        </w:tc>
        <w:tc>
          <w:tcPr>
            <w:tcW w:w="884" w:type="dxa"/>
            <w:tcBorders>
              <w:top w:val="nil"/>
              <w:left w:val="single" w:color="000000" w:sz="8" w:space="0"/>
              <w:bottom w:val="single" w:color="000000" w:sz="8" w:space="0"/>
              <w:right w:val="single" w:color="000000" w:sz="8" w:space="0"/>
            </w:tcBorders>
            <w:vAlign w:val="center"/>
          </w:tcPr>
          <w:p>
            <w:pPr>
              <w:pStyle w:val="12"/>
              <w:bidi w:val="0"/>
              <w:rPr>
                <w:color w:val="auto"/>
                <w:highlight w:val="none"/>
                <w:lang w:val="zh-CN" w:eastAsia="zh-CN"/>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861" w:hRule="atLeast"/>
          <w:jc w:val="center"/>
        </w:trPr>
        <w:tc>
          <w:tcPr>
            <w:tcW w:w="765" w:type="dxa"/>
            <w:vMerge w:val="continue"/>
            <w:tcBorders>
              <w:bottom w:val="nil"/>
            </w:tcBorders>
            <w:vAlign w:val="center"/>
          </w:tcPr>
          <w:p>
            <w:pPr>
              <w:pStyle w:val="12"/>
              <w:bidi w:val="0"/>
              <w:rPr>
                <w:color w:val="auto"/>
                <w:highlight w:val="none"/>
                <w:lang w:val="zh-CN" w:eastAsia="zh-CN"/>
              </w:rPr>
            </w:pPr>
            <w:r>
              <w:rPr>
                <w:color w:val="auto"/>
                <w:highlight w:val="none"/>
                <w:lang w:val="zh-CN" w:eastAsia="zh-CN"/>
              </w:rPr>
              <w:t>7</w:t>
            </w:r>
          </w:p>
        </w:tc>
        <w:tc>
          <w:tcPr>
            <w:tcW w:w="1080" w:type="dxa"/>
            <w:vMerge w:val="continue"/>
            <w:tcBorders>
              <w:bottom w:val="nil"/>
            </w:tcBorders>
            <w:vAlign w:val="center"/>
          </w:tcPr>
          <w:p>
            <w:pPr>
              <w:pStyle w:val="12"/>
              <w:bidi w:val="0"/>
              <w:rPr>
                <w:color w:val="auto"/>
                <w:highlight w:val="none"/>
                <w:lang w:val="zh-CN" w:eastAsia="zh-CN"/>
              </w:rPr>
            </w:pPr>
            <w:r>
              <w:rPr>
                <w:rFonts w:hint="eastAsia"/>
                <w:color w:val="auto"/>
                <w:highlight w:val="none"/>
                <w:lang w:val="zh-CN" w:eastAsia="zh-CN"/>
              </w:rPr>
              <w:t>裱糊、软包</w:t>
            </w:r>
          </w:p>
        </w:tc>
        <w:tc>
          <w:tcPr>
            <w:tcW w:w="812" w:type="dxa"/>
            <w:tcBorders>
              <w:top w:val="single" w:color="000000" w:sz="8" w:space="0"/>
              <w:left w:val="single" w:color="000000" w:sz="8" w:space="0"/>
              <w:bottom w:val="single" w:color="000000" w:sz="8" w:space="0"/>
              <w:right w:val="single" w:color="auto" w:sz="4" w:space="0"/>
            </w:tcBorders>
            <w:vAlign w:val="center"/>
          </w:tcPr>
          <w:p>
            <w:pPr>
              <w:pStyle w:val="12"/>
              <w:bidi w:val="0"/>
              <w:rPr>
                <w:color w:val="auto"/>
                <w:highlight w:val="none"/>
                <w:lang w:val="zh-CN" w:eastAsia="zh-CN"/>
              </w:rPr>
            </w:pPr>
            <w:r>
              <w:rPr>
                <w:color w:val="auto"/>
                <w:highlight w:val="none"/>
                <w:lang w:val="zh-CN" w:eastAsia="zh-CN"/>
              </w:rPr>
              <w:t>安装成品</w:t>
            </w:r>
          </w:p>
        </w:tc>
        <w:tc>
          <w:tcPr>
            <w:tcW w:w="2072" w:type="dxa"/>
            <w:tcBorders>
              <w:top w:val="single" w:color="auto" w:sz="4" w:space="0"/>
              <w:left w:val="single" w:color="auto" w:sz="4" w:space="0"/>
              <w:bottom w:val="single" w:color="auto" w:sz="4" w:space="0"/>
              <w:right w:val="single" w:color="auto" w:sz="4" w:space="0"/>
            </w:tcBorders>
            <w:vAlign w:val="center"/>
          </w:tcPr>
          <w:p>
            <w:pPr>
              <w:pStyle w:val="12"/>
              <w:bidi w:val="0"/>
              <w:rPr>
                <w:color w:val="auto"/>
                <w:highlight w:val="none"/>
                <w:lang w:val="zh-CN" w:eastAsia="zh-CN"/>
              </w:rPr>
            </w:pPr>
            <w:r>
              <w:rPr>
                <w:color w:val="auto"/>
                <w:highlight w:val="none"/>
                <w:lang w:val="zh-CN" w:eastAsia="zh-CN"/>
              </w:rPr>
              <w:t>所有外露裱糊、软包饰面均采用塑料薄膜进行保护</w:t>
            </w:r>
          </w:p>
        </w:tc>
        <w:tc>
          <w:tcPr>
            <w:tcW w:w="7186" w:type="dxa"/>
            <w:tcBorders>
              <w:top w:val="nil"/>
              <w:left w:val="single" w:color="auto" w:sz="4" w:space="0"/>
              <w:bottom w:val="single" w:color="000000" w:sz="8" w:space="0"/>
              <w:right w:val="single" w:color="000000" w:sz="8" w:space="0"/>
            </w:tcBorders>
            <w:vAlign w:val="center"/>
          </w:tcPr>
          <w:p>
            <w:pPr>
              <w:pStyle w:val="12"/>
              <w:bidi w:val="0"/>
              <w:rPr>
                <w:color w:val="auto"/>
                <w:highlight w:val="none"/>
                <w:lang w:val="zh-CN" w:eastAsia="zh-CN"/>
              </w:rPr>
            </w:pPr>
            <w:r>
              <w:rPr>
                <w:color w:val="auto"/>
                <w:highlight w:val="none"/>
                <w:lang w:val="zh-CN" w:eastAsia="zh-CN"/>
              </w:rPr>
              <w:drawing>
                <wp:inline distT="0" distB="0" distL="114300" distR="114300">
                  <wp:extent cx="2122805" cy="1920875"/>
                  <wp:effectExtent l="0" t="0" r="1270" b="3175"/>
                  <wp:docPr id="1286026480" name="图片 1286026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026480" name="图片 1286026480"/>
                          <pic:cNvPicPr>
                            <a:picLocks noChangeAspect="1"/>
                          </pic:cNvPicPr>
                        </pic:nvPicPr>
                        <pic:blipFill>
                          <a:blip r:embed="rId66"/>
                          <a:stretch>
                            <a:fillRect/>
                          </a:stretch>
                        </pic:blipFill>
                        <pic:spPr>
                          <a:xfrm>
                            <a:off x="0" y="0"/>
                            <a:ext cx="2122805" cy="1920875"/>
                          </a:xfrm>
                          <a:prstGeom prst="rect">
                            <a:avLst/>
                          </a:prstGeom>
                          <a:noFill/>
                          <a:ln>
                            <a:noFill/>
                          </a:ln>
                        </pic:spPr>
                      </pic:pic>
                    </a:graphicData>
                  </a:graphic>
                </wp:inline>
              </w:drawing>
            </w:r>
            <w:r>
              <w:rPr>
                <w:color w:val="auto"/>
                <w:highlight w:val="none"/>
                <w:lang w:val="zh-CN" w:eastAsia="zh-CN"/>
              </w:rPr>
              <w:drawing>
                <wp:inline distT="0" distB="0" distL="114300" distR="114300">
                  <wp:extent cx="2350135" cy="1320165"/>
                  <wp:effectExtent l="0" t="0" r="2540" b="3810"/>
                  <wp:docPr id="390485568" name="图片 390485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485568" name="图片 390485568"/>
                          <pic:cNvPicPr>
                            <a:picLocks noChangeAspect="1"/>
                          </pic:cNvPicPr>
                        </pic:nvPicPr>
                        <pic:blipFill>
                          <a:blip r:embed="rId67"/>
                          <a:stretch>
                            <a:fillRect/>
                          </a:stretch>
                        </pic:blipFill>
                        <pic:spPr>
                          <a:xfrm>
                            <a:off x="0" y="0"/>
                            <a:ext cx="2350135" cy="1320165"/>
                          </a:xfrm>
                          <a:prstGeom prst="rect">
                            <a:avLst/>
                          </a:prstGeom>
                          <a:noFill/>
                          <a:ln>
                            <a:noFill/>
                          </a:ln>
                        </pic:spPr>
                      </pic:pic>
                    </a:graphicData>
                  </a:graphic>
                </wp:inline>
              </w:drawing>
            </w:r>
          </w:p>
        </w:tc>
        <w:tc>
          <w:tcPr>
            <w:tcW w:w="884" w:type="dxa"/>
            <w:tcBorders>
              <w:top w:val="nil"/>
              <w:left w:val="single" w:color="000000" w:sz="8" w:space="0"/>
              <w:bottom w:val="single" w:color="000000" w:sz="8" w:space="0"/>
              <w:right w:val="single" w:color="000000" w:sz="8" w:space="0"/>
            </w:tcBorders>
            <w:vAlign w:val="center"/>
          </w:tcPr>
          <w:p>
            <w:pPr>
              <w:pStyle w:val="12"/>
              <w:bidi w:val="0"/>
              <w:rPr>
                <w:color w:val="auto"/>
                <w:highlight w:val="none"/>
                <w:lang w:val="zh-CN" w:eastAsia="zh-CN"/>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861" w:hRule="atLeast"/>
          <w:jc w:val="center"/>
        </w:trPr>
        <w:tc>
          <w:tcPr>
            <w:tcW w:w="765" w:type="dxa"/>
            <w:vMerge w:val="continue"/>
            <w:tcBorders>
              <w:bottom w:val="nil"/>
            </w:tcBorders>
            <w:vAlign w:val="center"/>
          </w:tcPr>
          <w:p>
            <w:pPr>
              <w:pStyle w:val="12"/>
              <w:bidi w:val="0"/>
              <w:rPr>
                <w:color w:val="auto"/>
                <w:highlight w:val="none"/>
                <w:lang w:val="zh-CN" w:eastAsia="zh-CN"/>
              </w:rPr>
            </w:pPr>
            <w:r>
              <w:rPr>
                <w:color w:val="auto"/>
                <w:highlight w:val="none"/>
                <w:lang w:val="zh-CN" w:eastAsia="zh-CN"/>
              </w:rPr>
              <w:t>8</w:t>
            </w:r>
          </w:p>
        </w:tc>
        <w:tc>
          <w:tcPr>
            <w:tcW w:w="1080" w:type="dxa"/>
            <w:vMerge w:val="continue"/>
            <w:tcBorders>
              <w:bottom w:val="nil"/>
            </w:tcBorders>
            <w:vAlign w:val="center"/>
          </w:tcPr>
          <w:p>
            <w:pPr>
              <w:pStyle w:val="12"/>
              <w:bidi w:val="0"/>
              <w:rPr>
                <w:color w:val="auto"/>
                <w:highlight w:val="none"/>
                <w:lang w:val="zh-CN" w:eastAsia="zh-CN"/>
              </w:rPr>
            </w:pPr>
            <w:r>
              <w:rPr>
                <w:rFonts w:hint="eastAsia"/>
                <w:color w:val="auto"/>
                <w:highlight w:val="none"/>
                <w:lang w:val="zh-CN" w:eastAsia="zh-CN"/>
              </w:rPr>
              <w:t>室内栏杆</w:t>
            </w:r>
          </w:p>
          <w:p>
            <w:pPr>
              <w:pStyle w:val="12"/>
              <w:bidi w:val="0"/>
              <w:rPr>
                <w:color w:val="auto"/>
                <w:highlight w:val="none"/>
                <w:lang w:val="zh-CN" w:eastAsia="zh-CN"/>
              </w:rPr>
            </w:pPr>
            <w:r>
              <w:rPr>
                <w:rFonts w:hint="eastAsia"/>
                <w:color w:val="auto"/>
                <w:highlight w:val="none"/>
                <w:lang w:val="zh-CN" w:eastAsia="zh-CN"/>
              </w:rPr>
              <w:t>、 扶手</w:t>
            </w:r>
          </w:p>
        </w:tc>
        <w:tc>
          <w:tcPr>
            <w:tcW w:w="812" w:type="dxa"/>
            <w:tcBorders>
              <w:top w:val="single" w:color="000000" w:sz="8" w:space="0"/>
              <w:left w:val="single" w:color="000000" w:sz="8" w:space="0"/>
              <w:bottom w:val="single" w:color="000000" w:sz="8" w:space="0"/>
              <w:right w:val="single" w:color="auto" w:sz="4" w:space="0"/>
            </w:tcBorders>
            <w:vAlign w:val="center"/>
          </w:tcPr>
          <w:p>
            <w:pPr>
              <w:pStyle w:val="12"/>
              <w:bidi w:val="0"/>
              <w:rPr>
                <w:color w:val="auto"/>
                <w:highlight w:val="none"/>
                <w:lang w:val="zh-CN" w:eastAsia="zh-CN"/>
              </w:rPr>
            </w:pPr>
            <w:r>
              <w:rPr>
                <w:color w:val="auto"/>
                <w:highlight w:val="none"/>
                <w:lang w:val="zh-CN" w:eastAsia="zh-CN"/>
              </w:rPr>
              <w:t>安装成品</w:t>
            </w:r>
          </w:p>
        </w:tc>
        <w:tc>
          <w:tcPr>
            <w:tcW w:w="2072" w:type="dxa"/>
            <w:tcBorders>
              <w:top w:val="single" w:color="auto" w:sz="4" w:space="0"/>
              <w:left w:val="single" w:color="auto" w:sz="4" w:space="0"/>
              <w:bottom w:val="single" w:color="auto" w:sz="4" w:space="0"/>
              <w:right w:val="single" w:color="auto" w:sz="4" w:space="0"/>
            </w:tcBorders>
            <w:vAlign w:val="center"/>
          </w:tcPr>
          <w:p>
            <w:pPr>
              <w:pStyle w:val="12"/>
              <w:bidi w:val="0"/>
              <w:rPr>
                <w:color w:val="auto"/>
                <w:highlight w:val="none"/>
                <w:lang w:val="zh-CN" w:eastAsia="zh-CN"/>
              </w:rPr>
            </w:pPr>
            <w:r>
              <w:rPr>
                <w:color w:val="auto"/>
                <w:highlight w:val="none"/>
                <w:lang w:val="zh-CN" w:eastAsia="zh-CN"/>
              </w:rPr>
              <w:t>转角部位用3㎜厚珍珠棉包裹3 层进行保护</w:t>
            </w:r>
          </w:p>
        </w:tc>
        <w:tc>
          <w:tcPr>
            <w:tcW w:w="7186" w:type="dxa"/>
            <w:tcBorders>
              <w:top w:val="nil"/>
              <w:left w:val="single" w:color="auto" w:sz="4" w:space="0"/>
              <w:bottom w:val="single" w:color="000000" w:sz="8" w:space="0"/>
              <w:right w:val="single" w:color="000000" w:sz="8" w:space="0"/>
            </w:tcBorders>
            <w:vAlign w:val="center"/>
          </w:tcPr>
          <w:p>
            <w:pPr>
              <w:pStyle w:val="12"/>
              <w:bidi w:val="0"/>
              <w:rPr>
                <w:rFonts w:hint="eastAsia"/>
                <w:color w:val="auto"/>
                <w:highlight w:val="none"/>
                <w:lang w:val="zh-CN" w:eastAsia="zh"/>
              </w:rPr>
            </w:pPr>
            <w:r>
              <w:rPr>
                <w:color w:val="auto"/>
                <w:highlight w:val="none"/>
                <w:lang w:val="zh-CN" w:eastAsia="zh-CN"/>
              </w:rPr>
              <w:drawing>
                <wp:inline distT="0" distB="0" distL="0" distR="0">
                  <wp:extent cx="1695450" cy="1535430"/>
                  <wp:effectExtent l="0" t="0" r="0" b="7620"/>
                  <wp:docPr id="117" name="image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image62.jpeg"/>
                          <pic:cNvPicPr>
                            <a:picLocks noChangeAspect="1"/>
                          </pic:cNvPicPr>
                        </pic:nvPicPr>
                        <pic:blipFill>
                          <a:blip r:embed="rId68" cstate="print"/>
                          <a:stretch>
                            <a:fillRect/>
                          </a:stretch>
                        </pic:blipFill>
                        <pic:spPr>
                          <a:xfrm>
                            <a:off x="0" y="0"/>
                            <a:ext cx="1695450" cy="1535430"/>
                          </a:xfrm>
                          <a:prstGeom prst="rect">
                            <a:avLst/>
                          </a:prstGeom>
                        </pic:spPr>
                      </pic:pic>
                    </a:graphicData>
                  </a:graphic>
                </wp:inline>
              </w:drawing>
            </w:r>
            <w:r>
              <w:rPr>
                <w:rFonts w:hint="eastAsia"/>
                <w:color w:val="auto"/>
                <w:highlight w:val="none"/>
                <w:lang w:val="zh-CN" w:eastAsia="zh"/>
              </w:rPr>
              <w:t xml:space="preserve">  </w:t>
            </w:r>
            <w:r>
              <w:rPr>
                <w:rFonts w:hint="eastAsia"/>
                <w:color w:val="auto"/>
                <w:highlight w:val="none"/>
                <w:lang w:val="zh-CN" w:eastAsia="zh"/>
              </w:rPr>
              <w:drawing>
                <wp:inline distT="0" distB="0" distL="114300" distR="114300">
                  <wp:extent cx="1925320" cy="1539240"/>
                  <wp:effectExtent l="0" t="0" r="8255" b="3810"/>
                  <wp:docPr id="250" name="图片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图片 250"/>
                          <pic:cNvPicPr>
                            <a:picLocks noChangeAspect="1"/>
                          </pic:cNvPicPr>
                        </pic:nvPicPr>
                        <pic:blipFill>
                          <a:blip r:embed="rId69"/>
                          <a:stretch>
                            <a:fillRect/>
                          </a:stretch>
                        </pic:blipFill>
                        <pic:spPr>
                          <a:xfrm>
                            <a:off x="0" y="0"/>
                            <a:ext cx="1925320" cy="1539240"/>
                          </a:xfrm>
                          <a:prstGeom prst="rect">
                            <a:avLst/>
                          </a:prstGeom>
                        </pic:spPr>
                      </pic:pic>
                    </a:graphicData>
                  </a:graphic>
                </wp:inline>
              </w:drawing>
            </w:r>
          </w:p>
        </w:tc>
        <w:tc>
          <w:tcPr>
            <w:tcW w:w="884" w:type="dxa"/>
            <w:tcBorders>
              <w:top w:val="nil"/>
              <w:left w:val="single" w:color="000000" w:sz="8" w:space="0"/>
              <w:bottom w:val="single" w:color="000000" w:sz="8" w:space="0"/>
              <w:right w:val="single" w:color="000000" w:sz="8" w:space="0"/>
            </w:tcBorders>
            <w:vAlign w:val="center"/>
          </w:tcPr>
          <w:p>
            <w:pPr>
              <w:pStyle w:val="12"/>
              <w:bidi w:val="0"/>
              <w:rPr>
                <w:color w:val="auto"/>
                <w:highlight w:val="none"/>
                <w:lang w:val="zh-CN" w:eastAsia="zh-CN"/>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861" w:hRule="atLeast"/>
          <w:jc w:val="center"/>
        </w:trPr>
        <w:tc>
          <w:tcPr>
            <w:tcW w:w="765" w:type="dxa"/>
            <w:vMerge w:val="continue"/>
            <w:tcBorders>
              <w:bottom w:val="nil"/>
            </w:tcBorders>
            <w:vAlign w:val="center"/>
          </w:tcPr>
          <w:p>
            <w:pPr>
              <w:pStyle w:val="12"/>
              <w:bidi w:val="0"/>
              <w:rPr>
                <w:color w:val="auto"/>
                <w:highlight w:val="none"/>
                <w:lang w:val="zh-CN" w:eastAsia="zh-CN"/>
              </w:rPr>
            </w:pPr>
            <w:r>
              <w:rPr>
                <w:color w:val="auto"/>
                <w:highlight w:val="none"/>
                <w:lang w:val="zh-CN" w:eastAsia="zh-CN"/>
              </w:rPr>
              <w:t>9</w:t>
            </w:r>
          </w:p>
        </w:tc>
        <w:tc>
          <w:tcPr>
            <w:tcW w:w="1080" w:type="dxa"/>
            <w:vMerge w:val="continue"/>
            <w:tcBorders>
              <w:bottom w:val="nil"/>
            </w:tcBorders>
            <w:vAlign w:val="center"/>
          </w:tcPr>
          <w:p>
            <w:pPr>
              <w:pStyle w:val="12"/>
              <w:bidi w:val="0"/>
              <w:rPr>
                <w:color w:val="auto"/>
                <w:highlight w:val="none"/>
                <w:lang w:val="zh-CN" w:eastAsia="zh-CN"/>
              </w:rPr>
            </w:pPr>
            <w:r>
              <w:rPr>
                <w:rFonts w:hint="eastAsia"/>
                <w:color w:val="auto"/>
                <w:highlight w:val="none"/>
                <w:lang w:val="zh-CN" w:eastAsia="zh-CN"/>
              </w:rPr>
              <w:t>浴缸</w:t>
            </w:r>
          </w:p>
        </w:tc>
        <w:tc>
          <w:tcPr>
            <w:tcW w:w="812" w:type="dxa"/>
            <w:tcBorders>
              <w:top w:val="single" w:color="000000" w:sz="8" w:space="0"/>
              <w:left w:val="single" w:color="000000" w:sz="8" w:space="0"/>
              <w:bottom w:val="single" w:color="000000" w:sz="8" w:space="0"/>
              <w:right w:val="single" w:color="auto" w:sz="4" w:space="0"/>
            </w:tcBorders>
            <w:vAlign w:val="center"/>
          </w:tcPr>
          <w:p>
            <w:pPr>
              <w:pStyle w:val="12"/>
              <w:bidi w:val="0"/>
              <w:rPr>
                <w:color w:val="auto"/>
                <w:highlight w:val="none"/>
                <w:lang w:val="zh-CN" w:eastAsia="zh-CN"/>
              </w:rPr>
            </w:pPr>
            <w:r>
              <w:rPr>
                <w:color w:val="auto"/>
                <w:highlight w:val="none"/>
                <w:lang w:val="zh-CN" w:eastAsia="zh-CN"/>
              </w:rPr>
              <w:t>工厂包装</w:t>
            </w:r>
          </w:p>
        </w:tc>
        <w:tc>
          <w:tcPr>
            <w:tcW w:w="2072" w:type="dxa"/>
            <w:tcBorders>
              <w:top w:val="single" w:color="auto" w:sz="4" w:space="0"/>
              <w:left w:val="single" w:color="auto" w:sz="4" w:space="0"/>
              <w:bottom w:val="single" w:color="auto" w:sz="4" w:space="0"/>
              <w:right w:val="single" w:color="auto" w:sz="4" w:space="0"/>
            </w:tcBorders>
            <w:vAlign w:val="center"/>
          </w:tcPr>
          <w:p>
            <w:pPr>
              <w:pStyle w:val="12"/>
              <w:bidi w:val="0"/>
              <w:rPr>
                <w:color w:val="auto"/>
                <w:highlight w:val="none"/>
                <w:lang w:val="zh-CN" w:eastAsia="zh-CN"/>
              </w:rPr>
            </w:pPr>
            <w:r>
              <w:rPr>
                <w:color w:val="auto"/>
                <w:highlight w:val="none"/>
                <w:lang w:val="zh-CN" w:eastAsia="zh-CN"/>
              </w:rPr>
              <w:t>厚度不低于12mm 夹板条、边角使用3㎜厚珍珠棉包裹保护</w:t>
            </w:r>
          </w:p>
        </w:tc>
        <w:tc>
          <w:tcPr>
            <w:tcW w:w="7186" w:type="dxa"/>
            <w:tcBorders>
              <w:top w:val="nil"/>
              <w:left w:val="single" w:color="auto" w:sz="4" w:space="0"/>
              <w:bottom w:val="single" w:color="000000" w:sz="8" w:space="0"/>
              <w:right w:val="single" w:color="000000" w:sz="8" w:space="0"/>
            </w:tcBorders>
            <w:vAlign w:val="center"/>
          </w:tcPr>
          <w:p>
            <w:pPr>
              <w:pStyle w:val="12"/>
              <w:bidi w:val="0"/>
              <w:rPr>
                <w:color w:val="auto"/>
                <w:highlight w:val="none"/>
                <w:lang w:val="zh-CN" w:eastAsia="zh-CN"/>
              </w:rPr>
            </w:pPr>
            <w:r>
              <w:rPr>
                <w:color w:val="auto"/>
                <w:highlight w:val="none"/>
                <w:lang w:val="zh-CN" w:eastAsia="zh-CN"/>
              </w:rPr>
              <w:drawing>
                <wp:inline distT="0" distB="0" distL="0" distR="0">
                  <wp:extent cx="2108835" cy="1410335"/>
                  <wp:effectExtent l="0" t="0" r="5715" b="8890"/>
                  <wp:docPr id="119" name="image63.jpeg" descr="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image63.jpeg" descr="01.jpg"/>
                          <pic:cNvPicPr>
                            <a:picLocks noChangeAspect="1"/>
                          </pic:cNvPicPr>
                        </pic:nvPicPr>
                        <pic:blipFill>
                          <a:blip r:embed="rId70" cstate="print"/>
                          <a:stretch>
                            <a:fillRect/>
                          </a:stretch>
                        </pic:blipFill>
                        <pic:spPr>
                          <a:xfrm>
                            <a:off x="0" y="0"/>
                            <a:ext cx="2109167" cy="1410843"/>
                          </a:xfrm>
                          <a:prstGeom prst="rect">
                            <a:avLst/>
                          </a:prstGeom>
                        </pic:spPr>
                      </pic:pic>
                    </a:graphicData>
                  </a:graphic>
                </wp:inline>
              </w:drawing>
            </w:r>
          </w:p>
        </w:tc>
        <w:tc>
          <w:tcPr>
            <w:tcW w:w="884" w:type="dxa"/>
            <w:tcBorders>
              <w:top w:val="nil"/>
              <w:left w:val="single" w:color="000000" w:sz="8" w:space="0"/>
              <w:bottom w:val="single" w:color="000000" w:sz="8" w:space="0"/>
              <w:right w:val="single" w:color="000000" w:sz="8" w:space="0"/>
            </w:tcBorders>
            <w:vAlign w:val="center"/>
          </w:tcPr>
          <w:p>
            <w:pPr>
              <w:pStyle w:val="12"/>
              <w:bidi w:val="0"/>
              <w:rPr>
                <w:color w:val="auto"/>
                <w:highlight w:val="none"/>
                <w:lang w:val="zh-CN" w:eastAsia="zh-CN"/>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861" w:hRule="atLeast"/>
          <w:jc w:val="center"/>
        </w:trPr>
        <w:tc>
          <w:tcPr>
            <w:tcW w:w="765" w:type="dxa"/>
            <w:vMerge w:val="continue"/>
            <w:tcBorders>
              <w:bottom w:val="nil"/>
            </w:tcBorders>
            <w:vAlign w:val="center"/>
          </w:tcPr>
          <w:p>
            <w:pPr>
              <w:pStyle w:val="12"/>
              <w:bidi w:val="0"/>
              <w:rPr>
                <w:color w:val="auto"/>
                <w:highlight w:val="none"/>
                <w:lang w:val="zh-CN" w:eastAsia="zh-CN"/>
              </w:rPr>
            </w:pPr>
          </w:p>
        </w:tc>
        <w:tc>
          <w:tcPr>
            <w:tcW w:w="1080" w:type="dxa"/>
            <w:vMerge w:val="continue"/>
            <w:tcBorders>
              <w:bottom w:val="nil"/>
            </w:tcBorders>
            <w:vAlign w:val="center"/>
          </w:tcPr>
          <w:p>
            <w:pPr>
              <w:pStyle w:val="12"/>
              <w:bidi w:val="0"/>
              <w:rPr>
                <w:color w:val="auto"/>
                <w:highlight w:val="none"/>
                <w:lang w:val="zh-CN" w:eastAsia="zh-CN"/>
              </w:rPr>
            </w:pPr>
          </w:p>
        </w:tc>
        <w:tc>
          <w:tcPr>
            <w:tcW w:w="812" w:type="dxa"/>
            <w:tcBorders>
              <w:top w:val="single" w:color="000000" w:sz="8" w:space="0"/>
              <w:left w:val="single" w:color="000000" w:sz="8" w:space="0"/>
              <w:bottom w:val="single" w:color="000000" w:sz="8" w:space="0"/>
              <w:right w:val="single" w:color="auto" w:sz="4" w:space="0"/>
            </w:tcBorders>
            <w:vAlign w:val="center"/>
          </w:tcPr>
          <w:p>
            <w:pPr>
              <w:pStyle w:val="12"/>
              <w:bidi w:val="0"/>
              <w:rPr>
                <w:color w:val="auto"/>
                <w:highlight w:val="none"/>
                <w:lang w:val="zh-CN" w:eastAsia="zh-CN"/>
              </w:rPr>
            </w:pPr>
            <w:r>
              <w:rPr>
                <w:color w:val="auto"/>
                <w:highlight w:val="none"/>
                <w:lang w:val="zh-CN" w:eastAsia="zh-CN"/>
              </w:rPr>
              <w:t>安装成品</w:t>
            </w:r>
          </w:p>
        </w:tc>
        <w:tc>
          <w:tcPr>
            <w:tcW w:w="2072" w:type="dxa"/>
            <w:tcBorders>
              <w:top w:val="single" w:color="auto" w:sz="4" w:space="0"/>
              <w:left w:val="single" w:color="auto" w:sz="4" w:space="0"/>
              <w:bottom w:val="single" w:color="auto" w:sz="4" w:space="0"/>
              <w:right w:val="single" w:color="auto" w:sz="4" w:space="0"/>
            </w:tcBorders>
            <w:vAlign w:val="center"/>
          </w:tcPr>
          <w:p>
            <w:pPr>
              <w:pStyle w:val="12"/>
              <w:bidi w:val="0"/>
              <w:rPr>
                <w:color w:val="auto"/>
                <w:highlight w:val="none"/>
                <w:lang w:val="zh-CN" w:eastAsia="zh-CN"/>
              </w:rPr>
            </w:pPr>
            <w:r>
              <w:rPr>
                <w:color w:val="auto"/>
                <w:highlight w:val="none"/>
                <w:lang w:val="zh-CN" w:eastAsia="zh-CN"/>
              </w:rPr>
              <w:t>不低于12mm夹板覆盖保护</w:t>
            </w:r>
          </w:p>
        </w:tc>
        <w:tc>
          <w:tcPr>
            <w:tcW w:w="7186" w:type="dxa"/>
            <w:tcBorders>
              <w:top w:val="nil"/>
              <w:left w:val="single" w:color="auto" w:sz="4" w:space="0"/>
              <w:bottom w:val="single" w:color="000000" w:sz="8" w:space="0"/>
              <w:right w:val="single" w:color="000000" w:sz="8" w:space="0"/>
            </w:tcBorders>
            <w:vAlign w:val="center"/>
          </w:tcPr>
          <w:p>
            <w:pPr>
              <w:pStyle w:val="12"/>
              <w:bidi w:val="0"/>
              <w:rPr>
                <w:color w:val="auto"/>
                <w:highlight w:val="none"/>
                <w:lang w:val="zh-CN" w:eastAsia="zh-CN"/>
              </w:rPr>
            </w:pPr>
          </w:p>
          <w:p>
            <w:pPr>
              <w:pStyle w:val="12"/>
              <w:bidi w:val="0"/>
              <w:rPr>
                <w:color w:val="auto"/>
                <w:highlight w:val="none"/>
                <w:lang w:val="zh-CN" w:eastAsia="zh-CN"/>
              </w:rPr>
            </w:pPr>
            <w:r>
              <w:rPr>
                <w:color w:val="auto"/>
                <w:highlight w:val="none"/>
                <w:lang w:val="zh-CN" w:eastAsia="zh-CN"/>
              </w:rPr>
              <w:drawing>
                <wp:inline distT="0" distB="0" distL="0" distR="0">
                  <wp:extent cx="2106930" cy="1533525"/>
                  <wp:effectExtent l="0" t="0" r="7620" b="0"/>
                  <wp:docPr id="54" name="image64.jpeg" descr="9F8TQ$}`I[$N(}[%EUU1VV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64.jpeg" descr="9F8TQ$}`I[$N(}[%EUU1VVV"/>
                          <pic:cNvPicPr>
                            <a:picLocks noChangeAspect="1"/>
                          </pic:cNvPicPr>
                        </pic:nvPicPr>
                        <pic:blipFill>
                          <a:blip r:embed="rId71" cstate="print"/>
                          <a:stretch>
                            <a:fillRect/>
                          </a:stretch>
                        </pic:blipFill>
                        <pic:spPr>
                          <a:xfrm>
                            <a:off x="0" y="0"/>
                            <a:ext cx="2107191" cy="1533905"/>
                          </a:xfrm>
                          <a:prstGeom prst="rect">
                            <a:avLst/>
                          </a:prstGeom>
                        </pic:spPr>
                      </pic:pic>
                    </a:graphicData>
                  </a:graphic>
                </wp:inline>
              </w:drawing>
            </w:r>
          </w:p>
        </w:tc>
        <w:tc>
          <w:tcPr>
            <w:tcW w:w="884" w:type="dxa"/>
            <w:tcBorders>
              <w:top w:val="nil"/>
              <w:left w:val="single" w:color="000000" w:sz="8" w:space="0"/>
              <w:bottom w:val="single" w:color="000000" w:sz="8" w:space="0"/>
              <w:right w:val="single" w:color="000000" w:sz="8" w:space="0"/>
            </w:tcBorders>
            <w:vAlign w:val="center"/>
          </w:tcPr>
          <w:p>
            <w:pPr>
              <w:pStyle w:val="12"/>
              <w:bidi w:val="0"/>
              <w:rPr>
                <w:color w:val="auto"/>
                <w:highlight w:val="none"/>
                <w:lang w:val="zh-CN" w:eastAsia="zh-CN"/>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861" w:hRule="atLeast"/>
          <w:jc w:val="center"/>
        </w:trPr>
        <w:tc>
          <w:tcPr>
            <w:tcW w:w="765" w:type="dxa"/>
            <w:vMerge w:val="continue"/>
            <w:tcBorders>
              <w:bottom w:val="nil"/>
            </w:tcBorders>
            <w:vAlign w:val="center"/>
          </w:tcPr>
          <w:p>
            <w:pPr>
              <w:pStyle w:val="12"/>
              <w:bidi w:val="0"/>
              <w:rPr>
                <w:color w:val="auto"/>
                <w:highlight w:val="none"/>
                <w:lang w:val="zh-CN" w:eastAsia="zh-CN"/>
              </w:rPr>
            </w:pPr>
            <w:r>
              <w:rPr>
                <w:color w:val="auto"/>
                <w:highlight w:val="none"/>
                <w:lang w:val="zh-CN" w:eastAsia="zh-CN"/>
              </w:rPr>
              <w:t>10</w:t>
            </w:r>
          </w:p>
        </w:tc>
        <w:tc>
          <w:tcPr>
            <w:tcW w:w="1080" w:type="dxa"/>
            <w:vMerge w:val="continue"/>
            <w:tcBorders>
              <w:bottom w:val="nil"/>
            </w:tcBorders>
            <w:vAlign w:val="center"/>
          </w:tcPr>
          <w:p>
            <w:pPr>
              <w:pStyle w:val="12"/>
              <w:bidi w:val="0"/>
              <w:rPr>
                <w:color w:val="auto"/>
                <w:highlight w:val="none"/>
                <w:lang w:val="zh-CN" w:eastAsia="zh-CN"/>
              </w:rPr>
            </w:pPr>
            <w:r>
              <w:rPr>
                <w:rFonts w:hint="eastAsia"/>
                <w:color w:val="auto"/>
                <w:highlight w:val="none"/>
                <w:lang w:val="zh-CN" w:eastAsia="zh-CN"/>
              </w:rPr>
              <w:t>马桶</w:t>
            </w:r>
          </w:p>
        </w:tc>
        <w:tc>
          <w:tcPr>
            <w:tcW w:w="812" w:type="dxa"/>
            <w:tcBorders>
              <w:top w:val="single" w:color="000000" w:sz="8" w:space="0"/>
              <w:left w:val="single" w:color="000000" w:sz="8" w:space="0"/>
              <w:bottom w:val="single" w:color="000000" w:sz="8" w:space="0"/>
              <w:right w:val="single" w:color="auto" w:sz="4" w:space="0"/>
            </w:tcBorders>
            <w:vAlign w:val="center"/>
          </w:tcPr>
          <w:p>
            <w:pPr>
              <w:pStyle w:val="12"/>
              <w:bidi w:val="0"/>
              <w:rPr>
                <w:color w:val="auto"/>
                <w:highlight w:val="none"/>
                <w:lang w:val="zh-CN" w:eastAsia="zh-CN"/>
              </w:rPr>
            </w:pPr>
            <w:r>
              <w:rPr>
                <w:color w:val="auto"/>
                <w:highlight w:val="none"/>
                <w:lang w:val="zh-CN" w:eastAsia="zh-CN"/>
              </w:rPr>
              <w:t>安装成品</w:t>
            </w:r>
          </w:p>
        </w:tc>
        <w:tc>
          <w:tcPr>
            <w:tcW w:w="2072" w:type="dxa"/>
            <w:tcBorders>
              <w:top w:val="single" w:color="auto" w:sz="4" w:space="0"/>
              <w:left w:val="single" w:color="auto" w:sz="4" w:space="0"/>
              <w:bottom w:val="single" w:color="auto" w:sz="4" w:space="0"/>
              <w:right w:val="single" w:color="auto" w:sz="4" w:space="0"/>
            </w:tcBorders>
            <w:vAlign w:val="center"/>
          </w:tcPr>
          <w:p>
            <w:pPr>
              <w:pStyle w:val="12"/>
              <w:bidi w:val="0"/>
              <w:rPr>
                <w:color w:val="auto"/>
                <w:highlight w:val="none"/>
                <w:lang w:val="zh-CN" w:eastAsia="zh-CN"/>
              </w:rPr>
            </w:pPr>
            <w:r>
              <w:rPr>
                <w:color w:val="auto"/>
                <w:highlight w:val="none"/>
                <w:lang w:val="zh-CN" w:eastAsia="zh-CN"/>
              </w:rPr>
              <w:t>原包装袋及箱包裹保护</w:t>
            </w:r>
          </w:p>
        </w:tc>
        <w:tc>
          <w:tcPr>
            <w:tcW w:w="7186" w:type="dxa"/>
            <w:tcBorders>
              <w:top w:val="nil"/>
              <w:left w:val="single" w:color="auto" w:sz="4" w:space="0"/>
              <w:bottom w:val="single" w:color="000000" w:sz="8" w:space="0"/>
              <w:right w:val="single" w:color="000000" w:sz="8" w:space="0"/>
            </w:tcBorders>
            <w:vAlign w:val="center"/>
          </w:tcPr>
          <w:p>
            <w:pPr>
              <w:pStyle w:val="12"/>
              <w:bidi w:val="0"/>
              <w:rPr>
                <w:color w:val="auto"/>
                <w:highlight w:val="none"/>
                <w:lang w:val="zh-CN" w:eastAsia="zh-CN"/>
              </w:rPr>
            </w:pPr>
            <w:r>
              <w:rPr>
                <w:color w:val="auto"/>
                <w:highlight w:val="none"/>
                <w:lang w:val="zh-CN" w:eastAsia="zh-CN"/>
              </w:rPr>
              <w:drawing>
                <wp:inline distT="0" distB="0" distL="0" distR="0">
                  <wp:extent cx="2119630" cy="1564005"/>
                  <wp:effectExtent l="0" t="0" r="4445" b="7620"/>
                  <wp:docPr id="60" name="image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65.jpeg"/>
                          <pic:cNvPicPr>
                            <a:picLocks noChangeAspect="1"/>
                          </pic:cNvPicPr>
                        </pic:nvPicPr>
                        <pic:blipFill>
                          <a:blip r:embed="rId72" cstate="print"/>
                          <a:stretch>
                            <a:fillRect/>
                          </a:stretch>
                        </pic:blipFill>
                        <pic:spPr>
                          <a:xfrm>
                            <a:off x="0" y="0"/>
                            <a:ext cx="2119790" cy="1564481"/>
                          </a:xfrm>
                          <a:prstGeom prst="rect">
                            <a:avLst/>
                          </a:prstGeom>
                        </pic:spPr>
                      </pic:pic>
                    </a:graphicData>
                  </a:graphic>
                </wp:inline>
              </w:drawing>
            </w:r>
            <w:r>
              <w:rPr>
                <w:color w:val="auto"/>
                <w:highlight w:val="none"/>
                <w:lang w:val="zh-CN" w:eastAsia="zh-CN"/>
              </w:rPr>
              <w:t xml:space="preserve"> </w:t>
            </w:r>
            <w:r>
              <w:rPr>
                <w:color w:val="auto"/>
                <w:highlight w:val="none"/>
                <w:lang w:val="zh-CN" w:eastAsia="zh-CN"/>
              </w:rPr>
              <w:drawing>
                <wp:inline distT="0" distB="0" distL="0" distR="0">
                  <wp:extent cx="2348865" cy="1569720"/>
                  <wp:effectExtent l="0" t="0" r="3810" b="1905"/>
                  <wp:docPr id="62" name="image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66.jpeg"/>
                          <pic:cNvPicPr>
                            <a:picLocks noChangeAspect="1"/>
                          </pic:cNvPicPr>
                        </pic:nvPicPr>
                        <pic:blipFill>
                          <a:blip r:embed="rId73" cstate="print"/>
                          <a:stretch>
                            <a:fillRect/>
                          </a:stretch>
                        </pic:blipFill>
                        <pic:spPr>
                          <a:xfrm>
                            <a:off x="0" y="0"/>
                            <a:ext cx="2348922" cy="1569910"/>
                          </a:xfrm>
                          <a:prstGeom prst="rect">
                            <a:avLst/>
                          </a:prstGeom>
                        </pic:spPr>
                      </pic:pic>
                    </a:graphicData>
                  </a:graphic>
                </wp:inline>
              </w:drawing>
            </w:r>
          </w:p>
        </w:tc>
        <w:tc>
          <w:tcPr>
            <w:tcW w:w="884" w:type="dxa"/>
            <w:tcBorders>
              <w:top w:val="nil"/>
              <w:left w:val="single" w:color="000000" w:sz="8" w:space="0"/>
              <w:bottom w:val="single" w:color="000000" w:sz="8" w:space="0"/>
              <w:right w:val="single" w:color="000000" w:sz="8" w:space="0"/>
            </w:tcBorders>
            <w:vAlign w:val="center"/>
          </w:tcPr>
          <w:p>
            <w:pPr>
              <w:pStyle w:val="12"/>
              <w:bidi w:val="0"/>
              <w:rPr>
                <w:color w:val="auto"/>
                <w:highlight w:val="none"/>
                <w:lang w:val="zh-CN" w:eastAsia="zh-CN"/>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861" w:hRule="atLeast"/>
          <w:jc w:val="center"/>
        </w:trPr>
        <w:tc>
          <w:tcPr>
            <w:tcW w:w="765" w:type="dxa"/>
            <w:vMerge w:val="continue"/>
            <w:tcBorders>
              <w:bottom w:val="nil"/>
            </w:tcBorders>
            <w:vAlign w:val="center"/>
          </w:tcPr>
          <w:p>
            <w:pPr>
              <w:pStyle w:val="12"/>
              <w:bidi w:val="0"/>
              <w:rPr>
                <w:color w:val="auto"/>
                <w:highlight w:val="none"/>
                <w:lang w:val="zh-CN" w:eastAsia="zh-CN"/>
              </w:rPr>
            </w:pPr>
            <w:r>
              <w:rPr>
                <w:color w:val="auto"/>
                <w:highlight w:val="none"/>
                <w:lang w:val="zh-CN" w:eastAsia="zh-CN"/>
              </w:rPr>
              <w:t>11</w:t>
            </w:r>
          </w:p>
        </w:tc>
        <w:tc>
          <w:tcPr>
            <w:tcW w:w="1080" w:type="dxa"/>
            <w:vMerge w:val="continue"/>
            <w:tcBorders>
              <w:bottom w:val="nil"/>
            </w:tcBorders>
            <w:vAlign w:val="center"/>
          </w:tcPr>
          <w:p>
            <w:pPr>
              <w:pStyle w:val="12"/>
              <w:bidi w:val="0"/>
              <w:rPr>
                <w:color w:val="auto"/>
                <w:highlight w:val="none"/>
                <w:lang w:val="zh-CN" w:eastAsia="zh-CN"/>
              </w:rPr>
            </w:pPr>
            <w:r>
              <w:rPr>
                <w:rFonts w:hint="eastAsia"/>
                <w:color w:val="auto"/>
                <w:highlight w:val="none"/>
                <w:lang w:val="zh-CN" w:eastAsia="zh-CN"/>
              </w:rPr>
              <w:t>台面盆</w:t>
            </w:r>
          </w:p>
        </w:tc>
        <w:tc>
          <w:tcPr>
            <w:tcW w:w="812" w:type="dxa"/>
            <w:tcBorders>
              <w:top w:val="single" w:color="000000" w:sz="8" w:space="0"/>
              <w:left w:val="single" w:color="000000" w:sz="8" w:space="0"/>
              <w:bottom w:val="single" w:color="000000" w:sz="8" w:space="0"/>
              <w:right w:val="single" w:color="auto" w:sz="4" w:space="0"/>
            </w:tcBorders>
            <w:vAlign w:val="center"/>
          </w:tcPr>
          <w:p>
            <w:pPr>
              <w:pStyle w:val="12"/>
              <w:bidi w:val="0"/>
              <w:rPr>
                <w:color w:val="auto"/>
                <w:highlight w:val="none"/>
                <w:lang w:val="zh-CN" w:eastAsia="zh-CN"/>
              </w:rPr>
            </w:pPr>
            <w:r>
              <w:rPr>
                <w:color w:val="auto"/>
                <w:highlight w:val="none"/>
                <w:lang w:val="zh-CN" w:eastAsia="zh-CN"/>
              </w:rPr>
              <w:t>安装成品</w:t>
            </w:r>
          </w:p>
        </w:tc>
        <w:tc>
          <w:tcPr>
            <w:tcW w:w="2072" w:type="dxa"/>
            <w:tcBorders>
              <w:top w:val="single" w:color="auto" w:sz="4" w:space="0"/>
              <w:left w:val="single" w:color="auto" w:sz="4" w:space="0"/>
              <w:bottom w:val="single" w:color="auto" w:sz="4" w:space="0"/>
              <w:right w:val="single" w:color="auto" w:sz="4" w:space="0"/>
            </w:tcBorders>
            <w:vAlign w:val="center"/>
          </w:tcPr>
          <w:p>
            <w:pPr>
              <w:pStyle w:val="12"/>
              <w:bidi w:val="0"/>
              <w:rPr>
                <w:color w:val="auto"/>
                <w:highlight w:val="none"/>
                <w:lang w:val="zh-CN" w:eastAsia="zh-CN"/>
              </w:rPr>
            </w:pPr>
            <w:r>
              <w:rPr>
                <w:color w:val="auto"/>
                <w:highlight w:val="none"/>
                <w:lang w:val="zh-CN" w:eastAsia="zh-CN"/>
              </w:rPr>
              <w:t>原包装袋包裹保护</w:t>
            </w:r>
          </w:p>
        </w:tc>
        <w:tc>
          <w:tcPr>
            <w:tcW w:w="7186" w:type="dxa"/>
            <w:tcBorders>
              <w:top w:val="nil"/>
              <w:left w:val="single" w:color="auto" w:sz="4" w:space="0"/>
              <w:bottom w:val="single" w:color="000000" w:sz="8" w:space="0"/>
              <w:right w:val="single" w:color="000000" w:sz="8" w:space="0"/>
            </w:tcBorders>
            <w:vAlign w:val="center"/>
          </w:tcPr>
          <w:p>
            <w:pPr>
              <w:pStyle w:val="12"/>
              <w:bidi w:val="0"/>
              <w:rPr>
                <w:color w:val="auto"/>
                <w:highlight w:val="none"/>
                <w:lang w:val="zh-CN" w:eastAsia="zh-CN"/>
              </w:rPr>
            </w:pPr>
            <w:r>
              <w:rPr>
                <w:color w:val="auto"/>
                <w:highlight w:val="none"/>
                <w:lang w:val="zh-CN" w:eastAsia="zh-CN"/>
              </w:rPr>
              <w:drawing>
                <wp:inline distT="0" distB="0" distL="114300" distR="114300">
                  <wp:extent cx="1623060" cy="1904365"/>
                  <wp:effectExtent l="0" t="0" r="5715" b="635"/>
                  <wp:docPr id="6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10"/>
                          <pic:cNvPicPr>
                            <a:picLocks noChangeAspect="1"/>
                          </pic:cNvPicPr>
                        </pic:nvPicPr>
                        <pic:blipFill>
                          <a:blip r:embed="rId74"/>
                          <a:stretch>
                            <a:fillRect/>
                          </a:stretch>
                        </pic:blipFill>
                        <pic:spPr>
                          <a:xfrm>
                            <a:off x="0" y="0"/>
                            <a:ext cx="1623060" cy="1904365"/>
                          </a:xfrm>
                          <a:prstGeom prst="rect">
                            <a:avLst/>
                          </a:prstGeom>
                          <a:noFill/>
                          <a:ln>
                            <a:noFill/>
                          </a:ln>
                        </pic:spPr>
                      </pic:pic>
                    </a:graphicData>
                  </a:graphic>
                </wp:inline>
              </w:drawing>
            </w:r>
          </w:p>
        </w:tc>
        <w:tc>
          <w:tcPr>
            <w:tcW w:w="884" w:type="dxa"/>
            <w:tcBorders>
              <w:top w:val="nil"/>
              <w:left w:val="single" w:color="000000" w:sz="8" w:space="0"/>
              <w:bottom w:val="single" w:color="000000" w:sz="8" w:space="0"/>
              <w:right w:val="single" w:color="000000" w:sz="8" w:space="0"/>
            </w:tcBorders>
            <w:vAlign w:val="center"/>
          </w:tcPr>
          <w:p>
            <w:pPr>
              <w:pStyle w:val="12"/>
              <w:bidi w:val="0"/>
              <w:rPr>
                <w:color w:val="auto"/>
                <w:highlight w:val="none"/>
                <w:lang w:val="zh-CN" w:eastAsia="zh-CN"/>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861" w:hRule="atLeast"/>
          <w:jc w:val="center"/>
        </w:trPr>
        <w:tc>
          <w:tcPr>
            <w:tcW w:w="765" w:type="dxa"/>
            <w:vMerge w:val="continue"/>
            <w:tcBorders>
              <w:bottom w:val="nil"/>
            </w:tcBorders>
            <w:vAlign w:val="center"/>
          </w:tcPr>
          <w:p>
            <w:pPr>
              <w:pStyle w:val="12"/>
              <w:bidi w:val="0"/>
              <w:rPr>
                <w:color w:val="auto"/>
                <w:highlight w:val="none"/>
                <w:lang w:val="zh-CN" w:eastAsia="zh-CN"/>
              </w:rPr>
            </w:pPr>
            <w:r>
              <w:rPr>
                <w:color w:val="auto"/>
                <w:highlight w:val="none"/>
                <w:lang w:val="zh-CN" w:eastAsia="zh-CN"/>
              </w:rPr>
              <w:t>12</w:t>
            </w:r>
          </w:p>
        </w:tc>
        <w:tc>
          <w:tcPr>
            <w:tcW w:w="1080" w:type="dxa"/>
            <w:vMerge w:val="continue"/>
            <w:tcBorders>
              <w:bottom w:val="nil"/>
            </w:tcBorders>
            <w:vAlign w:val="center"/>
          </w:tcPr>
          <w:p>
            <w:pPr>
              <w:pStyle w:val="12"/>
              <w:bidi w:val="0"/>
              <w:rPr>
                <w:color w:val="auto"/>
                <w:highlight w:val="none"/>
                <w:lang w:val="zh-CN" w:eastAsia="zh-CN"/>
              </w:rPr>
            </w:pPr>
            <w:r>
              <w:rPr>
                <w:rFonts w:hint="eastAsia"/>
                <w:color w:val="auto"/>
                <w:highlight w:val="none"/>
                <w:lang w:val="zh-CN" w:eastAsia="zh-CN"/>
              </w:rPr>
              <w:t>五金件</w:t>
            </w:r>
          </w:p>
        </w:tc>
        <w:tc>
          <w:tcPr>
            <w:tcW w:w="812" w:type="dxa"/>
            <w:tcBorders>
              <w:top w:val="single" w:color="000000" w:sz="8" w:space="0"/>
              <w:left w:val="single" w:color="000000" w:sz="8" w:space="0"/>
              <w:bottom w:val="single" w:color="000000" w:sz="8" w:space="0"/>
              <w:right w:val="single" w:color="auto" w:sz="4" w:space="0"/>
            </w:tcBorders>
            <w:vAlign w:val="center"/>
          </w:tcPr>
          <w:p>
            <w:pPr>
              <w:pStyle w:val="12"/>
              <w:bidi w:val="0"/>
              <w:rPr>
                <w:color w:val="auto"/>
                <w:highlight w:val="none"/>
                <w:lang w:val="zh-CN" w:eastAsia="zh-CN"/>
              </w:rPr>
            </w:pPr>
            <w:r>
              <w:rPr>
                <w:color w:val="auto"/>
                <w:highlight w:val="none"/>
                <w:lang w:val="zh-CN" w:eastAsia="zh-CN"/>
              </w:rPr>
              <w:t>安装成品</w:t>
            </w:r>
          </w:p>
        </w:tc>
        <w:tc>
          <w:tcPr>
            <w:tcW w:w="2072" w:type="dxa"/>
            <w:tcBorders>
              <w:top w:val="single" w:color="auto" w:sz="4" w:space="0"/>
              <w:left w:val="single" w:color="auto" w:sz="4" w:space="0"/>
              <w:bottom w:val="single" w:color="auto" w:sz="4" w:space="0"/>
              <w:right w:val="single" w:color="auto" w:sz="4" w:space="0"/>
            </w:tcBorders>
            <w:vAlign w:val="center"/>
          </w:tcPr>
          <w:p>
            <w:pPr>
              <w:pStyle w:val="12"/>
              <w:bidi w:val="0"/>
              <w:rPr>
                <w:color w:val="auto"/>
                <w:highlight w:val="none"/>
                <w:lang w:val="zh-CN" w:eastAsia="zh-CN"/>
              </w:rPr>
            </w:pPr>
            <w:r>
              <w:rPr>
                <w:color w:val="auto"/>
                <w:highlight w:val="none"/>
                <w:lang w:val="zh-CN" w:eastAsia="zh-CN"/>
              </w:rPr>
              <w:t>原包装袋包裹保护</w:t>
            </w:r>
          </w:p>
        </w:tc>
        <w:tc>
          <w:tcPr>
            <w:tcW w:w="7186" w:type="dxa"/>
            <w:tcBorders>
              <w:top w:val="nil"/>
              <w:left w:val="single" w:color="auto" w:sz="4" w:space="0"/>
              <w:bottom w:val="single" w:color="000000" w:sz="8" w:space="0"/>
              <w:right w:val="single" w:color="000000" w:sz="8" w:space="0"/>
            </w:tcBorders>
            <w:vAlign w:val="center"/>
          </w:tcPr>
          <w:p>
            <w:pPr>
              <w:pStyle w:val="12"/>
              <w:bidi w:val="0"/>
              <w:rPr>
                <w:color w:val="auto"/>
                <w:highlight w:val="none"/>
                <w:lang w:val="zh-CN" w:eastAsia="zh-CN"/>
              </w:rPr>
            </w:pPr>
            <w:r>
              <w:rPr>
                <w:color w:val="auto"/>
                <w:highlight w:val="none"/>
                <w:lang w:val="zh-CN" w:eastAsia="zh-CN"/>
              </w:rPr>
              <w:drawing>
                <wp:inline distT="0" distB="0" distL="0" distR="0">
                  <wp:extent cx="1457960" cy="1927225"/>
                  <wp:effectExtent l="0" t="0" r="8890" b="6350"/>
                  <wp:docPr id="813161291" name="图片 813161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3161291" name="图片 813161291"/>
                          <pic:cNvPicPr>
                            <a:picLocks noChangeAspect="1"/>
                          </pic:cNvPicPr>
                        </pic:nvPicPr>
                        <pic:blipFill>
                          <a:blip r:embed="rId75" cstate="print"/>
                          <a:stretch>
                            <a:fillRect/>
                          </a:stretch>
                        </pic:blipFill>
                        <pic:spPr>
                          <a:xfrm>
                            <a:off x="0" y="0"/>
                            <a:ext cx="1458513" cy="1927288"/>
                          </a:xfrm>
                          <a:prstGeom prst="rect">
                            <a:avLst/>
                          </a:prstGeom>
                        </pic:spPr>
                      </pic:pic>
                    </a:graphicData>
                  </a:graphic>
                </wp:inline>
              </w:drawing>
            </w:r>
            <w:r>
              <w:rPr>
                <w:color w:val="auto"/>
                <w:highlight w:val="none"/>
                <w:lang w:val="zh-CN" w:eastAsia="zh-CN"/>
              </w:rPr>
              <w:t xml:space="preserve"> </w:t>
            </w:r>
            <w:r>
              <w:rPr>
                <w:color w:val="auto"/>
                <w:highlight w:val="none"/>
                <w:lang w:val="zh-CN" w:eastAsia="zh-CN"/>
              </w:rPr>
              <w:drawing>
                <wp:inline distT="0" distB="0" distL="0" distR="0">
                  <wp:extent cx="1471930" cy="1928495"/>
                  <wp:effectExtent l="0" t="0" r="4445" b="5080"/>
                  <wp:docPr id="1394375075" name="图片 1394375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375075" name="图片 1394375075"/>
                          <pic:cNvPicPr>
                            <a:picLocks noChangeAspect="1"/>
                          </pic:cNvPicPr>
                        </pic:nvPicPr>
                        <pic:blipFill>
                          <a:blip r:embed="rId76" cstate="print"/>
                          <a:stretch>
                            <a:fillRect/>
                          </a:stretch>
                        </pic:blipFill>
                        <pic:spPr>
                          <a:xfrm>
                            <a:off x="0" y="0"/>
                            <a:ext cx="1472287" cy="1928812"/>
                          </a:xfrm>
                          <a:prstGeom prst="rect">
                            <a:avLst/>
                          </a:prstGeom>
                        </pic:spPr>
                      </pic:pic>
                    </a:graphicData>
                  </a:graphic>
                </wp:inline>
              </w:drawing>
            </w:r>
            <w:r>
              <w:rPr>
                <w:color w:val="auto"/>
                <w:highlight w:val="none"/>
                <w:lang w:val="zh-CN" w:eastAsia="zh-CN"/>
              </w:rPr>
              <w:t xml:space="preserve"> </w:t>
            </w:r>
            <w:r>
              <w:rPr>
                <w:color w:val="auto"/>
                <w:highlight w:val="none"/>
                <w:lang w:val="zh-CN" w:eastAsia="zh-CN"/>
              </w:rPr>
              <w:drawing>
                <wp:inline distT="0" distB="0" distL="0" distR="0">
                  <wp:extent cx="1470660" cy="1936750"/>
                  <wp:effectExtent l="0" t="0" r="5715" b="6350"/>
                  <wp:docPr id="149316531" name="图片 149316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16531" name="图片 149316531"/>
                          <pic:cNvPicPr>
                            <a:picLocks noChangeAspect="1"/>
                          </pic:cNvPicPr>
                        </pic:nvPicPr>
                        <pic:blipFill>
                          <a:blip r:embed="rId77" cstate="print"/>
                          <a:stretch>
                            <a:fillRect/>
                          </a:stretch>
                        </pic:blipFill>
                        <pic:spPr>
                          <a:xfrm>
                            <a:off x="0" y="0"/>
                            <a:ext cx="1471164" cy="1936908"/>
                          </a:xfrm>
                          <a:prstGeom prst="rect">
                            <a:avLst/>
                          </a:prstGeom>
                        </pic:spPr>
                      </pic:pic>
                    </a:graphicData>
                  </a:graphic>
                </wp:inline>
              </w:drawing>
            </w:r>
          </w:p>
        </w:tc>
        <w:tc>
          <w:tcPr>
            <w:tcW w:w="884" w:type="dxa"/>
            <w:tcBorders>
              <w:top w:val="nil"/>
              <w:left w:val="single" w:color="000000" w:sz="8" w:space="0"/>
              <w:bottom w:val="single" w:color="000000" w:sz="8" w:space="0"/>
              <w:right w:val="single" w:color="000000" w:sz="8" w:space="0"/>
            </w:tcBorders>
            <w:vAlign w:val="center"/>
          </w:tcPr>
          <w:p>
            <w:pPr>
              <w:pStyle w:val="12"/>
              <w:bidi w:val="0"/>
              <w:rPr>
                <w:color w:val="auto"/>
                <w:highlight w:val="none"/>
                <w:lang w:val="zh-CN" w:eastAsia="zh-CN"/>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861" w:hRule="atLeast"/>
          <w:jc w:val="center"/>
        </w:trPr>
        <w:tc>
          <w:tcPr>
            <w:tcW w:w="765" w:type="dxa"/>
            <w:vMerge w:val="continue"/>
            <w:tcBorders>
              <w:bottom w:val="nil"/>
            </w:tcBorders>
            <w:vAlign w:val="center"/>
          </w:tcPr>
          <w:p>
            <w:pPr>
              <w:pStyle w:val="12"/>
              <w:bidi w:val="0"/>
              <w:rPr>
                <w:color w:val="auto"/>
                <w:highlight w:val="none"/>
                <w:lang w:val="zh-CN" w:eastAsia="zh-CN"/>
              </w:rPr>
            </w:pPr>
            <w:r>
              <w:rPr>
                <w:color w:val="auto"/>
                <w:highlight w:val="none"/>
                <w:lang w:val="zh-CN" w:eastAsia="zh-CN"/>
              </w:rPr>
              <w:t>13</w:t>
            </w:r>
          </w:p>
        </w:tc>
        <w:tc>
          <w:tcPr>
            <w:tcW w:w="1080" w:type="dxa"/>
            <w:vMerge w:val="continue"/>
            <w:tcBorders>
              <w:bottom w:val="nil"/>
            </w:tcBorders>
            <w:vAlign w:val="center"/>
          </w:tcPr>
          <w:p>
            <w:pPr>
              <w:pStyle w:val="12"/>
              <w:bidi w:val="0"/>
              <w:rPr>
                <w:color w:val="auto"/>
                <w:highlight w:val="none"/>
                <w:lang w:val="zh-CN" w:eastAsia="zh-CN"/>
              </w:rPr>
            </w:pPr>
            <w:r>
              <w:rPr>
                <w:rFonts w:hint="eastAsia"/>
                <w:color w:val="auto"/>
                <w:highlight w:val="none"/>
                <w:lang w:val="zh-CN" w:eastAsia="zh-CN"/>
              </w:rPr>
              <w:t>橱柜</w:t>
            </w:r>
          </w:p>
        </w:tc>
        <w:tc>
          <w:tcPr>
            <w:tcW w:w="812" w:type="dxa"/>
            <w:tcBorders>
              <w:top w:val="single" w:color="000000" w:sz="8" w:space="0"/>
              <w:left w:val="single" w:color="000000" w:sz="8" w:space="0"/>
              <w:bottom w:val="single" w:color="000000" w:sz="8" w:space="0"/>
              <w:right w:val="single" w:color="auto" w:sz="4" w:space="0"/>
            </w:tcBorders>
            <w:vAlign w:val="center"/>
          </w:tcPr>
          <w:p>
            <w:pPr>
              <w:pStyle w:val="12"/>
              <w:bidi w:val="0"/>
              <w:rPr>
                <w:color w:val="auto"/>
                <w:highlight w:val="none"/>
                <w:lang w:val="zh-CN" w:eastAsia="zh-CN"/>
              </w:rPr>
            </w:pPr>
            <w:r>
              <w:rPr>
                <w:color w:val="auto"/>
                <w:highlight w:val="none"/>
                <w:lang w:val="zh-CN" w:eastAsia="zh-CN"/>
              </w:rPr>
              <w:t>安装成品</w:t>
            </w:r>
          </w:p>
        </w:tc>
        <w:tc>
          <w:tcPr>
            <w:tcW w:w="2072" w:type="dxa"/>
            <w:tcBorders>
              <w:top w:val="single" w:color="auto" w:sz="4" w:space="0"/>
              <w:left w:val="single" w:color="auto" w:sz="4" w:space="0"/>
              <w:bottom w:val="single" w:color="auto" w:sz="4" w:space="0"/>
              <w:right w:val="single" w:color="auto" w:sz="4" w:space="0"/>
            </w:tcBorders>
            <w:vAlign w:val="center"/>
          </w:tcPr>
          <w:p>
            <w:pPr>
              <w:pStyle w:val="12"/>
              <w:bidi w:val="0"/>
              <w:rPr>
                <w:color w:val="auto"/>
                <w:highlight w:val="none"/>
                <w:lang w:val="zh-CN" w:eastAsia="zh-CN"/>
              </w:rPr>
            </w:pPr>
            <w:r>
              <w:rPr>
                <w:color w:val="auto"/>
                <w:highlight w:val="none"/>
                <w:lang w:val="zh-CN" w:eastAsia="zh-CN"/>
              </w:rPr>
              <w:t>防潮膜满铺保护</w:t>
            </w:r>
          </w:p>
        </w:tc>
        <w:tc>
          <w:tcPr>
            <w:tcW w:w="7186" w:type="dxa"/>
            <w:tcBorders>
              <w:top w:val="nil"/>
              <w:left w:val="single" w:color="auto" w:sz="4" w:space="0"/>
              <w:bottom w:val="single" w:color="000000" w:sz="8" w:space="0"/>
              <w:right w:val="single" w:color="000000" w:sz="8" w:space="0"/>
            </w:tcBorders>
            <w:vAlign w:val="center"/>
          </w:tcPr>
          <w:p>
            <w:pPr>
              <w:pStyle w:val="12"/>
              <w:bidi w:val="0"/>
              <w:rPr>
                <w:rFonts w:hint="eastAsia"/>
                <w:color w:val="auto"/>
                <w:highlight w:val="none"/>
                <w:lang w:val="zh-CN" w:eastAsia="zh"/>
              </w:rPr>
            </w:pPr>
            <w:r>
              <w:rPr>
                <w:color w:val="auto"/>
                <w:highlight w:val="none"/>
                <w:lang w:val="zh-CN" w:eastAsia="zh-CN"/>
              </w:rPr>
              <w:drawing>
                <wp:inline distT="0" distB="0" distL="114300" distR="114300">
                  <wp:extent cx="2014855" cy="1748155"/>
                  <wp:effectExtent l="0" t="0" r="4445" b="4445"/>
                  <wp:docPr id="2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2"/>
                          <pic:cNvPicPr>
                            <a:picLocks noChangeAspect="1"/>
                          </pic:cNvPicPr>
                        </pic:nvPicPr>
                        <pic:blipFill>
                          <a:blip r:embed="rId78"/>
                          <a:stretch>
                            <a:fillRect/>
                          </a:stretch>
                        </pic:blipFill>
                        <pic:spPr>
                          <a:xfrm>
                            <a:off x="0" y="0"/>
                            <a:ext cx="2014855" cy="1748155"/>
                          </a:xfrm>
                          <a:prstGeom prst="rect">
                            <a:avLst/>
                          </a:prstGeom>
                          <a:noFill/>
                          <a:ln>
                            <a:noFill/>
                          </a:ln>
                        </pic:spPr>
                      </pic:pic>
                    </a:graphicData>
                  </a:graphic>
                </wp:inline>
              </w:drawing>
            </w:r>
            <w:r>
              <w:rPr>
                <w:rFonts w:hint="eastAsia"/>
                <w:color w:val="auto"/>
                <w:highlight w:val="none"/>
                <w:lang w:val="zh-CN" w:eastAsia="zh"/>
              </w:rPr>
              <w:drawing>
                <wp:inline distT="0" distB="0" distL="114300" distR="114300">
                  <wp:extent cx="2285365" cy="1740535"/>
                  <wp:effectExtent l="0" t="0" r="635" b="2540"/>
                  <wp:docPr id="251" name="图片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图片 251"/>
                          <pic:cNvPicPr>
                            <a:picLocks noChangeAspect="1"/>
                          </pic:cNvPicPr>
                        </pic:nvPicPr>
                        <pic:blipFill>
                          <a:blip r:embed="rId79"/>
                          <a:stretch>
                            <a:fillRect/>
                          </a:stretch>
                        </pic:blipFill>
                        <pic:spPr>
                          <a:xfrm>
                            <a:off x="0" y="0"/>
                            <a:ext cx="2285365" cy="1740535"/>
                          </a:xfrm>
                          <a:prstGeom prst="rect">
                            <a:avLst/>
                          </a:prstGeom>
                        </pic:spPr>
                      </pic:pic>
                    </a:graphicData>
                  </a:graphic>
                </wp:inline>
              </w:drawing>
            </w:r>
          </w:p>
        </w:tc>
        <w:tc>
          <w:tcPr>
            <w:tcW w:w="884" w:type="dxa"/>
            <w:tcBorders>
              <w:top w:val="nil"/>
              <w:left w:val="single" w:color="000000" w:sz="8" w:space="0"/>
              <w:bottom w:val="single" w:color="000000" w:sz="8" w:space="0"/>
              <w:right w:val="single" w:color="000000" w:sz="8" w:space="0"/>
            </w:tcBorders>
            <w:vAlign w:val="center"/>
          </w:tcPr>
          <w:p>
            <w:pPr>
              <w:pStyle w:val="12"/>
              <w:bidi w:val="0"/>
              <w:rPr>
                <w:color w:val="auto"/>
                <w:highlight w:val="none"/>
                <w:lang w:val="zh-CN" w:eastAsia="zh-CN"/>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861" w:hRule="atLeast"/>
          <w:jc w:val="center"/>
        </w:trPr>
        <w:tc>
          <w:tcPr>
            <w:tcW w:w="765" w:type="dxa"/>
            <w:vMerge w:val="continue"/>
            <w:tcBorders>
              <w:bottom w:val="nil"/>
            </w:tcBorders>
            <w:vAlign w:val="center"/>
          </w:tcPr>
          <w:p>
            <w:pPr>
              <w:pStyle w:val="12"/>
              <w:bidi w:val="0"/>
              <w:rPr>
                <w:color w:val="auto"/>
                <w:highlight w:val="none"/>
                <w:lang w:val="zh-CN" w:eastAsia="zh-CN"/>
              </w:rPr>
            </w:pPr>
            <w:r>
              <w:rPr>
                <w:color w:val="auto"/>
                <w:highlight w:val="none"/>
                <w:lang w:val="zh-CN" w:eastAsia="zh-CN"/>
              </w:rPr>
              <w:t>14</w:t>
            </w:r>
          </w:p>
        </w:tc>
        <w:tc>
          <w:tcPr>
            <w:tcW w:w="1080" w:type="dxa"/>
            <w:vMerge w:val="continue"/>
            <w:tcBorders>
              <w:bottom w:val="nil"/>
            </w:tcBorders>
            <w:vAlign w:val="center"/>
          </w:tcPr>
          <w:p>
            <w:pPr>
              <w:pStyle w:val="12"/>
              <w:bidi w:val="0"/>
              <w:rPr>
                <w:color w:val="auto"/>
                <w:highlight w:val="none"/>
                <w:lang w:val="zh-CN" w:eastAsia="zh-CN"/>
              </w:rPr>
            </w:pPr>
            <w:r>
              <w:rPr>
                <w:rFonts w:hint="eastAsia"/>
                <w:color w:val="auto"/>
                <w:highlight w:val="none"/>
                <w:lang w:val="zh-CN" w:eastAsia="zh-CN"/>
              </w:rPr>
              <w:t>面板</w:t>
            </w:r>
          </w:p>
          <w:p>
            <w:pPr>
              <w:pStyle w:val="12"/>
              <w:bidi w:val="0"/>
              <w:rPr>
                <w:color w:val="auto"/>
                <w:highlight w:val="none"/>
                <w:lang w:val="zh-CN" w:eastAsia="zh-CN"/>
              </w:rPr>
            </w:pPr>
            <w:r>
              <w:rPr>
                <w:color w:val="auto"/>
                <w:highlight w:val="none"/>
                <w:lang w:val="zh-CN" w:eastAsia="zh-CN"/>
              </w:rPr>
              <w:t>（设备末端）</w:t>
            </w:r>
          </w:p>
        </w:tc>
        <w:tc>
          <w:tcPr>
            <w:tcW w:w="812" w:type="dxa"/>
            <w:tcBorders>
              <w:top w:val="single" w:color="000000" w:sz="8" w:space="0"/>
              <w:left w:val="single" w:color="000000" w:sz="8" w:space="0"/>
              <w:bottom w:val="single" w:color="000000" w:sz="8" w:space="0"/>
              <w:right w:val="single" w:color="auto" w:sz="4" w:space="0"/>
            </w:tcBorders>
            <w:vAlign w:val="center"/>
          </w:tcPr>
          <w:p>
            <w:pPr>
              <w:pStyle w:val="12"/>
              <w:bidi w:val="0"/>
              <w:rPr>
                <w:color w:val="auto"/>
                <w:highlight w:val="none"/>
                <w:lang w:val="zh-CN" w:eastAsia="zh-CN"/>
              </w:rPr>
            </w:pPr>
            <w:r>
              <w:rPr>
                <w:color w:val="auto"/>
                <w:highlight w:val="none"/>
                <w:lang w:val="zh-CN" w:eastAsia="zh-CN"/>
              </w:rPr>
              <w:t>安装成品</w:t>
            </w:r>
          </w:p>
        </w:tc>
        <w:tc>
          <w:tcPr>
            <w:tcW w:w="2072" w:type="dxa"/>
            <w:tcBorders>
              <w:top w:val="single" w:color="auto" w:sz="4" w:space="0"/>
              <w:left w:val="single" w:color="auto" w:sz="4" w:space="0"/>
              <w:bottom w:val="single" w:color="auto" w:sz="4" w:space="0"/>
              <w:right w:val="single" w:color="auto" w:sz="4" w:space="0"/>
            </w:tcBorders>
            <w:vAlign w:val="center"/>
          </w:tcPr>
          <w:p>
            <w:pPr>
              <w:pStyle w:val="12"/>
              <w:bidi w:val="0"/>
              <w:rPr>
                <w:color w:val="auto"/>
                <w:highlight w:val="none"/>
                <w:lang w:val="zh-CN" w:eastAsia="zh-CN"/>
              </w:rPr>
            </w:pPr>
            <w:r>
              <w:rPr>
                <w:color w:val="auto"/>
                <w:highlight w:val="none"/>
                <w:lang w:val="zh-CN" w:eastAsia="zh-CN"/>
              </w:rPr>
              <w:t>美纹纸或防潮纸或专用插座保护盖保护</w:t>
            </w:r>
          </w:p>
        </w:tc>
        <w:tc>
          <w:tcPr>
            <w:tcW w:w="7186" w:type="dxa"/>
            <w:tcBorders>
              <w:top w:val="nil"/>
              <w:left w:val="single" w:color="auto" w:sz="4" w:space="0"/>
              <w:bottom w:val="single" w:color="000000" w:sz="8" w:space="0"/>
              <w:right w:val="single" w:color="000000" w:sz="8" w:space="0"/>
            </w:tcBorders>
            <w:vAlign w:val="center"/>
          </w:tcPr>
          <w:p>
            <w:pPr>
              <w:pStyle w:val="12"/>
              <w:bidi w:val="0"/>
              <w:rPr>
                <w:color w:val="auto"/>
                <w:highlight w:val="none"/>
                <w:lang w:val="zh-CN" w:eastAsia="zh-CN"/>
              </w:rPr>
            </w:pPr>
          </w:p>
          <w:p>
            <w:pPr>
              <w:pStyle w:val="12"/>
              <w:bidi w:val="0"/>
              <w:rPr>
                <w:color w:val="auto"/>
                <w:highlight w:val="none"/>
                <w:lang w:val="zh-CN" w:eastAsia="zh-CN"/>
              </w:rPr>
            </w:pPr>
            <w:r>
              <w:rPr>
                <w:color w:val="auto"/>
                <w:highlight w:val="none"/>
                <w:lang w:val="zh-CN" w:eastAsia="zh-CN"/>
              </w:rPr>
              <w:drawing>
                <wp:inline distT="0" distB="0" distL="0" distR="0">
                  <wp:extent cx="2093595" cy="1899285"/>
                  <wp:effectExtent l="0" t="0" r="1905" b="5715"/>
                  <wp:docPr id="1737284856" name="图片 1737284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284856" name="图片 1737284856"/>
                          <pic:cNvPicPr>
                            <a:picLocks noChangeAspect="1"/>
                          </pic:cNvPicPr>
                        </pic:nvPicPr>
                        <pic:blipFill>
                          <a:blip r:embed="rId80" cstate="print"/>
                          <a:stretch>
                            <a:fillRect/>
                          </a:stretch>
                        </pic:blipFill>
                        <pic:spPr>
                          <a:xfrm>
                            <a:off x="0" y="0"/>
                            <a:ext cx="2098504" cy="1904084"/>
                          </a:xfrm>
                          <a:prstGeom prst="rect">
                            <a:avLst/>
                          </a:prstGeom>
                        </pic:spPr>
                      </pic:pic>
                    </a:graphicData>
                  </a:graphic>
                </wp:inline>
              </w:drawing>
            </w:r>
            <w:r>
              <w:rPr>
                <w:color w:val="auto"/>
                <w:highlight w:val="none"/>
                <w:lang w:val="zh-CN" w:eastAsia="zh-CN"/>
              </w:rPr>
              <w:t xml:space="preserve"> </w:t>
            </w:r>
            <w:r>
              <w:rPr>
                <w:color w:val="auto"/>
                <w:highlight w:val="none"/>
                <w:lang w:val="zh-CN" w:eastAsia="zh-CN"/>
              </w:rPr>
              <w:drawing>
                <wp:inline distT="0" distB="0" distL="0" distR="0">
                  <wp:extent cx="2332355" cy="1897380"/>
                  <wp:effectExtent l="0" t="0" r="1270" b="7620"/>
                  <wp:docPr id="135" name="image71.jpeg" descr="DSC01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image71.jpeg" descr="DSC01936"/>
                          <pic:cNvPicPr>
                            <a:picLocks noChangeAspect="1"/>
                          </pic:cNvPicPr>
                        </pic:nvPicPr>
                        <pic:blipFill>
                          <a:blip r:embed="rId81" cstate="print"/>
                          <a:stretch>
                            <a:fillRect/>
                          </a:stretch>
                        </pic:blipFill>
                        <pic:spPr>
                          <a:xfrm>
                            <a:off x="0" y="0"/>
                            <a:ext cx="2343865" cy="1906249"/>
                          </a:xfrm>
                          <a:prstGeom prst="rect">
                            <a:avLst/>
                          </a:prstGeom>
                        </pic:spPr>
                      </pic:pic>
                    </a:graphicData>
                  </a:graphic>
                </wp:inline>
              </w:drawing>
            </w:r>
          </w:p>
        </w:tc>
        <w:tc>
          <w:tcPr>
            <w:tcW w:w="884" w:type="dxa"/>
            <w:tcBorders>
              <w:top w:val="nil"/>
              <w:left w:val="single" w:color="000000" w:sz="8" w:space="0"/>
              <w:bottom w:val="single" w:color="000000" w:sz="8" w:space="0"/>
              <w:right w:val="single" w:color="000000" w:sz="8" w:space="0"/>
            </w:tcBorders>
            <w:vAlign w:val="center"/>
          </w:tcPr>
          <w:p>
            <w:pPr>
              <w:pStyle w:val="12"/>
              <w:bidi w:val="0"/>
              <w:rPr>
                <w:color w:val="auto"/>
                <w:highlight w:val="none"/>
                <w:lang w:val="zh-CN" w:eastAsia="zh-CN"/>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861" w:hRule="atLeast"/>
          <w:jc w:val="center"/>
        </w:trPr>
        <w:tc>
          <w:tcPr>
            <w:tcW w:w="765" w:type="dxa"/>
            <w:vMerge w:val="continue"/>
            <w:tcBorders>
              <w:bottom w:val="nil"/>
            </w:tcBorders>
            <w:vAlign w:val="center"/>
          </w:tcPr>
          <w:p>
            <w:pPr>
              <w:pStyle w:val="12"/>
              <w:bidi w:val="0"/>
              <w:rPr>
                <w:color w:val="auto"/>
                <w:highlight w:val="none"/>
                <w:lang w:val="zh-CN" w:eastAsia="zh-CN"/>
              </w:rPr>
            </w:pPr>
            <w:r>
              <w:rPr>
                <w:color w:val="auto"/>
                <w:highlight w:val="none"/>
                <w:lang w:val="zh-CN" w:eastAsia="zh-CN"/>
              </w:rPr>
              <w:t>15</w:t>
            </w:r>
          </w:p>
        </w:tc>
        <w:tc>
          <w:tcPr>
            <w:tcW w:w="1080" w:type="dxa"/>
            <w:vMerge w:val="continue"/>
            <w:tcBorders>
              <w:bottom w:val="nil"/>
            </w:tcBorders>
            <w:vAlign w:val="center"/>
          </w:tcPr>
          <w:p>
            <w:pPr>
              <w:pStyle w:val="12"/>
              <w:bidi w:val="0"/>
              <w:rPr>
                <w:color w:val="auto"/>
                <w:highlight w:val="none"/>
                <w:lang w:val="zh-CN" w:eastAsia="zh-CN"/>
              </w:rPr>
            </w:pPr>
            <w:r>
              <w:rPr>
                <w:rFonts w:hint="eastAsia"/>
                <w:color w:val="auto"/>
                <w:highlight w:val="none"/>
                <w:lang w:val="zh-CN" w:eastAsia="zh-CN"/>
              </w:rPr>
              <w:t>玻璃、镜子、淋浴屏</w:t>
            </w:r>
          </w:p>
        </w:tc>
        <w:tc>
          <w:tcPr>
            <w:tcW w:w="812" w:type="dxa"/>
            <w:tcBorders>
              <w:top w:val="single" w:color="000000" w:sz="8" w:space="0"/>
              <w:left w:val="single" w:color="000000" w:sz="8" w:space="0"/>
              <w:bottom w:val="single" w:color="000000" w:sz="8" w:space="0"/>
              <w:right w:val="single" w:color="auto" w:sz="4" w:space="0"/>
            </w:tcBorders>
            <w:vAlign w:val="center"/>
          </w:tcPr>
          <w:p>
            <w:pPr>
              <w:pStyle w:val="12"/>
              <w:bidi w:val="0"/>
              <w:rPr>
                <w:color w:val="auto"/>
                <w:highlight w:val="none"/>
                <w:lang w:val="zh-CN" w:eastAsia="zh-CN"/>
              </w:rPr>
            </w:pPr>
            <w:r>
              <w:rPr>
                <w:color w:val="auto"/>
                <w:highlight w:val="none"/>
                <w:lang w:val="zh-CN" w:eastAsia="zh-CN"/>
              </w:rPr>
              <w:t>安装成品</w:t>
            </w:r>
          </w:p>
        </w:tc>
        <w:tc>
          <w:tcPr>
            <w:tcW w:w="2072" w:type="dxa"/>
            <w:tcBorders>
              <w:top w:val="single" w:color="auto" w:sz="4" w:space="0"/>
              <w:left w:val="single" w:color="auto" w:sz="4" w:space="0"/>
              <w:bottom w:val="single" w:color="auto" w:sz="4" w:space="0"/>
              <w:right w:val="single" w:color="auto" w:sz="4" w:space="0"/>
            </w:tcBorders>
            <w:vAlign w:val="center"/>
          </w:tcPr>
          <w:p>
            <w:pPr>
              <w:pStyle w:val="12"/>
              <w:bidi w:val="0"/>
              <w:rPr>
                <w:color w:val="auto"/>
                <w:highlight w:val="none"/>
                <w:lang w:val="zh-CN" w:eastAsia="zh-CN"/>
              </w:rPr>
            </w:pPr>
            <w:r>
              <w:rPr>
                <w:color w:val="auto"/>
                <w:highlight w:val="none"/>
                <w:lang w:val="zh-CN" w:eastAsia="zh-CN"/>
              </w:rPr>
              <w:t>防潮膜包覆保护</w:t>
            </w:r>
          </w:p>
        </w:tc>
        <w:tc>
          <w:tcPr>
            <w:tcW w:w="7186" w:type="dxa"/>
            <w:tcBorders>
              <w:top w:val="nil"/>
              <w:left w:val="single" w:color="auto" w:sz="4" w:space="0"/>
              <w:bottom w:val="single" w:color="000000" w:sz="8" w:space="0"/>
              <w:right w:val="single" w:color="000000" w:sz="8" w:space="0"/>
            </w:tcBorders>
            <w:vAlign w:val="center"/>
          </w:tcPr>
          <w:p>
            <w:pPr>
              <w:pStyle w:val="12"/>
              <w:bidi w:val="0"/>
              <w:rPr>
                <w:color w:val="auto"/>
                <w:highlight w:val="none"/>
                <w:lang w:val="zh-CN" w:eastAsia="zh-CN"/>
              </w:rPr>
            </w:pPr>
            <w:r>
              <w:rPr>
                <w:color w:val="auto"/>
                <w:highlight w:val="none"/>
                <w:lang w:val="zh-CN" w:eastAsia="zh-CN"/>
              </w:rPr>
              <w:drawing>
                <wp:inline distT="0" distB="0" distL="0" distR="0">
                  <wp:extent cx="2112645" cy="1953895"/>
                  <wp:effectExtent l="0" t="0" r="1905" b="8255"/>
                  <wp:docPr id="76" name="image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72.jpeg"/>
                          <pic:cNvPicPr>
                            <a:picLocks noChangeAspect="1"/>
                          </pic:cNvPicPr>
                        </pic:nvPicPr>
                        <pic:blipFill>
                          <a:blip r:embed="rId82" cstate="print"/>
                          <a:stretch>
                            <a:fillRect/>
                          </a:stretch>
                        </pic:blipFill>
                        <pic:spPr>
                          <a:xfrm>
                            <a:off x="0" y="0"/>
                            <a:ext cx="2113001" cy="1954149"/>
                          </a:xfrm>
                          <a:prstGeom prst="rect">
                            <a:avLst/>
                          </a:prstGeom>
                        </pic:spPr>
                      </pic:pic>
                    </a:graphicData>
                  </a:graphic>
                </wp:inline>
              </w:drawing>
            </w:r>
            <w:r>
              <w:rPr>
                <w:color w:val="auto"/>
                <w:highlight w:val="none"/>
                <w:lang w:val="zh-CN" w:eastAsia="zh-CN"/>
              </w:rPr>
              <w:t xml:space="preserve"> </w:t>
            </w:r>
            <w:r>
              <w:rPr>
                <w:color w:val="auto"/>
                <w:highlight w:val="none"/>
                <w:lang w:val="zh-CN" w:eastAsia="zh-CN"/>
              </w:rPr>
              <w:drawing>
                <wp:inline distT="0" distB="0" distL="0" distR="0">
                  <wp:extent cx="2314575" cy="1951990"/>
                  <wp:effectExtent l="0" t="0" r="0" b="635"/>
                  <wp:docPr id="78" name="image73.jpeg" descr="IMG_2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mage73.jpeg" descr="IMG_2074"/>
                          <pic:cNvPicPr>
                            <a:picLocks noChangeAspect="1"/>
                          </pic:cNvPicPr>
                        </pic:nvPicPr>
                        <pic:blipFill>
                          <a:blip r:embed="rId83" cstate="print"/>
                          <a:stretch>
                            <a:fillRect/>
                          </a:stretch>
                        </pic:blipFill>
                        <pic:spPr>
                          <a:xfrm>
                            <a:off x="0" y="0"/>
                            <a:ext cx="2315044" cy="1952244"/>
                          </a:xfrm>
                          <a:prstGeom prst="rect">
                            <a:avLst/>
                          </a:prstGeom>
                        </pic:spPr>
                      </pic:pic>
                    </a:graphicData>
                  </a:graphic>
                </wp:inline>
              </w:drawing>
            </w:r>
          </w:p>
        </w:tc>
        <w:tc>
          <w:tcPr>
            <w:tcW w:w="884" w:type="dxa"/>
            <w:tcBorders>
              <w:top w:val="nil"/>
              <w:left w:val="single" w:color="000000" w:sz="8" w:space="0"/>
              <w:bottom w:val="single" w:color="000000" w:sz="8" w:space="0"/>
              <w:right w:val="single" w:color="000000" w:sz="8" w:space="0"/>
            </w:tcBorders>
            <w:vAlign w:val="center"/>
          </w:tcPr>
          <w:p>
            <w:pPr>
              <w:pStyle w:val="12"/>
              <w:bidi w:val="0"/>
              <w:rPr>
                <w:color w:val="auto"/>
                <w:highlight w:val="none"/>
                <w:lang w:val="zh-CN" w:eastAsia="zh-CN"/>
              </w:rPr>
            </w:pPr>
          </w:p>
        </w:tc>
      </w:tr>
    </w:tbl>
    <w:p>
      <w:pPr>
        <w:widowControl w:val="0"/>
        <w:spacing w:before="120" w:beforeLines="50" w:beforeAutospacing="0" w:after="120" w:afterLines="50" w:afterAutospacing="0"/>
        <w:ind w:left="480" w:leftChars="200"/>
        <w:jc w:val="both"/>
        <w:rPr>
          <w:rFonts w:ascii="宋体" w:hAnsi="宋体" w:eastAsia="宋体" w:cs="宋体"/>
          <w:color w:val="auto"/>
          <w:szCs w:val="24"/>
          <w:highlight w:val="none"/>
          <w:lang w:bidi="ar"/>
        </w:rPr>
      </w:pPr>
      <w:r>
        <w:rPr>
          <w:rFonts w:hint="eastAsia" w:ascii="宋体" w:hAnsi="宋体" w:eastAsia="宋体" w:cs="宋体"/>
          <w:color w:val="auto"/>
          <w:szCs w:val="24"/>
          <w:highlight w:val="none"/>
          <w:lang w:bidi="ar"/>
        </w:rPr>
        <w:br w:type="page"/>
      </w:r>
    </w:p>
    <w:p>
      <w:pPr>
        <w:pStyle w:val="5"/>
        <w:bidi w:val="0"/>
        <w:ind w:left="253"/>
        <w:rPr>
          <w:color w:val="auto"/>
          <w:highlight w:val="none"/>
        </w:rPr>
      </w:pPr>
      <w:r>
        <w:rPr>
          <w:rFonts w:hint="eastAsia"/>
          <w:color w:val="auto"/>
          <w:highlight w:val="none"/>
        </w:rPr>
        <w:t>园林成品保护标准做法</w:t>
      </w:r>
    </w:p>
    <w:tbl>
      <w:tblPr>
        <w:tblStyle w:val="21"/>
        <w:tblW w:w="13084" w:type="dxa"/>
        <w:jc w:val="center"/>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0" w:type="dxa"/>
          <w:bottom w:w="0" w:type="dxa"/>
          <w:right w:w="0" w:type="dxa"/>
        </w:tblCellMar>
      </w:tblPr>
      <w:tblGrid>
        <w:gridCol w:w="622"/>
        <w:gridCol w:w="1363"/>
        <w:gridCol w:w="71"/>
        <w:gridCol w:w="2792"/>
        <w:gridCol w:w="6922"/>
        <w:gridCol w:w="1314"/>
      </w:tblGrid>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590" w:hRule="atLeast"/>
          <w:jc w:val="center"/>
        </w:trPr>
        <w:tc>
          <w:tcPr>
            <w:tcW w:w="13084" w:type="dxa"/>
            <w:gridSpan w:val="6"/>
            <w:shd w:val="clear" w:color="auto" w:fill="auto"/>
            <w:vAlign w:val="center"/>
          </w:tcPr>
          <w:p>
            <w:pPr>
              <w:pStyle w:val="12"/>
              <w:bidi w:val="0"/>
              <w:rPr>
                <w:b/>
                <w:bCs/>
                <w:color w:val="auto"/>
                <w:highlight w:val="none"/>
                <w:lang w:val="zh-CN" w:eastAsia="zh-CN"/>
              </w:rPr>
            </w:pPr>
            <w:r>
              <w:rPr>
                <w:rFonts w:hint="eastAsia"/>
                <w:b/>
                <w:bCs/>
                <w:color w:val="auto"/>
                <w:highlight w:val="none"/>
                <w:lang w:val="zh-CN" w:eastAsia="zh-CN"/>
              </w:rPr>
              <w:t>园林成品保护标准做法</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88" w:hRule="atLeast"/>
          <w:jc w:val="center"/>
        </w:trPr>
        <w:tc>
          <w:tcPr>
            <w:tcW w:w="622" w:type="dxa"/>
            <w:shd w:val="clear" w:color="auto" w:fill="auto"/>
            <w:vAlign w:val="center"/>
          </w:tcPr>
          <w:p>
            <w:pPr>
              <w:pStyle w:val="12"/>
              <w:bidi w:val="0"/>
              <w:rPr>
                <w:b/>
                <w:bCs/>
                <w:color w:val="auto"/>
                <w:highlight w:val="none"/>
                <w:lang w:val="zh-CN" w:eastAsia="zh-CN"/>
              </w:rPr>
            </w:pPr>
            <w:r>
              <w:rPr>
                <w:rFonts w:hint="eastAsia"/>
                <w:b/>
                <w:bCs/>
                <w:color w:val="auto"/>
                <w:highlight w:val="none"/>
                <w:lang w:val="zh-CN" w:eastAsia="zh-CN"/>
              </w:rPr>
              <w:t>序号</w:t>
            </w:r>
          </w:p>
        </w:tc>
        <w:tc>
          <w:tcPr>
            <w:tcW w:w="1363" w:type="dxa"/>
            <w:shd w:val="clear" w:color="auto" w:fill="auto"/>
            <w:vAlign w:val="center"/>
          </w:tcPr>
          <w:p>
            <w:pPr>
              <w:pStyle w:val="12"/>
              <w:bidi w:val="0"/>
              <w:rPr>
                <w:b/>
                <w:bCs/>
                <w:color w:val="auto"/>
                <w:highlight w:val="none"/>
                <w:lang w:val="zh-CN" w:eastAsia="zh-CN"/>
              </w:rPr>
            </w:pPr>
            <w:r>
              <w:rPr>
                <w:rFonts w:hint="eastAsia"/>
                <w:b/>
                <w:bCs/>
                <w:color w:val="auto"/>
                <w:highlight w:val="none"/>
                <w:lang w:val="zh-CN" w:eastAsia="zh-CN"/>
              </w:rPr>
              <w:t>保护内容</w:t>
            </w:r>
          </w:p>
        </w:tc>
        <w:tc>
          <w:tcPr>
            <w:tcW w:w="2863" w:type="dxa"/>
            <w:gridSpan w:val="2"/>
            <w:shd w:val="clear" w:color="auto" w:fill="auto"/>
            <w:vAlign w:val="center"/>
          </w:tcPr>
          <w:p>
            <w:pPr>
              <w:pStyle w:val="12"/>
              <w:bidi w:val="0"/>
              <w:rPr>
                <w:b/>
                <w:bCs/>
                <w:color w:val="auto"/>
                <w:highlight w:val="none"/>
                <w:lang w:val="zh-CN" w:eastAsia="zh-CN"/>
              </w:rPr>
            </w:pPr>
            <w:r>
              <w:rPr>
                <w:rFonts w:hint="eastAsia"/>
                <w:b/>
                <w:bCs/>
                <w:color w:val="auto"/>
                <w:highlight w:val="none"/>
                <w:lang w:val="zh-CN" w:eastAsia="zh-CN"/>
              </w:rPr>
              <w:t>保护要求标准</w:t>
            </w:r>
          </w:p>
        </w:tc>
        <w:tc>
          <w:tcPr>
            <w:tcW w:w="6922" w:type="dxa"/>
            <w:shd w:val="clear" w:color="auto" w:fill="auto"/>
            <w:vAlign w:val="center"/>
          </w:tcPr>
          <w:p>
            <w:pPr>
              <w:pStyle w:val="12"/>
              <w:bidi w:val="0"/>
              <w:rPr>
                <w:b/>
                <w:bCs/>
                <w:color w:val="auto"/>
                <w:highlight w:val="none"/>
                <w:lang w:val="zh-CN" w:eastAsia="zh-CN"/>
              </w:rPr>
            </w:pPr>
            <w:r>
              <w:rPr>
                <w:rFonts w:hint="eastAsia"/>
                <w:b/>
                <w:bCs/>
                <w:color w:val="auto"/>
                <w:highlight w:val="none"/>
                <w:lang w:val="zh-CN" w:eastAsia="zh-CN"/>
              </w:rPr>
              <w:t>图示</w:t>
            </w:r>
          </w:p>
        </w:tc>
        <w:tc>
          <w:tcPr>
            <w:tcW w:w="1314" w:type="dxa"/>
            <w:shd w:val="clear" w:color="auto" w:fill="auto"/>
            <w:vAlign w:val="center"/>
          </w:tcPr>
          <w:p>
            <w:pPr>
              <w:pStyle w:val="12"/>
              <w:bidi w:val="0"/>
              <w:rPr>
                <w:b/>
                <w:bCs/>
                <w:color w:val="auto"/>
                <w:highlight w:val="none"/>
                <w:lang w:val="zh-CN" w:eastAsia="zh-CN"/>
              </w:rPr>
            </w:pPr>
            <w:r>
              <w:rPr>
                <w:rFonts w:hint="eastAsia"/>
                <w:b/>
                <w:bCs/>
                <w:color w:val="auto"/>
                <w:highlight w:val="none"/>
                <w:lang w:val="zh-CN" w:eastAsia="zh-CN"/>
              </w:rPr>
              <w:t>备注</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505" w:hRule="atLeast"/>
          <w:jc w:val="center"/>
        </w:trPr>
        <w:tc>
          <w:tcPr>
            <w:tcW w:w="622" w:type="dxa"/>
            <w:vMerge w:val="restart"/>
            <w:vAlign w:val="center"/>
          </w:tcPr>
          <w:p>
            <w:pPr>
              <w:pStyle w:val="12"/>
              <w:bidi w:val="0"/>
              <w:rPr>
                <w:color w:val="auto"/>
                <w:highlight w:val="none"/>
                <w:lang w:val="zh-CN" w:eastAsia="zh-CN"/>
              </w:rPr>
            </w:pPr>
            <w:r>
              <w:rPr>
                <w:rFonts w:hint="eastAsia"/>
                <w:color w:val="auto"/>
                <w:highlight w:val="none"/>
                <w:lang w:val="zh-CN" w:eastAsia="zh-CN"/>
              </w:rPr>
              <w:t>1</w:t>
            </w:r>
          </w:p>
        </w:tc>
        <w:tc>
          <w:tcPr>
            <w:tcW w:w="1363" w:type="dxa"/>
            <w:vMerge w:val="restart"/>
            <w:vAlign w:val="center"/>
          </w:tcPr>
          <w:p>
            <w:pPr>
              <w:pStyle w:val="12"/>
              <w:bidi w:val="0"/>
              <w:rPr>
                <w:color w:val="auto"/>
                <w:highlight w:val="none"/>
                <w:lang w:val="zh-CN" w:eastAsia="zh-CN"/>
              </w:rPr>
            </w:pPr>
            <w:r>
              <w:rPr>
                <w:color w:val="auto"/>
                <w:highlight w:val="none"/>
                <w:lang w:val="zh-CN" w:eastAsia="zh-CN"/>
              </w:rPr>
              <w:t>石材工厂包装</w:t>
            </w:r>
          </w:p>
        </w:tc>
        <w:tc>
          <w:tcPr>
            <w:tcW w:w="2863" w:type="dxa"/>
            <w:gridSpan w:val="2"/>
            <w:vAlign w:val="center"/>
          </w:tcPr>
          <w:p>
            <w:pPr>
              <w:pStyle w:val="12"/>
              <w:bidi w:val="0"/>
              <w:rPr>
                <w:color w:val="auto"/>
                <w:highlight w:val="none"/>
                <w:lang w:val="zh-CN" w:eastAsia="zh-CN"/>
              </w:rPr>
            </w:pPr>
            <w:r>
              <w:rPr>
                <w:color w:val="auto"/>
                <w:highlight w:val="none"/>
                <w:lang w:val="zh-CN" w:eastAsia="zh-CN"/>
              </w:rPr>
              <w:t>石材须作四边封边保护，保证同一箱内装同一区域石 材，以方便拆御与安装；异形或较复杂的铺装，除对每箱标识外，还应对每块石材进行编号标识。</w:t>
            </w:r>
          </w:p>
        </w:tc>
        <w:tc>
          <w:tcPr>
            <w:tcW w:w="6922" w:type="dxa"/>
            <w:vAlign w:val="center"/>
          </w:tcPr>
          <w:p>
            <w:pPr>
              <w:pStyle w:val="12"/>
              <w:bidi w:val="0"/>
              <w:rPr>
                <w:color w:val="auto"/>
                <w:highlight w:val="none"/>
                <w:lang w:val="zh-CN" w:eastAsia="zh-CN"/>
              </w:rPr>
            </w:pPr>
          </w:p>
          <w:p>
            <w:pPr>
              <w:pStyle w:val="12"/>
              <w:bidi w:val="0"/>
              <w:rPr>
                <w:color w:val="auto"/>
                <w:highlight w:val="none"/>
                <w:lang w:val="zh-CN" w:eastAsia="zh-CN"/>
              </w:rPr>
            </w:pPr>
            <w:r>
              <w:rPr>
                <w:color w:val="auto"/>
                <w:highlight w:val="none"/>
                <w:lang w:val="zh-CN" w:eastAsia="zh-CN"/>
              </w:rPr>
              <w:drawing>
                <wp:inline distT="0" distB="0" distL="0" distR="0">
                  <wp:extent cx="3081020" cy="2064385"/>
                  <wp:effectExtent l="0" t="0" r="5080" b="2540"/>
                  <wp:docPr id="141" name="image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image74.jpeg"/>
                          <pic:cNvPicPr>
                            <a:picLocks noChangeAspect="1"/>
                          </pic:cNvPicPr>
                        </pic:nvPicPr>
                        <pic:blipFill>
                          <a:blip r:embed="rId84" cstate="print"/>
                          <a:stretch>
                            <a:fillRect/>
                          </a:stretch>
                        </pic:blipFill>
                        <pic:spPr>
                          <a:xfrm>
                            <a:off x="0" y="0"/>
                            <a:ext cx="3081500" cy="2064543"/>
                          </a:xfrm>
                          <a:prstGeom prst="rect">
                            <a:avLst/>
                          </a:prstGeom>
                        </pic:spPr>
                      </pic:pic>
                    </a:graphicData>
                  </a:graphic>
                </wp:inline>
              </w:drawing>
            </w:r>
          </w:p>
        </w:tc>
        <w:tc>
          <w:tcPr>
            <w:tcW w:w="1314" w:type="dxa"/>
            <w:vAlign w:val="center"/>
          </w:tcPr>
          <w:p>
            <w:pPr>
              <w:pStyle w:val="12"/>
              <w:bidi w:val="0"/>
              <w:rPr>
                <w:color w:val="auto"/>
                <w:highlight w:val="none"/>
                <w:lang w:val="zh-CN" w:eastAsia="zh-CN"/>
              </w:rPr>
            </w:pPr>
            <w:r>
              <w:rPr>
                <w:color w:val="auto"/>
                <w:highlight w:val="none"/>
                <w:lang w:val="zh-CN" w:eastAsia="zh-CN"/>
              </w:rPr>
              <w:t>用木板四边包封</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628" w:hRule="atLeast"/>
          <w:jc w:val="center"/>
        </w:trPr>
        <w:tc>
          <w:tcPr>
            <w:tcW w:w="622" w:type="dxa"/>
            <w:vMerge w:val="continue"/>
            <w:tcBorders>
              <w:top w:val="nil"/>
            </w:tcBorders>
            <w:vAlign w:val="center"/>
          </w:tcPr>
          <w:p>
            <w:pPr>
              <w:pStyle w:val="12"/>
              <w:bidi w:val="0"/>
              <w:rPr>
                <w:color w:val="auto"/>
                <w:highlight w:val="none"/>
                <w:lang w:val="zh-CN" w:eastAsia="zh-CN"/>
              </w:rPr>
            </w:pPr>
          </w:p>
        </w:tc>
        <w:tc>
          <w:tcPr>
            <w:tcW w:w="1363" w:type="dxa"/>
            <w:vMerge w:val="continue"/>
            <w:tcBorders>
              <w:top w:val="nil"/>
            </w:tcBorders>
            <w:vAlign w:val="center"/>
          </w:tcPr>
          <w:p>
            <w:pPr>
              <w:pStyle w:val="12"/>
              <w:bidi w:val="0"/>
              <w:rPr>
                <w:color w:val="auto"/>
                <w:highlight w:val="none"/>
                <w:lang w:val="zh-CN" w:eastAsia="zh-CN"/>
              </w:rPr>
            </w:pPr>
          </w:p>
        </w:tc>
        <w:tc>
          <w:tcPr>
            <w:tcW w:w="2863" w:type="dxa"/>
            <w:gridSpan w:val="2"/>
            <w:vAlign w:val="center"/>
          </w:tcPr>
          <w:p>
            <w:pPr>
              <w:pStyle w:val="12"/>
              <w:bidi w:val="0"/>
              <w:rPr>
                <w:color w:val="auto"/>
                <w:highlight w:val="none"/>
                <w:lang w:val="zh-CN" w:eastAsia="zh-CN"/>
              </w:rPr>
            </w:pPr>
            <w:r>
              <w:rPr>
                <w:color w:val="auto"/>
                <w:highlight w:val="none"/>
                <w:lang w:val="zh-CN" w:eastAsia="zh-CN"/>
              </w:rPr>
              <w:t>石材装箱时应光面对光面， 中间须用橡皮胶垫隔开，并用纸板护角包裹四角防止崩角，并在木箱的底部衬垫不小于 2mm 厚橡胶垫，防止石材边直接与木材接触发生崩边</w:t>
            </w:r>
          </w:p>
        </w:tc>
        <w:tc>
          <w:tcPr>
            <w:tcW w:w="6922" w:type="dxa"/>
            <w:vAlign w:val="center"/>
          </w:tcPr>
          <w:p>
            <w:pPr>
              <w:pStyle w:val="12"/>
              <w:bidi w:val="0"/>
              <w:rPr>
                <w:color w:val="auto"/>
                <w:highlight w:val="none"/>
                <w:lang w:val="zh-CN" w:eastAsia="zh-CN"/>
              </w:rPr>
            </w:pPr>
          </w:p>
          <w:p>
            <w:pPr>
              <w:pStyle w:val="12"/>
              <w:bidi w:val="0"/>
              <w:rPr>
                <w:color w:val="auto"/>
                <w:highlight w:val="none"/>
                <w:lang w:val="zh-CN" w:eastAsia="zh-CN"/>
              </w:rPr>
            </w:pPr>
            <w:r>
              <w:rPr>
                <w:color w:val="auto"/>
                <w:highlight w:val="none"/>
                <w:lang w:val="zh-CN" w:eastAsia="zh-CN"/>
              </w:rPr>
              <w:drawing>
                <wp:inline distT="0" distB="0" distL="0" distR="0">
                  <wp:extent cx="3007995" cy="2039620"/>
                  <wp:effectExtent l="0" t="0" r="1905" b="8255"/>
                  <wp:docPr id="143"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image75.jpeg"/>
                          <pic:cNvPicPr>
                            <a:picLocks noChangeAspect="1"/>
                          </pic:cNvPicPr>
                        </pic:nvPicPr>
                        <pic:blipFill>
                          <a:blip r:embed="rId85" cstate="print"/>
                          <a:stretch>
                            <a:fillRect/>
                          </a:stretch>
                        </pic:blipFill>
                        <pic:spPr>
                          <a:xfrm>
                            <a:off x="0" y="0"/>
                            <a:ext cx="3008342" cy="2039683"/>
                          </a:xfrm>
                          <a:prstGeom prst="rect">
                            <a:avLst/>
                          </a:prstGeom>
                        </pic:spPr>
                      </pic:pic>
                    </a:graphicData>
                  </a:graphic>
                </wp:inline>
              </w:drawing>
            </w:r>
          </w:p>
        </w:tc>
        <w:tc>
          <w:tcPr>
            <w:tcW w:w="1314" w:type="dxa"/>
            <w:vAlign w:val="center"/>
          </w:tcPr>
          <w:p>
            <w:pPr>
              <w:pStyle w:val="12"/>
              <w:bidi w:val="0"/>
              <w:rPr>
                <w:color w:val="auto"/>
                <w:highlight w:val="none"/>
                <w:lang w:val="zh-CN" w:eastAsia="zh-CN"/>
              </w:rPr>
            </w:pPr>
            <w:r>
              <w:rPr>
                <w:color w:val="auto"/>
                <w:highlight w:val="none"/>
                <w:lang w:val="zh-CN" w:eastAsia="zh-CN"/>
              </w:rPr>
              <w:t>装箱前的护角包裹</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535" w:hRule="atLeast"/>
          <w:jc w:val="center"/>
        </w:trPr>
        <w:tc>
          <w:tcPr>
            <w:tcW w:w="622" w:type="dxa"/>
            <w:vMerge w:val="continue"/>
            <w:tcBorders>
              <w:top w:val="nil"/>
            </w:tcBorders>
            <w:vAlign w:val="center"/>
          </w:tcPr>
          <w:p>
            <w:pPr>
              <w:pStyle w:val="12"/>
              <w:bidi w:val="0"/>
              <w:rPr>
                <w:color w:val="auto"/>
                <w:highlight w:val="none"/>
                <w:lang w:val="zh-CN" w:eastAsia="zh-CN"/>
              </w:rPr>
            </w:pPr>
          </w:p>
        </w:tc>
        <w:tc>
          <w:tcPr>
            <w:tcW w:w="1363" w:type="dxa"/>
            <w:vMerge w:val="continue"/>
            <w:tcBorders>
              <w:top w:val="nil"/>
            </w:tcBorders>
            <w:vAlign w:val="center"/>
          </w:tcPr>
          <w:p>
            <w:pPr>
              <w:pStyle w:val="12"/>
              <w:bidi w:val="0"/>
              <w:rPr>
                <w:color w:val="auto"/>
                <w:highlight w:val="none"/>
                <w:lang w:val="zh-CN" w:eastAsia="zh-CN"/>
              </w:rPr>
            </w:pPr>
          </w:p>
        </w:tc>
        <w:tc>
          <w:tcPr>
            <w:tcW w:w="2863" w:type="dxa"/>
            <w:gridSpan w:val="2"/>
            <w:vAlign w:val="center"/>
          </w:tcPr>
          <w:p>
            <w:pPr>
              <w:pStyle w:val="12"/>
              <w:bidi w:val="0"/>
              <w:rPr>
                <w:color w:val="auto"/>
                <w:highlight w:val="none"/>
                <w:lang w:val="zh-CN" w:eastAsia="zh-CN"/>
              </w:rPr>
            </w:pPr>
            <w:r>
              <w:rPr>
                <w:color w:val="auto"/>
                <w:highlight w:val="none"/>
                <w:lang w:val="zh-CN" w:eastAsia="zh-CN"/>
              </w:rPr>
              <w:t>石凳、异形压项、雕塑等须单个用木架固定，防止运输过程中碰撞破损；大型花钵</w:t>
            </w:r>
          </w:p>
          <w:p>
            <w:pPr>
              <w:pStyle w:val="12"/>
              <w:bidi w:val="0"/>
              <w:rPr>
                <w:color w:val="auto"/>
                <w:highlight w:val="none"/>
                <w:lang w:val="zh-CN" w:eastAsia="zh-CN"/>
              </w:rPr>
            </w:pPr>
            <w:r>
              <w:rPr>
                <w:color w:val="auto"/>
                <w:highlight w:val="none"/>
                <w:lang w:val="zh-CN" w:eastAsia="zh-CN"/>
              </w:rPr>
              <w:t>、雕塑等必须用钢架焊接作固定保护</w:t>
            </w:r>
          </w:p>
        </w:tc>
        <w:tc>
          <w:tcPr>
            <w:tcW w:w="6922" w:type="dxa"/>
            <w:vAlign w:val="center"/>
          </w:tcPr>
          <w:p>
            <w:pPr>
              <w:pStyle w:val="12"/>
              <w:bidi w:val="0"/>
              <w:rPr>
                <w:color w:val="auto"/>
                <w:highlight w:val="none"/>
                <w:lang w:val="zh-CN" w:eastAsia="zh-CN"/>
              </w:rPr>
            </w:pPr>
          </w:p>
          <w:p>
            <w:pPr>
              <w:pStyle w:val="12"/>
              <w:bidi w:val="0"/>
              <w:rPr>
                <w:color w:val="auto"/>
                <w:highlight w:val="none"/>
                <w:lang w:val="zh-CN" w:eastAsia="zh-CN"/>
              </w:rPr>
            </w:pPr>
            <w:r>
              <w:rPr>
                <w:color w:val="auto"/>
                <w:highlight w:val="none"/>
                <w:lang w:val="zh-CN" w:eastAsia="zh-CN"/>
              </w:rPr>
              <w:drawing>
                <wp:inline distT="0" distB="0" distL="0" distR="0">
                  <wp:extent cx="4443095" cy="1852930"/>
                  <wp:effectExtent l="0" t="0" r="5080" b="4445"/>
                  <wp:docPr id="145" name="image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image76.jpeg"/>
                          <pic:cNvPicPr>
                            <a:picLocks noChangeAspect="1"/>
                          </pic:cNvPicPr>
                        </pic:nvPicPr>
                        <pic:blipFill>
                          <a:blip r:embed="rId86" cstate="print"/>
                          <a:stretch>
                            <a:fillRect/>
                          </a:stretch>
                        </pic:blipFill>
                        <pic:spPr>
                          <a:xfrm>
                            <a:off x="0" y="0"/>
                            <a:ext cx="4443541" cy="1853374"/>
                          </a:xfrm>
                          <a:prstGeom prst="rect">
                            <a:avLst/>
                          </a:prstGeom>
                        </pic:spPr>
                      </pic:pic>
                    </a:graphicData>
                  </a:graphic>
                </wp:inline>
              </w:drawing>
            </w:r>
          </w:p>
        </w:tc>
        <w:tc>
          <w:tcPr>
            <w:tcW w:w="1314" w:type="dxa"/>
            <w:vAlign w:val="center"/>
          </w:tcPr>
          <w:p>
            <w:pPr>
              <w:pStyle w:val="12"/>
              <w:bidi w:val="0"/>
              <w:rPr>
                <w:color w:val="auto"/>
                <w:highlight w:val="none"/>
                <w:lang w:val="zh-CN" w:eastAsia="zh-CN"/>
              </w:rPr>
            </w:pPr>
            <w:r>
              <w:rPr>
                <w:color w:val="auto"/>
                <w:highlight w:val="none"/>
                <w:lang w:val="zh-CN" w:eastAsia="zh-CN"/>
              </w:rPr>
              <w:t>木架保护</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PrEx>
        <w:trPr>
          <w:trHeight w:val="3213" w:hRule="atLeast"/>
          <w:jc w:val="center"/>
        </w:trPr>
        <w:tc>
          <w:tcPr>
            <w:tcW w:w="622" w:type="dxa"/>
            <w:vAlign w:val="center"/>
          </w:tcPr>
          <w:p>
            <w:pPr>
              <w:pStyle w:val="12"/>
              <w:bidi w:val="0"/>
              <w:rPr>
                <w:color w:val="auto"/>
                <w:highlight w:val="none"/>
                <w:lang w:val="zh-CN" w:eastAsia="zh-CN"/>
              </w:rPr>
            </w:pPr>
            <w:r>
              <w:rPr>
                <w:color w:val="auto"/>
                <w:highlight w:val="none"/>
                <w:lang w:val="zh-CN" w:eastAsia="zh-CN"/>
              </w:rPr>
              <w:t>2</w:t>
            </w:r>
          </w:p>
        </w:tc>
        <w:tc>
          <w:tcPr>
            <w:tcW w:w="1363" w:type="dxa"/>
            <w:vAlign w:val="center"/>
          </w:tcPr>
          <w:p>
            <w:pPr>
              <w:pStyle w:val="12"/>
              <w:bidi w:val="0"/>
              <w:rPr>
                <w:color w:val="auto"/>
                <w:highlight w:val="none"/>
                <w:lang w:val="zh-CN" w:eastAsia="zh-CN"/>
              </w:rPr>
            </w:pPr>
            <w:r>
              <w:rPr>
                <w:color w:val="auto"/>
                <w:highlight w:val="none"/>
                <w:lang w:val="zh-CN" w:eastAsia="zh-CN"/>
              </w:rPr>
              <w:t>石材搬运、装缷</w:t>
            </w:r>
          </w:p>
        </w:tc>
        <w:tc>
          <w:tcPr>
            <w:tcW w:w="2863" w:type="dxa"/>
            <w:gridSpan w:val="2"/>
            <w:vAlign w:val="center"/>
          </w:tcPr>
          <w:p>
            <w:pPr>
              <w:pStyle w:val="12"/>
              <w:bidi w:val="0"/>
              <w:rPr>
                <w:color w:val="auto"/>
                <w:highlight w:val="none"/>
                <w:lang w:val="zh-CN" w:eastAsia="zh-CN"/>
              </w:rPr>
            </w:pPr>
            <w:r>
              <w:rPr>
                <w:color w:val="auto"/>
                <w:highlight w:val="none"/>
                <w:lang w:val="zh-CN" w:eastAsia="zh-CN"/>
              </w:rPr>
              <w:t>石材装、卸车时应采用叉、吊车等专业机械，避免搬运过程受力不均造成板材的挤压损坏，装车时排放须整齐</w:t>
            </w:r>
          </w:p>
        </w:tc>
        <w:tc>
          <w:tcPr>
            <w:tcW w:w="6922" w:type="dxa"/>
            <w:vAlign w:val="center"/>
          </w:tcPr>
          <w:p>
            <w:pPr>
              <w:pStyle w:val="12"/>
              <w:bidi w:val="0"/>
              <w:rPr>
                <w:color w:val="auto"/>
                <w:highlight w:val="none"/>
                <w:lang w:val="zh-CN" w:eastAsia="zh-CN"/>
              </w:rPr>
            </w:pPr>
          </w:p>
          <w:p>
            <w:pPr>
              <w:pStyle w:val="12"/>
              <w:bidi w:val="0"/>
              <w:rPr>
                <w:color w:val="auto"/>
                <w:highlight w:val="none"/>
                <w:lang w:val="zh-CN" w:eastAsia="zh-CN"/>
              </w:rPr>
            </w:pPr>
            <w:r>
              <w:rPr>
                <w:color w:val="auto"/>
                <w:highlight w:val="none"/>
                <w:lang w:val="zh-CN" w:eastAsia="zh-CN"/>
              </w:rPr>
              <w:drawing>
                <wp:inline distT="0" distB="0" distL="0" distR="0">
                  <wp:extent cx="2929890" cy="2000885"/>
                  <wp:effectExtent l="0" t="0" r="3810" b="8890"/>
                  <wp:docPr id="149" name="image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image78.jpeg"/>
                          <pic:cNvPicPr>
                            <a:picLocks noChangeAspect="1"/>
                          </pic:cNvPicPr>
                        </pic:nvPicPr>
                        <pic:blipFill>
                          <a:blip r:embed="rId87" cstate="print"/>
                          <a:stretch>
                            <a:fillRect/>
                          </a:stretch>
                        </pic:blipFill>
                        <pic:spPr>
                          <a:xfrm>
                            <a:off x="0" y="0"/>
                            <a:ext cx="2930283" cy="2001393"/>
                          </a:xfrm>
                          <a:prstGeom prst="rect">
                            <a:avLst/>
                          </a:prstGeom>
                        </pic:spPr>
                      </pic:pic>
                    </a:graphicData>
                  </a:graphic>
                </wp:inline>
              </w:drawing>
            </w:r>
          </w:p>
        </w:tc>
        <w:tc>
          <w:tcPr>
            <w:tcW w:w="1314" w:type="dxa"/>
            <w:vAlign w:val="center"/>
          </w:tcPr>
          <w:p>
            <w:pPr>
              <w:pStyle w:val="12"/>
              <w:bidi w:val="0"/>
              <w:rPr>
                <w:color w:val="auto"/>
                <w:highlight w:val="none"/>
                <w:lang w:val="zh-CN" w:eastAsia="zh-CN"/>
              </w:rPr>
            </w:pPr>
            <w:r>
              <w:rPr>
                <w:color w:val="auto"/>
                <w:highlight w:val="none"/>
                <w:lang w:val="zh-CN" w:eastAsia="zh-CN"/>
              </w:rPr>
              <w:t>石材运输及装卸</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395" w:hRule="atLeast"/>
          <w:jc w:val="center"/>
        </w:trPr>
        <w:tc>
          <w:tcPr>
            <w:tcW w:w="622" w:type="dxa"/>
            <w:vMerge w:val="restart"/>
            <w:vAlign w:val="center"/>
          </w:tcPr>
          <w:p>
            <w:pPr>
              <w:pStyle w:val="12"/>
              <w:bidi w:val="0"/>
              <w:rPr>
                <w:color w:val="auto"/>
                <w:highlight w:val="none"/>
                <w:lang w:val="zh-CN" w:eastAsia="zh-CN"/>
              </w:rPr>
            </w:pPr>
            <w:r>
              <w:rPr>
                <w:color w:val="auto"/>
                <w:highlight w:val="none"/>
                <w:lang w:val="zh-CN" w:eastAsia="zh-CN"/>
              </w:rPr>
              <w:t>3</w:t>
            </w:r>
          </w:p>
        </w:tc>
        <w:tc>
          <w:tcPr>
            <w:tcW w:w="1434" w:type="dxa"/>
            <w:gridSpan w:val="2"/>
            <w:vMerge w:val="restart"/>
            <w:vAlign w:val="center"/>
          </w:tcPr>
          <w:p>
            <w:pPr>
              <w:pStyle w:val="12"/>
              <w:bidi w:val="0"/>
              <w:rPr>
                <w:color w:val="auto"/>
                <w:highlight w:val="none"/>
                <w:lang w:val="zh-CN" w:eastAsia="zh-CN"/>
              </w:rPr>
            </w:pPr>
            <w:r>
              <w:rPr>
                <w:color w:val="auto"/>
                <w:highlight w:val="none"/>
                <w:lang w:val="zh-CN" w:eastAsia="zh-CN"/>
              </w:rPr>
              <w:t>石材进场及堆放</w:t>
            </w:r>
          </w:p>
        </w:tc>
        <w:tc>
          <w:tcPr>
            <w:tcW w:w="2792" w:type="dxa"/>
            <w:vMerge w:val="restart"/>
            <w:vAlign w:val="center"/>
          </w:tcPr>
          <w:p>
            <w:pPr>
              <w:pStyle w:val="12"/>
              <w:bidi w:val="0"/>
              <w:rPr>
                <w:color w:val="auto"/>
                <w:highlight w:val="none"/>
                <w:lang w:val="zh-CN" w:eastAsia="zh-CN"/>
              </w:rPr>
            </w:pPr>
            <w:r>
              <w:rPr>
                <w:color w:val="auto"/>
                <w:highlight w:val="none"/>
                <w:lang w:val="zh-CN" w:eastAsia="zh-CN"/>
              </w:rPr>
              <w:t>石材进场后堆放不得与地面直接接触，需用木方垫起或在底部 衬垫橡胶垫（薄毯），且须排放整齐</w:t>
            </w:r>
          </w:p>
        </w:tc>
        <w:tc>
          <w:tcPr>
            <w:tcW w:w="6922" w:type="dxa"/>
            <w:vAlign w:val="center"/>
          </w:tcPr>
          <w:p>
            <w:pPr>
              <w:pStyle w:val="12"/>
              <w:bidi w:val="0"/>
              <w:rPr>
                <w:color w:val="auto"/>
                <w:highlight w:val="none"/>
                <w:lang w:val="zh-CN" w:eastAsia="zh-CN"/>
              </w:rPr>
            </w:pPr>
          </w:p>
          <w:p>
            <w:pPr>
              <w:pStyle w:val="12"/>
              <w:bidi w:val="0"/>
              <w:rPr>
                <w:color w:val="auto"/>
                <w:highlight w:val="none"/>
                <w:lang w:val="zh-CN" w:eastAsia="zh-CN"/>
              </w:rPr>
            </w:pPr>
            <w:r>
              <w:rPr>
                <w:color w:val="auto"/>
                <w:highlight w:val="none"/>
                <w:lang w:val="zh-CN" w:eastAsia="zh-CN"/>
              </w:rPr>
              <w:drawing>
                <wp:inline distT="0" distB="0" distL="0" distR="0">
                  <wp:extent cx="4566285" cy="1817370"/>
                  <wp:effectExtent l="0" t="0" r="5715" b="1905"/>
                  <wp:docPr id="164" name="image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image79.jpeg"/>
                          <pic:cNvPicPr>
                            <a:picLocks noChangeAspect="1"/>
                          </pic:cNvPicPr>
                        </pic:nvPicPr>
                        <pic:blipFill>
                          <a:blip r:embed="rId88" cstate="print"/>
                          <a:stretch>
                            <a:fillRect/>
                          </a:stretch>
                        </pic:blipFill>
                        <pic:spPr>
                          <a:xfrm>
                            <a:off x="0" y="0"/>
                            <a:ext cx="4566734" cy="1817560"/>
                          </a:xfrm>
                          <a:prstGeom prst="rect">
                            <a:avLst/>
                          </a:prstGeom>
                        </pic:spPr>
                      </pic:pic>
                    </a:graphicData>
                  </a:graphic>
                </wp:inline>
              </w:drawing>
            </w:r>
          </w:p>
        </w:tc>
        <w:tc>
          <w:tcPr>
            <w:tcW w:w="1314" w:type="dxa"/>
            <w:vAlign w:val="center"/>
          </w:tcPr>
          <w:p>
            <w:pPr>
              <w:pStyle w:val="12"/>
              <w:bidi w:val="0"/>
              <w:rPr>
                <w:color w:val="auto"/>
                <w:highlight w:val="none"/>
                <w:lang w:val="zh-CN" w:eastAsia="zh-CN"/>
              </w:rPr>
            </w:pPr>
            <w:r>
              <w:rPr>
                <w:color w:val="auto"/>
                <w:highlight w:val="none"/>
                <w:lang w:val="zh-CN" w:eastAsia="zh-CN"/>
              </w:rPr>
              <w:t>大板材成品保护措施</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273" w:hRule="atLeast"/>
          <w:jc w:val="center"/>
        </w:trPr>
        <w:tc>
          <w:tcPr>
            <w:tcW w:w="622" w:type="dxa"/>
            <w:vMerge w:val="continue"/>
            <w:tcBorders>
              <w:top w:val="nil"/>
            </w:tcBorders>
            <w:vAlign w:val="center"/>
          </w:tcPr>
          <w:p>
            <w:pPr>
              <w:pStyle w:val="12"/>
              <w:bidi w:val="0"/>
              <w:rPr>
                <w:color w:val="auto"/>
                <w:highlight w:val="none"/>
                <w:lang w:val="zh-CN" w:eastAsia="zh-CN"/>
              </w:rPr>
            </w:pPr>
          </w:p>
        </w:tc>
        <w:tc>
          <w:tcPr>
            <w:tcW w:w="1434" w:type="dxa"/>
            <w:gridSpan w:val="2"/>
            <w:vMerge w:val="continue"/>
            <w:tcBorders>
              <w:top w:val="nil"/>
            </w:tcBorders>
            <w:vAlign w:val="center"/>
          </w:tcPr>
          <w:p>
            <w:pPr>
              <w:pStyle w:val="12"/>
              <w:bidi w:val="0"/>
              <w:rPr>
                <w:color w:val="auto"/>
                <w:highlight w:val="none"/>
                <w:lang w:val="zh-CN" w:eastAsia="zh-CN"/>
              </w:rPr>
            </w:pPr>
          </w:p>
        </w:tc>
        <w:tc>
          <w:tcPr>
            <w:tcW w:w="2792" w:type="dxa"/>
            <w:vMerge w:val="continue"/>
            <w:tcBorders>
              <w:top w:val="nil"/>
            </w:tcBorders>
            <w:vAlign w:val="center"/>
          </w:tcPr>
          <w:p>
            <w:pPr>
              <w:pStyle w:val="12"/>
              <w:bidi w:val="0"/>
              <w:rPr>
                <w:color w:val="auto"/>
                <w:highlight w:val="none"/>
                <w:lang w:val="zh-CN" w:eastAsia="zh-CN"/>
              </w:rPr>
            </w:pPr>
          </w:p>
        </w:tc>
        <w:tc>
          <w:tcPr>
            <w:tcW w:w="6922" w:type="dxa"/>
            <w:vAlign w:val="center"/>
          </w:tcPr>
          <w:p>
            <w:pPr>
              <w:pStyle w:val="12"/>
              <w:bidi w:val="0"/>
              <w:rPr>
                <w:color w:val="auto"/>
                <w:highlight w:val="none"/>
                <w:lang w:val="zh-CN" w:eastAsia="zh-CN"/>
              </w:rPr>
            </w:pPr>
          </w:p>
          <w:p>
            <w:pPr>
              <w:pStyle w:val="12"/>
              <w:bidi w:val="0"/>
              <w:rPr>
                <w:color w:val="auto"/>
                <w:highlight w:val="none"/>
                <w:lang w:val="zh-CN" w:eastAsia="zh-CN"/>
              </w:rPr>
            </w:pPr>
            <w:r>
              <w:rPr>
                <w:color w:val="auto"/>
                <w:highlight w:val="none"/>
                <w:lang w:val="zh-CN" w:eastAsia="zh-CN"/>
              </w:rPr>
              <w:drawing>
                <wp:inline distT="0" distB="0" distL="0" distR="0">
                  <wp:extent cx="4558665" cy="1733550"/>
                  <wp:effectExtent l="0" t="0" r="3810" b="0"/>
                  <wp:docPr id="153" name="image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image80.jpeg"/>
                          <pic:cNvPicPr>
                            <a:picLocks noChangeAspect="1"/>
                          </pic:cNvPicPr>
                        </pic:nvPicPr>
                        <pic:blipFill>
                          <a:blip r:embed="rId89" cstate="print"/>
                          <a:stretch>
                            <a:fillRect/>
                          </a:stretch>
                        </pic:blipFill>
                        <pic:spPr>
                          <a:xfrm>
                            <a:off x="0" y="0"/>
                            <a:ext cx="4559100" cy="1733550"/>
                          </a:xfrm>
                          <a:prstGeom prst="rect">
                            <a:avLst/>
                          </a:prstGeom>
                        </pic:spPr>
                      </pic:pic>
                    </a:graphicData>
                  </a:graphic>
                </wp:inline>
              </w:drawing>
            </w:r>
          </w:p>
        </w:tc>
        <w:tc>
          <w:tcPr>
            <w:tcW w:w="1314" w:type="dxa"/>
            <w:vAlign w:val="center"/>
          </w:tcPr>
          <w:p>
            <w:pPr>
              <w:pStyle w:val="12"/>
              <w:bidi w:val="0"/>
              <w:rPr>
                <w:color w:val="auto"/>
                <w:highlight w:val="none"/>
                <w:lang w:val="zh-CN" w:eastAsia="zh-CN"/>
              </w:rPr>
            </w:pPr>
          </w:p>
          <w:p>
            <w:pPr>
              <w:pStyle w:val="12"/>
              <w:bidi w:val="0"/>
              <w:rPr>
                <w:color w:val="auto"/>
                <w:highlight w:val="none"/>
                <w:lang w:val="zh-CN" w:eastAsia="zh-CN"/>
              </w:rPr>
            </w:pPr>
          </w:p>
          <w:p>
            <w:pPr>
              <w:pStyle w:val="12"/>
              <w:bidi w:val="0"/>
              <w:rPr>
                <w:color w:val="auto"/>
                <w:highlight w:val="none"/>
                <w:lang w:val="zh-CN" w:eastAsia="zh-CN"/>
              </w:rPr>
            </w:pPr>
          </w:p>
          <w:p>
            <w:pPr>
              <w:pStyle w:val="12"/>
              <w:bidi w:val="0"/>
              <w:rPr>
                <w:color w:val="auto"/>
                <w:highlight w:val="none"/>
                <w:lang w:val="zh-CN" w:eastAsia="zh-CN"/>
              </w:rPr>
            </w:pPr>
            <w:r>
              <w:rPr>
                <w:color w:val="auto"/>
                <w:highlight w:val="none"/>
                <w:lang w:val="zh-CN" w:eastAsia="zh-CN"/>
              </w:rPr>
              <w:t>小板材成品保护措施</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549" w:hRule="atLeast"/>
          <w:jc w:val="center"/>
        </w:trPr>
        <w:tc>
          <w:tcPr>
            <w:tcW w:w="622" w:type="dxa"/>
            <w:vAlign w:val="center"/>
          </w:tcPr>
          <w:p>
            <w:pPr>
              <w:pStyle w:val="12"/>
              <w:bidi w:val="0"/>
              <w:rPr>
                <w:color w:val="auto"/>
                <w:highlight w:val="none"/>
                <w:lang w:val="zh-CN" w:eastAsia="zh-CN"/>
              </w:rPr>
            </w:pPr>
            <w:r>
              <w:rPr>
                <w:color w:val="auto"/>
                <w:highlight w:val="none"/>
                <w:lang w:val="zh-CN" w:eastAsia="zh-CN"/>
              </w:rPr>
              <w:t>4</w:t>
            </w:r>
          </w:p>
        </w:tc>
        <w:tc>
          <w:tcPr>
            <w:tcW w:w="1434" w:type="dxa"/>
            <w:gridSpan w:val="2"/>
            <w:vAlign w:val="center"/>
          </w:tcPr>
          <w:p>
            <w:pPr>
              <w:pStyle w:val="12"/>
              <w:bidi w:val="0"/>
              <w:rPr>
                <w:color w:val="auto"/>
                <w:highlight w:val="none"/>
                <w:lang w:val="zh-CN" w:eastAsia="zh-CN"/>
              </w:rPr>
            </w:pPr>
            <w:r>
              <w:rPr>
                <w:color w:val="auto"/>
                <w:highlight w:val="none"/>
                <w:lang w:val="zh-CN" w:eastAsia="zh-CN"/>
              </w:rPr>
              <w:t>石材二次搬运</w:t>
            </w:r>
          </w:p>
        </w:tc>
        <w:tc>
          <w:tcPr>
            <w:tcW w:w="2792" w:type="dxa"/>
            <w:vAlign w:val="center"/>
          </w:tcPr>
          <w:p>
            <w:pPr>
              <w:pStyle w:val="12"/>
              <w:bidi w:val="0"/>
              <w:rPr>
                <w:color w:val="auto"/>
                <w:highlight w:val="none"/>
                <w:lang w:val="zh-CN" w:eastAsia="zh-CN"/>
              </w:rPr>
            </w:pPr>
          </w:p>
          <w:p>
            <w:pPr>
              <w:pStyle w:val="12"/>
              <w:bidi w:val="0"/>
              <w:rPr>
                <w:color w:val="auto"/>
                <w:highlight w:val="none"/>
                <w:lang w:val="zh-CN" w:eastAsia="zh-CN"/>
              </w:rPr>
            </w:pPr>
          </w:p>
          <w:p>
            <w:pPr>
              <w:pStyle w:val="12"/>
              <w:bidi w:val="0"/>
              <w:rPr>
                <w:color w:val="auto"/>
                <w:highlight w:val="none"/>
                <w:lang w:val="zh-CN" w:eastAsia="zh-CN"/>
              </w:rPr>
            </w:pPr>
            <w:r>
              <w:rPr>
                <w:color w:val="auto"/>
                <w:highlight w:val="none"/>
                <w:lang w:val="zh-CN" w:eastAsia="zh-CN"/>
              </w:rPr>
              <w:t>涉及二次及多次搬运的石 材，应使用平板车拖运，如少量石材用斗车搬运的，必须绵布等作包裹保护，防止碰伤缺角</w:t>
            </w:r>
          </w:p>
        </w:tc>
        <w:tc>
          <w:tcPr>
            <w:tcW w:w="6922" w:type="dxa"/>
            <w:vAlign w:val="center"/>
          </w:tcPr>
          <w:p>
            <w:pPr>
              <w:pStyle w:val="12"/>
              <w:bidi w:val="0"/>
              <w:rPr>
                <w:color w:val="auto"/>
                <w:highlight w:val="none"/>
                <w:lang w:val="zh-CN" w:eastAsia="zh-CN"/>
              </w:rPr>
            </w:pPr>
          </w:p>
          <w:p>
            <w:pPr>
              <w:pStyle w:val="12"/>
              <w:bidi w:val="0"/>
              <w:rPr>
                <w:color w:val="auto"/>
                <w:highlight w:val="none"/>
                <w:lang w:val="zh-CN" w:eastAsia="zh-CN"/>
              </w:rPr>
            </w:pPr>
            <w:r>
              <w:rPr>
                <w:color w:val="auto"/>
                <w:highlight w:val="none"/>
                <w:lang w:val="zh-CN" w:eastAsia="zh-CN"/>
              </w:rPr>
              <w:drawing>
                <wp:inline distT="0" distB="0" distL="0" distR="0">
                  <wp:extent cx="3046730" cy="2028825"/>
                  <wp:effectExtent l="0" t="0" r="1270" b="0"/>
                  <wp:docPr id="155" name="image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image81.jpeg"/>
                          <pic:cNvPicPr>
                            <a:picLocks noChangeAspect="1"/>
                          </pic:cNvPicPr>
                        </pic:nvPicPr>
                        <pic:blipFill>
                          <a:blip r:embed="rId90" cstate="print"/>
                          <a:stretch>
                            <a:fillRect/>
                          </a:stretch>
                        </pic:blipFill>
                        <pic:spPr>
                          <a:xfrm>
                            <a:off x="0" y="0"/>
                            <a:ext cx="3047132" cy="2029396"/>
                          </a:xfrm>
                          <a:prstGeom prst="rect">
                            <a:avLst/>
                          </a:prstGeom>
                        </pic:spPr>
                      </pic:pic>
                    </a:graphicData>
                  </a:graphic>
                </wp:inline>
              </w:drawing>
            </w:r>
          </w:p>
        </w:tc>
        <w:tc>
          <w:tcPr>
            <w:tcW w:w="1314" w:type="dxa"/>
            <w:vAlign w:val="center"/>
          </w:tcPr>
          <w:p>
            <w:pPr>
              <w:pStyle w:val="12"/>
              <w:bidi w:val="0"/>
              <w:rPr>
                <w:color w:val="auto"/>
                <w:highlight w:val="none"/>
                <w:lang w:val="zh-CN" w:eastAsia="zh-CN"/>
              </w:rPr>
            </w:pPr>
            <w:r>
              <w:rPr>
                <w:color w:val="auto"/>
                <w:highlight w:val="none"/>
                <w:lang w:val="zh-CN" w:eastAsia="zh-CN"/>
              </w:rPr>
              <w:t>二次搬运的成品保护</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733" w:hRule="atLeast"/>
          <w:jc w:val="center"/>
        </w:trPr>
        <w:tc>
          <w:tcPr>
            <w:tcW w:w="622" w:type="dxa"/>
            <w:vMerge w:val="restart"/>
            <w:vAlign w:val="center"/>
          </w:tcPr>
          <w:p>
            <w:pPr>
              <w:pStyle w:val="12"/>
              <w:bidi w:val="0"/>
              <w:rPr>
                <w:color w:val="auto"/>
                <w:highlight w:val="none"/>
                <w:lang w:val="zh-CN" w:eastAsia="zh-CN"/>
              </w:rPr>
            </w:pPr>
            <w:r>
              <w:rPr>
                <w:color w:val="auto"/>
                <w:highlight w:val="none"/>
                <w:lang w:val="zh-CN" w:eastAsia="zh-CN"/>
              </w:rPr>
              <w:t>5</w:t>
            </w:r>
          </w:p>
        </w:tc>
        <w:tc>
          <w:tcPr>
            <w:tcW w:w="1434" w:type="dxa"/>
            <w:gridSpan w:val="2"/>
            <w:vMerge w:val="restart"/>
            <w:vAlign w:val="center"/>
          </w:tcPr>
          <w:p>
            <w:pPr>
              <w:pStyle w:val="12"/>
              <w:bidi w:val="0"/>
              <w:rPr>
                <w:color w:val="auto"/>
                <w:highlight w:val="none"/>
                <w:lang w:val="zh-CN" w:eastAsia="zh-CN"/>
              </w:rPr>
            </w:pPr>
            <w:r>
              <w:rPr>
                <w:color w:val="auto"/>
                <w:highlight w:val="none"/>
                <w:lang w:val="zh-CN" w:eastAsia="zh-CN"/>
              </w:rPr>
              <w:t>施工过程中的石材保护</w:t>
            </w:r>
          </w:p>
        </w:tc>
        <w:tc>
          <w:tcPr>
            <w:tcW w:w="2792" w:type="dxa"/>
            <w:vAlign w:val="center"/>
          </w:tcPr>
          <w:p>
            <w:pPr>
              <w:pStyle w:val="12"/>
              <w:bidi w:val="0"/>
              <w:rPr>
                <w:color w:val="auto"/>
                <w:highlight w:val="none"/>
                <w:lang w:val="zh-CN" w:eastAsia="zh-CN"/>
              </w:rPr>
            </w:pPr>
            <w:r>
              <w:rPr>
                <w:color w:val="auto"/>
                <w:highlight w:val="none"/>
                <w:lang w:val="zh-CN" w:eastAsia="zh-CN"/>
              </w:rPr>
              <w:t>铺装施工时需合理安排施工顺序，避免大量的交叉施 工；如有，应合理规划施工通道，施工养护区域应有效围合，并组织专人疏导交通</w:t>
            </w:r>
          </w:p>
        </w:tc>
        <w:tc>
          <w:tcPr>
            <w:tcW w:w="6922" w:type="dxa"/>
            <w:vAlign w:val="center"/>
          </w:tcPr>
          <w:p>
            <w:pPr>
              <w:pStyle w:val="12"/>
              <w:bidi w:val="0"/>
              <w:rPr>
                <w:color w:val="auto"/>
                <w:highlight w:val="none"/>
                <w:lang w:val="zh-CN" w:eastAsia="zh-CN"/>
              </w:rPr>
            </w:pPr>
          </w:p>
          <w:p>
            <w:pPr>
              <w:pStyle w:val="12"/>
              <w:bidi w:val="0"/>
              <w:rPr>
                <w:color w:val="auto"/>
                <w:highlight w:val="none"/>
                <w:lang w:val="zh-CN" w:eastAsia="zh-CN"/>
              </w:rPr>
            </w:pPr>
            <w:r>
              <w:rPr>
                <w:color w:val="auto"/>
                <w:highlight w:val="none"/>
                <w:lang w:val="zh-CN" w:eastAsia="zh-CN"/>
              </w:rPr>
              <w:drawing>
                <wp:inline distT="0" distB="0" distL="0" distR="0">
                  <wp:extent cx="3068320" cy="2093595"/>
                  <wp:effectExtent l="0" t="0" r="8255" b="1905"/>
                  <wp:docPr id="157" name="image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image82.jpeg"/>
                          <pic:cNvPicPr>
                            <a:picLocks noChangeAspect="1"/>
                          </pic:cNvPicPr>
                        </pic:nvPicPr>
                        <pic:blipFill>
                          <a:blip r:embed="rId91" cstate="print"/>
                          <a:stretch>
                            <a:fillRect/>
                          </a:stretch>
                        </pic:blipFill>
                        <pic:spPr>
                          <a:xfrm>
                            <a:off x="0" y="0"/>
                            <a:ext cx="3068496" cy="2093880"/>
                          </a:xfrm>
                          <a:prstGeom prst="rect">
                            <a:avLst/>
                          </a:prstGeom>
                        </pic:spPr>
                      </pic:pic>
                    </a:graphicData>
                  </a:graphic>
                </wp:inline>
              </w:drawing>
            </w:r>
          </w:p>
        </w:tc>
        <w:tc>
          <w:tcPr>
            <w:tcW w:w="1314" w:type="dxa"/>
            <w:vAlign w:val="center"/>
          </w:tcPr>
          <w:p>
            <w:pPr>
              <w:pStyle w:val="12"/>
              <w:bidi w:val="0"/>
              <w:rPr>
                <w:color w:val="auto"/>
                <w:highlight w:val="none"/>
                <w:lang w:val="zh-CN" w:eastAsia="zh-CN"/>
              </w:rPr>
            </w:pPr>
            <w:r>
              <w:rPr>
                <w:color w:val="auto"/>
                <w:highlight w:val="none"/>
                <w:lang w:val="zh-CN" w:eastAsia="zh-CN"/>
              </w:rPr>
              <w:t>施工区域的围合措施</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687" w:hRule="atLeast"/>
          <w:jc w:val="center"/>
        </w:trPr>
        <w:tc>
          <w:tcPr>
            <w:tcW w:w="622" w:type="dxa"/>
            <w:vMerge w:val="continue"/>
            <w:tcBorders>
              <w:top w:val="nil"/>
            </w:tcBorders>
            <w:vAlign w:val="center"/>
          </w:tcPr>
          <w:p>
            <w:pPr>
              <w:pStyle w:val="12"/>
              <w:bidi w:val="0"/>
              <w:rPr>
                <w:color w:val="auto"/>
                <w:highlight w:val="none"/>
                <w:lang w:val="zh-CN" w:eastAsia="zh-CN"/>
              </w:rPr>
            </w:pPr>
          </w:p>
        </w:tc>
        <w:tc>
          <w:tcPr>
            <w:tcW w:w="1434" w:type="dxa"/>
            <w:gridSpan w:val="2"/>
            <w:vMerge w:val="continue"/>
            <w:tcBorders>
              <w:top w:val="nil"/>
            </w:tcBorders>
            <w:vAlign w:val="center"/>
          </w:tcPr>
          <w:p>
            <w:pPr>
              <w:pStyle w:val="12"/>
              <w:bidi w:val="0"/>
              <w:rPr>
                <w:color w:val="auto"/>
                <w:highlight w:val="none"/>
                <w:lang w:val="zh-CN" w:eastAsia="zh-CN"/>
              </w:rPr>
            </w:pPr>
          </w:p>
        </w:tc>
        <w:tc>
          <w:tcPr>
            <w:tcW w:w="2792" w:type="dxa"/>
            <w:vAlign w:val="center"/>
          </w:tcPr>
          <w:p>
            <w:pPr>
              <w:pStyle w:val="12"/>
              <w:bidi w:val="0"/>
              <w:rPr>
                <w:color w:val="auto"/>
                <w:highlight w:val="none"/>
                <w:lang w:val="zh-CN" w:eastAsia="zh-CN"/>
              </w:rPr>
            </w:pPr>
            <w:r>
              <w:rPr>
                <w:color w:val="auto"/>
                <w:highlight w:val="none"/>
                <w:lang w:val="zh-CN" w:eastAsia="zh-CN"/>
              </w:rPr>
              <w:t>铺装过程中，施工人员应做到随铺随用海绵干布等</w:t>
            </w:r>
            <w:r>
              <w:rPr>
                <w:rFonts w:hint="eastAsia"/>
                <w:color w:val="auto"/>
                <w:highlight w:val="none"/>
                <w:lang w:eastAsia="zh-CN"/>
              </w:rPr>
              <w:t>擦</w:t>
            </w:r>
            <w:r>
              <w:rPr>
                <w:color w:val="auto"/>
                <w:highlight w:val="none"/>
                <w:lang w:val="zh-CN" w:eastAsia="zh-CN"/>
              </w:rPr>
              <w:t>净花岗石面上的水泥浆痕迹。擦拭完成后，面层铺盖一层塑料薄膜，减少砂浆在硬化过程中的水分蒸发，增强石板与砂浆的粘结牢度，保证地面的铺设质量。</w:t>
            </w:r>
          </w:p>
        </w:tc>
        <w:tc>
          <w:tcPr>
            <w:tcW w:w="6922" w:type="dxa"/>
            <w:vAlign w:val="center"/>
          </w:tcPr>
          <w:p>
            <w:pPr>
              <w:pStyle w:val="12"/>
              <w:bidi w:val="0"/>
              <w:rPr>
                <w:color w:val="auto"/>
                <w:highlight w:val="none"/>
                <w:lang w:val="zh-CN" w:eastAsia="zh-CN"/>
              </w:rPr>
            </w:pPr>
          </w:p>
          <w:p>
            <w:pPr>
              <w:pStyle w:val="12"/>
              <w:bidi w:val="0"/>
              <w:rPr>
                <w:color w:val="auto"/>
                <w:highlight w:val="none"/>
                <w:lang w:val="zh-CN" w:eastAsia="zh-CN"/>
              </w:rPr>
            </w:pPr>
            <w:r>
              <w:rPr>
                <w:color w:val="auto"/>
                <w:highlight w:val="none"/>
                <w:lang w:val="zh-CN" w:eastAsia="zh-CN"/>
              </w:rPr>
              <w:drawing>
                <wp:inline distT="0" distB="0" distL="0" distR="0">
                  <wp:extent cx="4568825" cy="1893570"/>
                  <wp:effectExtent l="0" t="0" r="3175" b="1905"/>
                  <wp:docPr id="159" name="image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image83.jpeg"/>
                          <pic:cNvPicPr>
                            <a:picLocks noChangeAspect="1"/>
                          </pic:cNvPicPr>
                        </pic:nvPicPr>
                        <pic:blipFill>
                          <a:blip r:embed="rId92" cstate="print"/>
                          <a:stretch>
                            <a:fillRect/>
                          </a:stretch>
                        </pic:blipFill>
                        <pic:spPr>
                          <a:xfrm>
                            <a:off x="0" y="0"/>
                            <a:ext cx="4569424" cy="1894046"/>
                          </a:xfrm>
                          <a:prstGeom prst="rect">
                            <a:avLst/>
                          </a:prstGeom>
                        </pic:spPr>
                      </pic:pic>
                    </a:graphicData>
                  </a:graphic>
                </wp:inline>
              </w:drawing>
            </w:r>
          </w:p>
        </w:tc>
        <w:tc>
          <w:tcPr>
            <w:tcW w:w="1314" w:type="dxa"/>
            <w:vAlign w:val="center"/>
          </w:tcPr>
          <w:p>
            <w:pPr>
              <w:pStyle w:val="12"/>
              <w:bidi w:val="0"/>
              <w:rPr>
                <w:color w:val="auto"/>
                <w:highlight w:val="none"/>
                <w:lang w:val="zh-CN" w:eastAsia="zh-CN"/>
              </w:rPr>
            </w:pPr>
            <w:r>
              <w:rPr>
                <w:color w:val="auto"/>
                <w:highlight w:val="none"/>
                <w:lang w:val="zh-CN" w:eastAsia="zh-CN"/>
              </w:rPr>
              <w:t>铺薄膜保护</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332" w:hRule="atLeast"/>
          <w:jc w:val="center"/>
        </w:trPr>
        <w:tc>
          <w:tcPr>
            <w:tcW w:w="622" w:type="dxa"/>
            <w:vMerge w:val="restart"/>
            <w:vAlign w:val="center"/>
          </w:tcPr>
          <w:p>
            <w:pPr>
              <w:pStyle w:val="12"/>
              <w:bidi w:val="0"/>
              <w:rPr>
                <w:color w:val="auto"/>
                <w:highlight w:val="none"/>
                <w:lang w:val="zh-CN" w:eastAsia="zh-CN"/>
              </w:rPr>
            </w:pPr>
            <w:r>
              <w:rPr>
                <w:color w:val="auto"/>
                <w:highlight w:val="none"/>
                <w:lang w:val="zh-CN" w:eastAsia="zh-CN"/>
              </w:rPr>
              <w:t>5</w:t>
            </w:r>
          </w:p>
        </w:tc>
        <w:tc>
          <w:tcPr>
            <w:tcW w:w="1434" w:type="dxa"/>
            <w:gridSpan w:val="2"/>
            <w:vMerge w:val="restart"/>
            <w:vAlign w:val="center"/>
          </w:tcPr>
          <w:p>
            <w:pPr>
              <w:pStyle w:val="12"/>
              <w:bidi w:val="0"/>
              <w:rPr>
                <w:color w:val="auto"/>
                <w:highlight w:val="none"/>
                <w:lang w:val="zh-CN" w:eastAsia="zh-CN"/>
              </w:rPr>
            </w:pPr>
            <w:r>
              <w:rPr>
                <w:color w:val="auto"/>
                <w:highlight w:val="none"/>
                <w:lang w:val="zh-CN" w:eastAsia="zh-CN"/>
              </w:rPr>
              <w:t>石材铺装完工后的保护</w:t>
            </w:r>
          </w:p>
        </w:tc>
        <w:tc>
          <w:tcPr>
            <w:tcW w:w="2792" w:type="dxa"/>
            <w:vMerge w:val="restart"/>
            <w:vAlign w:val="center"/>
          </w:tcPr>
          <w:p>
            <w:pPr>
              <w:pStyle w:val="12"/>
              <w:bidi w:val="0"/>
              <w:rPr>
                <w:color w:val="auto"/>
                <w:highlight w:val="none"/>
                <w:lang w:val="zh-CN" w:eastAsia="zh-CN"/>
              </w:rPr>
            </w:pPr>
            <w:r>
              <w:rPr>
                <w:color w:val="auto"/>
                <w:highlight w:val="none"/>
                <w:lang w:val="zh-CN" w:eastAsia="zh-CN"/>
              </w:rPr>
              <w:t>石材铺装完工后，首先铺塑料薄膜，其次铺设防水</w:t>
            </w:r>
            <w:r>
              <w:rPr>
                <w:color w:val="auto"/>
                <w:highlight w:val="none"/>
                <w:lang w:eastAsia="zh-CN"/>
              </w:rPr>
              <w:t>防火布</w:t>
            </w:r>
            <w:r>
              <w:rPr>
                <w:color w:val="auto"/>
                <w:highlight w:val="none"/>
                <w:lang w:val="zh-CN" w:eastAsia="zh-CN"/>
              </w:rPr>
              <w:t>、无纺布、毡布等，再在上面铺设模板作保护；石材铺装养护期为 3—5 天（上手推车需养护7-10 天）， 养护期内禁止上人上车，在楼盘开放或未交付之前，不得撤除保护措施。</w:t>
            </w:r>
          </w:p>
        </w:tc>
        <w:tc>
          <w:tcPr>
            <w:tcW w:w="6922" w:type="dxa"/>
            <w:vAlign w:val="center"/>
          </w:tcPr>
          <w:p>
            <w:pPr>
              <w:pStyle w:val="12"/>
              <w:bidi w:val="0"/>
              <w:rPr>
                <w:color w:val="auto"/>
                <w:highlight w:val="none"/>
                <w:lang w:val="zh-CN" w:eastAsia="zh-CN"/>
              </w:rPr>
            </w:pPr>
          </w:p>
          <w:p>
            <w:pPr>
              <w:pStyle w:val="12"/>
              <w:bidi w:val="0"/>
              <w:rPr>
                <w:color w:val="auto"/>
                <w:highlight w:val="none"/>
                <w:lang w:val="zh-CN" w:eastAsia="zh-CN"/>
              </w:rPr>
            </w:pPr>
            <w:r>
              <w:rPr>
                <w:color w:val="auto"/>
                <w:highlight w:val="none"/>
                <w:lang w:val="zh-CN" w:eastAsia="zh-CN"/>
              </w:rPr>
              <w:drawing>
                <wp:inline distT="0" distB="0" distL="0" distR="0">
                  <wp:extent cx="2343150" cy="1817370"/>
                  <wp:effectExtent l="0" t="0" r="0" b="1905"/>
                  <wp:docPr id="161" name="image84.jpeg" descr="DSC_00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image84.jpeg" descr="DSC_0059.JPG"/>
                          <pic:cNvPicPr>
                            <a:picLocks noChangeAspect="1"/>
                          </pic:cNvPicPr>
                        </pic:nvPicPr>
                        <pic:blipFill>
                          <a:blip r:embed="rId93" cstate="print"/>
                          <a:stretch>
                            <a:fillRect/>
                          </a:stretch>
                        </pic:blipFill>
                        <pic:spPr>
                          <a:xfrm>
                            <a:off x="0" y="0"/>
                            <a:ext cx="2343611" cy="1817370"/>
                          </a:xfrm>
                          <a:prstGeom prst="rect">
                            <a:avLst/>
                          </a:prstGeom>
                        </pic:spPr>
                      </pic:pic>
                    </a:graphicData>
                  </a:graphic>
                </wp:inline>
              </w:drawing>
            </w:r>
            <w:r>
              <w:rPr>
                <w:color w:val="auto"/>
                <w:highlight w:val="none"/>
                <w:lang w:val="zh-CN" w:eastAsia="zh-CN"/>
              </w:rPr>
              <w:drawing>
                <wp:inline distT="0" distB="0" distL="0" distR="0">
                  <wp:extent cx="2266315" cy="1808480"/>
                  <wp:effectExtent l="0" t="0" r="635" b="1270"/>
                  <wp:docPr id="163" name="image85.jpeg" descr="DSC_00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image85.jpeg" descr="DSC_0055.JPG"/>
                          <pic:cNvPicPr>
                            <a:picLocks noChangeAspect="1"/>
                          </pic:cNvPicPr>
                        </pic:nvPicPr>
                        <pic:blipFill>
                          <a:blip r:embed="rId94" cstate="print"/>
                          <a:stretch>
                            <a:fillRect/>
                          </a:stretch>
                        </pic:blipFill>
                        <pic:spPr>
                          <a:xfrm>
                            <a:off x="0" y="0"/>
                            <a:ext cx="2266352" cy="1808797"/>
                          </a:xfrm>
                          <a:prstGeom prst="rect">
                            <a:avLst/>
                          </a:prstGeom>
                        </pic:spPr>
                      </pic:pic>
                    </a:graphicData>
                  </a:graphic>
                </wp:inline>
              </w:drawing>
            </w:r>
          </w:p>
        </w:tc>
        <w:tc>
          <w:tcPr>
            <w:tcW w:w="1314" w:type="dxa"/>
            <w:vAlign w:val="center"/>
          </w:tcPr>
          <w:p>
            <w:pPr>
              <w:pStyle w:val="12"/>
              <w:bidi w:val="0"/>
              <w:rPr>
                <w:color w:val="auto"/>
                <w:highlight w:val="none"/>
                <w:lang w:val="zh-CN" w:eastAsia="zh-CN"/>
              </w:rPr>
            </w:pPr>
            <w:r>
              <w:rPr>
                <w:color w:val="auto"/>
                <w:highlight w:val="none"/>
                <w:lang w:val="zh-CN" w:eastAsia="zh-CN"/>
              </w:rPr>
              <w:t>刚完工时薄膜加毡布保护</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918" w:hRule="atLeast"/>
          <w:jc w:val="center"/>
        </w:trPr>
        <w:tc>
          <w:tcPr>
            <w:tcW w:w="622" w:type="dxa"/>
            <w:vMerge w:val="continue"/>
            <w:tcBorders>
              <w:top w:val="nil"/>
            </w:tcBorders>
            <w:vAlign w:val="center"/>
          </w:tcPr>
          <w:p>
            <w:pPr>
              <w:pStyle w:val="12"/>
              <w:bidi w:val="0"/>
              <w:rPr>
                <w:color w:val="auto"/>
                <w:highlight w:val="none"/>
                <w:lang w:val="zh-CN" w:eastAsia="zh-CN"/>
              </w:rPr>
            </w:pPr>
          </w:p>
        </w:tc>
        <w:tc>
          <w:tcPr>
            <w:tcW w:w="1434" w:type="dxa"/>
            <w:gridSpan w:val="2"/>
            <w:vMerge w:val="continue"/>
            <w:tcBorders>
              <w:top w:val="nil"/>
            </w:tcBorders>
            <w:vAlign w:val="center"/>
          </w:tcPr>
          <w:p>
            <w:pPr>
              <w:pStyle w:val="12"/>
              <w:bidi w:val="0"/>
              <w:rPr>
                <w:color w:val="auto"/>
                <w:highlight w:val="none"/>
                <w:lang w:val="zh-CN" w:eastAsia="zh-CN"/>
              </w:rPr>
            </w:pPr>
          </w:p>
        </w:tc>
        <w:tc>
          <w:tcPr>
            <w:tcW w:w="2792" w:type="dxa"/>
            <w:vMerge w:val="continue"/>
            <w:tcBorders>
              <w:top w:val="nil"/>
            </w:tcBorders>
            <w:vAlign w:val="center"/>
          </w:tcPr>
          <w:p>
            <w:pPr>
              <w:pStyle w:val="12"/>
              <w:bidi w:val="0"/>
              <w:rPr>
                <w:color w:val="auto"/>
                <w:highlight w:val="none"/>
                <w:lang w:val="zh-CN" w:eastAsia="zh-CN"/>
              </w:rPr>
            </w:pPr>
          </w:p>
        </w:tc>
        <w:tc>
          <w:tcPr>
            <w:tcW w:w="6922" w:type="dxa"/>
            <w:vAlign w:val="center"/>
          </w:tcPr>
          <w:p>
            <w:pPr>
              <w:pStyle w:val="12"/>
              <w:bidi w:val="0"/>
              <w:rPr>
                <w:color w:val="auto"/>
                <w:highlight w:val="none"/>
                <w:lang w:val="zh-CN" w:eastAsia="zh-CN"/>
              </w:rPr>
            </w:pPr>
          </w:p>
          <w:p>
            <w:pPr>
              <w:pStyle w:val="12"/>
              <w:bidi w:val="0"/>
              <w:rPr>
                <w:color w:val="auto"/>
                <w:highlight w:val="none"/>
                <w:lang w:val="zh-CN" w:eastAsia="zh-CN"/>
              </w:rPr>
            </w:pPr>
            <w:r>
              <w:rPr>
                <w:color w:val="auto"/>
                <w:highlight w:val="none"/>
                <w:lang w:val="zh-CN" w:eastAsia="zh-CN"/>
              </w:rPr>
              <w:drawing>
                <wp:inline distT="0" distB="0" distL="0" distR="0">
                  <wp:extent cx="2307590" cy="1614805"/>
                  <wp:effectExtent l="0" t="0" r="6985" b="4445"/>
                  <wp:docPr id="165" name="image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image86.jpeg"/>
                          <pic:cNvPicPr>
                            <a:picLocks noChangeAspect="1"/>
                          </pic:cNvPicPr>
                        </pic:nvPicPr>
                        <pic:blipFill>
                          <a:blip r:embed="rId95" cstate="print"/>
                          <a:stretch>
                            <a:fillRect/>
                          </a:stretch>
                        </pic:blipFill>
                        <pic:spPr>
                          <a:xfrm>
                            <a:off x="0" y="0"/>
                            <a:ext cx="2307609" cy="1615249"/>
                          </a:xfrm>
                          <a:prstGeom prst="rect">
                            <a:avLst/>
                          </a:prstGeom>
                        </pic:spPr>
                      </pic:pic>
                    </a:graphicData>
                  </a:graphic>
                </wp:inline>
              </w:drawing>
            </w:r>
            <w:r>
              <w:rPr>
                <w:color w:val="auto"/>
                <w:highlight w:val="none"/>
                <w:lang w:val="zh-CN" w:eastAsia="zh-CN"/>
              </w:rPr>
              <w:drawing>
                <wp:inline distT="0" distB="0" distL="0" distR="0">
                  <wp:extent cx="2242820" cy="1620520"/>
                  <wp:effectExtent l="0" t="0" r="5080" b="8255"/>
                  <wp:docPr id="167" name="image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image87.jpeg"/>
                          <pic:cNvPicPr>
                            <a:picLocks noChangeAspect="1"/>
                          </pic:cNvPicPr>
                        </pic:nvPicPr>
                        <pic:blipFill>
                          <a:blip r:embed="rId96" cstate="print"/>
                          <a:stretch>
                            <a:fillRect/>
                          </a:stretch>
                        </pic:blipFill>
                        <pic:spPr>
                          <a:xfrm>
                            <a:off x="0" y="0"/>
                            <a:ext cx="2243192" cy="1620583"/>
                          </a:xfrm>
                          <a:prstGeom prst="rect">
                            <a:avLst/>
                          </a:prstGeom>
                        </pic:spPr>
                      </pic:pic>
                    </a:graphicData>
                  </a:graphic>
                </wp:inline>
              </w:drawing>
            </w:r>
          </w:p>
        </w:tc>
        <w:tc>
          <w:tcPr>
            <w:tcW w:w="1314" w:type="dxa"/>
            <w:vAlign w:val="center"/>
          </w:tcPr>
          <w:p>
            <w:pPr>
              <w:pStyle w:val="12"/>
              <w:bidi w:val="0"/>
              <w:rPr>
                <w:color w:val="auto"/>
                <w:highlight w:val="none"/>
                <w:lang w:val="zh-CN" w:eastAsia="zh-CN"/>
              </w:rPr>
            </w:pPr>
            <w:r>
              <w:rPr>
                <w:color w:val="auto"/>
                <w:highlight w:val="none"/>
                <w:lang w:val="zh-CN" w:eastAsia="zh-CN"/>
              </w:rPr>
              <w:t>铺装全部完成后的全面保护直到开放</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580" w:hRule="atLeast"/>
          <w:jc w:val="center"/>
        </w:trPr>
        <w:tc>
          <w:tcPr>
            <w:tcW w:w="622" w:type="dxa"/>
            <w:vMerge w:val="restart"/>
            <w:vAlign w:val="center"/>
          </w:tcPr>
          <w:p>
            <w:pPr>
              <w:pStyle w:val="12"/>
              <w:bidi w:val="0"/>
              <w:rPr>
                <w:color w:val="auto"/>
                <w:highlight w:val="none"/>
                <w:lang w:val="zh-CN" w:eastAsia="zh-CN"/>
              </w:rPr>
            </w:pPr>
            <w:r>
              <w:rPr>
                <w:color w:val="auto"/>
                <w:highlight w:val="none"/>
                <w:lang w:val="zh-CN" w:eastAsia="zh-CN"/>
              </w:rPr>
              <w:t>6</w:t>
            </w:r>
          </w:p>
        </w:tc>
        <w:tc>
          <w:tcPr>
            <w:tcW w:w="1434" w:type="dxa"/>
            <w:gridSpan w:val="2"/>
            <w:vMerge w:val="restart"/>
            <w:vAlign w:val="center"/>
          </w:tcPr>
          <w:p>
            <w:pPr>
              <w:pStyle w:val="12"/>
              <w:bidi w:val="0"/>
              <w:rPr>
                <w:color w:val="auto"/>
                <w:highlight w:val="none"/>
                <w:lang w:val="zh-CN" w:eastAsia="zh-CN"/>
              </w:rPr>
            </w:pPr>
            <w:r>
              <w:rPr>
                <w:color w:val="auto"/>
                <w:highlight w:val="none"/>
                <w:lang w:val="zh-CN" w:eastAsia="zh-CN"/>
              </w:rPr>
              <w:t>石材饰面完工后墙面、柱子等的保护</w:t>
            </w:r>
          </w:p>
        </w:tc>
        <w:tc>
          <w:tcPr>
            <w:tcW w:w="2792" w:type="dxa"/>
            <w:vMerge w:val="restart"/>
            <w:vAlign w:val="center"/>
          </w:tcPr>
          <w:p>
            <w:pPr>
              <w:pStyle w:val="12"/>
              <w:bidi w:val="0"/>
              <w:rPr>
                <w:color w:val="auto"/>
                <w:highlight w:val="none"/>
                <w:lang w:val="zh-CN" w:eastAsia="zh-CN"/>
              </w:rPr>
            </w:pPr>
            <w:r>
              <w:rPr>
                <w:color w:val="auto"/>
                <w:highlight w:val="none"/>
                <w:lang w:val="zh-CN" w:eastAsia="zh-CN"/>
              </w:rPr>
              <w:t>廊架立柱、建筑墙面、树池外饰面等完工后，须对易破损部位的阳角要采取包裹保护，必要时可采取木框围护。</w:t>
            </w:r>
          </w:p>
        </w:tc>
        <w:tc>
          <w:tcPr>
            <w:tcW w:w="6922" w:type="dxa"/>
            <w:vAlign w:val="center"/>
          </w:tcPr>
          <w:p>
            <w:pPr>
              <w:pStyle w:val="12"/>
              <w:bidi w:val="0"/>
              <w:rPr>
                <w:color w:val="auto"/>
                <w:highlight w:val="none"/>
                <w:lang w:val="zh-CN" w:eastAsia="zh-CN"/>
              </w:rPr>
            </w:pPr>
          </w:p>
          <w:p>
            <w:pPr>
              <w:pStyle w:val="12"/>
              <w:bidi w:val="0"/>
              <w:rPr>
                <w:color w:val="auto"/>
                <w:highlight w:val="none"/>
                <w:lang w:val="zh-CN" w:eastAsia="zh-CN"/>
              </w:rPr>
            </w:pPr>
            <w:r>
              <w:rPr>
                <w:color w:val="auto"/>
                <w:highlight w:val="none"/>
                <w:lang w:val="zh-CN" w:eastAsia="zh-CN"/>
              </w:rPr>
              <w:drawing>
                <wp:inline distT="0" distB="0" distL="0" distR="0">
                  <wp:extent cx="3025140" cy="2105025"/>
                  <wp:effectExtent l="0" t="0" r="3810" b="0"/>
                  <wp:docPr id="169" name="image88.jpeg" descr="E:\钱\图片\新湖香格里拉\IMG_54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image88.jpeg" descr="E:\钱\图片\新湖香格里拉\IMG_5427.JPG"/>
                          <pic:cNvPicPr>
                            <a:picLocks noChangeAspect="1"/>
                          </pic:cNvPicPr>
                        </pic:nvPicPr>
                        <pic:blipFill>
                          <a:blip r:embed="rId97" cstate="print"/>
                          <a:stretch>
                            <a:fillRect/>
                          </a:stretch>
                        </pic:blipFill>
                        <pic:spPr>
                          <a:xfrm>
                            <a:off x="0" y="0"/>
                            <a:ext cx="3025287" cy="2105405"/>
                          </a:xfrm>
                          <a:prstGeom prst="rect">
                            <a:avLst/>
                          </a:prstGeom>
                        </pic:spPr>
                      </pic:pic>
                    </a:graphicData>
                  </a:graphic>
                </wp:inline>
              </w:drawing>
            </w:r>
          </w:p>
        </w:tc>
        <w:tc>
          <w:tcPr>
            <w:tcW w:w="1314" w:type="dxa"/>
            <w:vAlign w:val="center"/>
          </w:tcPr>
          <w:p>
            <w:pPr>
              <w:pStyle w:val="12"/>
              <w:bidi w:val="0"/>
              <w:rPr>
                <w:color w:val="auto"/>
                <w:highlight w:val="none"/>
                <w:lang w:val="zh-CN" w:eastAsia="zh-CN"/>
              </w:rPr>
            </w:pPr>
            <w:r>
              <w:rPr>
                <w:color w:val="auto"/>
                <w:highlight w:val="none"/>
                <w:lang w:val="zh-CN" w:eastAsia="zh-CN"/>
              </w:rPr>
              <w:t>柱子的保护措施</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195" w:hRule="atLeast"/>
          <w:jc w:val="center"/>
        </w:trPr>
        <w:tc>
          <w:tcPr>
            <w:tcW w:w="622" w:type="dxa"/>
            <w:vMerge w:val="continue"/>
            <w:tcBorders>
              <w:top w:val="nil"/>
            </w:tcBorders>
            <w:vAlign w:val="center"/>
          </w:tcPr>
          <w:p>
            <w:pPr>
              <w:pStyle w:val="12"/>
              <w:bidi w:val="0"/>
              <w:rPr>
                <w:color w:val="auto"/>
                <w:highlight w:val="none"/>
                <w:lang w:val="zh-CN" w:eastAsia="zh-CN"/>
              </w:rPr>
            </w:pPr>
          </w:p>
        </w:tc>
        <w:tc>
          <w:tcPr>
            <w:tcW w:w="1434" w:type="dxa"/>
            <w:gridSpan w:val="2"/>
            <w:vMerge w:val="continue"/>
            <w:tcBorders>
              <w:top w:val="nil"/>
            </w:tcBorders>
            <w:vAlign w:val="center"/>
          </w:tcPr>
          <w:p>
            <w:pPr>
              <w:pStyle w:val="12"/>
              <w:bidi w:val="0"/>
              <w:rPr>
                <w:color w:val="auto"/>
                <w:highlight w:val="none"/>
                <w:lang w:val="zh-CN" w:eastAsia="zh-CN"/>
              </w:rPr>
            </w:pPr>
          </w:p>
        </w:tc>
        <w:tc>
          <w:tcPr>
            <w:tcW w:w="2792" w:type="dxa"/>
            <w:vMerge w:val="continue"/>
            <w:tcBorders>
              <w:top w:val="nil"/>
            </w:tcBorders>
            <w:vAlign w:val="center"/>
          </w:tcPr>
          <w:p>
            <w:pPr>
              <w:pStyle w:val="12"/>
              <w:bidi w:val="0"/>
              <w:rPr>
                <w:color w:val="auto"/>
                <w:highlight w:val="none"/>
                <w:lang w:val="zh-CN" w:eastAsia="zh-CN"/>
              </w:rPr>
            </w:pPr>
          </w:p>
        </w:tc>
        <w:tc>
          <w:tcPr>
            <w:tcW w:w="6922" w:type="dxa"/>
            <w:vAlign w:val="center"/>
          </w:tcPr>
          <w:p>
            <w:pPr>
              <w:pStyle w:val="12"/>
              <w:bidi w:val="0"/>
              <w:rPr>
                <w:color w:val="auto"/>
                <w:highlight w:val="none"/>
                <w:lang w:val="zh-CN" w:eastAsia="zh-CN"/>
              </w:rPr>
            </w:pPr>
          </w:p>
          <w:p>
            <w:pPr>
              <w:pStyle w:val="12"/>
              <w:bidi w:val="0"/>
              <w:rPr>
                <w:color w:val="auto"/>
                <w:highlight w:val="none"/>
                <w:lang w:val="zh-CN" w:eastAsia="zh-CN"/>
              </w:rPr>
            </w:pPr>
            <w:r>
              <w:rPr>
                <w:color w:val="auto"/>
                <w:highlight w:val="none"/>
                <w:lang w:val="zh-CN" w:eastAsia="zh-CN"/>
              </w:rPr>
              <w:drawing>
                <wp:inline distT="0" distB="0" distL="0" distR="0">
                  <wp:extent cx="3120390" cy="1860550"/>
                  <wp:effectExtent l="0" t="0" r="3810" b="6350"/>
                  <wp:docPr id="171" name="image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image89.jpeg"/>
                          <pic:cNvPicPr>
                            <a:picLocks noChangeAspect="1"/>
                          </pic:cNvPicPr>
                        </pic:nvPicPr>
                        <pic:blipFill>
                          <a:blip r:embed="rId98" cstate="print"/>
                          <a:stretch>
                            <a:fillRect/>
                          </a:stretch>
                        </pic:blipFill>
                        <pic:spPr>
                          <a:xfrm>
                            <a:off x="0" y="0"/>
                            <a:ext cx="3120565" cy="1860803"/>
                          </a:xfrm>
                          <a:prstGeom prst="rect">
                            <a:avLst/>
                          </a:prstGeom>
                        </pic:spPr>
                      </pic:pic>
                    </a:graphicData>
                  </a:graphic>
                </wp:inline>
              </w:drawing>
            </w:r>
          </w:p>
        </w:tc>
        <w:tc>
          <w:tcPr>
            <w:tcW w:w="1314" w:type="dxa"/>
            <w:vAlign w:val="center"/>
          </w:tcPr>
          <w:p>
            <w:pPr>
              <w:pStyle w:val="12"/>
              <w:bidi w:val="0"/>
              <w:rPr>
                <w:color w:val="auto"/>
                <w:highlight w:val="none"/>
                <w:lang w:val="zh-CN" w:eastAsia="zh-CN"/>
              </w:rPr>
            </w:pPr>
            <w:r>
              <w:rPr>
                <w:color w:val="auto"/>
                <w:highlight w:val="none"/>
                <w:lang w:val="zh-CN" w:eastAsia="zh-CN"/>
              </w:rPr>
              <w:t>施工过程中对交叉部位的成品保护</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841" w:hRule="atLeast"/>
          <w:jc w:val="center"/>
        </w:trPr>
        <w:tc>
          <w:tcPr>
            <w:tcW w:w="622" w:type="dxa"/>
            <w:vMerge w:val="continue"/>
            <w:tcBorders>
              <w:top w:val="nil"/>
            </w:tcBorders>
            <w:vAlign w:val="center"/>
          </w:tcPr>
          <w:p>
            <w:pPr>
              <w:pStyle w:val="12"/>
              <w:bidi w:val="0"/>
              <w:rPr>
                <w:color w:val="auto"/>
                <w:highlight w:val="none"/>
                <w:lang w:val="zh-CN" w:eastAsia="zh-CN"/>
              </w:rPr>
            </w:pPr>
          </w:p>
        </w:tc>
        <w:tc>
          <w:tcPr>
            <w:tcW w:w="1434" w:type="dxa"/>
            <w:gridSpan w:val="2"/>
            <w:vMerge w:val="continue"/>
            <w:tcBorders>
              <w:top w:val="nil"/>
            </w:tcBorders>
            <w:vAlign w:val="center"/>
          </w:tcPr>
          <w:p>
            <w:pPr>
              <w:pStyle w:val="12"/>
              <w:bidi w:val="0"/>
              <w:rPr>
                <w:color w:val="auto"/>
                <w:highlight w:val="none"/>
                <w:lang w:val="zh-CN" w:eastAsia="zh-CN"/>
              </w:rPr>
            </w:pPr>
          </w:p>
        </w:tc>
        <w:tc>
          <w:tcPr>
            <w:tcW w:w="2792" w:type="dxa"/>
            <w:vMerge w:val="continue"/>
            <w:tcBorders>
              <w:top w:val="nil"/>
            </w:tcBorders>
            <w:vAlign w:val="center"/>
          </w:tcPr>
          <w:p>
            <w:pPr>
              <w:pStyle w:val="12"/>
              <w:bidi w:val="0"/>
              <w:rPr>
                <w:color w:val="auto"/>
                <w:highlight w:val="none"/>
                <w:lang w:val="zh-CN" w:eastAsia="zh-CN"/>
              </w:rPr>
            </w:pPr>
          </w:p>
        </w:tc>
        <w:tc>
          <w:tcPr>
            <w:tcW w:w="6922" w:type="dxa"/>
            <w:vAlign w:val="center"/>
          </w:tcPr>
          <w:p>
            <w:pPr>
              <w:pStyle w:val="12"/>
              <w:bidi w:val="0"/>
              <w:rPr>
                <w:color w:val="auto"/>
                <w:highlight w:val="none"/>
                <w:lang w:val="zh-CN" w:eastAsia="zh-CN"/>
              </w:rPr>
            </w:pPr>
          </w:p>
          <w:p>
            <w:pPr>
              <w:pStyle w:val="12"/>
              <w:bidi w:val="0"/>
              <w:rPr>
                <w:color w:val="auto"/>
                <w:highlight w:val="none"/>
                <w:lang w:val="zh-CN" w:eastAsia="zh-CN"/>
              </w:rPr>
            </w:pPr>
            <w:r>
              <w:rPr>
                <w:color w:val="auto"/>
                <w:highlight w:val="none"/>
                <w:lang w:val="zh-CN" w:eastAsia="zh-CN"/>
              </w:rPr>
              <w:drawing>
                <wp:inline distT="0" distB="0" distL="0" distR="0">
                  <wp:extent cx="3180080" cy="2295525"/>
                  <wp:effectExtent l="0" t="0" r="1270" b="0"/>
                  <wp:docPr id="173" name="image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image90.jpeg"/>
                          <pic:cNvPicPr>
                            <a:picLocks noChangeAspect="1"/>
                          </pic:cNvPicPr>
                        </pic:nvPicPr>
                        <pic:blipFill>
                          <a:blip r:embed="rId99" cstate="print"/>
                          <a:stretch>
                            <a:fillRect/>
                          </a:stretch>
                        </pic:blipFill>
                        <pic:spPr>
                          <a:xfrm>
                            <a:off x="0" y="0"/>
                            <a:ext cx="3180681" cy="2295715"/>
                          </a:xfrm>
                          <a:prstGeom prst="rect">
                            <a:avLst/>
                          </a:prstGeom>
                        </pic:spPr>
                      </pic:pic>
                    </a:graphicData>
                  </a:graphic>
                </wp:inline>
              </w:drawing>
            </w:r>
          </w:p>
        </w:tc>
        <w:tc>
          <w:tcPr>
            <w:tcW w:w="1314" w:type="dxa"/>
            <w:vAlign w:val="center"/>
          </w:tcPr>
          <w:p>
            <w:pPr>
              <w:pStyle w:val="12"/>
              <w:bidi w:val="0"/>
              <w:rPr>
                <w:color w:val="auto"/>
                <w:highlight w:val="none"/>
                <w:lang w:val="zh-CN" w:eastAsia="zh-CN"/>
              </w:rPr>
            </w:pPr>
            <w:r>
              <w:rPr>
                <w:color w:val="auto"/>
                <w:highlight w:val="none"/>
                <w:lang w:val="zh-CN" w:eastAsia="zh-CN"/>
              </w:rPr>
              <w:t>挡墙及座凳的护角保护</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657" w:hRule="atLeast"/>
          <w:jc w:val="center"/>
        </w:trPr>
        <w:tc>
          <w:tcPr>
            <w:tcW w:w="622" w:type="dxa"/>
            <w:vMerge w:val="continue"/>
            <w:tcBorders>
              <w:top w:val="nil"/>
            </w:tcBorders>
            <w:vAlign w:val="center"/>
          </w:tcPr>
          <w:p>
            <w:pPr>
              <w:pStyle w:val="12"/>
              <w:bidi w:val="0"/>
              <w:rPr>
                <w:color w:val="auto"/>
                <w:highlight w:val="none"/>
                <w:lang w:val="zh-CN" w:eastAsia="zh-CN"/>
              </w:rPr>
            </w:pPr>
          </w:p>
        </w:tc>
        <w:tc>
          <w:tcPr>
            <w:tcW w:w="1434" w:type="dxa"/>
            <w:gridSpan w:val="2"/>
            <w:vMerge w:val="continue"/>
            <w:tcBorders>
              <w:top w:val="nil"/>
            </w:tcBorders>
            <w:vAlign w:val="center"/>
          </w:tcPr>
          <w:p>
            <w:pPr>
              <w:pStyle w:val="12"/>
              <w:bidi w:val="0"/>
              <w:rPr>
                <w:color w:val="auto"/>
                <w:highlight w:val="none"/>
                <w:lang w:val="zh-CN" w:eastAsia="zh-CN"/>
              </w:rPr>
            </w:pPr>
          </w:p>
        </w:tc>
        <w:tc>
          <w:tcPr>
            <w:tcW w:w="2792" w:type="dxa"/>
            <w:vMerge w:val="continue"/>
            <w:tcBorders>
              <w:top w:val="nil"/>
            </w:tcBorders>
            <w:vAlign w:val="center"/>
          </w:tcPr>
          <w:p>
            <w:pPr>
              <w:pStyle w:val="12"/>
              <w:bidi w:val="0"/>
              <w:rPr>
                <w:color w:val="auto"/>
                <w:highlight w:val="none"/>
                <w:lang w:val="zh-CN" w:eastAsia="zh-CN"/>
              </w:rPr>
            </w:pPr>
          </w:p>
        </w:tc>
        <w:tc>
          <w:tcPr>
            <w:tcW w:w="6922" w:type="dxa"/>
            <w:vAlign w:val="center"/>
          </w:tcPr>
          <w:p>
            <w:pPr>
              <w:pStyle w:val="12"/>
              <w:bidi w:val="0"/>
              <w:rPr>
                <w:color w:val="auto"/>
                <w:highlight w:val="none"/>
                <w:lang w:val="zh-CN" w:eastAsia="zh-CN"/>
              </w:rPr>
            </w:pPr>
          </w:p>
          <w:p>
            <w:pPr>
              <w:pStyle w:val="12"/>
              <w:bidi w:val="0"/>
              <w:rPr>
                <w:color w:val="auto"/>
                <w:highlight w:val="none"/>
                <w:lang w:val="zh-CN" w:eastAsia="zh-CN"/>
              </w:rPr>
            </w:pPr>
            <w:r>
              <w:rPr>
                <w:color w:val="auto"/>
                <w:highlight w:val="none"/>
                <w:lang w:val="zh-CN" w:eastAsia="zh-CN"/>
              </w:rPr>
              <w:drawing>
                <wp:inline distT="0" distB="0" distL="0" distR="0">
                  <wp:extent cx="3202940" cy="2132330"/>
                  <wp:effectExtent l="0" t="0" r="6985" b="1270"/>
                  <wp:docPr id="175" name="image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image91.jpeg"/>
                          <pic:cNvPicPr>
                            <a:picLocks noChangeAspect="1"/>
                          </pic:cNvPicPr>
                        </pic:nvPicPr>
                        <pic:blipFill>
                          <a:blip r:embed="rId100" cstate="print"/>
                          <a:stretch>
                            <a:fillRect/>
                          </a:stretch>
                        </pic:blipFill>
                        <pic:spPr>
                          <a:xfrm>
                            <a:off x="0" y="0"/>
                            <a:ext cx="3203274" cy="2132457"/>
                          </a:xfrm>
                          <a:prstGeom prst="rect">
                            <a:avLst/>
                          </a:prstGeom>
                        </pic:spPr>
                      </pic:pic>
                    </a:graphicData>
                  </a:graphic>
                </wp:inline>
              </w:drawing>
            </w:r>
          </w:p>
        </w:tc>
        <w:tc>
          <w:tcPr>
            <w:tcW w:w="1314" w:type="dxa"/>
            <w:vAlign w:val="center"/>
          </w:tcPr>
          <w:p>
            <w:pPr>
              <w:pStyle w:val="12"/>
              <w:bidi w:val="0"/>
              <w:rPr>
                <w:color w:val="auto"/>
                <w:highlight w:val="none"/>
                <w:lang w:val="zh-CN" w:eastAsia="zh-CN"/>
              </w:rPr>
            </w:pPr>
            <w:r>
              <w:rPr>
                <w:color w:val="auto"/>
                <w:highlight w:val="none"/>
                <w:lang w:val="zh-CN" w:eastAsia="zh-CN"/>
              </w:rPr>
              <w:t>树池压顶的护角保护</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979" w:hRule="atLeast"/>
          <w:jc w:val="center"/>
        </w:trPr>
        <w:tc>
          <w:tcPr>
            <w:tcW w:w="622" w:type="dxa"/>
            <w:vMerge w:val="restart"/>
            <w:vAlign w:val="center"/>
          </w:tcPr>
          <w:p>
            <w:pPr>
              <w:pStyle w:val="12"/>
              <w:bidi w:val="0"/>
              <w:rPr>
                <w:color w:val="auto"/>
                <w:highlight w:val="none"/>
                <w:lang w:val="zh-CN" w:eastAsia="zh-CN"/>
              </w:rPr>
            </w:pPr>
            <w:r>
              <w:rPr>
                <w:color w:val="auto"/>
                <w:highlight w:val="none"/>
                <w:lang w:val="zh-CN" w:eastAsia="zh-CN"/>
              </w:rPr>
              <w:t>7</w:t>
            </w:r>
          </w:p>
        </w:tc>
        <w:tc>
          <w:tcPr>
            <w:tcW w:w="1434" w:type="dxa"/>
            <w:gridSpan w:val="2"/>
            <w:vMerge w:val="restart"/>
            <w:vAlign w:val="center"/>
          </w:tcPr>
          <w:p>
            <w:pPr>
              <w:pStyle w:val="12"/>
              <w:bidi w:val="0"/>
              <w:rPr>
                <w:color w:val="auto"/>
                <w:highlight w:val="none"/>
                <w:lang w:val="zh-CN" w:eastAsia="zh-CN"/>
              </w:rPr>
            </w:pPr>
            <w:r>
              <w:rPr>
                <w:color w:val="auto"/>
                <w:highlight w:val="none"/>
                <w:lang w:val="zh-CN" w:eastAsia="zh-CN"/>
              </w:rPr>
              <w:t>其他工种施工时对铺装的保护</w:t>
            </w:r>
          </w:p>
        </w:tc>
        <w:tc>
          <w:tcPr>
            <w:tcW w:w="2792" w:type="dxa"/>
            <w:vAlign w:val="center"/>
          </w:tcPr>
          <w:p>
            <w:pPr>
              <w:pStyle w:val="12"/>
              <w:bidi w:val="0"/>
              <w:rPr>
                <w:color w:val="auto"/>
                <w:highlight w:val="none"/>
                <w:lang w:val="zh-CN" w:eastAsia="zh-CN"/>
              </w:rPr>
            </w:pPr>
            <w:r>
              <w:rPr>
                <w:color w:val="auto"/>
                <w:highlight w:val="none"/>
                <w:lang w:val="zh-CN" w:eastAsia="zh-CN"/>
              </w:rPr>
              <w:t>沥青浇筑过程中必须对侧平石作复盖保护，防止压碎或机油染污</w:t>
            </w:r>
          </w:p>
        </w:tc>
        <w:tc>
          <w:tcPr>
            <w:tcW w:w="6922" w:type="dxa"/>
            <w:vAlign w:val="center"/>
          </w:tcPr>
          <w:p>
            <w:pPr>
              <w:pStyle w:val="12"/>
              <w:bidi w:val="0"/>
              <w:rPr>
                <w:color w:val="auto"/>
                <w:highlight w:val="none"/>
                <w:lang w:val="zh-CN" w:eastAsia="zh-CN"/>
              </w:rPr>
            </w:pPr>
          </w:p>
          <w:p>
            <w:pPr>
              <w:pStyle w:val="12"/>
              <w:bidi w:val="0"/>
              <w:rPr>
                <w:color w:val="auto"/>
                <w:highlight w:val="none"/>
                <w:lang w:val="zh-CN" w:eastAsia="zh-CN"/>
              </w:rPr>
            </w:pPr>
            <w:r>
              <w:rPr>
                <w:color w:val="auto"/>
                <w:highlight w:val="none"/>
                <w:lang w:val="zh-CN" w:eastAsia="zh-CN"/>
              </w:rPr>
              <w:drawing>
                <wp:inline distT="0" distB="0" distL="0" distR="0">
                  <wp:extent cx="3408045" cy="2138680"/>
                  <wp:effectExtent l="0" t="0" r="1905" b="4445"/>
                  <wp:docPr id="177" name="image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image92.jpeg"/>
                          <pic:cNvPicPr>
                            <a:picLocks noChangeAspect="1"/>
                          </pic:cNvPicPr>
                        </pic:nvPicPr>
                        <pic:blipFill>
                          <a:blip r:embed="rId101" cstate="print"/>
                          <a:stretch>
                            <a:fillRect/>
                          </a:stretch>
                        </pic:blipFill>
                        <pic:spPr>
                          <a:xfrm>
                            <a:off x="0" y="0"/>
                            <a:ext cx="3408240" cy="2138743"/>
                          </a:xfrm>
                          <a:prstGeom prst="rect">
                            <a:avLst/>
                          </a:prstGeom>
                        </pic:spPr>
                      </pic:pic>
                    </a:graphicData>
                  </a:graphic>
                </wp:inline>
              </w:drawing>
            </w:r>
          </w:p>
        </w:tc>
        <w:tc>
          <w:tcPr>
            <w:tcW w:w="1314" w:type="dxa"/>
            <w:vAlign w:val="center"/>
          </w:tcPr>
          <w:p>
            <w:pPr>
              <w:pStyle w:val="12"/>
              <w:bidi w:val="0"/>
              <w:rPr>
                <w:color w:val="auto"/>
                <w:highlight w:val="none"/>
                <w:lang w:val="zh-CN" w:eastAsia="zh-CN"/>
              </w:rPr>
            </w:pPr>
            <w:r>
              <w:rPr>
                <w:color w:val="auto"/>
                <w:highlight w:val="none"/>
                <w:lang w:val="zh-CN" w:eastAsia="zh-CN"/>
              </w:rPr>
              <w:t>侧平石保护</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873" w:hRule="atLeast"/>
          <w:jc w:val="center"/>
        </w:trPr>
        <w:tc>
          <w:tcPr>
            <w:tcW w:w="622" w:type="dxa"/>
            <w:vMerge w:val="continue"/>
            <w:tcBorders>
              <w:top w:val="nil"/>
            </w:tcBorders>
            <w:vAlign w:val="center"/>
          </w:tcPr>
          <w:p>
            <w:pPr>
              <w:pStyle w:val="12"/>
              <w:bidi w:val="0"/>
              <w:rPr>
                <w:color w:val="auto"/>
                <w:highlight w:val="none"/>
                <w:lang w:val="zh-CN" w:eastAsia="zh-CN"/>
              </w:rPr>
            </w:pPr>
          </w:p>
        </w:tc>
        <w:tc>
          <w:tcPr>
            <w:tcW w:w="1434" w:type="dxa"/>
            <w:gridSpan w:val="2"/>
            <w:vMerge w:val="continue"/>
            <w:tcBorders>
              <w:top w:val="nil"/>
            </w:tcBorders>
            <w:vAlign w:val="center"/>
          </w:tcPr>
          <w:p>
            <w:pPr>
              <w:pStyle w:val="12"/>
              <w:bidi w:val="0"/>
              <w:rPr>
                <w:color w:val="auto"/>
                <w:highlight w:val="none"/>
                <w:lang w:val="zh-CN" w:eastAsia="zh-CN"/>
              </w:rPr>
            </w:pPr>
          </w:p>
        </w:tc>
        <w:tc>
          <w:tcPr>
            <w:tcW w:w="2792" w:type="dxa"/>
            <w:vAlign w:val="center"/>
          </w:tcPr>
          <w:p>
            <w:pPr>
              <w:pStyle w:val="12"/>
              <w:bidi w:val="0"/>
              <w:rPr>
                <w:color w:val="auto"/>
                <w:highlight w:val="none"/>
                <w:lang w:val="zh-CN" w:eastAsia="zh-CN"/>
              </w:rPr>
            </w:pPr>
            <w:r>
              <w:rPr>
                <w:color w:val="auto"/>
                <w:highlight w:val="none"/>
                <w:lang w:val="zh-CN" w:eastAsia="zh-CN"/>
              </w:rPr>
              <w:t>装修、幕墙等作业施工时必须对地面铺装作全面保护， 防止二次染污，难以清洗</w:t>
            </w:r>
          </w:p>
        </w:tc>
        <w:tc>
          <w:tcPr>
            <w:tcW w:w="6922" w:type="dxa"/>
            <w:vAlign w:val="center"/>
          </w:tcPr>
          <w:p>
            <w:pPr>
              <w:pStyle w:val="12"/>
              <w:bidi w:val="0"/>
              <w:rPr>
                <w:color w:val="auto"/>
                <w:highlight w:val="none"/>
                <w:lang w:val="zh-CN" w:eastAsia="zh-CN"/>
              </w:rPr>
            </w:pPr>
          </w:p>
          <w:p>
            <w:pPr>
              <w:pStyle w:val="12"/>
              <w:bidi w:val="0"/>
              <w:rPr>
                <w:color w:val="auto"/>
                <w:highlight w:val="none"/>
                <w:lang w:val="zh-CN" w:eastAsia="zh-CN"/>
              </w:rPr>
            </w:pPr>
            <w:r>
              <w:rPr>
                <w:color w:val="auto"/>
                <w:highlight w:val="none"/>
                <w:lang w:val="zh-CN" w:eastAsia="zh-CN"/>
              </w:rPr>
              <w:drawing>
                <wp:inline distT="0" distB="0" distL="0" distR="0">
                  <wp:extent cx="3242310" cy="2099945"/>
                  <wp:effectExtent l="0" t="0" r="5715" b="5080"/>
                  <wp:docPr id="179" name="image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image93.jpeg"/>
                          <pic:cNvPicPr>
                            <a:picLocks noChangeAspect="1"/>
                          </pic:cNvPicPr>
                        </pic:nvPicPr>
                        <pic:blipFill>
                          <a:blip r:embed="rId102" cstate="print"/>
                          <a:stretch>
                            <a:fillRect/>
                          </a:stretch>
                        </pic:blipFill>
                        <pic:spPr>
                          <a:xfrm>
                            <a:off x="0" y="0"/>
                            <a:ext cx="3242403" cy="2100262"/>
                          </a:xfrm>
                          <a:prstGeom prst="rect">
                            <a:avLst/>
                          </a:prstGeom>
                        </pic:spPr>
                      </pic:pic>
                    </a:graphicData>
                  </a:graphic>
                </wp:inline>
              </w:drawing>
            </w:r>
          </w:p>
        </w:tc>
        <w:tc>
          <w:tcPr>
            <w:tcW w:w="1314" w:type="dxa"/>
            <w:vAlign w:val="center"/>
          </w:tcPr>
          <w:p>
            <w:pPr>
              <w:pStyle w:val="12"/>
              <w:bidi w:val="0"/>
              <w:rPr>
                <w:color w:val="auto"/>
                <w:highlight w:val="none"/>
                <w:lang w:val="zh-CN" w:eastAsia="zh-CN"/>
              </w:rPr>
            </w:pPr>
            <w:r>
              <w:rPr>
                <w:color w:val="auto"/>
                <w:highlight w:val="none"/>
                <w:lang w:val="zh-CN" w:eastAsia="zh-CN"/>
              </w:rPr>
              <w:t>架空层装修过程中的地面成品保护</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872" w:hRule="atLeast"/>
          <w:jc w:val="center"/>
        </w:trPr>
        <w:tc>
          <w:tcPr>
            <w:tcW w:w="622" w:type="dxa"/>
            <w:vAlign w:val="center"/>
          </w:tcPr>
          <w:p>
            <w:pPr>
              <w:pStyle w:val="12"/>
              <w:bidi w:val="0"/>
              <w:rPr>
                <w:color w:val="auto"/>
                <w:highlight w:val="none"/>
                <w:lang w:val="zh-CN" w:eastAsia="zh-CN"/>
              </w:rPr>
            </w:pPr>
            <w:r>
              <w:rPr>
                <w:color w:val="auto"/>
                <w:highlight w:val="none"/>
                <w:lang w:val="zh-CN" w:eastAsia="zh-CN"/>
              </w:rPr>
              <w:t>8</w:t>
            </w:r>
          </w:p>
        </w:tc>
        <w:tc>
          <w:tcPr>
            <w:tcW w:w="1434" w:type="dxa"/>
            <w:gridSpan w:val="2"/>
            <w:vAlign w:val="center"/>
          </w:tcPr>
          <w:p>
            <w:pPr>
              <w:pStyle w:val="12"/>
              <w:bidi w:val="0"/>
              <w:rPr>
                <w:color w:val="auto"/>
                <w:highlight w:val="none"/>
                <w:lang w:val="zh-CN" w:eastAsia="zh-CN"/>
              </w:rPr>
            </w:pPr>
            <w:r>
              <w:rPr>
                <w:color w:val="auto"/>
                <w:highlight w:val="none"/>
                <w:lang w:val="zh-CN" w:eastAsia="zh-CN"/>
              </w:rPr>
              <w:t>饰面清洗保护</w:t>
            </w:r>
          </w:p>
        </w:tc>
        <w:tc>
          <w:tcPr>
            <w:tcW w:w="2792" w:type="dxa"/>
            <w:vAlign w:val="center"/>
          </w:tcPr>
          <w:p>
            <w:pPr>
              <w:pStyle w:val="12"/>
              <w:bidi w:val="0"/>
              <w:rPr>
                <w:color w:val="auto"/>
                <w:highlight w:val="none"/>
                <w:lang w:val="zh-CN" w:eastAsia="zh-CN"/>
              </w:rPr>
            </w:pPr>
            <w:r>
              <w:rPr>
                <w:color w:val="auto"/>
                <w:highlight w:val="none"/>
                <w:lang w:val="zh-CN" w:eastAsia="zh-CN"/>
              </w:rPr>
              <w:t>所有饰面清洗时禁止用草酸等有腐蚀性的清洗剂，应用中性清洗剂，或直接用高压水枪清洗</w:t>
            </w:r>
          </w:p>
        </w:tc>
        <w:tc>
          <w:tcPr>
            <w:tcW w:w="6922" w:type="dxa"/>
            <w:vAlign w:val="center"/>
          </w:tcPr>
          <w:p>
            <w:pPr>
              <w:pStyle w:val="12"/>
              <w:bidi w:val="0"/>
              <w:rPr>
                <w:color w:val="auto"/>
                <w:highlight w:val="none"/>
                <w:lang w:val="zh-CN" w:eastAsia="zh-CN"/>
              </w:rPr>
            </w:pPr>
          </w:p>
          <w:p>
            <w:pPr>
              <w:pStyle w:val="12"/>
              <w:bidi w:val="0"/>
              <w:rPr>
                <w:color w:val="auto"/>
                <w:highlight w:val="none"/>
                <w:lang w:val="zh-CN" w:eastAsia="zh-CN"/>
              </w:rPr>
            </w:pPr>
            <w:r>
              <w:rPr>
                <w:color w:val="auto"/>
                <w:highlight w:val="none"/>
                <w:lang w:val="zh-CN" w:eastAsia="zh-CN"/>
              </w:rPr>
              <w:drawing>
                <wp:inline distT="0" distB="0" distL="0" distR="0">
                  <wp:extent cx="3234055" cy="2235835"/>
                  <wp:effectExtent l="0" t="0" r="4445" b="2540"/>
                  <wp:docPr id="181" name="image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image94.jpeg"/>
                          <pic:cNvPicPr>
                            <a:picLocks noChangeAspect="1"/>
                          </pic:cNvPicPr>
                        </pic:nvPicPr>
                        <pic:blipFill>
                          <a:blip r:embed="rId103" cstate="print"/>
                          <a:stretch>
                            <a:fillRect/>
                          </a:stretch>
                        </pic:blipFill>
                        <pic:spPr>
                          <a:xfrm>
                            <a:off x="0" y="0"/>
                            <a:ext cx="3234071" cy="2236374"/>
                          </a:xfrm>
                          <a:prstGeom prst="rect">
                            <a:avLst/>
                          </a:prstGeom>
                        </pic:spPr>
                      </pic:pic>
                    </a:graphicData>
                  </a:graphic>
                </wp:inline>
              </w:drawing>
            </w:r>
          </w:p>
        </w:tc>
        <w:tc>
          <w:tcPr>
            <w:tcW w:w="1314" w:type="dxa"/>
            <w:vAlign w:val="center"/>
          </w:tcPr>
          <w:p>
            <w:pPr>
              <w:pStyle w:val="12"/>
              <w:bidi w:val="0"/>
              <w:rPr>
                <w:color w:val="auto"/>
                <w:highlight w:val="none"/>
                <w:lang w:val="zh-CN" w:eastAsia="zh-CN"/>
              </w:rPr>
            </w:pPr>
            <w:r>
              <w:rPr>
                <w:color w:val="auto"/>
                <w:highlight w:val="none"/>
                <w:lang w:val="zh-CN" w:eastAsia="zh-CN"/>
              </w:rPr>
              <w:t>用高压水枪清洗</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750" w:hRule="atLeast"/>
          <w:jc w:val="center"/>
        </w:trPr>
        <w:tc>
          <w:tcPr>
            <w:tcW w:w="622" w:type="dxa"/>
            <w:vAlign w:val="center"/>
          </w:tcPr>
          <w:p>
            <w:pPr>
              <w:pStyle w:val="12"/>
              <w:bidi w:val="0"/>
              <w:rPr>
                <w:color w:val="auto"/>
                <w:highlight w:val="none"/>
                <w:lang w:val="zh-CN" w:eastAsia="zh-CN"/>
              </w:rPr>
            </w:pPr>
            <w:r>
              <w:rPr>
                <w:color w:val="auto"/>
                <w:highlight w:val="none"/>
                <w:lang w:val="zh-CN" w:eastAsia="zh-CN"/>
              </w:rPr>
              <w:t>9</w:t>
            </w:r>
          </w:p>
        </w:tc>
        <w:tc>
          <w:tcPr>
            <w:tcW w:w="1434" w:type="dxa"/>
            <w:gridSpan w:val="2"/>
            <w:vAlign w:val="center"/>
          </w:tcPr>
          <w:p>
            <w:pPr>
              <w:pStyle w:val="12"/>
              <w:bidi w:val="0"/>
              <w:rPr>
                <w:color w:val="auto"/>
                <w:highlight w:val="none"/>
                <w:lang w:val="zh-CN" w:eastAsia="zh-CN"/>
              </w:rPr>
            </w:pPr>
            <w:r>
              <w:rPr>
                <w:color w:val="auto"/>
                <w:highlight w:val="none"/>
                <w:lang w:val="zh-CN" w:eastAsia="zh-CN"/>
              </w:rPr>
              <w:t>绿化苗木装车</w:t>
            </w:r>
          </w:p>
          <w:p>
            <w:pPr>
              <w:pStyle w:val="12"/>
              <w:bidi w:val="0"/>
              <w:rPr>
                <w:color w:val="auto"/>
                <w:highlight w:val="none"/>
                <w:lang w:val="zh-CN" w:eastAsia="zh-CN"/>
              </w:rPr>
            </w:pPr>
            <w:r>
              <w:rPr>
                <w:color w:val="auto"/>
                <w:highlight w:val="none"/>
                <w:lang w:val="zh-CN" w:eastAsia="zh-CN"/>
              </w:rPr>
              <w:t>、运输</w:t>
            </w:r>
          </w:p>
        </w:tc>
        <w:tc>
          <w:tcPr>
            <w:tcW w:w="2792" w:type="dxa"/>
            <w:vAlign w:val="center"/>
          </w:tcPr>
          <w:p>
            <w:pPr>
              <w:pStyle w:val="12"/>
              <w:bidi w:val="0"/>
              <w:rPr>
                <w:color w:val="auto"/>
                <w:highlight w:val="none"/>
                <w:lang w:val="zh-CN" w:eastAsia="zh-CN"/>
              </w:rPr>
            </w:pPr>
            <w:r>
              <w:rPr>
                <w:color w:val="auto"/>
                <w:highlight w:val="none"/>
                <w:lang w:val="zh-CN" w:eastAsia="zh-CN"/>
              </w:rPr>
              <w:t>运输中必须对树冠及土球进行全面阴网覆盖处理，尽量减少叶面水份蒸发</w:t>
            </w:r>
          </w:p>
        </w:tc>
        <w:tc>
          <w:tcPr>
            <w:tcW w:w="6922" w:type="dxa"/>
            <w:vAlign w:val="center"/>
          </w:tcPr>
          <w:p>
            <w:pPr>
              <w:pStyle w:val="12"/>
              <w:bidi w:val="0"/>
              <w:rPr>
                <w:color w:val="auto"/>
                <w:highlight w:val="none"/>
                <w:lang w:val="zh-CN" w:eastAsia="zh-CN"/>
              </w:rPr>
            </w:pPr>
          </w:p>
          <w:p>
            <w:pPr>
              <w:pStyle w:val="12"/>
              <w:bidi w:val="0"/>
              <w:rPr>
                <w:color w:val="auto"/>
                <w:highlight w:val="none"/>
                <w:lang w:val="zh-CN" w:eastAsia="zh-CN"/>
              </w:rPr>
            </w:pPr>
            <w:r>
              <w:rPr>
                <w:color w:val="auto"/>
                <w:highlight w:val="none"/>
                <w:lang w:val="zh-CN" w:eastAsia="zh-CN"/>
              </w:rPr>
              <w:drawing>
                <wp:inline distT="0" distB="0" distL="0" distR="0">
                  <wp:extent cx="3210560" cy="2178685"/>
                  <wp:effectExtent l="0" t="0" r="8890" b="2540"/>
                  <wp:docPr id="183" name="image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image95.jpeg"/>
                          <pic:cNvPicPr>
                            <a:picLocks noChangeAspect="1"/>
                          </pic:cNvPicPr>
                        </pic:nvPicPr>
                        <pic:blipFill>
                          <a:blip r:embed="rId104" cstate="print"/>
                          <a:stretch>
                            <a:fillRect/>
                          </a:stretch>
                        </pic:blipFill>
                        <pic:spPr>
                          <a:xfrm>
                            <a:off x="0" y="0"/>
                            <a:ext cx="3211154" cy="2178939"/>
                          </a:xfrm>
                          <a:prstGeom prst="rect">
                            <a:avLst/>
                          </a:prstGeom>
                        </pic:spPr>
                      </pic:pic>
                    </a:graphicData>
                  </a:graphic>
                </wp:inline>
              </w:drawing>
            </w:r>
          </w:p>
        </w:tc>
        <w:tc>
          <w:tcPr>
            <w:tcW w:w="1314" w:type="dxa"/>
            <w:vAlign w:val="center"/>
          </w:tcPr>
          <w:p>
            <w:pPr>
              <w:pStyle w:val="12"/>
              <w:bidi w:val="0"/>
              <w:rPr>
                <w:color w:val="auto"/>
                <w:highlight w:val="none"/>
                <w:lang w:val="zh-CN" w:eastAsia="zh-CN"/>
              </w:rPr>
            </w:pPr>
            <w:r>
              <w:rPr>
                <w:color w:val="auto"/>
                <w:highlight w:val="none"/>
                <w:lang w:val="zh-CN" w:eastAsia="zh-CN"/>
              </w:rPr>
              <w:t>阴网覆盖</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549" w:hRule="atLeast"/>
          <w:jc w:val="center"/>
        </w:trPr>
        <w:tc>
          <w:tcPr>
            <w:tcW w:w="622" w:type="dxa"/>
            <w:vAlign w:val="center"/>
          </w:tcPr>
          <w:p>
            <w:pPr>
              <w:pStyle w:val="12"/>
              <w:bidi w:val="0"/>
              <w:rPr>
                <w:color w:val="auto"/>
                <w:highlight w:val="none"/>
                <w:lang w:val="zh-CN" w:eastAsia="zh-CN"/>
              </w:rPr>
            </w:pPr>
            <w:r>
              <w:rPr>
                <w:color w:val="auto"/>
                <w:highlight w:val="none"/>
                <w:lang w:val="zh-CN" w:eastAsia="zh-CN"/>
              </w:rPr>
              <w:t>10</w:t>
            </w:r>
          </w:p>
        </w:tc>
        <w:tc>
          <w:tcPr>
            <w:tcW w:w="1434" w:type="dxa"/>
            <w:gridSpan w:val="2"/>
            <w:vAlign w:val="center"/>
          </w:tcPr>
          <w:p>
            <w:pPr>
              <w:pStyle w:val="12"/>
              <w:bidi w:val="0"/>
              <w:rPr>
                <w:color w:val="auto"/>
                <w:highlight w:val="none"/>
                <w:lang w:val="zh-CN" w:eastAsia="zh-CN"/>
              </w:rPr>
            </w:pPr>
            <w:r>
              <w:rPr>
                <w:color w:val="auto"/>
                <w:highlight w:val="none"/>
                <w:lang w:val="zh-CN" w:eastAsia="zh-CN"/>
              </w:rPr>
              <w:t>绿化苗木种植时保护</w:t>
            </w:r>
          </w:p>
        </w:tc>
        <w:tc>
          <w:tcPr>
            <w:tcW w:w="2792" w:type="dxa"/>
            <w:vAlign w:val="center"/>
          </w:tcPr>
          <w:p>
            <w:pPr>
              <w:pStyle w:val="12"/>
              <w:bidi w:val="0"/>
              <w:rPr>
                <w:color w:val="auto"/>
                <w:highlight w:val="none"/>
                <w:lang w:val="zh-CN" w:eastAsia="zh-CN"/>
              </w:rPr>
            </w:pPr>
            <w:r>
              <w:rPr>
                <w:color w:val="auto"/>
                <w:highlight w:val="none"/>
                <w:lang w:val="zh-CN" w:eastAsia="zh-CN"/>
              </w:rPr>
              <w:t>大树吊种时必须用棉被、席草、麻布等材料保护树杆，避免邦带直接接触树杆，拉伤树皮</w:t>
            </w:r>
          </w:p>
        </w:tc>
        <w:tc>
          <w:tcPr>
            <w:tcW w:w="6922" w:type="dxa"/>
            <w:vAlign w:val="center"/>
          </w:tcPr>
          <w:p>
            <w:pPr>
              <w:pStyle w:val="12"/>
              <w:bidi w:val="0"/>
              <w:rPr>
                <w:color w:val="auto"/>
                <w:highlight w:val="none"/>
                <w:lang w:val="zh-CN" w:eastAsia="zh-CN"/>
              </w:rPr>
            </w:pPr>
          </w:p>
          <w:p>
            <w:pPr>
              <w:pStyle w:val="12"/>
              <w:bidi w:val="0"/>
              <w:rPr>
                <w:color w:val="auto"/>
                <w:highlight w:val="none"/>
                <w:lang w:val="zh-CN" w:eastAsia="zh-CN"/>
              </w:rPr>
            </w:pPr>
            <w:r>
              <w:rPr>
                <w:color w:val="auto"/>
                <w:highlight w:val="none"/>
                <w:lang w:val="zh-CN" w:eastAsia="zh-CN"/>
              </w:rPr>
              <w:drawing>
                <wp:inline distT="0" distB="0" distL="0" distR="0">
                  <wp:extent cx="3140710" cy="2170430"/>
                  <wp:effectExtent l="0" t="0" r="2540" b="1270"/>
                  <wp:docPr id="185" name="image96.jpeg"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image96.jpeg" descr="6"/>
                          <pic:cNvPicPr>
                            <a:picLocks noChangeAspect="1"/>
                          </pic:cNvPicPr>
                        </pic:nvPicPr>
                        <pic:blipFill>
                          <a:blip r:embed="rId105" cstate="print"/>
                          <a:stretch>
                            <a:fillRect/>
                          </a:stretch>
                        </pic:blipFill>
                        <pic:spPr>
                          <a:xfrm>
                            <a:off x="0" y="0"/>
                            <a:ext cx="3141247" cy="2170842"/>
                          </a:xfrm>
                          <a:prstGeom prst="rect">
                            <a:avLst/>
                          </a:prstGeom>
                        </pic:spPr>
                      </pic:pic>
                    </a:graphicData>
                  </a:graphic>
                </wp:inline>
              </w:drawing>
            </w:r>
          </w:p>
          <w:p>
            <w:pPr>
              <w:pStyle w:val="12"/>
              <w:bidi w:val="0"/>
              <w:rPr>
                <w:color w:val="auto"/>
                <w:highlight w:val="none"/>
                <w:lang w:val="zh-CN" w:eastAsia="zh-CN"/>
              </w:rPr>
            </w:pPr>
          </w:p>
          <w:p>
            <w:pPr>
              <w:pStyle w:val="12"/>
              <w:bidi w:val="0"/>
              <w:rPr>
                <w:color w:val="auto"/>
                <w:highlight w:val="none"/>
                <w:lang w:val="zh-CN" w:eastAsia="zh-CN"/>
              </w:rPr>
            </w:pPr>
            <w:r>
              <w:rPr>
                <w:color w:val="auto"/>
                <w:highlight w:val="none"/>
                <w:lang w:val="zh-CN" w:eastAsia="zh-CN"/>
              </w:rPr>
              <w:drawing>
                <wp:inline distT="0" distB="0" distL="0" distR="0">
                  <wp:extent cx="2767965" cy="2540"/>
                  <wp:effectExtent l="0" t="0" r="0" b="0"/>
                  <wp:docPr id="187" name="image9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image97.png"/>
                          <pic:cNvPicPr>
                            <a:picLocks noChangeAspect="1"/>
                          </pic:cNvPicPr>
                        </pic:nvPicPr>
                        <pic:blipFill>
                          <a:blip r:embed="rId106" cstate="print"/>
                          <a:stretch>
                            <a:fillRect/>
                          </a:stretch>
                        </pic:blipFill>
                        <pic:spPr>
                          <a:xfrm>
                            <a:off x="0" y="0"/>
                            <a:ext cx="2768203" cy="2952"/>
                          </a:xfrm>
                          <a:prstGeom prst="rect">
                            <a:avLst/>
                          </a:prstGeom>
                        </pic:spPr>
                      </pic:pic>
                    </a:graphicData>
                  </a:graphic>
                </wp:inline>
              </w:drawing>
            </w:r>
          </w:p>
        </w:tc>
        <w:tc>
          <w:tcPr>
            <w:tcW w:w="1314" w:type="dxa"/>
            <w:vAlign w:val="center"/>
          </w:tcPr>
          <w:p>
            <w:pPr>
              <w:pStyle w:val="12"/>
              <w:bidi w:val="0"/>
              <w:rPr>
                <w:color w:val="auto"/>
                <w:highlight w:val="none"/>
                <w:lang w:val="zh-CN" w:eastAsia="zh-CN"/>
              </w:rPr>
            </w:pPr>
            <w:r>
              <w:rPr>
                <w:color w:val="auto"/>
                <w:highlight w:val="none"/>
                <w:lang w:val="zh-CN" w:eastAsia="zh-CN"/>
              </w:rPr>
              <w:t>树杆保护</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534" w:hRule="atLeast"/>
          <w:jc w:val="center"/>
        </w:trPr>
        <w:tc>
          <w:tcPr>
            <w:tcW w:w="622" w:type="dxa"/>
            <w:vAlign w:val="center"/>
          </w:tcPr>
          <w:p>
            <w:pPr>
              <w:pStyle w:val="12"/>
              <w:bidi w:val="0"/>
              <w:rPr>
                <w:color w:val="auto"/>
                <w:highlight w:val="none"/>
                <w:lang w:val="zh-CN" w:eastAsia="zh-CN"/>
              </w:rPr>
            </w:pPr>
            <w:r>
              <w:rPr>
                <w:color w:val="auto"/>
                <w:highlight w:val="none"/>
                <w:lang w:val="zh-CN" w:eastAsia="zh-CN"/>
              </w:rPr>
              <w:t>11</w:t>
            </w:r>
          </w:p>
        </w:tc>
        <w:tc>
          <w:tcPr>
            <w:tcW w:w="1434" w:type="dxa"/>
            <w:gridSpan w:val="2"/>
            <w:vAlign w:val="center"/>
          </w:tcPr>
          <w:p>
            <w:pPr>
              <w:pStyle w:val="12"/>
              <w:bidi w:val="0"/>
              <w:rPr>
                <w:color w:val="auto"/>
                <w:highlight w:val="none"/>
                <w:lang w:val="zh-CN" w:eastAsia="zh-CN"/>
              </w:rPr>
            </w:pPr>
            <w:r>
              <w:rPr>
                <w:color w:val="auto"/>
                <w:highlight w:val="none"/>
                <w:lang w:val="zh-CN" w:eastAsia="zh-CN"/>
              </w:rPr>
              <w:t>绿化苗木种植后围挡保护</w:t>
            </w:r>
          </w:p>
        </w:tc>
        <w:tc>
          <w:tcPr>
            <w:tcW w:w="2792" w:type="dxa"/>
            <w:vAlign w:val="center"/>
          </w:tcPr>
          <w:p>
            <w:pPr>
              <w:pStyle w:val="12"/>
              <w:bidi w:val="0"/>
              <w:rPr>
                <w:color w:val="auto"/>
                <w:highlight w:val="none"/>
                <w:lang w:val="zh-CN" w:eastAsia="zh-CN"/>
              </w:rPr>
            </w:pPr>
            <w:r>
              <w:rPr>
                <w:color w:val="auto"/>
                <w:highlight w:val="none"/>
                <w:lang w:val="zh-CN" w:eastAsia="zh-CN"/>
              </w:rPr>
              <w:t>灌木、草皮种植后必须加围档保护，材料可以为竹杆、木杆、铁线网等，避免踩踏造成的破坏，保护直到楼盘的开放或交付使用。</w:t>
            </w:r>
          </w:p>
        </w:tc>
        <w:tc>
          <w:tcPr>
            <w:tcW w:w="6922" w:type="dxa"/>
            <w:vAlign w:val="center"/>
          </w:tcPr>
          <w:p>
            <w:pPr>
              <w:pStyle w:val="12"/>
              <w:bidi w:val="0"/>
              <w:rPr>
                <w:color w:val="auto"/>
                <w:highlight w:val="none"/>
                <w:lang w:val="zh-CN" w:eastAsia="zh-CN"/>
              </w:rPr>
            </w:pPr>
            <w:r>
              <w:rPr>
                <w:color w:val="auto"/>
                <w:highlight w:val="none"/>
                <w:lang w:val="zh-CN" w:eastAsia="zh-CN"/>
              </w:rPr>
              <w:drawing>
                <wp:inline distT="0" distB="0" distL="0" distR="0">
                  <wp:extent cx="2869565" cy="2211070"/>
                  <wp:effectExtent l="0" t="0" r="6985" b="8255"/>
                  <wp:docPr id="189" name="image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image98.jpeg"/>
                          <pic:cNvPicPr>
                            <a:picLocks noChangeAspect="1"/>
                          </pic:cNvPicPr>
                        </pic:nvPicPr>
                        <pic:blipFill>
                          <a:blip r:embed="rId107" cstate="print"/>
                          <a:stretch>
                            <a:fillRect/>
                          </a:stretch>
                        </pic:blipFill>
                        <pic:spPr>
                          <a:xfrm>
                            <a:off x="0" y="0"/>
                            <a:ext cx="2869858" cy="2211704"/>
                          </a:xfrm>
                          <a:prstGeom prst="rect">
                            <a:avLst/>
                          </a:prstGeom>
                        </pic:spPr>
                      </pic:pic>
                    </a:graphicData>
                  </a:graphic>
                </wp:inline>
              </w:drawing>
            </w:r>
          </w:p>
        </w:tc>
        <w:tc>
          <w:tcPr>
            <w:tcW w:w="1314" w:type="dxa"/>
            <w:vAlign w:val="center"/>
          </w:tcPr>
          <w:p>
            <w:pPr>
              <w:pStyle w:val="12"/>
              <w:bidi w:val="0"/>
              <w:rPr>
                <w:color w:val="auto"/>
                <w:highlight w:val="none"/>
                <w:lang w:val="zh-CN" w:eastAsia="zh-CN"/>
              </w:rPr>
            </w:pPr>
            <w:r>
              <w:rPr>
                <w:color w:val="auto"/>
                <w:highlight w:val="none"/>
                <w:lang w:val="zh-CN" w:eastAsia="zh-CN"/>
              </w:rPr>
              <w:t>竹杆围合保护</w:t>
            </w:r>
          </w:p>
        </w:tc>
      </w:tr>
    </w:tbl>
    <w:p>
      <w:pPr>
        <w:widowControl w:val="0"/>
        <w:spacing w:before="120" w:beforeLines="50" w:beforeAutospacing="0" w:after="120" w:afterLines="50" w:afterAutospacing="0"/>
        <w:ind w:left="480" w:leftChars="200"/>
        <w:jc w:val="both"/>
        <w:rPr>
          <w:rFonts w:ascii="宋体" w:hAnsi="宋体" w:eastAsia="宋体" w:cs="宋体"/>
          <w:color w:val="auto"/>
          <w:szCs w:val="24"/>
          <w:highlight w:val="none"/>
          <w:lang w:bidi="ar"/>
        </w:rPr>
      </w:pPr>
      <w:r>
        <w:rPr>
          <w:rFonts w:hint="eastAsia" w:ascii="宋体" w:hAnsi="宋体" w:eastAsia="宋体" w:cs="宋体"/>
          <w:color w:val="auto"/>
          <w:szCs w:val="24"/>
          <w:highlight w:val="none"/>
          <w:lang w:bidi="ar"/>
        </w:rPr>
        <w:br w:type="page"/>
      </w:r>
    </w:p>
    <w:p>
      <w:pPr>
        <w:pStyle w:val="5"/>
        <w:bidi w:val="0"/>
        <w:ind w:left="253"/>
        <w:rPr>
          <w:color w:val="auto"/>
          <w:highlight w:val="none"/>
        </w:rPr>
      </w:pPr>
      <w:r>
        <w:rPr>
          <w:rFonts w:hint="eastAsia"/>
          <w:color w:val="auto"/>
          <w:highlight w:val="none"/>
        </w:rPr>
        <w:t xml:space="preserve"> 幕墙、铝合金门窗半成品、成品保护做法</w:t>
      </w:r>
    </w:p>
    <w:tbl>
      <w:tblPr>
        <w:tblStyle w:val="21"/>
        <w:tblW w:w="13340" w:type="dxa"/>
        <w:tblInd w:w="131"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430"/>
        <w:gridCol w:w="484"/>
        <w:gridCol w:w="570"/>
        <w:gridCol w:w="2447"/>
        <w:gridCol w:w="4200"/>
        <w:gridCol w:w="4414"/>
        <w:gridCol w:w="795"/>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90" w:hRule="atLeast"/>
        </w:trPr>
        <w:tc>
          <w:tcPr>
            <w:tcW w:w="13340" w:type="dxa"/>
            <w:gridSpan w:val="7"/>
            <w:tcBorders>
              <w:top w:val="single" w:color="auto" w:sz="4" w:space="0"/>
              <w:left w:val="single" w:color="auto" w:sz="4" w:space="0"/>
              <w:bottom w:val="single" w:color="auto" w:sz="4" w:space="0"/>
              <w:right w:val="single" w:color="auto" w:sz="4" w:space="0"/>
            </w:tcBorders>
            <w:shd w:val="clear" w:color="auto" w:fill="auto"/>
            <w:vAlign w:val="center"/>
          </w:tcPr>
          <w:p>
            <w:pPr>
              <w:pStyle w:val="12"/>
              <w:bidi w:val="0"/>
              <w:rPr>
                <w:b/>
                <w:bCs/>
                <w:color w:val="auto"/>
                <w:highlight w:val="none"/>
                <w:lang w:val="zh-CN" w:eastAsia="zh-CN"/>
              </w:rPr>
            </w:pPr>
            <w:bookmarkStart w:id="289" w:name="_Hlk145175625"/>
            <w:r>
              <w:rPr>
                <w:rFonts w:hint="eastAsia"/>
                <w:b/>
                <w:bCs/>
                <w:color w:val="auto"/>
                <w:highlight w:val="none"/>
                <w:lang w:val="zh-CN" w:eastAsia="zh-CN"/>
              </w:rPr>
              <w:t>幕墙、铝合金门窗半成品、成品保护做法</w:t>
            </w:r>
            <w:bookmarkEnd w:id="289"/>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Ex>
        <w:trPr>
          <w:trHeight w:val="90" w:hRule="atLeast"/>
        </w:trPr>
        <w:tc>
          <w:tcPr>
            <w:tcW w:w="43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bidi w:val="0"/>
              <w:rPr>
                <w:b/>
                <w:bCs/>
                <w:color w:val="auto"/>
                <w:highlight w:val="none"/>
                <w:lang w:val="zh-CN" w:eastAsia="zh-CN"/>
              </w:rPr>
            </w:pPr>
            <w:r>
              <w:rPr>
                <w:rFonts w:hint="eastAsia"/>
                <w:b/>
                <w:bCs/>
                <w:color w:val="auto"/>
                <w:highlight w:val="none"/>
                <w:lang w:val="zh-CN" w:eastAsia="zh-CN"/>
              </w:rPr>
              <w:t>序号</w:t>
            </w:r>
          </w:p>
        </w:tc>
        <w:tc>
          <w:tcPr>
            <w:tcW w:w="1054"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2"/>
              <w:bidi w:val="0"/>
              <w:rPr>
                <w:b/>
                <w:bCs/>
                <w:color w:val="auto"/>
                <w:highlight w:val="none"/>
                <w:lang w:val="zh-CN" w:eastAsia="zh-CN"/>
              </w:rPr>
            </w:pPr>
            <w:r>
              <w:rPr>
                <w:rFonts w:hint="eastAsia"/>
                <w:b/>
                <w:bCs/>
                <w:color w:val="auto"/>
                <w:highlight w:val="none"/>
                <w:lang w:val="zh-CN" w:eastAsia="zh-CN"/>
              </w:rPr>
              <w:t>保护内容</w:t>
            </w:r>
          </w:p>
        </w:tc>
        <w:tc>
          <w:tcPr>
            <w:tcW w:w="2447"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bidi w:val="0"/>
              <w:rPr>
                <w:b/>
                <w:bCs/>
                <w:color w:val="auto"/>
                <w:highlight w:val="none"/>
                <w:lang w:val="zh-CN" w:eastAsia="zh-CN"/>
              </w:rPr>
            </w:pPr>
            <w:r>
              <w:rPr>
                <w:rFonts w:hint="eastAsia"/>
                <w:b/>
                <w:bCs/>
                <w:color w:val="auto"/>
                <w:highlight w:val="none"/>
                <w:lang w:val="zh-CN" w:eastAsia="zh-CN"/>
              </w:rPr>
              <w:t>保护标准</w:t>
            </w:r>
          </w:p>
        </w:tc>
        <w:tc>
          <w:tcPr>
            <w:tcW w:w="8614"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2"/>
              <w:bidi w:val="0"/>
              <w:rPr>
                <w:b/>
                <w:bCs/>
                <w:color w:val="auto"/>
                <w:highlight w:val="none"/>
                <w:lang w:val="zh-CN" w:eastAsia="zh-CN"/>
              </w:rPr>
            </w:pPr>
            <w:r>
              <w:rPr>
                <w:rFonts w:hint="eastAsia"/>
                <w:b/>
                <w:bCs/>
                <w:color w:val="auto"/>
                <w:highlight w:val="none"/>
                <w:lang w:val="zh-CN" w:eastAsia="zh-CN"/>
              </w:rPr>
              <w:t>图示</w:t>
            </w:r>
          </w:p>
        </w:tc>
        <w:tc>
          <w:tcPr>
            <w:tcW w:w="79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2"/>
              <w:bidi w:val="0"/>
              <w:rPr>
                <w:b/>
                <w:bCs/>
                <w:color w:val="auto"/>
                <w:highlight w:val="none"/>
                <w:lang w:val="zh-CN" w:eastAsia="zh-CN"/>
              </w:rPr>
            </w:pPr>
            <w:r>
              <w:rPr>
                <w:rFonts w:hint="eastAsia"/>
                <w:b/>
                <w:bCs/>
                <w:color w:val="auto"/>
                <w:highlight w:val="none"/>
                <w:lang w:val="zh-CN" w:eastAsia="zh-CN"/>
              </w:rPr>
              <w:t>备注</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90" w:hRule="atLeast"/>
        </w:trPr>
        <w:tc>
          <w:tcPr>
            <w:tcW w:w="430" w:type="dxa"/>
            <w:vMerge w:val="restart"/>
            <w:tcBorders>
              <w:top w:val="single" w:color="auto" w:sz="4" w:space="0"/>
              <w:left w:val="single" w:color="auto" w:sz="4" w:space="0"/>
              <w:bottom w:val="single" w:color="auto" w:sz="4" w:space="0"/>
              <w:right w:val="single" w:color="auto" w:sz="4" w:space="0"/>
            </w:tcBorders>
            <w:vAlign w:val="center"/>
          </w:tcPr>
          <w:p>
            <w:pPr>
              <w:pStyle w:val="12"/>
              <w:bidi w:val="0"/>
              <w:rPr>
                <w:color w:val="auto"/>
                <w:highlight w:val="none"/>
                <w:lang w:val="zh-CN" w:eastAsia="zh-CN"/>
              </w:rPr>
            </w:pPr>
            <w:r>
              <w:rPr>
                <w:color w:val="auto"/>
                <w:highlight w:val="none"/>
                <w:lang w:val="zh-CN" w:eastAsia="zh-CN"/>
              </w:rPr>
              <w:t>1</w:t>
            </w:r>
          </w:p>
        </w:tc>
        <w:tc>
          <w:tcPr>
            <w:tcW w:w="484" w:type="dxa"/>
            <w:tcBorders>
              <w:top w:val="single" w:color="auto" w:sz="4" w:space="0"/>
              <w:left w:val="single" w:color="auto" w:sz="4" w:space="0"/>
              <w:bottom w:val="single" w:color="auto" w:sz="4" w:space="0"/>
              <w:right w:val="single" w:color="auto" w:sz="4" w:space="0"/>
            </w:tcBorders>
            <w:vAlign w:val="center"/>
          </w:tcPr>
          <w:p>
            <w:pPr>
              <w:pStyle w:val="12"/>
              <w:bidi w:val="0"/>
              <w:rPr>
                <w:color w:val="auto"/>
                <w:highlight w:val="none"/>
                <w:lang w:val="zh-CN" w:eastAsia="zh-CN"/>
              </w:rPr>
            </w:pPr>
            <w:r>
              <w:rPr>
                <w:color w:val="auto"/>
                <w:highlight w:val="none"/>
                <w:lang w:val="zh-CN" w:eastAsia="zh-CN"/>
              </w:rPr>
              <w:t>工厂包装</w:t>
            </w:r>
          </w:p>
        </w:tc>
        <w:tc>
          <w:tcPr>
            <w:tcW w:w="570" w:type="dxa"/>
            <w:vMerge w:val="restart"/>
            <w:tcBorders>
              <w:top w:val="single" w:color="auto" w:sz="4" w:space="0"/>
              <w:left w:val="single" w:color="auto" w:sz="4" w:space="0"/>
              <w:bottom w:val="single" w:color="auto" w:sz="4" w:space="0"/>
              <w:right w:val="single" w:color="auto" w:sz="4" w:space="0"/>
            </w:tcBorders>
            <w:vAlign w:val="center"/>
          </w:tcPr>
          <w:p>
            <w:pPr>
              <w:pStyle w:val="12"/>
              <w:bidi w:val="0"/>
              <w:rPr>
                <w:color w:val="auto"/>
                <w:highlight w:val="none"/>
                <w:lang w:val="zh-CN" w:eastAsia="zh-CN"/>
              </w:rPr>
            </w:pPr>
            <w:r>
              <w:rPr>
                <w:color w:val="auto"/>
                <w:highlight w:val="none"/>
                <w:lang w:val="zh-CN" w:eastAsia="zh-CN"/>
              </w:rPr>
              <w:t>单元板块</w:t>
            </w:r>
          </w:p>
        </w:tc>
        <w:tc>
          <w:tcPr>
            <w:tcW w:w="2447" w:type="dxa"/>
            <w:tcBorders>
              <w:top w:val="single" w:color="auto" w:sz="4" w:space="0"/>
              <w:left w:val="single" w:color="auto" w:sz="4" w:space="0"/>
              <w:bottom w:val="single" w:color="auto" w:sz="4" w:space="0"/>
              <w:right w:val="single" w:color="auto" w:sz="4" w:space="0"/>
            </w:tcBorders>
            <w:vAlign w:val="center"/>
          </w:tcPr>
          <w:p>
            <w:pPr>
              <w:pStyle w:val="12"/>
              <w:bidi w:val="0"/>
              <w:rPr>
                <w:color w:val="auto"/>
                <w:highlight w:val="none"/>
                <w:lang w:val="zh-CN" w:eastAsia="zh-CN"/>
              </w:rPr>
            </w:pPr>
            <w:r>
              <w:rPr>
                <w:color w:val="auto"/>
                <w:highlight w:val="none"/>
                <w:lang w:val="zh-CN" w:eastAsia="zh-CN"/>
              </w:rPr>
              <w:t>单元板块角部由软性塑料泡沫保护，板块整体用塑料薄膜包裹；</w:t>
            </w:r>
          </w:p>
        </w:tc>
        <w:tc>
          <w:tcPr>
            <w:tcW w:w="4200" w:type="dxa"/>
            <w:tcBorders>
              <w:top w:val="single" w:color="auto" w:sz="4" w:space="0"/>
              <w:left w:val="single" w:color="auto" w:sz="4" w:space="0"/>
              <w:bottom w:val="single" w:color="auto" w:sz="4" w:space="0"/>
              <w:right w:val="single" w:color="auto" w:sz="4" w:space="0"/>
            </w:tcBorders>
            <w:vAlign w:val="center"/>
          </w:tcPr>
          <w:p>
            <w:pPr>
              <w:pStyle w:val="12"/>
              <w:bidi w:val="0"/>
              <w:rPr>
                <w:color w:val="auto"/>
                <w:highlight w:val="none"/>
                <w:lang w:val="zh-CN" w:eastAsia="zh-CN"/>
              </w:rPr>
            </w:pPr>
            <w:r>
              <w:rPr>
                <w:color w:val="auto"/>
                <w:highlight w:val="none"/>
                <w:lang w:val="zh-CN" w:eastAsia="zh-CN"/>
              </w:rPr>
              <w:drawing>
                <wp:inline distT="0" distB="0" distL="0" distR="0">
                  <wp:extent cx="2555875" cy="1986280"/>
                  <wp:effectExtent l="0" t="0" r="6350" b="4445"/>
                  <wp:docPr id="191" name="image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image99.jpeg"/>
                          <pic:cNvPicPr>
                            <a:picLocks noChangeAspect="1"/>
                          </pic:cNvPicPr>
                        </pic:nvPicPr>
                        <pic:blipFill>
                          <a:blip r:embed="rId108" cstate="print"/>
                          <a:stretch>
                            <a:fillRect/>
                          </a:stretch>
                        </pic:blipFill>
                        <pic:spPr>
                          <a:xfrm>
                            <a:off x="0" y="0"/>
                            <a:ext cx="2584014" cy="2007897"/>
                          </a:xfrm>
                          <a:prstGeom prst="rect">
                            <a:avLst/>
                          </a:prstGeom>
                        </pic:spPr>
                      </pic:pic>
                    </a:graphicData>
                  </a:graphic>
                </wp:inline>
              </w:drawing>
            </w:r>
          </w:p>
        </w:tc>
        <w:tc>
          <w:tcPr>
            <w:tcW w:w="4414" w:type="dxa"/>
            <w:tcBorders>
              <w:top w:val="single" w:color="auto" w:sz="4" w:space="0"/>
              <w:left w:val="single" w:color="auto" w:sz="4" w:space="0"/>
              <w:bottom w:val="single" w:color="auto" w:sz="4" w:space="0"/>
              <w:right w:val="single" w:color="auto" w:sz="4" w:space="0"/>
            </w:tcBorders>
            <w:vAlign w:val="center"/>
          </w:tcPr>
          <w:p>
            <w:pPr>
              <w:pStyle w:val="12"/>
              <w:bidi w:val="0"/>
              <w:rPr>
                <w:color w:val="auto"/>
                <w:highlight w:val="none"/>
                <w:lang w:val="zh-CN" w:eastAsia="zh-CN"/>
              </w:rPr>
            </w:pPr>
          </w:p>
        </w:tc>
        <w:tc>
          <w:tcPr>
            <w:tcW w:w="795" w:type="dxa"/>
            <w:tcBorders>
              <w:top w:val="single" w:color="auto" w:sz="4" w:space="0"/>
              <w:left w:val="single" w:color="auto" w:sz="4" w:space="0"/>
              <w:bottom w:val="single" w:color="auto" w:sz="4" w:space="0"/>
              <w:right w:val="single" w:color="auto" w:sz="4" w:space="0"/>
            </w:tcBorders>
            <w:vAlign w:val="center"/>
          </w:tcPr>
          <w:p>
            <w:pPr>
              <w:pStyle w:val="12"/>
              <w:bidi w:val="0"/>
              <w:rPr>
                <w:color w:val="auto"/>
                <w:highlight w:val="none"/>
                <w:lang w:val="zh-CN" w:eastAsia="zh-CN"/>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90" w:hRule="atLeast"/>
        </w:trPr>
        <w:tc>
          <w:tcPr>
            <w:tcW w:w="430" w:type="dxa"/>
            <w:vMerge w:val="continue"/>
            <w:tcBorders>
              <w:top w:val="single" w:color="auto" w:sz="4" w:space="0"/>
              <w:left w:val="single" w:color="auto" w:sz="4" w:space="0"/>
              <w:bottom w:val="single" w:color="auto" w:sz="4" w:space="0"/>
              <w:right w:val="single" w:color="auto" w:sz="4" w:space="0"/>
            </w:tcBorders>
            <w:vAlign w:val="center"/>
          </w:tcPr>
          <w:p>
            <w:pPr>
              <w:pStyle w:val="12"/>
              <w:bidi w:val="0"/>
              <w:rPr>
                <w:color w:val="auto"/>
                <w:highlight w:val="none"/>
                <w:lang w:val="zh-CN" w:eastAsia="zh-CN"/>
              </w:rPr>
            </w:pPr>
          </w:p>
        </w:tc>
        <w:tc>
          <w:tcPr>
            <w:tcW w:w="484" w:type="dxa"/>
            <w:tcBorders>
              <w:top w:val="single" w:color="auto" w:sz="4" w:space="0"/>
              <w:left w:val="single" w:color="auto" w:sz="4" w:space="0"/>
              <w:bottom w:val="single" w:color="auto" w:sz="4" w:space="0"/>
              <w:right w:val="single" w:color="auto" w:sz="4" w:space="0"/>
            </w:tcBorders>
            <w:vAlign w:val="center"/>
          </w:tcPr>
          <w:p>
            <w:pPr>
              <w:pStyle w:val="12"/>
              <w:bidi w:val="0"/>
              <w:rPr>
                <w:color w:val="auto"/>
                <w:highlight w:val="none"/>
                <w:lang w:val="zh-CN" w:eastAsia="zh-CN"/>
              </w:rPr>
            </w:pPr>
            <w:r>
              <w:rPr>
                <w:color w:val="auto"/>
                <w:highlight w:val="none"/>
                <w:lang w:val="zh-CN" w:eastAsia="zh-CN"/>
              </w:rPr>
              <w:t>堆放</w:t>
            </w:r>
          </w:p>
        </w:tc>
        <w:tc>
          <w:tcPr>
            <w:tcW w:w="570" w:type="dxa"/>
            <w:vMerge w:val="continue"/>
            <w:tcBorders>
              <w:top w:val="single" w:color="auto" w:sz="4" w:space="0"/>
              <w:left w:val="single" w:color="auto" w:sz="4" w:space="0"/>
              <w:bottom w:val="single" w:color="auto" w:sz="4" w:space="0"/>
              <w:right w:val="single" w:color="auto" w:sz="4" w:space="0"/>
            </w:tcBorders>
            <w:vAlign w:val="center"/>
          </w:tcPr>
          <w:p>
            <w:pPr>
              <w:pStyle w:val="12"/>
              <w:bidi w:val="0"/>
              <w:rPr>
                <w:color w:val="auto"/>
                <w:highlight w:val="none"/>
                <w:lang w:val="zh-CN" w:eastAsia="zh-CN"/>
              </w:rPr>
            </w:pPr>
          </w:p>
        </w:tc>
        <w:tc>
          <w:tcPr>
            <w:tcW w:w="2447" w:type="dxa"/>
            <w:tcBorders>
              <w:top w:val="single" w:color="auto" w:sz="4" w:space="0"/>
              <w:left w:val="single" w:color="auto" w:sz="4" w:space="0"/>
              <w:bottom w:val="single" w:color="auto" w:sz="4" w:space="0"/>
              <w:right w:val="single" w:color="auto" w:sz="4" w:space="0"/>
            </w:tcBorders>
            <w:vAlign w:val="center"/>
          </w:tcPr>
          <w:p>
            <w:pPr>
              <w:pStyle w:val="12"/>
              <w:bidi w:val="0"/>
              <w:rPr>
                <w:color w:val="auto"/>
                <w:highlight w:val="none"/>
                <w:lang w:val="zh-CN" w:eastAsia="zh-CN"/>
              </w:rPr>
            </w:pPr>
          </w:p>
          <w:p>
            <w:pPr>
              <w:pStyle w:val="12"/>
              <w:bidi w:val="0"/>
              <w:rPr>
                <w:color w:val="auto"/>
                <w:highlight w:val="none"/>
                <w:lang w:val="zh-CN" w:eastAsia="zh-CN"/>
              </w:rPr>
            </w:pPr>
            <w:r>
              <w:rPr>
                <w:color w:val="auto"/>
                <w:highlight w:val="none"/>
                <w:lang w:val="zh-CN" w:eastAsia="zh-CN"/>
              </w:rPr>
              <w:t>现场单元板块堆放时不得将板块堆叠压放，各板块应独立放置于支撑架上且不得破坏外表保护材料；</w:t>
            </w:r>
          </w:p>
        </w:tc>
        <w:tc>
          <w:tcPr>
            <w:tcW w:w="4200" w:type="dxa"/>
            <w:tcBorders>
              <w:top w:val="single" w:color="auto" w:sz="4" w:space="0"/>
              <w:left w:val="single" w:color="auto" w:sz="4" w:space="0"/>
              <w:bottom w:val="single" w:color="auto" w:sz="4" w:space="0"/>
              <w:right w:val="single" w:color="auto" w:sz="4" w:space="0"/>
            </w:tcBorders>
            <w:vAlign w:val="center"/>
          </w:tcPr>
          <w:p>
            <w:pPr>
              <w:pStyle w:val="12"/>
              <w:bidi w:val="0"/>
              <w:rPr>
                <w:color w:val="auto"/>
                <w:highlight w:val="none"/>
                <w:lang w:val="zh-CN" w:eastAsia="zh-CN"/>
              </w:rPr>
            </w:pPr>
            <w:r>
              <w:rPr>
                <w:color w:val="auto"/>
                <w:highlight w:val="none"/>
                <w:lang w:val="zh-CN" w:eastAsia="zh-CN"/>
              </w:rPr>
              <w:drawing>
                <wp:inline distT="0" distB="0" distL="0" distR="0">
                  <wp:extent cx="2405380" cy="1875790"/>
                  <wp:effectExtent l="0" t="0" r="4445" b="635"/>
                  <wp:docPr id="193" name="image1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image100.jpeg"/>
                          <pic:cNvPicPr>
                            <a:picLocks noChangeAspect="1"/>
                          </pic:cNvPicPr>
                        </pic:nvPicPr>
                        <pic:blipFill>
                          <a:blip r:embed="rId109" cstate="print"/>
                          <a:stretch>
                            <a:fillRect/>
                          </a:stretch>
                        </pic:blipFill>
                        <pic:spPr>
                          <a:xfrm>
                            <a:off x="0" y="0"/>
                            <a:ext cx="2425393" cy="1891356"/>
                          </a:xfrm>
                          <a:prstGeom prst="rect">
                            <a:avLst/>
                          </a:prstGeom>
                        </pic:spPr>
                      </pic:pic>
                    </a:graphicData>
                  </a:graphic>
                </wp:inline>
              </w:drawing>
            </w:r>
          </w:p>
        </w:tc>
        <w:tc>
          <w:tcPr>
            <w:tcW w:w="4414" w:type="dxa"/>
            <w:tcBorders>
              <w:top w:val="single" w:color="auto" w:sz="4" w:space="0"/>
              <w:left w:val="single" w:color="auto" w:sz="4" w:space="0"/>
              <w:bottom w:val="single" w:color="auto" w:sz="4" w:space="0"/>
              <w:right w:val="single" w:color="auto" w:sz="4" w:space="0"/>
            </w:tcBorders>
            <w:vAlign w:val="center"/>
          </w:tcPr>
          <w:p>
            <w:pPr>
              <w:pStyle w:val="12"/>
              <w:bidi w:val="0"/>
              <w:rPr>
                <w:color w:val="auto"/>
                <w:highlight w:val="none"/>
                <w:lang w:val="zh-CN" w:eastAsia="zh-CN"/>
              </w:rPr>
            </w:pPr>
            <w:r>
              <w:rPr>
                <w:color w:val="auto"/>
                <w:highlight w:val="none"/>
                <w:lang w:val="zh-CN" w:eastAsia="zh-CN"/>
              </w:rPr>
              <w:drawing>
                <wp:inline distT="0" distB="0" distL="0" distR="0">
                  <wp:extent cx="2703195" cy="2065020"/>
                  <wp:effectExtent l="0" t="0" r="1905" b="1905"/>
                  <wp:docPr id="195" name="image1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image101.jpeg"/>
                          <pic:cNvPicPr>
                            <a:picLocks noChangeAspect="1"/>
                          </pic:cNvPicPr>
                        </pic:nvPicPr>
                        <pic:blipFill>
                          <a:blip r:embed="rId110" cstate="print"/>
                          <a:stretch>
                            <a:fillRect/>
                          </a:stretch>
                        </pic:blipFill>
                        <pic:spPr>
                          <a:xfrm>
                            <a:off x="0" y="0"/>
                            <a:ext cx="2723473" cy="2080558"/>
                          </a:xfrm>
                          <a:prstGeom prst="rect">
                            <a:avLst/>
                          </a:prstGeom>
                        </pic:spPr>
                      </pic:pic>
                    </a:graphicData>
                  </a:graphic>
                </wp:inline>
              </w:drawing>
            </w:r>
          </w:p>
        </w:tc>
        <w:tc>
          <w:tcPr>
            <w:tcW w:w="795" w:type="dxa"/>
            <w:tcBorders>
              <w:top w:val="single" w:color="auto" w:sz="4" w:space="0"/>
              <w:left w:val="single" w:color="auto" w:sz="4" w:space="0"/>
              <w:bottom w:val="single" w:color="auto" w:sz="4" w:space="0"/>
              <w:right w:val="single" w:color="auto" w:sz="4" w:space="0"/>
            </w:tcBorders>
            <w:vAlign w:val="center"/>
          </w:tcPr>
          <w:p>
            <w:pPr>
              <w:pStyle w:val="12"/>
              <w:bidi w:val="0"/>
              <w:rPr>
                <w:color w:val="auto"/>
                <w:highlight w:val="none"/>
                <w:lang w:val="zh-CN" w:eastAsia="zh-CN"/>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90" w:hRule="atLeast"/>
        </w:trPr>
        <w:tc>
          <w:tcPr>
            <w:tcW w:w="430" w:type="dxa"/>
            <w:vMerge w:val="continue"/>
            <w:tcBorders>
              <w:top w:val="single" w:color="auto" w:sz="4" w:space="0"/>
              <w:left w:val="single" w:color="auto" w:sz="4" w:space="0"/>
              <w:bottom w:val="single" w:color="auto" w:sz="4" w:space="0"/>
              <w:right w:val="single" w:color="auto" w:sz="4" w:space="0"/>
            </w:tcBorders>
            <w:vAlign w:val="center"/>
          </w:tcPr>
          <w:p>
            <w:pPr>
              <w:pStyle w:val="12"/>
              <w:bidi w:val="0"/>
              <w:rPr>
                <w:color w:val="auto"/>
                <w:highlight w:val="none"/>
                <w:lang w:val="zh-CN" w:eastAsia="zh-CN"/>
              </w:rPr>
            </w:pPr>
          </w:p>
        </w:tc>
        <w:tc>
          <w:tcPr>
            <w:tcW w:w="484" w:type="dxa"/>
            <w:tcBorders>
              <w:top w:val="single" w:color="auto" w:sz="4" w:space="0"/>
              <w:left w:val="single" w:color="auto" w:sz="4" w:space="0"/>
              <w:bottom w:val="single" w:color="auto" w:sz="4" w:space="0"/>
              <w:right w:val="single" w:color="auto" w:sz="4" w:space="0"/>
            </w:tcBorders>
            <w:vAlign w:val="center"/>
          </w:tcPr>
          <w:p>
            <w:pPr>
              <w:pStyle w:val="12"/>
              <w:bidi w:val="0"/>
              <w:rPr>
                <w:color w:val="auto"/>
                <w:highlight w:val="none"/>
                <w:lang w:val="zh-CN" w:eastAsia="zh-CN"/>
              </w:rPr>
            </w:pPr>
            <w:r>
              <w:rPr>
                <w:color w:val="auto"/>
                <w:highlight w:val="none"/>
                <w:lang w:val="zh-CN" w:eastAsia="zh-CN"/>
              </w:rPr>
              <w:t>成品安装</w:t>
            </w:r>
          </w:p>
        </w:tc>
        <w:tc>
          <w:tcPr>
            <w:tcW w:w="570" w:type="dxa"/>
            <w:vMerge w:val="continue"/>
            <w:tcBorders>
              <w:top w:val="single" w:color="auto" w:sz="4" w:space="0"/>
              <w:left w:val="single" w:color="auto" w:sz="4" w:space="0"/>
              <w:bottom w:val="single" w:color="auto" w:sz="4" w:space="0"/>
              <w:right w:val="single" w:color="auto" w:sz="4" w:space="0"/>
            </w:tcBorders>
            <w:vAlign w:val="center"/>
          </w:tcPr>
          <w:p>
            <w:pPr>
              <w:pStyle w:val="12"/>
              <w:bidi w:val="0"/>
              <w:rPr>
                <w:color w:val="auto"/>
                <w:highlight w:val="none"/>
                <w:lang w:val="zh-CN" w:eastAsia="zh-CN"/>
              </w:rPr>
            </w:pPr>
          </w:p>
        </w:tc>
        <w:tc>
          <w:tcPr>
            <w:tcW w:w="2447" w:type="dxa"/>
            <w:tcBorders>
              <w:top w:val="single" w:color="auto" w:sz="4" w:space="0"/>
              <w:left w:val="single" w:color="auto" w:sz="4" w:space="0"/>
              <w:bottom w:val="single" w:color="auto" w:sz="4" w:space="0"/>
              <w:right w:val="single" w:color="auto" w:sz="4" w:space="0"/>
            </w:tcBorders>
            <w:vAlign w:val="center"/>
          </w:tcPr>
          <w:p>
            <w:pPr>
              <w:pStyle w:val="12"/>
              <w:bidi w:val="0"/>
              <w:rPr>
                <w:color w:val="auto"/>
                <w:highlight w:val="none"/>
                <w:lang w:val="zh-CN" w:eastAsia="zh-CN"/>
              </w:rPr>
            </w:pPr>
            <w:r>
              <w:rPr>
                <w:color w:val="auto"/>
                <w:highlight w:val="none"/>
                <w:lang w:val="zh-CN" w:eastAsia="zh-CN"/>
              </w:rPr>
              <w:t>单元板块安装完成后，在室内侧安装</w:t>
            </w:r>
          </w:p>
          <w:p>
            <w:pPr>
              <w:pStyle w:val="12"/>
              <w:bidi w:val="0"/>
              <w:rPr>
                <w:color w:val="auto"/>
                <w:highlight w:val="none"/>
                <w:lang w:val="zh-CN" w:eastAsia="zh-CN"/>
              </w:rPr>
            </w:pPr>
            <w:r>
              <w:rPr>
                <w:color w:val="auto"/>
                <w:highlight w:val="none"/>
                <w:lang w:val="zh-CN" w:eastAsia="zh-CN"/>
              </w:rPr>
              <w:t>保护幕墙的塑料膜；</w:t>
            </w:r>
          </w:p>
        </w:tc>
        <w:tc>
          <w:tcPr>
            <w:tcW w:w="4200" w:type="dxa"/>
            <w:tcBorders>
              <w:top w:val="single" w:color="auto" w:sz="4" w:space="0"/>
              <w:left w:val="single" w:color="auto" w:sz="4" w:space="0"/>
              <w:bottom w:val="single" w:color="auto" w:sz="4" w:space="0"/>
              <w:right w:val="single" w:color="auto" w:sz="4" w:space="0"/>
            </w:tcBorders>
            <w:vAlign w:val="center"/>
          </w:tcPr>
          <w:p>
            <w:pPr>
              <w:pStyle w:val="12"/>
              <w:bidi w:val="0"/>
              <w:rPr>
                <w:color w:val="auto"/>
                <w:highlight w:val="none"/>
                <w:lang w:val="zh-CN" w:eastAsia="zh-CN"/>
              </w:rPr>
            </w:pPr>
          </w:p>
          <w:p>
            <w:pPr>
              <w:pStyle w:val="12"/>
              <w:bidi w:val="0"/>
              <w:rPr>
                <w:color w:val="auto"/>
                <w:highlight w:val="none"/>
                <w:lang w:val="zh-CN" w:eastAsia="zh-CN"/>
              </w:rPr>
            </w:pPr>
            <w:r>
              <w:rPr>
                <w:color w:val="auto"/>
                <w:highlight w:val="none"/>
                <w:lang w:val="zh-CN" w:eastAsia="zh-CN"/>
              </w:rPr>
              <w:drawing>
                <wp:inline distT="0" distB="0" distL="0" distR="0">
                  <wp:extent cx="2454275" cy="2379980"/>
                  <wp:effectExtent l="0" t="0" r="3175" b="1270"/>
                  <wp:docPr id="197" name="image1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image102.jpeg"/>
                          <pic:cNvPicPr>
                            <a:picLocks noChangeAspect="1"/>
                          </pic:cNvPicPr>
                        </pic:nvPicPr>
                        <pic:blipFill>
                          <a:blip r:embed="rId111" cstate="print"/>
                          <a:stretch>
                            <a:fillRect/>
                          </a:stretch>
                        </pic:blipFill>
                        <pic:spPr>
                          <a:xfrm>
                            <a:off x="0" y="0"/>
                            <a:ext cx="2470883" cy="2395811"/>
                          </a:xfrm>
                          <a:prstGeom prst="rect">
                            <a:avLst/>
                          </a:prstGeom>
                        </pic:spPr>
                      </pic:pic>
                    </a:graphicData>
                  </a:graphic>
                </wp:inline>
              </w:drawing>
            </w:r>
          </w:p>
        </w:tc>
        <w:tc>
          <w:tcPr>
            <w:tcW w:w="4414" w:type="dxa"/>
            <w:tcBorders>
              <w:top w:val="single" w:color="auto" w:sz="4" w:space="0"/>
              <w:left w:val="single" w:color="auto" w:sz="4" w:space="0"/>
              <w:bottom w:val="single" w:color="auto" w:sz="4" w:space="0"/>
              <w:right w:val="single" w:color="auto" w:sz="4" w:space="0"/>
            </w:tcBorders>
            <w:vAlign w:val="center"/>
          </w:tcPr>
          <w:p>
            <w:pPr>
              <w:pStyle w:val="12"/>
              <w:bidi w:val="0"/>
              <w:rPr>
                <w:color w:val="auto"/>
                <w:highlight w:val="none"/>
                <w:lang w:val="zh-CN" w:eastAsia="zh-CN"/>
              </w:rPr>
            </w:pPr>
          </w:p>
        </w:tc>
        <w:tc>
          <w:tcPr>
            <w:tcW w:w="795" w:type="dxa"/>
            <w:tcBorders>
              <w:top w:val="single" w:color="auto" w:sz="4" w:space="0"/>
              <w:left w:val="single" w:color="auto" w:sz="4" w:space="0"/>
              <w:bottom w:val="single" w:color="auto" w:sz="4" w:space="0"/>
              <w:right w:val="single" w:color="auto" w:sz="4" w:space="0"/>
            </w:tcBorders>
            <w:vAlign w:val="center"/>
          </w:tcPr>
          <w:p>
            <w:pPr>
              <w:pStyle w:val="12"/>
              <w:bidi w:val="0"/>
              <w:rPr>
                <w:color w:val="auto"/>
                <w:highlight w:val="none"/>
                <w:lang w:val="zh-CN" w:eastAsia="zh-CN"/>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90" w:hRule="atLeast"/>
        </w:trPr>
        <w:tc>
          <w:tcPr>
            <w:tcW w:w="430" w:type="dxa"/>
            <w:vMerge w:val="restart"/>
            <w:tcBorders>
              <w:top w:val="single" w:color="auto" w:sz="4" w:space="0"/>
              <w:left w:val="single" w:color="auto" w:sz="4" w:space="0"/>
              <w:bottom w:val="single" w:color="auto" w:sz="4" w:space="0"/>
              <w:right w:val="single" w:color="auto" w:sz="4" w:space="0"/>
            </w:tcBorders>
            <w:vAlign w:val="center"/>
          </w:tcPr>
          <w:p>
            <w:pPr>
              <w:pStyle w:val="12"/>
              <w:bidi w:val="0"/>
              <w:rPr>
                <w:color w:val="auto"/>
                <w:highlight w:val="none"/>
                <w:lang w:val="zh-CN" w:eastAsia="zh-CN"/>
              </w:rPr>
            </w:pPr>
            <w:r>
              <w:rPr>
                <w:color w:val="auto"/>
                <w:highlight w:val="none"/>
                <w:lang w:val="zh-CN" w:eastAsia="zh-CN"/>
              </w:rPr>
              <w:t>2</w:t>
            </w:r>
          </w:p>
        </w:tc>
        <w:tc>
          <w:tcPr>
            <w:tcW w:w="484" w:type="dxa"/>
            <w:tcBorders>
              <w:top w:val="single" w:color="auto" w:sz="4" w:space="0"/>
              <w:left w:val="single" w:color="auto" w:sz="4" w:space="0"/>
              <w:bottom w:val="single" w:color="auto" w:sz="4" w:space="0"/>
              <w:right w:val="single" w:color="auto" w:sz="4" w:space="0"/>
            </w:tcBorders>
            <w:vAlign w:val="center"/>
          </w:tcPr>
          <w:p>
            <w:pPr>
              <w:pStyle w:val="12"/>
              <w:bidi w:val="0"/>
              <w:rPr>
                <w:color w:val="auto"/>
                <w:highlight w:val="none"/>
                <w:lang w:val="zh-CN" w:eastAsia="zh-CN"/>
              </w:rPr>
            </w:pPr>
            <w:r>
              <w:rPr>
                <w:color w:val="auto"/>
                <w:highlight w:val="none"/>
                <w:lang w:val="zh-CN" w:eastAsia="zh-CN"/>
              </w:rPr>
              <w:t>工厂包装</w:t>
            </w:r>
          </w:p>
          <w:p>
            <w:pPr>
              <w:pStyle w:val="12"/>
              <w:bidi w:val="0"/>
              <w:rPr>
                <w:color w:val="auto"/>
                <w:highlight w:val="none"/>
                <w:lang w:val="zh-CN" w:eastAsia="zh-CN"/>
              </w:rPr>
            </w:pPr>
            <w:r>
              <w:rPr>
                <w:color w:val="auto"/>
                <w:highlight w:val="none"/>
                <w:lang w:val="zh-CN" w:eastAsia="zh-CN"/>
              </w:rPr>
              <w:t>、堆放</w:t>
            </w:r>
          </w:p>
        </w:tc>
        <w:tc>
          <w:tcPr>
            <w:tcW w:w="570" w:type="dxa"/>
            <w:vMerge w:val="restart"/>
            <w:tcBorders>
              <w:top w:val="single" w:color="auto" w:sz="4" w:space="0"/>
              <w:left w:val="single" w:color="auto" w:sz="4" w:space="0"/>
              <w:bottom w:val="single" w:color="auto" w:sz="4" w:space="0"/>
              <w:right w:val="single" w:color="auto" w:sz="4" w:space="0"/>
            </w:tcBorders>
            <w:vAlign w:val="center"/>
          </w:tcPr>
          <w:p>
            <w:pPr>
              <w:pStyle w:val="12"/>
              <w:bidi w:val="0"/>
              <w:rPr>
                <w:color w:val="auto"/>
                <w:highlight w:val="none"/>
                <w:lang w:val="zh-CN" w:eastAsia="zh-CN"/>
              </w:rPr>
            </w:pPr>
            <w:r>
              <w:rPr>
                <w:color w:val="auto"/>
                <w:highlight w:val="none"/>
                <w:lang w:val="zh-CN" w:eastAsia="zh-CN"/>
              </w:rPr>
              <w:t>铝型材</w:t>
            </w:r>
          </w:p>
        </w:tc>
        <w:tc>
          <w:tcPr>
            <w:tcW w:w="2447" w:type="dxa"/>
            <w:tcBorders>
              <w:top w:val="single" w:color="auto" w:sz="4" w:space="0"/>
              <w:left w:val="single" w:color="auto" w:sz="4" w:space="0"/>
              <w:bottom w:val="single" w:color="auto" w:sz="4" w:space="0"/>
              <w:right w:val="single" w:color="auto" w:sz="4" w:space="0"/>
            </w:tcBorders>
            <w:vAlign w:val="center"/>
          </w:tcPr>
          <w:p>
            <w:pPr>
              <w:pStyle w:val="12"/>
              <w:bidi w:val="0"/>
              <w:rPr>
                <w:color w:val="auto"/>
                <w:highlight w:val="none"/>
                <w:lang w:val="zh-CN" w:eastAsia="zh-CN"/>
              </w:rPr>
            </w:pPr>
            <w:r>
              <w:rPr>
                <w:color w:val="auto"/>
                <w:highlight w:val="none"/>
                <w:lang w:val="zh-CN" w:eastAsia="zh-CN"/>
              </w:rPr>
              <w:t>先贴保护胶带， 然后外包带塑料膜的</w:t>
            </w:r>
          </w:p>
          <w:p>
            <w:pPr>
              <w:pStyle w:val="12"/>
              <w:bidi w:val="0"/>
              <w:rPr>
                <w:color w:val="auto"/>
                <w:highlight w:val="none"/>
                <w:lang w:val="zh-CN" w:eastAsia="zh-CN"/>
              </w:rPr>
            </w:pPr>
            <w:r>
              <w:rPr>
                <w:color w:val="auto"/>
                <w:highlight w:val="none"/>
                <w:lang w:val="zh-CN" w:eastAsia="zh-CN"/>
              </w:rPr>
              <w:t>牛皮纸；型材堆放应有专用的摆放；</w:t>
            </w:r>
          </w:p>
        </w:tc>
        <w:tc>
          <w:tcPr>
            <w:tcW w:w="4200" w:type="dxa"/>
            <w:tcBorders>
              <w:top w:val="single" w:color="auto" w:sz="4" w:space="0"/>
              <w:left w:val="single" w:color="auto" w:sz="4" w:space="0"/>
              <w:bottom w:val="single" w:color="auto" w:sz="4" w:space="0"/>
              <w:right w:val="single" w:color="auto" w:sz="4" w:space="0"/>
            </w:tcBorders>
            <w:vAlign w:val="center"/>
          </w:tcPr>
          <w:p>
            <w:pPr>
              <w:pStyle w:val="12"/>
              <w:bidi w:val="0"/>
              <w:rPr>
                <w:color w:val="auto"/>
                <w:highlight w:val="none"/>
                <w:lang w:val="zh-CN" w:eastAsia="zh-CN"/>
              </w:rPr>
            </w:pPr>
          </w:p>
          <w:p>
            <w:pPr>
              <w:pStyle w:val="12"/>
              <w:bidi w:val="0"/>
              <w:rPr>
                <w:color w:val="auto"/>
                <w:highlight w:val="none"/>
                <w:lang w:val="zh-CN" w:eastAsia="zh-CN"/>
              </w:rPr>
            </w:pPr>
            <w:r>
              <w:rPr>
                <w:color w:val="auto"/>
                <w:highlight w:val="none"/>
                <w:lang w:val="zh-CN" w:eastAsia="zh-CN"/>
              </w:rPr>
              <w:drawing>
                <wp:inline distT="0" distB="0" distL="0" distR="0">
                  <wp:extent cx="2517775" cy="1986280"/>
                  <wp:effectExtent l="0" t="0" r="6350" b="4445"/>
                  <wp:docPr id="199" name="image1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image103.jpeg"/>
                          <pic:cNvPicPr>
                            <a:picLocks noChangeAspect="1"/>
                          </pic:cNvPicPr>
                        </pic:nvPicPr>
                        <pic:blipFill>
                          <a:blip r:embed="rId112" cstate="print"/>
                          <a:stretch>
                            <a:fillRect/>
                          </a:stretch>
                        </pic:blipFill>
                        <pic:spPr>
                          <a:xfrm>
                            <a:off x="0" y="0"/>
                            <a:ext cx="2532027" cy="1997534"/>
                          </a:xfrm>
                          <a:prstGeom prst="rect">
                            <a:avLst/>
                          </a:prstGeom>
                        </pic:spPr>
                      </pic:pic>
                    </a:graphicData>
                  </a:graphic>
                </wp:inline>
              </w:drawing>
            </w:r>
          </w:p>
        </w:tc>
        <w:tc>
          <w:tcPr>
            <w:tcW w:w="4414" w:type="dxa"/>
            <w:tcBorders>
              <w:top w:val="single" w:color="auto" w:sz="4" w:space="0"/>
              <w:left w:val="single" w:color="auto" w:sz="4" w:space="0"/>
              <w:bottom w:val="single" w:color="auto" w:sz="4" w:space="0"/>
              <w:right w:val="single" w:color="auto" w:sz="4" w:space="0"/>
            </w:tcBorders>
            <w:vAlign w:val="center"/>
          </w:tcPr>
          <w:p>
            <w:pPr>
              <w:pStyle w:val="12"/>
              <w:bidi w:val="0"/>
              <w:rPr>
                <w:color w:val="auto"/>
                <w:highlight w:val="none"/>
                <w:lang w:val="zh-CN" w:eastAsia="zh-CN"/>
              </w:rPr>
            </w:pPr>
          </w:p>
        </w:tc>
        <w:tc>
          <w:tcPr>
            <w:tcW w:w="795" w:type="dxa"/>
            <w:tcBorders>
              <w:top w:val="single" w:color="auto" w:sz="4" w:space="0"/>
              <w:left w:val="single" w:color="auto" w:sz="4" w:space="0"/>
              <w:bottom w:val="single" w:color="auto" w:sz="4" w:space="0"/>
              <w:right w:val="single" w:color="auto" w:sz="4" w:space="0"/>
            </w:tcBorders>
            <w:vAlign w:val="center"/>
          </w:tcPr>
          <w:p>
            <w:pPr>
              <w:pStyle w:val="12"/>
              <w:bidi w:val="0"/>
              <w:rPr>
                <w:color w:val="auto"/>
                <w:highlight w:val="none"/>
                <w:lang w:val="zh-CN" w:eastAsia="zh-CN"/>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90" w:hRule="atLeast"/>
        </w:trPr>
        <w:tc>
          <w:tcPr>
            <w:tcW w:w="430" w:type="dxa"/>
            <w:vMerge w:val="continue"/>
            <w:tcBorders>
              <w:top w:val="single" w:color="auto" w:sz="4" w:space="0"/>
              <w:bottom w:val="single" w:color="auto" w:sz="4" w:space="0"/>
              <w:right w:val="single" w:color="auto" w:sz="4" w:space="0"/>
            </w:tcBorders>
            <w:vAlign w:val="center"/>
          </w:tcPr>
          <w:p>
            <w:pPr>
              <w:pStyle w:val="12"/>
              <w:bidi w:val="0"/>
              <w:rPr>
                <w:color w:val="auto"/>
                <w:highlight w:val="none"/>
                <w:lang w:val="zh-CN" w:eastAsia="zh-CN"/>
              </w:rPr>
            </w:pPr>
          </w:p>
        </w:tc>
        <w:tc>
          <w:tcPr>
            <w:tcW w:w="484" w:type="dxa"/>
            <w:tcBorders>
              <w:top w:val="single" w:color="auto" w:sz="4" w:space="0"/>
              <w:left w:val="single" w:color="auto" w:sz="4" w:space="0"/>
              <w:bottom w:val="single" w:color="auto" w:sz="4" w:space="0"/>
              <w:right w:val="single" w:color="auto" w:sz="4" w:space="0"/>
            </w:tcBorders>
            <w:vAlign w:val="center"/>
          </w:tcPr>
          <w:p>
            <w:pPr>
              <w:pStyle w:val="12"/>
              <w:bidi w:val="0"/>
              <w:rPr>
                <w:color w:val="auto"/>
                <w:highlight w:val="none"/>
                <w:lang w:val="zh-CN" w:eastAsia="zh-CN"/>
              </w:rPr>
            </w:pPr>
            <w:r>
              <w:rPr>
                <w:color w:val="auto"/>
                <w:highlight w:val="none"/>
                <w:lang w:val="zh-CN" w:eastAsia="zh-CN"/>
              </w:rPr>
              <w:t>成品安装</w:t>
            </w:r>
          </w:p>
        </w:tc>
        <w:tc>
          <w:tcPr>
            <w:tcW w:w="570" w:type="dxa"/>
            <w:vMerge w:val="continue"/>
            <w:tcBorders>
              <w:top w:val="single" w:color="auto" w:sz="4" w:space="0"/>
              <w:left w:val="single" w:color="auto" w:sz="4" w:space="0"/>
              <w:bottom w:val="single" w:color="auto" w:sz="4" w:space="0"/>
              <w:right w:val="single" w:color="auto" w:sz="4" w:space="0"/>
            </w:tcBorders>
            <w:vAlign w:val="center"/>
          </w:tcPr>
          <w:p>
            <w:pPr>
              <w:pStyle w:val="12"/>
              <w:bidi w:val="0"/>
              <w:rPr>
                <w:color w:val="auto"/>
                <w:highlight w:val="none"/>
                <w:lang w:val="zh-CN" w:eastAsia="zh-CN"/>
              </w:rPr>
            </w:pPr>
          </w:p>
        </w:tc>
        <w:tc>
          <w:tcPr>
            <w:tcW w:w="2447" w:type="dxa"/>
            <w:tcBorders>
              <w:top w:val="single" w:color="auto" w:sz="4" w:space="0"/>
              <w:left w:val="single" w:color="auto" w:sz="4" w:space="0"/>
              <w:bottom w:val="single" w:color="auto" w:sz="4" w:space="0"/>
              <w:right w:val="single" w:color="auto" w:sz="4" w:space="0"/>
            </w:tcBorders>
            <w:vAlign w:val="center"/>
          </w:tcPr>
          <w:p>
            <w:pPr>
              <w:pStyle w:val="12"/>
              <w:bidi w:val="0"/>
              <w:rPr>
                <w:color w:val="auto"/>
                <w:highlight w:val="none"/>
                <w:lang w:val="zh-CN" w:eastAsia="zh-CN"/>
              </w:rPr>
            </w:pPr>
            <w:r>
              <w:rPr>
                <w:color w:val="auto"/>
                <w:highlight w:val="none"/>
                <w:lang w:val="zh-CN" w:eastAsia="zh-CN"/>
              </w:rPr>
              <w:t>安装型材时不得将表面贴合的保护膜破坏或除去；在施工通道口的铝型材还应有木板包裹保护；</w:t>
            </w:r>
          </w:p>
        </w:tc>
        <w:tc>
          <w:tcPr>
            <w:tcW w:w="4200" w:type="dxa"/>
            <w:tcBorders>
              <w:top w:val="single" w:color="auto" w:sz="4" w:space="0"/>
              <w:left w:val="single" w:color="auto" w:sz="4" w:space="0"/>
              <w:bottom w:val="single" w:color="auto" w:sz="4" w:space="0"/>
              <w:right w:val="single" w:color="auto" w:sz="4" w:space="0"/>
            </w:tcBorders>
            <w:vAlign w:val="center"/>
          </w:tcPr>
          <w:p>
            <w:pPr>
              <w:pStyle w:val="12"/>
              <w:bidi w:val="0"/>
              <w:rPr>
                <w:color w:val="auto"/>
                <w:highlight w:val="none"/>
                <w:lang w:val="zh-CN" w:eastAsia="zh-CN"/>
              </w:rPr>
            </w:pPr>
            <w:r>
              <w:rPr>
                <w:color w:val="auto"/>
                <w:highlight w:val="none"/>
                <w:lang w:val="zh-CN" w:eastAsia="zh-CN"/>
              </w:rPr>
              <w:drawing>
                <wp:inline distT="0" distB="0" distL="0" distR="0">
                  <wp:extent cx="2538095" cy="2159000"/>
                  <wp:effectExtent l="0" t="0" r="5080" b="3175"/>
                  <wp:docPr id="201" name="image1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image104.jpeg"/>
                          <pic:cNvPicPr>
                            <a:picLocks noChangeAspect="1"/>
                          </pic:cNvPicPr>
                        </pic:nvPicPr>
                        <pic:blipFill>
                          <a:blip r:embed="rId113" cstate="print"/>
                          <a:stretch>
                            <a:fillRect/>
                          </a:stretch>
                        </pic:blipFill>
                        <pic:spPr>
                          <a:xfrm>
                            <a:off x="0" y="0"/>
                            <a:ext cx="2545227" cy="2165110"/>
                          </a:xfrm>
                          <a:prstGeom prst="rect">
                            <a:avLst/>
                          </a:prstGeom>
                        </pic:spPr>
                      </pic:pic>
                    </a:graphicData>
                  </a:graphic>
                </wp:inline>
              </w:drawing>
            </w:r>
          </w:p>
        </w:tc>
        <w:tc>
          <w:tcPr>
            <w:tcW w:w="4414" w:type="dxa"/>
            <w:tcBorders>
              <w:top w:val="single" w:color="auto" w:sz="4" w:space="0"/>
              <w:left w:val="single" w:color="auto" w:sz="4" w:space="0"/>
              <w:bottom w:val="single" w:color="auto" w:sz="4" w:space="0"/>
              <w:right w:val="single" w:color="auto" w:sz="4" w:space="0"/>
            </w:tcBorders>
            <w:vAlign w:val="center"/>
          </w:tcPr>
          <w:p>
            <w:pPr>
              <w:pStyle w:val="12"/>
              <w:bidi w:val="0"/>
              <w:rPr>
                <w:color w:val="auto"/>
                <w:highlight w:val="none"/>
                <w:lang w:val="zh-CN" w:eastAsia="zh-CN"/>
              </w:rPr>
            </w:pPr>
            <w:r>
              <w:rPr>
                <w:color w:val="auto"/>
                <w:highlight w:val="none"/>
                <w:lang w:val="zh-CN" w:eastAsia="zh-CN"/>
              </w:rPr>
              <w:drawing>
                <wp:inline distT="0" distB="0" distL="0" distR="0">
                  <wp:extent cx="2693035" cy="2064385"/>
                  <wp:effectExtent l="0" t="0" r="2540" b="2540"/>
                  <wp:docPr id="203" name="image1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image105.jpeg"/>
                          <pic:cNvPicPr>
                            <a:picLocks noChangeAspect="1"/>
                          </pic:cNvPicPr>
                        </pic:nvPicPr>
                        <pic:blipFill>
                          <a:blip r:embed="rId114" cstate="print"/>
                          <a:stretch>
                            <a:fillRect/>
                          </a:stretch>
                        </pic:blipFill>
                        <pic:spPr>
                          <a:xfrm>
                            <a:off x="0" y="0"/>
                            <a:ext cx="2698219" cy="2068346"/>
                          </a:xfrm>
                          <a:prstGeom prst="rect">
                            <a:avLst/>
                          </a:prstGeom>
                        </pic:spPr>
                      </pic:pic>
                    </a:graphicData>
                  </a:graphic>
                </wp:inline>
              </w:drawing>
            </w:r>
          </w:p>
        </w:tc>
        <w:tc>
          <w:tcPr>
            <w:tcW w:w="795" w:type="dxa"/>
            <w:tcBorders>
              <w:top w:val="single" w:color="auto" w:sz="4" w:space="0"/>
              <w:left w:val="single" w:color="auto" w:sz="4" w:space="0"/>
              <w:bottom w:val="single" w:color="auto" w:sz="4" w:space="0"/>
              <w:right w:val="single" w:color="auto" w:sz="4" w:space="0"/>
            </w:tcBorders>
            <w:vAlign w:val="center"/>
          </w:tcPr>
          <w:p>
            <w:pPr>
              <w:pStyle w:val="12"/>
              <w:bidi w:val="0"/>
              <w:rPr>
                <w:color w:val="auto"/>
                <w:highlight w:val="none"/>
                <w:lang w:val="zh-CN" w:eastAsia="zh-CN"/>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90" w:hRule="atLeast"/>
        </w:trPr>
        <w:tc>
          <w:tcPr>
            <w:tcW w:w="430" w:type="dxa"/>
            <w:vMerge w:val="restart"/>
            <w:tcBorders>
              <w:top w:val="single" w:color="auto" w:sz="4" w:space="0"/>
              <w:left w:val="single" w:color="auto" w:sz="4" w:space="0"/>
              <w:bottom w:val="single" w:color="auto" w:sz="4" w:space="0"/>
              <w:right w:val="single" w:color="auto" w:sz="4" w:space="0"/>
            </w:tcBorders>
            <w:vAlign w:val="center"/>
          </w:tcPr>
          <w:p>
            <w:pPr>
              <w:pStyle w:val="12"/>
              <w:bidi w:val="0"/>
              <w:rPr>
                <w:color w:val="auto"/>
                <w:highlight w:val="none"/>
                <w:lang w:val="zh-CN" w:eastAsia="zh-CN"/>
              </w:rPr>
            </w:pPr>
            <w:r>
              <w:rPr>
                <w:color w:val="auto"/>
                <w:highlight w:val="none"/>
                <w:lang w:val="zh-CN" w:eastAsia="zh-CN"/>
              </w:rPr>
              <w:t>3</w:t>
            </w:r>
          </w:p>
        </w:tc>
        <w:tc>
          <w:tcPr>
            <w:tcW w:w="484" w:type="dxa"/>
            <w:vMerge w:val="restart"/>
            <w:tcBorders>
              <w:top w:val="single" w:color="auto" w:sz="4" w:space="0"/>
              <w:left w:val="single" w:color="auto" w:sz="4" w:space="0"/>
              <w:bottom w:val="single" w:color="auto" w:sz="4" w:space="0"/>
              <w:right w:val="single" w:color="auto" w:sz="4" w:space="0"/>
            </w:tcBorders>
            <w:vAlign w:val="center"/>
          </w:tcPr>
          <w:p>
            <w:pPr>
              <w:pStyle w:val="12"/>
              <w:bidi w:val="0"/>
              <w:rPr>
                <w:color w:val="auto"/>
                <w:highlight w:val="none"/>
                <w:lang w:val="zh-CN" w:eastAsia="zh-CN"/>
              </w:rPr>
            </w:pPr>
            <w:r>
              <w:rPr>
                <w:color w:val="auto"/>
                <w:highlight w:val="none"/>
                <w:lang w:val="zh-CN" w:eastAsia="zh-CN"/>
              </w:rPr>
              <w:t>工厂包装</w:t>
            </w:r>
          </w:p>
        </w:tc>
        <w:tc>
          <w:tcPr>
            <w:tcW w:w="570" w:type="dxa"/>
            <w:vMerge w:val="restart"/>
            <w:tcBorders>
              <w:top w:val="single" w:color="auto" w:sz="4" w:space="0"/>
              <w:left w:val="single" w:color="auto" w:sz="4" w:space="0"/>
              <w:bottom w:val="single" w:color="auto" w:sz="4" w:space="0"/>
              <w:right w:val="single" w:color="auto" w:sz="4" w:space="0"/>
            </w:tcBorders>
            <w:vAlign w:val="center"/>
          </w:tcPr>
          <w:p>
            <w:pPr>
              <w:pStyle w:val="12"/>
              <w:bidi w:val="0"/>
              <w:rPr>
                <w:color w:val="auto"/>
                <w:highlight w:val="none"/>
                <w:lang w:val="zh-CN" w:eastAsia="zh-CN"/>
              </w:rPr>
            </w:pPr>
            <w:r>
              <w:rPr>
                <w:color w:val="auto"/>
                <w:highlight w:val="none"/>
                <w:lang w:val="zh-CN" w:eastAsia="zh-CN"/>
              </w:rPr>
              <w:t>门、窗框</w:t>
            </w:r>
          </w:p>
        </w:tc>
        <w:tc>
          <w:tcPr>
            <w:tcW w:w="2447" w:type="dxa"/>
            <w:tcBorders>
              <w:top w:val="single" w:color="auto" w:sz="4" w:space="0"/>
              <w:left w:val="single" w:color="auto" w:sz="4" w:space="0"/>
              <w:bottom w:val="single" w:color="auto" w:sz="4" w:space="0"/>
              <w:right w:val="single" w:color="auto" w:sz="4" w:space="0"/>
            </w:tcBorders>
            <w:vAlign w:val="center"/>
          </w:tcPr>
          <w:p>
            <w:pPr>
              <w:pStyle w:val="12"/>
              <w:bidi w:val="0"/>
              <w:rPr>
                <w:color w:val="auto"/>
                <w:highlight w:val="none"/>
                <w:lang w:eastAsia="zh-CN"/>
              </w:rPr>
            </w:pPr>
            <w:r>
              <w:rPr>
                <w:color w:val="auto"/>
                <w:highlight w:val="none"/>
                <w:lang w:val="zh-CN" w:eastAsia="zh-CN"/>
              </w:rPr>
              <w:t>生产厂运到工地，应选择洁净、无污染源的车等工具运输；存放门窗的库房应通风、干燥，无热源或腐蚀性介质侵袭。库房场地应平整，地面上垫枕木，枕木顶面离地应不少于200mm。门窗框扇应按型号、规格分类编号捆扎竖放，两端</w:t>
            </w:r>
            <w:r>
              <w:rPr>
                <w:rFonts w:hint="eastAsia"/>
                <w:color w:val="auto"/>
                <w:highlight w:val="none"/>
                <w:lang w:eastAsia="zh-CN"/>
              </w:rPr>
              <w:t>挑出100mm</w:t>
            </w:r>
          </w:p>
        </w:tc>
        <w:tc>
          <w:tcPr>
            <w:tcW w:w="4200" w:type="dxa"/>
            <w:tcBorders>
              <w:top w:val="single" w:color="auto" w:sz="4" w:space="0"/>
              <w:left w:val="single" w:color="auto" w:sz="4" w:space="0"/>
              <w:bottom w:val="single" w:color="auto" w:sz="4" w:space="0"/>
              <w:right w:val="single" w:color="auto" w:sz="4" w:space="0"/>
            </w:tcBorders>
            <w:vAlign w:val="center"/>
          </w:tcPr>
          <w:p>
            <w:pPr>
              <w:pStyle w:val="12"/>
              <w:bidi w:val="0"/>
              <w:rPr>
                <w:color w:val="auto"/>
                <w:highlight w:val="none"/>
                <w:lang w:val="zh-CN" w:eastAsia="zh-CN"/>
              </w:rPr>
            </w:pPr>
            <w:r>
              <w:rPr>
                <w:color w:val="auto"/>
                <w:highlight w:val="none"/>
                <w:lang w:val="zh-CN" w:eastAsia="zh-CN"/>
              </w:rPr>
              <w:drawing>
                <wp:inline distT="0" distB="0" distL="0" distR="0">
                  <wp:extent cx="3064510" cy="2499995"/>
                  <wp:effectExtent l="0" t="0" r="2540" b="5080"/>
                  <wp:docPr id="205" name="image1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image106.jpeg"/>
                          <pic:cNvPicPr>
                            <a:picLocks noChangeAspect="1"/>
                          </pic:cNvPicPr>
                        </pic:nvPicPr>
                        <pic:blipFill>
                          <a:blip r:embed="rId115" cstate="print"/>
                          <a:stretch>
                            <a:fillRect/>
                          </a:stretch>
                        </pic:blipFill>
                        <pic:spPr>
                          <a:xfrm>
                            <a:off x="0" y="0"/>
                            <a:ext cx="3064830" cy="2500122"/>
                          </a:xfrm>
                          <a:prstGeom prst="rect">
                            <a:avLst/>
                          </a:prstGeom>
                        </pic:spPr>
                      </pic:pic>
                    </a:graphicData>
                  </a:graphic>
                </wp:inline>
              </w:drawing>
            </w:r>
          </w:p>
        </w:tc>
        <w:tc>
          <w:tcPr>
            <w:tcW w:w="4414" w:type="dxa"/>
            <w:tcBorders>
              <w:top w:val="single" w:color="auto" w:sz="4" w:space="0"/>
              <w:left w:val="single" w:color="auto" w:sz="4" w:space="0"/>
              <w:bottom w:val="single" w:color="auto" w:sz="4" w:space="0"/>
              <w:right w:val="single" w:color="auto" w:sz="4" w:space="0"/>
            </w:tcBorders>
            <w:vAlign w:val="center"/>
          </w:tcPr>
          <w:p>
            <w:pPr>
              <w:pStyle w:val="12"/>
              <w:bidi w:val="0"/>
              <w:rPr>
                <w:color w:val="auto"/>
                <w:highlight w:val="none"/>
                <w:lang w:val="zh-CN" w:eastAsia="zh-CN"/>
              </w:rPr>
            </w:pPr>
          </w:p>
        </w:tc>
        <w:tc>
          <w:tcPr>
            <w:tcW w:w="795" w:type="dxa"/>
            <w:tcBorders>
              <w:top w:val="single" w:color="auto" w:sz="4" w:space="0"/>
              <w:left w:val="single" w:color="auto" w:sz="4" w:space="0"/>
              <w:bottom w:val="single" w:color="auto" w:sz="4" w:space="0"/>
              <w:right w:val="single" w:color="auto" w:sz="4" w:space="0"/>
            </w:tcBorders>
            <w:vAlign w:val="center"/>
          </w:tcPr>
          <w:p>
            <w:pPr>
              <w:pStyle w:val="12"/>
              <w:bidi w:val="0"/>
              <w:rPr>
                <w:color w:val="auto"/>
                <w:highlight w:val="none"/>
                <w:lang w:val="zh-CN" w:eastAsia="zh-CN"/>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90" w:hRule="atLeast"/>
        </w:trPr>
        <w:tc>
          <w:tcPr>
            <w:tcW w:w="430" w:type="dxa"/>
            <w:vMerge w:val="continue"/>
            <w:tcBorders>
              <w:top w:val="single" w:color="auto" w:sz="4" w:space="0"/>
              <w:left w:val="single" w:color="auto" w:sz="4" w:space="0"/>
              <w:bottom w:val="single" w:color="auto" w:sz="4" w:space="0"/>
              <w:right w:val="single" w:color="auto" w:sz="4" w:space="0"/>
            </w:tcBorders>
            <w:vAlign w:val="center"/>
          </w:tcPr>
          <w:p>
            <w:pPr>
              <w:pStyle w:val="12"/>
              <w:bidi w:val="0"/>
              <w:rPr>
                <w:color w:val="auto"/>
                <w:highlight w:val="none"/>
                <w:lang w:val="zh-CN" w:eastAsia="zh-CN"/>
              </w:rPr>
            </w:pPr>
          </w:p>
        </w:tc>
        <w:tc>
          <w:tcPr>
            <w:tcW w:w="484" w:type="dxa"/>
            <w:vMerge w:val="continue"/>
            <w:tcBorders>
              <w:top w:val="single" w:color="auto" w:sz="4" w:space="0"/>
              <w:left w:val="single" w:color="auto" w:sz="4" w:space="0"/>
              <w:bottom w:val="single" w:color="auto" w:sz="4" w:space="0"/>
              <w:right w:val="single" w:color="auto" w:sz="4" w:space="0"/>
            </w:tcBorders>
            <w:vAlign w:val="center"/>
          </w:tcPr>
          <w:p>
            <w:pPr>
              <w:pStyle w:val="12"/>
              <w:bidi w:val="0"/>
              <w:rPr>
                <w:color w:val="auto"/>
                <w:highlight w:val="none"/>
                <w:lang w:val="zh-CN" w:eastAsia="zh-CN"/>
              </w:rPr>
            </w:pPr>
          </w:p>
        </w:tc>
        <w:tc>
          <w:tcPr>
            <w:tcW w:w="570" w:type="dxa"/>
            <w:vMerge w:val="continue"/>
            <w:tcBorders>
              <w:top w:val="single" w:color="auto" w:sz="4" w:space="0"/>
              <w:left w:val="single" w:color="auto" w:sz="4" w:space="0"/>
              <w:bottom w:val="single" w:color="auto" w:sz="4" w:space="0"/>
              <w:right w:val="single" w:color="auto" w:sz="4" w:space="0"/>
            </w:tcBorders>
            <w:vAlign w:val="center"/>
          </w:tcPr>
          <w:p>
            <w:pPr>
              <w:pStyle w:val="12"/>
              <w:bidi w:val="0"/>
              <w:rPr>
                <w:color w:val="auto"/>
                <w:highlight w:val="none"/>
                <w:lang w:val="zh-CN" w:eastAsia="zh-CN"/>
              </w:rPr>
            </w:pPr>
          </w:p>
        </w:tc>
        <w:tc>
          <w:tcPr>
            <w:tcW w:w="2447" w:type="dxa"/>
            <w:tcBorders>
              <w:top w:val="single" w:color="auto" w:sz="4" w:space="0"/>
              <w:left w:val="single" w:color="auto" w:sz="4" w:space="0"/>
              <w:bottom w:val="single" w:color="auto" w:sz="4" w:space="0"/>
              <w:right w:val="single" w:color="auto" w:sz="4" w:space="0"/>
            </w:tcBorders>
            <w:vAlign w:val="center"/>
          </w:tcPr>
          <w:p>
            <w:pPr>
              <w:pStyle w:val="12"/>
              <w:bidi w:val="0"/>
              <w:rPr>
                <w:color w:val="auto"/>
                <w:highlight w:val="none"/>
                <w:lang w:val="zh-CN" w:eastAsia="zh-CN"/>
              </w:rPr>
            </w:pPr>
            <w:r>
              <w:rPr>
                <w:color w:val="auto"/>
                <w:highlight w:val="none"/>
                <w:lang w:val="zh-CN" w:eastAsia="zh-CN"/>
              </w:rPr>
              <w:t>为了门窗铝型材施工过程中成品保护的方便性和有效性，要求铝型材门窗框型材表面必须采用至少双层厚胶膜贴覆保护，底层必须采用不污染铝型材的自粘胶带纸，上层必须采用较厚耐破损胶带。贴膜保护完成后，门窗边角位置需用硬纸壳或硬胶纸做额外的防碰撞保护。</w:t>
            </w:r>
          </w:p>
        </w:tc>
        <w:tc>
          <w:tcPr>
            <w:tcW w:w="4200" w:type="dxa"/>
            <w:tcBorders>
              <w:top w:val="single" w:color="auto" w:sz="4" w:space="0"/>
              <w:left w:val="single" w:color="auto" w:sz="4" w:space="0"/>
              <w:bottom w:val="single" w:color="auto" w:sz="4" w:space="0"/>
              <w:right w:val="single" w:color="auto" w:sz="4" w:space="0"/>
            </w:tcBorders>
            <w:vAlign w:val="center"/>
          </w:tcPr>
          <w:p>
            <w:pPr>
              <w:pStyle w:val="12"/>
              <w:bidi w:val="0"/>
              <w:rPr>
                <w:color w:val="auto"/>
                <w:highlight w:val="none"/>
                <w:lang w:val="zh-CN" w:eastAsia="zh-CN"/>
              </w:rPr>
            </w:pPr>
            <w:r>
              <w:rPr>
                <w:color w:val="auto"/>
                <w:highlight w:val="none"/>
                <w:lang w:val="zh-CN" w:eastAsia="zh-CN"/>
              </w:rPr>
              <w:drawing>
                <wp:inline distT="0" distB="0" distL="0" distR="0">
                  <wp:extent cx="2495550" cy="2419985"/>
                  <wp:effectExtent l="0" t="0" r="0" b="8890"/>
                  <wp:docPr id="209" name="image1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image108.jpeg"/>
                          <pic:cNvPicPr>
                            <a:picLocks noChangeAspect="1"/>
                          </pic:cNvPicPr>
                        </pic:nvPicPr>
                        <pic:blipFill>
                          <a:blip r:embed="rId116" cstate="print"/>
                          <a:stretch>
                            <a:fillRect/>
                          </a:stretch>
                        </pic:blipFill>
                        <pic:spPr>
                          <a:xfrm>
                            <a:off x="0" y="0"/>
                            <a:ext cx="2500452" cy="2425220"/>
                          </a:xfrm>
                          <a:prstGeom prst="rect">
                            <a:avLst/>
                          </a:prstGeom>
                        </pic:spPr>
                      </pic:pic>
                    </a:graphicData>
                  </a:graphic>
                </wp:inline>
              </w:drawing>
            </w:r>
          </w:p>
        </w:tc>
        <w:tc>
          <w:tcPr>
            <w:tcW w:w="4414" w:type="dxa"/>
            <w:tcBorders>
              <w:top w:val="single" w:color="auto" w:sz="4" w:space="0"/>
              <w:left w:val="single" w:color="auto" w:sz="4" w:space="0"/>
              <w:bottom w:val="single" w:color="auto" w:sz="4" w:space="0"/>
              <w:right w:val="single" w:color="auto" w:sz="4" w:space="0"/>
            </w:tcBorders>
            <w:vAlign w:val="center"/>
          </w:tcPr>
          <w:p>
            <w:pPr>
              <w:pStyle w:val="12"/>
              <w:bidi w:val="0"/>
              <w:rPr>
                <w:color w:val="auto"/>
                <w:highlight w:val="none"/>
                <w:lang w:val="zh-CN" w:eastAsia="zh-CN"/>
              </w:rPr>
            </w:pPr>
          </w:p>
        </w:tc>
        <w:tc>
          <w:tcPr>
            <w:tcW w:w="795" w:type="dxa"/>
            <w:tcBorders>
              <w:top w:val="single" w:color="auto" w:sz="4" w:space="0"/>
              <w:left w:val="single" w:color="auto" w:sz="4" w:space="0"/>
              <w:bottom w:val="single" w:color="auto" w:sz="4" w:space="0"/>
              <w:right w:val="single" w:color="auto" w:sz="4" w:space="0"/>
            </w:tcBorders>
            <w:vAlign w:val="center"/>
          </w:tcPr>
          <w:p>
            <w:pPr>
              <w:pStyle w:val="12"/>
              <w:bidi w:val="0"/>
              <w:rPr>
                <w:color w:val="auto"/>
                <w:highlight w:val="none"/>
                <w:lang w:val="zh-CN" w:eastAsia="zh-CN"/>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90" w:hRule="atLeast"/>
        </w:trPr>
        <w:tc>
          <w:tcPr>
            <w:tcW w:w="430" w:type="dxa"/>
            <w:vMerge w:val="restart"/>
            <w:tcBorders>
              <w:top w:val="single" w:color="auto" w:sz="4" w:space="0"/>
              <w:left w:val="single" w:color="auto" w:sz="4" w:space="0"/>
              <w:bottom w:val="single" w:color="auto" w:sz="4" w:space="0"/>
              <w:right w:val="single" w:color="auto" w:sz="4" w:space="0"/>
            </w:tcBorders>
            <w:vAlign w:val="center"/>
          </w:tcPr>
          <w:p>
            <w:pPr>
              <w:pStyle w:val="12"/>
              <w:bidi w:val="0"/>
              <w:rPr>
                <w:color w:val="auto"/>
                <w:highlight w:val="none"/>
                <w:lang w:val="zh-CN" w:eastAsia="zh-CN"/>
              </w:rPr>
            </w:pPr>
            <w:r>
              <w:rPr>
                <w:rFonts w:hint="eastAsia"/>
                <w:color w:val="auto"/>
                <w:highlight w:val="none"/>
                <w:lang w:val="zh-CN" w:eastAsia="zh-CN"/>
              </w:rPr>
              <w:t>4</w:t>
            </w:r>
          </w:p>
        </w:tc>
        <w:tc>
          <w:tcPr>
            <w:tcW w:w="484" w:type="dxa"/>
            <w:vMerge w:val="restart"/>
            <w:tcBorders>
              <w:top w:val="single" w:color="auto" w:sz="4" w:space="0"/>
              <w:left w:val="single" w:color="auto" w:sz="4" w:space="0"/>
              <w:bottom w:val="single" w:color="auto" w:sz="4" w:space="0"/>
              <w:right w:val="single" w:color="auto" w:sz="4" w:space="0"/>
            </w:tcBorders>
            <w:vAlign w:val="center"/>
          </w:tcPr>
          <w:p>
            <w:pPr>
              <w:pStyle w:val="12"/>
              <w:bidi w:val="0"/>
              <w:rPr>
                <w:color w:val="auto"/>
                <w:highlight w:val="none"/>
                <w:lang w:val="zh-CN" w:eastAsia="zh-CN"/>
              </w:rPr>
            </w:pPr>
            <w:r>
              <w:rPr>
                <w:color w:val="auto"/>
                <w:highlight w:val="none"/>
                <w:lang w:val="zh-CN" w:eastAsia="zh-CN"/>
              </w:rPr>
              <w:t>工厂</w:t>
            </w:r>
          </w:p>
        </w:tc>
        <w:tc>
          <w:tcPr>
            <w:tcW w:w="570" w:type="dxa"/>
            <w:vMerge w:val="restart"/>
            <w:tcBorders>
              <w:top w:val="single" w:color="auto" w:sz="4" w:space="0"/>
              <w:left w:val="single" w:color="auto" w:sz="4" w:space="0"/>
              <w:bottom w:val="single" w:color="auto" w:sz="4" w:space="0"/>
              <w:right w:val="single" w:color="auto" w:sz="4" w:space="0"/>
            </w:tcBorders>
            <w:vAlign w:val="center"/>
          </w:tcPr>
          <w:p>
            <w:pPr>
              <w:pStyle w:val="12"/>
              <w:bidi w:val="0"/>
              <w:rPr>
                <w:color w:val="auto"/>
                <w:highlight w:val="none"/>
                <w:lang w:val="zh-CN" w:eastAsia="zh-CN"/>
              </w:rPr>
            </w:pPr>
            <w:r>
              <w:rPr>
                <w:color w:val="auto"/>
                <w:highlight w:val="none"/>
                <w:lang w:val="zh-CN" w:eastAsia="zh-CN"/>
              </w:rPr>
              <w:t>包装做法图示</w:t>
            </w:r>
          </w:p>
        </w:tc>
        <w:tc>
          <w:tcPr>
            <w:tcW w:w="2447" w:type="dxa"/>
            <w:vMerge w:val="restart"/>
            <w:tcBorders>
              <w:top w:val="single" w:color="auto" w:sz="4" w:space="0"/>
              <w:left w:val="single" w:color="auto" w:sz="4" w:space="0"/>
              <w:bottom w:val="single" w:color="auto" w:sz="4" w:space="0"/>
              <w:right w:val="single" w:color="auto" w:sz="4" w:space="0"/>
            </w:tcBorders>
            <w:vAlign w:val="center"/>
          </w:tcPr>
          <w:p>
            <w:pPr>
              <w:pStyle w:val="12"/>
              <w:bidi w:val="0"/>
              <w:rPr>
                <w:color w:val="auto"/>
                <w:highlight w:val="none"/>
                <w:lang w:val="zh-CN" w:eastAsia="zh-CN"/>
              </w:rPr>
            </w:pPr>
            <w:r>
              <w:rPr>
                <w:color w:val="auto"/>
                <w:highlight w:val="none"/>
                <w:lang w:val="zh-CN" w:eastAsia="zh-CN"/>
              </w:rPr>
              <w:t>为了解决室内外作业时其他施工单位交底不到位，现场抹灰收口时将铝型材保护膜全部撕掉， 造成型材大量污染的问题。现强制要求铝型材厂贴膜和加工厂后贴膜都必须保证膜边距离型材外边5~10mm左  右，具体边距根据室内外抹灰收口压住型材的宽度确定。要求包装时可放大几毫米吸收抹灰误差。</w:t>
            </w:r>
          </w:p>
        </w:tc>
        <w:tc>
          <w:tcPr>
            <w:tcW w:w="4200" w:type="dxa"/>
            <w:tcBorders>
              <w:top w:val="single" w:color="auto" w:sz="4" w:space="0"/>
              <w:left w:val="single" w:color="auto" w:sz="4" w:space="0"/>
              <w:bottom w:val="single" w:color="auto" w:sz="4" w:space="0"/>
              <w:right w:val="single" w:color="auto" w:sz="4" w:space="0"/>
            </w:tcBorders>
            <w:vAlign w:val="center"/>
          </w:tcPr>
          <w:p>
            <w:pPr>
              <w:pStyle w:val="12"/>
              <w:bidi w:val="0"/>
              <w:rPr>
                <w:color w:val="auto"/>
                <w:highlight w:val="none"/>
                <w:lang w:val="zh-CN" w:eastAsia="zh-CN"/>
              </w:rPr>
            </w:pPr>
            <w:r>
              <w:rPr>
                <w:color w:val="auto"/>
                <w:highlight w:val="none"/>
                <w:lang w:val="zh-CN" w:eastAsia="zh-CN"/>
              </w:rPr>
              <w:drawing>
                <wp:inline distT="0" distB="0" distL="0" distR="0">
                  <wp:extent cx="2101215" cy="2209165"/>
                  <wp:effectExtent l="0" t="0" r="3810" b="635"/>
                  <wp:docPr id="213" name="image1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image110.png"/>
                          <pic:cNvPicPr>
                            <a:picLocks noChangeAspect="1"/>
                          </pic:cNvPicPr>
                        </pic:nvPicPr>
                        <pic:blipFill>
                          <a:blip r:embed="rId117" cstate="print"/>
                          <a:stretch>
                            <a:fillRect/>
                          </a:stretch>
                        </pic:blipFill>
                        <pic:spPr>
                          <a:xfrm>
                            <a:off x="0" y="0"/>
                            <a:ext cx="2101215" cy="2209165"/>
                          </a:xfrm>
                          <a:prstGeom prst="rect">
                            <a:avLst/>
                          </a:prstGeom>
                        </pic:spPr>
                      </pic:pic>
                    </a:graphicData>
                  </a:graphic>
                </wp:inline>
              </w:drawing>
            </w:r>
          </w:p>
        </w:tc>
        <w:tc>
          <w:tcPr>
            <w:tcW w:w="4414" w:type="dxa"/>
            <w:tcBorders>
              <w:top w:val="single" w:color="auto" w:sz="4" w:space="0"/>
              <w:left w:val="single" w:color="auto" w:sz="4" w:space="0"/>
              <w:bottom w:val="single" w:color="auto" w:sz="4" w:space="0"/>
              <w:right w:val="single" w:color="auto" w:sz="4" w:space="0"/>
            </w:tcBorders>
            <w:vAlign w:val="center"/>
          </w:tcPr>
          <w:p>
            <w:pPr>
              <w:pStyle w:val="12"/>
              <w:bidi w:val="0"/>
              <w:rPr>
                <w:color w:val="auto"/>
                <w:highlight w:val="none"/>
                <w:lang w:val="zh-CN" w:eastAsia="zh-CN"/>
              </w:rPr>
            </w:pPr>
            <w:r>
              <w:rPr>
                <w:color w:val="auto"/>
                <w:highlight w:val="none"/>
                <w:lang w:val="zh-CN" w:eastAsia="zh-CN"/>
              </w:rPr>
              <w:drawing>
                <wp:inline distT="0" distB="0" distL="0" distR="0">
                  <wp:extent cx="2178685" cy="2350770"/>
                  <wp:effectExtent l="0" t="0" r="2540" b="1905"/>
                  <wp:docPr id="215" name="image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image111.png"/>
                          <pic:cNvPicPr>
                            <a:picLocks noChangeAspect="1"/>
                          </pic:cNvPicPr>
                        </pic:nvPicPr>
                        <pic:blipFill>
                          <a:blip r:embed="rId118" cstate="print"/>
                          <a:stretch>
                            <a:fillRect/>
                          </a:stretch>
                        </pic:blipFill>
                        <pic:spPr>
                          <a:xfrm>
                            <a:off x="0" y="0"/>
                            <a:ext cx="2178685" cy="2350770"/>
                          </a:xfrm>
                          <a:prstGeom prst="rect">
                            <a:avLst/>
                          </a:prstGeom>
                        </pic:spPr>
                      </pic:pic>
                    </a:graphicData>
                  </a:graphic>
                </wp:inline>
              </w:drawing>
            </w:r>
          </w:p>
        </w:tc>
        <w:tc>
          <w:tcPr>
            <w:tcW w:w="795" w:type="dxa"/>
            <w:vMerge w:val="restart"/>
            <w:tcBorders>
              <w:top w:val="single" w:color="auto" w:sz="4" w:space="0"/>
              <w:left w:val="single" w:color="auto" w:sz="4" w:space="0"/>
              <w:bottom w:val="single" w:color="auto" w:sz="4" w:space="0"/>
              <w:right w:val="single" w:color="auto" w:sz="4" w:space="0"/>
            </w:tcBorders>
            <w:vAlign w:val="center"/>
          </w:tcPr>
          <w:p>
            <w:pPr>
              <w:pStyle w:val="12"/>
              <w:bidi w:val="0"/>
              <w:rPr>
                <w:color w:val="auto"/>
                <w:highlight w:val="none"/>
                <w:lang w:val="zh-CN" w:eastAsia="zh-CN"/>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12" w:hRule="atLeast"/>
        </w:trPr>
        <w:tc>
          <w:tcPr>
            <w:tcW w:w="430" w:type="dxa"/>
            <w:vMerge w:val="continue"/>
            <w:tcBorders>
              <w:top w:val="single" w:color="auto" w:sz="4" w:space="0"/>
              <w:left w:val="single" w:color="auto" w:sz="4" w:space="0"/>
              <w:bottom w:val="single" w:color="auto" w:sz="4" w:space="0"/>
              <w:right w:val="single" w:color="auto" w:sz="4" w:space="0"/>
            </w:tcBorders>
            <w:vAlign w:val="center"/>
          </w:tcPr>
          <w:p>
            <w:pPr>
              <w:pStyle w:val="12"/>
              <w:bidi w:val="0"/>
              <w:rPr>
                <w:color w:val="auto"/>
                <w:highlight w:val="none"/>
                <w:lang w:val="zh-CN" w:eastAsia="zh-CN"/>
              </w:rPr>
            </w:pPr>
          </w:p>
        </w:tc>
        <w:tc>
          <w:tcPr>
            <w:tcW w:w="484" w:type="dxa"/>
            <w:vMerge w:val="continue"/>
            <w:tcBorders>
              <w:top w:val="single" w:color="auto" w:sz="4" w:space="0"/>
              <w:left w:val="single" w:color="auto" w:sz="4" w:space="0"/>
              <w:bottom w:val="single" w:color="auto" w:sz="4" w:space="0"/>
              <w:right w:val="single" w:color="auto" w:sz="4" w:space="0"/>
            </w:tcBorders>
            <w:vAlign w:val="center"/>
          </w:tcPr>
          <w:p>
            <w:pPr>
              <w:pStyle w:val="12"/>
              <w:bidi w:val="0"/>
              <w:rPr>
                <w:color w:val="auto"/>
                <w:highlight w:val="none"/>
                <w:lang w:val="zh-CN" w:eastAsia="zh-CN"/>
              </w:rPr>
            </w:pPr>
          </w:p>
        </w:tc>
        <w:tc>
          <w:tcPr>
            <w:tcW w:w="570" w:type="dxa"/>
            <w:vMerge w:val="continue"/>
            <w:tcBorders>
              <w:top w:val="single" w:color="auto" w:sz="4" w:space="0"/>
              <w:left w:val="single" w:color="auto" w:sz="4" w:space="0"/>
              <w:bottom w:val="single" w:color="auto" w:sz="4" w:space="0"/>
              <w:right w:val="single" w:color="auto" w:sz="4" w:space="0"/>
            </w:tcBorders>
            <w:vAlign w:val="center"/>
          </w:tcPr>
          <w:p>
            <w:pPr>
              <w:pStyle w:val="12"/>
              <w:bidi w:val="0"/>
              <w:rPr>
                <w:color w:val="auto"/>
                <w:highlight w:val="none"/>
                <w:lang w:val="zh-CN" w:eastAsia="zh-CN"/>
              </w:rPr>
            </w:pPr>
          </w:p>
        </w:tc>
        <w:tc>
          <w:tcPr>
            <w:tcW w:w="2447" w:type="dxa"/>
            <w:vMerge w:val="continue"/>
            <w:tcBorders>
              <w:top w:val="single" w:color="auto" w:sz="4" w:space="0"/>
              <w:left w:val="single" w:color="auto" w:sz="4" w:space="0"/>
              <w:bottom w:val="single" w:color="auto" w:sz="4" w:space="0"/>
              <w:right w:val="single" w:color="auto" w:sz="4" w:space="0"/>
            </w:tcBorders>
            <w:vAlign w:val="center"/>
          </w:tcPr>
          <w:p>
            <w:pPr>
              <w:pStyle w:val="12"/>
              <w:bidi w:val="0"/>
              <w:rPr>
                <w:color w:val="auto"/>
                <w:highlight w:val="none"/>
                <w:lang w:val="zh-CN" w:eastAsia="zh-CN"/>
              </w:rPr>
            </w:pPr>
          </w:p>
        </w:tc>
        <w:tc>
          <w:tcPr>
            <w:tcW w:w="4200" w:type="dxa"/>
            <w:vMerge w:val="restart"/>
            <w:tcBorders>
              <w:top w:val="single" w:color="auto" w:sz="4" w:space="0"/>
              <w:left w:val="single" w:color="auto" w:sz="4" w:space="0"/>
              <w:bottom w:val="single" w:color="auto" w:sz="4" w:space="0"/>
              <w:right w:val="single" w:color="auto" w:sz="4" w:space="0"/>
            </w:tcBorders>
            <w:vAlign w:val="center"/>
          </w:tcPr>
          <w:p>
            <w:pPr>
              <w:pStyle w:val="12"/>
              <w:bidi w:val="0"/>
              <w:rPr>
                <w:color w:val="auto"/>
                <w:highlight w:val="none"/>
                <w:lang w:val="zh-CN" w:eastAsia="zh-CN"/>
              </w:rPr>
            </w:pPr>
            <w:r>
              <w:rPr>
                <w:rFonts w:hint="eastAsia"/>
                <w:color w:val="auto"/>
                <w:highlight w:val="none"/>
                <w:lang w:val="zh-CN" w:eastAsia="zh-CN"/>
              </w:rPr>
              <w:t>工厂门窗边框保护膜包裹做法节点详图</w:t>
            </w:r>
          </w:p>
        </w:tc>
        <w:tc>
          <w:tcPr>
            <w:tcW w:w="4414" w:type="dxa"/>
            <w:vMerge w:val="restart"/>
            <w:tcBorders>
              <w:top w:val="single" w:color="auto" w:sz="4" w:space="0"/>
              <w:left w:val="single" w:color="auto" w:sz="4" w:space="0"/>
              <w:bottom w:val="single" w:color="auto" w:sz="4" w:space="0"/>
              <w:right w:val="single" w:color="auto" w:sz="4" w:space="0"/>
            </w:tcBorders>
            <w:vAlign w:val="center"/>
          </w:tcPr>
          <w:p>
            <w:pPr>
              <w:pStyle w:val="12"/>
              <w:bidi w:val="0"/>
              <w:rPr>
                <w:color w:val="auto"/>
                <w:highlight w:val="none"/>
                <w:lang w:val="zh-CN" w:eastAsia="zh-CN"/>
              </w:rPr>
            </w:pPr>
            <w:r>
              <w:rPr>
                <w:rFonts w:hint="eastAsia"/>
                <w:color w:val="auto"/>
                <w:highlight w:val="none"/>
                <w:lang w:val="zh-CN" w:eastAsia="zh-CN"/>
              </w:rPr>
              <w:t>工厂门窗边框保护膜包裹做法整体示意图</w:t>
            </w:r>
          </w:p>
        </w:tc>
        <w:tc>
          <w:tcPr>
            <w:tcW w:w="795" w:type="dxa"/>
            <w:vMerge w:val="continue"/>
            <w:tcBorders>
              <w:top w:val="single" w:color="auto" w:sz="4" w:space="0"/>
              <w:left w:val="single" w:color="auto" w:sz="4" w:space="0"/>
              <w:bottom w:val="single" w:color="auto" w:sz="4" w:space="0"/>
              <w:right w:val="single" w:color="auto" w:sz="4" w:space="0"/>
            </w:tcBorders>
            <w:vAlign w:val="center"/>
          </w:tcPr>
          <w:p>
            <w:pPr>
              <w:pStyle w:val="12"/>
              <w:bidi w:val="0"/>
              <w:rPr>
                <w:color w:val="auto"/>
                <w:highlight w:val="none"/>
                <w:lang w:val="zh-CN" w:eastAsia="zh-CN"/>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90" w:hRule="atLeast"/>
        </w:trPr>
        <w:tc>
          <w:tcPr>
            <w:tcW w:w="430" w:type="dxa"/>
            <w:vMerge w:val="continue"/>
            <w:tcBorders>
              <w:top w:val="single" w:color="auto" w:sz="4" w:space="0"/>
              <w:left w:val="single" w:color="auto" w:sz="4" w:space="0"/>
              <w:bottom w:val="single" w:color="auto" w:sz="4" w:space="0"/>
              <w:right w:val="single" w:color="auto" w:sz="4" w:space="0"/>
            </w:tcBorders>
            <w:vAlign w:val="center"/>
          </w:tcPr>
          <w:p>
            <w:pPr>
              <w:pStyle w:val="12"/>
              <w:bidi w:val="0"/>
              <w:rPr>
                <w:color w:val="auto"/>
                <w:highlight w:val="none"/>
                <w:lang w:val="zh-CN" w:eastAsia="zh-CN"/>
              </w:rPr>
            </w:pPr>
          </w:p>
        </w:tc>
        <w:tc>
          <w:tcPr>
            <w:tcW w:w="484" w:type="dxa"/>
            <w:vMerge w:val="continue"/>
            <w:tcBorders>
              <w:top w:val="single" w:color="auto" w:sz="4" w:space="0"/>
              <w:left w:val="single" w:color="auto" w:sz="4" w:space="0"/>
              <w:bottom w:val="single" w:color="auto" w:sz="4" w:space="0"/>
              <w:right w:val="single" w:color="auto" w:sz="4" w:space="0"/>
            </w:tcBorders>
            <w:vAlign w:val="center"/>
          </w:tcPr>
          <w:p>
            <w:pPr>
              <w:pStyle w:val="12"/>
              <w:bidi w:val="0"/>
              <w:rPr>
                <w:color w:val="auto"/>
                <w:highlight w:val="none"/>
                <w:lang w:val="zh-CN" w:eastAsia="zh-CN"/>
              </w:rPr>
            </w:pPr>
          </w:p>
        </w:tc>
        <w:tc>
          <w:tcPr>
            <w:tcW w:w="570" w:type="dxa"/>
            <w:vMerge w:val="continue"/>
            <w:tcBorders>
              <w:top w:val="single" w:color="auto" w:sz="4" w:space="0"/>
              <w:left w:val="single" w:color="auto" w:sz="4" w:space="0"/>
              <w:bottom w:val="single" w:color="auto" w:sz="4" w:space="0"/>
              <w:right w:val="single" w:color="auto" w:sz="4" w:space="0"/>
            </w:tcBorders>
            <w:vAlign w:val="center"/>
          </w:tcPr>
          <w:p>
            <w:pPr>
              <w:pStyle w:val="12"/>
              <w:bidi w:val="0"/>
              <w:rPr>
                <w:color w:val="auto"/>
                <w:highlight w:val="none"/>
                <w:lang w:val="zh-CN" w:eastAsia="zh-CN"/>
              </w:rPr>
            </w:pPr>
          </w:p>
        </w:tc>
        <w:tc>
          <w:tcPr>
            <w:tcW w:w="2447" w:type="dxa"/>
            <w:vMerge w:val="continue"/>
            <w:tcBorders>
              <w:top w:val="single" w:color="auto" w:sz="4" w:space="0"/>
              <w:left w:val="single" w:color="auto" w:sz="4" w:space="0"/>
              <w:bottom w:val="single" w:color="auto" w:sz="4" w:space="0"/>
              <w:right w:val="single" w:color="auto" w:sz="4" w:space="0"/>
            </w:tcBorders>
            <w:vAlign w:val="center"/>
          </w:tcPr>
          <w:p>
            <w:pPr>
              <w:pStyle w:val="12"/>
              <w:bidi w:val="0"/>
              <w:rPr>
                <w:color w:val="auto"/>
                <w:highlight w:val="none"/>
                <w:lang w:val="zh-CN" w:eastAsia="zh-CN"/>
              </w:rPr>
            </w:pPr>
          </w:p>
        </w:tc>
        <w:tc>
          <w:tcPr>
            <w:tcW w:w="4200" w:type="dxa"/>
            <w:vMerge w:val="continue"/>
            <w:tcBorders>
              <w:top w:val="single" w:color="auto" w:sz="4" w:space="0"/>
              <w:left w:val="single" w:color="auto" w:sz="4" w:space="0"/>
              <w:bottom w:val="single" w:color="auto" w:sz="4" w:space="0"/>
              <w:right w:val="single" w:color="auto" w:sz="4" w:space="0"/>
            </w:tcBorders>
            <w:vAlign w:val="center"/>
          </w:tcPr>
          <w:p>
            <w:pPr>
              <w:pStyle w:val="12"/>
              <w:bidi w:val="0"/>
              <w:rPr>
                <w:color w:val="auto"/>
                <w:highlight w:val="none"/>
                <w:lang w:val="zh-CN" w:eastAsia="zh-CN"/>
              </w:rPr>
            </w:pPr>
          </w:p>
        </w:tc>
        <w:tc>
          <w:tcPr>
            <w:tcW w:w="4414" w:type="dxa"/>
            <w:vMerge w:val="continue"/>
            <w:tcBorders>
              <w:top w:val="single" w:color="auto" w:sz="4" w:space="0"/>
              <w:left w:val="single" w:color="auto" w:sz="4" w:space="0"/>
              <w:bottom w:val="single" w:color="auto" w:sz="4" w:space="0"/>
              <w:right w:val="single" w:color="auto" w:sz="4" w:space="0"/>
            </w:tcBorders>
            <w:vAlign w:val="center"/>
          </w:tcPr>
          <w:p>
            <w:pPr>
              <w:pStyle w:val="12"/>
              <w:bidi w:val="0"/>
              <w:rPr>
                <w:color w:val="auto"/>
                <w:highlight w:val="none"/>
                <w:lang w:val="zh-CN" w:eastAsia="zh-CN"/>
              </w:rPr>
            </w:pPr>
          </w:p>
        </w:tc>
        <w:tc>
          <w:tcPr>
            <w:tcW w:w="795" w:type="dxa"/>
            <w:tcBorders>
              <w:top w:val="single" w:color="auto" w:sz="4" w:space="0"/>
              <w:left w:val="single" w:color="auto" w:sz="4" w:space="0"/>
              <w:bottom w:val="single" w:color="auto" w:sz="4" w:space="0"/>
              <w:right w:val="single" w:color="auto" w:sz="4" w:space="0"/>
            </w:tcBorders>
            <w:vAlign w:val="center"/>
          </w:tcPr>
          <w:p>
            <w:pPr>
              <w:pStyle w:val="12"/>
              <w:bidi w:val="0"/>
              <w:rPr>
                <w:color w:val="auto"/>
                <w:highlight w:val="none"/>
                <w:lang w:val="zh-CN" w:eastAsia="zh-CN"/>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90" w:hRule="atLeast"/>
        </w:trPr>
        <w:tc>
          <w:tcPr>
            <w:tcW w:w="430" w:type="dxa"/>
            <w:vMerge w:val="restart"/>
            <w:tcBorders>
              <w:top w:val="single" w:color="auto" w:sz="4" w:space="0"/>
            </w:tcBorders>
            <w:vAlign w:val="center"/>
          </w:tcPr>
          <w:p>
            <w:pPr>
              <w:pStyle w:val="12"/>
              <w:bidi w:val="0"/>
              <w:rPr>
                <w:color w:val="auto"/>
                <w:highlight w:val="none"/>
                <w:lang w:val="zh-CN" w:eastAsia="zh-CN"/>
              </w:rPr>
            </w:pPr>
          </w:p>
        </w:tc>
        <w:tc>
          <w:tcPr>
            <w:tcW w:w="484" w:type="dxa"/>
            <w:vMerge w:val="restart"/>
            <w:tcBorders>
              <w:top w:val="single" w:color="auto" w:sz="4" w:space="0"/>
            </w:tcBorders>
            <w:vAlign w:val="center"/>
          </w:tcPr>
          <w:p>
            <w:pPr>
              <w:pStyle w:val="12"/>
              <w:bidi w:val="0"/>
              <w:rPr>
                <w:color w:val="auto"/>
                <w:highlight w:val="none"/>
                <w:lang w:val="zh-CN" w:eastAsia="zh-CN"/>
              </w:rPr>
            </w:pPr>
            <w:r>
              <w:rPr>
                <w:color w:val="auto"/>
                <w:highlight w:val="none"/>
                <w:lang w:val="zh-CN" w:eastAsia="zh-CN"/>
              </w:rPr>
              <w:t>包装</w:t>
            </w:r>
          </w:p>
        </w:tc>
        <w:tc>
          <w:tcPr>
            <w:tcW w:w="570" w:type="dxa"/>
            <w:vMerge w:val="restart"/>
            <w:tcBorders>
              <w:top w:val="single" w:color="auto" w:sz="4" w:space="0"/>
            </w:tcBorders>
            <w:vAlign w:val="center"/>
          </w:tcPr>
          <w:p>
            <w:pPr>
              <w:pStyle w:val="12"/>
              <w:bidi w:val="0"/>
              <w:rPr>
                <w:color w:val="auto"/>
                <w:highlight w:val="none"/>
                <w:lang w:val="zh-CN" w:eastAsia="zh-CN"/>
              </w:rPr>
            </w:pPr>
            <w:r>
              <w:rPr>
                <w:color w:val="auto"/>
                <w:highlight w:val="none"/>
                <w:lang w:val="zh-CN" w:eastAsia="zh-CN"/>
              </w:rPr>
              <w:t>开启扇</w:t>
            </w:r>
          </w:p>
        </w:tc>
        <w:tc>
          <w:tcPr>
            <w:tcW w:w="2447" w:type="dxa"/>
            <w:vMerge w:val="restart"/>
            <w:tcBorders>
              <w:top w:val="single" w:color="auto" w:sz="4" w:space="0"/>
            </w:tcBorders>
            <w:vAlign w:val="center"/>
          </w:tcPr>
          <w:p>
            <w:pPr>
              <w:pStyle w:val="12"/>
              <w:bidi w:val="0"/>
              <w:rPr>
                <w:color w:val="auto"/>
                <w:highlight w:val="none"/>
                <w:lang w:val="zh-CN" w:eastAsia="zh-CN"/>
              </w:rPr>
            </w:pPr>
            <w:r>
              <w:rPr>
                <w:color w:val="auto"/>
                <w:highlight w:val="none"/>
                <w:lang w:val="zh-CN" w:eastAsia="zh-CN"/>
              </w:rPr>
              <w:t>门窗开启扇应在</w:t>
            </w:r>
          </w:p>
          <w:p>
            <w:pPr>
              <w:pStyle w:val="12"/>
              <w:bidi w:val="0"/>
              <w:rPr>
                <w:color w:val="auto"/>
                <w:highlight w:val="none"/>
                <w:lang w:val="zh-CN" w:eastAsia="zh-CN"/>
              </w:rPr>
            </w:pPr>
            <w:r>
              <w:rPr>
                <w:color w:val="auto"/>
                <w:highlight w:val="none"/>
                <w:lang w:val="zh-CN" w:eastAsia="zh-CN"/>
              </w:rPr>
              <w:t>加工厂完成玻璃</w:t>
            </w:r>
          </w:p>
          <w:p>
            <w:pPr>
              <w:pStyle w:val="12"/>
              <w:bidi w:val="0"/>
              <w:rPr>
                <w:color w:val="auto"/>
                <w:highlight w:val="none"/>
                <w:lang w:val="zh-CN" w:eastAsia="zh-CN"/>
              </w:rPr>
            </w:pPr>
            <w:r>
              <w:rPr>
                <w:color w:val="auto"/>
                <w:highlight w:val="none"/>
                <w:lang w:val="zh-CN" w:eastAsia="zh-CN"/>
              </w:rPr>
              <w:t>、五金组装，以</w:t>
            </w:r>
          </w:p>
          <w:p>
            <w:pPr>
              <w:pStyle w:val="12"/>
              <w:bidi w:val="0"/>
              <w:rPr>
                <w:color w:val="auto"/>
                <w:highlight w:val="none"/>
                <w:lang w:val="zh-CN" w:eastAsia="zh-CN"/>
              </w:rPr>
            </w:pPr>
            <w:r>
              <w:rPr>
                <w:color w:val="auto"/>
                <w:highlight w:val="none"/>
                <w:lang w:val="zh-CN" w:eastAsia="zh-CN"/>
              </w:rPr>
              <w:t>避免后期现场交</w:t>
            </w:r>
          </w:p>
          <w:p>
            <w:pPr>
              <w:pStyle w:val="12"/>
              <w:bidi w:val="0"/>
              <w:rPr>
                <w:color w:val="auto"/>
                <w:highlight w:val="none"/>
                <w:lang w:val="zh-CN" w:eastAsia="zh-CN"/>
              </w:rPr>
            </w:pPr>
            <w:r>
              <w:rPr>
                <w:color w:val="auto"/>
                <w:highlight w:val="none"/>
                <w:lang w:val="zh-CN" w:eastAsia="zh-CN"/>
              </w:rPr>
              <w:t>叉施工破坏成品</w:t>
            </w:r>
          </w:p>
          <w:p>
            <w:pPr>
              <w:pStyle w:val="12"/>
              <w:bidi w:val="0"/>
              <w:rPr>
                <w:color w:val="auto"/>
                <w:highlight w:val="none"/>
                <w:lang w:val="zh-CN" w:eastAsia="zh-CN"/>
              </w:rPr>
            </w:pPr>
            <w:r>
              <w:rPr>
                <w:color w:val="auto"/>
                <w:highlight w:val="none"/>
                <w:lang w:val="zh-CN" w:eastAsia="zh-CN"/>
              </w:rPr>
              <w:t>保护，加工厂必</w:t>
            </w:r>
          </w:p>
          <w:p>
            <w:pPr>
              <w:pStyle w:val="12"/>
              <w:bidi w:val="0"/>
              <w:rPr>
                <w:color w:val="auto"/>
                <w:highlight w:val="none"/>
                <w:lang w:val="zh-CN" w:eastAsia="zh-CN"/>
              </w:rPr>
            </w:pPr>
            <w:r>
              <w:rPr>
                <w:color w:val="auto"/>
                <w:highlight w:val="none"/>
                <w:lang w:val="zh-CN" w:eastAsia="zh-CN"/>
              </w:rPr>
              <w:t>须对开启扇进行</w:t>
            </w:r>
          </w:p>
          <w:p>
            <w:pPr>
              <w:pStyle w:val="12"/>
              <w:bidi w:val="0"/>
              <w:rPr>
                <w:color w:val="auto"/>
                <w:highlight w:val="none"/>
                <w:lang w:val="zh-CN" w:eastAsia="zh-CN"/>
              </w:rPr>
            </w:pPr>
            <w:r>
              <w:rPr>
                <w:color w:val="auto"/>
                <w:highlight w:val="none"/>
                <w:lang w:val="zh-CN" w:eastAsia="zh-CN"/>
              </w:rPr>
              <w:t>完善的保护，边</w:t>
            </w:r>
          </w:p>
          <w:p>
            <w:pPr>
              <w:pStyle w:val="12"/>
              <w:bidi w:val="0"/>
              <w:rPr>
                <w:color w:val="auto"/>
                <w:highlight w:val="none"/>
                <w:lang w:val="zh-CN" w:eastAsia="zh-CN"/>
              </w:rPr>
            </w:pPr>
            <w:r>
              <w:rPr>
                <w:color w:val="auto"/>
                <w:highlight w:val="none"/>
                <w:lang w:val="zh-CN" w:eastAsia="zh-CN"/>
              </w:rPr>
              <w:t>框用硬质胶纸对五金进行保护。</w:t>
            </w:r>
          </w:p>
          <w:p>
            <w:pPr>
              <w:pStyle w:val="12"/>
              <w:bidi w:val="0"/>
              <w:rPr>
                <w:color w:val="auto"/>
                <w:highlight w:val="none"/>
                <w:lang w:val="zh-CN" w:eastAsia="zh-CN"/>
              </w:rPr>
            </w:pPr>
            <w:r>
              <w:rPr>
                <w:color w:val="auto"/>
                <w:highlight w:val="none"/>
                <w:lang w:val="zh-CN" w:eastAsia="zh-CN"/>
              </w:rPr>
              <w:t>门窗扇安装后，</w:t>
            </w:r>
          </w:p>
          <w:p>
            <w:pPr>
              <w:pStyle w:val="12"/>
              <w:bidi w:val="0"/>
              <w:rPr>
                <w:color w:val="auto"/>
                <w:highlight w:val="none"/>
                <w:lang w:val="zh-CN" w:eastAsia="zh-CN"/>
              </w:rPr>
            </w:pPr>
            <w:r>
              <w:rPr>
                <w:color w:val="auto"/>
                <w:highlight w:val="none"/>
                <w:lang w:val="zh-CN" w:eastAsia="zh-CN"/>
              </w:rPr>
              <w:t>关窗锁门，以防</w:t>
            </w:r>
          </w:p>
          <w:p>
            <w:pPr>
              <w:pStyle w:val="12"/>
              <w:bidi w:val="0"/>
              <w:rPr>
                <w:color w:val="auto"/>
                <w:highlight w:val="none"/>
                <w:lang w:val="zh-CN" w:eastAsia="zh-CN"/>
              </w:rPr>
            </w:pPr>
            <w:r>
              <w:rPr>
                <w:color w:val="auto"/>
                <w:highlight w:val="none"/>
                <w:lang w:val="zh-CN" w:eastAsia="zh-CN"/>
              </w:rPr>
              <w:t>风吹损坏门窗。</w:t>
            </w:r>
          </w:p>
          <w:p>
            <w:pPr>
              <w:pStyle w:val="12"/>
              <w:bidi w:val="0"/>
              <w:rPr>
                <w:color w:val="auto"/>
                <w:highlight w:val="none"/>
                <w:lang w:val="zh-CN" w:eastAsia="zh-CN"/>
              </w:rPr>
            </w:pPr>
            <w:r>
              <w:rPr>
                <w:color w:val="auto"/>
                <w:highlight w:val="none"/>
                <w:lang w:val="zh-CN" w:eastAsia="zh-CN"/>
              </w:rPr>
              <w:t>如现场存在门窗</w:t>
            </w:r>
          </w:p>
          <w:p>
            <w:pPr>
              <w:pStyle w:val="12"/>
              <w:bidi w:val="0"/>
              <w:rPr>
                <w:color w:val="auto"/>
                <w:highlight w:val="none"/>
                <w:lang w:val="zh-CN" w:eastAsia="zh-CN"/>
              </w:rPr>
            </w:pPr>
            <w:r>
              <w:rPr>
                <w:color w:val="auto"/>
                <w:highlight w:val="none"/>
                <w:lang w:val="zh-CN" w:eastAsia="zh-CN"/>
              </w:rPr>
              <w:t>未装锁、钢（含</w:t>
            </w:r>
          </w:p>
          <w:p>
            <w:pPr>
              <w:pStyle w:val="12"/>
              <w:bidi w:val="0"/>
              <w:rPr>
                <w:color w:val="auto"/>
                <w:highlight w:val="none"/>
                <w:lang w:val="zh-CN" w:eastAsia="zh-CN"/>
              </w:rPr>
            </w:pPr>
            <w:r>
              <w:rPr>
                <w:color w:val="auto"/>
                <w:highlight w:val="none"/>
                <w:lang w:val="zh-CN" w:eastAsia="zh-CN"/>
              </w:rPr>
              <w:t>塑料）窗未装撑</w:t>
            </w:r>
          </w:p>
          <w:p>
            <w:pPr>
              <w:pStyle w:val="12"/>
              <w:bidi w:val="0"/>
              <w:rPr>
                <w:color w:val="auto"/>
                <w:highlight w:val="none"/>
                <w:lang w:val="zh-CN" w:eastAsia="zh-CN"/>
              </w:rPr>
            </w:pPr>
            <w:r>
              <w:rPr>
                <w:color w:val="auto"/>
                <w:highlight w:val="none"/>
                <w:lang w:val="zh-CN" w:eastAsia="zh-CN"/>
              </w:rPr>
              <w:t>挡，则应用木楔</w:t>
            </w:r>
          </w:p>
          <w:p>
            <w:pPr>
              <w:pStyle w:val="12"/>
              <w:bidi w:val="0"/>
              <w:rPr>
                <w:color w:val="auto"/>
                <w:highlight w:val="none"/>
                <w:lang w:val="zh-CN" w:eastAsia="zh-CN"/>
              </w:rPr>
            </w:pPr>
            <w:r>
              <w:rPr>
                <w:color w:val="auto"/>
                <w:highlight w:val="none"/>
                <w:lang w:val="zh-CN" w:eastAsia="zh-CN"/>
              </w:rPr>
              <w:t>塞紧以防开启，</w:t>
            </w:r>
          </w:p>
          <w:p>
            <w:pPr>
              <w:pStyle w:val="12"/>
              <w:bidi w:val="0"/>
              <w:rPr>
                <w:color w:val="auto"/>
                <w:highlight w:val="none"/>
                <w:lang w:val="zh-CN" w:eastAsia="zh-CN"/>
              </w:rPr>
            </w:pPr>
            <w:r>
              <w:rPr>
                <w:color w:val="auto"/>
                <w:highlight w:val="none"/>
                <w:lang w:val="zh-CN" w:eastAsia="zh-CN"/>
              </w:rPr>
              <w:t>并有专人管理。</w:t>
            </w:r>
          </w:p>
        </w:tc>
        <w:tc>
          <w:tcPr>
            <w:tcW w:w="4200" w:type="dxa"/>
            <w:tcBorders>
              <w:top w:val="single" w:color="auto" w:sz="4" w:space="0"/>
            </w:tcBorders>
            <w:vAlign w:val="center"/>
          </w:tcPr>
          <w:p>
            <w:pPr>
              <w:pStyle w:val="12"/>
              <w:bidi w:val="0"/>
              <w:rPr>
                <w:color w:val="auto"/>
                <w:highlight w:val="none"/>
                <w:lang w:val="zh-CN" w:eastAsia="zh-CN"/>
              </w:rPr>
            </w:pPr>
            <w:r>
              <w:rPr>
                <w:color w:val="auto"/>
                <w:highlight w:val="none"/>
                <w:lang w:val="zh-CN" w:eastAsia="zh-CN"/>
              </w:rPr>
              <w:drawing>
                <wp:inline distT="0" distB="0" distL="0" distR="0">
                  <wp:extent cx="2343150" cy="1971040"/>
                  <wp:effectExtent l="0" t="0" r="0" b="635"/>
                  <wp:docPr id="217" name="image1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image112.jpeg"/>
                          <pic:cNvPicPr>
                            <a:picLocks noChangeAspect="1"/>
                          </pic:cNvPicPr>
                        </pic:nvPicPr>
                        <pic:blipFill>
                          <a:blip r:embed="rId119" cstate="print"/>
                          <a:stretch>
                            <a:fillRect/>
                          </a:stretch>
                        </pic:blipFill>
                        <pic:spPr>
                          <a:xfrm>
                            <a:off x="0" y="0"/>
                            <a:ext cx="2349162" cy="1976338"/>
                          </a:xfrm>
                          <a:prstGeom prst="rect">
                            <a:avLst/>
                          </a:prstGeom>
                        </pic:spPr>
                      </pic:pic>
                    </a:graphicData>
                  </a:graphic>
                </wp:inline>
              </w:drawing>
            </w:r>
          </w:p>
        </w:tc>
        <w:tc>
          <w:tcPr>
            <w:tcW w:w="4414" w:type="dxa"/>
            <w:tcBorders>
              <w:top w:val="single" w:color="auto" w:sz="4" w:space="0"/>
            </w:tcBorders>
            <w:vAlign w:val="center"/>
          </w:tcPr>
          <w:p>
            <w:pPr>
              <w:pStyle w:val="12"/>
              <w:bidi w:val="0"/>
              <w:rPr>
                <w:color w:val="auto"/>
                <w:highlight w:val="none"/>
                <w:lang w:val="zh-CN" w:eastAsia="zh-CN"/>
              </w:rPr>
            </w:pPr>
          </w:p>
        </w:tc>
        <w:tc>
          <w:tcPr>
            <w:tcW w:w="795" w:type="dxa"/>
            <w:vMerge w:val="restart"/>
            <w:tcBorders>
              <w:top w:val="single" w:color="auto" w:sz="4" w:space="0"/>
            </w:tcBorders>
            <w:vAlign w:val="center"/>
          </w:tcPr>
          <w:p>
            <w:pPr>
              <w:pStyle w:val="12"/>
              <w:bidi w:val="0"/>
              <w:rPr>
                <w:color w:val="auto"/>
                <w:highlight w:val="none"/>
                <w:lang w:val="zh-CN" w:eastAsia="zh-CN"/>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90" w:hRule="atLeast"/>
        </w:trPr>
        <w:tc>
          <w:tcPr>
            <w:tcW w:w="430" w:type="dxa"/>
            <w:vMerge w:val="continue"/>
            <w:tcBorders>
              <w:top w:val="nil"/>
              <w:bottom w:val="single" w:color="auto" w:sz="4" w:space="0"/>
            </w:tcBorders>
            <w:vAlign w:val="center"/>
          </w:tcPr>
          <w:p>
            <w:pPr>
              <w:pStyle w:val="12"/>
              <w:bidi w:val="0"/>
              <w:rPr>
                <w:color w:val="auto"/>
                <w:highlight w:val="none"/>
                <w:lang w:val="zh-CN" w:eastAsia="zh-CN"/>
              </w:rPr>
            </w:pPr>
          </w:p>
        </w:tc>
        <w:tc>
          <w:tcPr>
            <w:tcW w:w="484" w:type="dxa"/>
            <w:vMerge w:val="continue"/>
            <w:tcBorders>
              <w:bottom w:val="single" w:color="auto" w:sz="4" w:space="0"/>
            </w:tcBorders>
            <w:vAlign w:val="center"/>
          </w:tcPr>
          <w:p>
            <w:pPr>
              <w:pStyle w:val="12"/>
              <w:bidi w:val="0"/>
              <w:rPr>
                <w:color w:val="auto"/>
                <w:highlight w:val="none"/>
                <w:lang w:val="zh-CN" w:eastAsia="zh-CN"/>
              </w:rPr>
            </w:pPr>
          </w:p>
        </w:tc>
        <w:tc>
          <w:tcPr>
            <w:tcW w:w="570" w:type="dxa"/>
            <w:vMerge w:val="continue"/>
            <w:tcBorders>
              <w:bottom w:val="single" w:color="auto" w:sz="4" w:space="0"/>
            </w:tcBorders>
            <w:vAlign w:val="center"/>
          </w:tcPr>
          <w:p>
            <w:pPr>
              <w:pStyle w:val="12"/>
              <w:bidi w:val="0"/>
              <w:rPr>
                <w:color w:val="auto"/>
                <w:highlight w:val="none"/>
                <w:lang w:val="zh-CN" w:eastAsia="zh-CN"/>
              </w:rPr>
            </w:pPr>
          </w:p>
        </w:tc>
        <w:tc>
          <w:tcPr>
            <w:tcW w:w="2447" w:type="dxa"/>
            <w:vMerge w:val="continue"/>
            <w:tcBorders>
              <w:bottom w:val="single" w:color="auto" w:sz="4" w:space="0"/>
            </w:tcBorders>
            <w:vAlign w:val="center"/>
          </w:tcPr>
          <w:p>
            <w:pPr>
              <w:pStyle w:val="12"/>
              <w:bidi w:val="0"/>
              <w:rPr>
                <w:color w:val="auto"/>
                <w:highlight w:val="none"/>
                <w:lang w:val="zh-CN" w:eastAsia="zh-CN"/>
              </w:rPr>
            </w:pPr>
          </w:p>
        </w:tc>
        <w:tc>
          <w:tcPr>
            <w:tcW w:w="4200" w:type="dxa"/>
            <w:tcBorders>
              <w:bottom w:val="single" w:color="auto" w:sz="4" w:space="0"/>
            </w:tcBorders>
            <w:vAlign w:val="center"/>
          </w:tcPr>
          <w:p>
            <w:pPr>
              <w:pStyle w:val="12"/>
              <w:bidi w:val="0"/>
              <w:rPr>
                <w:color w:val="auto"/>
                <w:highlight w:val="none"/>
                <w:lang w:val="zh-CN" w:eastAsia="zh-CN"/>
              </w:rPr>
            </w:pPr>
            <w:r>
              <w:rPr>
                <w:rFonts w:hint="eastAsia"/>
                <w:color w:val="auto"/>
                <w:highlight w:val="none"/>
                <w:lang w:val="zh-CN" w:eastAsia="zh-CN"/>
              </w:rPr>
              <w:t>开启扇组装完成后边部有硬纸壳保护边框和里面五金</w:t>
            </w:r>
          </w:p>
        </w:tc>
        <w:tc>
          <w:tcPr>
            <w:tcW w:w="4414" w:type="dxa"/>
            <w:tcBorders>
              <w:bottom w:val="single" w:color="auto" w:sz="4" w:space="0"/>
            </w:tcBorders>
            <w:vAlign w:val="center"/>
          </w:tcPr>
          <w:p>
            <w:pPr>
              <w:pStyle w:val="12"/>
              <w:bidi w:val="0"/>
              <w:rPr>
                <w:color w:val="auto"/>
                <w:highlight w:val="none"/>
                <w:lang w:val="zh-CN" w:eastAsia="zh-CN"/>
              </w:rPr>
            </w:pPr>
          </w:p>
        </w:tc>
        <w:tc>
          <w:tcPr>
            <w:tcW w:w="795" w:type="dxa"/>
            <w:vMerge w:val="continue"/>
            <w:tcBorders>
              <w:top w:val="nil"/>
              <w:bottom w:val="single" w:color="auto" w:sz="4" w:space="0"/>
            </w:tcBorders>
            <w:vAlign w:val="center"/>
          </w:tcPr>
          <w:p>
            <w:pPr>
              <w:pStyle w:val="12"/>
              <w:bidi w:val="0"/>
              <w:rPr>
                <w:color w:val="auto"/>
                <w:highlight w:val="none"/>
                <w:lang w:val="zh-CN" w:eastAsia="zh-CN"/>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90" w:hRule="atLeast"/>
        </w:trPr>
        <w:tc>
          <w:tcPr>
            <w:tcW w:w="430" w:type="dxa"/>
            <w:vMerge w:val="restart"/>
            <w:tcBorders>
              <w:top w:val="single" w:color="auto" w:sz="4" w:space="0"/>
              <w:left w:val="single" w:color="auto" w:sz="4" w:space="0"/>
              <w:bottom w:val="single" w:color="auto" w:sz="4" w:space="0"/>
              <w:right w:val="single" w:color="auto" w:sz="4" w:space="0"/>
            </w:tcBorders>
            <w:vAlign w:val="center"/>
          </w:tcPr>
          <w:p>
            <w:pPr>
              <w:pStyle w:val="12"/>
              <w:bidi w:val="0"/>
              <w:rPr>
                <w:color w:val="auto"/>
                <w:highlight w:val="none"/>
                <w:lang w:val="zh-CN" w:eastAsia="zh-CN"/>
              </w:rPr>
            </w:pPr>
            <w:r>
              <w:rPr>
                <w:color w:val="auto"/>
                <w:highlight w:val="none"/>
                <w:lang w:val="zh-CN" w:eastAsia="zh-CN"/>
              </w:rPr>
              <w:t>5</w:t>
            </w:r>
          </w:p>
        </w:tc>
        <w:tc>
          <w:tcPr>
            <w:tcW w:w="484" w:type="dxa"/>
            <w:vMerge w:val="restart"/>
            <w:tcBorders>
              <w:top w:val="single" w:color="auto" w:sz="4" w:space="0"/>
              <w:left w:val="single" w:color="auto" w:sz="4" w:space="0"/>
              <w:bottom w:val="single" w:color="auto" w:sz="4" w:space="0"/>
              <w:right w:val="single" w:color="auto" w:sz="4" w:space="0"/>
            </w:tcBorders>
            <w:vAlign w:val="center"/>
          </w:tcPr>
          <w:p>
            <w:pPr>
              <w:pStyle w:val="12"/>
              <w:bidi w:val="0"/>
              <w:rPr>
                <w:color w:val="auto"/>
                <w:highlight w:val="none"/>
                <w:lang w:val="zh-CN" w:eastAsia="zh-CN"/>
              </w:rPr>
            </w:pPr>
            <w:r>
              <w:rPr>
                <w:color w:val="auto"/>
                <w:highlight w:val="none"/>
                <w:lang w:val="zh-CN" w:eastAsia="zh-CN"/>
              </w:rPr>
              <w:t>工厂包装</w:t>
            </w:r>
          </w:p>
        </w:tc>
        <w:tc>
          <w:tcPr>
            <w:tcW w:w="570" w:type="dxa"/>
            <w:vMerge w:val="restart"/>
            <w:tcBorders>
              <w:top w:val="single" w:color="auto" w:sz="4" w:space="0"/>
              <w:left w:val="single" w:color="auto" w:sz="4" w:space="0"/>
              <w:bottom w:val="single" w:color="auto" w:sz="4" w:space="0"/>
              <w:right w:val="single" w:color="auto" w:sz="4" w:space="0"/>
            </w:tcBorders>
            <w:vAlign w:val="center"/>
          </w:tcPr>
          <w:p>
            <w:pPr>
              <w:pStyle w:val="12"/>
              <w:bidi w:val="0"/>
              <w:rPr>
                <w:color w:val="auto"/>
                <w:highlight w:val="none"/>
                <w:lang w:val="zh-CN" w:eastAsia="zh-CN"/>
              </w:rPr>
            </w:pPr>
            <w:r>
              <w:rPr>
                <w:color w:val="auto"/>
                <w:highlight w:val="none"/>
                <w:lang w:val="zh-CN" w:eastAsia="zh-CN"/>
              </w:rPr>
              <w:t>开启</w:t>
            </w:r>
          </w:p>
          <w:p>
            <w:pPr>
              <w:pStyle w:val="12"/>
              <w:bidi w:val="0"/>
              <w:rPr>
                <w:color w:val="auto"/>
                <w:highlight w:val="none"/>
                <w:lang w:val="zh-CN" w:eastAsia="zh-CN"/>
              </w:rPr>
            </w:pPr>
            <w:r>
              <w:rPr>
                <w:color w:val="auto"/>
                <w:highlight w:val="none"/>
                <w:lang w:val="zh-CN" w:eastAsia="zh-CN"/>
              </w:rPr>
              <w:t>扇保护做</w:t>
            </w:r>
          </w:p>
          <w:p>
            <w:pPr>
              <w:pStyle w:val="12"/>
              <w:bidi w:val="0"/>
              <w:rPr>
                <w:color w:val="auto"/>
                <w:highlight w:val="none"/>
                <w:lang w:val="zh-CN" w:eastAsia="zh-CN"/>
              </w:rPr>
            </w:pPr>
            <w:r>
              <w:rPr>
                <w:color w:val="auto"/>
                <w:highlight w:val="none"/>
                <w:lang w:val="zh-CN" w:eastAsia="zh-CN"/>
              </w:rPr>
              <w:t>法图</w:t>
            </w:r>
          </w:p>
          <w:p>
            <w:pPr>
              <w:pStyle w:val="12"/>
              <w:bidi w:val="0"/>
              <w:rPr>
                <w:color w:val="auto"/>
                <w:highlight w:val="none"/>
                <w:lang w:val="zh-CN" w:eastAsia="zh-CN"/>
              </w:rPr>
            </w:pPr>
            <w:r>
              <w:rPr>
                <w:color w:val="auto"/>
                <w:highlight w:val="none"/>
                <w:lang w:val="zh-CN" w:eastAsia="zh-CN"/>
              </w:rPr>
              <w:t>示</w:t>
            </w:r>
          </w:p>
        </w:tc>
        <w:tc>
          <w:tcPr>
            <w:tcW w:w="2447" w:type="dxa"/>
            <w:vMerge w:val="restart"/>
            <w:tcBorders>
              <w:top w:val="single" w:color="auto" w:sz="4" w:space="0"/>
              <w:left w:val="single" w:color="auto" w:sz="4" w:space="0"/>
              <w:bottom w:val="single" w:color="auto" w:sz="4" w:space="0"/>
              <w:right w:val="single" w:color="auto" w:sz="4" w:space="0"/>
            </w:tcBorders>
            <w:vAlign w:val="center"/>
          </w:tcPr>
          <w:p>
            <w:pPr>
              <w:pStyle w:val="12"/>
              <w:bidi w:val="0"/>
              <w:rPr>
                <w:color w:val="auto"/>
                <w:highlight w:val="none"/>
                <w:lang w:val="zh-CN" w:eastAsia="zh-CN"/>
              </w:rPr>
            </w:pPr>
          </w:p>
        </w:tc>
        <w:tc>
          <w:tcPr>
            <w:tcW w:w="4200" w:type="dxa"/>
            <w:tcBorders>
              <w:top w:val="single" w:color="auto" w:sz="4" w:space="0"/>
              <w:left w:val="single" w:color="auto" w:sz="4" w:space="0"/>
              <w:bottom w:val="single" w:color="auto" w:sz="4" w:space="0"/>
              <w:right w:val="single" w:color="auto" w:sz="4" w:space="0"/>
            </w:tcBorders>
            <w:vAlign w:val="center"/>
          </w:tcPr>
          <w:p>
            <w:pPr>
              <w:pStyle w:val="12"/>
              <w:bidi w:val="0"/>
              <w:rPr>
                <w:color w:val="auto"/>
                <w:highlight w:val="none"/>
                <w:lang w:val="zh-CN" w:eastAsia="zh-CN"/>
              </w:rPr>
            </w:pPr>
            <w:r>
              <w:rPr>
                <w:color w:val="auto"/>
                <w:highlight w:val="none"/>
                <w:lang w:val="zh-CN" w:eastAsia="zh-CN"/>
              </w:rPr>
              <w:drawing>
                <wp:inline distT="0" distB="0" distL="0" distR="0">
                  <wp:extent cx="2305050" cy="1667510"/>
                  <wp:effectExtent l="0" t="0" r="0" b="8890"/>
                  <wp:docPr id="221" name="image1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image114.png"/>
                          <pic:cNvPicPr>
                            <a:picLocks noChangeAspect="1"/>
                          </pic:cNvPicPr>
                        </pic:nvPicPr>
                        <pic:blipFill>
                          <a:blip r:embed="rId120" cstate="print"/>
                          <a:stretch>
                            <a:fillRect/>
                          </a:stretch>
                        </pic:blipFill>
                        <pic:spPr>
                          <a:xfrm>
                            <a:off x="0" y="0"/>
                            <a:ext cx="2307961" cy="1669841"/>
                          </a:xfrm>
                          <a:prstGeom prst="rect">
                            <a:avLst/>
                          </a:prstGeom>
                        </pic:spPr>
                      </pic:pic>
                    </a:graphicData>
                  </a:graphic>
                </wp:inline>
              </w:drawing>
            </w:r>
          </w:p>
        </w:tc>
        <w:tc>
          <w:tcPr>
            <w:tcW w:w="4414" w:type="dxa"/>
            <w:vMerge w:val="restart"/>
            <w:tcBorders>
              <w:top w:val="single" w:color="auto" w:sz="4" w:space="0"/>
              <w:left w:val="single" w:color="auto" w:sz="4" w:space="0"/>
              <w:bottom w:val="single" w:color="auto" w:sz="4" w:space="0"/>
              <w:right w:val="single" w:color="auto" w:sz="4" w:space="0"/>
            </w:tcBorders>
            <w:vAlign w:val="center"/>
          </w:tcPr>
          <w:p>
            <w:pPr>
              <w:pStyle w:val="12"/>
              <w:bidi w:val="0"/>
              <w:rPr>
                <w:color w:val="auto"/>
                <w:highlight w:val="none"/>
                <w:lang w:val="zh-CN" w:eastAsia="zh-CN"/>
              </w:rPr>
            </w:pPr>
          </w:p>
        </w:tc>
        <w:tc>
          <w:tcPr>
            <w:tcW w:w="795" w:type="dxa"/>
            <w:vMerge w:val="restart"/>
            <w:tcBorders>
              <w:top w:val="single" w:color="auto" w:sz="4" w:space="0"/>
              <w:left w:val="single" w:color="auto" w:sz="4" w:space="0"/>
              <w:bottom w:val="single" w:color="auto" w:sz="4" w:space="0"/>
              <w:right w:val="single" w:color="auto" w:sz="4" w:space="0"/>
            </w:tcBorders>
            <w:vAlign w:val="center"/>
          </w:tcPr>
          <w:p>
            <w:pPr>
              <w:pStyle w:val="12"/>
              <w:bidi w:val="0"/>
              <w:rPr>
                <w:color w:val="auto"/>
                <w:highlight w:val="none"/>
                <w:lang w:val="zh-CN" w:eastAsia="zh-CN"/>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90" w:hRule="atLeast"/>
        </w:trPr>
        <w:tc>
          <w:tcPr>
            <w:tcW w:w="430" w:type="dxa"/>
            <w:vMerge w:val="continue"/>
            <w:tcBorders>
              <w:top w:val="single" w:color="auto" w:sz="4" w:space="0"/>
              <w:left w:val="single" w:color="auto" w:sz="4" w:space="0"/>
              <w:bottom w:val="single" w:color="auto" w:sz="4" w:space="0"/>
              <w:right w:val="single" w:color="auto" w:sz="4" w:space="0"/>
            </w:tcBorders>
            <w:vAlign w:val="center"/>
          </w:tcPr>
          <w:p>
            <w:pPr>
              <w:pStyle w:val="12"/>
              <w:bidi w:val="0"/>
              <w:rPr>
                <w:color w:val="auto"/>
                <w:highlight w:val="none"/>
                <w:lang w:val="zh-CN" w:eastAsia="zh-CN"/>
              </w:rPr>
            </w:pPr>
          </w:p>
        </w:tc>
        <w:tc>
          <w:tcPr>
            <w:tcW w:w="484" w:type="dxa"/>
            <w:vMerge w:val="continue"/>
            <w:tcBorders>
              <w:top w:val="single" w:color="auto" w:sz="4" w:space="0"/>
              <w:left w:val="single" w:color="auto" w:sz="4" w:space="0"/>
              <w:bottom w:val="single" w:color="auto" w:sz="4" w:space="0"/>
              <w:right w:val="single" w:color="auto" w:sz="4" w:space="0"/>
            </w:tcBorders>
            <w:vAlign w:val="center"/>
          </w:tcPr>
          <w:p>
            <w:pPr>
              <w:pStyle w:val="12"/>
              <w:bidi w:val="0"/>
              <w:rPr>
                <w:color w:val="auto"/>
                <w:highlight w:val="none"/>
                <w:lang w:val="zh-CN" w:eastAsia="zh-CN"/>
              </w:rPr>
            </w:pPr>
          </w:p>
        </w:tc>
        <w:tc>
          <w:tcPr>
            <w:tcW w:w="570" w:type="dxa"/>
            <w:vMerge w:val="continue"/>
            <w:tcBorders>
              <w:top w:val="single" w:color="auto" w:sz="4" w:space="0"/>
              <w:left w:val="single" w:color="auto" w:sz="4" w:space="0"/>
              <w:bottom w:val="single" w:color="auto" w:sz="4" w:space="0"/>
              <w:right w:val="single" w:color="auto" w:sz="4" w:space="0"/>
            </w:tcBorders>
            <w:vAlign w:val="center"/>
          </w:tcPr>
          <w:p>
            <w:pPr>
              <w:pStyle w:val="12"/>
              <w:bidi w:val="0"/>
              <w:rPr>
                <w:color w:val="auto"/>
                <w:highlight w:val="none"/>
                <w:lang w:val="zh-CN" w:eastAsia="zh-CN"/>
              </w:rPr>
            </w:pPr>
          </w:p>
        </w:tc>
        <w:tc>
          <w:tcPr>
            <w:tcW w:w="2447" w:type="dxa"/>
            <w:vMerge w:val="continue"/>
            <w:tcBorders>
              <w:top w:val="single" w:color="auto" w:sz="4" w:space="0"/>
              <w:left w:val="single" w:color="auto" w:sz="4" w:space="0"/>
              <w:bottom w:val="single" w:color="auto" w:sz="4" w:space="0"/>
              <w:right w:val="single" w:color="auto" w:sz="4" w:space="0"/>
            </w:tcBorders>
            <w:vAlign w:val="center"/>
          </w:tcPr>
          <w:p>
            <w:pPr>
              <w:pStyle w:val="12"/>
              <w:bidi w:val="0"/>
              <w:rPr>
                <w:color w:val="auto"/>
                <w:highlight w:val="none"/>
                <w:lang w:val="zh-CN" w:eastAsia="zh-CN"/>
              </w:rPr>
            </w:pPr>
          </w:p>
        </w:tc>
        <w:tc>
          <w:tcPr>
            <w:tcW w:w="4200" w:type="dxa"/>
            <w:tcBorders>
              <w:top w:val="single" w:color="auto" w:sz="4" w:space="0"/>
              <w:left w:val="single" w:color="auto" w:sz="4" w:space="0"/>
              <w:bottom w:val="single" w:color="auto" w:sz="4" w:space="0"/>
              <w:right w:val="single" w:color="auto" w:sz="4" w:space="0"/>
            </w:tcBorders>
            <w:vAlign w:val="center"/>
          </w:tcPr>
          <w:p>
            <w:pPr>
              <w:pStyle w:val="12"/>
              <w:bidi w:val="0"/>
              <w:rPr>
                <w:color w:val="auto"/>
                <w:highlight w:val="none"/>
                <w:lang w:val="zh-CN" w:eastAsia="zh-CN"/>
              </w:rPr>
            </w:pPr>
            <w:r>
              <w:rPr>
                <w:rFonts w:hint="eastAsia"/>
                <w:color w:val="auto"/>
                <w:highlight w:val="none"/>
                <w:lang w:val="zh-CN" w:eastAsia="zh-CN"/>
              </w:rPr>
              <w:t>工厂开启扇边框保护包裹做法大样图图</w:t>
            </w:r>
          </w:p>
        </w:tc>
        <w:tc>
          <w:tcPr>
            <w:tcW w:w="4414" w:type="dxa"/>
            <w:vMerge w:val="continue"/>
            <w:tcBorders>
              <w:top w:val="single" w:color="auto" w:sz="4" w:space="0"/>
              <w:left w:val="single" w:color="auto" w:sz="4" w:space="0"/>
              <w:bottom w:val="single" w:color="auto" w:sz="4" w:space="0"/>
              <w:right w:val="single" w:color="auto" w:sz="4" w:space="0"/>
            </w:tcBorders>
            <w:vAlign w:val="center"/>
          </w:tcPr>
          <w:p>
            <w:pPr>
              <w:pStyle w:val="12"/>
              <w:bidi w:val="0"/>
              <w:rPr>
                <w:color w:val="auto"/>
                <w:highlight w:val="none"/>
                <w:lang w:val="zh-CN" w:eastAsia="zh-CN"/>
              </w:rPr>
            </w:pPr>
          </w:p>
        </w:tc>
        <w:tc>
          <w:tcPr>
            <w:tcW w:w="795" w:type="dxa"/>
            <w:vMerge w:val="continue"/>
            <w:tcBorders>
              <w:top w:val="single" w:color="auto" w:sz="4" w:space="0"/>
              <w:left w:val="single" w:color="auto" w:sz="4" w:space="0"/>
              <w:bottom w:val="single" w:color="auto" w:sz="4" w:space="0"/>
              <w:right w:val="single" w:color="auto" w:sz="4" w:space="0"/>
            </w:tcBorders>
            <w:vAlign w:val="center"/>
          </w:tcPr>
          <w:p>
            <w:pPr>
              <w:pStyle w:val="12"/>
              <w:bidi w:val="0"/>
              <w:rPr>
                <w:color w:val="auto"/>
                <w:highlight w:val="none"/>
                <w:lang w:val="zh-CN" w:eastAsia="zh-CN"/>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90" w:hRule="atLeast"/>
        </w:trPr>
        <w:tc>
          <w:tcPr>
            <w:tcW w:w="430" w:type="dxa"/>
            <w:tcBorders>
              <w:top w:val="single" w:color="auto" w:sz="4" w:space="0"/>
              <w:left w:val="single" w:color="auto" w:sz="4" w:space="0"/>
              <w:bottom w:val="single" w:color="auto" w:sz="4" w:space="0"/>
              <w:right w:val="single" w:color="auto" w:sz="4" w:space="0"/>
            </w:tcBorders>
            <w:vAlign w:val="center"/>
          </w:tcPr>
          <w:p>
            <w:pPr>
              <w:pStyle w:val="12"/>
              <w:bidi w:val="0"/>
              <w:rPr>
                <w:color w:val="auto"/>
                <w:highlight w:val="none"/>
                <w:lang w:val="zh-CN" w:eastAsia="zh-CN"/>
              </w:rPr>
            </w:pPr>
            <w:r>
              <w:rPr>
                <w:color w:val="auto"/>
                <w:highlight w:val="none"/>
                <w:lang w:val="zh-CN" w:eastAsia="zh-CN"/>
              </w:rPr>
              <w:t>6</w:t>
            </w:r>
          </w:p>
        </w:tc>
        <w:tc>
          <w:tcPr>
            <w:tcW w:w="484" w:type="dxa"/>
            <w:tcBorders>
              <w:top w:val="single" w:color="auto" w:sz="4" w:space="0"/>
              <w:left w:val="single" w:color="auto" w:sz="4" w:space="0"/>
              <w:bottom w:val="single" w:color="auto" w:sz="4" w:space="0"/>
              <w:right w:val="single" w:color="auto" w:sz="4" w:space="0"/>
            </w:tcBorders>
            <w:vAlign w:val="center"/>
          </w:tcPr>
          <w:p>
            <w:pPr>
              <w:pStyle w:val="12"/>
              <w:bidi w:val="0"/>
              <w:rPr>
                <w:color w:val="auto"/>
                <w:highlight w:val="none"/>
                <w:lang w:val="zh-CN" w:eastAsia="zh-CN"/>
              </w:rPr>
            </w:pPr>
            <w:r>
              <w:rPr>
                <w:color w:val="auto"/>
                <w:highlight w:val="none"/>
                <w:lang w:val="zh-CN" w:eastAsia="zh-CN"/>
              </w:rPr>
              <w:t>现场过程保护</w:t>
            </w:r>
          </w:p>
        </w:tc>
        <w:tc>
          <w:tcPr>
            <w:tcW w:w="570" w:type="dxa"/>
            <w:tcBorders>
              <w:top w:val="single" w:color="auto" w:sz="4" w:space="0"/>
              <w:left w:val="single" w:color="auto" w:sz="4" w:space="0"/>
              <w:bottom w:val="single" w:color="auto" w:sz="4" w:space="0"/>
              <w:right w:val="single" w:color="auto" w:sz="4" w:space="0"/>
            </w:tcBorders>
            <w:vAlign w:val="center"/>
          </w:tcPr>
          <w:p>
            <w:pPr>
              <w:pStyle w:val="12"/>
              <w:bidi w:val="0"/>
              <w:rPr>
                <w:color w:val="auto"/>
                <w:highlight w:val="none"/>
                <w:lang w:val="zh-CN" w:eastAsia="zh-CN"/>
              </w:rPr>
            </w:pPr>
            <w:r>
              <w:rPr>
                <w:color w:val="auto"/>
                <w:highlight w:val="none"/>
                <w:lang w:val="zh-CN" w:eastAsia="zh-CN"/>
              </w:rPr>
              <w:t>窗户现场保护</w:t>
            </w:r>
          </w:p>
        </w:tc>
        <w:tc>
          <w:tcPr>
            <w:tcW w:w="2447" w:type="dxa"/>
            <w:tcBorders>
              <w:top w:val="single" w:color="auto" w:sz="4" w:space="0"/>
              <w:left w:val="single" w:color="auto" w:sz="4" w:space="0"/>
              <w:bottom w:val="single" w:color="auto" w:sz="4" w:space="0"/>
              <w:right w:val="single" w:color="auto" w:sz="4" w:space="0"/>
            </w:tcBorders>
            <w:vAlign w:val="center"/>
          </w:tcPr>
          <w:p>
            <w:pPr>
              <w:pStyle w:val="12"/>
              <w:bidi w:val="0"/>
              <w:rPr>
                <w:color w:val="auto"/>
                <w:highlight w:val="none"/>
                <w:lang w:val="zh-CN" w:eastAsia="zh-CN"/>
              </w:rPr>
            </w:pPr>
            <w:r>
              <w:rPr>
                <w:color w:val="auto"/>
                <w:highlight w:val="none"/>
                <w:lang w:val="zh-CN" w:eastAsia="zh-CN"/>
              </w:rPr>
              <w:t>门窗玻璃以及</w:t>
            </w:r>
            <w:r>
              <w:rPr>
                <w:rFonts w:hint="eastAsia"/>
                <w:color w:val="auto"/>
                <w:highlight w:val="none"/>
                <w:lang w:eastAsia="zh-CN"/>
              </w:rPr>
              <w:t>开</w:t>
            </w:r>
            <w:r>
              <w:rPr>
                <w:color w:val="auto"/>
                <w:highlight w:val="none"/>
                <w:lang w:val="zh-CN" w:eastAsia="zh-CN"/>
              </w:rPr>
              <w:t>启扇安装完成</w:t>
            </w:r>
          </w:p>
          <w:p>
            <w:pPr>
              <w:pStyle w:val="12"/>
              <w:bidi w:val="0"/>
              <w:rPr>
                <w:color w:val="auto"/>
                <w:highlight w:val="none"/>
                <w:lang w:val="zh-CN" w:eastAsia="zh-CN"/>
              </w:rPr>
            </w:pPr>
            <w:r>
              <w:rPr>
                <w:color w:val="auto"/>
                <w:highlight w:val="none"/>
                <w:lang w:val="zh-CN" w:eastAsia="zh-CN"/>
              </w:rPr>
              <w:t>后，由于整体工</w:t>
            </w:r>
          </w:p>
          <w:p>
            <w:pPr>
              <w:pStyle w:val="12"/>
              <w:bidi w:val="0"/>
              <w:rPr>
                <w:color w:val="auto"/>
                <w:highlight w:val="none"/>
                <w:lang w:val="zh-CN" w:eastAsia="zh-CN"/>
              </w:rPr>
            </w:pPr>
            <w:r>
              <w:rPr>
                <w:color w:val="auto"/>
                <w:highlight w:val="none"/>
                <w:lang w:val="zh-CN" w:eastAsia="zh-CN"/>
              </w:rPr>
              <w:t>期的不确定性以</w:t>
            </w:r>
          </w:p>
          <w:p>
            <w:pPr>
              <w:pStyle w:val="12"/>
              <w:bidi w:val="0"/>
              <w:rPr>
                <w:color w:val="auto"/>
                <w:highlight w:val="none"/>
                <w:lang w:val="zh-CN" w:eastAsia="zh-CN"/>
              </w:rPr>
            </w:pPr>
            <w:r>
              <w:rPr>
                <w:color w:val="auto"/>
                <w:highlight w:val="none"/>
                <w:lang w:val="zh-CN" w:eastAsia="zh-CN"/>
              </w:rPr>
              <w:t>及室内外可能仍</w:t>
            </w:r>
          </w:p>
          <w:p>
            <w:pPr>
              <w:pStyle w:val="12"/>
              <w:bidi w:val="0"/>
              <w:rPr>
                <w:color w:val="auto"/>
                <w:highlight w:val="none"/>
                <w:lang w:val="zh-CN" w:eastAsia="zh-CN"/>
              </w:rPr>
            </w:pPr>
            <w:r>
              <w:rPr>
                <w:color w:val="auto"/>
                <w:highlight w:val="none"/>
                <w:lang w:val="zh-CN" w:eastAsia="zh-CN"/>
              </w:rPr>
              <w:t>有其他作业工作，现可选择性要求施工单位将铝型材原保护膜全部撕掉（避免工期过长膜老化无法撕除），现场重新用糯米胶和硬质塑料将门窗室内外的玻璃以及型材重新全部保护，从根本上杜绝其他后续污染，现场应慎</w:t>
            </w:r>
          </w:p>
          <w:p>
            <w:pPr>
              <w:pStyle w:val="12"/>
              <w:bidi w:val="0"/>
              <w:rPr>
                <w:color w:val="auto"/>
                <w:highlight w:val="none"/>
                <w:lang w:val="zh-CN" w:eastAsia="zh-CN"/>
              </w:rPr>
            </w:pPr>
            <w:r>
              <w:rPr>
                <w:color w:val="auto"/>
                <w:highlight w:val="none"/>
                <w:lang w:val="zh-CN" w:eastAsia="zh-CN"/>
              </w:rPr>
              <w:t>重选择保护膜，应选择厚质、抗老化薄膜。</w:t>
            </w:r>
          </w:p>
        </w:tc>
        <w:tc>
          <w:tcPr>
            <w:tcW w:w="4200" w:type="dxa"/>
            <w:tcBorders>
              <w:top w:val="single" w:color="auto" w:sz="4" w:space="0"/>
              <w:left w:val="single" w:color="auto" w:sz="4" w:space="0"/>
              <w:bottom w:val="single" w:color="auto" w:sz="4" w:space="0"/>
              <w:right w:val="single" w:color="auto" w:sz="4" w:space="0"/>
            </w:tcBorders>
            <w:vAlign w:val="center"/>
          </w:tcPr>
          <w:p>
            <w:pPr>
              <w:pStyle w:val="12"/>
              <w:bidi w:val="0"/>
              <w:rPr>
                <w:color w:val="auto"/>
                <w:highlight w:val="none"/>
                <w:lang w:val="zh-CN" w:eastAsia="zh-CN"/>
              </w:rPr>
            </w:pPr>
            <w:r>
              <w:rPr>
                <w:color w:val="auto"/>
                <w:highlight w:val="none"/>
                <w:lang w:val="zh-CN" w:eastAsia="zh-CN"/>
              </w:rPr>
              <w:drawing>
                <wp:inline distT="0" distB="0" distL="0" distR="0">
                  <wp:extent cx="2437765" cy="1885950"/>
                  <wp:effectExtent l="0" t="0" r="635" b="0"/>
                  <wp:docPr id="223" name="image1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image115.jpeg"/>
                          <pic:cNvPicPr>
                            <a:picLocks noChangeAspect="1"/>
                          </pic:cNvPicPr>
                        </pic:nvPicPr>
                        <pic:blipFill>
                          <a:blip r:embed="rId121" cstate="print"/>
                          <a:stretch>
                            <a:fillRect/>
                          </a:stretch>
                        </pic:blipFill>
                        <pic:spPr>
                          <a:xfrm>
                            <a:off x="0" y="0"/>
                            <a:ext cx="2445738" cy="1891887"/>
                          </a:xfrm>
                          <a:prstGeom prst="rect">
                            <a:avLst/>
                          </a:prstGeom>
                        </pic:spPr>
                      </pic:pic>
                    </a:graphicData>
                  </a:graphic>
                </wp:inline>
              </w:drawing>
            </w:r>
          </w:p>
        </w:tc>
        <w:tc>
          <w:tcPr>
            <w:tcW w:w="4414" w:type="dxa"/>
            <w:tcBorders>
              <w:top w:val="single" w:color="auto" w:sz="4" w:space="0"/>
              <w:left w:val="single" w:color="auto" w:sz="4" w:space="0"/>
              <w:bottom w:val="single" w:color="auto" w:sz="4" w:space="0"/>
              <w:right w:val="single" w:color="auto" w:sz="4" w:space="0"/>
            </w:tcBorders>
            <w:vAlign w:val="center"/>
          </w:tcPr>
          <w:p>
            <w:pPr>
              <w:pStyle w:val="12"/>
              <w:bidi w:val="0"/>
              <w:rPr>
                <w:color w:val="auto"/>
                <w:highlight w:val="none"/>
                <w:lang w:val="zh-CN" w:eastAsia="zh-CN"/>
              </w:rPr>
            </w:pPr>
          </w:p>
        </w:tc>
        <w:tc>
          <w:tcPr>
            <w:tcW w:w="795" w:type="dxa"/>
            <w:tcBorders>
              <w:top w:val="single" w:color="auto" w:sz="4" w:space="0"/>
              <w:left w:val="single" w:color="auto" w:sz="4" w:space="0"/>
              <w:bottom w:val="single" w:color="auto" w:sz="4" w:space="0"/>
              <w:right w:val="single" w:color="auto" w:sz="4" w:space="0"/>
            </w:tcBorders>
            <w:vAlign w:val="center"/>
          </w:tcPr>
          <w:p>
            <w:pPr>
              <w:pStyle w:val="12"/>
              <w:bidi w:val="0"/>
              <w:rPr>
                <w:color w:val="auto"/>
                <w:highlight w:val="none"/>
                <w:lang w:val="zh-CN" w:eastAsia="zh-CN"/>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90" w:hRule="atLeast"/>
        </w:trPr>
        <w:tc>
          <w:tcPr>
            <w:tcW w:w="430" w:type="dxa"/>
            <w:vMerge w:val="restart"/>
            <w:vAlign w:val="center"/>
          </w:tcPr>
          <w:p>
            <w:pPr>
              <w:pStyle w:val="12"/>
              <w:bidi w:val="0"/>
              <w:rPr>
                <w:color w:val="auto"/>
                <w:highlight w:val="none"/>
                <w:lang w:val="zh-CN" w:eastAsia="zh-CN"/>
              </w:rPr>
            </w:pPr>
            <w:r>
              <w:rPr>
                <w:color w:val="auto"/>
                <w:highlight w:val="none"/>
                <w:lang w:val="zh-CN" w:eastAsia="zh-CN"/>
              </w:rPr>
              <mc:AlternateContent>
                <mc:Choice Requires="wpg">
                  <w:drawing>
                    <wp:anchor distT="0" distB="0" distL="114300" distR="114300" simplePos="0" relativeHeight="251659264" behindDoc="1" locked="0" layoutInCell="1" allowOverlap="1">
                      <wp:simplePos x="0" y="0"/>
                      <wp:positionH relativeFrom="page">
                        <wp:posOffset>4896485</wp:posOffset>
                      </wp:positionH>
                      <wp:positionV relativeFrom="page">
                        <wp:posOffset>13865225</wp:posOffset>
                      </wp:positionV>
                      <wp:extent cx="3286760" cy="3080385"/>
                      <wp:effectExtent l="635" t="0" r="8255" b="5715"/>
                      <wp:wrapNone/>
                      <wp:docPr id="168" name="组合 6"/>
                      <wp:cNvGraphicFramePr/>
                      <a:graphic xmlns:a="http://schemas.openxmlformats.org/drawingml/2006/main">
                        <a:graphicData uri="http://schemas.microsoft.com/office/word/2010/wordprocessingGroup">
                          <wpg:wgp>
                            <wpg:cNvGrpSpPr/>
                            <wpg:grpSpPr>
                              <a:xfrm>
                                <a:off x="0" y="0"/>
                                <a:ext cx="3286760" cy="3080385"/>
                                <a:chOff x="7712" y="21835"/>
                                <a:chExt cx="5176" cy="4851"/>
                              </a:xfrm>
                            </wpg:grpSpPr>
                            <pic:pic xmlns:pic="http://schemas.openxmlformats.org/drawingml/2006/picture">
                              <pic:nvPicPr>
                                <pic:cNvPr id="32" name="图片 7"/>
                                <pic:cNvPicPr>
                                  <a:picLocks noChangeAspect="1"/>
                                </pic:cNvPicPr>
                              </pic:nvPicPr>
                              <pic:blipFill>
                                <a:blip r:embed="rId122"/>
                                <a:stretch>
                                  <a:fillRect/>
                                </a:stretch>
                              </pic:blipFill>
                              <pic:spPr>
                                <a:xfrm>
                                  <a:off x="7711" y="21835"/>
                                  <a:ext cx="5176" cy="4851"/>
                                </a:xfrm>
                                <a:prstGeom prst="rect">
                                  <a:avLst/>
                                </a:prstGeom>
                                <a:noFill/>
                                <a:ln>
                                  <a:noFill/>
                                </a:ln>
                              </pic:spPr>
                            </pic:pic>
                            <wps:wsp>
                              <wps:cNvPr id="34" name="矩形 8"/>
                              <wps:cNvSpPr/>
                              <wps:spPr>
                                <a:xfrm>
                                  <a:off x="11750" y="24345"/>
                                  <a:ext cx="741" cy="402"/>
                                </a:xfrm>
                                <a:prstGeom prst="rect">
                                  <a:avLst/>
                                </a:prstGeom>
                                <a:solidFill>
                                  <a:srgbClr val="4F81BC"/>
                                </a:solidFill>
                                <a:ln>
                                  <a:noFill/>
                                </a:ln>
                              </wps:spPr>
                              <wps:bodyPr upright="1"/>
                            </wps:wsp>
                            <wps:wsp>
                              <wps:cNvPr id="36" name="直线 9"/>
                              <wps:cNvCnPr/>
                              <wps:spPr>
                                <a:xfrm flipH="1">
                                  <a:off x="11413" y="24420"/>
                                  <a:ext cx="276" cy="192"/>
                                </a:xfrm>
                                <a:prstGeom prst="line">
                                  <a:avLst/>
                                </a:prstGeom>
                                <a:ln w="18148" cap="flat" cmpd="sng">
                                  <a:solidFill>
                                    <a:srgbClr val="385D89"/>
                                  </a:solidFill>
                                  <a:prstDash val="solid"/>
                                  <a:headEnd type="none" w="med" len="med"/>
                                  <a:tailEnd type="none" w="med" len="med"/>
                                </a:ln>
                              </wps:spPr>
                              <wps:bodyPr/>
                            </wps:wsp>
                          </wpg:wgp>
                        </a:graphicData>
                      </a:graphic>
                    </wp:anchor>
                  </w:drawing>
                </mc:Choice>
                <mc:Fallback>
                  <w:pict>
                    <v:group id="组合 6" o:spid="_x0000_s1026" o:spt="203" style="position:absolute;left:0pt;margin-left:385.55pt;margin-top:1091.75pt;height:242.55pt;width:258.8pt;mso-position-horizontal-relative:page;mso-position-vertical-relative:page;z-index:-251657216;mso-width-relative:page;mso-height-relative:page;" coordorigin="7712,21835" coordsize="5176,4851" o:gfxdata="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">
                      <o:lock v:ext="edit" aspectratio="f"/>
                      <v:shape id="图片 7" o:spid="_x0000_s1026" o:spt="75" type="#_x0000_t75" style="position:absolute;left:7711;top:21835;height:4851;width:5176;" filled="f" o:preferrelative="t" stroked="f" coordsize="21600,21600" o:gfxdata="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Pnvs5C2AAAA2wAAAA8A&#10;AAAAAAAAAQAgAAAAIgAAAGRycy9kb3ducmV2LnhtbFBLAQIUABQAAAAIAIdO4kAzLwWeOwAAADkA&#10;AAAQAAAAAAAAAAEAIAAAAAUBAABkcnMvc2hhcGV4bWwueG1sUEsFBgAAAAAGAAYAWwEAAK8DAAAA&#10;AA==&#10;">
                        <v:fill on="f" focussize="0,0"/>
                        <v:stroke on="f"/>
                        <v:imagedata r:id="rId122" o:title=""/>
                        <o:lock v:ext="edit" aspectratio="t"/>
                      </v:shape>
                      <v:rect id="矩形 8" o:spid="_x0000_s1026" o:spt="1" style="position:absolute;left:11750;top:24345;height:402;width:741;" fillcolor="#4F81BC" filled="t" stroked="f" coordsize="21600,21600" o:gfxdata="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FziDwvQAA&#10;ANsAAAAPAAAAAAAAAAEAIAAAACIAAABkcnMvZG93bnJldi54bWxQSwECFAAUAAAACACHTuJAMy8F&#10;njsAAAA5AAAAEAAAAAAAAAABACAAAAAMAQAAZHJzL3NoYXBleG1sLnhtbFBLBQYAAAAABgAGAFsB&#10;AAC2AwAAAAA=&#10;">
                        <v:fill on="t" focussize="0,0"/>
                        <v:stroke on="f"/>
                        <v:imagedata o:title=""/>
                        <o:lock v:ext="edit" aspectratio="f"/>
                      </v:rect>
                      <v:line id="直线 9" o:spid="_x0000_s1026" o:spt="20" style="position:absolute;left:11413;top:24420;flip:x;height:192;width:276;" filled="f" stroked="t" coordsize="21600,21600" o:gfxdata="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ySf+L4A&#10;AADbAAAADwAAAAAAAAABACAAAAAiAAAAZHJzL2Rvd25yZXYueG1sUEsBAhQAFAAAAAgAh07iQDMv&#10;BZ47AAAAOQAAABAAAAAAAAAAAQAgAAAADQEAAGRycy9zaGFwZXhtbC54bWxQSwUGAAAAAAYABgBb&#10;AQAAtwMAAAAA&#10;">
                        <v:fill on="f" focussize="0,0"/>
                        <v:stroke weight="1.42897637795276pt" color="#385D89" joinstyle="round"/>
                        <v:imagedata o:title=""/>
                        <o:lock v:ext="edit" aspectratio="f"/>
                      </v:line>
                    </v:group>
                  </w:pict>
                </mc:Fallback>
              </mc:AlternateContent>
            </w:r>
            <w:r>
              <w:rPr>
                <w:color w:val="auto"/>
                <w:highlight w:val="none"/>
                <w:lang w:val="zh-CN" w:eastAsia="zh-CN"/>
              </w:rPr>
              <w:t>7</w:t>
            </w:r>
          </w:p>
        </w:tc>
        <w:tc>
          <w:tcPr>
            <w:tcW w:w="484" w:type="dxa"/>
            <w:vMerge w:val="restart"/>
            <w:vAlign w:val="center"/>
          </w:tcPr>
          <w:p>
            <w:pPr>
              <w:pStyle w:val="12"/>
              <w:bidi w:val="0"/>
              <w:rPr>
                <w:color w:val="auto"/>
                <w:highlight w:val="none"/>
                <w:lang w:val="zh-CN" w:eastAsia="zh-CN"/>
              </w:rPr>
            </w:pPr>
            <w:r>
              <w:rPr>
                <w:color w:val="auto"/>
                <w:highlight w:val="none"/>
                <w:lang w:val="zh-CN" w:eastAsia="zh-CN"/>
              </w:rPr>
              <w:t>现场过程</w:t>
            </w:r>
          </w:p>
          <w:p>
            <w:pPr>
              <w:pStyle w:val="12"/>
              <w:bidi w:val="0"/>
              <w:rPr>
                <w:color w:val="auto"/>
                <w:highlight w:val="none"/>
                <w:lang w:val="zh-CN" w:eastAsia="zh-CN"/>
              </w:rPr>
            </w:pPr>
            <w:r>
              <w:rPr>
                <w:color w:val="auto"/>
                <w:highlight w:val="none"/>
                <w:lang w:val="zh-CN" w:eastAsia="zh-CN"/>
              </w:rPr>
              <w:t>保护</w:t>
            </w:r>
          </w:p>
        </w:tc>
        <w:tc>
          <w:tcPr>
            <w:tcW w:w="570" w:type="dxa"/>
            <w:vMerge w:val="restart"/>
            <w:vAlign w:val="center"/>
          </w:tcPr>
          <w:p>
            <w:pPr>
              <w:pStyle w:val="12"/>
              <w:bidi w:val="0"/>
              <w:rPr>
                <w:color w:val="auto"/>
                <w:highlight w:val="none"/>
                <w:lang w:val="zh-CN" w:eastAsia="zh-CN"/>
              </w:rPr>
            </w:pPr>
            <w:r>
              <w:rPr>
                <w:color w:val="auto"/>
                <w:highlight w:val="none"/>
                <w:lang w:val="zh-CN" w:eastAsia="zh-CN"/>
              </w:rPr>
              <w:t>窗户</w:t>
            </w:r>
          </w:p>
          <w:p>
            <w:pPr>
              <w:pStyle w:val="12"/>
              <w:bidi w:val="0"/>
              <w:rPr>
                <w:color w:val="auto"/>
                <w:highlight w:val="none"/>
                <w:lang w:val="zh-CN" w:eastAsia="zh-CN"/>
              </w:rPr>
            </w:pPr>
            <w:r>
              <w:rPr>
                <w:color w:val="auto"/>
                <w:highlight w:val="none"/>
                <w:lang w:val="zh-CN" w:eastAsia="zh-CN"/>
              </w:rPr>
              <w:t>保护</w:t>
            </w:r>
          </w:p>
          <w:p>
            <w:pPr>
              <w:pStyle w:val="12"/>
              <w:bidi w:val="0"/>
              <w:rPr>
                <w:color w:val="auto"/>
                <w:highlight w:val="none"/>
                <w:lang w:val="zh-CN" w:eastAsia="zh-CN"/>
              </w:rPr>
            </w:pPr>
            <w:r>
              <w:rPr>
                <w:color w:val="auto"/>
                <w:highlight w:val="none"/>
                <w:lang w:val="zh-CN" w:eastAsia="zh-CN"/>
              </w:rPr>
              <w:t>图示</w:t>
            </w:r>
          </w:p>
          <w:p>
            <w:pPr>
              <w:pStyle w:val="12"/>
              <w:bidi w:val="0"/>
              <w:rPr>
                <w:color w:val="auto"/>
                <w:highlight w:val="none"/>
                <w:lang w:val="zh-CN" w:eastAsia="zh-CN"/>
              </w:rPr>
            </w:pPr>
            <w:r>
              <w:rPr>
                <w:color w:val="auto"/>
                <w:highlight w:val="none"/>
                <w:lang w:val="zh-CN" w:eastAsia="zh-CN"/>
              </w:rPr>
              <w:t>整体</w:t>
            </w:r>
          </w:p>
          <w:p>
            <w:pPr>
              <w:pStyle w:val="12"/>
              <w:bidi w:val="0"/>
              <w:rPr>
                <w:color w:val="auto"/>
                <w:highlight w:val="none"/>
                <w:lang w:val="zh-CN" w:eastAsia="zh-CN"/>
              </w:rPr>
            </w:pPr>
            <w:r>
              <w:rPr>
                <w:color w:val="auto"/>
                <w:highlight w:val="none"/>
                <w:lang w:val="zh-CN" w:eastAsia="zh-CN"/>
              </w:rPr>
              <w:t>做法</w:t>
            </w:r>
          </w:p>
        </w:tc>
        <w:tc>
          <w:tcPr>
            <w:tcW w:w="2447" w:type="dxa"/>
            <w:vMerge w:val="restart"/>
            <w:vAlign w:val="center"/>
          </w:tcPr>
          <w:p>
            <w:pPr>
              <w:pStyle w:val="12"/>
              <w:bidi w:val="0"/>
              <w:rPr>
                <w:color w:val="auto"/>
                <w:highlight w:val="none"/>
                <w:lang w:val="zh-CN" w:eastAsia="zh-CN"/>
              </w:rPr>
            </w:pPr>
          </w:p>
        </w:tc>
        <w:tc>
          <w:tcPr>
            <w:tcW w:w="4200" w:type="dxa"/>
            <w:vAlign w:val="center"/>
          </w:tcPr>
          <w:p>
            <w:pPr>
              <w:pStyle w:val="12"/>
              <w:bidi w:val="0"/>
              <w:rPr>
                <w:color w:val="auto"/>
                <w:highlight w:val="none"/>
                <w:lang w:val="zh-CN" w:eastAsia="zh-CN"/>
              </w:rPr>
            </w:pPr>
          </w:p>
          <w:p>
            <w:pPr>
              <w:pStyle w:val="12"/>
              <w:bidi w:val="0"/>
              <w:rPr>
                <w:color w:val="auto"/>
                <w:highlight w:val="none"/>
                <w:lang w:val="zh-CN" w:eastAsia="zh-CN"/>
              </w:rPr>
            </w:pPr>
            <w:r>
              <w:rPr>
                <w:color w:val="auto"/>
                <w:highlight w:val="none"/>
                <w:lang w:val="zh-CN" w:eastAsia="zh-CN"/>
              </w:rPr>
              <w:drawing>
                <wp:inline distT="0" distB="0" distL="0" distR="0">
                  <wp:extent cx="2482215" cy="1905000"/>
                  <wp:effectExtent l="0" t="0" r="3810" b="0"/>
                  <wp:docPr id="227" name="image1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image118.png"/>
                          <pic:cNvPicPr>
                            <a:picLocks noChangeAspect="1"/>
                          </pic:cNvPicPr>
                        </pic:nvPicPr>
                        <pic:blipFill>
                          <a:blip r:embed="rId123" cstate="print"/>
                          <a:stretch>
                            <a:fillRect/>
                          </a:stretch>
                        </pic:blipFill>
                        <pic:spPr>
                          <a:xfrm>
                            <a:off x="0" y="0"/>
                            <a:ext cx="2489393" cy="1910350"/>
                          </a:xfrm>
                          <a:prstGeom prst="rect">
                            <a:avLst/>
                          </a:prstGeom>
                        </pic:spPr>
                      </pic:pic>
                    </a:graphicData>
                  </a:graphic>
                </wp:inline>
              </w:drawing>
            </w:r>
          </w:p>
        </w:tc>
        <w:tc>
          <w:tcPr>
            <w:tcW w:w="4414" w:type="dxa"/>
            <w:vMerge w:val="restart"/>
            <w:vAlign w:val="center"/>
          </w:tcPr>
          <w:p>
            <w:pPr>
              <w:pStyle w:val="12"/>
              <w:bidi w:val="0"/>
              <w:rPr>
                <w:color w:val="auto"/>
                <w:highlight w:val="none"/>
                <w:lang w:val="zh-CN" w:eastAsia="zh-CN"/>
              </w:rPr>
            </w:pPr>
          </w:p>
        </w:tc>
        <w:tc>
          <w:tcPr>
            <w:tcW w:w="795" w:type="dxa"/>
            <w:vMerge w:val="restart"/>
            <w:vAlign w:val="center"/>
          </w:tcPr>
          <w:p>
            <w:pPr>
              <w:pStyle w:val="12"/>
              <w:bidi w:val="0"/>
              <w:rPr>
                <w:color w:val="auto"/>
                <w:highlight w:val="none"/>
                <w:lang w:val="zh-CN" w:eastAsia="zh-CN"/>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90" w:hRule="atLeast"/>
        </w:trPr>
        <w:tc>
          <w:tcPr>
            <w:tcW w:w="430" w:type="dxa"/>
            <w:vMerge w:val="continue"/>
            <w:vAlign w:val="center"/>
          </w:tcPr>
          <w:p>
            <w:pPr>
              <w:pStyle w:val="12"/>
              <w:bidi w:val="0"/>
              <w:rPr>
                <w:color w:val="auto"/>
                <w:highlight w:val="none"/>
                <w:lang w:val="zh-CN" w:eastAsia="zh-CN"/>
              </w:rPr>
            </w:pPr>
          </w:p>
        </w:tc>
        <w:tc>
          <w:tcPr>
            <w:tcW w:w="484" w:type="dxa"/>
            <w:vMerge w:val="continue"/>
            <w:vAlign w:val="center"/>
          </w:tcPr>
          <w:p>
            <w:pPr>
              <w:pStyle w:val="12"/>
              <w:bidi w:val="0"/>
              <w:rPr>
                <w:color w:val="auto"/>
                <w:highlight w:val="none"/>
                <w:lang w:val="zh-CN" w:eastAsia="zh-CN"/>
              </w:rPr>
            </w:pPr>
          </w:p>
        </w:tc>
        <w:tc>
          <w:tcPr>
            <w:tcW w:w="570" w:type="dxa"/>
            <w:vMerge w:val="continue"/>
            <w:vAlign w:val="center"/>
          </w:tcPr>
          <w:p>
            <w:pPr>
              <w:pStyle w:val="12"/>
              <w:bidi w:val="0"/>
              <w:rPr>
                <w:color w:val="auto"/>
                <w:highlight w:val="none"/>
                <w:lang w:val="zh-CN" w:eastAsia="zh-CN"/>
              </w:rPr>
            </w:pPr>
          </w:p>
        </w:tc>
        <w:tc>
          <w:tcPr>
            <w:tcW w:w="2447" w:type="dxa"/>
            <w:vMerge w:val="continue"/>
            <w:tcBorders>
              <w:top w:val="nil"/>
            </w:tcBorders>
            <w:vAlign w:val="center"/>
          </w:tcPr>
          <w:p>
            <w:pPr>
              <w:pStyle w:val="12"/>
              <w:bidi w:val="0"/>
              <w:rPr>
                <w:color w:val="auto"/>
                <w:highlight w:val="none"/>
                <w:lang w:val="zh-CN" w:eastAsia="zh-CN"/>
              </w:rPr>
            </w:pPr>
          </w:p>
        </w:tc>
        <w:tc>
          <w:tcPr>
            <w:tcW w:w="4200" w:type="dxa"/>
            <w:vAlign w:val="center"/>
          </w:tcPr>
          <w:p>
            <w:pPr>
              <w:pStyle w:val="12"/>
              <w:bidi w:val="0"/>
              <w:rPr>
                <w:color w:val="auto"/>
                <w:highlight w:val="none"/>
                <w:lang w:val="zh-CN" w:eastAsia="zh-CN"/>
              </w:rPr>
            </w:pPr>
            <w:r>
              <w:rPr>
                <w:rFonts w:hint="eastAsia"/>
                <w:color w:val="auto"/>
                <w:highlight w:val="none"/>
                <w:lang w:val="zh-CN" w:eastAsia="zh-CN"/>
              </w:rPr>
              <w:t>门窗玻璃、开启扇安装完成后糯米胶粘保护膜做法大样图</w:t>
            </w:r>
          </w:p>
        </w:tc>
        <w:tc>
          <w:tcPr>
            <w:tcW w:w="4414" w:type="dxa"/>
            <w:vMerge w:val="continue"/>
            <w:tcBorders>
              <w:top w:val="nil"/>
            </w:tcBorders>
            <w:vAlign w:val="center"/>
          </w:tcPr>
          <w:p>
            <w:pPr>
              <w:pStyle w:val="12"/>
              <w:bidi w:val="0"/>
              <w:rPr>
                <w:color w:val="auto"/>
                <w:highlight w:val="none"/>
                <w:lang w:val="zh-CN" w:eastAsia="zh-CN"/>
              </w:rPr>
            </w:pPr>
          </w:p>
        </w:tc>
        <w:tc>
          <w:tcPr>
            <w:tcW w:w="795" w:type="dxa"/>
            <w:vMerge w:val="continue"/>
            <w:tcBorders>
              <w:top w:val="nil"/>
            </w:tcBorders>
            <w:vAlign w:val="center"/>
          </w:tcPr>
          <w:p>
            <w:pPr>
              <w:pStyle w:val="12"/>
              <w:bidi w:val="0"/>
              <w:rPr>
                <w:color w:val="auto"/>
                <w:highlight w:val="none"/>
                <w:lang w:val="zh-CN" w:eastAsia="zh-CN"/>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90" w:hRule="atLeast"/>
        </w:trPr>
        <w:tc>
          <w:tcPr>
            <w:tcW w:w="430" w:type="dxa"/>
            <w:vMerge w:val="continue"/>
            <w:vAlign w:val="center"/>
          </w:tcPr>
          <w:p>
            <w:pPr>
              <w:pStyle w:val="12"/>
              <w:bidi w:val="0"/>
              <w:rPr>
                <w:color w:val="auto"/>
                <w:highlight w:val="none"/>
                <w:lang w:val="zh-CN" w:eastAsia="zh-CN"/>
              </w:rPr>
            </w:pPr>
          </w:p>
        </w:tc>
        <w:tc>
          <w:tcPr>
            <w:tcW w:w="484" w:type="dxa"/>
            <w:vMerge w:val="continue"/>
            <w:vAlign w:val="center"/>
          </w:tcPr>
          <w:p>
            <w:pPr>
              <w:pStyle w:val="12"/>
              <w:bidi w:val="0"/>
              <w:rPr>
                <w:color w:val="auto"/>
                <w:highlight w:val="none"/>
                <w:lang w:val="zh-CN" w:eastAsia="zh-CN"/>
              </w:rPr>
            </w:pPr>
          </w:p>
        </w:tc>
        <w:tc>
          <w:tcPr>
            <w:tcW w:w="570" w:type="dxa"/>
            <w:vMerge w:val="restart"/>
            <w:vAlign w:val="center"/>
          </w:tcPr>
          <w:p>
            <w:pPr>
              <w:pStyle w:val="12"/>
              <w:bidi w:val="0"/>
              <w:rPr>
                <w:color w:val="auto"/>
                <w:highlight w:val="none"/>
                <w:lang w:val="zh-CN" w:eastAsia="zh-CN"/>
              </w:rPr>
            </w:pPr>
            <w:r>
              <w:rPr>
                <w:color w:val="auto"/>
                <w:highlight w:val="none"/>
                <w:lang w:val="zh-CN" w:eastAsia="zh-CN"/>
              </w:rPr>
              <w:t>窗户</w:t>
            </w:r>
          </w:p>
          <w:p>
            <w:pPr>
              <w:pStyle w:val="12"/>
              <w:bidi w:val="0"/>
              <w:rPr>
                <w:color w:val="auto"/>
                <w:highlight w:val="none"/>
                <w:lang w:val="zh-CN" w:eastAsia="zh-CN"/>
              </w:rPr>
            </w:pPr>
            <w:r>
              <w:rPr>
                <w:color w:val="auto"/>
                <w:highlight w:val="none"/>
                <w:lang w:val="zh-CN" w:eastAsia="zh-CN"/>
              </w:rPr>
              <w:t>保护</w:t>
            </w:r>
          </w:p>
          <w:p>
            <w:pPr>
              <w:pStyle w:val="12"/>
              <w:bidi w:val="0"/>
              <w:rPr>
                <w:color w:val="auto"/>
                <w:highlight w:val="none"/>
                <w:lang w:val="zh-CN" w:eastAsia="zh-CN"/>
              </w:rPr>
            </w:pPr>
            <w:r>
              <w:rPr>
                <w:color w:val="auto"/>
                <w:highlight w:val="none"/>
                <w:lang w:val="zh-CN" w:eastAsia="zh-CN"/>
              </w:rPr>
              <w:t>图示</w:t>
            </w:r>
          </w:p>
          <w:p>
            <w:pPr>
              <w:pStyle w:val="12"/>
              <w:bidi w:val="0"/>
              <w:rPr>
                <w:color w:val="auto"/>
                <w:highlight w:val="none"/>
                <w:lang w:val="zh-CN" w:eastAsia="zh-CN"/>
              </w:rPr>
            </w:pPr>
            <w:r>
              <w:rPr>
                <w:color w:val="auto"/>
                <w:highlight w:val="none"/>
                <w:lang w:val="zh-CN" w:eastAsia="zh-CN"/>
              </w:rPr>
              <w:t>细节</w:t>
            </w:r>
          </w:p>
          <w:p>
            <w:pPr>
              <w:pStyle w:val="12"/>
              <w:bidi w:val="0"/>
              <w:rPr>
                <w:color w:val="auto"/>
                <w:highlight w:val="none"/>
                <w:lang w:val="zh-CN" w:eastAsia="zh-CN"/>
              </w:rPr>
            </w:pPr>
            <w:r>
              <w:rPr>
                <w:color w:val="auto"/>
                <w:highlight w:val="none"/>
                <w:lang w:val="zh-CN" w:eastAsia="zh-CN"/>
              </w:rPr>
              <w:t>做法</w:t>
            </w:r>
          </w:p>
        </w:tc>
        <w:tc>
          <w:tcPr>
            <w:tcW w:w="2447" w:type="dxa"/>
            <w:vMerge w:val="restart"/>
            <w:vAlign w:val="center"/>
          </w:tcPr>
          <w:p>
            <w:pPr>
              <w:pStyle w:val="12"/>
              <w:bidi w:val="0"/>
              <w:rPr>
                <w:color w:val="auto"/>
                <w:highlight w:val="none"/>
                <w:lang w:val="zh-CN" w:eastAsia="zh-CN"/>
              </w:rPr>
            </w:pPr>
            <w:r>
              <w:rPr>
                <w:color w:val="auto"/>
                <w:highlight w:val="none"/>
                <w:lang w:val="zh-CN" w:eastAsia="zh-CN"/>
              </w:rPr>
              <w:t>毛坯交房和精装交房糯米胶贴 膜，边部做法不同</w:t>
            </w:r>
          </w:p>
        </w:tc>
        <w:tc>
          <w:tcPr>
            <w:tcW w:w="4200" w:type="dxa"/>
            <w:vAlign w:val="center"/>
          </w:tcPr>
          <w:p>
            <w:pPr>
              <w:pStyle w:val="12"/>
              <w:bidi w:val="0"/>
              <w:rPr>
                <w:color w:val="auto"/>
                <w:highlight w:val="none"/>
                <w:lang w:val="zh-CN" w:eastAsia="zh-CN"/>
              </w:rPr>
            </w:pPr>
          </w:p>
          <w:p>
            <w:pPr>
              <w:pStyle w:val="12"/>
              <w:bidi w:val="0"/>
              <w:rPr>
                <w:color w:val="auto"/>
                <w:highlight w:val="none"/>
                <w:lang w:val="zh-CN" w:eastAsia="zh-CN"/>
              </w:rPr>
            </w:pPr>
            <w:r>
              <w:rPr>
                <w:color w:val="auto"/>
                <w:highlight w:val="none"/>
                <w:lang w:val="zh-CN" w:eastAsia="zh-CN"/>
              </w:rPr>
              <w:drawing>
                <wp:inline distT="0" distB="0" distL="0" distR="0">
                  <wp:extent cx="2379980" cy="1905000"/>
                  <wp:effectExtent l="0" t="0" r="1270" b="0"/>
                  <wp:docPr id="229" name="image1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image119.png"/>
                          <pic:cNvPicPr>
                            <a:picLocks noChangeAspect="1"/>
                          </pic:cNvPicPr>
                        </pic:nvPicPr>
                        <pic:blipFill>
                          <a:blip r:embed="rId124" cstate="print"/>
                          <a:stretch>
                            <a:fillRect/>
                          </a:stretch>
                        </pic:blipFill>
                        <pic:spPr>
                          <a:xfrm>
                            <a:off x="0" y="0"/>
                            <a:ext cx="2389732" cy="1912636"/>
                          </a:xfrm>
                          <a:prstGeom prst="rect">
                            <a:avLst/>
                          </a:prstGeom>
                        </pic:spPr>
                      </pic:pic>
                    </a:graphicData>
                  </a:graphic>
                </wp:inline>
              </w:drawing>
            </w:r>
          </w:p>
        </w:tc>
        <w:tc>
          <w:tcPr>
            <w:tcW w:w="4414" w:type="dxa"/>
            <w:vAlign w:val="center"/>
          </w:tcPr>
          <w:p>
            <w:pPr>
              <w:pStyle w:val="12"/>
              <w:bidi w:val="0"/>
              <w:rPr>
                <w:color w:val="auto"/>
                <w:highlight w:val="none"/>
                <w:lang w:val="zh-CN" w:eastAsia="zh-CN"/>
              </w:rPr>
            </w:pPr>
          </w:p>
          <w:p>
            <w:pPr>
              <w:pStyle w:val="12"/>
              <w:bidi w:val="0"/>
              <w:rPr>
                <w:color w:val="auto"/>
                <w:highlight w:val="none"/>
                <w:lang w:val="zh-CN" w:eastAsia="zh-CN"/>
              </w:rPr>
            </w:pPr>
            <w:r>
              <w:rPr>
                <w:color w:val="auto"/>
                <w:highlight w:val="none"/>
                <w:lang w:val="zh-CN" w:eastAsia="zh-CN"/>
              </w:rPr>
              <w:drawing>
                <wp:inline distT="0" distB="0" distL="0" distR="0">
                  <wp:extent cx="2592705" cy="2076450"/>
                  <wp:effectExtent l="0" t="0" r="7620" b="0"/>
                  <wp:docPr id="231" name="image1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image120.png"/>
                          <pic:cNvPicPr>
                            <a:picLocks noChangeAspect="1"/>
                          </pic:cNvPicPr>
                        </pic:nvPicPr>
                        <pic:blipFill>
                          <a:blip r:embed="rId125" cstate="print"/>
                          <a:stretch>
                            <a:fillRect/>
                          </a:stretch>
                        </pic:blipFill>
                        <pic:spPr>
                          <a:xfrm>
                            <a:off x="0" y="0"/>
                            <a:ext cx="2598478" cy="2080981"/>
                          </a:xfrm>
                          <a:prstGeom prst="rect">
                            <a:avLst/>
                          </a:prstGeom>
                        </pic:spPr>
                      </pic:pic>
                    </a:graphicData>
                  </a:graphic>
                </wp:inline>
              </w:drawing>
            </w:r>
          </w:p>
        </w:tc>
        <w:tc>
          <w:tcPr>
            <w:tcW w:w="795" w:type="dxa"/>
            <w:vMerge w:val="restart"/>
            <w:vAlign w:val="center"/>
          </w:tcPr>
          <w:p>
            <w:pPr>
              <w:pStyle w:val="12"/>
              <w:bidi w:val="0"/>
              <w:rPr>
                <w:color w:val="auto"/>
                <w:highlight w:val="none"/>
                <w:lang w:val="zh-CN" w:eastAsia="zh-CN"/>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90" w:hRule="atLeast"/>
        </w:trPr>
        <w:tc>
          <w:tcPr>
            <w:tcW w:w="430" w:type="dxa"/>
            <w:vMerge w:val="continue"/>
            <w:vAlign w:val="center"/>
          </w:tcPr>
          <w:p>
            <w:pPr>
              <w:pStyle w:val="12"/>
              <w:bidi w:val="0"/>
              <w:rPr>
                <w:color w:val="auto"/>
                <w:highlight w:val="none"/>
                <w:lang w:val="zh-CN" w:eastAsia="zh-CN"/>
              </w:rPr>
            </w:pPr>
          </w:p>
        </w:tc>
        <w:tc>
          <w:tcPr>
            <w:tcW w:w="484" w:type="dxa"/>
            <w:vMerge w:val="continue"/>
            <w:vAlign w:val="center"/>
          </w:tcPr>
          <w:p>
            <w:pPr>
              <w:pStyle w:val="12"/>
              <w:bidi w:val="0"/>
              <w:rPr>
                <w:color w:val="auto"/>
                <w:highlight w:val="none"/>
                <w:lang w:val="zh-CN" w:eastAsia="zh-CN"/>
              </w:rPr>
            </w:pPr>
          </w:p>
        </w:tc>
        <w:tc>
          <w:tcPr>
            <w:tcW w:w="570" w:type="dxa"/>
            <w:vMerge w:val="continue"/>
            <w:vAlign w:val="center"/>
          </w:tcPr>
          <w:p>
            <w:pPr>
              <w:pStyle w:val="12"/>
              <w:bidi w:val="0"/>
              <w:rPr>
                <w:color w:val="auto"/>
                <w:highlight w:val="none"/>
                <w:lang w:val="zh-CN" w:eastAsia="zh-CN"/>
              </w:rPr>
            </w:pPr>
          </w:p>
        </w:tc>
        <w:tc>
          <w:tcPr>
            <w:tcW w:w="2447" w:type="dxa"/>
            <w:vMerge w:val="continue"/>
            <w:tcBorders>
              <w:top w:val="nil"/>
            </w:tcBorders>
            <w:vAlign w:val="center"/>
          </w:tcPr>
          <w:p>
            <w:pPr>
              <w:pStyle w:val="12"/>
              <w:bidi w:val="0"/>
              <w:rPr>
                <w:color w:val="auto"/>
                <w:highlight w:val="none"/>
                <w:lang w:val="zh-CN" w:eastAsia="zh-CN"/>
              </w:rPr>
            </w:pPr>
          </w:p>
        </w:tc>
        <w:tc>
          <w:tcPr>
            <w:tcW w:w="4200" w:type="dxa"/>
            <w:vAlign w:val="center"/>
          </w:tcPr>
          <w:p>
            <w:pPr>
              <w:pStyle w:val="12"/>
              <w:bidi w:val="0"/>
              <w:rPr>
                <w:color w:val="auto"/>
                <w:highlight w:val="none"/>
                <w:lang w:val="zh-CN" w:eastAsia="zh-CN"/>
              </w:rPr>
            </w:pPr>
            <w:r>
              <w:rPr>
                <w:rFonts w:hint="eastAsia"/>
                <w:color w:val="auto"/>
                <w:highlight w:val="none"/>
                <w:lang w:val="zh-CN" w:eastAsia="zh-CN"/>
              </w:rPr>
              <w:t>门窗玻璃、开启扇安装完成后糯米胶粘保护膜做法</w:t>
            </w:r>
          </w:p>
        </w:tc>
        <w:tc>
          <w:tcPr>
            <w:tcW w:w="4414" w:type="dxa"/>
            <w:vAlign w:val="center"/>
          </w:tcPr>
          <w:p>
            <w:pPr>
              <w:pStyle w:val="12"/>
              <w:bidi w:val="0"/>
              <w:rPr>
                <w:color w:val="auto"/>
                <w:highlight w:val="none"/>
                <w:lang w:val="zh-CN" w:eastAsia="zh-CN"/>
              </w:rPr>
            </w:pPr>
            <w:r>
              <w:rPr>
                <w:rFonts w:hint="eastAsia"/>
                <w:color w:val="auto"/>
                <w:highlight w:val="none"/>
                <w:lang w:val="zh-CN" w:eastAsia="zh-CN"/>
              </w:rPr>
              <w:t>门窗玻璃、开启扇安装完成后糯米胶粘保护膜做法细</w:t>
            </w:r>
          </w:p>
        </w:tc>
        <w:tc>
          <w:tcPr>
            <w:tcW w:w="795" w:type="dxa"/>
            <w:vMerge w:val="continue"/>
            <w:tcBorders>
              <w:top w:val="nil"/>
            </w:tcBorders>
            <w:vAlign w:val="center"/>
          </w:tcPr>
          <w:p>
            <w:pPr>
              <w:pStyle w:val="12"/>
              <w:bidi w:val="0"/>
              <w:rPr>
                <w:color w:val="auto"/>
                <w:highlight w:val="none"/>
                <w:lang w:val="zh-CN" w:eastAsia="zh-CN"/>
              </w:rPr>
            </w:pPr>
          </w:p>
        </w:tc>
      </w:tr>
    </w:tbl>
    <w:p>
      <w:pPr>
        <w:numPr>
          <w:ilvl w:val="0"/>
          <w:numId w:val="0"/>
        </w:numPr>
        <w:spacing w:before="120" w:beforeLines="50" w:after="120" w:afterLines="50"/>
        <w:ind w:left="851" w:firstLine="0"/>
        <w:rPr>
          <w:rFonts w:hint="eastAsia" w:eastAsia="宋体" w:cs="Arial"/>
          <w:color w:val="auto"/>
          <w:highlight w:val="none"/>
          <w:lang w:eastAsia="zh-CN"/>
        </w:rPr>
        <w:sectPr>
          <w:headerReference r:id="rId4" w:type="default"/>
          <w:footerReference r:id="rId5" w:type="default"/>
          <w:endnotePr>
            <w:numFmt w:val="decimal"/>
          </w:endnotePr>
          <w:pgSz w:w="16838" w:h="11905" w:orient="landscape"/>
          <w:pgMar w:top="1446" w:right="1429" w:bottom="1378" w:left="1310" w:header="0" w:footer="1145" w:gutter="0"/>
          <w:pgNumType w:fmt="decimal"/>
          <w:cols w:space="0" w:num="1"/>
          <w:rtlGutter w:val="0"/>
          <w:docGrid w:linePitch="326" w:charSpace="0"/>
        </w:sectPr>
      </w:pPr>
    </w:p>
    <w:p>
      <w:pPr>
        <w:pStyle w:val="4"/>
        <w:bidi w:val="0"/>
        <w:rPr>
          <w:color w:val="auto"/>
          <w:highlight w:val="none"/>
          <w:lang w:eastAsia="zh-CN"/>
        </w:rPr>
      </w:pPr>
      <w:bookmarkStart w:id="290" w:name="_Toc169722212"/>
      <w:r>
        <w:rPr>
          <w:rFonts w:hint="eastAsia"/>
          <w:color w:val="auto"/>
          <w:highlight w:val="none"/>
          <w:lang w:eastAsia="zh-CN"/>
        </w:rPr>
        <w:t>质量过程检查</w:t>
      </w:r>
    </w:p>
    <w:p>
      <w:pPr>
        <w:bidi w:val="0"/>
        <w:rPr>
          <w:rFonts w:hint="eastAsia"/>
          <w:color w:val="auto"/>
          <w:highlight w:val="none"/>
          <w:lang w:eastAsia="zh-CN"/>
        </w:rPr>
      </w:pPr>
      <w:r>
        <w:rPr>
          <w:rFonts w:hint="eastAsia"/>
          <w:color w:val="auto"/>
          <w:highlight w:val="none"/>
          <w:lang w:eastAsia="zh-CN"/>
        </w:rPr>
        <w:t>发包人将根据不同施工阶段进行土建过程检查、精装过程检查、交付预检等专项检查，检查标准</w:t>
      </w:r>
      <w:r>
        <w:rPr>
          <w:rFonts w:hint="eastAsia"/>
          <w:color w:val="auto"/>
          <w:highlight w:val="none"/>
          <w:lang w:val="en-US" w:eastAsia="zh-CN"/>
        </w:rPr>
        <w:t>参见附件</w:t>
      </w:r>
      <w:r>
        <w:rPr>
          <w:rFonts w:hint="eastAsia"/>
          <w:b/>
          <w:bCs/>
          <w:color w:val="auto"/>
          <w:highlight w:val="none"/>
          <w:lang w:val="en-US" w:eastAsia="zh-CN"/>
        </w:rPr>
        <w:t>《【附件B-3】质量过程检查标准》</w:t>
      </w:r>
      <w:r>
        <w:rPr>
          <w:rFonts w:hint="eastAsia"/>
          <w:color w:val="auto"/>
          <w:highlight w:val="none"/>
          <w:lang w:eastAsia="zh-CN"/>
        </w:rPr>
        <w:t>，对施工单位、监理进行季度检查。</w:t>
      </w:r>
    </w:p>
    <w:p>
      <w:pPr>
        <w:bidi w:val="0"/>
        <w:rPr>
          <w:color w:val="auto"/>
          <w:highlight w:val="none"/>
        </w:rPr>
      </w:pPr>
      <w:r>
        <w:rPr>
          <w:rFonts w:hint="eastAsia"/>
          <w:color w:val="auto"/>
          <w:highlight w:val="none"/>
          <w:lang w:val="en-US" w:eastAsia="zh-CN"/>
        </w:rPr>
        <w:t>本技术要求</w:t>
      </w:r>
      <w:r>
        <w:rPr>
          <w:rFonts w:hint="default"/>
          <w:color w:val="auto"/>
          <w:highlight w:val="none"/>
          <w:lang w:val="en-US" w:eastAsia="zh-CN"/>
        </w:rPr>
        <w:t>所述的</w:t>
      </w:r>
      <w:r>
        <w:rPr>
          <w:rFonts w:hint="eastAsia"/>
          <w:color w:val="auto"/>
          <w:highlight w:val="none"/>
          <w:lang w:val="en-US" w:eastAsia="zh-CN"/>
        </w:rPr>
        <w:t>质量检查内容及</w:t>
      </w:r>
      <w:r>
        <w:rPr>
          <w:rFonts w:hint="eastAsia"/>
          <w:b/>
          <w:bCs/>
          <w:color w:val="auto"/>
          <w:highlight w:val="none"/>
          <w:lang w:val="en-US" w:eastAsia="zh-CN"/>
        </w:rPr>
        <w:t>《【附件B-3】质量过程检查标准》</w:t>
      </w:r>
      <w:r>
        <w:rPr>
          <w:rFonts w:hint="eastAsia"/>
          <w:color w:val="auto"/>
          <w:highlight w:val="none"/>
          <w:lang w:val="en-US" w:eastAsia="zh-CN"/>
        </w:rPr>
        <w:t>中介绍的检查内容不排除存在更新、调整的可能，</w:t>
      </w:r>
      <w:r>
        <w:rPr>
          <w:rFonts w:hint="eastAsia"/>
          <w:color w:val="auto"/>
          <w:highlight w:val="none"/>
          <w:lang w:eastAsia="zh-CN"/>
        </w:rPr>
        <w:t>检查标准及规则发包人有权根据当季度实际情况进行调整修改。</w:t>
      </w:r>
      <w:r>
        <w:rPr>
          <w:rFonts w:hint="eastAsia"/>
          <w:color w:val="auto"/>
          <w:highlight w:val="none"/>
          <w:lang w:val="en-US" w:eastAsia="zh-CN"/>
        </w:rPr>
        <w:t>发包人将在检查启动前对总承包人进行文件宣贯交底，总承包人应按照最新检查文件执行</w:t>
      </w:r>
      <w:r>
        <w:rPr>
          <w:rFonts w:hint="default"/>
          <w:color w:val="auto"/>
          <w:highlight w:val="none"/>
          <w:lang w:val="en-US" w:eastAsia="zh-CN"/>
        </w:rPr>
        <w:t>；</w:t>
      </w:r>
    </w:p>
    <w:p>
      <w:pPr>
        <w:pStyle w:val="3"/>
        <w:bidi w:val="0"/>
        <w:rPr>
          <w:color w:val="auto"/>
          <w:highlight w:val="none"/>
        </w:rPr>
      </w:pPr>
      <w:bookmarkStart w:id="291" w:name="_Toc31536"/>
      <w:bookmarkStart w:id="292" w:name="_Toc32688"/>
      <w:bookmarkStart w:id="293" w:name="_Toc2700"/>
      <w:bookmarkStart w:id="294" w:name="_Toc31549"/>
      <w:bookmarkStart w:id="295" w:name="_Toc17344"/>
      <w:bookmarkStart w:id="296" w:name="_Toc8765"/>
      <w:bookmarkStart w:id="297" w:name="_Toc10875"/>
      <w:bookmarkStart w:id="298" w:name="_Toc21495"/>
      <w:bookmarkStart w:id="299" w:name="_Toc28931"/>
      <w:bookmarkStart w:id="300" w:name="_Toc1984"/>
      <w:bookmarkStart w:id="301" w:name="_Toc17428"/>
      <w:r>
        <w:rPr>
          <w:color w:val="auto"/>
          <w:highlight w:val="none"/>
        </w:rPr>
        <w:t>进度管理要求</w:t>
      </w:r>
      <w:bookmarkEnd w:id="290"/>
      <w:bookmarkEnd w:id="291"/>
      <w:bookmarkEnd w:id="292"/>
      <w:bookmarkEnd w:id="293"/>
      <w:bookmarkEnd w:id="294"/>
      <w:bookmarkEnd w:id="295"/>
      <w:bookmarkEnd w:id="296"/>
      <w:bookmarkEnd w:id="297"/>
      <w:bookmarkEnd w:id="298"/>
      <w:bookmarkEnd w:id="299"/>
      <w:bookmarkEnd w:id="300"/>
      <w:bookmarkEnd w:id="301"/>
    </w:p>
    <w:p>
      <w:pPr>
        <w:bidi w:val="0"/>
        <w:rPr>
          <w:color w:val="auto"/>
          <w:highlight w:val="none"/>
        </w:rPr>
      </w:pPr>
      <w:r>
        <w:rPr>
          <w:rFonts w:hint="eastAsia"/>
          <w:color w:val="auto"/>
          <w:highlight w:val="none"/>
        </w:rPr>
        <w:t>总承包人应依据发包人提供的工</w:t>
      </w:r>
      <w:r>
        <w:rPr>
          <w:color w:val="auto"/>
          <w:highlight w:val="none"/>
        </w:rPr>
        <w:t>期要求</w:t>
      </w:r>
      <w:r>
        <w:rPr>
          <w:rFonts w:hint="eastAsia"/>
          <w:color w:val="auto"/>
          <w:highlight w:val="none"/>
        </w:rPr>
        <w:t>，通过编制《总承包工程施工进度计划》，把工程施工准备至竣工验收、移交小业主为止期间的，包括总承包自行承建部分、</w:t>
      </w:r>
      <w:r>
        <w:rPr>
          <w:rFonts w:hint="eastAsia"/>
          <w:color w:val="auto"/>
          <w:highlight w:val="none"/>
          <w:lang w:eastAsia="zh-CN"/>
        </w:rPr>
        <w:t>专业承包</w:t>
      </w:r>
      <w:r>
        <w:rPr>
          <w:rFonts w:hint="eastAsia"/>
          <w:color w:val="auto"/>
          <w:highlight w:val="none"/>
        </w:rPr>
        <w:t>人/独立承包人承建部分、与总承包管理相关的所有工作以计划的形式合理地组织起来。总承包人以此为依据协调参建各方推动工程建设、及时检查项目施工进度、分析计划执行的偏差并进行调整或修正，以保证实现合同约定的目标工期。</w:t>
      </w:r>
    </w:p>
    <w:p>
      <w:pPr>
        <w:pStyle w:val="4"/>
        <w:bidi w:val="0"/>
        <w:rPr>
          <w:color w:val="auto"/>
          <w:highlight w:val="none"/>
        </w:rPr>
      </w:pPr>
      <w:r>
        <w:rPr>
          <w:rFonts w:hint="eastAsia"/>
          <w:color w:val="auto"/>
          <w:highlight w:val="none"/>
        </w:rPr>
        <w:t>工程进度</w:t>
      </w:r>
      <w:r>
        <w:rPr>
          <w:color w:val="auto"/>
          <w:highlight w:val="none"/>
        </w:rPr>
        <w:t>计划的分类</w:t>
      </w:r>
    </w:p>
    <w:p>
      <w:pPr>
        <w:pStyle w:val="5"/>
        <w:bidi w:val="0"/>
        <w:ind w:left="253"/>
        <w:rPr>
          <w:color w:val="auto"/>
          <w:highlight w:val="none"/>
        </w:rPr>
      </w:pPr>
      <w:r>
        <w:rPr>
          <w:color w:val="auto"/>
          <w:highlight w:val="none"/>
        </w:rPr>
        <w:t>按计划内容分</w:t>
      </w:r>
    </w:p>
    <w:p>
      <w:pPr>
        <w:numPr>
          <w:ilvl w:val="0"/>
          <w:numId w:val="5"/>
        </w:numPr>
        <w:bidi w:val="0"/>
        <w:rPr>
          <w:color w:val="auto"/>
          <w:highlight w:val="none"/>
        </w:rPr>
      </w:pPr>
      <w:r>
        <w:rPr>
          <w:rFonts w:hint="eastAsia"/>
          <w:color w:val="auto"/>
          <w:highlight w:val="none"/>
        </w:rPr>
        <w:t>《总承包工程施工进度计划》（除总承包人自施内容外，还应包括：精装修、红线内</w:t>
      </w:r>
      <w:r>
        <w:rPr>
          <w:rFonts w:hint="eastAsia"/>
          <w:color w:val="auto"/>
          <w:highlight w:val="none"/>
          <w:lang w:val="en-US" w:eastAsia="zh-CN"/>
        </w:rPr>
        <w:t>小市政</w:t>
      </w:r>
      <w:r>
        <w:rPr>
          <w:rFonts w:hint="eastAsia"/>
          <w:color w:val="auto"/>
          <w:highlight w:val="none"/>
        </w:rPr>
        <w:t>、</w:t>
      </w:r>
      <w:r>
        <w:rPr>
          <w:rFonts w:hint="eastAsia"/>
          <w:color w:val="auto"/>
          <w:highlight w:val="none"/>
          <w:lang w:val="en-US" w:eastAsia="zh-CN"/>
        </w:rPr>
        <w:t>电梯工程、</w:t>
      </w:r>
      <w:r>
        <w:rPr>
          <w:rFonts w:hint="eastAsia"/>
          <w:color w:val="auto"/>
          <w:highlight w:val="none"/>
        </w:rPr>
        <w:t>园林景观、</w:t>
      </w:r>
      <w:r>
        <w:rPr>
          <w:rFonts w:hint="eastAsia"/>
          <w:color w:val="auto"/>
          <w:highlight w:val="none"/>
          <w:lang w:val="en-US" w:eastAsia="zh-CN"/>
        </w:rPr>
        <w:t>竣工验收、</w:t>
      </w:r>
      <w:r>
        <w:rPr>
          <w:rFonts w:hint="eastAsia"/>
          <w:color w:val="auto"/>
          <w:highlight w:val="none"/>
        </w:rPr>
        <w:t>移交物业、小业主入住安排等）</w:t>
      </w:r>
    </w:p>
    <w:p>
      <w:pPr>
        <w:numPr>
          <w:ilvl w:val="0"/>
          <w:numId w:val="5"/>
        </w:numPr>
        <w:bidi w:val="0"/>
        <w:rPr>
          <w:color w:val="auto"/>
          <w:highlight w:val="none"/>
        </w:rPr>
      </w:pPr>
      <w:r>
        <w:rPr>
          <w:rFonts w:hint="eastAsia"/>
          <w:color w:val="auto"/>
          <w:highlight w:val="none"/>
        </w:rPr>
        <w:t>《</w:t>
      </w:r>
      <w:r>
        <w:rPr>
          <w:rFonts w:hint="eastAsia"/>
          <w:color w:val="auto"/>
          <w:highlight w:val="none"/>
          <w:lang w:eastAsia="zh-CN"/>
        </w:rPr>
        <w:t>专业承包</w:t>
      </w:r>
      <w:r>
        <w:rPr>
          <w:rFonts w:hint="eastAsia"/>
          <w:color w:val="auto"/>
          <w:highlight w:val="none"/>
        </w:rPr>
        <w:t>人/独立承包人进场计划》</w:t>
      </w:r>
    </w:p>
    <w:p>
      <w:pPr>
        <w:numPr>
          <w:ilvl w:val="0"/>
          <w:numId w:val="5"/>
        </w:numPr>
        <w:bidi w:val="0"/>
        <w:rPr>
          <w:color w:val="auto"/>
          <w:highlight w:val="none"/>
        </w:rPr>
      </w:pPr>
      <w:r>
        <w:rPr>
          <w:rFonts w:hint="eastAsia"/>
          <w:color w:val="auto"/>
          <w:highlight w:val="none"/>
        </w:rPr>
        <w:t>《劳动力</w:t>
      </w:r>
      <w:r>
        <w:rPr>
          <w:color w:val="auto"/>
          <w:highlight w:val="none"/>
        </w:rPr>
        <w:t>计划</w:t>
      </w:r>
      <w:r>
        <w:rPr>
          <w:rFonts w:hint="eastAsia"/>
          <w:color w:val="auto"/>
          <w:highlight w:val="none"/>
        </w:rPr>
        <w:t>》</w:t>
      </w:r>
    </w:p>
    <w:p>
      <w:pPr>
        <w:numPr>
          <w:ilvl w:val="0"/>
          <w:numId w:val="5"/>
        </w:numPr>
        <w:bidi w:val="0"/>
        <w:rPr>
          <w:color w:val="auto"/>
          <w:highlight w:val="none"/>
        </w:rPr>
      </w:pPr>
      <w:r>
        <w:rPr>
          <w:rFonts w:hint="eastAsia"/>
          <w:color w:val="auto"/>
          <w:highlight w:val="none"/>
        </w:rPr>
        <w:t>《机械</w:t>
      </w:r>
      <w:r>
        <w:rPr>
          <w:color w:val="auto"/>
          <w:highlight w:val="none"/>
        </w:rPr>
        <w:t>设备进退场计划</w:t>
      </w:r>
      <w:r>
        <w:rPr>
          <w:rFonts w:hint="eastAsia"/>
          <w:color w:val="auto"/>
          <w:highlight w:val="none"/>
        </w:rPr>
        <w:t>》</w:t>
      </w:r>
    </w:p>
    <w:p>
      <w:pPr>
        <w:numPr>
          <w:ilvl w:val="0"/>
          <w:numId w:val="5"/>
        </w:numPr>
        <w:bidi w:val="0"/>
        <w:rPr>
          <w:color w:val="auto"/>
          <w:highlight w:val="none"/>
        </w:rPr>
      </w:pPr>
      <w:r>
        <w:rPr>
          <w:rFonts w:hint="eastAsia"/>
          <w:color w:val="auto"/>
          <w:highlight w:val="none"/>
        </w:rPr>
        <w:t>《材料</w:t>
      </w:r>
      <w:r>
        <w:rPr>
          <w:color w:val="auto"/>
          <w:highlight w:val="none"/>
        </w:rPr>
        <w:t>设备采购供应计划</w:t>
      </w:r>
      <w:r>
        <w:rPr>
          <w:rFonts w:hint="eastAsia"/>
          <w:color w:val="auto"/>
          <w:highlight w:val="none"/>
        </w:rPr>
        <w:t>》（含</w:t>
      </w:r>
      <w:r>
        <w:rPr>
          <w:color w:val="auto"/>
          <w:highlight w:val="none"/>
        </w:rPr>
        <w:t>甲供材料进场计划</w:t>
      </w:r>
      <w:r>
        <w:rPr>
          <w:rFonts w:hint="eastAsia"/>
          <w:color w:val="auto"/>
          <w:highlight w:val="none"/>
        </w:rPr>
        <w:t>）</w:t>
      </w:r>
    </w:p>
    <w:p>
      <w:pPr>
        <w:numPr>
          <w:ilvl w:val="0"/>
          <w:numId w:val="5"/>
        </w:numPr>
        <w:bidi w:val="0"/>
        <w:rPr>
          <w:color w:val="auto"/>
          <w:highlight w:val="none"/>
        </w:rPr>
      </w:pPr>
      <w:r>
        <w:rPr>
          <w:rFonts w:hint="eastAsia"/>
          <w:color w:val="auto"/>
          <w:highlight w:val="none"/>
        </w:rPr>
        <w:t>《深化</w:t>
      </w:r>
      <w:r>
        <w:rPr>
          <w:color w:val="auto"/>
          <w:highlight w:val="none"/>
        </w:rPr>
        <w:t>设计计划</w:t>
      </w:r>
      <w:r>
        <w:rPr>
          <w:rFonts w:hint="eastAsia"/>
          <w:color w:val="auto"/>
          <w:highlight w:val="none"/>
        </w:rPr>
        <w:t>》</w:t>
      </w:r>
    </w:p>
    <w:p>
      <w:pPr>
        <w:numPr>
          <w:ilvl w:val="0"/>
          <w:numId w:val="5"/>
        </w:numPr>
        <w:bidi w:val="0"/>
        <w:rPr>
          <w:color w:val="auto"/>
          <w:highlight w:val="none"/>
        </w:rPr>
      </w:pPr>
      <w:r>
        <w:rPr>
          <w:rFonts w:hint="eastAsia"/>
          <w:color w:val="auto"/>
          <w:highlight w:val="none"/>
        </w:rPr>
        <w:t>《施工</w:t>
      </w:r>
      <w:r>
        <w:rPr>
          <w:color w:val="auto"/>
          <w:highlight w:val="none"/>
        </w:rPr>
        <w:t>工艺样板计划</w:t>
      </w:r>
      <w:r>
        <w:rPr>
          <w:rFonts w:hint="eastAsia"/>
          <w:color w:val="auto"/>
          <w:highlight w:val="none"/>
        </w:rPr>
        <w:t>》</w:t>
      </w:r>
    </w:p>
    <w:p>
      <w:pPr>
        <w:numPr>
          <w:ilvl w:val="0"/>
          <w:numId w:val="5"/>
        </w:numPr>
        <w:bidi w:val="0"/>
        <w:rPr>
          <w:color w:val="auto"/>
          <w:highlight w:val="none"/>
        </w:rPr>
      </w:pPr>
      <w:r>
        <w:rPr>
          <w:rFonts w:hint="eastAsia"/>
          <w:color w:val="auto"/>
          <w:highlight w:val="none"/>
        </w:rPr>
        <w:t>《工作面</w:t>
      </w:r>
      <w:r>
        <w:rPr>
          <w:color w:val="auto"/>
          <w:highlight w:val="none"/>
        </w:rPr>
        <w:t>移交计划</w:t>
      </w:r>
      <w:r>
        <w:rPr>
          <w:rFonts w:hint="eastAsia"/>
          <w:color w:val="auto"/>
          <w:highlight w:val="none"/>
        </w:rPr>
        <w:t>》</w:t>
      </w:r>
    </w:p>
    <w:p>
      <w:pPr>
        <w:numPr>
          <w:ilvl w:val="0"/>
          <w:numId w:val="5"/>
        </w:numPr>
        <w:bidi w:val="0"/>
        <w:rPr>
          <w:color w:val="auto"/>
          <w:highlight w:val="none"/>
        </w:rPr>
      </w:pPr>
      <w:r>
        <w:rPr>
          <w:rFonts w:hint="eastAsia"/>
          <w:color w:val="auto"/>
          <w:highlight w:val="none"/>
        </w:rPr>
        <w:t>《分户</w:t>
      </w:r>
      <w:r>
        <w:rPr>
          <w:color w:val="auto"/>
          <w:highlight w:val="none"/>
        </w:rPr>
        <w:t>验收计划</w:t>
      </w:r>
      <w:r>
        <w:rPr>
          <w:rFonts w:hint="eastAsia"/>
          <w:color w:val="auto"/>
          <w:highlight w:val="none"/>
        </w:rPr>
        <w:t>》</w:t>
      </w:r>
    </w:p>
    <w:p>
      <w:pPr>
        <w:numPr>
          <w:ilvl w:val="0"/>
          <w:numId w:val="5"/>
        </w:numPr>
        <w:bidi w:val="0"/>
        <w:rPr>
          <w:color w:val="auto"/>
          <w:highlight w:val="none"/>
        </w:rPr>
      </w:pPr>
      <w:r>
        <w:rPr>
          <w:rFonts w:hint="eastAsia"/>
          <w:color w:val="auto"/>
          <w:highlight w:val="none"/>
        </w:rPr>
        <w:t>《竣工</w:t>
      </w:r>
      <w:r>
        <w:rPr>
          <w:color w:val="auto"/>
          <w:highlight w:val="none"/>
        </w:rPr>
        <w:t>验收计划</w:t>
      </w:r>
      <w:r>
        <w:rPr>
          <w:rFonts w:hint="eastAsia"/>
          <w:color w:val="auto"/>
          <w:highlight w:val="none"/>
        </w:rPr>
        <w:t>》</w:t>
      </w:r>
    </w:p>
    <w:p>
      <w:pPr>
        <w:numPr>
          <w:ilvl w:val="0"/>
          <w:numId w:val="5"/>
        </w:numPr>
        <w:bidi w:val="0"/>
        <w:rPr>
          <w:color w:val="auto"/>
          <w:highlight w:val="none"/>
        </w:rPr>
      </w:pPr>
      <w:r>
        <w:rPr>
          <w:rFonts w:hint="eastAsia"/>
          <w:color w:val="auto"/>
          <w:highlight w:val="none"/>
        </w:rPr>
        <w:t>《工程移交</w:t>
      </w:r>
      <w:r>
        <w:rPr>
          <w:color w:val="auto"/>
          <w:highlight w:val="none"/>
        </w:rPr>
        <w:t>计划</w:t>
      </w:r>
      <w:r>
        <w:rPr>
          <w:rFonts w:hint="eastAsia"/>
          <w:color w:val="auto"/>
          <w:highlight w:val="none"/>
        </w:rPr>
        <w:t>》</w:t>
      </w:r>
    </w:p>
    <w:p>
      <w:pPr>
        <w:pStyle w:val="5"/>
        <w:bidi w:val="0"/>
        <w:ind w:left="253"/>
        <w:rPr>
          <w:color w:val="auto"/>
          <w:highlight w:val="none"/>
        </w:rPr>
      </w:pPr>
      <w:r>
        <w:rPr>
          <w:color w:val="auto"/>
          <w:highlight w:val="none"/>
        </w:rPr>
        <w:t>编制要求</w:t>
      </w:r>
    </w:p>
    <w:p>
      <w:pPr>
        <w:numPr>
          <w:ilvl w:val="0"/>
          <w:numId w:val="6"/>
        </w:numPr>
        <w:bidi w:val="0"/>
        <w:ind w:left="480" w:leftChars="0"/>
        <w:rPr>
          <w:color w:val="auto"/>
          <w:highlight w:val="none"/>
        </w:rPr>
      </w:pPr>
      <w:r>
        <w:rPr>
          <w:rFonts w:hint="eastAsia"/>
          <w:color w:val="auto"/>
          <w:highlight w:val="none"/>
        </w:rPr>
        <w:t>项目工程施工进度计划组成应分为施工准备、现场施工、竣工验收（包括移交）三个阶段，现场施工中应体现与营销配合的工作：</w:t>
      </w:r>
    </w:p>
    <w:p>
      <w:pPr>
        <w:numPr>
          <w:ilvl w:val="0"/>
          <w:numId w:val="6"/>
        </w:numPr>
        <w:bidi w:val="0"/>
        <w:ind w:left="480" w:leftChars="0"/>
        <w:rPr>
          <w:color w:val="auto"/>
          <w:highlight w:val="none"/>
        </w:rPr>
      </w:pPr>
      <w:r>
        <w:rPr>
          <w:rFonts w:hint="eastAsia"/>
          <w:color w:val="auto"/>
          <w:highlight w:val="none"/>
        </w:rPr>
        <w:t>施工准备：进场接收场地、临设搭建、图纸审核、施组方案编制报审报批、交底培训等。</w:t>
      </w:r>
    </w:p>
    <w:p>
      <w:pPr>
        <w:numPr>
          <w:ilvl w:val="0"/>
          <w:numId w:val="6"/>
        </w:numPr>
        <w:bidi w:val="0"/>
        <w:ind w:left="480" w:leftChars="0"/>
        <w:rPr>
          <w:color w:val="auto"/>
          <w:highlight w:val="none"/>
        </w:rPr>
      </w:pPr>
      <w:r>
        <w:rPr>
          <w:rFonts w:hint="eastAsia"/>
          <w:color w:val="auto"/>
          <w:highlight w:val="none"/>
        </w:rPr>
        <w:t>现场施工：土方工程、基础工程、结构工程、粗装修工程、外窗安装（</w:t>
      </w:r>
      <w:r>
        <w:rPr>
          <w:color w:val="auto"/>
          <w:highlight w:val="none"/>
        </w:rPr>
        <w:t>幕墙工程）</w:t>
      </w:r>
      <w:r>
        <w:rPr>
          <w:rFonts w:hint="eastAsia"/>
          <w:color w:val="auto"/>
          <w:highlight w:val="none"/>
        </w:rPr>
        <w:t>相关工程、机电工程（包括电气、水暖、通风）、消防工程、精装修工程、市政工程、燃气工程、电力工程、热力工程、园林工程、标识工程等。</w:t>
      </w:r>
    </w:p>
    <w:p>
      <w:pPr>
        <w:numPr>
          <w:ilvl w:val="0"/>
          <w:numId w:val="6"/>
        </w:numPr>
        <w:bidi w:val="0"/>
        <w:ind w:left="480" w:leftChars="0"/>
        <w:rPr>
          <w:color w:val="auto"/>
          <w:highlight w:val="none"/>
        </w:rPr>
      </w:pPr>
      <w:r>
        <w:rPr>
          <w:rFonts w:hint="eastAsia"/>
          <w:color w:val="auto"/>
          <w:highlight w:val="none"/>
        </w:rPr>
        <w:t>营销配合：形象</w:t>
      </w:r>
      <w:r>
        <w:rPr>
          <w:color w:val="auto"/>
          <w:highlight w:val="none"/>
        </w:rPr>
        <w:t>进度、</w:t>
      </w:r>
      <w:r>
        <w:rPr>
          <w:rFonts w:hint="eastAsia"/>
          <w:color w:val="auto"/>
          <w:highlight w:val="none"/>
        </w:rPr>
        <w:t>售楼处、销售样板、销售示范区施工和移交。</w:t>
      </w:r>
    </w:p>
    <w:p>
      <w:pPr>
        <w:numPr>
          <w:ilvl w:val="0"/>
          <w:numId w:val="6"/>
        </w:numPr>
        <w:bidi w:val="0"/>
        <w:ind w:left="480" w:leftChars="0"/>
        <w:rPr>
          <w:color w:val="auto"/>
          <w:highlight w:val="none"/>
        </w:rPr>
      </w:pPr>
      <w:r>
        <w:rPr>
          <w:rFonts w:hint="eastAsia"/>
          <w:color w:val="auto"/>
          <w:highlight w:val="none"/>
        </w:rPr>
        <w:t>竣工验收及移交：规划验收、消防验收、竣工验收及备案、移交物业、移交发包人。</w:t>
      </w:r>
    </w:p>
    <w:p>
      <w:pPr>
        <w:numPr>
          <w:ilvl w:val="0"/>
          <w:numId w:val="6"/>
        </w:numPr>
        <w:bidi w:val="0"/>
        <w:ind w:left="480" w:leftChars="0"/>
        <w:rPr>
          <w:color w:val="auto"/>
          <w:highlight w:val="none"/>
        </w:rPr>
      </w:pPr>
      <w:r>
        <w:rPr>
          <w:rFonts w:hint="eastAsia"/>
          <w:color w:val="auto"/>
          <w:highlight w:val="none"/>
        </w:rPr>
        <w:t>应在工程进度计划中体现主要关键节点、关键线路的逻辑关系、任务项工期、重要性、资源名称，在关键线路上的任务项受到其它专业任务限制而采取无逻辑连接的输入时，应给予说明。</w:t>
      </w:r>
    </w:p>
    <w:p>
      <w:pPr>
        <w:numPr>
          <w:ilvl w:val="0"/>
          <w:numId w:val="6"/>
        </w:numPr>
        <w:bidi w:val="0"/>
        <w:ind w:left="480" w:leftChars="0"/>
        <w:rPr>
          <w:color w:val="auto"/>
          <w:highlight w:val="none"/>
        </w:rPr>
      </w:pPr>
      <w:r>
        <w:rPr>
          <w:rFonts w:hint="eastAsia"/>
          <w:color w:val="auto"/>
          <w:highlight w:val="none"/>
        </w:rPr>
        <w:t>主要关键节点应包括：进场、开工、验槽、基础、正负零、分段验收、回填土及防水、结构封顶、二次砌筑、塔吊及施工电梯安拆，并根据项目具体情况编制粗装开始及完成、精装开始及完成、市政开始及完成、园林开始及完成、消防验收、规划验收、竣工验收及备案、移交计划。</w:t>
      </w:r>
    </w:p>
    <w:p>
      <w:pPr>
        <w:numPr>
          <w:ilvl w:val="0"/>
          <w:numId w:val="6"/>
        </w:numPr>
        <w:bidi w:val="0"/>
        <w:ind w:left="480" w:leftChars="0"/>
        <w:rPr>
          <w:color w:val="auto"/>
          <w:highlight w:val="none"/>
        </w:rPr>
      </w:pPr>
      <w:r>
        <w:rPr>
          <w:rFonts w:hint="eastAsia"/>
          <w:color w:val="auto"/>
          <w:highlight w:val="none"/>
        </w:rPr>
        <w:t>总承包工程施工进度计划应深入至总承包施工界面内的具体工序的组织，时间刻度不应大于每月。</w:t>
      </w:r>
    </w:p>
    <w:p>
      <w:pPr>
        <w:numPr>
          <w:ilvl w:val="0"/>
          <w:numId w:val="6"/>
        </w:numPr>
        <w:bidi w:val="0"/>
        <w:ind w:left="480" w:leftChars="0"/>
        <w:rPr>
          <w:color w:val="auto"/>
          <w:highlight w:val="none"/>
        </w:rPr>
      </w:pPr>
      <w:r>
        <w:rPr>
          <w:rFonts w:hint="eastAsia"/>
          <w:color w:val="auto"/>
          <w:highlight w:val="none"/>
        </w:rPr>
        <w:t>总承包工程施工进度计划应向发包人确定</w:t>
      </w:r>
      <w:r>
        <w:rPr>
          <w:rFonts w:hint="eastAsia"/>
          <w:color w:val="auto"/>
          <w:highlight w:val="none"/>
          <w:lang w:eastAsia="zh-CN"/>
        </w:rPr>
        <w:t>专业承包</w:t>
      </w:r>
      <w:r>
        <w:rPr>
          <w:rFonts w:hint="eastAsia"/>
          <w:color w:val="auto"/>
          <w:highlight w:val="none"/>
        </w:rPr>
        <w:t>人、独立承包人的进场日期和材料设备供应计划，有深化设计工作的应预留深化设计及报审时间</w:t>
      </w:r>
      <w:r>
        <w:rPr>
          <w:rFonts w:hint="eastAsia"/>
          <w:color w:val="auto"/>
          <w:highlight w:val="none"/>
          <w:lang w:eastAsia="zh-CN"/>
        </w:rPr>
        <w:t>，</w:t>
      </w:r>
      <w:r>
        <w:rPr>
          <w:rFonts w:hint="eastAsia"/>
          <w:color w:val="auto"/>
          <w:highlight w:val="none"/>
          <w:lang w:val="en-US" w:eastAsia="zh-CN"/>
        </w:rPr>
        <w:t>深化设计预留时间应不少于一个月</w:t>
      </w:r>
      <w:r>
        <w:rPr>
          <w:rFonts w:hint="eastAsia"/>
          <w:color w:val="auto"/>
          <w:highlight w:val="none"/>
        </w:rPr>
        <w:t>。</w:t>
      </w:r>
    </w:p>
    <w:p>
      <w:pPr>
        <w:numPr>
          <w:ilvl w:val="0"/>
          <w:numId w:val="6"/>
        </w:numPr>
        <w:bidi w:val="0"/>
        <w:ind w:left="480" w:leftChars="0"/>
        <w:rPr>
          <w:color w:val="auto"/>
          <w:highlight w:val="none"/>
        </w:rPr>
      </w:pPr>
      <w:r>
        <w:rPr>
          <w:rFonts w:hint="eastAsia"/>
          <w:color w:val="auto"/>
          <w:highlight w:val="none"/>
        </w:rPr>
        <w:t>总承包人应编制材料、设备供应及甲供材排产计划，以便发包人组织订货及排产。</w:t>
      </w:r>
    </w:p>
    <w:p>
      <w:pPr>
        <w:numPr>
          <w:ilvl w:val="0"/>
          <w:numId w:val="6"/>
        </w:numPr>
        <w:bidi w:val="0"/>
        <w:ind w:left="480" w:leftChars="0"/>
        <w:rPr>
          <w:color w:val="auto"/>
          <w:highlight w:val="none"/>
        </w:rPr>
      </w:pPr>
      <w:r>
        <w:rPr>
          <w:rFonts w:hint="eastAsia"/>
          <w:color w:val="auto"/>
          <w:highlight w:val="none"/>
        </w:rPr>
        <w:t>总承包人须报送自行采购主要材料、设备的加工及分阶段进场详细计划，该计划与施工进度计划分部分项工程计划须相符，保证及时供应。</w:t>
      </w:r>
    </w:p>
    <w:p>
      <w:pPr>
        <w:numPr>
          <w:ilvl w:val="0"/>
          <w:numId w:val="6"/>
        </w:numPr>
        <w:bidi w:val="0"/>
        <w:ind w:left="480" w:leftChars="0"/>
        <w:rPr>
          <w:color w:val="auto"/>
          <w:highlight w:val="none"/>
        </w:rPr>
      </w:pPr>
      <w:r>
        <w:rPr>
          <w:rFonts w:hint="eastAsia"/>
          <w:color w:val="auto"/>
          <w:highlight w:val="none"/>
        </w:rPr>
        <w:t>总承包人应根据里程碑节点及各工程阶段编制劳动力进场计划，必须细化到工种及劳务来源地及承包形式。</w:t>
      </w:r>
    </w:p>
    <w:p>
      <w:pPr>
        <w:numPr>
          <w:ilvl w:val="0"/>
          <w:numId w:val="6"/>
        </w:numPr>
        <w:bidi w:val="0"/>
        <w:ind w:left="480" w:leftChars="0"/>
        <w:rPr>
          <w:color w:val="auto"/>
          <w:highlight w:val="none"/>
        </w:rPr>
      </w:pPr>
      <w:r>
        <w:rPr>
          <w:rFonts w:hint="eastAsia"/>
          <w:color w:val="auto"/>
          <w:highlight w:val="none"/>
        </w:rPr>
        <w:t>总承包工程施工进度计划应考虑</w:t>
      </w:r>
      <w:r>
        <w:rPr>
          <w:rFonts w:hint="eastAsia"/>
          <w:color w:val="auto"/>
          <w:highlight w:val="none"/>
          <w:lang w:eastAsia="zh-CN"/>
        </w:rPr>
        <w:t>专业承包</w:t>
      </w:r>
      <w:r>
        <w:rPr>
          <w:rFonts w:hint="eastAsia"/>
          <w:color w:val="auto"/>
          <w:highlight w:val="none"/>
        </w:rPr>
        <w:t>人工程界面内的工期、工序和施工要求，审核土建、安装及各</w:t>
      </w:r>
      <w:r>
        <w:rPr>
          <w:rFonts w:hint="eastAsia"/>
          <w:color w:val="auto"/>
          <w:highlight w:val="none"/>
          <w:lang w:eastAsia="zh-CN"/>
        </w:rPr>
        <w:t>专业承包</w:t>
      </w:r>
      <w:r>
        <w:rPr>
          <w:rFonts w:hint="eastAsia"/>
          <w:color w:val="auto"/>
          <w:highlight w:val="none"/>
        </w:rPr>
        <w:t>工序的搭接。</w:t>
      </w:r>
    </w:p>
    <w:p>
      <w:pPr>
        <w:numPr>
          <w:ilvl w:val="0"/>
          <w:numId w:val="6"/>
        </w:numPr>
        <w:bidi w:val="0"/>
        <w:ind w:left="480" w:leftChars="0"/>
        <w:rPr>
          <w:color w:val="auto"/>
          <w:highlight w:val="none"/>
        </w:rPr>
      </w:pPr>
      <w:r>
        <w:rPr>
          <w:rFonts w:hint="eastAsia"/>
          <w:color w:val="auto"/>
          <w:highlight w:val="none"/>
        </w:rPr>
        <w:t>属总承包人照管范围内的</w:t>
      </w:r>
      <w:r>
        <w:rPr>
          <w:rFonts w:hint="eastAsia"/>
          <w:color w:val="auto"/>
          <w:highlight w:val="none"/>
          <w:lang w:eastAsia="zh-CN"/>
        </w:rPr>
        <w:t>专业承包</w:t>
      </w:r>
      <w:r>
        <w:rPr>
          <w:rFonts w:hint="eastAsia"/>
          <w:color w:val="auto"/>
          <w:highlight w:val="none"/>
        </w:rPr>
        <w:t>人，应向总承包人报送专业工程施工进度计划，并由总承包人负责协调和审批，并逐级报送至监理人、发包人审批确定。</w:t>
      </w:r>
    </w:p>
    <w:p>
      <w:pPr>
        <w:numPr>
          <w:ilvl w:val="0"/>
          <w:numId w:val="6"/>
        </w:numPr>
        <w:bidi w:val="0"/>
        <w:ind w:left="480" w:leftChars="0"/>
        <w:rPr>
          <w:color w:val="auto"/>
          <w:highlight w:val="none"/>
        </w:rPr>
      </w:pPr>
      <w:r>
        <w:rPr>
          <w:rFonts w:hint="eastAsia"/>
          <w:color w:val="auto"/>
          <w:highlight w:val="none"/>
        </w:rPr>
        <w:t>由发包人直接管理的独立承包人所编制的专业工程施工进度计划，由监理人负责与总承包人的计划进行协调并审批，最终报发包人审批确定。</w:t>
      </w:r>
    </w:p>
    <w:p>
      <w:pPr>
        <w:numPr>
          <w:ilvl w:val="0"/>
          <w:numId w:val="6"/>
        </w:numPr>
        <w:bidi w:val="0"/>
        <w:ind w:left="480" w:leftChars="0"/>
        <w:rPr>
          <w:color w:val="auto"/>
          <w:highlight w:val="none"/>
        </w:rPr>
      </w:pPr>
      <w:r>
        <w:rPr>
          <w:rFonts w:hint="eastAsia"/>
          <w:color w:val="auto"/>
          <w:highlight w:val="none"/>
        </w:rPr>
        <w:t>编制计划时应充分考虑施工工艺、周边环境、季节影响、农忙、重大庆典和传统节日、重要政府会议、环保督查、中高考等因素的影响。</w:t>
      </w:r>
    </w:p>
    <w:p>
      <w:pPr>
        <w:pStyle w:val="5"/>
        <w:bidi w:val="0"/>
        <w:ind w:left="253"/>
        <w:rPr>
          <w:color w:val="auto"/>
          <w:highlight w:val="none"/>
        </w:rPr>
      </w:pPr>
      <w:r>
        <w:rPr>
          <w:rFonts w:hint="eastAsia"/>
          <w:color w:val="auto"/>
          <w:highlight w:val="none"/>
        </w:rPr>
        <w:t>总承包工程施工进度计划的</w:t>
      </w:r>
      <w:r>
        <w:rPr>
          <w:color w:val="auto"/>
          <w:highlight w:val="none"/>
        </w:rPr>
        <w:t>审批</w:t>
      </w:r>
    </w:p>
    <w:p>
      <w:pPr>
        <w:numPr>
          <w:ilvl w:val="0"/>
          <w:numId w:val="7"/>
        </w:numPr>
        <w:bidi w:val="0"/>
        <w:ind w:left="480" w:leftChars="0"/>
        <w:rPr>
          <w:color w:val="auto"/>
          <w:highlight w:val="none"/>
        </w:rPr>
      </w:pPr>
      <w:r>
        <w:rPr>
          <w:rFonts w:hint="eastAsia"/>
          <w:color w:val="auto"/>
          <w:highlight w:val="none"/>
        </w:rPr>
        <w:t>总承包工程施工进度计划编制完成后报监理人，由监理人审核是否满足项目整体开发计划要求及销售需求，审核并确定其它专业计划是否与项目施工进度计划匹配。</w:t>
      </w:r>
    </w:p>
    <w:p>
      <w:pPr>
        <w:numPr>
          <w:ilvl w:val="0"/>
          <w:numId w:val="7"/>
        </w:numPr>
        <w:bidi w:val="0"/>
        <w:ind w:left="480" w:leftChars="0"/>
        <w:rPr>
          <w:color w:val="auto"/>
          <w:highlight w:val="none"/>
        </w:rPr>
      </w:pPr>
      <w:r>
        <w:rPr>
          <w:rFonts w:hint="eastAsia"/>
          <w:color w:val="auto"/>
          <w:highlight w:val="none"/>
        </w:rPr>
        <w:t>总承包工程施工进度计划经监理人和发包人审核通过后，作为项目施工阶段各项工作开展依据。</w:t>
      </w:r>
    </w:p>
    <w:p>
      <w:pPr>
        <w:pStyle w:val="5"/>
        <w:bidi w:val="0"/>
        <w:ind w:left="-167" w:leftChars="0"/>
        <w:rPr>
          <w:color w:val="auto"/>
          <w:highlight w:val="none"/>
        </w:rPr>
      </w:pPr>
      <w:r>
        <w:rPr>
          <w:rFonts w:hint="eastAsia"/>
          <w:color w:val="auto"/>
          <w:highlight w:val="none"/>
        </w:rPr>
        <w:t>总承包工程施工进度计划的</w:t>
      </w:r>
      <w:r>
        <w:rPr>
          <w:color w:val="auto"/>
          <w:highlight w:val="none"/>
        </w:rPr>
        <w:t>调整</w:t>
      </w:r>
    </w:p>
    <w:p>
      <w:pPr>
        <w:bidi w:val="0"/>
        <w:rPr>
          <w:rFonts w:hint="eastAsia"/>
          <w:color w:val="auto"/>
          <w:highlight w:val="none"/>
        </w:rPr>
      </w:pPr>
      <w:r>
        <w:rPr>
          <w:rFonts w:hint="eastAsia"/>
          <w:color w:val="auto"/>
          <w:highlight w:val="none"/>
        </w:rPr>
        <w:t>总承包工程施工进度计划不能随意调整，若发包人项目整体开发计划或销售计划发生变化，总承包工程施工进度计划可进行相应调整。</w:t>
      </w:r>
    </w:p>
    <w:p>
      <w:pPr>
        <w:bidi w:val="0"/>
        <w:rPr>
          <w:rFonts w:hint="eastAsia"/>
          <w:color w:val="auto"/>
          <w:highlight w:val="none"/>
        </w:rPr>
      </w:pPr>
      <w:r>
        <w:rPr>
          <w:rFonts w:hint="eastAsia"/>
          <w:color w:val="auto"/>
          <w:highlight w:val="none"/>
        </w:rPr>
        <w:t>承包人进场后应对项目所有不利条件进行充分探勘，因场地条件、周边环境、交通运输、供水供电、排水排污等施工前置条件的影响、不作为工期调整及索赔的依据。</w:t>
      </w:r>
    </w:p>
    <w:p>
      <w:pPr>
        <w:bidi w:val="0"/>
        <w:rPr>
          <w:rFonts w:hint="eastAsia"/>
          <w:color w:val="auto"/>
          <w:highlight w:val="none"/>
        </w:rPr>
      </w:pPr>
      <w:r>
        <w:rPr>
          <w:rFonts w:hint="eastAsia"/>
          <w:color w:val="auto"/>
          <w:highlight w:val="none"/>
        </w:rPr>
        <w:t>根据节点工期要求编制各节点机械设备、劳动力、材料投入计划并进行考核，对材料、机械设备、劳动力投入不足等情况追究施工方的违约责任。</w:t>
      </w:r>
    </w:p>
    <w:p>
      <w:pPr>
        <w:bidi w:val="0"/>
        <w:rPr>
          <w:rFonts w:hint="eastAsia"/>
          <w:color w:val="auto"/>
          <w:highlight w:val="none"/>
        </w:rPr>
      </w:pPr>
      <w:r>
        <w:rPr>
          <w:rFonts w:hint="eastAsia"/>
          <w:color w:val="auto"/>
          <w:highlight w:val="none"/>
        </w:rPr>
        <w:t>承包人在施工过程中需要为政府部门、建设单位、监理单位、检测单位的检查、检测预留足够的时间，其时间相应计入总工期中，不作为工期调整的依据。</w:t>
      </w:r>
    </w:p>
    <w:p>
      <w:pPr>
        <w:bidi w:val="0"/>
        <w:rPr>
          <w:rFonts w:hint="eastAsia"/>
          <w:color w:val="auto"/>
          <w:highlight w:val="none"/>
        </w:rPr>
      </w:pPr>
      <w:r>
        <w:rPr>
          <w:rFonts w:hint="eastAsia"/>
          <w:color w:val="auto"/>
          <w:highlight w:val="none"/>
        </w:rPr>
        <w:t>承包人在施工过程中需要给各</w:t>
      </w:r>
      <w:r>
        <w:rPr>
          <w:rFonts w:hint="eastAsia"/>
          <w:color w:val="auto"/>
          <w:highlight w:val="none"/>
          <w:lang w:eastAsia="zh-CN"/>
        </w:rPr>
        <w:t>专业承包</w:t>
      </w:r>
      <w:r>
        <w:rPr>
          <w:rFonts w:hint="eastAsia"/>
          <w:color w:val="auto"/>
          <w:highlight w:val="none"/>
        </w:rPr>
        <w:t>单位的施工及调试和成品保护预留足够的时间，其时间相应计入总工期中，不作为工期调整</w:t>
      </w:r>
      <w:r>
        <w:rPr>
          <w:rFonts w:hint="eastAsia"/>
          <w:color w:val="auto"/>
          <w:highlight w:val="none"/>
          <w:lang w:val="en-US" w:eastAsia="zh-CN"/>
        </w:rPr>
        <w:t>的</w:t>
      </w:r>
      <w:r>
        <w:rPr>
          <w:rFonts w:hint="eastAsia"/>
          <w:color w:val="auto"/>
          <w:highlight w:val="none"/>
        </w:rPr>
        <w:t>依据。</w:t>
      </w:r>
    </w:p>
    <w:p>
      <w:pPr>
        <w:bidi w:val="0"/>
        <w:rPr>
          <w:rFonts w:hint="eastAsia"/>
          <w:color w:val="auto"/>
          <w:highlight w:val="none"/>
        </w:rPr>
      </w:pPr>
      <w:r>
        <w:rPr>
          <w:rFonts w:hint="eastAsia"/>
          <w:color w:val="auto"/>
          <w:highlight w:val="none"/>
        </w:rPr>
        <w:t>地质条件变化、地下障碍物等不作为工期调整的依据。</w:t>
      </w:r>
    </w:p>
    <w:p>
      <w:pPr>
        <w:bidi w:val="0"/>
        <w:rPr>
          <w:rFonts w:hint="default" w:eastAsia="宋体"/>
          <w:color w:val="auto"/>
          <w:highlight w:val="none"/>
          <w:lang w:val="en-US" w:eastAsia="zh-CN"/>
        </w:rPr>
      </w:pPr>
      <w:r>
        <w:rPr>
          <w:rFonts w:hint="eastAsia"/>
          <w:color w:val="auto"/>
          <w:highlight w:val="none"/>
          <w:lang w:val="en-US" w:eastAsia="zh-CN"/>
        </w:rPr>
        <w:t>工期调整的其他要求按合同相关条款进行。</w:t>
      </w:r>
    </w:p>
    <w:p>
      <w:pPr>
        <w:pStyle w:val="4"/>
        <w:bidi w:val="0"/>
        <w:rPr>
          <w:color w:val="auto"/>
          <w:highlight w:val="none"/>
        </w:rPr>
      </w:pPr>
      <w:r>
        <w:rPr>
          <w:rFonts w:hint="eastAsia"/>
          <w:color w:val="auto"/>
          <w:highlight w:val="none"/>
        </w:rPr>
        <w:t>工程进度</w:t>
      </w:r>
      <w:r>
        <w:rPr>
          <w:color w:val="auto"/>
          <w:highlight w:val="none"/>
        </w:rPr>
        <w:t>计划的</w:t>
      </w:r>
      <w:r>
        <w:rPr>
          <w:rFonts w:hint="eastAsia"/>
          <w:color w:val="auto"/>
          <w:highlight w:val="none"/>
        </w:rPr>
        <w:t>管理</w:t>
      </w:r>
      <w:r>
        <w:rPr>
          <w:color w:val="auto"/>
          <w:highlight w:val="none"/>
        </w:rPr>
        <w:t>要求</w:t>
      </w:r>
    </w:p>
    <w:p>
      <w:pPr>
        <w:pStyle w:val="5"/>
        <w:bidi w:val="0"/>
        <w:ind w:left="253"/>
        <w:rPr>
          <w:color w:val="auto"/>
          <w:highlight w:val="none"/>
        </w:rPr>
      </w:pPr>
      <w:r>
        <w:rPr>
          <w:rFonts w:hint="eastAsia"/>
          <w:color w:val="auto"/>
          <w:highlight w:val="none"/>
        </w:rPr>
        <w:t>工程</w:t>
      </w:r>
      <w:r>
        <w:rPr>
          <w:color w:val="auto"/>
          <w:highlight w:val="none"/>
        </w:rPr>
        <w:t>进度计划的实施</w:t>
      </w:r>
    </w:p>
    <w:p>
      <w:pPr>
        <w:numPr>
          <w:ilvl w:val="0"/>
          <w:numId w:val="8"/>
        </w:numPr>
        <w:bidi w:val="0"/>
        <w:ind w:left="480" w:leftChars="0"/>
        <w:rPr>
          <w:color w:val="auto"/>
          <w:highlight w:val="none"/>
        </w:rPr>
      </w:pPr>
      <w:r>
        <w:rPr>
          <w:rFonts w:hint="eastAsia"/>
          <w:color w:val="auto"/>
          <w:highlight w:val="none"/>
        </w:rPr>
        <w:t>总承包人按照发包人审批确认的总承包工程施工进度计划施工，</w:t>
      </w:r>
      <w:r>
        <w:rPr>
          <w:rFonts w:hint="eastAsia"/>
          <w:color w:val="auto"/>
          <w:highlight w:val="none"/>
          <w:lang w:eastAsia="zh-CN"/>
        </w:rPr>
        <w:t>专业承包</w:t>
      </w:r>
      <w:r>
        <w:rPr>
          <w:rFonts w:hint="eastAsia"/>
          <w:color w:val="auto"/>
          <w:highlight w:val="none"/>
        </w:rPr>
        <w:t>人按照经发包人审批确认的专业工程施工进度计划组织施工。</w:t>
      </w:r>
    </w:p>
    <w:p>
      <w:pPr>
        <w:numPr>
          <w:ilvl w:val="0"/>
          <w:numId w:val="8"/>
        </w:numPr>
        <w:bidi w:val="0"/>
        <w:ind w:left="480" w:leftChars="0"/>
        <w:rPr>
          <w:color w:val="auto"/>
          <w:highlight w:val="none"/>
        </w:rPr>
      </w:pPr>
      <w:r>
        <w:rPr>
          <w:rFonts w:hint="eastAsia"/>
          <w:color w:val="auto"/>
          <w:highlight w:val="none"/>
        </w:rPr>
        <w:t>总承包人负责监督、协调自有工作界面和照管</w:t>
      </w:r>
      <w:r>
        <w:rPr>
          <w:rFonts w:hint="eastAsia"/>
          <w:color w:val="auto"/>
          <w:highlight w:val="none"/>
          <w:lang w:eastAsia="zh-CN"/>
        </w:rPr>
        <w:t>专业承包人</w:t>
      </w:r>
      <w:r>
        <w:rPr>
          <w:rFonts w:hint="eastAsia"/>
          <w:color w:val="auto"/>
          <w:highlight w:val="none"/>
        </w:rPr>
        <w:t>工作界面内的施工进度。</w:t>
      </w:r>
    </w:p>
    <w:p>
      <w:pPr>
        <w:numPr>
          <w:ilvl w:val="0"/>
          <w:numId w:val="8"/>
        </w:numPr>
        <w:bidi w:val="0"/>
        <w:ind w:left="480" w:leftChars="0"/>
        <w:rPr>
          <w:color w:val="auto"/>
          <w:highlight w:val="none"/>
        </w:rPr>
      </w:pPr>
      <w:r>
        <w:rPr>
          <w:rFonts w:hint="eastAsia"/>
          <w:color w:val="auto"/>
          <w:highlight w:val="none"/>
        </w:rPr>
        <w:t>周例会召开前一天17:00前按要求提交周报告和下周施工计划；每月</w:t>
      </w:r>
      <w:r>
        <w:rPr>
          <w:color w:val="auto"/>
          <w:highlight w:val="none"/>
        </w:rPr>
        <w:t>24</w:t>
      </w:r>
      <w:r>
        <w:rPr>
          <w:rFonts w:hint="eastAsia"/>
          <w:color w:val="auto"/>
          <w:highlight w:val="none"/>
        </w:rPr>
        <w:t>日上午</w:t>
      </w:r>
      <w:r>
        <w:rPr>
          <w:color w:val="auto"/>
          <w:highlight w:val="none"/>
        </w:rPr>
        <w:t>10</w:t>
      </w:r>
      <w:r>
        <w:rPr>
          <w:rFonts w:hint="eastAsia"/>
          <w:color w:val="auto"/>
          <w:highlight w:val="none"/>
        </w:rPr>
        <w:t>:</w:t>
      </w:r>
      <w:r>
        <w:rPr>
          <w:color w:val="auto"/>
          <w:highlight w:val="none"/>
        </w:rPr>
        <w:t>00</w:t>
      </w:r>
      <w:r>
        <w:rPr>
          <w:rFonts w:hint="eastAsia"/>
          <w:color w:val="auto"/>
          <w:highlight w:val="none"/>
        </w:rPr>
        <w:t>前提交本月月报及下月月施工计划。</w:t>
      </w:r>
    </w:p>
    <w:p>
      <w:pPr>
        <w:pStyle w:val="5"/>
        <w:bidi w:val="0"/>
        <w:ind w:left="253"/>
        <w:rPr>
          <w:color w:val="auto"/>
          <w:highlight w:val="none"/>
        </w:rPr>
      </w:pPr>
      <w:r>
        <w:rPr>
          <w:rFonts w:hint="eastAsia"/>
          <w:color w:val="auto"/>
          <w:highlight w:val="none"/>
        </w:rPr>
        <w:t>工程</w:t>
      </w:r>
      <w:r>
        <w:rPr>
          <w:color w:val="auto"/>
          <w:highlight w:val="none"/>
        </w:rPr>
        <w:t>进度计划的检查和纠偏</w:t>
      </w:r>
    </w:p>
    <w:p>
      <w:pPr>
        <w:numPr>
          <w:ilvl w:val="0"/>
          <w:numId w:val="9"/>
        </w:numPr>
        <w:bidi w:val="0"/>
        <w:ind w:left="480" w:leftChars="0"/>
        <w:rPr>
          <w:color w:val="auto"/>
          <w:highlight w:val="none"/>
        </w:rPr>
      </w:pPr>
      <w:r>
        <w:rPr>
          <w:rFonts w:hint="eastAsia"/>
          <w:color w:val="auto"/>
          <w:highlight w:val="none"/>
        </w:rPr>
        <w:t>发包人、监理人对总承包人的施工组织、进度、资源投入进行检查，发现不符合施工组织设计和计划的施工组织方法、工作面管理，或者施工投入不足、效率低下，影响计划时，总承包人应积极配合调整。</w:t>
      </w:r>
    </w:p>
    <w:p>
      <w:pPr>
        <w:numPr>
          <w:ilvl w:val="0"/>
          <w:numId w:val="9"/>
        </w:numPr>
        <w:bidi w:val="0"/>
        <w:ind w:left="480" w:leftChars="0"/>
        <w:rPr>
          <w:color w:val="auto"/>
          <w:highlight w:val="none"/>
        </w:rPr>
      </w:pPr>
      <w:r>
        <w:rPr>
          <w:rFonts w:hint="eastAsia"/>
          <w:color w:val="auto"/>
          <w:highlight w:val="none"/>
        </w:rPr>
        <w:t>纠偏措施审批：</w:t>
      </w:r>
    </w:p>
    <w:p>
      <w:pPr>
        <w:numPr>
          <w:ilvl w:val="0"/>
          <w:numId w:val="9"/>
        </w:numPr>
        <w:bidi w:val="0"/>
        <w:ind w:left="480" w:leftChars="0"/>
        <w:rPr>
          <w:color w:val="auto"/>
          <w:highlight w:val="none"/>
        </w:rPr>
      </w:pPr>
      <w:r>
        <w:rPr>
          <w:rFonts w:hint="eastAsia"/>
          <w:color w:val="auto"/>
          <w:highlight w:val="none"/>
        </w:rPr>
        <w:t>周进度偏差：针对周进度偏差，分析偏差原因，总承包人应根据发包人和监理人意见提出纠偏措施，由监理人、发包人确认并督促执行。</w:t>
      </w:r>
    </w:p>
    <w:p>
      <w:pPr>
        <w:numPr>
          <w:ilvl w:val="0"/>
          <w:numId w:val="9"/>
        </w:numPr>
        <w:bidi w:val="0"/>
        <w:ind w:left="480" w:leftChars="0"/>
        <w:rPr>
          <w:color w:val="auto"/>
          <w:highlight w:val="none"/>
        </w:rPr>
      </w:pPr>
      <w:r>
        <w:rPr>
          <w:rFonts w:hint="eastAsia"/>
          <w:color w:val="auto"/>
          <w:highlight w:val="none"/>
        </w:rPr>
        <w:t>累积偏差：当实际进度与总承包人整体施工计划累计偏差超过两周时，监理人应向发包人提交专项报告，并责令总承包人提交进度纠偏方案，三方共同就总承包人进度纠偏方案确认，总承包人必须按纠偏方案执行。</w:t>
      </w:r>
    </w:p>
    <w:p>
      <w:pPr>
        <w:pStyle w:val="5"/>
        <w:bidi w:val="0"/>
        <w:ind w:left="253"/>
        <w:rPr>
          <w:color w:val="auto"/>
          <w:highlight w:val="none"/>
        </w:rPr>
      </w:pPr>
      <w:r>
        <w:rPr>
          <w:color w:val="auto"/>
          <w:highlight w:val="none"/>
        </w:rPr>
        <w:t>进度管理报表</w:t>
      </w:r>
    </w:p>
    <w:p>
      <w:pPr>
        <w:bidi w:val="0"/>
        <w:rPr>
          <w:color w:val="auto"/>
          <w:highlight w:val="none"/>
        </w:rPr>
      </w:pPr>
      <w:r>
        <w:rPr>
          <w:rFonts w:hint="eastAsia"/>
          <w:color w:val="auto"/>
          <w:highlight w:val="none"/>
        </w:rPr>
        <w:t>总承包人、</w:t>
      </w:r>
      <w:r>
        <w:rPr>
          <w:rFonts w:hint="eastAsia"/>
          <w:color w:val="auto"/>
          <w:highlight w:val="none"/>
          <w:lang w:eastAsia="zh-CN"/>
        </w:rPr>
        <w:t>专业承包</w:t>
      </w:r>
      <w:r>
        <w:rPr>
          <w:rFonts w:hint="eastAsia"/>
          <w:color w:val="auto"/>
          <w:highlight w:val="none"/>
        </w:rPr>
        <w:t>人应向监理人和发包人按时提交《周工作报告》、《月工作报告》，在《周工作报告》、《月工作报告》中应包含周、月度工作计划，其中属总承包人照管的</w:t>
      </w:r>
      <w:r>
        <w:rPr>
          <w:rFonts w:hint="eastAsia"/>
          <w:color w:val="auto"/>
          <w:highlight w:val="none"/>
          <w:lang w:eastAsia="zh-CN"/>
        </w:rPr>
        <w:t>专业承包</w:t>
      </w:r>
      <w:r>
        <w:rPr>
          <w:rFonts w:hint="eastAsia"/>
          <w:color w:val="auto"/>
          <w:highlight w:val="none"/>
        </w:rPr>
        <w:t>人报表应同时报送总承包人、监理人、发包人。</w:t>
      </w:r>
    </w:p>
    <w:p>
      <w:pPr>
        <w:numPr>
          <w:ilvl w:val="0"/>
          <w:numId w:val="10"/>
        </w:numPr>
        <w:bidi w:val="0"/>
        <w:ind w:left="480" w:leftChars="0"/>
        <w:rPr>
          <w:color w:val="auto"/>
          <w:highlight w:val="none"/>
        </w:rPr>
      </w:pPr>
      <w:r>
        <w:rPr>
          <w:rFonts w:hint="eastAsia"/>
          <w:color w:val="auto"/>
          <w:highlight w:val="none"/>
        </w:rPr>
        <w:t>各进度报表的内容</w:t>
      </w:r>
    </w:p>
    <w:p>
      <w:pPr>
        <w:numPr>
          <w:ilvl w:val="0"/>
          <w:numId w:val="11"/>
        </w:numPr>
        <w:bidi w:val="0"/>
        <w:ind w:left="480" w:leftChars="0"/>
        <w:rPr>
          <w:color w:val="auto"/>
          <w:highlight w:val="none"/>
        </w:rPr>
      </w:pPr>
      <w:r>
        <w:rPr>
          <w:rFonts w:hint="eastAsia"/>
          <w:color w:val="auto"/>
          <w:highlight w:val="none"/>
        </w:rPr>
        <w:t>在现场工作的技术管理人员数量、工程技术工人和非技术工人数量，同时包括</w:t>
      </w:r>
      <w:r>
        <w:rPr>
          <w:rFonts w:hint="eastAsia"/>
          <w:color w:val="auto"/>
          <w:highlight w:val="none"/>
          <w:lang w:eastAsia="zh-CN"/>
        </w:rPr>
        <w:t>专业承包</w:t>
      </w:r>
      <w:r>
        <w:rPr>
          <w:rFonts w:hint="eastAsia"/>
          <w:color w:val="auto"/>
          <w:highlight w:val="none"/>
        </w:rPr>
        <w:t>人的人员数量, 是否满足工程需要</w:t>
      </w:r>
      <w:r>
        <w:rPr>
          <w:rFonts w:hint="eastAsia"/>
          <w:color w:val="auto"/>
          <w:highlight w:val="none"/>
          <w:lang w:eastAsia="zh-CN"/>
        </w:rPr>
        <w:t>。</w:t>
      </w:r>
    </w:p>
    <w:p>
      <w:pPr>
        <w:numPr>
          <w:ilvl w:val="0"/>
          <w:numId w:val="11"/>
        </w:numPr>
        <w:bidi w:val="0"/>
        <w:ind w:left="480" w:leftChars="0"/>
        <w:rPr>
          <w:color w:val="auto"/>
          <w:highlight w:val="none"/>
        </w:rPr>
      </w:pPr>
      <w:r>
        <w:rPr>
          <w:rFonts w:hint="eastAsia"/>
          <w:color w:val="auto"/>
          <w:highlight w:val="none"/>
        </w:rPr>
        <w:t>现场所使用的各种主要机械设备和车辆的型号、数量和台班，工作区段，工程进度情况，天气情况记录，诸如停工、事故等特别事项说明。</w:t>
      </w:r>
    </w:p>
    <w:p>
      <w:pPr>
        <w:numPr>
          <w:ilvl w:val="0"/>
          <w:numId w:val="11"/>
        </w:numPr>
        <w:bidi w:val="0"/>
        <w:ind w:left="480" w:leftChars="0"/>
        <w:rPr>
          <w:color w:val="auto"/>
          <w:highlight w:val="none"/>
        </w:rPr>
      </w:pPr>
      <w:r>
        <w:rPr>
          <w:rFonts w:hint="eastAsia"/>
          <w:color w:val="auto"/>
          <w:highlight w:val="none"/>
          <w:lang w:eastAsia="zh-CN"/>
        </w:rPr>
        <w:t>专业承包</w:t>
      </w:r>
      <w:r>
        <w:rPr>
          <w:rFonts w:hint="eastAsia"/>
          <w:color w:val="auto"/>
          <w:highlight w:val="none"/>
        </w:rPr>
        <w:t>人、作业队、班组进度计划完成情况，进场材料、物品或设备分类汇总表、用于次周或下月的工程进度计划。</w:t>
      </w:r>
    </w:p>
    <w:p>
      <w:pPr>
        <w:numPr>
          <w:ilvl w:val="0"/>
          <w:numId w:val="11"/>
        </w:numPr>
        <w:bidi w:val="0"/>
        <w:ind w:left="480" w:leftChars="0"/>
        <w:rPr>
          <w:color w:val="auto"/>
          <w:highlight w:val="none"/>
        </w:rPr>
      </w:pPr>
      <w:r>
        <w:rPr>
          <w:rFonts w:hint="eastAsia"/>
          <w:color w:val="auto"/>
          <w:highlight w:val="none"/>
        </w:rPr>
        <w:t>工程变更、价格调整、索赔及工程款收支情况。</w:t>
      </w:r>
    </w:p>
    <w:p>
      <w:pPr>
        <w:numPr>
          <w:ilvl w:val="0"/>
          <w:numId w:val="11"/>
        </w:numPr>
        <w:bidi w:val="0"/>
        <w:ind w:left="480" w:leftChars="0"/>
        <w:rPr>
          <w:color w:val="auto"/>
          <w:highlight w:val="none"/>
        </w:rPr>
      </w:pPr>
      <w:r>
        <w:rPr>
          <w:rFonts w:hint="eastAsia"/>
          <w:color w:val="auto"/>
          <w:highlight w:val="none"/>
        </w:rPr>
        <w:t>工期偏差的状况和导致偏差的原因分析。</w:t>
      </w:r>
    </w:p>
    <w:p>
      <w:pPr>
        <w:numPr>
          <w:ilvl w:val="0"/>
          <w:numId w:val="10"/>
        </w:numPr>
        <w:bidi w:val="0"/>
        <w:ind w:left="480" w:leftChars="0"/>
        <w:rPr>
          <w:color w:val="auto"/>
          <w:highlight w:val="none"/>
        </w:rPr>
      </w:pPr>
      <w:r>
        <w:rPr>
          <w:rFonts w:hint="eastAsia"/>
          <w:color w:val="auto"/>
          <w:highlight w:val="none"/>
        </w:rPr>
        <w:t>报告制度</w:t>
      </w:r>
    </w:p>
    <w:p>
      <w:pPr>
        <w:numPr>
          <w:ilvl w:val="0"/>
          <w:numId w:val="12"/>
        </w:numPr>
        <w:bidi w:val="0"/>
        <w:ind w:left="480" w:leftChars="0"/>
        <w:rPr>
          <w:color w:val="auto"/>
          <w:highlight w:val="none"/>
        </w:rPr>
      </w:pPr>
      <w:r>
        <w:rPr>
          <w:rFonts w:hint="eastAsia"/>
          <w:color w:val="auto"/>
          <w:highlight w:val="none"/>
        </w:rPr>
        <w:t>总承包人应设立专人负责工程</w:t>
      </w:r>
      <w:r>
        <w:rPr>
          <w:color w:val="auto"/>
          <w:highlight w:val="none"/>
        </w:rPr>
        <w:t>实施的</w:t>
      </w:r>
      <w:r>
        <w:rPr>
          <w:rFonts w:hint="eastAsia"/>
          <w:color w:val="auto"/>
          <w:highlight w:val="none"/>
        </w:rPr>
        <w:t>进度管理，对施工全过程进度管理，重点是协调</w:t>
      </w:r>
      <w:r>
        <w:rPr>
          <w:rFonts w:hint="eastAsia"/>
          <w:color w:val="auto"/>
          <w:highlight w:val="none"/>
          <w:lang w:eastAsia="zh-CN"/>
        </w:rPr>
        <w:t>专业承包</w:t>
      </w:r>
      <w:r>
        <w:rPr>
          <w:rFonts w:hint="eastAsia"/>
          <w:color w:val="auto"/>
          <w:highlight w:val="none"/>
        </w:rPr>
        <w:t>人的进度管理。</w:t>
      </w:r>
    </w:p>
    <w:p>
      <w:pPr>
        <w:numPr>
          <w:ilvl w:val="0"/>
          <w:numId w:val="12"/>
        </w:numPr>
        <w:bidi w:val="0"/>
        <w:ind w:left="480" w:leftChars="0"/>
        <w:rPr>
          <w:color w:val="auto"/>
          <w:highlight w:val="none"/>
        </w:rPr>
      </w:pPr>
      <w:r>
        <w:rPr>
          <w:rFonts w:hint="eastAsia"/>
          <w:color w:val="auto"/>
          <w:highlight w:val="none"/>
        </w:rPr>
        <w:t>总承包人应向发包人呈递一式三份周进度报表和月进度报表。</w:t>
      </w:r>
    </w:p>
    <w:p>
      <w:pPr>
        <w:numPr>
          <w:ilvl w:val="0"/>
          <w:numId w:val="12"/>
        </w:numPr>
        <w:bidi w:val="0"/>
        <w:ind w:left="480" w:leftChars="0"/>
        <w:rPr>
          <w:color w:val="auto"/>
          <w:highlight w:val="none"/>
        </w:rPr>
      </w:pPr>
      <w:r>
        <w:rPr>
          <w:rFonts w:hint="eastAsia"/>
          <w:color w:val="auto"/>
          <w:highlight w:val="none"/>
        </w:rPr>
        <w:t>月度施工进度报告经</w:t>
      </w:r>
      <w:r>
        <w:rPr>
          <w:rFonts w:hint="eastAsia"/>
          <w:color w:val="auto"/>
          <w:highlight w:val="none"/>
          <w:lang w:eastAsia="zh-CN"/>
        </w:rPr>
        <w:t>项目负责人</w:t>
      </w:r>
      <w:r>
        <w:rPr>
          <w:rFonts w:hint="eastAsia"/>
          <w:color w:val="auto"/>
          <w:highlight w:val="none"/>
        </w:rPr>
        <w:t>审核，每月</w:t>
      </w:r>
      <w:r>
        <w:rPr>
          <w:color w:val="auto"/>
          <w:highlight w:val="none"/>
        </w:rPr>
        <w:t>24</w:t>
      </w:r>
      <w:r>
        <w:rPr>
          <w:rFonts w:hint="eastAsia"/>
          <w:color w:val="auto"/>
          <w:highlight w:val="none"/>
        </w:rPr>
        <w:t>日前上报。</w:t>
      </w:r>
    </w:p>
    <w:p>
      <w:pPr>
        <w:pStyle w:val="5"/>
        <w:bidi w:val="0"/>
        <w:ind w:left="253"/>
        <w:rPr>
          <w:color w:val="auto"/>
          <w:highlight w:val="none"/>
        </w:rPr>
      </w:pPr>
      <w:r>
        <w:rPr>
          <w:rFonts w:hint="eastAsia"/>
          <w:color w:val="auto"/>
          <w:highlight w:val="none"/>
        </w:rPr>
        <w:t>工程</w:t>
      </w:r>
      <w:r>
        <w:rPr>
          <w:color w:val="auto"/>
          <w:highlight w:val="none"/>
        </w:rPr>
        <w:t>进度计划考核</w:t>
      </w:r>
    </w:p>
    <w:p>
      <w:pPr>
        <w:numPr>
          <w:ilvl w:val="0"/>
          <w:numId w:val="13"/>
        </w:numPr>
        <w:spacing w:before="120" w:beforeLines="50" w:after="120" w:afterLines="50"/>
        <w:ind w:left="480" w:leftChars="0" w:hanging="49"/>
        <w:rPr>
          <w:color w:val="auto"/>
          <w:highlight w:val="none"/>
        </w:rPr>
      </w:pPr>
      <w:r>
        <w:rPr>
          <w:rFonts w:hint="eastAsia"/>
          <w:color w:val="auto"/>
          <w:highlight w:val="none"/>
        </w:rPr>
        <w:t>不符合计划进度，进度拖延累计超过3天，由总承包人</w:t>
      </w:r>
      <w:r>
        <w:rPr>
          <w:rFonts w:hint="eastAsia"/>
          <w:color w:val="auto"/>
          <w:highlight w:val="none"/>
          <w:lang w:eastAsia="zh-CN"/>
        </w:rPr>
        <w:t>项目负责人</w:t>
      </w:r>
      <w:r>
        <w:rPr>
          <w:rFonts w:hint="eastAsia"/>
          <w:color w:val="auto"/>
          <w:highlight w:val="none"/>
        </w:rPr>
        <w:t>汇报原因并制定措施。</w:t>
      </w:r>
    </w:p>
    <w:p>
      <w:pPr>
        <w:numPr>
          <w:ilvl w:val="0"/>
          <w:numId w:val="13"/>
        </w:numPr>
        <w:spacing w:before="120" w:beforeLines="50" w:after="120" w:afterLines="50"/>
        <w:ind w:left="480" w:leftChars="0" w:hanging="49"/>
        <w:rPr>
          <w:color w:val="auto"/>
          <w:highlight w:val="none"/>
        </w:rPr>
      </w:pPr>
      <w:r>
        <w:rPr>
          <w:rFonts w:hint="eastAsia"/>
          <w:color w:val="auto"/>
          <w:highlight w:val="none"/>
        </w:rPr>
        <w:t>不符合计划进度，进度拖延累计超过7天或</w:t>
      </w:r>
      <w:r>
        <w:rPr>
          <w:rFonts w:hint="eastAsia"/>
          <w:color w:val="auto"/>
          <w:highlight w:val="none"/>
          <w:lang w:val="en-US" w:eastAsia="zh-CN"/>
        </w:rPr>
        <w:t>15</w:t>
      </w:r>
      <w:r>
        <w:rPr>
          <w:rFonts w:hint="eastAsia"/>
          <w:color w:val="auto"/>
          <w:highlight w:val="none"/>
        </w:rPr>
        <w:t>天内没有抢回拖后的3天工期，总承包人</w:t>
      </w:r>
      <w:r>
        <w:rPr>
          <w:rFonts w:hint="eastAsia"/>
          <w:color w:val="auto"/>
          <w:highlight w:val="none"/>
          <w:lang w:eastAsia="zh-CN"/>
        </w:rPr>
        <w:t>项目指挥长</w:t>
      </w:r>
      <w:r>
        <w:rPr>
          <w:rFonts w:hint="eastAsia"/>
          <w:color w:val="auto"/>
          <w:highlight w:val="none"/>
        </w:rPr>
        <w:t>制定措施。</w:t>
      </w:r>
    </w:p>
    <w:p>
      <w:pPr>
        <w:numPr>
          <w:ilvl w:val="0"/>
          <w:numId w:val="13"/>
        </w:numPr>
        <w:spacing w:before="120" w:beforeLines="50" w:after="120" w:afterLines="50"/>
        <w:ind w:left="480" w:leftChars="0" w:hanging="49"/>
        <w:rPr>
          <w:color w:val="auto"/>
          <w:highlight w:val="none"/>
        </w:rPr>
      </w:pPr>
      <w:r>
        <w:rPr>
          <w:rFonts w:hint="eastAsia"/>
          <w:color w:val="auto"/>
          <w:highlight w:val="none"/>
        </w:rPr>
        <w:t>不符合计划进度，进度拖延累计超过10天或</w:t>
      </w:r>
      <w:r>
        <w:rPr>
          <w:rFonts w:hint="eastAsia"/>
          <w:color w:val="auto"/>
          <w:highlight w:val="none"/>
          <w:lang w:val="en-US" w:eastAsia="zh-CN"/>
        </w:rPr>
        <w:t>20</w:t>
      </w:r>
      <w:r>
        <w:rPr>
          <w:rFonts w:hint="eastAsia"/>
          <w:color w:val="auto"/>
          <w:highlight w:val="none"/>
        </w:rPr>
        <w:t>天内没有抢回拖后的5天工期，总承包人</w:t>
      </w:r>
      <w:r>
        <w:rPr>
          <w:rFonts w:hint="eastAsia"/>
          <w:color w:val="auto"/>
          <w:highlight w:val="none"/>
          <w:lang w:eastAsia="zh-CN"/>
        </w:rPr>
        <w:t>项目指挥长</w:t>
      </w:r>
      <w:r>
        <w:rPr>
          <w:rFonts w:hint="eastAsia"/>
          <w:color w:val="auto"/>
          <w:highlight w:val="none"/>
        </w:rPr>
        <w:t>驻场制定措施，</w:t>
      </w:r>
      <w:r>
        <w:rPr>
          <w:color w:val="auto"/>
          <w:highlight w:val="none"/>
        </w:rPr>
        <w:t>并直至赶回工期</w:t>
      </w:r>
      <w:r>
        <w:rPr>
          <w:rFonts w:hint="eastAsia"/>
          <w:color w:val="auto"/>
          <w:highlight w:val="none"/>
        </w:rPr>
        <w:t>。</w:t>
      </w:r>
    </w:p>
    <w:p>
      <w:pPr>
        <w:numPr>
          <w:ilvl w:val="0"/>
          <w:numId w:val="13"/>
        </w:numPr>
        <w:spacing w:before="120" w:beforeLines="50" w:after="120" w:afterLines="50"/>
        <w:ind w:left="480" w:leftChars="0" w:hanging="49"/>
        <w:rPr>
          <w:color w:val="auto"/>
          <w:highlight w:val="none"/>
        </w:rPr>
      </w:pPr>
      <w:r>
        <w:rPr>
          <w:rFonts w:hint="eastAsia"/>
          <w:color w:val="auto"/>
          <w:highlight w:val="none"/>
        </w:rPr>
        <w:t>如果进度计划累计15天或</w:t>
      </w:r>
      <w:r>
        <w:rPr>
          <w:rFonts w:hint="eastAsia"/>
          <w:color w:val="auto"/>
          <w:highlight w:val="none"/>
          <w:lang w:val="en-US" w:eastAsia="zh-CN"/>
        </w:rPr>
        <w:t>30</w:t>
      </w:r>
      <w:r>
        <w:rPr>
          <w:rFonts w:hint="eastAsia"/>
          <w:color w:val="auto"/>
          <w:highlight w:val="none"/>
        </w:rPr>
        <w:t>天内未抢回拖后的7天工期，总承包人公司总经理制定措施。</w:t>
      </w:r>
    </w:p>
    <w:p>
      <w:pPr>
        <w:pStyle w:val="5"/>
        <w:bidi w:val="0"/>
        <w:ind w:left="253"/>
        <w:rPr>
          <w:color w:val="auto"/>
          <w:highlight w:val="none"/>
        </w:rPr>
      </w:pPr>
      <w:r>
        <w:rPr>
          <w:color w:val="auto"/>
          <w:highlight w:val="none"/>
        </w:rPr>
        <w:t>工程进度管理会议</w:t>
      </w:r>
    </w:p>
    <w:p>
      <w:pPr>
        <w:numPr>
          <w:ilvl w:val="0"/>
          <w:numId w:val="14"/>
        </w:numPr>
        <w:bidi w:val="0"/>
        <w:ind w:left="473" w:leftChars="0"/>
        <w:rPr>
          <w:color w:val="auto"/>
          <w:highlight w:val="none"/>
        </w:rPr>
      </w:pPr>
      <w:r>
        <w:rPr>
          <w:rFonts w:hint="eastAsia"/>
          <w:color w:val="auto"/>
          <w:highlight w:val="none"/>
        </w:rPr>
        <w:t>每周召开由发包人工程经理、总承包人</w:t>
      </w:r>
      <w:r>
        <w:rPr>
          <w:rFonts w:hint="eastAsia"/>
          <w:color w:val="auto"/>
          <w:highlight w:val="none"/>
          <w:lang w:eastAsia="zh-CN"/>
        </w:rPr>
        <w:t>项目负责人</w:t>
      </w:r>
      <w:r>
        <w:rPr>
          <w:rFonts w:hint="eastAsia"/>
          <w:color w:val="auto"/>
          <w:highlight w:val="none"/>
        </w:rPr>
        <w:t>、监理人总监参加的监理例会。监理例会包括进度协调议题，内容包括上周现场进度核对、下周重点现场工作安排、进度偏差原因分析、纠偏措施、重要施工方案进展、现场质量情况、样板进展、安全文明施工等情况安排责任单位进行通报，对存在的问题协调解决。</w:t>
      </w:r>
    </w:p>
    <w:p>
      <w:pPr>
        <w:numPr>
          <w:ilvl w:val="0"/>
          <w:numId w:val="14"/>
        </w:numPr>
        <w:bidi w:val="0"/>
        <w:ind w:left="473" w:leftChars="0"/>
        <w:rPr>
          <w:color w:val="auto"/>
          <w:highlight w:val="none"/>
        </w:rPr>
      </w:pPr>
      <w:r>
        <w:rPr>
          <w:rFonts w:hint="eastAsia"/>
          <w:color w:val="auto"/>
          <w:highlight w:val="none"/>
        </w:rPr>
        <w:t>不定期召开专项工作会，重点解决项目推进中的难点问题。</w:t>
      </w:r>
    </w:p>
    <w:p>
      <w:pPr>
        <w:pStyle w:val="5"/>
        <w:bidi w:val="0"/>
        <w:ind w:left="253"/>
        <w:rPr>
          <w:color w:val="auto"/>
          <w:highlight w:val="none"/>
        </w:rPr>
      </w:pPr>
      <w:r>
        <w:rPr>
          <w:rFonts w:hint="eastAsia"/>
          <w:color w:val="auto"/>
          <w:highlight w:val="none"/>
        </w:rPr>
        <w:t>影像</w:t>
      </w:r>
      <w:r>
        <w:rPr>
          <w:color w:val="auto"/>
          <w:highlight w:val="none"/>
        </w:rPr>
        <w:t>资料</w:t>
      </w:r>
    </w:p>
    <w:p>
      <w:pPr>
        <w:bidi w:val="0"/>
        <w:rPr>
          <w:rFonts w:hint="eastAsia"/>
          <w:color w:val="auto"/>
          <w:highlight w:val="none"/>
        </w:rPr>
      </w:pPr>
      <w:r>
        <w:rPr>
          <w:rFonts w:hint="eastAsia"/>
          <w:color w:val="auto"/>
          <w:highlight w:val="none"/>
        </w:rPr>
        <w:t>总承包人每</w:t>
      </w:r>
      <w:r>
        <w:rPr>
          <w:rFonts w:hint="eastAsia"/>
          <w:color w:val="auto"/>
          <w:highlight w:val="none"/>
          <w:lang w:val="en-US" w:eastAsia="zh-CN"/>
        </w:rPr>
        <w:t>半</w:t>
      </w:r>
      <w:r>
        <w:rPr>
          <w:rFonts w:hint="eastAsia"/>
          <w:color w:val="auto"/>
          <w:highlight w:val="none"/>
        </w:rPr>
        <w:t>月应呈交给发包人工程进度照片，并在经监理人批准的不同位置定期拍摄。要求每月呈交的每套照片中，每栋单体不少于2张，以两个不同的固定位置拍摄的最能体现本工程特点的全貌照片2张，每张照片都应标上相应的拍摄日期和简要文字说明。</w:t>
      </w:r>
    </w:p>
    <w:p>
      <w:pPr>
        <w:bidi w:val="0"/>
        <w:rPr>
          <w:rFonts w:hint="default" w:eastAsia="宋体"/>
          <w:color w:val="auto"/>
          <w:highlight w:val="none"/>
          <w:lang w:val="en-US" w:eastAsia="zh-CN"/>
        </w:rPr>
      </w:pPr>
      <w:r>
        <w:rPr>
          <w:rFonts w:hint="eastAsia"/>
          <w:color w:val="auto"/>
          <w:highlight w:val="none"/>
          <w:lang w:val="en-US" w:eastAsia="zh-CN"/>
        </w:rPr>
        <w:t>每道工序样板施工验收完成后及大面施工完成后，拍摄最能体现本工序施工质量亮点的照片不少于2张。</w:t>
      </w:r>
    </w:p>
    <w:p>
      <w:pPr>
        <w:pStyle w:val="3"/>
        <w:bidi w:val="0"/>
        <w:rPr>
          <w:color w:val="auto"/>
          <w:highlight w:val="none"/>
        </w:rPr>
      </w:pPr>
      <w:bookmarkStart w:id="302" w:name="_Toc24953"/>
      <w:bookmarkStart w:id="303" w:name="_Toc2919"/>
      <w:bookmarkStart w:id="304" w:name="_Toc11919"/>
      <w:bookmarkStart w:id="305" w:name="_Toc12821"/>
      <w:bookmarkStart w:id="306" w:name="_Toc18220"/>
      <w:bookmarkStart w:id="307" w:name="_Toc169722213"/>
      <w:bookmarkStart w:id="308" w:name="_Toc17061"/>
      <w:bookmarkStart w:id="309" w:name="_Toc2635"/>
      <w:bookmarkStart w:id="310" w:name="_Toc31846"/>
      <w:bookmarkStart w:id="311" w:name="_Toc6347"/>
      <w:bookmarkStart w:id="312" w:name="_Toc16226"/>
      <w:bookmarkStart w:id="313" w:name="_Toc30340"/>
      <w:r>
        <w:rPr>
          <w:color w:val="auto"/>
          <w:highlight w:val="none"/>
        </w:rPr>
        <w:t>深化设计要求</w:t>
      </w:r>
      <w:bookmarkEnd w:id="302"/>
      <w:bookmarkEnd w:id="303"/>
      <w:bookmarkEnd w:id="304"/>
      <w:bookmarkEnd w:id="305"/>
      <w:bookmarkEnd w:id="306"/>
      <w:bookmarkEnd w:id="307"/>
      <w:bookmarkEnd w:id="308"/>
      <w:bookmarkEnd w:id="309"/>
      <w:bookmarkEnd w:id="310"/>
      <w:bookmarkEnd w:id="311"/>
      <w:bookmarkEnd w:id="312"/>
      <w:bookmarkEnd w:id="313"/>
    </w:p>
    <w:p>
      <w:pPr>
        <w:pStyle w:val="4"/>
        <w:bidi w:val="0"/>
        <w:rPr>
          <w:color w:val="auto"/>
          <w:highlight w:val="none"/>
        </w:rPr>
      </w:pPr>
      <w:r>
        <w:rPr>
          <w:rFonts w:hint="eastAsia"/>
          <w:color w:val="auto"/>
          <w:highlight w:val="none"/>
        </w:rPr>
        <w:t>深化</w:t>
      </w:r>
      <w:r>
        <w:rPr>
          <w:color w:val="auto"/>
          <w:highlight w:val="none"/>
        </w:rPr>
        <w:t>设计的</w:t>
      </w:r>
      <w:r>
        <w:rPr>
          <w:rFonts w:hint="eastAsia"/>
          <w:color w:val="auto"/>
          <w:highlight w:val="none"/>
        </w:rPr>
        <w:t>基本要求</w:t>
      </w:r>
    </w:p>
    <w:p>
      <w:pPr>
        <w:pStyle w:val="5"/>
        <w:bidi w:val="0"/>
        <w:ind w:left="253"/>
        <w:rPr>
          <w:color w:val="auto"/>
          <w:highlight w:val="none"/>
        </w:rPr>
      </w:pPr>
      <w:r>
        <w:rPr>
          <w:color w:val="auto"/>
          <w:highlight w:val="none"/>
        </w:rPr>
        <w:t>深化设计是指项目在施工图设计</w:t>
      </w:r>
      <w:r>
        <w:rPr>
          <w:rFonts w:hint="eastAsia"/>
          <w:color w:val="auto"/>
          <w:highlight w:val="none"/>
        </w:rPr>
        <w:t>完成的</w:t>
      </w:r>
      <w:r>
        <w:rPr>
          <w:color w:val="auto"/>
          <w:highlight w:val="none"/>
        </w:rPr>
        <w:t>前提下，在施工图纸范围内，针对某一项或者某一专业进行的专业设计，</w:t>
      </w:r>
      <w:r>
        <w:rPr>
          <w:rFonts w:hint="eastAsia"/>
          <w:color w:val="auto"/>
          <w:highlight w:val="none"/>
        </w:rPr>
        <w:t>完善和细化设计细节，规范现场施工方法，使施工人员在操作时有图可依，使质检人员有据可查，使工程施工规范有序，从而保证工程质量，最终保证高品质工程目标的实现。深化</w:t>
      </w:r>
      <w:r>
        <w:rPr>
          <w:color w:val="auto"/>
          <w:highlight w:val="none"/>
        </w:rPr>
        <w:t>设计成果必须符合与之相关的所有技术规范要求。</w:t>
      </w:r>
    </w:p>
    <w:p>
      <w:pPr>
        <w:pStyle w:val="5"/>
        <w:bidi w:val="0"/>
        <w:ind w:left="253"/>
        <w:rPr>
          <w:color w:val="auto"/>
          <w:highlight w:val="none"/>
        </w:rPr>
      </w:pPr>
      <w:r>
        <w:rPr>
          <w:rFonts w:hint="eastAsia"/>
          <w:color w:val="auto"/>
          <w:highlight w:val="none"/>
        </w:rPr>
        <w:t>深化设计范围包括工程全过程与全部相关专业，总承包人应对深化设计工作量有充分预计。</w:t>
      </w:r>
    </w:p>
    <w:p>
      <w:pPr>
        <w:pStyle w:val="5"/>
        <w:bidi w:val="0"/>
        <w:ind w:left="253"/>
        <w:rPr>
          <w:color w:val="auto"/>
          <w:highlight w:val="none"/>
        </w:rPr>
      </w:pPr>
      <w:r>
        <w:rPr>
          <w:color w:val="auto"/>
          <w:highlight w:val="none"/>
        </w:rPr>
        <w:t>总承包人负责自身承建范围内各相关专业的深化设计工作，</w:t>
      </w:r>
      <w:r>
        <w:rPr>
          <w:rFonts w:hint="eastAsia"/>
          <w:color w:val="auto"/>
          <w:highlight w:val="none"/>
        </w:rPr>
        <w:t>并</w:t>
      </w:r>
      <w:r>
        <w:rPr>
          <w:color w:val="auto"/>
          <w:highlight w:val="none"/>
        </w:rPr>
        <w:t>协调管理所需照管的</w:t>
      </w:r>
      <w:r>
        <w:rPr>
          <w:rFonts w:hint="eastAsia"/>
          <w:color w:val="auto"/>
          <w:highlight w:val="none"/>
        </w:rPr>
        <w:t>各类</w:t>
      </w:r>
      <w:r>
        <w:rPr>
          <w:rFonts w:hint="eastAsia"/>
          <w:color w:val="auto"/>
          <w:highlight w:val="none"/>
          <w:lang w:eastAsia="zh-CN"/>
        </w:rPr>
        <w:t>专业承包</w:t>
      </w:r>
      <w:r>
        <w:rPr>
          <w:color w:val="auto"/>
          <w:highlight w:val="none"/>
        </w:rPr>
        <w:t>人的深化设计工作</w:t>
      </w:r>
      <w:r>
        <w:rPr>
          <w:rFonts w:hint="eastAsia"/>
          <w:color w:val="auto"/>
          <w:highlight w:val="none"/>
        </w:rPr>
        <w:t>。</w:t>
      </w:r>
    </w:p>
    <w:p>
      <w:pPr>
        <w:pStyle w:val="5"/>
        <w:bidi w:val="0"/>
        <w:ind w:left="253"/>
        <w:rPr>
          <w:color w:val="auto"/>
          <w:highlight w:val="none"/>
        </w:rPr>
      </w:pPr>
      <w:r>
        <w:rPr>
          <w:rFonts w:hint="eastAsia"/>
          <w:color w:val="auto"/>
          <w:highlight w:val="none"/>
        </w:rPr>
        <w:t>总承包人</w:t>
      </w:r>
      <w:r>
        <w:rPr>
          <w:color w:val="auto"/>
          <w:highlight w:val="none"/>
        </w:rPr>
        <w:t>负责</w:t>
      </w:r>
      <w:r>
        <w:rPr>
          <w:rFonts w:hint="eastAsia"/>
          <w:color w:val="auto"/>
          <w:highlight w:val="none"/>
        </w:rPr>
        <w:t>整个</w:t>
      </w:r>
      <w:r>
        <w:rPr>
          <w:color w:val="auto"/>
          <w:highlight w:val="none"/>
        </w:rPr>
        <w:t>工程的深化设计总体进度</w:t>
      </w:r>
      <w:r>
        <w:rPr>
          <w:rFonts w:hint="eastAsia"/>
          <w:color w:val="auto"/>
          <w:highlight w:val="none"/>
        </w:rPr>
        <w:t>的</w:t>
      </w:r>
      <w:r>
        <w:rPr>
          <w:color w:val="auto"/>
          <w:highlight w:val="none"/>
        </w:rPr>
        <w:t>协调管理，</w:t>
      </w:r>
      <w:r>
        <w:rPr>
          <w:rFonts w:hint="eastAsia"/>
          <w:color w:val="auto"/>
          <w:highlight w:val="none"/>
        </w:rPr>
        <w:t>中标后应结合</w:t>
      </w:r>
      <w:r>
        <w:rPr>
          <w:color w:val="auto"/>
          <w:highlight w:val="none"/>
        </w:rPr>
        <w:t>各类</w:t>
      </w:r>
      <w:r>
        <w:rPr>
          <w:rFonts w:hint="eastAsia"/>
          <w:color w:val="auto"/>
          <w:highlight w:val="none"/>
          <w:lang w:eastAsia="zh-CN"/>
        </w:rPr>
        <w:t>专业承包</w:t>
      </w:r>
      <w:r>
        <w:rPr>
          <w:color w:val="auto"/>
          <w:highlight w:val="none"/>
        </w:rPr>
        <w:t>人的合约界面，</w:t>
      </w:r>
      <w:r>
        <w:rPr>
          <w:rFonts w:hint="eastAsia"/>
          <w:color w:val="auto"/>
          <w:highlight w:val="none"/>
        </w:rPr>
        <w:t>立即上报深化设计的进度计划，施工过程中应按分批次报批以满足进度要求，设计人及发包人项目部</w:t>
      </w:r>
      <w:r>
        <w:rPr>
          <w:rFonts w:hint="eastAsia"/>
          <w:color w:val="auto"/>
          <w:highlight w:val="none"/>
          <w:lang w:val="en-US" w:eastAsia="zh-CN"/>
        </w:rPr>
        <w:t>组织</w:t>
      </w:r>
      <w:r>
        <w:rPr>
          <w:rFonts w:hint="eastAsia"/>
          <w:color w:val="auto"/>
          <w:highlight w:val="none"/>
        </w:rPr>
        <w:t>对图纸的完成情况进行核查、审批。如承包人的深化设计图纸达不到要求，发包人有权要求承包人对深化设计人员进行调整更换或另委托深化设计单位。</w:t>
      </w:r>
    </w:p>
    <w:p>
      <w:pPr>
        <w:pStyle w:val="4"/>
        <w:bidi w:val="0"/>
        <w:rPr>
          <w:color w:val="auto"/>
          <w:highlight w:val="none"/>
        </w:rPr>
      </w:pPr>
      <w:r>
        <w:rPr>
          <w:rFonts w:hint="eastAsia"/>
          <w:color w:val="auto"/>
          <w:highlight w:val="none"/>
        </w:rPr>
        <w:t>在总承包人技术总工的带领下，</w:t>
      </w:r>
      <w:r>
        <w:rPr>
          <w:rFonts w:hint="eastAsia"/>
          <w:color w:val="auto"/>
          <w:highlight w:val="none"/>
          <w:lang w:val="en-US" w:eastAsia="zh-CN"/>
        </w:rPr>
        <w:t>按照合同要求配置专职深化设计人员，</w:t>
      </w:r>
      <w:r>
        <w:rPr>
          <w:rFonts w:hint="eastAsia"/>
          <w:color w:val="auto"/>
          <w:highlight w:val="none"/>
        </w:rPr>
        <w:t>按发包人要求进行深化设计工作。总承包人应在收到中标通知书后</w:t>
      </w:r>
      <w:r>
        <w:rPr>
          <w:rFonts w:hint="eastAsia"/>
          <w:b/>
          <w:color w:val="auto"/>
          <w:highlight w:val="none"/>
        </w:rPr>
        <w:t>一</w:t>
      </w:r>
      <w:r>
        <w:rPr>
          <w:rFonts w:hint="eastAsia"/>
          <w:color w:val="auto"/>
          <w:highlight w:val="none"/>
        </w:rPr>
        <w:t>个月内完成自行承担施工任务的所有深化设计项目的</w:t>
      </w:r>
      <w:r>
        <w:rPr>
          <w:color w:val="auto"/>
          <w:highlight w:val="none"/>
        </w:rPr>
        <w:t>清单和出图计划</w:t>
      </w:r>
      <w:r>
        <w:rPr>
          <w:rFonts w:hint="eastAsia"/>
          <w:color w:val="auto"/>
          <w:highlight w:val="none"/>
        </w:rPr>
        <w:t>，</w:t>
      </w:r>
      <w:r>
        <w:rPr>
          <w:color w:val="auto"/>
          <w:highlight w:val="none"/>
        </w:rPr>
        <w:t>提交</w:t>
      </w:r>
      <w:r>
        <w:rPr>
          <w:rFonts w:hint="eastAsia"/>
          <w:color w:val="auto"/>
          <w:highlight w:val="none"/>
        </w:rPr>
        <w:t>监理人</w:t>
      </w:r>
      <w:r>
        <w:rPr>
          <w:color w:val="auto"/>
          <w:highlight w:val="none"/>
        </w:rPr>
        <w:t>/发包人审核</w:t>
      </w:r>
      <w:r>
        <w:rPr>
          <w:rFonts w:hint="eastAsia"/>
          <w:color w:val="auto"/>
          <w:highlight w:val="none"/>
        </w:rPr>
        <w:t>。随着工程进展及</w:t>
      </w:r>
      <w:r>
        <w:rPr>
          <w:rFonts w:hint="eastAsia"/>
          <w:color w:val="auto"/>
          <w:highlight w:val="none"/>
          <w:lang w:eastAsia="zh-CN"/>
        </w:rPr>
        <w:t>专业承包</w:t>
      </w:r>
      <w:r>
        <w:rPr>
          <w:color w:val="auto"/>
          <w:highlight w:val="none"/>
        </w:rPr>
        <w:t>人的进场</w:t>
      </w:r>
      <w:r>
        <w:rPr>
          <w:rFonts w:hint="eastAsia"/>
          <w:color w:val="auto"/>
          <w:highlight w:val="none"/>
        </w:rPr>
        <w:t>，总承包人技术总工牵头组织</w:t>
      </w:r>
      <w:r>
        <w:rPr>
          <w:rFonts w:hint="eastAsia"/>
          <w:color w:val="auto"/>
          <w:highlight w:val="none"/>
          <w:lang w:eastAsia="zh-CN"/>
        </w:rPr>
        <w:t>专业承包</w:t>
      </w:r>
      <w:r>
        <w:rPr>
          <w:rFonts w:hint="eastAsia"/>
          <w:color w:val="auto"/>
          <w:highlight w:val="none"/>
        </w:rPr>
        <w:t>人进行深化设计、专业协调、报审、工序安排等技术管理工作。</w:t>
      </w:r>
    </w:p>
    <w:p>
      <w:pPr>
        <w:pStyle w:val="5"/>
        <w:bidi w:val="0"/>
        <w:ind w:left="253"/>
        <w:rPr>
          <w:color w:val="auto"/>
          <w:highlight w:val="none"/>
        </w:rPr>
      </w:pPr>
      <w:r>
        <w:rPr>
          <w:rFonts w:hint="default"/>
          <w:color w:val="auto"/>
          <w:highlight w:val="none"/>
        </w:rPr>
        <w:t>深化</w:t>
      </w:r>
      <w:r>
        <w:rPr>
          <w:color w:val="auto"/>
          <w:highlight w:val="none"/>
        </w:rPr>
        <w:t>设计时间要求：总承包人/</w:t>
      </w:r>
      <w:r>
        <w:rPr>
          <w:rFonts w:hint="eastAsia"/>
          <w:color w:val="auto"/>
          <w:highlight w:val="none"/>
          <w:lang w:eastAsia="zh-CN"/>
        </w:rPr>
        <w:t>专业承包</w:t>
      </w:r>
      <w:r>
        <w:rPr>
          <w:color w:val="auto"/>
          <w:highlight w:val="none"/>
        </w:rPr>
        <w:t>人</w:t>
      </w:r>
      <w:r>
        <w:rPr>
          <w:rFonts w:hint="default"/>
          <w:color w:val="auto"/>
          <w:highlight w:val="none"/>
        </w:rPr>
        <w:t>收到</w:t>
      </w:r>
      <w:r>
        <w:rPr>
          <w:color w:val="auto"/>
          <w:highlight w:val="none"/>
        </w:rPr>
        <w:t>发包人</w:t>
      </w:r>
      <w:r>
        <w:rPr>
          <w:rFonts w:hint="default"/>
          <w:color w:val="auto"/>
          <w:highlight w:val="none"/>
        </w:rPr>
        <w:t>发出</w:t>
      </w:r>
      <w:r>
        <w:rPr>
          <w:color w:val="auto"/>
          <w:highlight w:val="none"/>
        </w:rPr>
        <w:t>的施工图后应立即开展深化设计工作</w:t>
      </w:r>
      <w:r>
        <w:rPr>
          <w:rFonts w:hint="default"/>
          <w:color w:val="auto"/>
          <w:highlight w:val="none"/>
        </w:rPr>
        <w:t>，最迟必须在</w:t>
      </w:r>
      <w:r>
        <w:rPr>
          <w:color w:val="auto"/>
          <w:highlight w:val="none"/>
        </w:rPr>
        <w:t>具体</w:t>
      </w:r>
      <w:r>
        <w:rPr>
          <w:rFonts w:hint="default"/>
          <w:color w:val="auto"/>
          <w:highlight w:val="none"/>
        </w:rPr>
        <w:t>项目</w:t>
      </w:r>
      <w:r>
        <w:rPr>
          <w:color w:val="auto"/>
          <w:highlight w:val="none"/>
        </w:rPr>
        <w:t>/施工部位</w:t>
      </w:r>
      <w:r>
        <w:rPr>
          <w:rFonts w:hint="default"/>
          <w:color w:val="auto"/>
          <w:highlight w:val="none"/>
        </w:rPr>
        <w:t>实施</w:t>
      </w:r>
      <w:r>
        <w:rPr>
          <w:color w:val="auto"/>
          <w:highlight w:val="none"/>
        </w:rPr>
        <w:t>前30天完成深化设计</w:t>
      </w:r>
      <w:r>
        <w:rPr>
          <w:rFonts w:hint="default"/>
          <w:color w:val="auto"/>
          <w:highlight w:val="none"/>
        </w:rPr>
        <w:t>审核</w:t>
      </w:r>
      <w:r>
        <w:rPr>
          <w:color w:val="auto"/>
          <w:highlight w:val="none"/>
        </w:rPr>
        <w:t>批复。</w:t>
      </w:r>
    </w:p>
    <w:p>
      <w:pPr>
        <w:pStyle w:val="5"/>
        <w:bidi w:val="0"/>
        <w:ind w:left="253"/>
        <w:rPr>
          <w:rFonts w:hint="eastAsia"/>
          <w:color w:val="auto"/>
          <w:highlight w:val="none"/>
        </w:rPr>
      </w:pPr>
      <w:r>
        <w:rPr>
          <w:rFonts w:hint="default"/>
          <w:color w:val="auto"/>
          <w:highlight w:val="none"/>
          <w:lang w:eastAsia="zh-CN"/>
        </w:rPr>
        <w:t>深化设计选用的材料厂家及品牌应</w:t>
      </w:r>
      <w:r>
        <w:rPr>
          <w:rFonts w:hint="eastAsia"/>
          <w:color w:val="auto"/>
          <w:highlight w:val="none"/>
          <w:lang w:eastAsia="zh-CN"/>
        </w:rPr>
        <w:t>等同或相当于</w:t>
      </w:r>
      <w:r>
        <w:rPr>
          <w:rFonts w:hint="default"/>
          <w:color w:val="auto"/>
          <w:highlight w:val="none"/>
          <w:lang w:eastAsia="zh-CN"/>
        </w:rPr>
        <w:t>《主要设备材料推荐</w:t>
      </w:r>
      <w:r>
        <w:rPr>
          <w:rFonts w:hint="default"/>
          <w:color w:val="auto"/>
          <w:highlight w:val="none"/>
          <w:lang w:val="en-US" w:eastAsia="zh-CN"/>
        </w:rPr>
        <w:t>品牌</w:t>
      </w:r>
      <w:r>
        <w:rPr>
          <w:rFonts w:hint="default"/>
          <w:color w:val="auto"/>
          <w:highlight w:val="none"/>
          <w:lang w:eastAsia="zh-CN"/>
        </w:rPr>
        <w:t>表》</w:t>
      </w:r>
      <w:r>
        <w:rPr>
          <w:rFonts w:hint="eastAsia"/>
          <w:color w:val="auto"/>
          <w:highlight w:val="none"/>
          <w:lang w:val="en-US" w:eastAsia="zh-CN"/>
        </w:rPr>
        <w:t>中的材料品牌标准</w:t>
      </w:r>
      <w:r>
        <w:rPr>
          <w:rFonts w:hint="default"/>
          <w:color w:val="auto"/>
          <w:highlight w:val="none"/>
          <w:lang w:eastAsia="zh-CN"/>
        </w:rPr>
        <w:t>。如经考察，</w:t>
      </w:r>
      <w:r>
        <w:rPr>
          <w:rFonts w:hint="eastAsia"/>
          <w:color w:val="auto"/>
          <w:highlight w:val="none"/>
          <w:lang w:eastAsia="zh-CN"/>
        </w:rPr>
        <w:t>总承包人</w:t>
      </w:r>
      <w:r>
        <w:rPr>
          <w:rFonts w:hint="default"/>
          <w:color w:val="auto"/>
          <w:highlight w:val="none"/>
          <w:lang w:eastAsia="zh-CN"/>
        </w:rPr>
        <w:t>选用的材料不满足工程需要，发包人有权在</w:t>
      </w:r>
      <w:r>
        <w:rPr>
          <w:rFonts w:hint="eastAsia"/>
          <w:color w:val="auto"/>
          <w:highlight w:val="none"/>
          <w:lang w:eastAsia="zh-CN"/>
        </w:rPr>
        <w:t>《主要设备材料推荐品牌表》</w:t>
      </w:r>
      <w:r>
        <w:rPr>
          <w:rFonts w:hint="default"/>
          <w:color w:val="auto"/>
          <w:highlight w:val="none"/>
          <w:lang w:eastAsia="zh-CN"/>
        </w:rPr>
        <w:t>中选择其他满足规定的材料厂家及品牌，合同价款不作调整。</w:t>
      </w:r>
    </w:p>
    <w:p>
      <w:pPr>
        <w:pStyle w:val="5"/>
        <w:bidi w:val="0"/>
        <w:ind w:left="253"/>
        <w:rPr>
          <w:rFonts w:hint="eastAsia"/>
          <w:color w:val="auto"/>
          <w:highlight w:val="none"/>
        </w:rPr>
      </w:pPr>
      <w:r>
        <w:rPr>
          <w:rFonts w:hint="eastAsia"/>
          <w:color w:val="auto"/>
          <w:highlight w:val="none"/>
        </w:rPr>
        <w:t>深化设计的计量计价原则：在满足招标技术要求（包括强制性条款、推荐品牌要求）的前提下，深化设计引起的材质、参数（含规格、型号等)的调整均不作为调价的依据，若造成工程量变化参照合同相关条款。</w:t>
      </w:r>
    </w:p>
    <w:p>
      <w:pPr>
        <w:pStyle w:val="4"/>
        <w:bidi w:val="0"/>
        <w:rPr>
          <w:color w:val="auto"/>
          <w:highlight w:val="none"/>
        </w:rPr>
      </w:pPr>
      <w:r>
        <w:rPr>
          <w:rFonts w:hint="eastAsia"/>
          <w:color w:val="auto"/>
          <w:highlight w:val="none"/>
        </w:rPr>
        <w:t>深化</w:t>
      </w:r>
      <w:r>
        <w:rPr>
          <w:color w:val="auto"/>
          <w:highlight w:val="none"/>
        </w:rPr>
        <w:t>设计</w:t>
      </w:r>
      <w:r>
        <w:rPr>
          <w:rFonts w:hint="eastAsia"/>
          <w:color w:val="auto"/>
          <w:highlight w:val="none"/>
        </w:rPr>
        <w:t>内容</w:t>
      </w:r>
      <w:r>
        <w:rPr>
          <w:color w:val="auto"/>
          <w:highlight w:val="none"/>
        </w:rPr>
        <w:t>及要求</w:t>
      </w:r>
    </w:p>
    <w:p>
      <w:pPr>
        <w:pStyle w:val="5"/>
        <w:bidi w:val="0"/>
        <w:ind w:left="253"/>
        <w:rPr>
          <w:color w:val="auto"/>
          <w:highlight w:val="none"/>
        </w:rPr>
      </w:pPr>
      <w:r>
        <w:rPr>
          <w:rFonts w:hint="eastAsia"/>
          <w:color w:val="auto"/>
          <w:highlight w:val="none"/>
        </w:rPr>
        <w:t>总承包人</w:t>
      </w:r>
      <w:r>
        <w:rPr>
          <w:color w:val="auto"/>
          <w:highlight w:val="none"/>
        </w:rPr>
        <w:t>负责</w:t>
      </w:r>
      <w:r>
        <w:rPr>
          <w:rFonts w:hint="eastAsia"/>
          <w:color w:val="auto"/>
          <w:highlight w:val="none"/>
        </w:rPr>
        <w:t>自行</w:t>
      </w:r>
      <w:r>
        <w:rPr>
          <w:color w:val="auto"/>
          <w:highlight w:val="none"/>
        </w:rPr>
        <w:t>承担施工任务的深化设计工作，包括但不限于下列内容</w:t>
      </w:r>
      <w:r>
        <w:rPr>
          <w:rFonts w:hint="eastAsia"/>
          <w:color w:val="auto"/>
          <w:highlight w:val="none"/>
          <w:lang w:eastAsia="zh-CN"/>
        </w:rPr>
        <w:t>：</w:t>
      </w:r>
    </w:p>
    <w:p>
      <w:pPr>
        <w:numPr>
          <w:ilvl w:val="0"/>
          <w:numId w:val="15"/>
        </w:numPr>
        <w:bidi w:val="0"/>
        <w:ind w:left="480" w:leftChars="0"/>
        <w:rPr>
          <w:color w:val="auto"/>
          <w:highlight w:val="none"/>
        </w:rPr>
      </w:pPr>
      <w:r>
        <w:rPr>
          <w:rFonts w:hint="eastAsia"/>
          <w:color w:val="auto"/>
          <w:highlight w:val="none"/>
        </w:rPr>
        <w:t>土建：预留</w:t>
      </w:r>
      <w:r>
        <w:rPr>
          <w:color w:val="auto"/>
          <w:highlight w:val="none"/>
        </w:rPr>
        <w:t>预埋</w:t>
      </w:r>
      <w:r>
        <w:rPr>
          <w:rFonts w:hint="eastAsia"/>
          <w:color w:val="auto"/>
          <w:highlight w:val="none"/>
        </w:rPr>
        <w:t>（机电</w:t>
      </w:r>
      <w:r>
        <w:rPr>
          <w:color w:val="auto"/>
          <w:highlight w:val="none"/>
        </w:rPr>
        <w:t>安装预留套管及洞口、设备基础</w:t>
      </w:r>
      <w:r>
        <w:rPr>
          <w:rFonts w:hint="eastAsia"/>
          <w:color w:val="auto"/>
          <w:highlight w:val="none"/>
        </w:rPr>
        <w:t>留</w:t>
      </w:r>
      <w:r>
        <w:rPr>
          <w:color w:val="auto"/>
          <w:highlight w:val="none"/>
        </w:rPr>
        <w:t>设、</w:t>
      </w:r>
      <w:r>
        <w:rPr>
          <w:rFonts w:hint="eastAsia"/>
          <w:color w:val="auto"/>
          <w:highlight w:val="none"/>
        </w:rPr>
        <w:t>钢</w:t>
      </w:r>
      <w:r>
        <w:rPr>
          <w:color w:val="auto"/>
          <w:highlight w:val="none"/>
        </w:rPr>
        <w:t>结构</w:t>
      </w:r>
      <w:r>
        <w:rPr>
          <w:rFonts w:hint="eastAsia"/>
          <w:color w:val="auto"/>
          <w:highlight w:val="none"/>
        </w:rPr>
        <w:t>/幕墙</w:t>
      </w:r>
      <w:r>
        <w:rPr>
          <w:color w:val="auto"/>
          <w:highlight w:val="none"/>
        </w:rPr>
        <w:t>埋件</w:t>
      </w:r>
      <w:r>
        <w:rPr>
          <w:rFonts w:hint="eastAsia"/>
          <w:color w:val="auto"/>
          <w:highlight w:val="none"/>
        </w:rPr>
        <w:t>埋设）</w:t>
      </w:r>
      <w:r>
        <w:rPr>
          <w:color w:val="auto"/>
          <w:highlight w:val="none"/>
        </w:rPr>
        <w:t>深化</w:t>
      </w:r>
      <w:r>
        <w:rPr>
          <w:rFonts w:hint="eastAsia"/>
          <w:color w:val="auto"/>
          <w:highlight w:val="none"/>
        </w:rPr>
        <w:t>；内外墙砌体结构（包括留</w:t>
      </w:r>
      <w:r>
        <w:rPr>
          <w:color w:val="auto"/>
          <w:highlight w:val="none"/>
        </w:rPr>
        <w:t>洞、</w:t>
      </w:r>
      <w:r>
        <w:rPr>
          <w:rFonts w:hint="eastAsia"/>
          <w:color w:val="auto"/>
          <w:highlight w:val="none"/>
        </w:rPr>
        <w:t>排砖、构造柱、圈过梁、压顶设置等）深化；地库（包括底</w:t>
      </w:r>
      <w:r>
        <w:rPr>
          <w:color w:val="auto"/>
          <w:highlight w:val="none"/>
        </w:rPr>
        <w:t>板</w:t>
      </w:r>
      <w:r>
        <w:rPr>
          <w:rFonts w:hint="eastAsia"/>
          <w:color w:val="auto"/>
          <w:highlight w:val="none"/>
        </w:rPr>
        <w:t>防水</w:t>
      </w:r>
      <w:r>
        <w:rPr>
          <w:color w:val="auto"/>
          <w:highlight w:val="none"/>
        </w:rPr>
        <w:t>排水、</w:t>
      </w:r>
      <w:r>
        <w:rPr>
          <w:rFonts w:hint="eastAsia"/>
          <w:color w:val="auto"/>
          <w:highlight w:val="none"/>
        </w:rPr>
        <w:t>地面分</w:t>
      </w:r>
      <w:r>
        <w:rPr>
          <w:color w:val="auto"/>
          <w:highlight w:val="none"/>
        </w:rPr>
        <w:t>缝切缝</w:t>
      </w:r>
      <w:r>
        <w:rPr>
          <w:rFonts w:hint="eastAsia"/>
          <w:color w:val="auto"/>
          <w:highlight w:val="none"/>
        </w:rPr>
        <w:t>、天棚〈管线</w:t>
      </w:r>
      <w:r>
        <w:rPr>
          <w:color w:val="auto"/>
          <w:highlight w:val="none"/>
        </w:rPr>
        <w:t>及通风设备安装后应</w:t>
      </w:r>
      <w:r>
        <w:rPr>
          <w:rFonts w:hint="eastAsia"/>
          <w:color w:val="auto"/>
          <w:highlight w:val="none"/>
        </w:rPr>
        <w:t>满足</w:t>
      </w:r>
      <w:r>
        <w:rPr>
          <w:color w:val="auto"/>
          <w:highlight w:val="none"/>
        </w:rPr>
        <w:t>设计最小净高要求</w:t>
      </w:r>
      <w:r>
        <w:rPr>
          <w:rFonts w:hint="eastAsia"/>
          <w:color w:val="auto"/>
          <w:highlight w:val="none"/>
        </w:rPr>
        <w:t>〉、设备间〈设备</w:t>
      </w:r>
      <w:r>
        <w:rPr>
          <w:color w:val="auto"/>
          <w:highlight w:val="none"/>
        </w:rPr>
        <w:t>定位</w:t>
      </w:r>
      <w:r>
        <w:rPr>
          <w:rFonts w:hint="eastAsia"/>
          <w:color w:val="auto"/>
          <w:highlight w:val="none"/>
        </w:rPr>
        <w:t>及管线</w:t>
      </w:r>
      <w:r>
        <w:rPr>
          <w:color w:val="auto"/>
          <w:highlight w:val="none"/>
        </w:rPr>
        <w:t>排布</w:t>
      </w:r>
      <w:r>
        <w:rPr>
          <w:rFonts w:hint="eastAsia"/>
          <w:color w:val="auto"/>
          <w:highlight w:val="none"/>
        </w:rPr>
        <w:t>，</w:t>
      </w:r>
      <w:r>
        <w:rPr>
          <w:color w:val="auto"/>
          <w:highlight w:val="none"/>
        </w:rPr>
        <w:t>以保证安装及维修时有足够空间</w:t>
      </w:r>
      <w:r>
        <w:rPr>
          <w:rFonts w:hint="eastAsia"/>
          <w:color w:val="auto"/>
          <w:highlight w:val="none"/>
        </w:rPr>
        <w:t>〉）深化；设备基础（包含配筋、混凝土标号）深化；屋面（防</w:t>
      </w:r>
      <w:r>
        <w:rPr>
          <w:color w:val="auto"/>
          <w:highlight w:val="none"/>
        </w:rPr>
        <w:t>水</w:t>
      </w:r>
      <w:r>
        <w:rPr>
          <w:rFonts w:hint="eastAsia"/>
          <w:color w:val="auto"/>
          <w:highlight w:val="none"/>
        </w:rPr>
        <w:t>排</w:t>
      </w:r>
      <w:r>
        <w:rPr>
          <w:color w:val="auto"/>
          <w:highlight w:val="none"/>
        </w:rPr>
        <w:t>水</w:t>
      </w:r>
      <w:r>
        <w:rPr>
          <w:rFonts w:hint="eastAsia"/>
          <w:color w:val="auto"/>
          <w:highlight w:val="none"/>
        </w:rPr>
        <w:t>）深化；外墙饰</w:t>
      </w:r>
      <w:r>
        <w:rPr>
          <w:color w:val="auto"/>
          <w:highlight w:val="none"/>
        </w:rPr>
        <w:t>面（</w:t>
      </w:r>
      <w:r>
        <w:rPr>
          <w:rFonts w:hint="eastAsia"/>
          <w:color w:val="auto"/>
          <w:highlight w:val="none"/>
        </w:rPr>
        <w:t>分</w:t>
      </w:r>
      <w:r>
        <w:rPr>
          <w:color w:val="auto"/>
          <w:highlight w:val="none"/>
        </w:rPr>
        <w:t>缝、排砖等）</w:t>
      </w:r>
      <w:r>
        <w:rPr>
          <w:rFonts w:hint="eastAsia"/>
          <w:color w:val="auto"/>
          <w:highlight w:val="none"/>
        </w:rPr>
        <w:t>深化；电梯土建条件深化；室外</w:t>
      </w:r>
      <w:r>
        <w:rPr>
          <w:color w:val="auto"/>
          <w:highlight w:val="none"/>
        </w:rPr>
        <w:t>工程（</w:t>
      </w:r>
      <w:r>
        <w:rPr>
          <w:rFonts w:hint="eastAsia"/>
          <w:color w:val="auto"/>
          <w:highlight w:val="none"/>
        </w:rPr>
        <w:t>地下室</w:t>
      </w:r>
      <w:r>
        <w:rPr>
          <w:color w:val="auto"/>
          <w:highlight w:val="none"/>
        </w:rPr>
        <w:t>顶板）</w:t>
      </w:r>
      <w:r>
        <w:rPr>
          <w:rFonts w:hint="eastAsia"/>
          <w:color w:val="auto"/>
          <w:highlight w:val="none"/>
        </w:rPr>
        <w:t>防水</w:t>
      </w:r>
      <w:r>
        <w:rPr>
          <w:color w:val="auto"/>
          <w:highlight w:val="none"/>
        </w:rPr>
        <w:t>排水</w:t>
      </w:r>
      <w:r>
        <w:rPr>
          <w:rFonts w:hint="eastAsia"/>
          <w:color w:val="auto"/>
          <w:highlight w:val="none"/>
        </w:rPr>
        <w:t>深化；</w:t>
      </w:r>
      <w:r>
        <w:rPr>
          <w:color w:val="auto"/>
          <w:highlight w:val="none"/>
        </w:rPr>
        <w:t>非二次精装区域饰面（</w:t>
      </w:r>
      <w:r>
        <w:rPr>
          <w:rFonts w:hint="eastAsia"/>
          <w:color w:val="auto"/>
          <w:highlight w:val="none"/>
        </w:rPr>
        <w:t>疏</w:t>
      </w:r>
      <w:r>
        <w:rPr>
          <w:color w:val="auto"/>
          <w:highlight w:val="none"/>
        </w:rPr>
        <w:t>散楼梯通道地面排砖、</w:t>
      </w:r>
      <w:r>
        <w:rPr>
          <w:rFonts w:hint="eastAsia"/>
          <w:color w:val="auto"/>
          <w:highlight w:val="none"/>
        </w:rPr>
        <w:t>靠</w:t>
      </w:r>
      <w:r>
        <w:rPr>
          <w:color w:val="auto"/>
          <w:highlight w:val="none"/>
        </w:rPr>
        <w:t>墙扶手</w:t>
      </w:r>
      <w:r>
        <w:rPr>
          <w:rFonts w:hint="eastAsia"/>
          <w:color w:val="auto"/>
          <w:highlight w:val="none"/>
        </w:rPr>
        <w:t>等</w:t>
      </w:r>
      <w:r>
        <w:rPr>
          <w:color w:val="auto"/>
          <w:highlight w:val="none"/>
        </w:rPr>
        <w:t>）</w:t>
      </w:r>
      <w:r>
        <w:rPr>
          <w:rFonts w:hint="eastAsia"/>
          <w:color w:val="auto"/>
          <w:highlight w:val="none"/>
        </w:rPr>
        <w:t>深化等。</w:t>
      </w:r>
    </w:p>
    <w:p>
      <w:pPr>
        <w:numPr>
          <w:ilvl w:val="0"/>
          <w:numId w:val="15"/>
        </w:numPr>
        <w:bidi w:val="0"/>
        <w:ind w:left="480" w:leftChars="0"/>
        <w:rPr>
          <w:color w:val="auto"/>
          <w:highlight w:val="none"/>
        </w:rPr>
      </w:pPr>
      <w:r>
        <w:rPr>
          <w:rFonts w:hint="eastAsia"/>
          <w:color w:val="auto"/>
          <w:highlight w:val="none"/>
        </w:rPr>
        <w:t>在总</w:t>
      </w:r>
      <w:r>
        <w:rPr>
          <w:color w:val="auto"/>
          <w:highlight w:val="none"/>
        </w:rPr>
        <w:t>承包范围内的小型钢结构工程</w:t>
      </w:r>
      <w:r>
        <w:rPr>
          <w:rFonts w:hint="eastAsia"/>
          <w:color w:val="auto"/>
          <w:highlight w:val="none"/>
        </w:rPr>
        <w:t>的</w:t>
      </w:r>
      <w:r>
        <w:rPr>
          <w:color w:val="auto"/>
          <w:highlight w:val="none"/>
        </w:rPr>
        <w:t>深化设计。</w:t>
      </w:r>
    </w:p>
    <w:p>
      <w:pPr>
        <w:numPr>
          <w:ilvl w:val="0"/>
          <w:numId w:val="15"/>
        </w:numPr>
        <w:bidi w:val="0"/>
        <w:ind w:left="480" w:leftChars="0"/>
        <w:rPr>
          <w:color w:val="auto"/>
          <w:highlight w:val="none"/>
        </w:rPr>
      </w:pPr>
      <w:r>
        <w:rPr>
          <w:rFonts w:hint="eastAsia"/>
          <w:color w:val="auto"/>
          <w:highlight w:val="none"/>
        </w:rPr>
        <w:t>底板超过500mm厚（不含500mm厚）时，底板措施筋（仅马镫筋及钢支架）的施工方案深化。</w:t>
      </w:r>
    </w:p>
    <w:p>
      <w:pPr>
        <w:numPr>
          <w:ilvl w:val="0"/>
          <w:numId w:val="15"/>
        </w:numPr>
        <w:bidi w:val="0"/>
        <w:ind w:left="480" w:leftChars="0"/>
        <w:rPr>
          <w:color w:val="auto"/>
          <w:highlight w:val="none"/>
        </w:rPr>
      </w:pPr>
      <w:r>
        <w:rPr>
          <w:rFonts w:hint="eastAsia"/>
          <w:color w:val="auto"/>
          <w:highlight w:val="none"/>
        </w:rPr>
        <w:t>机电：抗震支吊架、给水管线排布、排水管线排布、机电点位布置、机电预留预埋标准、压槽预留标准、弱电智能化、室内外综合管线（包括地下室及设备层管线综合、设备房间）、设备机房、强弱电井、管井、管道</w:t>
      </w:r>
      <w:r>
        <w:rPr>
          <w:color w:val="auto"/>
          <w:highlight w:val="none"/>
        </w:rPr>
        <w:t>转换层</w:t>
      </w:r>
      <w:r>
        <w:rPr>
          <w:rFonts w:hint="eastAsia"/>
          <w:color w:val="auto"/>
          <w:highlight w:val="none"/>
        </w:rPr>
        <w:t>等。</w:t>
      </w:r>
    </w:p>
    <w:p>
      <w:pPr>
        <w:pStyle w:val="5"/>
        <w:bidi w:val="0"/>
        <w:ind w:left="253"/>
        <w:rPr>
          <w:color w:val="auto"/>
          <w:highlight w:val="none"/>
        </w:rPr>
      </w:pPr>
      <w:r>
        <w:rPr>
          <w:rFonts w:hint="eastAsia"/>
          <w:color w:val="auto"/>
          <w:highlight w:val="none"/>
        </w:rPr>
        <w:t>总承包人</w:t>
      </w:r>
      <w:r>
        <w:rPr>
          <w:color w:val="auto"/>
          <w:highlight w:val="none"/>
        </w:rPr>
        <w:t>协调</w:t>
      </w:r>
      <w:r>
        <w:rPr>
          <w:rFonts w:hint="eastAsia"/>
          <w:color w:val="auto"/>
          <w:highlight w:val="none"/>
        </w:rPr>
        <w:t>的</w:t>
      </w:r>
      <w:r>
        <w:rPr>
          <w:rFonts w:hint="eastAsia"/>
          <w:color w:val="auto"/>
          <w:highlight w:val="none"/>
          <w:lang w:eastAsia="zh-CN"/>
        </w:rPr>
        <w:t>专业承包</w:t>
      </w:r>
      <w:r>
        <w:rPr>
          <w:color w:val="auto"/>
          <w:highlight w:val="none"/>
        </w:rPr>
        <w:t>人深化设计工作，包括但不限于下列内容</w:t>
      </w:r>
      <w:r>
        <w:rPr>
          <w:rFonts w:hint="eastAsia"/>
          <w:color w:val="auto"/>
          <w:highlight w:val="none"/>
        </w:rPr>
        <w:t>：</w:t>
      </w:r>
    </w:p>
    <w:p>
      <w:pPr>
        <w:numPr>
          <w:ilvl w:val="0"/>
          <w:numId w:val="16"/>
        </w:numPr>
        <w:bidi w:val="0"/>
        <w:ind w:left="480" w:leftChars="0"/>
        <w:rPr>
          <w:rFonts w:hint="eastAsia" w:ascii="宋体" w:hAnsi="宋体" w:eastAsia="宋体"/>
          <w:color w:val="auto"/>
          <w:highlight w:val="none"/>
        </w:rPr>
      </w:pPr>
      <w:r>
        <w:rPr>
          <w:rFonts w:hint="eastAsia" w:ascii="宋体" w:hAnsi="宋体" w:eastAsia="宋体"/>
          <w:color w:val="auto"/>
          <w:highlight w:val="none"/>
        </w:rPr>
        <w:t>土建：铝合金模板（铝模厂家选择及节点深化，包括外墙窗洞口节点、阳台门洞口节点、卫生间、门过梁</w:t>
      </w:r>
      <w:r>
        <w:rPr>
          <w:rFonts w:hint="eastAsia" w:ascii="宋体" w:hAnsi="宋体" w:eastAsia="宋体"/>
          <w:color w:val="auto"/>
          <w:highlight w:val="none"/>
          <w:lang w:eastAsia="zh-CN"/>
        </w:rPr>
        <w:t>、</w:t>
      </w:r>
      <w:r>
        <w:rPr>
          <w:rFonts w:hint="eastAsia" w:ascii="宋体" w:hAnsi="宋体" w:eastAsia="宋体"/>
          <w:color w:val="auto"/>
          <w:highlight w:val="none"/>
          <w:lang w:val="en-US" w:eastAsia="zh-CN"/>
        </w:rPr>
        <w:t>构造柱、反坎</w:t>
      </w:r>
      <w:r>
        <w:rPr>
          <w:rFonts w:hint="eastAsia" w:ascii="宋体" w:hAnsi="宋体" w:eastAsia="宋体"/>
          <w:color w:val="auto"/>
          <w:highlight w:val="none"/>
        </w:rPr>
        <w:t>等）深化</w:t>
      </w:r>
      <w:r>
        <w:rPr>
          <w:rFonts w:hint="eastAsia" w:ascii="宋体" w:hAnsi="宋体" w:eastAsia="宋体"/>
          <w:color w:val="auto"/>
          <w:highlight w:val="none"/>
          <w:lang w:eastAsia="zh-CN"/>
        </w:rPr>
        <w:t>、</w:t>
      </w:r>
      <w:r>
        <w:rPr>
          <w:rFonts w:hint="eastAsia" w:ascii="宋体" w:hAnsi="宋体" w:eastAsia="宋体"/>
          <w:color w:val="auto"/>
          <w:highlight w:val="none"/>
          <w:lang w:val="en-US" w:eastAsia="zh-CN"/>
        </w:rPr>
        <w:t>预制构件深化</w:t>
      </w:r>
      <w:r>
        <w:rPr>
          <w:rFonts w:hint="eastAsia" w:ascii="宋体" w:hAnsi="宋体" w:eastAsia="宋体"/>
          <w:color w:val="auto"/>
          <w:highlight w:val="none"/>
        </w:rPr>
        <w:t>等。</w:t>
      </w:r>
    </w:p>
    <w:p>
      <w:pPr>
        <w:numPr>
          <w:ilvl w:val="0"/>
          <w:numId w:val="16"/>
        </w:numPr>
        <w:bidi w:val="0"/>
        <w:ind w:left="480" w:leftChars="0"/>
        <w:rPr>
          <w:rFonts w:hint="eastAsia" w:ascii="宋体" w:hAnsi="宋体" w:eastAsia="宋体"/>
          <w:color w:val="auto"/>
          <w:highlight w:val="none"/>
        </w:rPr>
      </w:pPr>
      <w:r>
        <w:rPr>
          <w:rFonts w:hint="eastAsia" w:ascii="宋体" w:hAnsi="宋体" w:eastAsia="宋体"/>
          <w:color w:val="auto"/>
          <w:highlight w:val="none"/>
        </w:rPr>
        <w:t>门窗：安装节点、加工节点及试验实施图纸等深化。</w:t>
      </w:r>
    </w:p>
    <w:p>
      <w:pPr>
        <w:numPr>
          <w:ilvl w:val="0"/>
          <w:numId w:val="16"/>
        </w:numPr>
        <w:bidi w:val="0"/>
        <w:ind w:left="480" w:leftChars="0"/>
        <w:rPr>
          <w:rFonts w:hint="eastAsia" w:ascii="宋体" w:hAnsi="宋体" w:eastAsia="宋体"/>
          <w:color w:val="auto"/>
          <w:highlight w:val="none"/>
        </w:rPr>
      </w:pPr>
      <w:r>
        <w:rPr>
          <w:rFonts w:hint="eastAsia" w:ascii="宋体" w:hAnsi="宋体" w:eastAsia="宋体"/>
          <w:color w:val="auto"/>
          <w:highlight w:val="none"/>
        </w:rPr>
        <w:t>幕墙</w:t>
      </w:r>
      <w:r>
        <w:rPr>
          <w:rFonts w:hint="eastAsia" w:ascii="宋体" w:hAnsi="宋体" w:eastAsia="宋体"/>
          <w:color w:val="auto"/>
          <w:highlight w:val="none"/>
          <w:lang w:val="en-US" w:eastAsia="zh-CN"/>
        </w:rPr>
        <w:t>/外立面</w:t>
      </w:r>
      <w:r>
        <w:rPr>
          <w:rFonts w:hint="eastAsia" w:ascii="宋体" w:hAnsi="宋体" w:eastAsia="宋体"/>
          <w:color w:val="auto"/>
          <w:highlight w:val="none"/>
        </w:rPr>
        <w:t>：</w:t>
      </w:r>
      <w:r>
        <w:rPr>
          <w:rFonts w:hint="eastAsia" w:ascii="宋体" w:hAnsi="宋体" w:eastAsia="宋体"/>
          <w:color w:val="auto"/>
          <w:highlight w:val="none"/>
          <w:lang w:val="en-US" w:eastAsia="zh-CN"/>
        </w:rPr>
        <w:t>栏杆百叶</w:t>
      </w:r>
      <w:r>
        <w:rPr>
          <w:rFonts w:hint="eastAsia" w:ascii="宋体" w:hAnsi="宋体" w:eastAsia="宋体"/>
          <w:color w:val="auto"/>
          <w:highlight w:val="none"/>
        </w:rPr>
        <w:t>深化</w:t>
      </w:r>
      <w:r>
        <w:rPr>
          <w:rFonts w:hint="eastAsia" w:ascii="宋体" w:hAnsi="宋体" w:eastAsia="宋体"/>
          <w:color w:val="auto"/>
          <w:highlight w:val="none"/>
          <w:lang w:val="en-US" w:eastAsia="zh-CN"/>
        </w:rPr>
        <w:t>等</w:t>
      </w:r>
      <w:r>
        <w:rPr>
          <w:rFonts w:hint="eastAsia" w:ascii="宋体" w:hAnsi="宋体" w:eastAsia="宋体"/>
          <w:color w:val="auto"/>
          <w:highlight w:val="none"/>
        </w:rPr>
        <w:t>。</w:t>
      </w:r>
    </w:p>
    <w:p>
      <w:pPr>
        <w:numPr>
          <w:ilvl w:val="0"/>
          <w:numId w:val="16"/>
        </w:numPr>
        <w:bidi w:val="0"/>
        <w:ind w:left="480" w:leftChars="0"/>
        <w:rPr>
          <w:rFonts w:hint="eastAsia" w:ascii="宋体" w:hAnsi="宋体" w:eastAsia="宋体"/>
          <w:color w:val="auto"/>
          <w:highlight w:val="none"/>
        </w:rPr>
      </w:pPr>
      <w:r>
        <w:rPr>
          <w:rFonts w:hint="eastAsia" w:ascii="宋体" w:hAnsi="宋体" w:eastAsia="宋体"/>
          <w:color w:val="auto"/>
          <w:highlight w:val="none"/>
          <w:lang w:val="en-US" w:eastAsia="zh-CN"/>
        </w:rPr>
        <w:t>标识标牌工程</w:t>
      </w:r>
      <w:r>
        <w:rPr>
          <w:rFonts w:hint="eastAsia" w:ascii="宋体" w:hAnsi="宋体" w:eastAsia="宋体"/>
          <w:color w:val="auto"/>
          <w:highlight w:val="none"/>
        </w:rPr>
        <w:t>：</w:t>
      </w:r>
      <w:r>
        <w:rPr>
          <w:rFonts w:hint="eastAsia" w:ascii="宋体" w:hAnsi="宋体" w:eastAsia="宋体"/>
          <w:color w:val="auto"/>
          <w:highlight w:val="none"/>
          <w:lang w:val="en-US" w:eastAsia="zh-CN"/>
        </w:rPr>
        <w:t>地下室标识、室内标识、景观标识、门楼标识、交通划线深化等。</w:t>
      </w:r>
    </w:p>
    <w:p>
      <w:pPr>
        <w:pStyle w:val="5"/>
        <w:bidi w:val="0"/>
        <w:ind w:left="253"/>
        <w:rPr>
          <w:rFonts w:hint="eastAsia" w:ascii="宋体" w:hAnsi="宋体" w:eastAsia="宋体"/>
          <w:color w:val="auto"/>
          <w:highlight w:val="none"/>
          <w:lang w:eastAsia="zh-CN"/>
        </w:rPr>
      </w:pPr>
      <w:r>
        <w:rPr>
          <w:rFonts w:hint="eastAsia"/>
          <w:color w:val="auto"/>
          <w:highlight w:val="none"/>
        </w:rPr>
        <w:t>对机电综合</w:t>
      </w:r>
      <w:r>
        <w:rPr>
          <w:color w:val="auto"/>
          <w:highlight w:val="none"/>
        </w:rPr>
        <w:t>管线</w:t>
      </w:r>
      <w:r>
        <w:rPr>
          <w:rFonts w:hint="eastAsia"/>
          <w:color w:val="auto"/>
          <w:highlight w:val="none"/>
        </w:rPr>
        <w:t>深化</w:t>
      </w:r>
      <w:r>
        <w:rPr>
          <w:color w:val="auto"/>
          <w:highlight w:val="none"/>
        </w:rPr>
        <w:t>的详细要求</w:t>
      </w:r>
    </w:p>
    <w:p>
      <w:pPr>
        <w:numPr>
          <w:ilvl w:val="0"/>
          <w:numId w:val="17"/>
        </w:numPr>
        <w:spacing w:before="120" w:beforeLines="50" w:after="120" w:afterLines="50"/>
        <w:ind w:left="431" w:leftChars="0" w:hanging="142"/>
        <w:rPr>
          <w:color w:val="auto"/>
          <w:highlight w:val="none"/>
        </w:rPr>
      </w:pPr>
      <w:r>
        <w:rPr>
          <w:rFonts w:hint="eastAsia"/>
          <w:color w:val="auto"/>
          <w:highlight w:val="none"/>
        </w:rPr>
        <w:t>机电管线的深化需综合考虑机房、管井、地下室等管线密集区域中给水、排水、强电、弱电、通风、采暖、消防防排烟系统、消防灭火系统、照明灯具等综合排布，核对地下机电管线间交叉、管道位置和标高是否影响主体结构和行车、停车高度，影响设备及管线的维护，影响人员通行等；管线穿墙部位是否与暗柱、构造柱、圈梁相冲突，防火封堵节点；人防门及消防卷帘开启是否与机电管线布置相冲突；集水坑与机电管线的连接部位是否满足使用要求。同时还应考虑有压管线和无压管线的找坡问题等。</w:t>
      </w:r>
    </w:p>
    <w:p>
      <w:pPr>
        <w:numPr>
          <w:ilvl w:val="0"/>
          <w:numId w:val="17"/>
        </w:numPr>
        <w:spacing w:before="120" w:beforeLines="50" w:after="120" w:afterLines="50"/>
        <w:ind w:left="431" w:leftChars="0" w:hanging="142"/>
        <w:rPr>
          <w:color w:val="auto"/>
          <w:highlight w:val="none"/>
        </w:rPr>
      </w:pPr>
      <w:r>
        <w:rPr>
          <w:rFonts w:hint="eastAsia"/>
          <w:color w:val="auto"/>
          <w:highlight w:val="none"/>
        </w:rPr>
        <w:t>总承包人负责实施综合支吊架、抗震支吊架的深化设计及安装施工。在</w:t>
      </w:r>
      <w:r>
        <w:rPr>
          <w:color w:val="auto"/>
          <w:highlight w:val="none"/>
        </w:rPr>
        <w:t>总承包范围内约定：地下室机电管线集中区域</w:t>
      </w:r>
      <w:r>
        <w:rPr>
          <w:rFonts w:hint="eastAsia"/>
          <w:color w:val="auto"/>
          <w:highlight w:val="none"/>
        </w:rPr>
        <w:t>（空调</w:t>
      </w:r>
      <w:r>
        <w:rPr>
          <w:color w:val="auto"/>
          <w:highlight w:val="none"/>
        </w:rPr>
        <w:t>通风、</w:t>
      </w:r>
      <w:r>
        <w:rPr>
          <w:rFonts w:hint="eastAsia"/>
          <w:color w:val="auto"/>
          <w:highlight w:val="none"/>
        </w:rPr>
        <w:t>给排水</w:t>
      </w:r>
      <w:r>
        <w:rPr>
          <w:color w:val="auto"/>
          <w:highlight w:val="none"/>
        </w:rPr>
        <w:t>、消防、桥架等）由总承包人负责管线综合深化</w:t>
      </w:r>
      <w:r>
        <w:rPr>
          <w:rFonts w:hint="eastAsia"/>
          <w:color w:val="auto"/>
          <w:highlight w:val="none"/>
        </w:rPr>
        <w:t>和联合</w:t>
      </w:r>
      <w:r>
        <w:rPr>
          <w:color w:val="auto"/>
          <w:highlight w:val="none"/>
        </w:rPr>
        <w:t>支吊架的深化</w:t>
      </w:r>
      <w:r>
        <w:rPr>
          <w:rFonts w:hint="eastAsia"/>
          <w:color w:val="auto"/>
          <w:highlight w:val="none"/>
        </w:rPr>
        <w:t>，</w:t>
      </w:r>
      <w:r>
        <w:rPr>
          <w:color w:val="auto"/>
          <w:highlight w:val="none"/>
        </w:rPr>
        <w:t>并负责</w:t>
      </w:r>
      <w:r>
        <w:rPr>
          <w:rFonts w:hint="eastAsia"/>
          <w:color w:val="auto"/>
          <w:highlight w:val="none"/>
        </w:rPr>
        <w:t>供应</w:t>
      </w:r>
      <w:r>
        <w:rPr>
          <w:color w:val="auto"/>
          <w:highlight w:val="none"/>
        </w:rPr>
        <w:t>和安装施工。</w:t>
      </w:r>
      <w:r>
        <w:rPr>
          <w:rFonts w:hint="eastAsia"/>
          <w:color w:val="auto"/>
          <w:highlight w:val="none"/>
        </w:rPr>
        <w:t>非集中</w:t>
      </w:r>
      <w:r>
        <w:rPr>
          <w:color w:val="auto"/>
          <w:highlight w:val="none"/>
        </w:rPr>
        <w:t>区域由各专业管线单位自身负责支吊架的供应和安装。</w:t>
      </w:r>
      <w:r>
        <w:rPr>
          <w:rFonts w:hint="eastAsia"/>
          <w:color w:val="auto"/>
          <w:highlight w:val="none"/>
        </w:rPr>
        <w:t>总承包人</w:t>
      </w:r>
      <w:r>
        <w:rPr>
          <w:color w:val="auto"/>
          <w:highlight w:val="none"/>
        </w:rPr>
        <w:t>应充分消化招标图纸并预估可能发生的综合支吊架的工程量。</w:t>
      </w:r>
    </w:p>
    <w:p>
      <w:pPr>
        <w:pStyle w:val="5"/>
        <w:bidi w:val="0"/>
        <w:ind w:left="253"/>
        <w:rPr>
          <w:color w:val="auto"/>
          <w:highlight w:val="none"/>
        </w:rPr>
      </w:pPr>
      <w:r>
        <w:rPr>
          <w:color w:val="auto"/>
          <w:highlight w:val="none"/>
        </w:rPr>
        <w:t>总承包人应提交地下室（裙楼）综合管线</w:t>
      </w:r>
      <w:r>
        <w:rPr>
          <w:rFonts w:hint="eastAsia"/>
          <w:color w:val="auto"/>
          <w:highlight w:val="none"/>
        </w:rPr>
        <w:t>、</w:t>
      </w:r>
      <w:r>
        <w:rPr>
          <w:color w:val="auto"/>
          <w:highlight w:val="none"/>
        </w:rPr>
        <w:t>设备机房、强弱电井</w:t>
      </w:r>
      <w:r>
        <w:rPr>
          <w:rFonts w:hint="eastAsia"/>
          <w:color w:val="auto"/>
          <w:highlight w:val="none"/>
        </w:rPr>
        <w:t>和</w:t>
      </w:r>
      <w:r>
        <w:rPr>
          <w:color w:val="auto"/>
          <w:highlight w:val="none"/>
        </w:rPr>
        <w:t>管道井BIM深化</w:t>
      </w:r>
      <w:r>
        <w:rPr>
          <w:rFonts w:hint="eastAsia"/>
          <w:color w:val="auto"/>
          <w:highlight w:val="none"/>
        </w:rPr>
        <w:t>设计</w:t>
      </w:r>
      <w:r>
        <w:rPr>
          <w:color w:val="auto"/>
          <w:highlight w:val="none"/>
        </w:rPr>
        <w:t>成果</w:t>
      </w:r>
      <w:r>
        <w:rPr>
          <w:rFonts w:hint="eastAsia"/>
          <w:color w:val="auto"/>
          <w:highlight w:val="none"/>
        </w:rPr>
        <w:t>。</w:t>
      </w:r>
    </w:p>
    <w:p>
      <w:pPr>
        <w:pStyle w:val="5"/>
        <w:bidi w:val="0"/>
        <w:rPr>
          <w:rFonts w:hint="eastAsia"/>
          <w:color w:val="auto"/>
          <w:highlight w:val="none"/>
          <w:lang w:val="en-US" w:eastAsia="zh-CN"/>
        </w:rPr>
      </w:pPr>
      <w:r>
        <w:rPr>
          <w:rFonts w:hint="eastAsia"/>
          <w:color w:val="auto"/>
          <w:highlight w:val="none"/>
        </w:rPr>
        <w:t>深化</w:t>
      </w:r>
      <w:r>
        <w:rPr>
          <w:color w:val="auto"/>
          <w:highlight w:val="none"/>
        </w:rPr>
        <w:t>设计</w:t>
      </w:r>
      <w:r>
        <w:rPr>
          <w:rFonts w:hint="eastAsia"/>
          <w:color w:val="auto"/>
          <w:highlight w:val="none"/>
          <w:lang w:val="en-US" w:eastAsia="zh-CN"/>
        </w:rPr>
        <w:t>清单</w:t>
      </w:r>
    </w:p>
    <w:p>
      <w:pPr>
        <w:bidi w:val="0"/>
        <w:rPr>
          <w:color w:val="auto"/>
          <w:highlight w:val="none"/>
          <w:lang w:eastAsia="zh-CN"/>
        </w:rPr>
      </w:pPr>
      <w:r>
        <w:rPr>
          <w:rFonts w:hint="eastAsia"/>
          <w:color w:val="auto"/>
          <w:highlight w:val="none"/>
          <w:lang w:eastAsia="zh-CN"/>
        </w:rPr>
        <w:t>包括但不限于以下内容：</w:t>
      </w:r>
      <w:r>
        <w:rPr>
          <w:color w:val="auto"/>
          <w:highlight w:val="none"/>
          <w:lang w:eastAsia="zh-CN"/>
        </w:rPr>
        <w:t xml:space="preserve"> </w:t>
      </w:r>
    </w:p>
    <w:tbl>
      <w:tblPr>
        <w:tblStyle w:val="21"/>
        <w:tblW w:w="4996"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573"/>
        <w:gridCol w:w="856"/>
        <w:gridCol w:w="917"/>
        <w:gridCol w:w="1566"/>
        <w:gridCol w:w="3795"/>
        <w:gridCol w:w="1439"/>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75" w:hRule="atLeast"/>
        </w:trPr>
        <w:tc>
          <w:tcPr>
            <w:tcW w:w="313" w:type="pct"/>
            <w:tcBorders>
              <w:top w:val="single" w:color="000000" w:sz="4" w:space="0"/>
              <w:left w:val="single" w:color="000000" w:sz="4" w:space="0"/>
              <w:bottom w:val="single" w:color="000000" w:sz="4" w:space="0"/>
              <w:right w:val="single" w:color="000000" w:sz="4" w:space="0"/>
            </w:tcBorders>
            <w:shd w:val="clear" w:color="auto" w:fill="D9D9D9"/>
            <w:vAlign w:val="center"/>
          </w:tcPr>
          <w:p>
            <w:pPr>
              <w:pStyle w:val="12"/>
              <w:bidi w:val="0"/>
              <w:rPr>
                <w:rFonts w:hint="eastAsia"/>
                <w:color w:val="auto"/>
                <w:highlight w:val="none"/>
              </w:rPr>
            </w:pPr>
            <w:r>
              <w:rPr>
                <w:rFonts w:hint="eastAsia"/>
                <w:color w:val="auto"/>
                <w:highlight w:val="none"/>
                <w:lang w:val="en-US" w:eastAsia="zh-CN"/>
              </w:rPr>
              <w:t>序号</w:t>
            </w:r>
          </w:p>
        </w:tc>
        <w:tc>
          <w:tcPr>
            <w:tcW w:w="468" w:type="pct"/>
            <w:tcBorders>
              <w:top w:val="single" w:color="000000" w:sz="4" w:space="0"/>
              <w:left w:val="single" w:color="000000" w:sz="4" w:space="0"/>
              <w:bottom w:val="single" w:color="000000" w:sz="4" w:space="0"/>
              <w:right w:val="single" w:color="000000" w:sz="4" w:space="0"/>
            </w:tcBorders>
            <w:shd w:val="clear" w:color="auto" w:fill="D9D9D9"/>
            <w:vAlign w:val="center"/>
          </w:tcPr>
          <w:p>
            <w:pPr>
              <w:pStyle w:val="12"/>
              <w:bidi w:val="0"/>
              <w:rPr>
                <w:rFonts w:hint="eastAsia"/>
                <w:color w:val="auto"/>
                <w:highlight w:val="none"/>
              </w:rPr>
            </w:pPr>
            <w:r>
              <w:rPr>
                <w:rFonts w:hint="eastAsia"/>
                <w:color w:val="auto"/>
                <w:highlight w:val="none"/>
                <w:lang w:val="en-US" w:eastAsia="zh-CN"/>
              </w:rPr>
              <w:t>施工阶段</w:t>
            </w:r>
          </w:p>
        </w:tc>
        <w:tc>
          <w:tcPr>
            <w:tcW w:w="501" w:type="pct"/>
            <w:tcBorders>
              <w:top w:val="single" w:color="000000" w:sz="4" w:space="0"/>
              <w:left w:val="single" w:color="000000" w:sz="4" w:space="0"/>
              <w:bottom w:val="single" w:color="000000" w:sz="4" w:space="0"/>
              <w:right w:val="single" w:color="000000" w:sz="4" w:space="0"/>
            </w:tcBorders>
            <w:shd w:val="clear" w:color="auto" w:fill="D9D9D9"/>
            <w:vAlign w:val="center"/>
          </w:tcPr>
          <w:p>
            <w:pPr>
              <w:pStyle w:val="12"/>
              <w:bidi w:val="0"/>
              <w:rPr>
                <w:rFonts w:hint="eastAsia"/>
                <w:color w:val="auto"/>
                <w:highlight w:val="none"/>
              </w:rPr>
            </w:pPr>
            <w:r>
              <w:rPr>
                <w:rFonts w:hint="eastAsia"/>
                <w:color w:val="auto"/>
                <w:highlight w:val="none"/>
                <w:lang w:val="en-US" w:eastAsia="zh-CN"/>
              </w:rPr>
              <w:t>分部分项工程</w:t>
            </w:r>
          </w:p>
        </w:tc>
        <w:tc>
          <w:tcPr>
            <w:tcW w:w="856" w:type="pct"/>
            <w:tcBorders>
              <w:top w:val="single" w:color="000000" w:sz="4" w:space="0"/>
              <w:left w:val="single" w:color="000000" w:sz="4" w:space="0"/>
              <w:bottom w:val="single" w:color="000000" w:sz="4" w:space="0"/>
              <w:right w:val="single" w:color="000000" w:sz="4" w:space="0"/>
            </w:tcBorders>
            <w:shd w:val="clear" w:color="auto" w:fill="D9D9D9"/>
            <w:vAlign w:val="center"/>
          </w:tcPr>
          <w:p>
            <w:pPr>
              <w:pStyle w:val="12"/>
              <w:bidi w:val="0"/>
              <w:rPr>
                <w:rFonts w:hint="eastAsia"/>
                <w:color w:val="auto"/>
                <w:highlight w:val="none"/>
              </w:rPr>
            </w:pPr>
            <w:r>
              <w:rPr>
                <w:rFonts w:hint="eastAsia"/>
                <w:color w:val="auto"/>
                <w:highlight w:val="none"/>
                <w:lang w:val="en-US" w:eastAsia="zh-CN"/>
              </w:rPr>
              <w:t>图纸深化清单</w:t>
            </w:r>
          </w:p>
        </w:tc>
        <w:tc>
          <w:tcPr>
            <w:tcW w:w="2074" w:type="pct"/>
            <w:tcBorders>
              <w:top w:val="single" w:color="000000" w:sz="4" w:space="0"/>
              <w:left w:val="single" w:color="000000" w:sz="4" w:space="0"/>
              <w:bottom w:val="single" w:color="000000" w:sz="4" w:space="0"/>
              <w:right w:val="single" w:color="000000" w:sz="4" w:space="0"/>
            </w:tcBorders>
            <w:shd w:val="clear" w:color="auto" w:fill="D9D9D9"/>
            <w:vAlign w:val="center"/>
          </w:tcPr>
          <w:p>
            <w:pPr>
              <w:pStyle w:val="12"/>
              <w:bidi w:val="0"/>
              <w:rPr>
                <w:rFonts w:hint="eastAsia"/>
                <w:color w:val="auto"/>
                <w:highlight w:val="none"/>
              </w:rPr>
            </w:pPr>
            <w:r>
              <w:rPr>
                <w:rFonts w:hint="eastAsia"/>
                <w:color w:val="auto"/>
                <w:highlight w:val="none"/>
                <w:lang w:val="en-US" w:eastAsia="zh-CN"/>
              </w:rPr>
              <w:t>图纸深化要求</w:t>
            </w:r>
          </w:p>
        </w:tc>
        <w:tc>
          <w:tcPr>
            <w:tcW w:w="786" w:type="pct"/>
            <w:tcBorders>
              <w:top w:val="single" w:color="000000" w:sz="4" w:space="0"/>
              <w:left w:val="single" w:color="000000" w:sz="4" w:space="0"/>
              <w:bottom w:val="single" w:color="000000" w:sz="4" w:space="0"/>
              <w:right w:val="single" w:color="000000" w:sz="4" w:space="0"/>
            </w:tcBorders>
            <w:shd w:val="clear" w:color="auto" w:fill="D9D9D9"/>
            <w:vAlign w:val="center"/>
          </w:tcPr>
          <w:p>
            <w:pPr>
              <w:pStyle w:val="12"/>
              <w:bidi w:val="0"/>
              <w:rPr>
                <w:rFonts w:hint="eastAsia"/>
                <w:color w:val="auto"/>
                <w:highlight w:val="none"/>
              </w:rPr>
            </w:pPr>
            <w:r>
              <w:rPr>
                <w:rFonts w:hint="eastAsia"/>
                <w:color w:val="auto"/>
                <w:highlight w:val="none"/>
                <w:lang w:val="en-US" w:eastAsia="zh-CN"/>
              </w:rPr>
              <w:t>图纸深化完成时间节点</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20" w:hRule="atLeast"/>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1</w:t>
            </w:r>
          </w:p>
        </w:tc>
        <w:tc>
          <w:tcPr>
            <w:tcW w:w="46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基础工程</w:t>
            </w:r>
          </w:p>
        </w:tc>
        <w:tc>
          <w:tcPr>
            <w:tcW w:w="50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基础工程</w:t>
            </w:r>
          </w:p>
        </w:tc>
        <w:tc>
          <w:tcPr>
            <w:tcW w:w="85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施工总平面布置图</w:t>
            </w:r>
          </w:p>
        </w:tc>
        <w:tc>
          <w:tcPr>
            <w:tcW w:w="207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lang w:val="en-US" w:eastAsia="zh-CN"/>
              </w:rPr>
            </w:pPr>
            <w:r>
              <w:rPr>
                <w:rFonts w:hint="eastAsia"/>
                <w:color w:val="auto"/>
                <w:highlight w:val="none"/>
                <w:lang w:val="en-US" w:eastAsia="zh-CN"/>
              </w:rPr>
              <w:t>1、需包括办公区、临水、临电、道路转换、消防设置、塔吊、钢筋加工场地、构件吊装场地（如有）、垃圾分类堆场、材料场地、厕所等；</w:t>
            </w:r>
          </w:p>
          <w:p>
            <w:pPr>
              <w:pStyle w:val="12"/>
              <w:bidi w:val="0"/>
              <w:rPr>
                <w:rFonts w:hint="eastAsia"/>
                <w:color w:val="auto"/>
                <w:highlight w:val="none"/>
              </w:rPr>
            </w:pPr>
            <w:r>
              <w:rPr>
                <w:rFonts w:hint="eastAsia"/>
                <w:color w:val="auto"/>
                <w:highlight w:val="none"/>
                <w:lang w:val="en-US" w:eastAsia="zh-CN"/>
              </w:rPr>
              <w:t>2、同时需按阶段进行总平布置更新</w:t>
            </w:r>
          </w:p>
        </w:tc>
        <w:tc>
          <w:tcPr>
            <w:tcW w:w="78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default"/>
                <w:color w:val="auto"/>
                <w:highlight w:val="none"/>
                <w:lang w:val="en-US" w:eastAsia="zh-CN"/>
              </w:rPr>
            </w:pPr>
            <w:r>
              <w:rPr>
                <w:rFonts w:hint="eastAsia"/>
                <w:color w:val="auto"/>
                <w:highlight w:val="none"/>
                <w:lang w:val="en-US" w:eastAsia="zh-CN"/>
              </w:rPr>
              <w:t>承包人进场后15天</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2</w:t>
            </w:r>
          </w:p>
        </w:tc>
        <w:tc>
          <w:tcPr>
            <w:tcW w:w="46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单体地下室结构工程</w:t>
            </w:r>
          </w:p>
        </w:tc>
        <w:tc>
          <w:tcPr>
            <w:tcW w:w="50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××楼</w:t>
            </w:r>
          </w:p>
        </w:tc>
        <w:tc>
          <w:tcPr>
            <w:tcW w:w="85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人防图纸深化</w:t>
            </w:r>
          </w:p>
        </w:tc>
        <w:tc>
          <w:tcPr>
            <w:tcW w:w="207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人防设施与建筑、结构、机电深化复核</w:t>
            </w:r>
          </w:p>
        </w:tc>
        <w:tc>
          <w:tcPr>
            <w:tcW w:w="78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地下室结构施工前5天</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78" w:hRule="atLeast"/>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3</w:t>
            </w:r>
          </w:p>
        </w:tc>
        <w:tc>
          <w:tcPr>
            <w:tcW w:w="4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p>
        </w:tc>
        <w:tc>
          <w:tcPr>
            <w:tcW w:w="50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地库顶板防水及保护层</w:t>
            </w:r>
          </w:p>
        </w:tc>
        <w:tc>
          <w:tcPr>
            <w:tcW w:w="85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地库防水节点深化</w:t>
            </w:r>
          </w:p>
        </w:tc>
        <w:tc>
          <w:tcPr>
            <w:tcW w:w="207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外墙、底板、顶板防水节点深化</w:t>
            </w:r>
          </w:p>
        </w:tc>
        <w:tc>
          <w:tcPr>
            <w:tcW w:w="78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地上主体结构施工前30天</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4</w:t>
            </w:r>
          </w:p>
        </w:tc>
        <w:tc>
          <w:tcPr>
            <w:tcW w:w="46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单体地上主体结构工程（含钢结构）</w:t>
            </w:r>
          </w:p>
        </w:tc>
        <w:tc>
          <w:tcPr>
            <w:tcW w:w="50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××楼</w:t>
            </w:r>
          </w:p>
        </w:tc>
        <w:tc>
          <w:tcPr>
            <w:tcW w:w="85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装配式构件深化图纸</w:t>
            </w:r>
          </w:p>
        </w:tc>
        <w:tc>
          <w:tcPr>
            <w:tcW w:w="207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构件吊装孔、安装、灌浆等深化</w:t>
            </w:r>
          </w:p>
        </w:tc>
        <w:tc>
          <w:tcPr>
            <w:tcW w:w="78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地上主体结构施工前60天</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5</w:t>
            </w:r>
          </w:p>
        </w:tc>
        <w:tc>
          <w:tcPr>
            <w:tcW w:w="4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p>
        </w:tc>
        <w:tc>
          <w:tcPr>
            <w:tcW w:w="50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p>
        </w:tc>
        <w:tc>
          <w:tcPr>
            <w:tcW w:w="85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铝模深化图</w:t>
            </w:r>
          </w:p>
        </w:tc>
        <w:tc>
          <w:tcPr>
            <w:tcW w:w="207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加固体系、二次结构优化、外墙优化范围、门窗洞口、下挂梁、导墙、预留洞口、滴水线、管道井洞口、企口优化等</w:t>
            </w:r>
          </w:p>
        </w:tc>
        <w:tc>
          <w:tcPr>
            <w:tcW w:w="78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地上主体结构施工前45天</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85" w:hRule="atLeast"/>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6</w:t>
            </w:r>
          </w:p>
        </w:tc>
        <w:tc>
          <w:tcPr>
            <w:tcW w:w="4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p>
        </w:tc>
        <w:tc>
          <w:tcPr>
            <w:tcW w:w="50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p>
        </w:tc>
        <w:tc>
          <w:tcPr>
            <w:tcW w:w="85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幕墙预埋件深化图（若有）</w:t>
            </w:r>
          </w:p>
        </w:tc>
        <w:tc>
          <w:tcPr>
            <w:tcW w:w="207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预埋件形式、定位尺寸、材质要求等</w:t>
            </w:r>
          </w:p>
        </w:tc>
        <w:tc>
          <w:tcPr>
            <w:tcW w:w="78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地上主体结构施工前30天</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20" w:hRule="atLeast"/>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7</w:t>
            </w:r>
          </w:p>
        </w:tc>
        <w:tc>
          <w:tcPr>
            <w:tcW w:w="46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二次结构及粗装饰工程</w:t>
            </w:r>
          </w:p>
        </w:tc>
        <w:tc>
          <w:tcPr>
            <w:tcW w:w="50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二次结构工程</w:t>
            </w:r>
          </w:p>
        </w:tc>
        <w:tc>
          <w:tcPr>
            <w:tcW w:w="85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lang w:val="en-US" w:eastAsia="zh-CN"/>
              </w:rPr>
            </w:pPr>
            <w:r>
              <w:rPr>
                <w:rFonts w:hint="eastAsia"/>
                <w:color w:val="auto"/>
                <w:highlight w:val="none"/>
                <w:lang w:val="en-US" w:eastAsia="zh-CN"/>
              </w:rPr>
              <w:t>砌筑/ALC排版图</w:t>
            </w:r>
          </w:p>
          <w:p>
            <w:pPr>
              <w:pStyle w:val="12"/>
              <w:bidi w:val="0"/>
              <w:rPr>
                <w:rFonts w:hint="eastAsia"/>
                <w:color w:val="auto"/>
                <w:highlight w:val="none"/>
              </w:rPr>
            </w:pPr>
            <w:r>
              <w:rPr>
                <w:rFonts w:hint="eastAsia"/>
                <w:color w:val="auto"/>
                <w:highlight w:val="none"/>
                <w:lang w:val="en-US" w:eastAsia="zh-CN"/>
              </w:rPr>
              <w:t>（含构造柱、导墙）</w:t>
            </w:r>
          </w:p>
        </w:tc>
        <w:tc>
          <w:tcPr>
            <w:tcW w:w="207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包含构造柱、导墙在内的砌筑与二次结构深化，其中导墙高度、电箱及开工盒点位、过梁、栏杆与门窗洞口预制块、通缝复核、顶砌、塞缝等</w:t>
            </w:r>
          </w:p>
        </w:tc>
        <w:tc>
          <w:tcPr>
            <w:tcW w:w="78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砌筑施工前10天</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3" w:hRule="atLeast"/>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8</w:t>
            </w:r>
          </w:p>
        </w:tc>
        <w:tc>
          <w:tcPr>
            <w:tcW w:w="4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p>
        </w:tc>
        <w:tc>
          <w:tcPr>
            <w:tcW w:w="50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粗装饰工程</w:t>
            </w:r>
          </w:p>
        </w:tc>
        <w:tc>
          <w:tcPr>
            <w:tcW w:w="85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室内防水节点深化</w:t>
            </w:r>
          </w:p>
        </w:tc>
        <w:tc>
          <w:tcPr>
            <w:tcW w:w="207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室内、公区、屋面等防水做法深化</w:t>
            </w:r>
          </w:p>
        </w:tc>
        <w:tc>
          <w:tcPr>
            <w:tcW w:w="78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屋面施工前10天</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85" w:hRule="atLeast"/>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9</w:t>
            </w:r>
          </w:p>
        </w:tc>
        <w:tc>
          <w:tcPr>
            <w:tcW w:w="4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p>
        </w:tc>
        <w:tc>
          <w:tcPr>
            <w:tcW w:w="50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p>
        </w:tc>
        <w:tc>
          <w:tcPr>
            <w:tcW w:w="85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天沟排布及屋面放坡、伸缩缝排版深化图</w:t>
            </w:r>
          </w:p>
        </w:tc>
        <w:tc>
          <w:tcPr>
            <w:tcW w:w="207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屋面防水节点、找坡等深化</w:t>
            </w:r>
          </w:p>
        </w:tc>
        <w:tc>
          <w:tcPr>
            <w:tcW w:w="78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屋面施工前10天</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3" w:hRule="atLeast"/>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default"/>
                <w:color w:val="auto"/>
                <w:highlight w:val="none"/>
                <w:lang w:val="en-US"/>
              </w:rPr>
            </w:pPr>
            <w:r>
              <w:rPr>
                <w:rFonts w:hint="eastAsia"/>
                <w:color w:val="auto"/>
                <w:highlight w:val="none"/>
                <w:lang w:val="en-US" w:eastAsia="zh-CN"/>
              </w:rPr>
              <w:t>10</w:t>
            </w:r>
          </w:p>
        </w:tc>
        <w:tc>
          <w:tcPr>
            <w:tcW w:w="4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p>
        </w:tc>
        <w:tc>
          <w:tcPr>
            <w:tcW w:w="50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p>
        </w:tc>
        <w:tc>
          <w:tcPr>
            <w:tcW w:w="85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地坪深化图（金刚砂、环氧）</w:t>
            </w:r>
          </w:p>
        </w:tc>
        <w:tc>
          <w:tcPr>
            <w:tcW w:w="207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切缝、地坪工序与养护、车位复核等</w:t>
            </w:r>
          </w:p>
        </w:tc>
        <w:tc>
          <w:tcPr>
            <w:tcW w:w="78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地坪施工前30天</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11</w:t>
            </w:r>
          </w:p>
        </w:tc>
        <w:tc>
          <w:tcPr>
            <w:tcW w:w="4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p>
        </w:tc>
        <w:tc>
          <w:tcPr>
            <w:tcW w:w="50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门窗工程</w:t>
            </w:r>
          </w:p>
        </w:tc>
        <w:tc>
          <w:tcPr>
            <w:tcW w:w="85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门窗深化图</w:t>
            </w:r>
          </w:p>
        </w:tc>
        <w:tc>
          <w:tcPr>
            <w:tcW w:w="207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型材要求、洞口预留、门窗表、防水节点、五金件、儿童锁、连接固定、塞缝做法、玻璃规格、节能要求等</w:t>
            </w:r>
          </w:p>
        </w:tc>
        <w:tc>
          <w:tcPr>
            <w:tcW w:w="78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门窗施工前30天</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85" w:hRule="atLeast"/>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12</w:t>
            </w:r>
          </w:p>
        </w:tc>
        <w:tc>
          <w:tcPr>
            <w:tcW w:w="4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p>
        </w:tc>
        <w:tc>
          <w:tcPr>
            <w:tcW w:w="50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p>
        </w:tc>
        <w:tc>
          <w:tcPr>
            <w:tcW w:w="85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防火门、入户门深化图</w:t>
            </w:r>
          </w:p>
        </w:tc>
        <w:tc>
          <w:tcPr>
            <w:tcW w:w="207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洞口预留、开启方向与角度、疏散宽度、门锁、闭门器形式等五金选用、耐火性能、填充材料等</w:t>
            </w:r>
          </w:p>
        </w:tc>
        <w:tc>
          <w:tcPr>
            <w:tcW w:w="78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防火门、入户门施工前30天</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85" w:hRule="atLeast"/>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13</w:t>
            </w:r>
          </w:p>
        </w:tc>
        <w:tc>
          <w:tcPr>
            <w:tcW w:w="4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p>
        </w:tc>
        <w:tc>
          <w:tcPr>
            <w:tcW w:w="50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土建机房移交机电</w:t>
            </w:r>
          </w:p>
        </w:tc>
        <w:tc>
          <w:tcPr>
            <w:tcW w:w="85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机房机电深化图（含配电房）</w:t>
            </w:r>
          </w:p>
        </w:tc>
        <w:tc>
          <w:tcPr>
            <w:tcW w:w="207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设备选型、基础定位与形式、吊装运输洞口、土建预留预埋、机电管线综合等</w:t>
            </w:r>
          </w:p>
        </w:tc>
        <w:tc>
          <w:tcPr>
            <w:tcW w:w="78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消防施工前30天</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78" w:hRule="atLeast"/>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14</w:t>
            </w:r>
          </w:p>
        </w:tc>
        <w:tc>
          <w:tcPr>
            <w:tcW w:w="46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外立面工程</w:t>
            </w:r>
          </w:p>
        </w:tc>
        <w:tc>
          <w:tcPr>
            <w:tcW w:w="50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外装饰工程</w:t>
            </w:r>
          </w:p>
        </w:tc>
        <w:tc>
          <w:tcPr>
            <w:tcW w:w="85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lang w:val="en-US" w:eastAsia="zh-CN"/>
              </w:rPr>
            </w:pPr>
            <w:r>
              <w:rPr>
                <w:rFonts w:hint="eastAsia"/>
                <w:color w:val="auto"/>
                <w:highlight w:val="none"/>
                <w:lang w:val="en-US" w:eastAsia="zh-CN"/>
              </w:rPr>
              <w:t>外立面幕墙深化图</w:t>
            </w:r>
          </w:p>
          <w:p>
            <w:pPr>
              <w:pStyle w:val="12"/>
              <w:bidi w:val="0"/>
              <w:rPr>
                <w:rFonts w:hint="eastAsia"/>
                <w:color w:val="auto"/>
                <w:highlight w:val="none"/>
              </w:rPr>
            </w:pPr>
            <w:r>
              <w:rPr>
                <w:rFonts w:hint="eastAsia"/>
                <w:color w:val="auto"/>
                <w:highlight w:val="none"/>
                <w:lang w:val="en-US" w:eastAsia="zh-CN"/>
              </w:rPr>
              <w:t>(含单元门头、屋面花架深化）</w:t>
            </w:r>
          </w:p>
        </w:tc>
        <w:tc>
          <w:tcPr>
            <w:tcW w:w="207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结构体系、材料选择、耐火、防渗漏节点、龙骨和面板规格、连接节点、保温、玻璃性能、胶类材质、五金配件、表面处理、不同界面收口做法、开模等</w:t>
            </w:r>
          </w:p>
        </w:tc>
        <w:tc>
          <w:tcPr>
            <w:tcW w:w="78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外立面幕墙施工前30天</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3" w:hRule="atLeast"/>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15</w:t>
            </w:r>
          </w:p>
        </w:tc>
        <w:tc>
          <w:tcPr>
            <w:tcW w:w="4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p>
        </w:tc>
        <w:tc>
          <w:tcPr>
            <w:tcW w:w="50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p>
        </w:tc>
        <w:tc>
          <w:tcPr>
            <w:tcW w:w="85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外立面涂料深化图</w:t>
            </w:r>
          </w:p>
        </w:tc>
        <w:tc>
          <w:tcPr>
            <w:tcW w:w="207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颜色、缝宽等分隔形式、材料规格、保温做法、涂布率等</w:t>
            </w:r>
          </w:p>
        </w:tc>
        <w:tc>
          <w:tcPr>
            <w:tcW w:w="78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涂料施工前30天</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85" w:hRule="atLeast"/>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16</w:t>
            </w:r>
          </w:p>
        </w:tc>
        <w:tc>
          <w:tcPr>
            <w:tcW w:w="4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p>
        </w:tc>
        <w:tc>
          <w:tcPr>
            <w:tcW w:w="50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p>
        </w:tc>
        <w:tc>
          <w:tcPr>
            <w:tcW w:w="85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栏杆、百叶深化图</w:t>
            </w:r>
          </w:p>
        </w:tc>
        <w:tc>
          <w:tcPr>
            <w:tcW w:w="207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固定位置与节点、扶手、材质规格、间距、百叶开启形式等</w:t>
            </w:r>
          </w:p>
        </w:tc>
        <w:tc>
          <w:tcPr>
            <w:tcW w:w="78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栏杆、百叶施工前30天</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3" w:hRule="atLeast"/>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default"/>
                <w:color w:val="auto"/>
                <w:highlight w:val="none"/>
                <w:lang w:val="en-US"/>
              </w:rPr>
            </w:pPr>
            <w:r>
              <w:rPr>
                <w:rFonts w:hint="eastAsia"/>
                <w:color w:val="auto"/>
                <w:highlight w:val="none"/>
                <w:lang w:val="en-US" w:eastAsia="zh-CN"/>
              </w:rPr>
              <w:t>17</w:t>
            </w:r>
          </w:p>
        </w:tc>
        <w:tc>
          <w:tcPr>
            <w:tcW w:w="46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机电、配套工程</w:t>
            </w:r>
          </w:p>
        </w:tc>
        <w:tc>
          <w:tcPr>
            <w:tcW w:w="501" w:type="pct"/>
            <w:vMerge w:val="restart"/>
            <w:tcBorders>
              <w:top w:val="single" w:color="000000" w:sz="4" w:space="0"/>
              <w:left w:val="single" w:color="000000" w:sz="4" w:space="0"/>
              <w:bottom w:val="nil"/>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机电综合</w:t>
            </w:r>
          </w:p>
        </w:tc>
        <w:tc>
          <w:tcPr>
            <w:tcW w:w="85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地下室抗震支架深化图</w:t>
            </w:r>
          </w:p>
        </w:tc>
        <w:tc>
          <w:tcPr>
            <w:tcW w:w="207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地下室综合管网、防火分区等</w:t>
            </w:r>
          </w:p>
        </w:tc>
        <w:tc>
          <w:tcPr>
            <w:tcW w:w="78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3" w:hRule="atLeast"/>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default"/>
                <w:color w:val="auto"/>
                <w:highlight w:val="none"/>
                <w:lang w:val="en-US"/>
              </w:rPr>
            </w:pPr>
            <w:r>
              <w:rPr>
                <w:rFonts w:hint="eastAsia"/>
                <w:color w:val="auto"/>
                <w:highlight w:val="none"/>
                <w:lang w:val="en-US" w:eastAsia="zh-CN"/>
              </w:rPr>
              <w:t>18</w:t>
            </w:r>
          </w:p>
        </w:tc>
        <w:tc>
          <w:tcPr>
            <w:tcW w:w="4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p>
        </w:tc>
        <w:tc>
          <w:tcPr>
            <w:tcW w:w="501" w:type="pct"/>
            <w:vMerge w:val="continue"/>
            <w:tcBorders>
              <w:top w:val="single" w:color="000000" w:sz="4" w:space="0"/>
              <w:left w:val="single" w:color="000000" w:sz="4" w:space="0"/>
              <w:bottom w:val="nil"/>
              <w:right w:val="single" w:color="000000" w:sz="4" w:space="0"/>
            </w:tcBorders>
            <w:shd w:val="clear" w:color="auto" w:fill="auto"/>
            <w:vAlign w:val="center"/>
          </w:tcPr>
          <w:p>
            <w:pPr>
              <w:pStyle w:val="12"/>
              <w:bidi w:val="0"/>
              <w:rPr>
                <w:rFonts w:hint="eastAsia"/>
                <w:color w:val="auto"/>
                <w:highlight w:val="none"/>
              </w:rPr>
            </w:pPr>
          </w:p>
        </w:tc>
        <w:tc>
          <w:tcPr>
            <w:tcW w:w="85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地下室综合管线深化</w:t>
            </w:r>
          </w:p>
        </w:tc>
        <w:tc>
          <w:tcPr>
            <w:tcW w:w="207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综合管线需综合考虑机电各专业排布及检修</w:t>
            </w:r>
          </w:p>
        </w:tc>
        <w:tc>
          <w:tcPr>
            <w:tcW w:w="78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default"/>
                <w:color w:val="auto"/>
                <w:highlight w:val="none"/>
                <w:lang w:val="en-US"/>
              </w:rPr>
            </w:pPr>
            <w:r>
              <w:rPr>
                <w:rFonts w:hint="eastAsia"/>
                <w:color w:val="auto"/>
                <w:highlight w:val="none"/>
                <w:lang w:val="en-US" w:eastAsia="zh-CN"/>
              </w:rPr>
              <w:t>19</w:t>
            </w:r>
          </w:p>
        </w:tc>
        <w:tc>
          <w:tcPr>
            <w:tcW w:w="4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p>
        </w:tc>
        <w:tc>
          <w:tcPr>
            <w:tcW w:w="50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水暖及电气工程</w:t>
            </w:r>
          </w:p>
        </w:tc>
        <w:tc>
          <w:tcPr>
            <w:tcW w:w="85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重要设备机房设备管线深化图</w:t>
            </w:r>
          </w:p>
        </w:tc>
        <w:tc>
          <w:tcPr>
            <w:tcW w:w="207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空调机房、制冷机房、柴发机房、变配电房、给水泵房、换热或锅炉机房等（如有）</w:t>
            </w:r>
          </w:p>
        </w:tc>
        <w:tc>
          <w:tcPr>
            <w:tcW w:w="78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机电施工前30天</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85" w:hRule="atLeast"/>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default"/>
                <w:color w:val="auto"/>
                <w:highlight w:val="none"/>
                <w:lang w:val="en-US"/>
              </w:rPr>
            </w:pPr>
            <w:r>
              <w:rPr>
                <w:rFonts w:hint="eastAsia"/>
                <w:color w:val="auto"/>
                <w:highlight w:val="none"/>
                <w:lang w:val="en-US" w:eastAsia="zh-CN"/>
              </w:rPr>
              <w:t>20</w:t>
            </w:r>
          </w:p>
        </w:tc>
        <w:tc>
          <w:tcPr>
            <w:tcW w:w="4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p>
        </w:tc>
        <w:tc>
          <w:tcPr>
            <w:tcW w:w="50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p>
        </w:tc>
        <w:tc>
          <w:tcPr>
            <w:tcW w:w="85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楼层机电综合管线深化图</w:t>
            </w:r>
          </w:p>
        </w:tc>
        <w:tc>
          <w:tcPr>
            <w:tcW w:w="207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主要为公共区域天花内机电各专业管线排布、设备层机电综合管线、竖向管井管道排布</w:t>
            </w:r>
          </w:p>
        </w:tc>
        <w:tc>
          <w:tcPr>
            <w:tcW w:w="78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3" w:hRule="atLeast"/>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default"/>
                <w:color w:val="auto"/>
                <w:highlight w:val="none"/>
                <w:lang w:val="en-US"/>
              </w:rPr>
            </w:pPr>
            <w:r>
              <w:rPr>
                <w:rFonts w:hint="eastAsia"/>
                <w:color w:val="auto"/>
                <w:highlight w:val="none"/>
                <w:lang w:val="en-US" w:eastAsia="zh-CN"/>
              </w:rPr>
              <w:t>21</w:t>
            </w:r>
          </w:p>
        </w:tc>
        <w:tc>
          <w:tcPr>
            <w:tcW w:w="4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p>
        </w:tc>
        <w:tc>
          <w:tcPr>
            <w:tcW w:w="50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消防工程</w:t>
            </w:r>
          </w:p>
        </w:tc>
        <w:tc>
          <w:tcPr>
            <w:tcW w:w="85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消防系统深化图</w:t>
            </w:r>
          </w:p>
        </w:tc>
        <w:tc>
          <w:tcPr>
            <w:tcW w:w="207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p>
        </w:tc>
        <w:tc>
          <w:tcPr>
            <w:tcW w:w="78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消防施工前30天</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3" w:hRule="atLeast"/>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default"/>
                <w:color w:val="auto"/>
                <w:highlight w:val="none"/>
                <w:lang w:val="en-US"/>
              </w:rPr>
            </w:pPr>
            <w:r>
              <w:rPr>
                <w:rFonts w:hint="eastAsia"/>
                <w:color w:val="auto"/>
                <w:highlight w:val="none"/>
                <w:lang w:val="en-US" w:eastAsia="zh-CN"/>
              </w:rPr>
              <w:t>22</w:t>
            </w:r>
          </w:p>
        </w:tc>
        <w:tc>
          <w:tcPr>
            <w:tcW w:w="4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p>
        </w:tc>
        <w:tc>
          <w:tcPr>
            <w:tcW w:w="50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p>
        </w:tc>
        <w:tc>
          <w:tcPr>
            <w:tcW w:w="85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防火卷帘深化图</w:t>
            </w:r>
          </w:p>
        </w:tc>
        <w:tc>
          <w:tcPr>
            <w:tcW w:w="207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p>
        </w:tc>
        <w:tc>
          <w:tcPr>
            <w:tcW w:w="78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3" w:hRule="atLeast"/>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default"/>
                <w:color w:val="auto"/>
                <w:highlight w:val="none"/>
                <w:lang w:val="en-US"/>
              </w:rPr>
            </w:pPr>
            <w:r>
              <w:rPr>
                <w:rFonts w:hint="eastAsia"/>
                <w:color w:val="auto"/>
                <w:highlight w:val="none"/>
                <w:lang w:val="en-US" w:eastAsia="zh-CN"/>
              </w:rPr>
              <w:t>23</w:t>
            </w:r>
          </w:p>
        </w:tc>
        <w:tc>
          <w:tcPr>
            <w:tcW w:w="4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p>
        </w:tc>
        <w:tc>
          <w:tcPr>
            <w:tcW w:w="50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p>
        </w:tc>
        <w:tc>
          <w:tcPr>
            <w:tcW w:w="85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消控室、消防泵房深化图</w:t>
            </w:r>
          </w:p>
        </w:tc>
        <w:tc>
          <w:tcPr>
            <w:tcW w:w="207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设备参数、设备排布、需考虑机房内全专业管线综合排布</w:t>
            </w:r>
          </w:p>
        </w:tc>
        <w:tc>
          <w:tcPr>
            <w:tcW w:w="78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default" w:eastAsia="宋体"/>
                <w:color w:val="auto"/>
                <w:highlight w:val="none"/>
                <w:lang w:val="en-US" w:eastAsia="zh-CN"/>
              </w:rPr>
            </w:pPr>
            <w:r>
              <w:rPr>
                <w:rFonts w:hint="eastAsia"/>
                <w:color w:val="auto"/>
                <w:highlight w:val="none"/>
                <w:lang w:val="en-US" w:eastAsia="zh-CN"/>
              </w:rPr>
              <w:t>24</w:t>
            </w:r>
          </w:p>
        </w:tc>
        <w:tc>
          <w:tcPr>
            <w:tcW w:w="4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p>
        </w:tc>
        <w:tc>
          <w:tcPr>
            <w:tcW w:w="50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智能化工程</w:t>
            </w:r>
          </w:p>
        </w:tc>
        <w:tc>
          <w:tcPr>
            <w:tcW w:w="85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智能化深化图</w:t>
            </w:r>
          </w:p>
        </w:tc>
        <w:tc>
          <w:tcPr>
            <w:tcW w:w="207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弱电智能化系统、弱电重要机房深化</w:t>
            </w:r>
          </w:p>
        </w:tc>
        <w:tc>
          <w:tcPr>
            <w:tcW w:w="78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智能化工程施工前30天</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78" w:hRule="atLeast"/>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default"/>
                <w:color w:val="auto"/>
                <w:highlight w:val="none"/>
                <w:lang w:val="en-US"/>
              </w:rPr>
            </w:pPr>
            <w:r>
              <w:rPr>
                <w:rFonts w:hint="eastAsia"/>
                <w:color w:val="auto"/>
                <w:highlight w:val="none"/>
                <w:lang w:val="en-US" w:eastAsia="zh-CN"/>
              </w:rPr>
              <w:t>25</w:t>
            </w:r>
          </w:p>
        </w:tc>
        <w:tc>
          <w:tcPr>
            <w:tcW w:w="4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p>
        </w:tc>
        <w:tc>
          <w:tcPr>
            <w:tcW w:w="50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市政配套工程</w:t>
            </w:r>
          </w:p>
        </w:tc>
        <w:tc>
          <w:tcPr>
            <w:tcW w:w="85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电力、燃气、供水、供热地暖、排水、通讯配套、有线电视配套深化图</w:t>
            </w:r>
          </w:p>
        </w:tc>
        <w:tc>
          <w:tcPr>
            <w:tcW w:w="207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市政配套与景观、建筑复核</w:t>
            </w:r>
          </w:p>
        </w:tc>
        <w:tc>
          <w:tcPr>
            <w:tcW w:w="78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市政工程施工前30天</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3" w:hRule="atLeast"/>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default"/>
                <w:color w:val="auto"/>
                <w:highlight w:val="none"/>
                <w:lang w:val="en-US"/>
              </w:rPr>
            </w:pPr>
            <w:r>
              <w:rPr>
                <w:rFonts w:hint="eastAsia"/>
                <w:color w:val="auto"/>
                <w:highlight w:val="none"/>
                <w:lang w:val="en-US" w:eastAsia="zh-CN"/>
              </w:rPr>
              <w:t>26</w:t>
            </w:r>
          </w:p>
        </w:tc>
        <w:tc>
          <w:tcPr>
            <w:tcW w:w="4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p>
        </w:tc>
        <w:tc>
          <w:tcPr>
            <w:tcW w:w="50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泛光工程</w:t>
            </w:r>
          </w:p>
        </w:tc>
        <w:tc>
          <w:tcPr>
            <w:tcW w:w="85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泛光深化图</w:t>
            </w:r>
          </w:p>
        </w:tc>
        <w:tc>
          <w:tcPr>
            <w:tcW w:w="207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与建筑、幕墙深化</w:t>
            </w:r>
          </w:p>
        </w:tc>
        <w:tc>
          <w:tcPr>
            <w:tcW w:w="78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泛光工程施工前90天</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3" w:hRule="atLeast"/>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default"/>
                <w:color w:val="auto"/>
                <w:highlight w:val="none"/>
                <w:lang w:val="en-US"/>
              </w:rPr>
            </w:pPr>
            <w:r>
              <w:rPr>
                <w:rFonts w:hint="eastAsia"/>
                <w:color w:val="auto"/>
                <w:highlight w:val="none"/>
                <w:lang w:val="en-US" w:eastAsia="zh-CN"/>
              </w:rPr>
              <w:t>27</w:t>
            </w:r>
          </w:p>
        </w:tc>
        <w:tc>
          <w:tcPr>
            <w:tcW w:w="46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标识工程</w:t>
            </w:r>
          </w:p>
        </w:tc>
        <w:tc>
          <w:tcPr>
            <w:tcW w:w="50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标识工程</w:t>
            </w:r>
          </w:p>
        </w:tc>
        <w:tc>
          <w:tcPr>
            <w:tcW w:w="85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标识标牌深化图</w:t>
            </w:r>
          </w:p>
        </w:tc>
        <w:tc>
          <w:tcPr>
            <w:tcW w:w="207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标牌工艺、规格等</w:t>
            </w:r>
          </w:p>
        </w:tc>
        <w:tc>
          <w:tcPr>
            <w:tcW w:w="78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标识工程施工前30天</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3" w:hRule="atLeast"/>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default"/>
                <w:color w:val="auto"/>
                <w:highlight w:val="none"/>
                <w:lang w:val="en-US"/>
              </w:rPr>
            </w:pPr>
            <w:r>
              <w:rPr>
                <w:rFonts w:hint="eastAsia"/>
                <w:color w:val="auto"/>
                <w:highlight w:val="none"/>
                <w:lang w:val="en-US" w:eastAsia="zh-CN"/>
              </w:rPr>
              <w:t>28</w:t>
            </w:r>
          </w:p>
        </w:tc>
        <w:tc>
          <w:tcPr>
            <w:tcW w:w="46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p>
        </w:tc>
        <w:tc>
          <w:tcPr>
            <w:tcW w:w="50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p>
        </w:tc>
        <w:tc>
          <w:tcPr>
            <w:tcW w:w="85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交通划线深化图</w:t>
            </w:r>
          </w:p>
        </w:tc>
        <w:tc>
          <w:tcPr>
            <w:tcW w:w="207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p>
        </w:tc>
        <w:tc>
          <w:tcPr>
            <w:tcW w:w="78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交通划线施工前30天</w:t>
            </w:r>
          </w:p>
        </w:tc>
      </w:tr>
    </w:tbl>
    <w:p>
      <w:pPr>
        <w:widowControl w:val="0"/>
        <w:spacing w:before="120" w:beforeLines="50" w:after="120" w:afterLines="50"/>
        <w:jc w:val="both"/>
        <w:rPr>
          <w:rFonts w:ascii="宋体" w:hAnsi="宋体" w:eastAsia="宋体" w:cs="宋体"/>
          <w:color w:val="auto"/>
          <w:spacing w:val="3"/>
          <w:highlight w:val="none"/>
          <w:lang w:eastAsia="zh-CN"/>
        </w:rPr>
      </w:pPr>
      <w:r>
        <w:rPr>
          <w:rFonts w:ascii="宋体" w:hAnsi="宋体" w:eastAsia="宋体" w:cs="宋体"/>
          <w:color w:val="auto"/>
          <w:spacing w:val="3"/>
          <w:highlight w:val="none"/>
          <w:lang w:eastAsia="zh-CN"/>
        </w:rPr>
        <w:t>防水细部节点深化：</w:t>
      </w:r>
    </w:p>
    <w:tbl>
      <w:tblPr>
        <w:tblStyle w:val="21"/>
        <w:tblW w:w="5019" w:type="pct"/>
        <w:tblInd w:w="0" w:type="dxa"/>
        <w:tblLayout w:type="autofit"/>
        <w:tblCellMar>
          <w:top w:w="0" w:type="dxa"/>
          <w:left w:w="0" w:type="dxa"/>
          <w:bottom w:w="0" w:type="dxa"/>
          <w:right w:w="0" w:type="dxa"/>
        </w:tblCellMar>
      </w:tblPr>
      <w:tblGrid>
        <w:gridCol w:w="1043"/>
        <w:gridCol w:w="1013"/>
        <w:gridCol w:w="1033"/>
        <w:gridCol w:w="1028"/>
        <w:gridCol w:w="1028"/>
        <w:gridCol w:w="1028"/>
        <w:gridCol w:w="1028"/>
        <w:gridCol w:w="1035"/>
        <w:gridCol w:w="1024"/>
      </w:tblGrid>
      <w:tr>
        <w:tblPrEx>
          <w:tblCellMar>
            <w:top w:w="0" w:type="dxa"/>
            <w:left w:w="0" w:type="dxa"/>
            <w:bottom w:w="0" w:type="dxa"/>
            <w:right w:w="0" w:type="dxa"/>
          </w:tblCellMar>
        </w:tblPrEx>
        <w:trPr>
          <w:trHeight w:val="74" w:hRule="atLeast"/>
        </w:trPr>
        <w:tc>
          <w:tcPr>
            <w:tcW w:w="1667" w:type="pct"/>
            <w:gridSpan w:val="3"/>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12"/>
              <w:bidi w:val="0"/>
              <w:rPr>
                <w:color w:val="auto"/>
                <w:highlight w:val="none"/>
              </w:rPr>
            </w:pPr>
            <w:r>
              <w:rPr>
                <w:rFonts w:hint="eastAsia"/>
                <w:color w:val="auto"/>
                <w:highlight w:val="none"/>
              </w:rPr>
              <w:t>地下室防水</w:t>
            </w:r>
          </w:p>
          <w:p>
            <w:pPr>
              <w:pStyle w:val="12"/>
              <w:bidi w:val="0"/>
              <w:rPr>
                <w:color w:val="auto"/>
                <w:highlight w:val="none"/>
              </w:rPr>
            </w:pPr>
            <w:r>
              <w:rPr>
                <w:rFonts w:hint="eastAsia"/>
                <w:color w:val="auto"/>
                <w:highlight w:val="none"/>
              </w:rPr>
              <w:t>深化要点</w:t>
            </w:r>
          </w:p>
        </w:tc>
        <w:tc>
          <w:tcPr>
            <w:tcW w:w="2779" w:type="pct"/>
            <w:gridSpan w:val="5"/>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12"/>
              <w:bidi w:val="0"/>
              <w:rPr>
                <w:color w:val="auto"/>
                <w:highlight w:val="none"/>
              </w:rPr>
            </w:pPr>
            <w:r>
              <w:rPr>
                <w:rFonts w:hint="eastAsia"/>
                <w:color w:val="auto"/>
                <w:highlight w:val="none"/>
              </w:rPr>
              <w:t>地上防水</w:t>
            </w:r>
          </w:p>
          <w:p>
            <w:pPr>
              <w:pStyle w:val="12"/>
              <w:bidi w:val="0"/>
              <w:rPr>
                <w:color w:val="auto"/>
                <w:highlight w:val="none"/>
              </w:rPr>
            </w:pPr>
            <w:r>
              <w:rPr>
                <w:rFonts w:hint="eastAsia"/>
                <w:color w:val="auto"/>
                <w:highlight w:val="none"/>
              </w:rPr>
              <w:t>深化要点</w:t>
            </w:r>
          </w:p>
        </w:tc>
        <w:tc>
          <w:tcPr>
            <w:tcW w:w="555" w:type="pct"/>
            <w:vMerge w:val="restart"/>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12"/>
              <w:bidi w:val="0"/>
              <w:rPr>
                <w:color w:val="auto"/>
                <w:highlight w:val="none"/>
              </w:rPr>
            </w:pPr>
            <w:r>
              <w:rPr>
                <w:rFonts w:hint="eastAsia"/>
                <w:color w:val="auto"/>
                <w:highlight w:val="none"/>
              </w:rPr>
              <w:t>屋面防水</w:t>
            </w:r>
          </w:p>
          <w:p>
            <w:pPr>
              <w:pStyle w:val="12"/>
              <w:bidi w:val="0"/>
              <w:rPr>
                <w:color w:val="auto"/>
                <w:highlight w:val="none"/>
              </w:rPr>
            </w:pPr>
            <w:r>
              <w:rPr>
                <w:rFonts w:hint="eastAsia"/>
                <w:color w:val="auto"/>
                <w:highlight w:val="none"/>
              </w:rPr>
              <w:t>深化要点</w:t>
            </w:r>
          </w:p>
        </w:tc>
      </w:tr>
      <w:tr>
        <w:tblPrEx>
          <w:tblCellMar>
            <w:top w:w="0" w:type="dxa"/>
            <w:left w:w="0" w:type="dxa"/>
            <w:bottom w:w="0" w:type="dxa"/>
            <w:right w:w="0" w:type="dxa"/>
          </w:tblCellMar>
        </w:tblPrEx>
        <w:trPr>
          <w:trHeight w:val="74" w:hRule="atLeast"/>
        </w:trPr>
        <w:tc>
          <w:tcPr>
            <w:tcW w:w="563" w:type="pct"/>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12"/>
              <w:bidi w:val="0"/>
              <w:rPr>
                <w:color w:val="auto"/>
                <w:highlight w:val="none"/>
              </w:rPr>
            </w:pPr>
            <w:r>
              <w:rPr>
                <w:rFonts w:hint="eastAsia"/>
                <w:color w:val="auto"/>
                <w:highlight w:val="none"/>
              </w:rPr>
              <w:t>底板</w:t>
            </w:r>
          </w:p>
        </w:tc>
        <w:tc>
          <w:tcPr>
            <w:tcW w:w="547" w:type="pct"/>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12"/>
              <w:bidi w:val="0"/>
              <w:rPr>
                <w:color w:val="auto"/>
                <w:highlight w:val="none"/>
              </w:rPr>
            </w:pPr>
            <w:r>
              <w:rPr>
                <w:rFonts w:hint="eastAsia"/>
                <w:color w:val="auto"/>
                <w:highlight w:val="none"/>
              </w:rPr>
              <w:t>外墙</w:t>
            </w:r>
          </w:p>
        </w:tc>
        <w:tc>
          <w:tcPr>
            <w:tcW w:w="558" w:type="pct"/>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12"/>
              <w:bidi w:val="0"/>
              <w:rPr>
                <w:color w:val="auto"/>
                <w:highlight w:val="none"/>
              </w:rPr>
            </w:pPr>
            <w:r>
              <w:rPr>
                <w:rFonts w:hint="eastAsia"/>
                <w:color w:val="auto"/>
                <w:highlight w:val="none"/>
              </w:rPr>
              <w:t>顶板</w:t>
            </w:r>
          </w:p>
        </w:tc>
        <w:tc>
          <w:tcPr>
            <w:tcW w:w="555" w:type="pct"/>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12"/>
              <w:bidi w:val="0"/>
              <w:rPr>
                <w:color w:val="auto"/>
                <w:highlight w:val="none"/>
              </w:rPr>
            </w:pPr>
            <w:r>
              <w:rPr>
                <w:rFonts w:hint="eastAsia"/>
                <w:color w:val="auto"/>
                <w:highlight w:val="none"/>
              </w:rPr>
              <w:t>阳、露台</w:t>
            </w:r>
          </w:p>
        </w:tc>
        <w:tc>
          <w:tcPr>
            <w:tcW w:w="555" w:type="pct"/>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12"/>
              <w:bidi w:val="0"/>
              <w:rPr>
                <w:color w:val="auto"/>
                <w:highlight w:val="none"/>
              </w:rPr>
            </w:pPr>
            <w:r>
              <w:rPr>
                <w:rFonts w:hint="eastAsia"/>
                <w:color w:val="auto"/>
                <w:highlight w:val="none"/>
              </w:rPr>
              <w:t>厨卫间</w:t>
            </w:r>
          </w:p>
        </w:tc>
        <w:tc>
          <w:tcPr>
            <w:tcW w:w="555" w:type="pct"/>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12"/>
              <w:bidi w:val="0"/>
              <w:rPr>
                <w:color w:val="auto"/>
                <w:highlight w:val="none"/>
              </w:rPr>
            </w:pPr>
            <w:r>
              <w:rPr>
                <w:rFonts w:hint="eastAsia"/>
                <w:color w:val="auto"/>
                <w:highlight w:val="none"/>
              </w:rPr>
              <w:t>外立面</w:t>
            </w:r>
          </w:p>
        </w:tc>
        <w:tc>
          <w:tcPr>
            <w:tcW w:w="555" w:type="pct"/>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12"/>
              <w:bidi w:val="0"/>
              <w:rPr>
                <w:color w:val="auto"/>
                <w:highlight w:val="none"/>
              </w:rPr>
            </w:pPr>
            <w:r>
              <w:rPr>
                <w:rFonts w:hint="eastAsia"/>
                <w:color w:val="auto"/>
                <w:highlight w:val="none"/>
              </w:rPr>
              <w:t>涉水机电房间</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12"/>
              <w:bidi w:val="0"/>
              <w:rPr>
                <w:color w:val="auto"/>
                <w:highlight w:val="none"/>
              </w:rPr>
            </w:pPr>
            <w:r>
              <w:rPr>
                <w:rFonts w:hint="eastAsia"/>
                <w:color w:val="auto"/>
                <w:highlight w:val="none"/>
              </w:rPr>
              <w:t>机位、飘窗</w:t>
            </w:r>
          </w:p>
        </w:tc>
        <w:tc>
          <w:tcPr>
            <w:tcW w:w="555" w:type="pct"/>
            <w:vMerge w:val="continue"/>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12"/>
              <w:bidi w:val="0"/>
              <w:rPr>
                <w:color w:val="auto"/>
                <w:highlight w:val="none"/>
              </w:rPr>
            </w:pPr>
          </w:p>
        </w:tc>
      </w:tr>
      <w:tr>
        <w:tblPrEx>
          <w:tblCellMar>
            <w:top w:w="0" w:type="dxa"/>
            <w:left w:w="0" w:type="dxa"/>
            <w:bottom w:w="0" w:type="dxa"/>
            <w:right w:w="0" w:type="dxa"/>
          </w:tblCellMar>
        </w:tblPrEx>
        <w:trPr>
          <w:trHeight w:val="74" w:hRule="atLeast"/>
        </w:trPr>
        <w:tc>
          <w:tcPr>
            <w:tcW w:w="563" w:type="pct"/>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12"/>
              <w:bidi w:val="0"/>
              <w:rPr>
                <w:color w:val="auto"/>
                <w:highlight w:val="none"/>
              </w:rPr>
            </w:pPr>
            <w:r>
              <w:rPr>
                <w:rFonts w:hint="eastAsia"/>
                <w:color w:val="auto"/>
                <w:highlight w:val="none"/>
              </w:rPr>
              <w:t>桩头防水</w:t>
            </w:r>
          </w:p>
        </w:tc>
        <w:tc>
          <w:tcPr>
            <w:tcW w:w="547" w:type="pct"/>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12"/>
              <w:bidi w:val="0"/>
              <w:rPr>
                <w:color w:val="auto"/>
                <w:highlight w:val="none"/>
              </w:rPr>
            </w:pPr>
            <w:r>
              <w:rPr>
                <w:rFonts w:hint="eastAsia"/>
                <w:color w:val="auto"/>
                <w:highlight w:val="none"/>
              </w:rPr>
              <w:t>外墙防水做法</w:t>
            </w:r>
          </w:p>
        </w:tc>
        <w:tc>
          <w:tcPr>
            <w:tcW w:w="558" w:type="pct"/>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12"/>
              <w:bidi w:val="0"/>
              <w:rPr>
                <w:color w:val="auto"/>
                <w:highlight w:val="none"/>
              </w:rPr>
            </w:pPr>
            <w:r>
              <w:rPr>
                <w:rFonts w:hint="eastAsia"/>
                <w:color w:val="auto"/>
                <w:highlight w:val="none"/>
              </w:rPr>
              <w:t>顶板防水做法</w:t>
            </w:r>
          </w:p>
        </w:tc>
        <w:tc>
          <w:tcPr>
            <w:tcW w:w="555" w:type="pct"/>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12"/>
              <w:bidi w:val="0"/>
              <w:rPr>
                <w:color w:val="auto"/>
                <w:highlight w:val="none"/>
              </w:rPr>
            </w:pPr>
            <w:r>
              <w:rPr>
                <w:rFonts w:hint="eastAsia"/>
                <w:color w:val="auto"/>
                <w:highlight w:val="none"/>
              </w:rPr>
              <w:t>防水做法</w:t>
            </w:r>
          </w:p>
        </w:tc>
        <w:tc>
          <w:tcPr>
            <w:tcW w:w="555" w:type="pct"/>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12"/>
              <w:bidi w:val="0"/>
              <w:rPr>
                <w:color w:val="auto"/>
                <w:highlight w:val="none"/>
              </w:rPr>
            </w:pPr>
            <w:r>
              <w:rPr>
                <w:rFonts w:hint="eastAsia"/>
                <w:color w:val="auto"/>
                <w:highlight w:val="none"/>
              </w:rPr>
              <w:t>沉箱卫生间</w:t>
            </w:r>
          </w:p>
        </w:tc>
        <w:tc>
          <w:tcPr>
            <w:tcW w:w="555" w:type="pct"/>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12"/>
              <w:bidi w:val="0"/>
              <w:rPr>
                <w:color w:val="auto"/>
                <w:highlight w:val="none"/>
              </w:rPr>
            </w:pPr>
            <w:r>
              <w:rPr>
                <w:rFonts w:hint="eastAsia"/>
                <w:color w:val="auto"/>
                <w:highlight w:val="none"/>
              </w:rPr>
              <w:t>预制墙板节点</w:t>
            </w:r>
          </w:p>
        </w:tc>
        <w:tc>
          <w:tcPr>
            <w:tcW w:w="555" w:type="pct"/>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12"/>
              <w:bidi w:val="0"/>
              <w:rPr>
                <w:color w:val="auto"/>
                <w:highlight w:val="none"/>
              </w:rPr>
            </w:pPr>
            <w:r>
              <w:rPr>
                <w:rFonts w:hint="eastAsia"/>
                <w:color w:val="auto"/>
                <w:highlight w:val="none"/>
              </w:rPr>
              <w:t>涉水房间防水</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12"/>
              <w:bidi w:val="0"/>
              <w:rPr>
                <w:color w:val="auto"/>
                <w:highlight w:val="none"/>
              </w:rPr>
            </w:pPr>
            <w:r>
              <w:rPr>
                <w:rFonts w:hint="eastAsia"/>
                <w:color w:val="auto"/>
                <w:highlight w:val="none"/>
              </w:rPr>
              <w:t>防水做法</w:t>
            </w:r>
          </w:p>
        </w:tc>
        <w:tc>
          <w:tcPr>
            <w:tcW w:w="555" w:type="pct"/>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12"/>
              <w:bidi w:val="0"/>
              <w:rPr>
                <w:color w:val="auto"/>
                <w:highlight w:val="none"/>
              </w:rPr>
            </w:pPr>
            <w:r>
              <w:rPr>
                <w:rFonts w:hint="eastAsia"/>
                <w:color w:val="auto"/>
                <w:highlight w:val="none"/>
              </w:rPr>
              <w:t>屋面防水做法</w:t>
            </w:r>
          </w:p>
        </w:tc>
      </w:tr>
      <w:tr>
        <w:tblPrEx>
          <w:tblCellMar>
            <w:top w:w="0" w:type="dxa"/>
            <w:left w:w="0" w:type="dxa"/>
            <w:bottom w:w="0" w:type="dxa"/>
            <w:right w:w="0" w:type="dxa"/>
          </w:tblCellMar>
        </w:tblPrEx>
        <w:trPr>
          <w:trHeight w:val="74" w:hRule="atLeast"/>
        </w:trPr>
        <w:tc>
          <w:tcPr>
            <w:tcW w:w="563" w:type="pct"/>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12"/>
              <w:bidi w:val="0"/>
              <w:rPr>
                <w:color w:val="auto"/>
                <w:highlight w:val="none"/>
              </w:rPr>
            </w:pPr>
            <w:r>
              <w:rPr>
                <w:rFonts w:hint="eastAsia"/>
                <w:color w:val="auto"/>
                <w:highlight w:val="none"/>
              </w:rPr>
              <w:t>底板防水做法</w:t>
            </w:r>
          </w:p>
        </w:tc>
        <w:tc>
          <w:tcPr>
            <w:tcW w:w="547" w:type="pct"/>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12"/>
              <w:bidi w:val="0"/>
              <w:rPr>
                <w:color w:val="auto"/>
                <w:highlight w:val="none"/>
              </w:rPr>
            </w:pPr>
            <w:r>
              <w:rPr>
                <w:rFonts w:hint="eastAsia"/>
                <w:color w:val="auto"/>
                <w:highlight w:val="none"/>
              </w:rPr>
              <w:t>后浇带</w:t>
            </w:r>
          </w:p>
        </w:tc>
        <w:tc>
          <w:tcPr>
            <w:tcW w:w="558" w:type="pct"/>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12"/>
              <w:bidi w:val="0"/>
              <w:rPr>
                <w:color w:val="auto"/>
                <w:highlight w:val="none"/>
              </w:rPr>
            </w:pPr>
            <w:r>
              <w:rPr>
                <w:rFonts w:hint="eastAsia"/>
                <w:color w:val="auto"/>
                <w:highlight w:val="none"/>
              </w:rPr>
              <w:t>顶板疏水做法</w:t>
            </w:r>
          </w:p>
        </w:tc>
        <w:tc>
          <w:tcPr>
            <w:tcW w:w="555" w:type="pct"/>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12"/>
              <w:bidi w:val="0"/>
              <w:rPr>
                <w:color w:val="auto"/>
                <w:highlight w:val="none"/>
              </w:rPr>
            </w:pPr>
            <w:r>
              <w:rPr>
                <w:rFonts w:hint="eastAsia"/>
                <w:color w:val="auto"/>
                <w:highlight w:val="none"/>
              </w:rPr>
              <w:t>排水设计</w:t>
            </w:r>
          </w:p>
        </w:tc>
        <w:tc>
          <w:tcPr>
            <w:tcW w:w="555" w:type="pct"/>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12"/>
              <w:bidi w:val="0"/>
              <w:rPr>
                <w:color w:val="auto"/>
                <w:highlight w:val="none"/>
              </w:rPr>
            </w:pPr>
            <w:r>
              <w:rPr>
                <w:rFonts w:hint="eastAsia"/>
                <w:color w:val="auto"/>
                <w:highlight w:val="none"/>
              </w:rPr>
              <w:t>非沉箱卫生间</w:t>
            </w:r>
          </w:p>
        </w:tc>
        <w:tc>
          <w:tcPr>
            <w:tcW w:w="555" w:type="pct"/>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12"/>
              <w:bidi w:val="0"/>
              <w:rPr>
                <w:color w:val="auto"/>
                <w:highlight w:val="none"/>
              </w:rPr>
            </w:pPr>
            <w:r>
              <w:rPr>
                <w:rFonts w:hint="eastAsia"/>
                <w:color w:val="auto"/>
                <w:highlight w:val="none"/>
              </w:rPr>
              <w:t>穿墙洞扣封堵</w:t>
            </w:r>
          </w:p>
        </w:tc>
        <w:tc>
          <w:tcPr>
            <w:tcW w:w="555" w:type="pct"/>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12"/>
              <w:bidi w:val="0"/>
              <w:rPr>
                <w:color w:val="auto"/>
                <w:highlight w:val="none"/>
              </w:rPr>
            </w:pPr>
            <w:r>
              <w:rPr>
                <w:rFonts w:hint="eastAsia"/>
                <w:color w:val="auto"/>
                <w:highlight w:val="none"/>
              </w:rPr>
              <w:t>水管井防水</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12"/>
              <w:bidi w:val="0"/>
              <w:rPr>
                <w:color w:val="auto"/>
                <w:highlight w:val="none"/>
              </w:rPr>
            </w:pPr>
            <w:r>
              <w:rPr>
                <w:rFonts w:hint="eastAsia"/>
                <w:color w:val="auto"/>
                <w:highlight w:val="none"/>
              </w:rPr>
              <w:t>地漏防水节点</w:t>
            </w:r>
          </w:p>
        </w:tc>
        <w:tc>
          <w:tcPr>
            <w:tcW w:w="555" w:type="pct"/>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12"/>
              <w:bidi w:val="0"/>
              <w:rPr>
                <w:color w:val="auto"/>
                <w:highlight w:val="none"/>
              </w:rPr>
            </w:pPr>
            <w:r>
              <w:rPr>
                <w:rFonts w:hint="eastAsia"/>
                <w:color w:val="auto"/>
                <w:highlight w:val="none"/>
              </w:rPr>
              <w:t>泛水做法</w:t>
            </w:r>
          </w:p>
        </w:tc>
      </w:tr>
      <w:tr>
        <w:tblPrEx>
          <w:tblCellMar>
            <w:top w:w="0" w:type="dxa"/>
            <w:left w:w="0" w:type="dxa"/>
            <w:bottom w:w="0" w:type="dxa"/>
            <w:right w:w="0" w:type="dxa"/>
          </w:tblCellMar>
        </w:tblPrEx>
        <w:trPr>
          <w:trHeight w:val="74" w:hRule="atLeast"/>
        </w:trPr>
        <w:tc>
          <w:tcPr>
            <w:tcW w:w="563" w:type="pct"/>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12"/>
              <w:bidi w:val="0"/>
              <w:rPr>
                <w:color w:val="auto"/>
                <w:highlight w:val="none"/>
              </w:rPr>
            </w:pPr>
            <w:r>
              <w:rPr>
                <w:rFonts w:hint="eastAsia"/>
                <w:color w:val="auto"/>
                <w:highlight w:val="none"/>
              </w:rPr>
              <w:t>底板疏水做法</w:t>
            </w:r>
          </w:p>
        </w:tc>
        <w:tc>
          <w:tcPr>
            <w:tcW w:w="547" w:type="pct"/>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12"/>
              <w:bidi w:val="0"/>
              <w:rPr>
                <w:color w:val="auto"/>
                <w:highlight w:val="none"/>
              </w:rPr>
            </w:pPr>
            <w:r>
              <w:rPr>
                <w:rFonts w:hint="eastAsia"/>
                <w:color w:val="auto"/>
                <w:highlight w:val="none"/>
              </w:rPr>
              <w:t>变形缝</w:t>
            </w:r>
          </w:p>
        </w:tc>
        <w:tc>
          <w:tcPr>
            <w:tcW w:w="558" w:type="pct"/>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12"/>
              <w:bidi w:val="0"/>
              <w:rPr>
                <w:color w:val="auto"/>
                <w:highlight w:val="none"/>
              </w:rPr>
            </w:pPr>
            <w:r>
              <w:rPr>
                <w:rFonts w:hint="eastAsia"/>
                <w:color w:val="auto"/>
                <w:highlight w:val="none"/>
              </w:rPr>
              <w:t>顶板排水做法</w:t>
            </w:r>
          </w:p>
        </w:tc>
        <w:tc>
          <w:tcPr>
            <w:tcW w:w="555" w:type="pct"/>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12"/>
              <w:bidi w:val="0"/>
              <w:rPr>
                <w:color w:val="auto"/>
                <w:highlight w:val="none"/>
              </w:rPr>
            </w:pPr>
            <w:r>
              <w:rPr>
                <w:rFonts w:hint="eastAsia"/>
                <w:color w:val="auto"/>
                <w:highlight w:val="none"/>
              </w:rPr>
              <w:t>管道穿楼板</w:t>
            </w:r>
          </w:p>
        </w:tc>
        <w:tc>
          <w:tcPr>
            <w:tcW w:w="555" w:type="pct"/>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12"/>
              <w:bidi w:val="0"/>
              <w:rPr>
                <w:color w:val="auto"/>
                <w:highlight w:val="none"/>
              </w:rPr>
            </w:pPr>
            <w:r>
              <w:rPr>
                <w:rFonts w:hint="eastAsia"/>
                <w:color w:val="auto"/>
                <w:highlight w:val="none"/>
              </w:rPr>
              <w:t>管道穿楼板</w:t>
            </w:r>
          </w:p>
        </w:tc>
        <w:tc>
          <w:tcPr>
            <w:tcW w:w="555" w:type="pct"/>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12"/>
              <w:bidi w:val="0"/>
              <w:rPr>
                <w:color w:val="auto"/>
                <w:highlight w:val="none"/>
              </w:rPr>
            </w:pPr>
            <w:r>
              <w:rPr>
                <w:rFonts w:hint="eastAsia"/>
                <w:color w:val="auto"/>
                <w:highlight w:val="none"/>
              </w:rPr>
              <w:t>/</w:t>
            </w:r>
          </w:p>
        </w:tc>
        <w:tc>
          <w:tcPr>
            <w:tcW w:w="555" w:type="pct"/>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12"/>
              <w:bidi w:val="0"/>
              <w:rPr>
                <w:color w:val="auto"/>
                <w:highlight w:val="none"/>
              </w:rPr>
            </w:pPr>
            <w:r>
              <w:rPr>
                <w:rFonts w:hint="eastAsia"/>
                <w:color w:val="auto"/>
                <w:highlight w:val="none"/>
              </w:rPr>
              <w:t>管道穿楼板</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12"/>
              <w:bidi w:val="0"/>
              <w:rPr>
                <w:color w:val="auto"/>
                <w:highlight w:val="none"/>
              </w:rPr>
            </w:pPr>
            <w:r>
              <w:rPr>
                <w:rFonts w:hint="eastAsia"/>
                <w:color w:val="auto"/>
                <w:highlight w:val="none"/>
              </w:rPr>
              <w:t>百页排水设计</w:t>
            </w:r>
          </w:p>
        </w:tc>
        <w:tc>
          <w:tcPr>
            <w:tcW w:w="555" w:type="pct"/>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12"/>
              <w:bidi w:val="0"/>
              <w:rPr>
                <w:color w:val="auto"/>
                <w:highlight w:val="none"/>
              </w:rPr>
            </w:pPr>
            <w:r>
              <w:rPr>
                <w:rFonts w:hint="eastAsia"/>
                <w:color w:val="auto"/>
                <w:highlight w:val="none"/>
              </w:rPr>
              <w:t>截水做法</w:t>
            </w:r>
          </w:p>
        </w:tc>
      </w:tr>
      <w:tr>
        <w:tblPrEx>
          <w:tblCellMar>
            <w:top w:w="0" w:type="dxa"/>
            <w:left w:w="0" w:type="dxa"/>
            <w:bottom w:w="0" w:type="dxa"/>
            <w:right w:w="0" w:type="dxa"/>
          </w:tblCellMar>
        </w:tblPrEx>
        <w:trPr>
          <w:trHeight w:val="74" w:hRule="atLeast"/>
        </w:trPr>
        <w:tc>
          <w:tcPr>
            <w:tcW w:w="563" w:type="pct"/>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12"/>
              <w:bidi w:val="0"/>
              <w:rPr>
                <w:color w:val="auto"/>
                <w:highlight w:val="none"/>
              </w:rPr>
            </w:pPr>
            <w:r>
              <w:rPr>
                <w:rFonts w:hint="eastAsia"/>
                <w:color w:val="auto"/>
                <w:highlight w:val="none"/>
              </w:rPr>
              <w:t>电梯基坑</w:t>
            </w:r>
          </w:p>
        </w:tc>
        <w:tc>
          <w:tcPr>
            <w:tcW w:w="547" w:type="pct"/>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12"/>
              <w:bidi w:val="0"/>
              <w:rPr>
                <w:color w:val="auto"/>
                <w:highlight w:val="none"/>
              </w:rPr>
            </w:pPr>
            <w:r>
              <w:rPr>
                <w:rFonts w:hint="eastAsia"/>
                <w:color w:val="auto"/>
                <w:highlight w:val="none"/>
              </w:rPr>
              <w:t>施工缝</w:t>
            </w:r>
          </w:p>
        </w:tc>
        <w:tc>
          <w:tcPr>
            <w:tcW w:w="558" w:type="pct"/>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12"/>
              <w:bidi w:val="0"/>
              <w:rPr>
                <w:color w:val="auto"/>
                <w:highlight w:val="none"/>
              </w:rPr>
            </w:pPr>
            <w:r>
              <w:rPr>
                <w:rFonts w:hint="eastAsia"/>
                <w:color w:val="auto"/>
                <w:highlight w:val="none"/>
              </w:rPr>
              <w:t>后浇带</w:t>
            </w:r>
          </w:p>
        </w:tc>
        <w:tc>
          <w:tcPr>
            <w:tcW w:w="555" w:type="pct"/>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12"/>
              <w:bidi w:val="0"/>
              <w:rPr>
                <w:color w:val="auto"/>
                <w:highlight w:val="none"/>
              </w:rPr>
            </w:pPr>
            <w:r>
              <w:rPr>
                <w:rFonts w:hint="eastAsia"/>
                <w:color w:val="auto"/>
                <w:highlight w:val="none"/>
              </w:rPr>
              <w:t>地漏防水节点</w:t>
            </w:r>
          </w:p>
        </w:tc>
        <w:tc>
          <w:tcPr>
            <w:tcW w:w="555" w:type="pct"/>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12"/>
              <w:bidi w:val="0"/>
              <w:rPr>
                <w:color w:val="auto"/>
                <w:highlight w:val="none"/>
              </w:rPr>
            </w:pPr>
            <w:r>
              <w:rPr>
                <w:rFonts w:hint="eastAsia"/>
                <w:color w:val="auto"/>
                <w:highlight w:val="none"/>
              </w:rPr>
              <w:t>门槛防水节点</w:t>
            </w:r>
          </w:p>
        </w:tc>
        <w:tc>
          <w:tcPr>
            <w:tcW w:w="555" w:type="pct"/>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12"/>
              <w:bidi w:val="0"/>
              <w:rPr>
                <w:color w:val="auto"/>
                <w:highlight w:val="none"/>
              </w:rPr>
            </w:pPr>
            <w:r>
              <w:rPr>
                <w:rFonts w:hint="eastAsia"/>
                <w:color w:val="auto"/>
                <w:highlight w:val="none"/>
              </w:rPr>
              <w:t>/</w:t>
            </w:r>
          </w:p>
        </w:tc>
        <w:tc>
          <w:tcPr>
            <w:tcW w:w="555" w:type="pct"/>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12"/>
              <w:bidi w:val="0"/>
              <w:rPr>
                <w:color w:val="auto"/>
                <w:highlight w:val="none"/>
              </w:rPr>
            </w:pPr>
            <w:r>
              <w:rPr>
                <w:rFonts w:hint="eastAsia"/>
                <w:color w:val="auto"/>
                <w:highlight w:val="none"/>
              </w:rPr>
              <w:t>地漏防水节点</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12"/>
              <w:bidi w:val="0"/>
              <w:rPr>
                <w:color w:val="auto"/>
                <w:highlight w:val="none"/>
              </w:rPr>
            </w:pPr>
            <w:r>
              <w:rPr>
                <w:rFonts w:hint="eastAsia"/>
                <w:color w:val="auto"/>
                <w:highlight w:val="none"/>
              </w:rPr>
              <w:t>/</w:t>
            </w:r>
          </w:p>
        </w:tc>
        <w:tc>
          <w:tcPr>
            <w:tcW w:w="555" w:type="pct"/>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12"/>
              <w:bidi w:val="0"/>
              <w:rPr>
                <w:color w:val="auto"/>
                <w:highlight w:val="none"/>
              </w:rPr>
            </w:pPr>
            <w:r>
              <w:rPr>
                <w:rFonts w:hint="eastAsia"/>
                <w:color w:val="auto"/>
                <w:highlight w:val="none"/>
              </w:rPr>
              <w:t>排水沟大样</w:t>
            </w:r>
          </w:p>
        </w:tc>
      </w:tr>
      <w:tr>
        <w:tblPrEx>
          <w:tblCellMar>
            <w:top w:w="0" w:type="dxa"/>
            <w:left w:w="0" w:type="dxa"/>
            <w:bottom w:w="0" w:type="dxa"/>
            <w:right w:w="0" w:type="dxa"/>
          </w:tblCellMar>
        </w:tblPrEx>
        <w:trPr>
          <w:trHeight w:val="74" w:hRule="atLeast"/>
        </w:trPr>
        <w:tc>
          <w:tcPr>
            <w:tcW w:w="563" w:type="pct"/>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12"/>
              <w:bidi w:val="0"/>
              <w:rPr>
                <w:color w:val="auto"/>
                <w:highlight w:val="none"/>
              </w:rPr>
            </w:pPr>
            <w:r>
              <w:rPr>
                <w:rFonts w:hint="eastAsia"/>
                <w:color w:val="auto"/>
                <w:highlight w:val="none"/>
              </w:rPr>
              <w:t>阴阳角（转角）</w:t>
            </w:r>
          </w:p>
        </w:tc>
        <w:tc>
          <w:tcPr>
            <w:tcW w:w="547" w:type="pct"/>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12"/>
              <w:bidi w:val="0"/>
              <w:rPr>
                <w:color w:val="auto"/>
                <w:highlight w:val="none"/>
              </w:rPr>
            </w:pPr>
            <w:r>
              <w:rPr>
                <w:rFonts w:hint="eastAsia"/>
                <w:color w:val="auto"/>
                <w:highlight w:val="none"/>
              </w:rPr>
              <w:t>穿墙管道</w:t>
            </w:r>
          </w:p>
        </w:tc>
        <w:tc>
          <w:tcPr>
            <w:tcW w:w="558" w:type="pct"/>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12"/>
              <w:bidi w:val="0"/>
              <w:rPr>
                <w:color w:val="auto"/>
                <w:highlight w:val="none"/>
              </w:rPr>
            </w:pPr>
            <w:r>
              <w:rPr>
                <w:rFonts w:hint="eastAsia"/>
                <w:color w:val="auto"/>
                <w:highlight w:val="none"/>
              </w:rPr>
              <w:t>变形缝</w:t>
            </w:r>
          </w:p>
        </w:tc>
        <w:tc>
          <w:tcPr>
            <w:tcW w:w="555" w:type="pct"/>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12"/>
              <w:bidi w:val="0"/>
              <w:rPr>
                <w:color w:val="auto"/>
                <w:highlight w:val="none"/>
              </w:rPr>
            </w:pPr>
            <w:r>
              <w:rPr>
                <w:rFonts w:hint="eastAsia"/>
                <w:color w:val="auto"/>
                <w:highlight w:val="none"/>
              </w:rPr>
              <w:t>/</w:t>
            </w:r>
          </w:p>
        </w:tc>
        <w:tc>
          <w:tcPr>
            <w:tcW w:w="555" w:type="pct"/>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12"/>
              <w:bidi w:val="0"/>
              <w:rPr>
                <w:color w:val="auto"/>
                <w:highlight w:val="none"/>
              </w:rPr>
            </w:pPr>
            <w:r>
              <w:rPr>
                <w:rFonts w:hint="eastAsia"/>
                <w:color w:val="auto"/>
                <w:highlight w:val="none"/>
              </w:rPr>
              <w:t>回填节点</w:t>
            </w:r>
          </w:p>
        </w:tc>
        <w:tc>
          <w:tcPr>
            <w:tcW w:w="555" w:type="pct"/>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12"/>
              <w:bidi w:val="0"/>
              <w:rPr>
                <w:color w:val="auto"/>
                <w:highlight w:val="none"/>
              </w:rPr>
            </w:pPr>
            <w:r>
              <w:rPr>
                <w:rFonts w:hint="eastAsia"/>
                <w:color w:val="auto"/>
                <w:highlight w:val="none"/>
              </w:rPr>
              <w:t>/</w:t>
            </w:r>
          </w:p>
        </w:tc>
        <w:tc>
          <w:tcPr>
            <w:tcW w:w="555" w:type="pct"/>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12"/>
              <w:bidi w:val="0"/>
              <w:rPr>
                <w:color w:val="auto"/>
                <w:highlight w:val="none"/>
              </w:rPr>
            </w:pPr>
            <w:r>
              <w:rPr>
                <w:rFonts w:hint="eastAsia"/>
                <w:color w:val="auto"/>
                <w:highlight w:val="none"/>
              </w:rPr>
              <w:t>/</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12"/>
              <w:bidi w:val="0"/>
              <w:rPr>
                <w:color w:val="auto"/>
                <w:highlight w:val="none"/>
              </w:rPr>
            </w:pPr>
            <w:r>
              <w:rPr>
                <w:rFonts w:hint="eastAsia"/>
                <w:color w:val="auto"/>
                <w:highlight w:val="none"/>
              </w:rPr>
              <w:t>/</w:t>
            </w:r>
          </w:p>
        </w:tc>
        <w:tc>
          <w:tcPr>
            <w:tcW w:w="555" w:type="pct"/>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12"/>
              <w:bidi w:val="0"/>
              <w:rPr>
                <w:color w:val="auto"/>
                <w:highlight w:val="none"/>
              </w:rPr>
            </w:pPr>
            <w:r>
              <w:rPr>
                <w:rFonts w:hint="eastAsia"/>
                <w:color w:val="auto"/>
                <w:highlight w:val="none"/>
              </w:rPr>
              <w:t>出屋面构件</w:t>
            </w:r>
          </w:p>
        </w:tc>
      </w:tr>
      <w:tr>
        <w:tblPrEx>
          <w:tblCellMar>
            <w:top w:w="0" w:type="dxa"/>
            <w:left w:w="0" w:type="dxa"/>
            <w:bottom w:w="0" w:type="dxa"/>
            <w:right w:w="0" w:type="dxa"/>
          </w:tblCellMar>
        </w:tblPrEx>
        <w:trPr>
          <w:trHeight w:val="74" w:hRule="atLeast"/>
        </w:trPr>
        <w:tc>
          <w:tcPr>
            <w:tcW w:w="563" w:type="pct"/>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12"/>
              <w:bidi w:val="0"/>
              <w:rPr>
                <w:color w:val="auto"/>
                <w:highlight w:val="none"/>
              </w:rPr>
            </w:pPr>
            <w:r>
              <w:rPr>
                <w:rFonts w:hint="eastAsia"/>
                <w:color w:val="auto"/>
                <w:highlight w:val="none"/>
              </w:rPr>
              <w:t>变形缝</w:t>
            </w:r>
          </w:p>
        </w:tc>
        <w:tc>
          <w:tcPr>
            <w:tcW w:w="547" w:type="pct"/>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12"/>
              <w:bidi w:val="0"/>
              <w:rPr>
                <w:color w:val="auto"/>
                <w:highlight w:val="none"/>
              </w:rPr>
            </w:pPr>
            <w:r>
              <w:rPr>
                <w:rFonts w:hint="eastAsia"/>
                <w:color w:val="auto"/>
                <w:highlight w:val="none"/>
              </w:rPr>
              <w:t>穿墙螺杆洞</w:t>
            </w:r>
          </w:p>
        </w:tc>
        <w:tc>
          <w:tcPr>
            <w:tcW w:w="558" w:type="pct"/>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12"/>
              <w:bidi w:val="0"/>
              <w:rPr>
                <w:color w:val="auto"/>
                <w:highlight w:val="none"/>
              </w:rPr>
            </w:pPr>
            <w:r>
              <w:rPr>
                <w:rFonts w:hint="eastAsia"/>
                <w:color w:val="auto"/>
                <w:highlight w:val="none"/>
              </w:rPr>
              <w:t>施工缝</w:t>
            </w:r>
          </w:p>
        </w:tc>
        <w:tc>
          <w:tcPr>
            <w:tcW w:w="555" w:type="pct"/>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12"/>
              <w:bidi w:val="0"/>
              <w:rPr>
                <w:color w:val="auto"/>
                <w:highlight w:val="none"/>
              </w:rPr>
            </w:pPr>
            <w:r>
              <w:rPr>
                <w:rFonts w:hint="eastAsia"/>
                <w:color w:val="auto"/>
                <w:highlight w:val="none"/>
              </w:rPr>
              <w:t>/</w:t>
            </w:r>
          </w:p>
        </w:tc>
        <w:tc>
          <w:tcPr>
            <w:tcW w:w="555" w:type="pct"/>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12"/>
              <w:bidi w:val="0"/>
              <w:rPr>
                <w:color w:val="auto"/>
                <w:highlight w:val="none"/>
              </w:rPr>
            </w:pPr>
            <w:r>
              <w:rPr>
                <w:rFonts w:hint="eastAsia"/>
                <w:color w:val="auto"/>
                <w:highlight w:val="none"/>
              </w:rPr>
              <w:t>穿墙管道</w:t>
            </w:r>
          </w:p>
        </w:tc>
        <w:tc>
          <w:tcPr>
            <w:tcW w:w="555" w:type="pct"/>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12"/>
              <w:bidi w:val="0"/>
              <w:rPr>
                <w:color w:val="auto"/>
                <w:highlight w:val="none"/>
              </w:rPr>
            </w:pPr>
            <w:r>
              <w:rPr>
                <w:rFonts w:hint="eastAsia"/>
                <w:color w:val="auto"/>
                <w:highlight w:val="none"/>
              </w:rPr>
              <w:t>/</w:t>
            </w:r>
          </w:p>
        </w:tc>
        <w:tc>
          <w:tcPr>
            <w:tcW w:w="555" w:type="pct"/>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12"/>
              <w:bidi w:val="0"/>
              <w:rPr>
                <w:color w:val="auto"/>
                <w:highlight w:val="none"/>
              </w:rPr>
            </w:pPr>
            <w:r>
              <w:rPr>
                <w:rFonts w:hint="eastAsia"/>
                <w:color w:val="auto"/>
                <w:highlight w:val="none"/>
              </w:rPr>
              <w:t>/</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12"/>
              <w:bidi w:val="0"/>
              <w:rPr>
                <w:color w:val="auto"/>
                <w:highlight w:val="none"/>
              </w:rPr>
            </w:pPr>
            <w:r>
              <w:rPr>
                <w:rFonts w:hint="eastAsia"/>
                <w:color w:val="auto"/>
                <w:highlight w:val="none"/>
              </w:rPr>
              <w:t>/</w:t>
            </w:r>
          </w:p>
        </w:tc>
        <w:tc>
          <w:tcPr>
            <w:tcW w:w="555" w:type="pct"/>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12"/>
              <w:bidi w:val="0"/>
              <w:rPr>
                <w:color w:val="auto"/>
                <w:highlight w:val="none"/>
              </w:rPr>
            </w:pPr>
            <w:r>
              <w:rPr>
                <w:rFonts w:hint="eastAsia"/>
                <w:color w:val="auto"/>
                <w:highlight w:val="none"/>
              </w:rPr>
              <w:t>上翻构件</w:t>
            </w:r>
          </w:p>
        </w:tc>
      </w:tr>
      <w:tr>
        <w:tblPrEx>
          <w:tblCellMar>
            <w:top w:w="0" w:type="dxa"/>
            <w:left w:w="0" w:type="dxa"/>
            <w:bottom w:w="0" w:type="dxa"/>
            <w:right w:w="0" w:type="dxa"/>
          </w:tblCellMar>
        </w:tblPrEx>
        <w:trPr>
          <w:trHeight w:val="74" w:hRule="atLeast"/>
        </w:trPr>
        <w:tc>
          <w:tcPr>
            <w:tcW w:w="563" w:type="pct"/>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12"/>
              <w:bidi w:val="0"/>
              <w:rPr>
                <w:color w:val="auto"/>
                <w:highlight w:val="none"/>
              </w:rPr>
            </w:pPr>
            <w:r>
              <w:rPr>
                <w:rFonts w:hint="eastAsia"/>
                <w:color w:val="auto"/>
                <w:highlight w:val="none"/>
              </w:rPr>
              <w:t>后浇带</w:t>
            </w:r>
          </w:p>
        </w:tc>
        <w:tc>
          <w:tcPr>
            <w:tcW w:w="547" w:type="pct"/>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12"/>
              <w:bidi w:val="0"/>
              <w:rPr>
                <w:color w:val="auto"/>
                <w:highlight w:val="none"/>
              </w:rPr>
            </w:pPr>
            <w:r>
              <w:rPr>
                <w:rFonts w:hint="eastAsia"/>
                <w:color w:val="auto"/>
                <w:highlight w:val="none"/>
              </w:rPr>
              <w:t>/</w:t>
            </w:r>
          </w:p>
        </w:tc>
        <w:tc>
          <w:tcPr>
            <w:tcW w:w="558" w:type="pct"/>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12"/>
              <w:bidi w:val="0"/>
              <w:rPr>
                <w:color w:val="auto"/>
                <w:highlight w:val="none"/>
              </w:rPr>
            </w:pPr>
            <w:r>
              <w:rPr>
                <w:rFonts w:hint="eastAsia"/>
                <w:color w:val="auto"/>
                <w:highlight w:val="none"/>
              </w:rPr>
              <w:t>阴阳角（转角）</w:t>
            </w:r>
          </w:p>
        </w:tc>
        <w:tc>
          <w:tcPr>
            <w:tcW w:w="555" w:type="pct"/>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12"/>
              <w:bidi w:val="0"/>
              <w:rPr>
                <w:color w:val="auto"/>
                <w:highlight w:val="none"/>
              </w:rPr>
            </w:pPr>
            <w:r>
              <w:rPr>
                <w:rFonts w:hint="eastAsia"/>
                <w:color w:val="auto"/>
                <w:highlight w:val="none"/>
              </w:rPr>
              <w:t>/</w:t>
            </w:r>
          </w:p>
        </w:tc>
        <w:tc>
          <w:tcPr>
            <w:tcW w:w="555" w:type="pct"/>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12"/>
              <w:bidi w:val="0"/>
              <w:rPr>
                <w:color w:val="auto"/>
                <w:highlight w:val="none"/>
              </w:rPr>
            </w:pPr>
            <w:r>
              <w:rPr>
                <w:rFonts w:hint="eastAsia"/>
                <w:color w:val="auto"/>
                <w:highlight w:val="none"/>
              </w:rPr>
              <w:t>地漏防水节点</w:t>
            </w:r>
          </w:p>
        </w:tc>
        <w:tc>
          <w:tcPr>
            <w:tcW w:w="555" w:type="pct"/>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12"/>
              <w:bidi w:val="0"/>
              <w:rPr>
                <w:color w:val="auto"/>
                <w:highlight w:val="none"/>
              </w:rPr>
            </w:pPr>
            <w:r>
              <w:rPr>
                <w:rFonts w:hint="eastAsia"/>
                <w:color w:val="auto"/>
                <w:highlight w:val="none"/>
              </w:rPr>
              <w:t>/</w:t>
            </w:r>
          </w:p>
        </w:tc>
        <w:tc>
          <w:tcPr>
            <w:tcW w:w="555" w:type="pct"/>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12"/>
              <w:bidi w:val="0"/>
              <w:rPr>
                <w:color w:val="auto"/>
                <w:highlight w:val="none"/>
              </w:rPr>
            </w:pPr>
            <w:r>
              <w:rPr>
                <w:rFonts w:hint="eastAsia"/>
                <w:color w:val="auto"/>
                <w:highlight w:val="none"/>
              </w:rPr>
              <w:t>/</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12"/>
              <w:bidi w:val="0"/>
              <w:rPr>
                <w:color w:val="auto"/>
                <w:highlight w:val="none"/>
              </w:rPr>
            </w:pPr>
            <w:r>
              <w:rPr>
                <w:rFonts w:hint="eastAsia"/>
                <w:color w:val="auto"/>
                <w:highlight w:val="none"/>
              </w:rPr>
              <w:t>/</w:t>
            </w:r>
          </w:p>
        </w:tc>
        <w:tc>
          <w:tcPr>
            <w:tcW w:w="555" w:type="pct"/>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12"/>
              <w:bidi w:val="0"/>
              <w:rPr>
                <w:color w:val="auto"/>
                <w:highlight w:val="none"/>
              </w:rPr>
            </w:pPr>
            <w:r>
              <w:rPr>
                <w:rFonts w:hint="eastAsia"/>
                <w:color w:val="auto"/>
                <w:highlight w:val="none"/>
              </w:rPr>
              <w:t>穿屋面管道</w:t>
            </w:r>
          </w:p>
        </w:tc>
      </w:tr>
      <w:tr>
        <w:tblPrEx>
          <w:tblCellMar>
            <w:top w:w="0" w:type="dxa"/>
            <w:left w:w="0" w:type="dxa"/>
            <w:bottom w:w="0" w:type="dxa"/>
            <w:right w:w="0" w:type="dxa"/>
          </w:tblCellMar>
        </w:tblPrEx>
        <w:trPr>
          <w:trHeight w:val="74" w:hRule="atLeast"/>
        </w:trPr>
        <w:tc>
          <w:tcPr>
            <w:tcW w:w="563" w:type="pct"/>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12"/>
              <w:bidi w:val="0"/>
              <w:rPr>
                <w:color w:val="auto"/>
                <w:highlight w:val="none"/>
              </w:rPr>
            </w:pPr>
            <w:r>
              <w:rPr>
                <w:rFonts w:hint="eastAsia"/>
                <w:color w:val="auto"/>
                <w:highlight w:val="none"/>
              </w:rPr>
              <w:t>施工缝</w:t>
            </w:r>
          </w:p>
        </w:tc>
        <w:tc>
          <w:tcPr>
            <w:tcW w:w="547" w:type="pct"/>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12"/>
              <w:bidi w:val="0"/>
              <w:rPr>
                <w:color w:val="auto"/>
                <w:highlight w:val="none"/>
              </w:rPr>
            </w:pPr>
            <w:r>
              <w:rPr>
                <w:rFonts w:hint="eastAsia"/>
                <w:color w:val="auto"/>
                <w:highlight w:val="none"/>
              </w:rPr>
              <w:t>/</w:t>
            </w:r>
          </w:p>
        </w:tc>
        <w:tc>
          <w:tcPr>
            <w:tcW w:w="558" w:type="pct"/>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12"/>
              <w:bidi w:val="0"/>
              <w:rPr>
                <w:color w:val="auto"/>
                <w:highlight w:val="none"/>
              </w:rPr>
            </w:pPr>
            <w:r>
              <w:rPr>
                <w:rFonts w:hint="eastAsia"/>
                <w:color w:val="auto"/>
                <w:highlight w:val="none"/>
              </w:rPr>
              <w:t>坡道入口</w:t>
            </w:r>
          </w:p>
        </w:tc>
        <w:tc>
          <w:tcPr>
            <w:tcW w:w="555" w:type="pct"/>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12"/>
              <w:bidi w:val="0"/>
              <w:rPr>
                <w:color w:val="auto"/>
                <w:highlight w:val="none"/>
              </w:rPr>
            </w:pPr>
            <w:r>
              <w:rPr>
                <w:rFonts w:hint="eastAsia"/>
                <w:color w:val="auto"/>
                <w:highlight w:val="none"/>
              </w:rPr>
              <w:t>/</w:t>
            </w:r>
          </w:p>
        </w:tc>
        <w:tc>
          <w:tcPr>
            <w:tcW w:w="555" w:type="pct"/>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12"/>
              <w:bidi w:val="0"/>
              <w:rPr>
                <w:color w:val="auto"/>
                <w:highlight w:val="none"/>
              </w:rPr>
            </w:pPr>
            <w:r>
              <w:rPr>
                <w:rFonts w:hint="eastAsia"/>
                <w:color w:val="auto"/>
                <w:highlight w:val="none"/>
              </w:rPr>
              <w:t>立面防水分区</w:t>
            </w:r>
          </w:p>
        </w:tc>
        <w:tc>
          <w:tcPr>
            <w:tcW w:w="555" w:type="pct"/>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12"/>
              <w:bidi w:val="0"/>
              <w:rPr>
                <w:color w:val="auto"/>
                <w:highlight w:val="none"/>
              </w:rPr>
            </w:pPr>
            <w:r>
              <w:rPr>
                <w:rFonts w:hint="eastAsia"/>
                <w:color w:val="auto"/>
                <w:highlight w:val="none"/>
              </w:rPr>
              <w:t>/</w:t>
            </w:r>
          </w:p>
        </w:tc>
        <w:tc>
          <w:tcPr>
            <w:tcW w:w="555" w:type="pct"/>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12"/>
              <w:bidi w:val="0"/>
              <w:rPr>
                <w:color w:val="auto"/>
                <w:highlight w:val="none"/>
              </w:rPr>
            </w:pPr>
            <w:r>
              <w:rPr>
                <w:rFonts w:hint="eastAsia"/>
                <w:color w:val="auto"/>
                <w:highlight w:val="none"/>
              </w:rPr>
              <w:t>/</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12"/>
              <w:bidi w:val="0"/>
              <w:rPr>
                <w:color w:val="auto"/>
                <w:highlight w:val="none"/>
              </w:rPr>
            </w:pPr>
            <w:r>
              <w:rPr>
                <w:rFonts w:hint="eastAsia"/>
                <w:color w:val="auto"/>
                <w:highlight w:val="none"/>
              </w:rPr>
              <w:t>/</w:t>
            </w:r>
          </w:p>
        </w:tc>
        <w:tc>
          <w:tcPr>
            <w:tcW w:w="555" w:type="pct"/>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12"/>
              <w:bidi w:val="0"/>
              <w:rPr>
                <w:color w:val="auto"/>
                <w:highlight w:val="none"/>
              </w:rPr>
            </w:pPr>
            <w:r>
              <w:rPr>
                <w:rFonts w:hint="eastAsia"/>
                <w:color w:val="auto"/>
                <w:highlight w:val="none"/>
              </w:rPr>
              <w:t>变形缝</w:t>
            </w:r>
          </w:p>
        </w:tc>
      </w:tr>
      <w:tr>
        <w:tblPrEx>
          <w:tblCellMar>
            <w:top w:w="0" w:type="dxa"/>
            <w:left w:w="0" w:type="dxa"/>
            <w:bottom w:w="0" w:type="dxa"/>
            <w:right w:w="0" w:type="dxa"/>
          </w:tblCellMar>
        </w:tblPrEx>
        <w:trPr>
          <w:trHeight w:val="74" w:hRule="atLeast"/>
        </w:trPr>
        <w:tc>
          <w:tcPr>
            <w:tcW w:w="563" w:type="pct"/>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12"/>
              <w:bidi w:val="0"/>
              <w:rPr>
                <w:color w:val="auto"/>
                <w:highlight w:val="none"/>
              </w:rPr>
            </w:pPr>
            <w:r>
              <w:rPr>
                <w:rFonts w:hint="eastAsia"/>
                <w:color w:val="auto"/>
                <w:highlight w:val="none"/>
              </w:rPr>
              <w:t>/</w:t>
            </w:r>
          </w:p>
        </w:tc>
        <w:tc>
          <w:tcPr>
            <w:tcW w:w="547" w:type="pct"/>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12"/>
              <w:bidi w:val="0"/>
              <w:rPr>
                <w:color w:val="auto"/>
                <w:highlight w:val="none"/>
              </w:rPr>
            </w:pPr>
            <w:r>
              <w:rPr>
                <w:rFonts w:hint="eastAsia"/>
                <w:color w:val="auto"/>
                <w:highlight w:val="none"/>
              </w:rPr>
              <w:t>/</w:t>
            </w:r>
          </w:p>
        </w:tc>
        <w:tc>
          <w:tcPr>
            <w:tcW w:w="558" w:type="pct"/>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12"/>
              <w:bidi w:val="0"/>
              <w:rPr>
                <w:color w:val="auto"/>
                <w:highlight w:val="none"/>
              </w:rPr>
            </w:pPr>
            <w:r>
              <w:rPr>
                <w:rFonts w:hint="eastAsia"/>
                <w:color w:val="auto"/>
                <w:highlight w:val="none"/>
              </w:rPr>
              <w:t>出顶板构件</w:t>
            </w:r>
          </w:p>
        </w:tc>
        <w:tc>
          <w:tcPr>
            <w:tcW w:w="555" w:type="pct"/>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12"/>
              <w:bidi w:val="0"/>
              <w:rPr>
                <w:color w:val="auto"/>
                <w:highlight w:val="none"/>
              </w:rPr>
            </w:pPr>
            <w:r>
              <w:rPr>
                <w:rFonts w:hint="eastAsia"/>
                <w:color w:val="auto"/>
                <w:highlight w:val="none"/>
              </w:rPr>
              <w:t>/</w:t>
            </w:r>
          </w:p>
        </w:tc>
        <w:tc>
          <w:tcPr>
            <w:tcW w:w="555" w:type="pct"/>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12"/>
              <w:bidi w:val="0"/>
              <w:rPr>
                <w:color w:val="auto"/>
                <w:highlight w:val="none"/>
              </w:rPr>
            </w:pPr>
            <w:r>
              <w:rPr>
                <w:rFonts w:hint="eastAsia"/>
                <w:color w:val="auto"/>
                <w:highlight w:val="none"/>
              </w:rPr>
              <w:t>/</w:t>
            </w:r>
          </w:p>
        </w:tc>
        <w:tc>
          <w:tcPr>
            <w:tcW w:w="555" w:type="pct"/>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12"/>
              <w:bidi w:val="0"/>
              <w:rPr>
                <w:color w:val="auto"/>
                <w:highlight w:val="none"/>
              </w:rPr>
            </w:pPr>
            <w:r>
              <w:rPr>
                <w:rFonts w:hint="eastAsia"/>
                <w:color w:val="auto"/>
                <w:highlight w:val="none"/>
              </w:rPr>
              <w:t>/</w:t>
            </w:r>
          </w:p>
        </w:tc>
        <w:tc>
          <w:tcPr>
            <w:tcW w:w="555" w:type="pct"/>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12"/>
              <w:bidi w:val="0"/>
              <w:rPr>
                <w:color w:val="auto"/>
                <w:highlight w:val="none"/>
              </w:rPr>
            </w:pPr>
            <w:r>
              <w:rPr>
                <w:rFonts w:hint="eastAsia"/>
                <w:color w:val="auto"/>
                <w:highlight w:val="none"/>
              </w:rPr>
              <w:t>/</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12"/>
              <w:bidi w:val="0"/>
              <w:rPr>
                <w:color w:val="auto"/>
                <w:highlight w:val="none"/>
              </w:rPr>
            </w:pPr>
            <w:r>
              <w:rPr>
                <w:rFonts w:hint="eastAsia"/>
                <w:color w:val="auto"/>
                <w:highlight w:val="none"/>
              </w:rPr>
              <w:t>/</w:t>
            </w:r>
          </w:p>
        </w:tc>
        <w:tc>
          <w:tcPr>
            <w:tcW w:w="555" w:type="pct"/>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12"/>
              <w:bidi w:val="0"/>
              <w:rPr>
                <w:color w:val="auto"/>
                <w:highlight w:val="none"/>
              </w:rPr>
            </w:pPr>
            <w:r>
              <w:rPr>
                <w:rFonts w:hint="eastAsia"/>
                <w:color w:val="auto"/>
                <w:highlight w:val="none"/>
              </w:rPr>
              <w:t>施工缝</w:t>
            </w:r>
          </w:p>
        </w:tc>
      </w:tr>
      <w:tr>
        <w:tblPrEx>
          <w:tblCellMar>
            <w:top w:w="0" w:type="dxa"/>
            <w:left w:w="0" w:type="dxa"/>
            <w:bottom w:w="0" w:type="dxa"/>
            <w:right w:w="0" w:type="dxa"/>
          </w:tblCellMar>
        </w:tblPrEx>
        <w:trPr>
          <w:trHeight w:val="74" w:hRule="atLeast"/>
        </w:trPr>
        <w:tc>
          <w:tcPr>
            <w:tcW w:w="563" w:type="pct"/>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12"/>
              <w:bidi w:val="0"/>
              <w:rPr>
                <w:color w:val="auto"/>
                <w:highlight w:val="none"/>
              </w:rPr>
            </w:pPr>
            <w:r>
              <w:rPr>
                <w:rFonts w:hint="eastAsia"/>
                <w:color w:val="auto"/>
                <w:highlight w:val="none"/>
              </w:rPr>
              <w:t>/</w:t>
            </w:r>
          </w:p>
        </w:tc>
        <w:tc>
          <w:tcPr>
            <w:tcW w:w="547" w:type="pct"/>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12"/>
              <w:bidi w:val="0"/>
              <w:rPr>
                <w:color w:val="auto"/>
                <w:highlight w:val="none"/>
              </w:rPr>
            </w:pPr>
            <w:r>
              <w:rPr>
                <w:rFonts w:hint="eastAsia"/>
                <w:color w:val="auto"/>
                <w:highlight w:val="none"/>
              </w:rPr>
              <w:t>/</w:t>
            </w:r>
          </w:p>
        </w:tc>
        <w:tc>
          <w:tcPr>
            <w:tcW w:w="558" w:type="pct"/>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12"/>
              <w:bidi w:val="0"/>
              <w:rPr>
                <w:color w:val="auto"/>
                <w:highlight w:val="none"/>
              </w:rPr>
            </w:pPr>
            <w:r>
              <w:rPr>
                <w:rFonts w:hint="eastAsia"/>
                <w:color w:val="auto"/>
                <w:highlight w:val="none"/>
              </w:rPr>
              <w:t>施工洞口</w:t>
            </w:r>
          </w:p>
        </w:tc>
        <w:tc>
          <w:tcPr>
            <w:tcW w:w="555" w:type="pct"/>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12"/>
              <w:bidi w:val="0"/>
              <w:rPr>
                <w:color w:val="auto"/>
                <w:highlight w:val="none"/>
              </w:rPr>
            </w:pPr>
            <w:r>
              <w:rPr>
                <w:rFonts w:hint="eastAsia"/>
                <w:color w:val="auto"/>
                <w:highlight w:val="none"/>
              </w:rPr>
              <w:t>/</w:t>
            </w:r>
          </w:p>
        </w:tc>
        <w:tc>
          <w:tcPr>
            <w:tcW w:w="555" w:type="pct"/>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12"/>
              <w:bidi w:val="0"/>
              <w:rPr>
                <w:color w:val="auto"/>
                <w:highlight w:val="none"/>
              </w:rPr>
            </w:pPr>
            <w:r>
              <w:rPr>
                <w:rFonts w:hint="eastAsia"/>
                <w:color w:val="auto"/>
                <w:highlight w:val="none"/>
              </w:rPr>
              <w:t>/</w:t>
            </w:r>
          </w:p>
        </w:tc>
        <w:tc>
          <w:tcPr>
            <w:tcW w:w="555" w:type="pct"/>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12"/>
              <w:bidi w:val="0"/>
              <w:rPr>
                <w:color w:val="auto"/>
                <w:highlight w:val="none"/>
              </w:rPr>
            </w:pPr>
            <w:r>
              <w:rPr>
                <w:rFonts w:hint="eastAsia"/>
                <w:color w:val="auto"/>
                <w:highlight w:val="none"/>
              </w:rPr>
              <w:t>/</w:t>
            </w:r>
          </w:p>
        </w:tc>
        <w:tc>
          <w:tcPr>
            <w:tcW w:w="555" w:type="pct"/>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12"/>
              <w:bidi w:val="0"/>
              <w:rPr>
                <w:color w:val="auto"/>
                <w:highlight w:val="none"/>
              </w:rPr>
            </w:pPr>
            <w:r>
              <w:rPr>
                <w:rFonts w:hint="eastAsia"/>
                <w:color w:val="auto"/>
                <w:highlight w:val="none"/>
              </w:rPr>
              <w:t>/</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12"/>
              <w:bidi w:val="0"/>
              <w:rPr>
                <w:color w:val="auto"/>
                <w:highlight w:val="none"/>
              </w:rPr>
            </w:pPr>
            <w:r>
              <w:rPr>
                <w:rFonts w:hint="eastAsia"/>
                <w:color w:val="auto"/>
                <w:highlight w:val="none"/>
              </w:rPr>
              <w:t>/</w:t>
            </w:r>
          </w:p>
        </w:tc>
        <w:tc>
          <w:tcPr>
            <w:tcW w:w="555" w:type="pct"/>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12"/>
              <w:bidi w:val="0"/>
              <w:rPr>
                <w:color w:val="auto"/>
                <w:highlight w:val="none"/>
              </w:rPr>
            </w:pPr>
            <w:r>
              <w:rPr>
                <w:rFonts w:hint="eastAsia"/>
                <w:color w:val="auto"/>
                <w:highlight w:val="none"/>
              </w:rPr>
              <w:t>排水地漏节点</w:t>
            </w:r>
          </w:p>
        </w:tc>
      </w:tr>
    </w:tbl>
    <w:p>
      <w:pPr>
        <w:ind w:firstLine="500" w:firstLineChars="200"/>
        <w:jc w:val="both"/>
        <w:rPr>
          <w:rFonts w:ascii="宋体" w:hAnsi="宋体" w:eastAsia="宋体" w:cs="宋体"/>
          <w:color w:val="auto"/>
          <w:spacing w:val="5"/>
          <w:position w:val="17"/>
          <w:sz w:val="24"/>
          <w:szCs w:val="24"/>
          <w:highlight w:val="none"/>
          <w:lang w:eastAsia="zh-CN" w:bidi="ar"/>
        </w:rPr>
      </w:pPr>
      <w:r>
        <w:rPr>
          <w:rFonts w:hint="eastAsia" w:ascii="宋体" w:hAnsi="宋体" w:eastAsia="宋体" w:cs="宋体"/>
          <w:color w:val="auto"/>
          <w:spacing w:val="5"/>
          <w:position w:val="17"/>
          <w:sz w:val="24"/>
          <w:szCs w:val="24"/>
          <w:highlight w:val="none"/>
          <w:lang w:eastAsia="zh-CN" w:bidi="ar"/>
        </w:rPr>
        <w:t>其他专业工程</w:t>
      </w:r>
      <w:r>
        <w:rPr>
          <w:rFonts w:ascii="宋体" w:hAnsi="宋体" w:eastAsia="宋体" w:cs="宋体"/>
          <w:color w:val="auto"/>
          <w:spacing w:val="5"/>
          <w:position w:val="17"/>
          <w:sz w:val="24"/>
          <w:szCs w:val="24"/>
          <w:highlight w:val="none"/>
          <w:lang w:eastAsia="zh-CN" w:bidi="ar"/>
        </w:rPr>
        <w:t>，</w:t>
      </w:r>
      <w:r>
        <w:rPr>
          <w:rFonts w:hint="eastAsia" w:ascii="宋体" w:hAnsi="宋体" w:eastAsia="宋体" w:cs="宋体"/>
          <w:color w:val="auto"/>
          <w:spacing w:val="5"/>
          <w:position w:val="17"/>
          <w:sz w:val="24"/>
          <w:szCs w:val="24"/>
          <w:highlight w:val="none"/>
          <w:lang w:eastAsia="zh-CN" w:bidi="ar"/>
        </w:rPr>
        <w:t>具体以发包人要求为准。</w:t>
      </w:r>
    </w:p>
    <w:p>
      <w:pPr>
        <w:pStyle w:val="4"/>
        <w:bidi w:val="0"/>
        <w:rPr>
          <w:color w:val="auto"/>
          <w:highlight w:val="none"/>
        </w:rPr>
      </w:pPr>
      <w:r>
        <w:rPr>
          <w:rFonts w:hint="eastAsia"/>
          <w:color w:val="auto"/>
          <w:highlight w:val="none"/>
        </w:rPr>
        <w:t>深化</w:t>
      </w:r>
      <w:r>
        <w:rPr>
          <w:color w:val="auto"/>
          <w:highlight w:val="none"/>
        </w:rPr>
        <w:t>设计</w:t>
      </w:r>
      <w:r>
        <w:rPr>
          <w:rFonts w:hint="eastAsia"/>
          <w:color w:val="auto"/>
          <w:highlight w:val="none"/>
        </w:rPr>
        <w:t>审核</w:t>
      </w:r>
      <w:r>
        <w:rPr>
          <w:color w:val="auto"/>
          <w:highlight w:val="none"/>
        </w:rPr>
        <w:t>的要求</w:t>
      </w:r>
    </w:p>
    <w:p>
      <w:pPr>
        <w:pStyle w:val="5"/>
        <w:bidi w:val="0"/>
        <w:ind w:left="253"/>
        <w:rPr>
          <w:color w:val="auto"/>
          <w:highlight w:val="none"/>
        </w:rPr>
      </w:pPr>
      <w:r>
        <w:rPr>
          <w:rFonts w:hint="eastAsia"/>
          <w:color w:val="auto"/>
          <w:highlight w:val="none"/>
        </w:rPr>
        <w:t>深化设计工作由总承包人/</w:t>
      </w:r>
      <w:r>
        <w:rPr>
          <w:rFonts w:hint="eastAsia"/>
          <w:color w:val="auto"/>
          <w:highlight w:val="none"/>
          <w:lang w:eastAsia="zh-CN"/>
        </w:rPr>
        <w:t>专业承包</w:t>
      </w:r>
      <w:r>
        <w:rPr>
          <w:rFonts w:hint="eastAsia"/>
          <w:color w:val="auto"/>
          <w:highlight w:val="none"/>
        </w:rPr>
        <w:t>人中标后立即进行，深化设计图纸应提交监理人、发包人，由监理人、发包人组织相关单位进行审定。深化设计审批单位主要包括监理人、设计人、发包人。</w:t>
      </w:r>
    </w:p>
    <w:p>
      <w:pPr>
        <w:pStyle w:val="5"/>
        <w:bidi w:val="0"/>
        <w:ind w:left="253"/>
        <w:rPr>
          <w:color w:val="auto"/>
          <w:highlight w:val="none"/>
        </w:rPr>
      </w:pPr>
      <w:r>
        <w:rPr>
          <w:rFonts w:hint="eastAsia"/>
          <w:color w:val="auto"/>
          <w:highlight w:val="none"/>
        </w:rPr>
        <w:t>深化设计成果应分阶段报批，审批单位应根据分阶段报批计划审查总承包人/</w:t>
      </w:r>
      <w:r>
        <w:rPr>
          <w:rFonts w:hint="eastAsia"/>
          <w:color w:val="auto"/>
          <w:highlight w:val="none"/>
          <w:lang w:eastAsia="zh-CN"/>
        </w:rPr>
        <w:t>专业承包</w:t>
      </w:r>
      <w:r>
        <w:rPr>
          <w:rFonts w:hint="eastAsia"/>
          <w:color w:val="auto"/>
          <w:highlight w:val="none"/>
        </w:rPr>
        <w:t>人/独立承包人提交的任何深化设计成果，并在规定时间内给予审查意见。</w:t>
      </w:r>
    </w:p>
    <w:p>
      <w:pPr>
        <w:pStyle w:val="5"/>
        <w:bidi w:val="0"/>
        <w:ind w:left="253"/>
        <w:rPr>
          <w:color w:val="auto"/>
          <w:highlight w:val="none"/>
        </w:rPr>
      </w:pPr>
      <w:r>
        <w:rPr>
          <w:rFonts w:hint="eastAsia"/>
          <w:color w:val="auto"/>
          <w:highlight w:val="none"/>
        </w:rPr>
        <w:t>总承包人/</w:t>
      </w:r>
      <w:r>
        <w:rPr>
          <w:rFonts w:hint="eastAsia"/>
          <w:color w:val="auto"/>
          <w:highlight w:val="none"/>
          <w:lang w:eastAsia="zh-CN"/>
        </w:rPr>
        <w:t>专业承包</w:t>
      </w:r>
      <w:r>
        <w:rPr>
          <w:rFonts w:hint="eastAsia"/>
          <w:color w:val="auto"/>
          <w:highlight w:val="none"/>
        </w:rPr>
        <w:t>人/独立承包人应认真对待审批单位的审查意见，及时修订重报，同时积极跟踪审查进度，不得因审批进度为由追加工程费用和工期。</w:t>
      </w:r>
    </w:p>
    <w:p>
      <w:pPr>
        <w:pStyle w:val="5"/>
        <w:bidi w:val="0"/>
        <w:ind w:left="253"/>
        <w:rPr>
          <w:color w:val="auto"/>
          <w:highlight w:val="none"/>
        </w:rPr>
      </w:pPr>
      <w:r>
        <w:rPr>
          <w:rFonts w:hint="eastAsia"/>
          <w:color w:val="auto"/>
          <w:highlight w:val="none"/>
        </w:rPr>
        <w:t>深化设计获得批准后，由深化设计单位根据各自负责内容分别向相关单位和人员交底。</w:t>
      </w:r>
    </w:p>
    <w:p>
      <w:pPr>
        <w:pStyle w:val="3"/>
        <w:rPr>
          <w:color w:val="auto"/>
          <w:highlight w:val="none"/>
        </w:rPr>
      </w:pPr>
      <w:bookmarkStart w:id="314" w:name="_Toc2081"/>
      <w:bookmarkStart w:id="315" w:name="_Toc12013"/>
      <w:bookmarkStart w:id="316" w:name="_Toc26418"/>
      <w:bookmarkStart w:id="317" w:name="_Toc2059"/>
      <w:bookmarkStart w:id="318" w:name="_Toc6929"/>
      <w:bookmarkStart w:id="319" w:name="_Toc6501"/>
      <w:r>
        <w:rPr>
          <w:rFonts w:hint="eastAsia"/>
          <w:color w:val="auto"/>
          <w:highlight w:val="none"/>
        </w:rPr>
        <w:t>施工策划管理要求</w:t>
      </w:r>
      <w:bookmarkEnd w:id="314"/>
      <w:bookmarkEnd w:id="315"/>
      <w:bookmarkEnd w:id="316"/>
      <w:bookmarkEnd w:id="317"/>
      <w:bookmarkEnd w:id="318"/>
      <w:bookmarkEnd w:id="319"/>
    </w:p>
    <w:p>
      <w:pPr>
        <w:ind w:firstLine="500"/>
        <w:rPr>
          <w:rFonts w:hint="eastAsia"/>
          <w:color w:val="auto"/>
          <w:highlight w:val="none"/>
        </w:rPr>
        <w:sectPr>
          <w:pgSz w:w="11905" w:h="16839"/>
          <w:pgMar w:top="1431" w:right="1520" w:bottom="1309" w:left="1448" w:header="0" w:footer="1144" w:gutter="0"/>
          <w:cols w:space="720" w:num="1"/>
        </w:sectPr>
      </w:pPr>
      <w:r>
        <w:rPr>
          <w:rFonts w:hint="eastAsia" w:cs="宋体"/>
          <w:color w:val="auto"/>
          <w:spacing w:val="5"/>
          <w:position w:val="17"/>
          <w:highlight w:val="none"/>
          <w:lang w:bidi="ar"/>
        </w:rPr>
        <w:t>根据发包人要求完成项目管理策划，包括但不限于以下内容：项目管理实施规划策划（承包人进场后1个月内完成）、项目创优策划（收到全套结构、建筑设计图纸后3个月内完成）、项目防水防渗漏策划（第一块垫层浇筑之前完成）、外立面施工管理策划（首栋塔楼出±0后1个月内完成）、精装策划（首栋塔楼第一个标准层拆模完成后1个月内，参与）、机电安装策划（地下室顶板（不含后浇带）封闭完成1个月内）、园林景观施工策划（首栋塔楼封顶之前完成，参与）、交付策划（所有塔楼封顶3个月内）。以上时间节点为暂定时间具体以发包人要求为准。以上策划经发包人、发包委托管理单位、监理单位以及专家评审通过后由承包人上报纸质盖章版到发包人处留档。</w:t>
      </w:r>
    </w:p>
    <w:p>
      <w:pPr>
        <w:pStyle w:val="3"/>
        <w:bidi w:val="0"/>
        <w:rPr>
          <w:color w:val="auto"/>
          <w:highlight w:val="none"/>
        </w:rPr>
      </w:pPr>
      <w:bookmarkStart w:id="320" w:name="_Toc15352"/>
      <w:bookmarkStart w:id="321" w:name="_Toc14389"/>
      <w:bookmarkStart w:id="322" w:name="_Toc11467"/>
      <w:bookmarkStart w:id="323" w:name="_Toc3167"/>
      <w:bookmarkStart w:id="324" w:name="_Toc10905"/>
      <w:bookmarkStart w:id="325" w:name="_Toc23402"/>
      <w:bookmarkStart w:id="326" w:name="_Toc9957"/>
      <w:bookmarkStart w:id="327" w:name="_Toc22781"/>
      <w:bookmarkStart w:id="328" w:name="_Toc29675"/>
      <w:bookmarkStart w:id="329" w:name="_Toc169722214"/>
      <w:bookmarkStart w:id="330" w:name="_Toc31507"/>
      <w:bookmarkStart w:id="331" w:name="_Toc21063"/>
      <w:r>
        <w:rPr>
          <w:color w:val="auto"/>
          <w:highlight w:val="none"/>
        </w:rPr>
        <w:t>样板管理要求</w:t>
      </w:r>
      <w:bookmarkEnd w:id="320"/>
      <w:bookmarkEnd w:id="321"/>
      <w:bookmarkEnd w:id="322"/>
      <w:bookmarkEnd w:id="323"/>
      <w:bookmarkEnd w:id="324"/>
      <w:bookmarkEnd w:id="325"/>
      <w:bookmarkEnd w:id="326"/>
      <w:bookmarkEnd w:id="327"/>
      <w:bookmarkEnd w:id="328"/>
      <w:bookmarkEnd w:id="329"/>
      <w:bookmarkEnd w:id="330"/>
      <w:bookmarkEnd w:id="331"/>
    </w:p>
    <w:p>
      <w:pPr>
        <w:pStyle w:val="4"/>
        <w:bidi w:val="0"/>
        <w:rPr>
          <w:color w:val="auto"/>
          <w:highlight w:val="none"/>
        </w:rPr>
      </w:pPr>
      <w:r>
        <w:rPr>
          <w:rFonts w:hint="eastAsia"/>
          <w:color w:val="auto"/>
          <w:highlight w:val="none"/>
        </w:rPr>
        <w:t>样板实施</w:t>
      </w:r>
      <w:r>
        <w:rPr>
          <w:rFonts w:hint="eastAsia"/>
          <w:color w:val="auto"/>
          <w:highlight w:val="none"/>
          <w:lang w:val="en-US" w:eastAsia="zh-CN"/>
        </w:rPr>
        <w:t>基本</w:t>
      </w:r>
      <w:r>
        <w:rPr>
          <w:rFonts w:hint="eastAsia"/>
          <w:color w:val="auto"/>
          <w:highlight w:val="none"/>
        </w:rPr>
        <w:t>要求</w:t>
      </w:r>
    </w:p>
    <w:p>
      <w:pPr>
        <w:pStyle w:val="5"/>
        <w:bidi w:val="0"/>
        <w:ind w:left="253"/>
        <w:rPr>
          <w:color w:val="auto"/>
          <w:highlight w:val="none"/>
        </w:rPr>
      </w:pPr>
      <w:r>
        <w:rPr>
          <w:rFonts w:hint="eastAsia"/>
          <w:color w:val="auto"/>
          <w:highlight w:val="none"/>
        </w:rPr>
        <w:t>全面施工前由总承包人制定施工方案并选定样板施工的位置，报监理人、发包人审批。</w:t>
      </w:r>
    </w:p>
    <w:p>
      <w:pPr>
        <w:pStyle w:val="5"/>
        <w:bidi w:val="0"/>
        <w:ind w:left="253"/>
        <w:rPr>
          <w:color w:val="auto"/>
          <w:highlight w:val="none"/>
        </w:rPr>
      </w:pPr>
      <w:r>
        <w:rPr>
          <w:rFonts w:hint="eastAsia"/>
          <w:color w:val="auto"/>
          <w:highlight w:val="none"/>
        </w:rPr>
        <w:t>样板选用的原材料、构配件、设备等必须符合设计要求、国家和地方规范标准及合同约定。材料、构配件、设备进场应履行申报制度，提供产品合格证、材料质量检测报告及产品说明书，由监理人按有关规范要求见证取样。</w:t>
      </w:r>
    </w:p>
    <w:p>
      <w:pPr>
        <w:pStyle w:val="5"/>
        <w:bidi w:val="0"/>
        <w:ind w:left="253"/>
        <w:rPr>
          <w:color w:val="auto"/>
          <w:highlight w:val="none"/>
        </w:rPr>
      </w:pPr>
      <w:r>
        <w:rPr>
          <w:rFonts w:hint="eastAsia"/>
          <w:color w:val="auto"/>
          <w:highlight w:val="none"/>
        </w:rPr>
        <w:t>样板施工质量应体现施工队伍的综合技术水平，经确定的样板施工人员应为该分项工程固定的施工人员，不得随意更换。监理人/发包人对样板操作过程进行监控，对关键点、关键部位进行旁站监督。</w:t>
      </w:r>
    </w:p>
    <w:p>
      <w:pPr>
        <w:pStyle w:val="5"/>
        <w:bidi w:val="0"/>
        <w:ind w:left="253"/>
        <w:rPr>
          <w:color w:val="auto"/>
          <w:highlight w:val="none"/>
        </w:rPr>
      </w:pPr>
      <w:r>
        <w:rPr>
          <w:rFonts w:hint="eastAsia"/>
          <w:color w:val="auto"/>
          <w:highlight w:val="none"/>
        </w:rPr>
        <w:t>样板完成后由总承包人进行自检，做好记录，报监理人、发包人验收，验收合格后方可开始现场的全面施工。</w:t>
      </w:r>
    </w:p>
    <w:p>
      <w:pPr>
        <w:pStyle w:val="5"/>
        <w:bidi w:val="0"/>
        <w:ind w:left="253"/>
        <w:rPr>
          <w:color w:val="auto"/>
          <w:highlight w:val="none"/>
        </w:rPr>
      </w:pPr>
      <w:r>
        <w:rPr>
          <w:color w:val="auto"/>
          <w:highlight w:val="none"/>
        </w:rPr>
        <w:t>总承包人负责</w:t>
      </w:r>
      <w:r>
        <w:rPr>
          <w:rFonts w:hint="eastAsia"/>
          <w:color w:val="auto"/>
          <w:highlight w:val="none"/>
          <w:lang w:val="en-US" w:eastAsia="zh-CN"/>
        </w:rPr>
        <w:t>项目样板实施的整体策划工作，负责</w:t>
      </w:r>
      <w:r>
        <w:rPr>
          <w:color w:val="auto"/>
          <w:highlight w:val="none"/>
        </w:rPr>
        <w:t>自身承建范围内</w:t>
      </w:r>
      <w:r>
        <w:rPr>
          <w:rFonts w:hint="eastAsia"/>
          <w:color w:val="auto"/>
          <w:highlight w:val="none"/>
          <w:lang w:val="en-US" w:eastAsia="zh-CN"/>
        </w:rPr>
        <w:t>工作内容</w:t>
      </w:r>
      <w:r>
        <w:rPr>
          <w:color w:val="auto"/>
          <w:highlight w:val="none"/>
        </w:rPr>
        <w:t>的</w:t>
      </w:r>
      <w:r>
        <w:rPr>
          <w:rFonts w:hint="eastAsia"/>
          <w:color w:val="auto"/>
          <w:highlight w:val="none"/>
          <w:lang w:val="en-US" w:eastAsia="zh-CN"/>
        </w:rPr>
        <w:t>样板实施</w:t>
      </w:r>
      <w:r>
        <w:rPr>
          <w:color w:val="auto"/>
          <w:highlight w:val="none"/>
        </w:rPr>
        <w:t>工作，</w:t>
      </w:r>
      <w:r>
        <w:rPr>
          <w:rFonts w:hint="eastAsia"/>
          <w:color w:val="auto"/>
          <w:highlight w:val="none"/>
        </w:rPr>
        <w:t>并</w:t>
      </w:r>
      <w:r>
        <w:rPr>
          <w:color w:val="auto"/>
          <w:highlight w:val="none"/>
        </w:rPr>
        <w:t>协调管理所需照管的</w:t>
      </w:r>
      <w:r>
        <w:rPr>
          <w:rFonts w:hint="eastAsia"/>
          <w:color w:val="auto"/>
          <w:highlight w:val="none"/>
        </w:rPr>
        <w:t>各类</w:t>
      </w:r>
      <w:r>
        <w:rPr>
          <w:rFonts w:hint="eastAsia"/>
          <w:color w:val="auto"/>
          <w:highlight w:val="none"/>
          <w:lang w:eastAsia="zh-CN"/>
        </w:rPr>
        <w:t>专业承包</w:t>
      </w:r>
      <w:r>
        <w:rPr>
          <w:color w:val="auto"/>
          <w:highlight w:val="none"/>
        </w:rPr>
        <w:t>人的</w:t>
      </w:r>
      <w:r>
        <w:rPr>
          <w:rFonts w:hint="eastAsia"/>
          <w:color w:val="auto"/>
          <w:highlight w:val="none"/>
          <w:lang w:val="en-US" w:eastAsia="zh-CN"/>
        </w:rPr>
        <w:t>样板实施</w:t>
      </w:r>
      <w:r>
        <w:rPr>
          <w:color w:val="auto"/>
          <w:highlight w:val="none"/>
        </w:rPr>
        <w:t>工作</w:t>
      </w:r>
      <w:r>
        <w:rPr>
          <w:rFonts w:hint="eastAsia"/>
          <w:color w:val="auto"/>
          <w:highlight w:val="none"/>
        </w:rPr>
        <w:t>。</w:t>
      </w:r>
    </w:p>
    <w:p>
      <w:pPr>
        <w:pStyle w:val="5"/>
        <w:bidi w:val="0"/>
        <w:rPr>
          <w:rFonts w:hint="eastAsia"/>
          <w:color w:val="auto"/>
          <w:highlight w:val="none"/>
          <w:lang w:val="en-US" w:eastAsia="zh-CN"/>
        </w:rPr>
      </w:pPr>
      <w:r>
        <w:rPr>
          <w:rFonts w:hint="eastAsia"/>
          <w:color w:val="auto"/>
          <w:highlight w:val="none"/>
        </w:rPr>
        <w:t>本项目需要施工的样板清单</w:t>
      </w:r>
      <w:r>
        <w:rPr>
          <w:rFonts w:hint="eastAsia"/>
          <w:color w:val="auto"/>
          <w:highlight w:val="none"/>
          <w:lang w:val="en-US" w:eastAsia="zh-CN"/>
        </w:rPr>
        <w:t>详见《</w:t>
      </w:r>
      <w:r>
        <w:rPr>
          <w:rFonts w:hint="default"/>
          <w:color w:val="auto"/>
          <w:highlight w:val="none"/>
          <w:lang w:val="en-US" w:eastAsia="zh-CN"/>
        </w:rPr>
        <w:t>【附件B-</w:t>
      </w:r>
      <w:r>
        <w:rPr>
          <w:rFonts w:hint="eastAsia"/>
          <w:color w:val="auto"/>
          <w:highlight w:val="none"/>
          <w:lang w:val="en-US" w:eastAsia="zh-CN"/>
        </w:rPr>
        <w:t>2</w:t>
      </w:r>
      <w:r>
        <w:rPr>
          <w:rFonts w:hint="default"/>
          <w:color w:val="auto"/>
          <w:highlight w:val="none"/>
          <w:lang w:val="en-US" w:eastAsia="zh-CN"/>
        </w:rPr>
        <w:t>】样板管理清单</w:t>
      </w:r>
      <w:r>
        <w:rPr>
          <w:rFonts w:hint="eastAsia"/>
          <w:color w:val="auto"/>
          <w:highlight w:val="none"/>
          <w:lang w:val="en-US" w:eastAsia="zh-CN"/>
        </w:rPr>
        <w:t>》</w:t>
      </w:r>
    </w:p>
    <w:p>
      <w:pPr>
        <w:pStyle w:val="5"/>
        <w:bidi w:val="0"/>
        <w:rPr>
          <w:rFonts w:hint="eastAsia"/>
          <w:color w:val="auto"/>
          <w:highlight w:val="none"/>
          <w:lang w:val="en-US" w:eastAsia="zh-CN"/>
        </w:rPr>
      </w:pPr>
      <w:r>
        <w:rPr>
          <w:rFonts w:hint="eastAsia"/>
          <w:color w:val="auto"/>
          <w:highlight w:val="none"/>
          <w:lang w:val="en-US" w:eastAsia="zh-CN"/>
        </w:rPr>
        <w:t>参建单位进场后 7 天按照《</w:t>
      </w:r>
      <w:r>
        <w:rPr>
          <w:rFonts w:hint="default"/>
          <w:color w:val="auto"/>
          <w:highlight w:val="none"/>
          <w:lang w:val="en-US" w:eastAsia="zh-CN"/>
        </w:rPr>
        <w:t>【附件B-</w:t>
      </w:r>
      <w:r>
        <w:rPr>
          <w:rFonts w:hint="eastAsia"/>
          <w:color w:val="auto"/>
          <w:highlight w:val="none"/>
          <w:lang w:val="en-US" w:eastAsia="zh-CN"/>
        </w:rPr>
        <w:t>2</w:t>
      </w:r>
      <w:r>
        <w:rPr>
          <w:rFonts w:hint="default"/>
          <w:color w:val="auto"/>
          <w:highlight w:val="none"/>
          <w:lang w:val="en-US" w:eastAsia="zh-CN"/>
        </w:rPr>
        <w:t>】</w:t>
      </w:r>
      <w:r>
        <w:rPr>
          <w:rFonts w:hint="eastAsia"/>
          <w:color w:val="auto"/>
          <w:highlight w:val="none"/>
          <w:lang w:val="en-US" w:eastAsia="zh-CN"/>
        </w:rPr>
        <w:t>样板管理清单》编制本项目工程样板计划表并报监理人、发包人审批；</w:t>
      </w:r>
    </w:p>
    <w:p>
      <w:pPr>
        <w:pStyle w:val="5"/>
        <w:bidi w:val="0"/>
        <w:rPr>
          <w:color w:val="auto"/>
          <w:highlight w:val="none"/>
        </w:rPr>
      </w:pPr>
      <w:r>
        <w:rPr>
          <w:rFonts w:hint="default"/>
          <w:color w:val="auto"/>
          <w:highlight w:val="none"/>
          <w:lang w:val="en-US" w:eastAsia="zh-CN"/>
        </w:rPr>
        <w:t>面积开工前，工艺样板交底完成后，在实体制作施工样板，施工样板经</w:t>
      </w:r>
      <w:r>
        <w:rPr>
          <w:rFonts w:hint="eastAsia"/>
          <w:color w:val="auto"/>
          <w:highlight w:val="none"/>
          <w:lang w:val="en-US" w:eastAsia="zh-CN"/>
        </w:rPr>
        <w:t>监理人/发包人</w:t>
      </w:r>
      <w:r>
        <w:rPr>
          <w:rFonts w:hint="default"/>
          <w:color w:val="auto"/>
          <w:highlight w:val="none"/>
          <w:lang w:val="en-US" w:eastAsia="zh-CN"/>
        </w:rPr>
        <w:t>验收合格后，再进行大面积施工</w:t>
      </w:r>
      <w:r>
        <w:rPr>
          <w:rFonts w:hint="eastAsia"/>
          <w:color w:val="auto"/>
          <w:highlight w:val="none"/>
          <w:lang w:val="en-US" w:eastAsia="zh-CN"/>
        </w:rPr>
        <w:t>，样板审核表格式详见《</w:t>
      </w:r>
      <w:r>
        <w:rPr>
          <w:rFonts w:hint="default"/>
          <w:color w:val="auto"/>
          <w:highlight w:val="none"/>
          <w:lang w:val="en-US" w:eastAsia="zh-CN"/>
        </w:rPr>
        <w:t>【附件B-</w:t>
      </w:r>
      <w:r>
        <w:rPr>
          <w:rFonts w:hint="eastAsia"/>
          <w:color w:val="auto"/>
          <w:highlight w:val="none"/>
          <w:lang w:val="en-US" w:eastAsia="zh-CN"/>
        </w:rPr>
        <w:t>2</w:t>
      </w:r>
      <w:r>
        <w:rPr>
          <w:rFonts w:hint="default"/>
          <w:color w:val="auto"/>
          <w:highlight w:val="none"/>
          <w:lang w:val="en-US" w:eastAsia="zh-CN"/>
        </w:rPr>
        <w:t>】样板管理清单</w:t>
      </w:r>
      <w:r>
        <w:rPr>
          <w:rFonts w:hint="eastAsia"/>
          <w:color w:val="auto"/>
          <w:highlight w:val="none"/>
          <w:lang w:val="en-US" w:eastAsia="zh-CN"/>
        </w:rPr>
        <w:t>》；</w:t>
      </w:r>
    </w:p>
    <w:p>
      <w:pPr>
        <w:pStyle w:val="4"/>
        <w:bidi w:val="0"/>
        <w:rPr>
          <w:color w:val="auto"/>
          <w:highlight w:val="none"/>
        </w:rPr>
      </w:pPr>
      <w:r>
        <w:rPr>
          <w:rFonts w:hint="eastAsia"/>
          <w:color w:val="auto"/>
          <w:highlight w:val="none"/>
        </w:rPr>
        <w:t>样板管理要求</w:t>
      </w:r>
    </w:p>
    <w:p>
      <w:pPr>
        <w:bidi w:val="0"/>
        <w:rPr>
          <w:rFonts w:hint="eastAsia"/>
          <w:color w:val="auto"/>
          <w:highlight w:val="none"/>
          <w:lang w:val="en-US" w:eastAsia="zh-CN"/>
        </w:rPr>
      </w:pPr>
      <w:r>
        <w:rPr>
          <w:rFonts w:hint="eastAsia"/>
          <w:color w:val="auto"/>
          <w:highlight w:val="none"/>
          <w:lang w:val="en-US" w:eastAsia="zh-CN"/>
        </w:rPr>
        <w:t>本项目样板设置主要分为：</w:t>
      </w:r>
    </w:p>
    <w:p>
      <w:pPr>
        <w:numPr>
          <w:ilvl w:val="0"/>
          <w:numId w:val="18"/>
        </w:numPr>
        <w:bidi w:val="0"/>
        <w:rPr>
          <w:rFonts w:hint="eastAsia"/>
          <w:color w:val="auto"/>
          <w:highlight w:val="none"/>
          <w:lang w:val="en-US" w:eastAsia="zh-CN"/>
        </w:rPr>
      </w:pPr>
      <w:r>
        <w:rPr>
          <w:rFonts w:hint="eastAsia"/>
          <w:color w:val="auto"/>
          <w:highlight w:val="none"/>
          <w:lang w:val="en-US" w:eastAsia="zh-CN"/>
        </w:rPr>
        <w:t>材料样板：要求设置单位材料封样间，保证所有主控材料百分百封样，达到材料品控管理的目的。</w:t>
      </w:r>
    </w:p>
    <w:p>
      <w:pPr>
        <w:numPr>
          <w:ilvl w:val="0"/>
          <w:numId w:val="18"/>
        </w:numPr>
        <w:bidi w:val="0"/>
        <w:rPr>
          <w:rFonts w:hint="default"/>
          <w:color w:val="auto"/>
          <w:highlight w:val="none"/>
          <w:lang w:val="en-US" w:eastAsia="zh-CN"/>
        </w:rPr>
      </w:pPr>
      <w:r>
        <w:rPr>
          <w:rFonts w:hint="eastAsia"/>
          <w:color w:val="auto"/>
          <w:highlight w:val="none"/>
          <w:lang w:val="en-US" w:eastAsia="zh-CN"/>
        </w:rPr>
        <w:t>工艺展示样板;为工艺实体样板，项目主要工艺做法、重点控制节点，以节点模型的方式统一放置于户外的“展示样板区”，节点模型比例尺可根据实际情况进行调整；</w:t>
      </w:r>
    </w:p>
    <w:p>
      <w:pPr>
        <w:numPr>
          <w:ilvl w:val="0"/>
          <w:numId w:val="18"/>
        </w:numPr>
        <w:bidi w:val="0"/>
        <w:rPr>
          <w:rFonts w:hint="default"/>
          <w:color w:val="auto"/>
          <w:highlight w:val="none"/>
          <w:lang w:val="en-US" w:eastAsia="zh-CN"/>
        </w:rPr>
      </w:pPr>
      <w:r>
        <w:rPr>
          <w:rFonts w:hint="eastAsia"/>
          <w:color w:val="auto"/>
          <w:highlight w:val="none"/>
          <w:lang w:val="en-US" w:eastAsia="zh-CN"/>
        </w:rPr>
        <w:t>实体工序样板：每道工序开始施工的第一块区域，严格按照规范、图纸设计要求及交底进行施工。施工完成后由承包人、设计人、监理人、发包人共同进行验收，验收合格后按照样板标准进行大面积施工。有条件的情况下还需要保留工序工艺做法，形成工序样板展示间。</w:t>
      </w:r>
    </w:p>
    <w:p>
      <w:pPr>
        <w:numPr>
          <w:ilvl w:val="0"/>
          <w:numId w:val="18"/>
        </w:numPr>
        <w:bidi w:val="0"/>
        <w:rPr>
          <w:rFonts w:hint="default"/>
          <w:color w:val="auto"/>
          <w:highlight w:val="none"/>
          <w:lang w:val="en-US" w:eastAsia="zh-CN"/>
        </w:rPr>
      </w:pPr>
      <w:r>
        <w:rPr>
          <w:rFonts w:hint="eastAsia"/>
          <w:color w:val="auto"/>
          <w:highlight w:val="none"/>
          <w:lang w:eastAsia="zh-CN"/>
        </w:rPr>
        <w:t>大货样板：指在工序施工完成后，明确交付标准且无质量问题的建筑结构区域，</w:t>
      </w:r>
      <w:r>
        <w:rPr>
          <w:rFonts w:hint="eastAsia"/>
          <w:color w:val="auto"/>
          <w:highlight w:val="none"/>
          <w:lang w:val="en-US" w:eastAsia="zh-CN"/>
        </w:rPr>
        <w:t>即地下室、精装、外立面、景观园林大面施工前，按照交付标准首先完成一定范围的施工展示。由承包人、设计人、监理人、发包人共同进行验收，验收合格后按照样板标准进行大面积施工。</w:t>
      </w:r>
    </w:p>
    <w:p>
      <w:pPr>
        <w:pStyle w:val="5"/>
        <w:bidi w:val="0"/>
        <w:ind w:left="253"/>
        <w:rPr>
          <w:color w:val="auto"/>
          <w:highlight w:val="none"/>
          <w:lang w:eastAsia="zh-CN"/>
        </w:rPr>
      </w:pPr>
      <w:r>
        <w:rPr>
          <w:rFonts w:hint="eastAsia"/>
          <w:color w:val="auto"/>
          <w:highlight w:val="none"/>
          <w:lang w:eastAsia="zh-CN"/>
        </w:rPr>
        <w:t>乙供材料看样定板</w:t>
      </w:r>
    </w:p>
    <w:p>
      <w:pPr>
        <w:bidi w:val="0"/>
        <w:rPr>
          <w:color w:val="auto"/>
          <w:highlight w:val="none"/>
          <w:lang w:eastAsia="zh-CN"/>
        </w:rPr>
      </w:pPr>
      <w:r>
        <w:rPr>
          <w:rFonts w:hint="eastAsia"/>
          <w:color w:val="auto"/>
          <w:highlight w:val="none"/>
          <w:lang w:eastAsia="zh-CN"/>
        </w:rPr>
        <w:t>（1）涉及观感类：承包人按施工进度节点提供样品，经发包人现场看样签认后进行进行封样留存，保证后期进场的材料与封样样品完全一致。</w:t>
      </w:r>
    </w:p>
    <w:p>
      <w:pPr>
        <w:bidi w:val="0"/>
        <w:rPr>
          <w:color w:val="auto"/>
          <w:highlight w:val="none"/>
          <w:lang w:eastAsia="zh-CN"/>
        </w:rPr>
      </w:pPr>
      <w:r>
        <w:rPr>
          <w:rFonts w:hint="eastAsia"/>
          <w:color w:val="auto"/>
          <w:highlight w:val="none"/>
          <w:lang w:eastAsia="zh-CN"/>
        </w:rPr>
        <w:t>（2）非观感类：承包人采购的材料设备必须符合合同文件约定的规格、质量和性能，材料设备品牌选择范围应等同或相当于《主要设备材料推荐品牌表》并按看样定板制度里的申报附件要求提供资料，并经监理人审议后确定。</w:t>
      </w:r>
    </w:p>
    <w:p>
      <w:pPr>
        <w:pStyle w:val="5"/>
        <w:bidi w:val="0"/>
        <w:ind w:left="253"/>
        <w:rPr>
          <w:color w:val="auto"/>
          <w:highlight w:val="none"/>
          <w:lang w:eastAsia="zh-CN"/>
        </w:rPr>
      </w:pPr>
      <w:r>
        <w:rPr>
          <w:rFonts w:hint="eastAsia"/>
          <w:color w:val="auto"/>
          <w:highlight w:val="none"/>
          <w:lang w:eastAsia="zh-CN"/>
        </w:rPr>
        <w:t>工艺展示样板</w:t>
      </w:r>
    </w:p>
    <w:p>
      <w:pPr>
        <w:bidi w:val="0"/>
        <w:rPr>
          <w:color w:val="auto"/>
          <w:highlight w:val="none"/>
          <w:lang w:eastAsia="zh-CN"/>
        </w:rPr>
      </w:pPr>
      <w:r>
        <w:rPr>
          <w:rFonts w:hint="eastAsia"/>
          <w:color w:val="auto"/>
          <w:highlight w:val="none"/>
          <w:lang w:eastAsia="zh-CN"/>
        </w:rPr>
        <w:t>（1）承包人需按照发包人要求依据本项目设计图纸在现场制作全过程主要工序的工艺样板，根据项目工程特点在施工过程中或在施工现场划出一定范围的区域，做为样板展示区，样板区内的各专业工种细部构造均应以剖断面的形式展示。所有剖断面部位应有施工工艺标准说明、工艺流程说明、工序交接标准说明、常见的质量常见问题防治措施说明等。由此产生的任何费用发包人不另行补偿，且不得因此影响工程进度。</w:t>
      </w:r>
    </w:p>
    <w:p>
      <w:pPr>
        <w:bidi w:val="0"/>
        <w:rPr>
          <w:color w:val="auto"/>
          <w:highlight w:val="none"/>
          <w:lang w:eastAsia="zh-CN"/>
        </w:rPr>
      </w:pPr>
      <w:r>
        <w:rPr>
          <w:rFonts w:hint="eastAsia"/>
          <w:color w:val="auto"/>
          <w:highlight w:val="none"/>
          <w:lang w:eastAsia="zh-CN"/>
        </w:rPr>
        <w:t>（</w:t>
      </w:r>
      <w:r>
        <w:rPr>
          <w:color w:val="auto"/>
          <w:highlight w:val="none"/>
          <w:lang w:eastAsia="zh-CN"/>
        </w:rPr>
        <w:t>2</w:t>
      </w:r>
      <w:r>
        <w:rPr>
          <w:rFonts w:hint="eastAsia"/>
          <w:color w:val="auto"/>
          <w:highlight w:val="none"/>
          <w:lang w:eastAsia="zh-CN"/>
        </w:rPr>
        <w:t>）外墙装饰施工工程将按照要求进行上墙打样，样板位置及区域由发包人指定。承包人报价及施工组织安排时考虑此因素，后期若因外墙装饰上墙打样而产生的进度延误及所需费用均由承包人自行承担，后期不予进行费用调整且不得因此影响工程进度。</w:t>
      </w:r>
    </w:p>
    <w:p>
      <w:pPr>
        <w:pStyle w:val="5"/>
        <w:bidi w:val="0"/>
        <w:ind w:left="253"/>
        <w:rPr>
          <w:color w:val="auto"/>
          <w:highlight w:val="none"/>
          <w:lang w:eastAsia="zh-CN"/>
        </w:rPr>
      </w:pPr>
      <w:r>
        <w:rPr>
          <w:rFonts w:hint="eastAsia"/>
          <w:color w:val="auto"/>
          <w:highlight w:val="none"/>
          <w:lang w:eastAsia="zh-CN"/>
        </w:rPr>
        <w:t>实体工序样板</w:t>
      </w:r>
    </w:p>
    <w:p>
      <w:pPr>
        <w:bidi w:val="0"/>
        <w:rPr>
          <w:color w:val="auto"/>
          <w:highlight w:val="none"/>
          <w:lang w:eastAsia="zh-CN"/>
        </w:rPr>
      </w:pPr>
      <w:r>
        <w:rPr>
          <w:rFonts w:hint="eastAsia"/>
          <w:color w:val="auto"/>
          <w:highlight w:val="none"/>
          <w:lang w:eastAsia="zh-CN"/>
        </w:rPr>
        <w:t>（1）</w:t>
      </w:r>
      <w:r>
        <w:rPr>
          <w:rFonts w:hint="eastAsia"/>
          <w:color w:val="auto"/>
          <w:highlight w:val="none"/>
          <w:lang w:val="en-US" w:eastAsia="zh-CN"/>
        </w:rPr>
        <w:t>正式</w:t>
      </w:r>
      <w:r>
        <w:rPr>
          <w:rFonts w:hint="eastAsia"/>
          <w:color w:val="auto"/>
          <w:highlight w:val="none"/>
          <w:lang w:eastAsia="zh-CN"/>
        </w:rPr>
        <w:t>蓝图下发后30日内，承包人需结合项目自身质量管理实际的基础上，就做样类别及范围与发包人充分沟通，编制《工程样板清单及实施计划》，经监理人审核后方可实施。</w:t>
      </w:r>
    </w:p>
    <w:p>
      <w:pPr>
        <w:bidi w:val="0"/>
        <w:rPr>
          <w:color w:val="auto"/>
          <w:highlight w:val="none"/>
          <w:lang w:eastAsia="zh-CN"/>
        </w:rPr>
      </w:pPr>
      <w:r>
        <w:rPr>
          <w:rFonts w:hint="eastAsia"/>
          <w:color w:val="auto"/>
          <w:highlight w:val="none"/>
          <w:lang w:eastAsia="zh-CN"/>
        </w:rPr>
        <w:t>（2）承包人应在施工前为提前了解施工工序，统一施工工艺做法，确保大面积施工按要求顺利展开，应在每一分项工程施工前，进行样板的施工</w:t>
      </w:r>
      <w:r>
        <w:rPr>
          <w:rFonts w:hint="eastAsia"/>
          <w:color w:val="auto"/>
          <w:highlight w:val="none"/>
          <w:lang w:val="en-US" w:eastAsia="zh-CN"/>
        </w:rPr>
        <w:t>,在施工完成后经监理人验收并签确样板验收确认单，样板确认过程中的整改承包人需无条件配合，工程样板清单内的所有工序均需在样板确认单签确后实施</w:t>
      </w:r>
      <w:r>
        <w:rPr>
          <w:rFonts w:hint="eastAsia"/>
          <w:color w:val="auto"/>
          <w:highlight w:val="none"/>
          <w:lang w:eastAsia="zh-CN"/>
        </w:rPr>
        <w:t>。</w:t>
      </w:r>
    </w:p>
    <w:p>
      <w:pPr>
        <w:bidi w:val="0"/>
        <w:rPr>
          <w:color w:val="auto"/>
          <w:highlight w:val="none"/>
          <w:lang w:eastAsia="zh-CN"/>
        </w:rPr>
      </w:pPr>
      <w:r>
        <w:rPr>
          <w:rFonts w:hint="eastAsia"/>
          <w:color w:val="auto"/>
          <w:highlight w:val="none"/>
          <w:lang w:eastAsia="zh-CN"/>
        </w:rPr>
        <w:t>（3）实体工序样板包含但不限于：</w:t>
      </w:r>
    </w:p>
    <w:p>
      <w:pPr>
        <w:bidi w:val="0"/>
        <w:rPr>
          <w:color w:val="auto"/>
          <w:highlight w:val="none"/>
          <w:lang w:eastAsia="zh-CN"/>
        </w:rPr>
      </w:pPr>
      <w:r>
        <w:rPr>
          <w:rFonts w:hint="eastAsia"/>
          <w:color w:val="auto"/>
          <w:highlight w:val="none"/>
          <w:lang w:eastAsia="zh-CN"/>
        </w:rPr>
        <w:t>钢筋工程、混凝土工程（含模板工程）、砌体工程、抹灰工程、腻子工程、屋面工程、地下室底板（外墙）防水样板、</w:t>
      </w:r>
      <w:r>
        <w:rPr>
          <w:rFonts w:hint="eastAsia"/>
          <w:color w:val="auto"/>
          <w:highlight w:val="none"/>
          <w:lang w:val="en-US" w:eastAsia="zh-CN"/>
        </w:rPr>
        <w:t>CMC样板（若有）、</w:t>
      </w:r>
      <w:r>
        <w:rPr>
          <w:rFonts w:hint="eastAsia"/>
          <w:color w:val="auto"/>
          <w:highlight w:val="none"/>
          <w:lang w:eastAsia="zh-CN"/>
        </w:rPr>
        <w:t xml:space="preserve">室内地坪及楼梯踏步、机电工程、装饰装修工程（包括但不限于一个完整标准层、首层大堂、地下室电梯厅等）、园林工程（包括不限于铺装、乔木灌木草坪、铁艺、灯具、标识、垃圾桶）等。 </w:t>
      </w:r>
    </w:p>
    <w:p>
      <w:pPr>
        <w:bidi w:val="0"/>
        <w:rPr>
          <w:color w:val="auto"/>
          <w:highlight w:val="none"/>
          <w:lang w:eastAsia="zh-CN"/>
        </w:rPr>
      </w:pPr>
      <w:r>
        <w:rPr>
          <w:rFonts w:hint="eastAsia"/>
          <w:color w:val="auto"/>
          <w:highlight w:val="none"/>
          <w:lang w:eastAsia="zh-CN"/>
        </w:rPr>
        <w:t>当每项实体工序样板中存在材料不同将引起工艺改变时，应分不同材料加做样板。特别说明，对于砌体</w:t>
      </w:r>
      <w:r>
        <w:rPr>
          <w:rFonts w:hint="eastAsia"/>
          <w:color w:val="auto"/>
          <w:highlight w:val="none"/>
          <w:lang w:val="en-US" w:eastAsia="zh-CN"/>
        </w:rPr>
        <w:t>/</w:t>
      </w:r>
      <w:r>
        <w:rPr>
          <w:rFonts w:hint="eastAsia"/>
          <w:color w:val="auto"/>
          <w:highlight w:val="none"/>
          <w:lang w:eastAsia="zh-CN"/>
        </w:rPr>
        <w:t>ALC样板除完成砌体</w:t>
      </w:r>
      <w:r>
        <w:rPr>
          <w:rFonts w:hint="eastAsia"/>
          <w:color w:val="auto"/>
          <w:highlight w:val="none"/>
          <w:lang w:val="en-US" w:eastAsia="zh-CN"/>
        </w:rPr>
        <w:t>/</w:t>
      </w:r>
      <w:r>
        <w:rPr>
          <w:rFonts w:hint="eastAsia"/>
          <w:color w:val="auto"/>
          <w:highlight w:val="none"/>
          <w:lang w:eastAsia="zh-CN"/>
        </w:rPr>
        <w:t>ALC外，尚应完成样板范围内所有机电专业管线、设备设施的安装工作（包括强弱电线管安装，强弱电箱安装，开关、插座及弱电设备底盒预埋，空调洞口预留，给排水管道安装），当受条件影响不能以实物安装时，应以同规格尺寸的替代物模拟安装完成。</w:t>
      </w:r>
    </w:p>
    <w:p>
      <w:pPr>
        <w:pStyle w:val="5"/>
        <w:bidi w:val="0"/>
        <w:ind w:left="253"/>
        <w:rPr>
          <w:color w:val="auto"/>
          <w:highlight w:val="none"/>
          <w:lang w:eastAsia="zh-CN"/>
        </w:rPr>
      </w:pPr>
      <w:r>
        <w:rPr>
          <w:rFonts w:hint="eastAsia"/>
          <w:color w:val="auto"/>
          <w:highlight w:val="none"/>
          <w:lang w:eastAsia="zh-CN"/>
        </w:rPr>
        <w:t>大货样板</w:t>
      </w:r>
    </w:p>
    <w:p>
      <w:pPr>
        <w:bidi w:val="0"/>
        <w:rPr>
          <w:color w:val="auto"/>
          <w:highlight w:val="none"/>
          <w:lang w:eastAsia="zh-CN"/>
        </w:rPr>
      </w:pPr>
      <w:r>
        <w:rPr>
          <w:rFonts w:hint="eastAsia"/>
          <w:color w:val="auto"/>
          <w:highlight w:val="none"/>
          <w:lang w:eastAsia="zh-CN"/>
        </w:rPr>
        <w:t>大货样板包含五类：典型户型室内交付标准、大堂装饰交付标准、标准层电梯厅交付标准、外墙装饰样板、综合机电样板（地下室及公共区域）。总承包人须完成对应</w:t>
      </w:r>
      <w:r>
        <w:rPr>
          <w:rFonts w:hint="eastAsia"/>
          <w:color w:val="auto"/>
          <w:highlight w:val="none"/>
          <w:lang w:val="en-US" w:eastAsia="zh-CN"/>
        </w:rPr>
        <w:t>合同</w:t>
      </w:r>
      <w:r>
        <w:rPr>
          <w:rFonts w:hint="eastAsia"/>
          <w:color w:val="auto"/>
          <w:highlight w:val="none"/>
          <w:lang w:eastAsia="zh-CN"/>
        </w:rPr>
        <w:t>工程范围内的样板施工。</w:t>
      </w:r>
    </w:p>
    <w:p>
      <w:pPr>
        <w:bidi w:val="0"/>
        <w:rPr>
          <w:color w:val="auto"/>
          <w:highlight w:val="none"/>
          <w:lang w:eastAsia="zh-CN"/>
        </w:rPr>
      </w:pPr>
      <w:r>
        <w:rPr>
          <w:rFonts w:hint="eastAsia"/>
          <w:color w:val="auto"/>
          <w:highlight w:val="none"/>
          <w:lang w:eastAsia="zh-CN"/>
        </w:rPr>
        <w:t>交房标准样板的具体项目及数量如下表所示：</w:t>
      </w:r>
    </w:p>
    <w:tbl>
      <w:tblPr>
        <w:tblStyle w:val="21"/>
        <w:tblW w:w="499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3"/>
        <w:gridCol w:w="2445"/>
        <w:gridCol w:w="59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12"/>
              <w:bidi w:val="0"/>
              <w:rPr>
                <w:b/>
                <w:bCs/>
                <w:color w:val="auto"/>
                <w:highlight w:val="none"/>
                <w:lang w:eastAsia="zh-CN"/>
              </w:rPr>
            </w:pPr>
            <w:r>
              <w:rPr>
                <w:rFonts w:hint="eastAsia"/>
                <w:b/>
                <w:bCs/>
                <w:color w:val="auto"/>
                <w:highlight w:val="none"/>
                <w:lang w:eastAsia="zh-CN"/>
              </w:rPr>
              <w:t>序号</w:t>
            </w:r>
          </w:p>
        </w:tc>
        <w:tc>
          <w:tcPr>
            <w:tcW w:w="131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12"/>
              <w:bidi w:val="0"/>
              <w:rPr>
                <w:b/>
                <w:bCs/>
                <w:color w:val="auto"/>
                <w:highlight w:val="none"/>
                <w:lang w:eastAsia="zh-CN"/>
              </w:rPr>
            </w:pPr>
            <w:r>
              <w:rPr>
                <w:rFonts w:hint="eastAsia"/>
                <w:b/>
                <w:bCs/>
                <w:color w:val="auto"/>
                <w:highlight w:val="none"/>
                <w:lang w:eastAsia="zh-CN"/>
              </w:rPr>
              <w:t>样板名称</w:t>
            </w:r>
          </w:p>
        </w:tc>
        <w:tc>
          <w:tcPr>
            <w:tcW w:w="322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12"/>
              <w:bidi w:val="0"/>
              <w:rPr>
                <w:b/>
                <w:bCs/>
                <w:color w:val="auto"/>
                <w:highlight w:val="none"/>
                <w:lang w:eastAsia="zh-CN"/>
              </w:rPr>
            </w:pPr>
            <w:r>
              <w:rPr>
                <w:rFonts w:hint="eastAsia"/>
                <w:b/>
                <w:bCs/>
                <w:color w:val="auto"/>
                <w:highlight w:val="none"/>
                <w:lang w:eastAsia="zh-CN"/>
              </w:rPr>
              <w:t>验收要点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12"/>
              <w:bidi w:val="0"/>
              <w:rPr>
                <w:color w:val="auto"/>
                <w:highlight w:val="none"/>
                <w:lang w:eastAsia="zh-CN"/>
              </w:rPr>
            </w:pPr>
            <w:r>
              <w:rPr>
                <w:color w:val="auto"/>
                <w:highlight w:val="none"/>
                <w:lang w:eastAsia="zh-CN"/>
              </w:rPr>
              <w:t>1</w:t>
            </w:r>
          </w:p>
        </w:tc>
        <w:tc>
          <w:tcPr>
            <w:tcW w:w="131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12"/>
              <w:bidi w:val="0"/>
              <w:rPr>
                <w:color w:val="auto"/>
                <w:highlight w:val="none"/>
                <w:lang w:eastAsia="zh-CN"/>
              </w:rPr>
            </w:pPr>
            <w:r>
              <w:rPr>
                <w:rFonts w:hint="eastAsia"/>
                <w:color w:val="auto"/>
                <w:highlight w:val="none"/>
                <w:lang w:eastAsia="zh-CN"/>
              </w:rPr>
              <w:t>典型户型室内交付标准</w:t>
            </w:r>
          </w:p>
        </w:tc>
        <w:tc>
          <w:tcPr>
            <w:tcW w:w="3224" w:type="pct"/>
            <w:vMerge w:val="restart"/>
            <w:tcBorders>
              <w:top w:val="single" w:color="auto" w:sz="4" w:space="0"/>
              <w:left w:val="single" w:color="auto" w:sz="4" w:space="0"/>
              <w:right w:val="single" w:color="auto" w:sz="4" w:space="0"/>
            </w:tcBorders>
            <w:shd w:val="clear" w:color="auto" w:fill="auto"/>
            <w:vAlign w:val="center"/>
          </w:tcPr>
          <w:p>
            <w:pPr>
              <w:pStyle w:val="12"/>
              <w:bidi w:val="0"/>
              <w:rPr>
                <w:color w:val="auto"/>
                <w:highlight w:val="none"/>
                <w:lang w:eastAsia="zh-CN"/>
              </w:rPr>
            </w:pPr>
            <w:r>
              <w:rPr>
                <w:color w:val="auto"/>
                <w:highlight w:val="none"/>
                <w:lang w:eastAsia="zh-CN"/>
              </w:rPr>
              <w:t>1</w:t>
            </w:r>
            <w:r>
              <w:rPr>
                <w:rFonts w:hint="eastAsia"/>
                <w:color w:val="auto"/>
                <w:highlight w:val="none"/>
                <w:lang w:eastAsia="zh-CN"/>
              </w:rPr>
              <w:t>、与交付标准是否相符；</w:t>
            </w:r>
            <w:r>
              <w:rPr>
                <w:color w:val="auto"/>
                <w:highlight w:val="none"/>
                <w:lang w:eastAsia="zh-CN"/>
              </w:rPr>
              <w:t>2</w:t>
            </w:r>
            <w:r>
              <w:rPr>
                <w:rFonts w:hint="eastAsia"/>
                <w:color w:val="auto"/>
                <w:highlight w:val="none"/>
                <w:lang w:eastAsia="zh-CN"/>
              </w:rPr>
              <w:t>、使用功能是否合理；</w:t>
            </w:r>
            <w:r>
              <w:rPr>
                <w:color w:val="auto"/>
                <w:highlight w:val="none"/>
                <w:lang w:eastAsia="zh-CN"/>
              </w:rPr>
              <w:t>3</w:t>
            </w:r>
            <w:r>
              <w:rPr>
                <w:rFonts w:hint="eastAsia"/>
                <w:color w:val="auto"/>
                <w:highlight w:val="none"/>
                <w:lang w:eastAsia="zh-CN"/>
              </w:rPr>
              <w:t>、施工图纸是否合理；</w:t>
            </w:r>
            <w:r>
              <w:rPr>
                <w:color w:val="auto"/>
                <w:highlight w:val="none"/>
                <w:lang w:eastAsia="zh-CN"/>
              </w:rPr>
              <w:t>4</w:t>
            </w:r>
            <w:r>
              <w:rPr>
                <w:rFonts w:hint="eastAsia"/>
                <w:color w:val="auto"/>
                <w:highlight w:val="none"/>
                <w:lang w:eastAsia="zh-CN"/>
              </w:rPr>
              <w:t>、界面分判是否合理；</w:t>
            </w:r>
            <w:r>
              <w:rPr>
                <w:color w:val="auto"/>
                <w:highlight w:val="none"/>
                <w:lang w:eastAsia="zh-CN"/>
              </w:rPr>
              <w:t>5</w:t>
            </w:r>
            <w:r>
              <w:rPr>
                <w:rFonts w:hint="eastAsia"/>
                <w:color w:val="auto"/>
                <w:highlight w:val="none"/>
                <w:lang w:eastAsia="zh-CN"/>
              </w:rPr>
              <w:t>、感观标准是否满足要求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12"/>
              <w:bidi w:val="0"/>
              <w:rPr>
                <w:color w:val="auto"/>
                <w:highlight w:val="none"/>
                <w:lang w:eastAsia="zh-CN"/>
              </w:rPr>
            </w:pPr>
            <w:r>
              <w:rPr>
                <w:color w:val="auto"/>
                <w:highlight w:val="none"/>
                <w:lang w:eastAsia="zh-CN"/>
              </w:rPr>
              <w:t>2</w:t>
            </w:r>
          </w:p>
        </w:tc>
        <w:tc>
          <w:tcPr>
            <w:tcW w:w="131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12"/>
              <w:bidi w:val="0"/>
              <w:rPr>
                <w:color w:val="auto"/>
                <w:highlight w:val="none"/>
                <w:lang w:eastAsia="zh-CN"/>
              </w:rPr>
            </w:pPr>
            <w:r>
              <w:rPr>
                <w:rFonts w:hint="eastAsia"/>
                <w:color w:val="auto"/>
                <w:highlight w:val="none"/>
                <w:lang w:eastAsia="zh-CN"/>
              </w:rPr>
              <w:t>大堂装饰交付标准</w:t>
            </w:r>
          </w:p>
        </w:tc>
        <w:tc>
          <w:tcPr>
            <w:tcW w:w="3224" w:type="pct"/>
            <w:vMerge w:val="continue"/>
            <w:tcBorders>
              <w:left w:val="single" w:color="auto" w:sz="4" w:space="0"/>
              <w:right w:val="single" w:color="auto" w:sz="4" w:space="0"/>
            </w:tcBorders>
            <w:shd w:val="clear" w:color="auto" w:fill="auto"/>
            <w:vAlign w:val="center"/>
          </w:tcPr>
          <w:p>
            <w:pPr>
              <w:pStyle w:val="12"/>
              <w:bidi w:val="0"/>
              <w:rPr>
                <w:color w:val="auto"/>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12"/>
              <w:bidi w:val="0"/>
              <w:rPr>
                <w:color w:val="auto"/>
                <w:highlight w:val="none"/>
                <w:lang w:eastAsia="zh-CN"/>
              </w:rPr>
            </w:pPr>
            <w:r>
              <w:rPr>
                <w:color w:val="auto"/>
                <w:highlight w:val="none"/>
                <w:lang w:eastAsia="zh-CN"/>
              </w:rPr>
              <w:t>3</w:t>
            </w:r>
          </w:p>
        </w:tc>
        <w:tc>
          <w:tcPr>
            <w:tcW w:w="131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12"/>
              <w:bidi w:val="0"/>
              <w:rPr>
                <w:color w:val="auto"/>
                <w:highlight w:val="none"/>
                <w:lang w:eastAsia="zh-CN"/>
              </w:rPr>
            </w:pPr>
            <w:r>
              <w:rPr>
                <w:rFonts w:hint="eastAsia"/>
                <w:color w:val="auto"/>
                <w:highlight w:val="none"/>
                <w:lang w:eastAsia="zh-CN"/>
              </w:rPr>
              <w:t>标准层电梯厅交付标准</w:t>
            </w:r>
          </w:p>
        </w:tc>
        <w:tc>
          <w:tcPr>
            <w:tcW w:w="3224" w:type="pct"/>
            <w:vMerge w:val="continue"/>
            <w:tcBorders>
              <w:left w:val="single" w:color="auto" w:sz="4" w:space="0"/>
              <w:right w:val="single" w:color="auto" w:sz="4" w:space="0"/>
            </w:tcBorders>
            <w:shd w:val="clear" w:color="auto" w:fill="auto"/>
            <w:vAlign w:val="center"/>
          </w:tcPr>
          <w:p>
            <w:pPr>
              <w:pStyle w:val="12"/>
              <w:bidi w:val="0"/>
              <w:rPr>
                <w:color w:val="auto"/>
                <w:highlight w:val="no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12"/>
              <w:bidi w:val="0"/>
              <w:rPr>
                <w:color w:val="auto"/>
                <w:highlight w:val="none"/>
                <w:lang w:eastAsia="zh-CN"/>
              </w:rPr>
            </w:pPr>
            <w:r>
              <w:rPr>
                <w:color w:val="auto"/>
                <w:highlight w:val="none"/>
                <w:lang w:eastAsia="zh-CN"/>
              </w:rPr>
              <w:t>4</w:t>
            </w:r>
          </w:p>
        </w:tc>
        <w:tc>
          <w:tcPr>
            <w:tcW w:w="131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12"/>
              <w:bidi w:val="0"/>
              <w:rPr>
                <w:color w:val="auto"/>
                <w:highlight w:val="none"/>
                <w:lang w:eastAsia="zh-CN"/>
              </w:rPr>
            </w:pPr>
            <w:r>
              <w:rPr>
                <w:rFonts w:hint="eastAsia"/>
                <w:color w:val="auto"/>
                <w:highlight w:val="none"/>
                <w:lang w:eastAsia="zh-CN"/>
              </w:rPr>
              <w:t>外墙装饰样板</w:t>
            </w:r>
          </w:p>
        </w:tc>
        <w:tc>
          <w:tcPr>
            <w:tcW w:w="3224" w:type="pct"/>
            <w:vMerge w:val="continue"/>
            <w:tcBorders>
              <w:left w:val="single" w:color="auto" w:sz="4" w:space="0"/>
              <w:right w:val="single" w:color="auto" w:sz="4" w:space="0"/>
            </w:tcBorders>
            <w:shd w:val="clear" w:color="auto" w:fill="auto"/>
            <w:vAlign w:val="center"/>
          </w:tcPr>
          <w:p>
            <w:pPr>
              <w:pStyle w:val="12"/>
              <w:bidi w:val="0"/>
              <w:rPr>
                <w:color w:val="auto"/>
                <w:highlight w:val="no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12"/>
              <w:bidi w:val="0"/>
              <w:rPr>
                <w:color w:val="auto"/>
                <w:highlight w:val="none"/>
                <w:lang w:eastAsia="zh-CN"/>
              </w:rPr>
            </w:pPr>
            <w:r>
              <w:rPr>
                <w:color w:val="auto"/>
                <w:highlight w:val="none"/>
                <w:lang w:eastAsia="zh-CN"/>
              </w:rPr>
              <w:t>5</w:t>
            </w:r>
          </w:p>
        </w:tc>
        <w:tc>
          <w:tcPr>
            <w:tcW w:w="131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12"/>
              <w:bidi w:val="0"/>
              <w:rPr>
                <w:color w:val="auto"/>
                <w:highlight w:val="none"/>
                <w:lang w:eastAsia="zh-CN"/>
              </w:rPr>
            </w:pPr>
            <w:r>
              <w:rPr>
                <w:rFonts w:hint="eastAsia"/>
                <w:color w:val="auto"/>
                <w:highlight w:val="none"/>
                <w:lang w:eastAsia="zh-CN"/>
              </w:rPr>
              <w:t>综合机电样板</w:t>
            </w:r>
          </w:p>
        </w:tc>
        <w:tc>
          <w:tcPr>
            <w:tcW w:w="3224" w:type="pct"/>
            <w:vMerge w:val="continue"/>
            <w:tcBorders>
              <w:left w:val="single" w:color="auto" w:sz="4" w:space="0"/>
              <w:right w:val="single" w:color="auto" w:sz="4" w:space="0"/>
            </w:tcBorders>
            <w:shd w:val="clear" w:color="auto" w:fill="auto"/>
            <w:vAlign w:val="center"/>
          </w:tcPr>
          <w:p>
            <w:pPr>
              <w:pStyle w:val="12"/>
              <w:bidi w:val="0"/>
              <w:rPr>
                <w:color w:val="auto"/>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9" w:type="pct"/>
            <w:tcBorders>
              <w:top w:val="single" w:color="auto" w:sz="4" w:space="0"/>
              <w:left w:val="single" w:color="auto" w:sz="4" w:space="0"/>
              <w:bottom w:val="single" w:color="auto" w:sz="4" w:space="0"/>
              <w:right w:val="single" w:color="auto" w:sz="4" w:space="0"/>
            </w:tcBorders>
            <w:shd w:val="clear" w:color="auto" w:fill="auto"/>
            <w:vAlign w:val="center"/>
          </w:tcPr>
          <w:p>
            <w:pPr>
              <w:pStyle w:val="12"/>
              <w:bidi w:val="0"/>
              <w:rPr>
                <w:rFonts w:hint="default"/>
                <w:color w:val="auto"/>
                <w:highlight w:val="none"/>
                <w:lang w:val="en-US" w:eastAsia="zh-CN"/>
              </w:rPr>
            </w:pPr>
            <w:r>
              <w:rPr>
                <w:rFonts w:hint="eastAsia"/>
                <w:color w:val="auto"/>
                <w:highlight w:val="none"/>
                <w:lang w:val="en-US" w:eastAsia="zh-CN"/>
              </w:rPr>
              <w:t>6</w:t>
            </w:r>
          </w:p>
        </w:tc>
        <w:tc>
          <w:tcPr>
            <w:tcW w:w="131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12"/>
              <w:bidi w:val="0"/>
              <w:rPr>
                <w:rFonts w:hint="default"/>
                <w:color w:val="auto"/>
                <w:highlight w:val="none"/>
                <w:lang w:val="en-US" w:eastAsia="zh-CN"/>
              </w:rPr>
            </w:pPr>
            <w:r>
              <w:rPr>
                <w:rFonts w:hint="eastAsia"/>
                <w:color w:val="auto"/>
                <w:highlight w:val="none"/>
                <w:lang w:val="en-US" w:eastAsia="zh-CN"/>
              </w:rPr>
              <w:t>景观样板</w:t>
            </w:r>
          </w:p>
        </w:tc>
        <w:tc>
          <w:tcPr>
            <w:tcW w:w="3224" w:type="pct"/>
            <w:vMerge w:val="continue"/>
            <w:tcBorders>
              <w:left w:val="single" w:color="auto" w:sz="4" w:space="0"/>
              <w:bottom w:val="single" w:color="auto" w:sz="4" w:space="0"/>
              <w:right w:val="single" w:color="auto" w:sz="4" w:space="0"/>
            </w:tcBorders>
            <w:shd w:val="clear" w:color="auto" w:fill="auto"/>
            <w:vAlign w:val="center"/>
          </w:tcPr>
          <w:p>
            <w:pPr>
              <w:pStyle w:val="12"/>
              <w:bidi w:val="0"/>
              <w:rPr>
                <w:color w:val="auto"/>
                <w:highlight w:val="none"/>
              </w:rPr>
            </w:pPr>
          </w:p>
        </w:tc>
      </w:tr>
    </w:tbl>
    <w:p>
      <w:pPr>
        <w:bidi w:val="0"/>
        <w:rPr>
          <w:rFonts w:hint="eastAsia"/>
          <w:color w:val="auto"/>
          <w:highlight w:val="none"/>
          <w:lang w:eastAsia="zh-CN"/>
        </w:rPr>
      </w:pPr>
      <w:r>
        <w:rPr>
          <w:rFonts w:hint="eastAsia"/>
          <w:color w:val="auto"/>
          <w:highlight w:val="none"/>
          <w:lang w:eastAsia="zh-CN"/>
        </w:rPr>
        <w:t>功能样板的工序质量要求按实地工序样板点评意见执行。</w:t>
      </w:r>
    </w:p>
    <w:p>
      <w:pPr>
        <w:pStyle w:val="3"/>
        <w:bidi w:val="0"/>
        <w:rPr>
          <w:rFonts w:hint="eastAsia"/>
          <w:color w:val="auto"/>
          <w:highlight w:val="none"/>
          <w:lang w:eastAsia="zh-CN"/>
        </w:rPr>
      </w:pPr>
      <w:bookmarkStart w:id="332" w:name="_Toc32725"/>
      <w:bookmarkStart w:id="333" w:name="_Toc2242"/>
      <w:bookmarkStart w:id="334" w:name="_Toc9831"/>
      <w:bookmarkStart w:id="335" w:name="_Toc30200"/>
      <w:bookmarkStart w:id="336" w:name="_Toc14342"/>
      <w:bookmarkStart w:id="337" w:name="_Toc10768"/>
      <w:bookmarkStart w:id="338" w:name="_Toc2093"/>
      <w:bookmarkStart w:id="339" w:name="_Toc32147"/>
      <w:bookmarkStart w:id="340" w:name="_Toc3439"/>
      <w:bookmarkStart w:id="341" w:name="_Toc3044"/>
      <w:bookmarkStart w:id="342" w:name="_Toc1214"/>
      <w:bookmarkStart w:id="343" w:name="_Toc11737"/>
      <w:r>
        <w:rPr>
          <w:rFonts w:hint="eastAsia"/>
          <w:color w:val="auto"/>
          <w:highlight w:val="none"/>
          <w:lang w:eastAsia="zh-CN"/>
        </w:rPr>
        <w:t>交付示范区</w:t>
      </w:r>
      <w:bookmarkEnd w:id="332"/>
      <w:r>
        <w:rPr>
          <w:rFonts w:hint="eastAsia"/>
          <w:color w:val="auto"/>
          <w:highlight w:val="none"/>
          <w:lang w:val="en-US" w:eastAsia="zh-CN"/>
        </w:rPr>
        <w:t>要求</w:t>
      </w:r>
      <w:bookmarkEnd w:id="333"/>
      <w:bookmarkEnd w:id="334"/>
      <w:bookmarkEnd w:id="335"/>
      <w:bookmarkEnd w:id="336"/>
      <w:bookmarkEnd w:id="337"/>
      <w:bookmarkEnd w:id="338"/>
      <w:bookmarkEnd w:id="339"/>
      <w:bookmarkEnd w:id="340"/>
      <w:bookmarkEnd w:id="341"/>
      <w:bookmarkEnd w:id="342"/>
      <w:bookmarkEnd w:id="343"/>
    </w:p>
    <w:p>
      <w:pPr>
        <w:bidi w:val="0"/>
        <w:rPr>
          <w:rFonts w:hint="eastAsia"/>
          <w:color w:val="auto"/>
          <w:highlight w:val="none"/>
          <w:lang w:eastAsia="zh-CN"/>
        </w:rPr>
      </w:pPr>
      <w:r>
        <w:rPr>
          <w:rFonts w:hint="eastAsia"/>
          <w:color w:val="auto"/>
          <w:highlight w:val="none"/>
          <w:lang w:eastAsia="zh-CN"/>
        </w:rPr>
        <w:t>施工蓝图下发后</w:t>
      </w:r>
      <w:r>
        <w:rPr>
          <w:rFonts w:hint="eastAsia"/>
          <w:color w:val="auto"/>
          <w:highlight w:val="none"/>
          <w:lang w:val="en-US" w:eastAsia="zh-CN"/>
        </w:rPr>
        <w:t>12</w:t>
      </w:r>
      <w:r>
        <w:rPr>
          <w:rFonts w:hint="eastAsia"/>
          <w:color w:val="auto"/>
          <w:highlight w:val="none"/>
          <w:lang w:eastAsia="zh-CN"/>
        </w:rPr>
        <w:t>0天内，承包人应</w:t>
      </w:r>
      <w:r>
        <w:rPr>
          <w:rFonts w:hint="eastAsia"/>
          <w:color w:val="auto"/>
          <w:highlight w:val="none"/>
          <w:lang w:val="en-US" w:eastAsia="zh-CN"/>
        </w:rPr>
        <w:t>完成</w:t>
      </w:r>
      <w:r>
        <w:rPr>
          <w:rFonts w:hint="eastAsia"/>
          <w:color w:val="auto"/>
          <w:highlight w:val="none"/>
          <w:lang w:eastAsia="zh-CN"/>
        </w:rPr>
        <w:t>交付样板示范区专项策划，在场内合适区域打造示范区，</w:t>
      </w:r>
      <w:r>
        <w:rPr>
          <w:rFonts w:hint="eastAsia"/>
          <w:color w:val="auto"/>
          <w:highlight w:val="none"/>
          <w:lang w:val="en-US" w:eastAsia="zh-CN"/>
        </w:rPr>
        <w:t>示范区包括但不限于大货样板展示、示范区围蔽、示范区物料、示范区展板展牌等。具体示范区选址及展示时间以发包人要求为准。</w:t>
      </w:r>
      <w:r>
        <w:rPr>
          <w:rFonts w:hint="eastAsia"/>
          <w:color w:val="auto"/>
          <w:highlight w:val="none"/>
          <w:lang w:eastAsia="zh-CN"/>
        </w:rPr>
        <w:t>示范区专项策划应对交付样板间以及示范区展示</w:t>
      </w:r>
      <w:r>
        <w:rPr>
          <w:rFonts w:hint="eastAsia"/>
          <w:color w:val="auto"/>
          <w:highlight w:val="none"/>
          <w:lang w:val="en-US" w:eastAsia="zh-CN"/>
        </w:rPr>
        <w:t>范围</w:t>
      </w:r>
      <w:r>
        <w:rPr>
          <w:rFonts w:hint="eastAsia"/>
          <w:color w:val="auto"/>
          <w:highlight w:val="none"/>
          <w:lang w:eastAsia="zh-CN"/>
        </w:rPr>
        <w:t>进行详尽的施工组织与时间安排，</w:t>
      </w:r>
      <w:r>
        <w:rPr>
          <w:rFonts w:hint="eastAsia"/>
          <w:color w:val="auto"/>
          <w:highlight w:val="none"/>
          <w:lang w:val="en-US" w:eastAsia="zh-CN"/>
        </w:rPr>
        <w:t>总承包人应负责项目整体示范区策划工作并统筹各</w:t>
      </w:r>
      <w:r>
        <w:rPr>
          <w:rFonts w:hint="eastAsia"/>
          <w:color w:val="auto"/>
          <w:highlight w:val="none"/>
          <w:lang w:eastAsia="zh-CN"/>
        </w:rPr>
        <w:t>专业承包</w:t>
      </w:r>
      <w:r>
        <w:rPr>
          <w:color w:val="auto"/>
          <w:highlight w:val="none"/>
        </w:rPr>
        <w:t>人</w:t>
      </w:r>
      <w:r>
        <w:rPr>
          <w:rFonts w:hint="eastAsia"/>
          <w:color w:val="auto"/>
          <w:highlight w:val="none"/>
          <w:lang w:val="en-US" w:eastAsia="zh-CN"/>
        </w:rPr>
        <w:t>深化设计工作，</w:t>
      </w:r>
      <w:r>
        <w:rPr>
          <w:rFonts w:hint="eastAsia"/>
          <w:color w:val="auto"/>
          <w:highlight w:val="none"/>
          <w:lang w:eastAsia="zh-CN"/>
        </w:rPr>
        <w:t>以汇报形式经发包人确认后按策划实施，</w:t>
      </w:r>
      <w:r>
        <w:rPr>
          <w:rFonts w:hint="eastAsia"/>
          <w:color w:val="auto"/>
          <w:highlight w:val="none"/>
          <w:lang w:val="en-US" w:eastAsia="zh-CN"/>
        </w:rPr>
        <w:t>示范区打造</w:t>
      </w:r>
      <w:r>
        <w:rPr>
          <w:rFonts w:hint="eastAsia"/>
          <w:color w:val="auto"/>
          <w:highlight w:val="none"/>
          <w:lang w:eastAsia="zh-CN"/>
        </w:rPr>
        <w:t>产生的</w:t>
      </w:r>
      <w:r>
        <w:rPr>
          <w:rFonts w:hint="eastAsia"/>
          <w:color w:val="auto"/>
          <w:highlight w:val="none"/>
          <w:lang w:val="en-US" w:eastAsia="zh-CN"/>
        </w:rPr>
        <w:t>包括成品保护、保洁、施工便道、临时围蔽等措施</w:t>
      </w:r>
      <w:r>
        <w:rPr>
          <w:rFonts w:hint="eastAsia"/>
          <w:color w:val="auto"/>
          <w:highlight w:val="none"/>
          <w:lang w:eastAsia="zh-CN"/>
        </w:rPr>
        <w:t>费用发包人</w:t>
      </w:r>
      <w:r>
        <w:rPr>
          <w:rFonts w:hint="eastAsia"/>
          <w:color w:val="auto"/>
          <w:highlight w:val="none"/>
          <w:lang w:val="en-US" w:eastAsia="zh-CN"/>
        </w:rPr>
        <w:t>投标报价中综合考虑，不另行计取</w:t>
      </w:r>
      <w:r>
        <w:rPr>
          <w:rFonts w:hint="eastAsia"/>
          <w:color w:val="auto"/>
          <w:highlight w:val="none"/>
          <w:lang w:eastAsia="zh-CN"/>
        </w:rPr>
        <w:t>，且不得因此影响工程进度。</w:t>
      </w:r>
    </w:p>
    <w:p>
      <w:pPr>
        <w:bidi w:val="0"/>
        <w:rPr>
          <w:rFonts w:hint="default"/>
          <w:color w:val="auto"/>
          <w:highlight w:val="none"/>
          <w:lang w:val="en-US" w:eastAsia="zh-CN"/>
        </w:rPr>
      </w:pPr>
      <w:r>
        <w:rPr>
          <w:rFonts w:hint="eastAsia"/>
          <w:color w:val="auto"/>
          <w:highlight w:val="none"/>
          <w:lang w:val="en-US" w:eastAsia="zh-CN"/>
        </w:rPr>
        <w:t>交付样板示范区可分阶段进行展示：</w:t>
      </w:r>
    </w:p>
    <w:p>
      <w:pPr>
        <w:pStyle w:val="4"/>
        <w:bidi w:val="0"/>
        <w:rPr>
          <w:color w:val="auto"/>
          <w:highlight w:val="none"/>
          <w:lang w:eastAsia="zh-CN"/>
        </w:rPr>
      </w:pPr>
      <w:r>
        <w:rPr>
          <w:rFonts w:hint="eastAsia"/>
          <w:color w:val="auto"/>
          <w:highlight w:val="none"/>
          <w:lang w:val="en-US" w:eastAsia="zh-CN"/>
        </w:rPr>
        <w:t>户内</w:t>
      </w:r>
      <w:r>
        <w:rPr>
          <w:rFonts w:hint="eastAsia"/>
          <w:color w:val="auto"/>
          <w:highlight w:val="none"/>
          <w:lang w:eastAsia="zh-CN"/>
        </w:rPr>
        <w:t>交付标准：</w:t>
      </w:r>
    </w:p>
    <w:p>
      <w:pPr>
        <w:bidi w:val="0"/>
        <w:rPr>
          <w:color w:val="auto"/>
          <w:highlight w:val="none"/>
          <w:lang w:eastAsia="zh-CN"/>
        </w:rPr>
      </w:pPr>
      <w:r>
        <w:rPr>
          <w:color w:val="auto"/>
          <w:highlight w:val="none"/>
          <w:lang w:eastAsia="zh-CN"/>
        </w:rPr>
        <w:t>1</w:t>
      </w:r>
      <w:r>
        <w:rPr>
          <w:rFonts w:hint="eastAsia"/>
          <w:color w:val="auto"/>
          <w:highlight w:val="none"/>
          <w:lang w:eastAsia="zh-CN"/>
        </w:rPr>
        <w:t>）展示内容：户内交付标准</w:t>
      </w:r>
    </w:p>
    <w:p>
      <w:pPr>
        <w:bidi w:val="0"/>
        <w:rPr>
          <w:color w:val="auto"/>
          <w:highlight w:val="none"/>
          <w:lang w:eastAsia="zh-CN"/>
        </w:rPr>
      </w:pPr>
      <w:r>
        <w:rPr>
          <w:rFonts w:hint="eastAsia"/>
          <w:color w:val="auto"/>
          <w:highlight w:val="none"/>
          <w:lang w:eastAsia="zh-CN"/>
        </w:rPr>
        <w:t>2）展示条件：</w:t>
      </w:r>
    </w:p>
    <w:p>
      <w:pPr>
        <w:bidi w:val="0"/>
        <w:rPr>
          <w:color w:val="auto"/>
          <w:highlight w:val="none"/>
          <w:lang w:eastAsia="zh-CN"/>
        </w:rPr>
      </w:pPr>
      <w:r>
        <w:rPr>
          <w:rFonts w:hint="eastAsia"/>
          <w:color w:val="auto"/>
          <w:highlight w:val="none"/>
          <w:lang w:eastAsia="zh-CN"/>
        </w:rPr>
        <w:t>①室内按交付标准完成所有构造做法。</w:t>
      </w:r>
    </w:p>
    <w:p>
      <w:pPr>
        <w:bidi w:val="0"/>
        <w:rPr>
          <w:color w:val="auto"/>
          <w:highlight w:val="none"/>
          <w:lang w:eastAsia="zh-CN"/>
        </w:rPr>
      </w:pPr>
      <w:r>
        <w:rPr>
          <w:rFonts w:hint="eastAsia"/>
          <w:color w:val="auto"/>
          <w:highlight w:val="none"/>
          <w:lang w:eastAsia="zh-CN"/>
        </w:rPr>
        <w:t>②自工地大门至展示楼栋具备全硬化车型道路及人行道路。</w:t>
      </w:r>
    </w:p>
    <w:p>
      <w:pPr>
        <w:bidi w:val="0"/>
        <w:rPr>
          <w:color w:val="auto"/>
          <w:highlight w:val="none"/>
          <w:lang w:eastAsia="zh-CN"/>
        </w:rPr>
      </w:pPr>
      <w:r>
        <w:rPr>
          <w:rFonts w:hint="eastAsia"/>
          <w:color w:val="auto"/>
          <w:highlight w:val="none"/>
          <w:lang w:eastAsia="zh-CN"/>
        </w:rPr>
        <w:t>③若室外人行通道处于塔吊覆盖范围，则需设置双层防护人行通道。</w:t>
      </w:r>
    </w:p>
    <w:p>
      <w:pPr>
        <w:bidi w:val="0"/>
        <w:rPr>
          <w:color w:val="auto"/>
          <w:highlight w:val="none"/>
          <w:lang w:eastAsia="zh-CN"/>
        </w:rPr>
      </w:pPr>
      <w:r>
        <w:rPr>
          <w:color w:val="auto"/>
          <w:highlight w:val="none"/>
          <w:lang w:eastAsia="zh-CN"/>
        </w:rPr>
        <w:t>3</w:t>
      </w:r>
      <w:r>
        <w:rPr>
          <w:rFonts w:hint="eastAsia"/>
          <w:color w:val="auto"/>
          <w:highlight w:val="none"/>
          <w:lang w:eastAsia="zh-CN"/>
        </w:rPr>
        <w:t>）完成时间：交付样板所在楼栋出±0.00m以后5个月（</w:t>
      </w:r>
      <w:r>
        <w:rPr>
          <w:rFonts w:hint="eastAsia"/>
          <w:color w:val="auto"/>
          <w:highlight w:val="none"/>
          <w:lang w:val="en-US" w:eastAsia="zh-CN"/>
        </w:rPr>
        <w:t>或按发包人另行要求）</w:t>
      </w:r>
      <w:r>
        <w:rPr>
          <w:rFonts w:hint="eastAsia"/>
          <w:color w:val="auto"/>
          <w:highlight w:val="none"/>
          <w:lang w:eastAsia="zh-CN"/>
        </w:rPr>
        <w:t>。</w:t>
      </w:r>
    </w:p>
    <w:p>
      <w:pPr>
        <w:pStyle w:val="4"/>
        <w:bidi w:val="0"/>
        <w:rPr>
          <w:color w:val="auto"/>
          <w:highlight w:val="none"/>
          <w:lang w:eastAsia="zh-CN"/>
        </w:rPr>
      </w:pPr>
      <w:r>
        <w:rPr>
          <w:rFonts w:hint="eastAsia"/>
          <w:color w:val="auto"/>
          <w:highlight w:val="none"/>
          <w:lang w:eastAsia="zh-CN"/>
        </w:rPr>
        <w:t>公共区域：</w:t>
      </w:r>
    </w:p>
    <w:p>
      <w:pPr>
        <w:bidi w:val="0"/>
        <w:rPr>
          <w:color w:val="auto"/>
          <w:highlight w:val="none"/>
          <w:lang w:eastAsia="zh-CN"/>
        </w:rPr>
      </w:pPr>
      <w:r>
        <w:rPr>
          <w:color w:val="auto"/>
          <w:highlight w:val="none"/>
          <w:lang w:eastAsia="zh-CN"/>
        </w:rPr>
        <w:t>1</w:t>
      </w:r>
      <w:r>
        <w:rPr>
          <w:rFonts w:hint="eastAsia"/>
          <w:color w:val="auto"/>
          <w:highlight w:val="none"/>
          <w:lang w:eastAsia="zh-CN"/>
        </w:rPr>
        <w:t>）展示内容：标准层公区交付标准、水电管井交付标准、外立面效果呈现</w:t>
      </w:r>
    </w:p>
    <w:p>
      <w:pPr>
        <w:bidi w:val="0"/>
        <w:rPr>
          <w:color w:val="auto"/>
          <w:highlight w:val="none"/>
          <w:lang w:eastAsia="zh-CN"/>
        </w:rPr>
      </w:pPr>
      <w:r>
        <w:rPr>
          <w:color w:val="auto"/>
          <w:highlight w:val="none"/>
          <w:lang w:eastAsia="zh-CN"/>
        </w:rPr>
        <w:t>2</w:t>
      </w:r>
      <w:r>
        <w:rPr>
          <w:rFonts w:hint="eastAsia"/>
          <w:color w:val="auto"/>
          <w:highlight w:val="none"/>
          <w:lang w:eastAsia="zh-CN"/>
        </w:rPr>
        <w:t>）展示条件：</w:t>
      </w:r>
    </w:p>
    <w:p>
      <w:pPr>
        <w:bidi w:val="0"/>
        <w:rPr>
          <w:color w:val="auto"/>
          <w:highlight w:val="none"/>
          <w:lang w:eastAsia="zh-CN"/>
        </w:rPr>
      </w:pPr>
      <w:r>
        <w:rPr>
          <w:rFonts w:hint="eastAsia"/>
          <w:color w:val="auto"/>
          <w:highlight w:val="none"/>
          <w:lang w:eastAsia="zh-CN"/>
        </w:rPr>
        <w:t>①示范区内楼栋交付样板所在楼层公区所有精装修完成、灯具安装完成。</w:t>
      </w:r>
    </w:p>
    <w:p>
      <w:pPr>
        <w:bidi w:val="0"/>
        <w:rPr>
          <w:color w:val="auto"/>
          <w:highlight w:val="none"/>
          <w:lang w:eastAsia="zh-CN"/>
        </w:rPr>
      </w:pPr>
      <w:r>
        <w:rPr>
          <w:rFonts w:hint="eastAsia"/>
          <w:color w:val="auto"/>
          <w:highlight w:val="none"/>
          <w:lang w:eastAsia="zh-CN"/>
        </w:rPr>
        <w:t>②第一道悬挑架拆除完成，水平硬防护设置完成，第一道悬挑架范围内外立面铺贴完成（不含入户大堂）</w:t>
      </w:r>
    </w:p>
    <w:p>
      <w:pPr>
        <w:bidi w:val="0"/>
        <w:rPr>
          <w:color w:val="auto"/>
          <w:highlight w:val="none"/>
          <w:lang w:eastAsia="zh-CN"/>
        </w:rPr>
      </w:pPr>
      <w:r>
        <w:rPr>
          <w:rFonts w:hint="eastAsia"/>
          <w:color w:val="auto"/>
          <w:highlight w:val="none"/>
          <w:lang w:eastAsia="zh-CN"/>
        </w:rPr>
        <w:t>③公区通电（临电）</w:t>
      </w:r>
    </w:p>
    <w:p>
      <w:pPr>
        <w:bidi w:val="0"/>
        <w:rPr>
          <w:color w:val="auto"/>
          <w:highlight w:val="none"/>
          <w:lang w:eastAsia="zh-CN"/>
        </w:rPr>
      </w:pPr>
      <w:r>
        <w:rPr>
          <w:rFonts w:hint="eastAsia"/>
          <w:color w:val="auto"/>
          <w:highlight w:val="none"/>
          <w:lang w:eastAsia="zh-CN"/>
        </w:rPr>
        <w:t>3）完成时间：示范区内主楼出±0.00m后6个月（</w:t>
      </w:r>
      <w:r>
        <w:rPr>
          <w:rFonts w:hint="eastAsia"/>
          <w:color w:val="auto"/>
          <w:highlight w:val="none"/>
          <w:lang w:val="en-US" w:eastAsia="zh-CN"/>
        </w:rPr>
        <w:t>或按发包人另行要求）</w:t>
      </w:r>
      <w:r>
        <w:rPr>
          <w:rFonts w:hint="eastAsia"/>
          <w:color w:val="auto"/>
          <w:highlight w:val="none"/>
          <w:lang w:eastAsia="zh-CN"/>
        </w:rPr>
        <w:t>（</w:t>
      </w:r>
      <w:r>
        <w:rPr>
          <w:rFonts w:hint="eastAsia"/>
          <w:color w:val="auto"/>
          <w:highlight w:val="none"/>
          <w:lang w:val="en-US" w:eastAsia="zh-CN"/>
        </w:rPr>
        <w:t>视情况</w:t>
      </w:r>
      <w:r>
        <w:rPr>
          <w:rFonts w:hint="eastAsia"/>
          <w:color w:val="auto"/>
          <w:highlight w:val="none"/>
          <w:lang w:eastAsia="zh-CN"/>
        </w:rPr>
        <w:t>拆除第一道悬挑外架并设置水平悬挑硬防护）。</w:t>
      </w:r>
    </w:p>
    <w:p>
      <w:pPr>
        <w:pStyle w:val="4"/>
        <w:bidi w:val="0"/>
        <w:rPr>
          <w:color w:val="auto"/>
          <w:highlight w:val="none"/>
          <w:lang w:eastAsia="zh-CN"/>
        </w:rPr>
      </w:pPr>
      <w:r>
        <w:rPr>
          <w:rFonts w:hint="eastAsia"/>
          <w:color w:val="auto"/>
          <w:highlight w:val="none"/>
          <w:lang w:val="en-US" w:eastAsia="zh-CN"/>
        </w:rPr>
        <w:t>整体</w:t>
      </w:r>
      <w:r>
        <w:rPr>
          <w:rFonts w:hint="eastAsia"/>
          <w:color w:val="auto"/>
          <w:highlight w:val="none"/>
          <w:lang w:eastAsia="zh-CN"/>
        </w:rPr>
        <w:t>示范区：</w:t>
      </w:r>
    </w:p>
    <w:p>
      <w:pPr>
        <w:bidi w:val="0"/>
        <w:rPr>
          <w:color w:val="auto"/>
          <w:highlight w:val="none"/>
          <w:lang w:eastAsia="zh-CN"/>
        </w:rPr>
      </w:pPr>
      <w:r>
        <w:rPr>
          <w:color w:val="auto"/>
          <w:highlight w:val="none"/>
          <w:lang w:eastAsia="zh-CN"/>
        </w:rPr>
        <w:t>1</w:t>
      </w:r>
      <w:r>
        <w:rPr>
          <w:rFonts w:hint="eastAsia"/>
          <w:color w:val="auto"/>
          <w:highlight w:val="none"/>
          <w:lang w:eastAsia="zh-CN"/>
        </w:rPr>
        <w:t>）展示内容：户内交付标准、公区及首层大堂交付标准、外立面及景观效果呈现</w:t>
      </w:r>
    </w:p>
    <w:p>
      <w:pPr>
        <w:bidi w:val="0"/>
        <w:rPr>
          <w:color w:val="auto"/>
          <w:highlight w:val="none"/>
          <w:lang w:eastAsia="zh-CN"/>
        </w:rPr>
      </w:pPr>
      <w:r>
        <w:rPr>
          <w:color w:val="auto"/>
          <w:highlight w:val="none"/>
          <w:lang w:eastAsia="zh-CN"/>
        </w:rPr>
        <w:t>2</w:t>
      </w:r>
      <w:r>
        <w:rPr>
          <w:rFonts w:hint="eastAsia"/>
          <w:color w:val="auto"/>
          <w:highlight w:val="none"/>
          <w:lang w:eastAsia="zh-CN"/>
        </w:rPr>
        <w:t>）展示条件：</w:t>
      </w:r>
    </w:p>
    <w:p>
      <w:pPr>
        <w:bidi w:val="0"/>
        <w:rPr>
          <w:color w:val="auto"/>
          <w:highlight w:val="none"/>
          <w:lang w:eastAsia="zh-CN"/>
        </w:rPr>
      </w:pPr>
      <w:r>
        <w:rPr>
          <w:rFonts w:hint="eastAsia"/>
          <w:color w:val="auto"/>
          <w:highlight w:val="none"/>
          <w:lang w:eastAsia="zh-CN"/>
        </w:rPr>
        <w:t>①示范区主体结构外立面完成、塔吊、外架拆除。（</w:t>
      </w:r>
      <w:r>
        <w:rPr>
          <w:rFonts w:hint="eastAsia"/>
          <w:color w:val="auto"/>
          <w:highlight w:val="none"/>
          <w:lang w:val="en-US" w:eastAsia="zh-CN"/>
        </w:rPr>
        <w:t>视情况</w:t>
      </w:r>
      <w:r>
        <w:rPr>
          <w:rFonts w:hint="eastAsia"/>
          <w:color w:val="auto"/>
          <w:highlight w:val="none"/>
          <w:lang w:eastAsia="zh-CN"/>
        </w:rPr>
        <w:t>第一道悬挑外架拆除完成，水平硬防护设置完成）</w:t>
      </w:r>
    </w:p>
    <w:p>
      <w:pPr>
        <w:bidi w:val="0"/>
        <w:rPr>
          <w:color w:val="auto"/>
          <w:highlight w:val="none"/>
          <w:lang w:eastAsia="zh-CN"/>
        </w:rPr>
      </w:pPr>
      <w:r>
        <w:rPr>
          <w:rFonts w:hint="eastAsia"/>
          <w:color w:val="auto"/>
          <w:highlight w:val="none"/>
          <w:lang w:eastAsia="zh-CN"/>
        </w:rPr>
        <w:t>②示范区内楼栋首层标准层公区精装修完成。</w:t>
      </w:r>
    </w:p>
    <w:p>
      <w:pPr>
        <w:bidi w:val="0"/>
        <w:rPr>
          <w:color w:val="auto"/>
          <w:highlight w:val="none"/>
          <w:lang w:eastAsia="zh-CN"/>
        </w:rPr>
      </w:pPr>
      <w:r>
        <w:rPr>
          <w:rFonts w:hint="eastAsia"/>
          <w:color w:val="auto"/>
          <w:highlight w:val="none"/>
          <w:lang w:eastAsia="zh-CN"/>
        </w:rPr>
        <w:t>③示范区内楼栋首层大堂精装修完成。</w:t>
      </w:r>
    </w:p>
    <w:p>
      <w:pPr>
        <w:bidi w:val="0"/>
        <w:rPr>
          <w:color w:val="auto"/>
          <w:highlight w:val="none"/>
          <w:lang w:eastAsia="zh-CN"/>
        </w:rPr>
      </w:pPr>
      <w:r>
        <w:rPr>
          <w:rFonts w:hint="eastAsia"/>
          <w:color w:val="auto"/>
          <w:highlight w:val="none"/>
          <w:lang w:eastAsia="zh-CN"/>
        </w:rPr>
        <w:t>④示范区内所有园林景观完成。</w:t>
      </w:r>
    </w:p>
    <w:p>
      <w:pPr>
        <w:bidi w:val="0"/>
        <w:rPr>
          <w:color w:val="auto"/>
          <w:highlight w:val="none"/>
          <w:lang w:eastAsia="zh-CN"/>
        </w:rPr>
      </w:pPr>
      <w:r>
        <w:rPr>
          <w:rFonts w:hint="eastAsia"/>
          <w:color w:val="auto"/>
          <w:highlight w:val="none"/>
          <w:lang w:eastAsia="zh-CN"/>
        </w:rPr>
        <w:t>⑤示范区园林景观与邻近施工区围蔽完成。</w:t>
      </w:r>
    </w:p>
    <w:p>
      <w:pPr>
        <w:bidi w:val="0"/>
        <w:rPr>
          <w:color w:val="auto"/>
          <w:highlight w:val="none"/>
          <w:lang w:eastAsia="zh-CN"/>
        </w:rPr>
      </w:pPr>
      <w:r>
        <w:rPr>
          <w:rFonts w:hint="eastAsia"/>
          <w:color w:val="auto"/>
          <w:highlight w:val="none"/>
          <w:lang w:eastAsia="zh-CN"/>
        </w:rPr>
        <w:t>⑥参观动线与非参观区域围蔽完成。</w:t>
      </w:r>
    </w:p>
    <w:p>
      <w:pPr>
        <w:bidi w:val="0"/>
        <w:rPr>
          <w:color w:val="auto"/>
          <w:highlight w:val="none"/>
          <w:lang w:eastAsia="zh-CN"/>
        </w:rPr>
      </w:pPr>
      <w:r>
        <w:rPr>
          <w:rFonts w:hint="eastAsia"/>
          <w:color w:val="auto"/>
          <w:highlight w:val="none"/>
          <w:lang w:eastAsia="zh-CN"/>
        </w:rPr>
        <w:t>⑦户内通水通电（临水临电）</w:t>
      </w:r>
    </w:p>
    <w:p>
      <w:pPr>
        <w:bidi w:val="0"/>
        <w:rPr>
          <w:rFonts w:hint="eastAsia"/>
          <w:color w:val="auto"/>
          <w:highlight w:val="none"/>
          <w:lang w:eastAsia="zh-CN"/>
        </w:rPr>
      </w:pPr>
      <w:r>
        <w:rPr>
          <w:color w:val="auto"/>
          <w:highlight w:val="none"/>
          <w:lang w:eastAsia="zh-CN"/>
        </w:rPr>
        <w:t>3</w:t>
      </w:r>
      <w:r>
        <w:rPr>
          <w:rFonts w:hint="eastAsia"/>
          <w:color w:val="auto"/>
          <w:highlight w:val="none"/>
          <w:lang w:eastAsia="zh-CN"/>
        </w:rPr>
        <w:t>）完成时间：示范区内主楼出±0.00m后8个月（</w:t>
      </w:r>
      <w:r>
        <w:rPr>
          <w:rFonts w:hint="eastAsia"/>
          <w:color w:val="auto"/>
          <w:highlight w:val="none"/>
          <w:lang w:val="en-US" w:eastAsia="zh-CN"/>
        </w:rPr>
        <w:t>或按发包人另行要求）</w:t>
      </w:r>
      <w:r>
        <w:rPr>
          <w:rFonts w:hint="eastAsia"/>
          <w:color w:val="auto"/>
          <w:highlight w:val="none"/>
          <w:lang w:eastAsia="zh-CN"/>
        </w:rPr>
        <w:t>（</w:t>
      </w:r>
      <w:r>
        <w:rPr>
          <w:rFonts w:hint="eastAsia"/>
          <w:color w:val="auto"/>
          <w:highlight w:val="none"/>
          <w:lang w:val="en-US" w:eastAsia="zh-CN"/>
        </w:rPr>
        <w:t>视情况</w:t>
      </w:r>
      <w:r>
        <w:rPr>
          <w:rFonts w:hint="eastAsia"/>
          <w:color w:val="auto"/>
          <w:highlight w:val="none"/>
          <w:lang w:eastAsia="zh-CN"/>
        </w:rPr>
        <w:t>拆除第一道悬挑外架并设置水平悬挑硬防护）。</w:t>
      </w:r>
    </w:p>
    <w:p>
      <w:pPr>
        <w:pStyle w:val="3"/>
        <w:bidi w:val="0"/>
        <w:rPr>
          <w:color w:val="auto"/>
          <w:highlight w:val="none"/>
        </w:rPr>
      </w:pPr>
      <w:bookmarkStart w:id="344" w:name="_Toc2939"/>
      <w:bookmarkStart w:id="345" w:name="_Toc1602"/>
      <w:bookmarkStart w:id="346" w:name="_Toc6956"/>
      <w:bookmarkStart w:id="347" w:name="_Toc12550"/>
      <w:bookmarkStart w:id="348" w:name="_Toc20428"/>
      <w:bookmarkStart w:id="349" w:name="_Toc20075"/>
      <w:bookmarkStart w:id="350" w:name="_Toc7784"/>
      <w:bookmarkStart w:id="351" w:name="_Toc17357"/>
      <w:bookmarkStart w:id="352" w:name="_Toc24624"/>
      <w:bookmarkStart w:id="353" w:name="_Toc30134"/>
      <w:bookmarkStart w:id="354" w:name="_Toc169722215"/>
      <w:bookmarkStart w:id="355" w:name="_Toc15834"/>
      <w:r>
        <w:rPr>
          <w:rFonts w:hint="eastAsia"/>
          <w:color w:val="auto"/>
          <w:highlight w:val="none"/>
        </w:rPr>
        <w:t>工序交接</w:t>
      </w:r>
      <w:r>
        <w:rPr>
          <w:color w:val="auto"/>
          <w:highlight w:val="none"/>
        </w:rPr>
        <w:t>管理要求</w:t>
      </w:r>
      <w:bookmarkEnd w:id="344"/>
      <w:bookmarkEnd w:id="345"/>
      <w:bookmarkEnd w:id="346"/>
      <w:bookmarkEnd w:id="347"/>
      <w:bookmarkEnd w:id="348"/>
      <w:bookmarkEnd w:id="349"/>
      <w:bookmarkEnd w:id="350"/>
      <w:bookmarkEnd w:id="351"/>
      <w:bookmarkEnd w:id="352"/>
      <w:bookmarkEnd w:id="353"/>
      <w:bookmarkEnd w:id="354"/>
      <w:bookmarkEnd w:id="355"/>
    </w:p>
    <w:p>
      <w:pPr>
        <w:pStyle w:val="4"/>
        <w:bidi w:val="0"/>
        <w:rPr>
          <w:color w:val="auto"/>
          <w:highlight w:val="none"/>
        </w:rPr>
      </w:pPr>
      <w:r>
        <w:rPr>
          <w:rFonts w:hint="eastAsia"/>
          <w:color w:val="auto"/>
          <w:highlight w:val="none"/>
        </w:rPr>
        <w:t>为保证上道工序施工质量满足下道工序施工的需要，控制专业间的工序转换工作，所有工程必须进行工序交接。</w:t>
      </w:r>
    </w:p>
    <w:p>
      <w:pPr>
        <w:pStyle w:val="4"/>
        <w:bidi w:val="0"/>
        <w:rPr>
          <w:color w:val="auto"/>
          <w:highlight w:val="none"/>
        </w:rPr>
      </w:pPr>
      <w:r>
        <w:rPr>
          <w:rFonts w:hint="eastAsia"/>
          <w:color w:val="auto"/>
          <w:highlight w:val="none"/>
        </w:rPr>
        <w:t>重要工序施工完毕并经自检合格，由上道工序质检员向监理人提出工序交接申请。</w:t>
      </w:r>
    </w:p>
    <w:p>
      <w:pPr>
        <w:pStyle w:val="4"/>
        <w:bidi w:val="0"/>
        <w:rPr>
          <w:color w:val="auto"/>
          <w:highlight w:val="none"/>
        </w:rPr>
      </w:pPr>
      <w:r>
        <w:rPr>
          <w:rFonts w:hint="eastAsia"/>
          <w:color w:val="auto"/>
          <w:highlight w:val="none"/>
        </w:rPr>
        <w:t>监理人负责组织重要工序交接，交接双方质检员和主要技术人员参加。</w:t>
      </w:r>
    </w:p>
    <w:p>
      <w:pPr>
        <w:pStyle w:val="4"/>
        <w:bidi w:val="0"/>
        <w:rPr>
          <w:color w:val="auto"/>
          <w:highlight w:val="none"/>
        </w:rPr>
      </w:pPr>
      <w:r>
        <w:rPr>
          <w:rFonts w:hint="eastAsia"/>
          <w:color w:val="auto"/>
          <w:highlight w:val="none"/>
        </w:rPr>
        <w:t>交接检查中有异议时，由监理人组织协调，若确有不满足下道工序施工要求时，由移交方处理，处理完毕，重新进行工序交接。</w:t>
      </w:r>
    </w:p>
    <w:p>
      <w:pPr>
        <w:pStyle w:val="4"/>
        <w:bidi w:val="0"/>
        <w:rPr>
          <w:color w:val="auto"/>
          <w:highlight w:val="none"/>
        </w:rPr>
      </w:pPr>
      <w:r>
        <w:rPr>
          <w:rFonts w:hint="eastAsia"/>
          <w:b w:val="0"/>
          <w:bCs w:val="0"/>
          <w:color w:val="auto"/>
          <w:highlight w:val="none"/>
          <w:lang w:val="en-US" w:eastAsia="zh-CN"/>
        </w:rPr>
        <w:t>总承包人与精装专业承包人的工序交接移交标准详见</w:t>
      </w:r>
      <w:r>
        <w:rPr>
          <w:rFonts w:hint="eastAsia"/>
          <w:b/>
          <w:bCs/>
          <w:color w:val="auto"/>
          <w:highlight w:val="none"/>
          <w:lang w:val="en-US" w:eastAsia="zh-CN"/>
        </w:rPr>
        <w:t>【附件B-7】精装修工作面移交标准</w:t>
      </w:r>
      <w:r>
        <w:rPr>
          <w:rFonts w:hint="eastAsia"/>
          <w:color w:val="auto"/>
          <w:highlight w:val="none"/>
          <w:lang w:eastAsia="zh-CN"/>
        </w:rPr>
        <w:t>）</w:t>
      </w:r>
    </w:p>
    <w:p>
      <w:pPr>
        <w:pStyle w:val="4"/>
        <w:bidi w:val="0"/>
        <w:rPr>
          <w:color w:val="auto"/>
          <w:highlight w:val="none"/>
        </w:rPr>
      </w:pPr>
      <w:r>
        <w:rPr>
          <w:rFonts w:hint="eastAsia"/>
          <w:color w:val="auto"/>
          <w:highlight w:val="none"/>
        </w:rPr>
        <w:t>工序控制与工程款支付相结合，付款时总承包人应附上各控制表格签字情况。未按上述要求办理或违反上述规定时，发包人将暂停支付相关工程量的工程款。</w:t>
      </w:r>
    </w:p>
    <w:p>
      <w:pPr>
        <w:pStyle w:val="3"/>
        <w:bidi w:val="0"/>
        <w:rPr>
          <w:color w:val="auto"/>
          <w:highlight w:val="none"/>
        </w:rPr>
      </w:pPr>
      <w:bookmarkStart w:id="356" w:name="_Toc18037"/>
      <w:bookmarkStart w:id="357" w:name="_Toc2674"/>
      <w:bookmarkStart w:id="358" w:name="_Toc29565"/>
      <w:bookmarkStart w:id="359" w:name="_Toc24708"/>
      <w:bookmarkStart w:id="360" w:name="_Toc21991"/>
      <w:bookmarkStart w:id="361" w:name="_Toc16561"/>
      <w:bookmarkStart w:id="362" w:name="_Toc14422"/>
      <w:bookmarkStart w:id="363" w:name="_Toc169722216"/>
      <w:bookmarkStart w:id="364" w:name="_Toc27289"/>
      <w:bookmarkStart w:id="365" w:name="_Toc11452"/>
      <w:bookmarkStart w:id="366" w:name="_Toc28157"/>
      <w:bookmarkStart w:id="367" w:name="_Toc16323"/>
      <w:r>
        <w:rPr>
          <w:color w:val="auto"/>
          <w:highlight w:val="none"/>
        </w:rPr>
        <w:t>工作面交接管理要求</w:t>
      </w:r>
      <w:bookmarkEnd w:id="356"/>
      <w:bookmarkEnd w:id="357"/>
      <w:bookmarkEnd w:id="358"/>
      <w:bookmarkEnd w:id="359"/>
      <w:bookmarkEnd w:id="360"/>
      <w:bookmarkEnd w:id="361"/>
      <w:bookmarkEnd w:id="362"/>
      <w:bookmarkEnd w:id="363"/>
      <w:bookmarkEnd w:id="364"/>
      <w:bookmarkEnd w:id="365"/>
      <w:bookmarkEnd w:id="366"/>
      <w:bookmarkEnd w:id="367"/>
      <w:r>
        <w:rPr>
          <w:rFonts w:hint="eastAsia"/>
          <w:color w:val="auto"/>
          <w:highlight w:val="none"/>
        </w:rPr>
        <w:t xml:space="preserve"> </w:t>
      </w:r>
    </w:p>
    <w:p>
      <w:pPr>
        <w:pStyle w:val="4"/>
        <w:bidi w:val="0"/>
        <w:rPr>
          <w:color w:val="auto"/>
          <w:highlight w:val="none"/>
        </w:rPr>
      </w:pPr>
      <w:r>
        <w:rPr>
          <w:rFonts w:hint="eastAsia"/>
          <w:color w:val="auto"/>
          <w:highlight w:val="none"/>
        </w:rPr>
        <w:t>总承包人负责完成工作面交接样板间的施工，经监理人/发包人验收合格后方可办理正式移交手续。交接样板间要选择在楼内最早具备条件的标准层房间及公共部位，尽量保证涉及户内所有总承包人的工程内容均在样板间内体现。</w:t>
      </w:r>
    </w:p>
    <w:p>
      <w:pPr>
        <w:pStyle w:val="4"/>
        <w:bidi w:val="0"/>
        <w:rPr>
          <w:color w:val="auto"/>
          <w:highlight w:val="none"/>
        </w:rPr>
      </w:pPr>
      <w:r>
        <w:rPr>
          <w:rFonts w:hint="eastAsia"/>
          <w:color w:val="auto"/>
          <w:highlight w:val="none"/>
        </w:rPr>
        <w:t>总承包人负责制定各标段的交接计划，经监理人、发包人审核通过后实施，同时必须保证所有</w:t>
      </w:r>
      <w:r>
        <w:rPr>
          <w:rFonts w:hint="eastAsia"/>
          <w:color w:val="auto"/>
          <w:highlight w:val="none"/>
          <w:lang w:eastAsia="zh-CN"/>
        </w:rPr>
        <w:t>专业承包</w:t>
      </w:r>
      <w:r>
        <w:rPr>
          <w:rFonts w:hint="eastAsia"/>
          <w:color w:val="auto"/>
          <w:highlight w:val="none"/>
        </w:rPr>
        <w:t>人都具有施工工作面。</w:t>
      </w:r>
    </w:p>
    <w:p>
      <w:pPr>
        <w:pStyle w:val="4"/>
        <w:bidi w:val="0"/>
        <w:rPr>
          <w:color w:val="auto"/>
          <w:highlight w:val="none"/>
        </w:rPr>
      </w:pPr>
      <w:r>
        <w:rPr>
          <w:rFonts w:hint="eastAsia"/>
          <w:color w:val="auto"/>
          <w:highlight w:val="none"/>
        </w:rPr>
        <w:t>总承包人须提前做好交接场地的清理及质量检查工作，并做好相关记录。</w:t>
      </w:r>
    </w:p>
    <w:p>
      <w:pPr>
        <w:pStyle w:val="4"/>
        <w:bidi w:val="0"/>
        <w:rPr>
          <w:color w:val="auto"/>
          <w:highlight w:val="none"/>
        </w:rPr>
      </w:pPr>
      <w:r>
        <w:rPr>
          <w:rFonts w:hint="eastAsia"/>
          <w:color w:val="auto"/>
          <w:highlight w:val="none"/>
        </w:rPr>
        <w:t>总承包人负责提供楼层标高线及轴线等总控制线。</w:t>
      </w:r>
    </w:p>
    <w:p>
      <w:pPr>
        <w:pStyle w:val="4"/>
        <w:bidi w:val="0"/>
        <w:rPr>
          <w:color w:val="auto"/>
          <w:highlight w:val="none"/>
        </w:rPr>
      </w:pPr>
      <w:r>
        <w:rPr>
          <w:rFonts w:hint="eastAsia"/>
          <w:color w:val="auto"/>
          <w:highlight w:val="none"/>
        </w:rPr>
        <w:t>总承包人负责所有卫生间、阳台交接时的闭水实验，由接收方确认不渗漏。</w:t>
      </w:r>
    </w:p>
    <w:p>
      <w:pPr>
        <w:pStyle w:val="4"/>
        <w:bidi w:val="0"/>
        <w:rPr>
          <w:color w:val="auto"/>
          <w:highlight w:val="none"/>
        </w:rPr>
      </w:pPr>
      <w:r>
        <w:rPr>
          <w:rFonts w:hint="eastAsia"/>
          <w:color w:val="auto"/>
          <w:highlight w:val="none"/>
        </w:rPr>
        <w:t>总承包人负责所施工卫生间、厨房给排水设备交接时的给水水压测试、排水通球测试、管线密闭性等相关测试，由接收方现场确认。</w:t>
      </w:r>
    </w:p>
    <w:p>
      <w:pPr>
        <w:pStyle w:val="4"/>
        <w:bidi w:val="0"/>
        <w:rPr>
          <w:color w:val="auto"/>
          <w:highlight w:val="none"/>
        </w:rPr>
      </w:pPr>
      <w:r>
        <w:rPr>
          <w:rFonts w:hint="eastAsia"/>
          <w:color w:val="auto"/>
          <w:highlight w:val="none"/>
        </w:rPr>
        <w:t>总承包人负责地面、墙面室内水管位置的弹线标示，由接收方确认。</w:t>
      </w:r>
    </w:p>
    <w:p>
      <w:pPr>
        <w:pStyle w:val="4"/>
        <w:bidi w:val="0"/>
        <w:rPr>
          <w:color w:val="auto"/>
          <w:highlight w:val="none"/>
        </w:rPr>
      </w:pPr>
      <w:r>
        <w:rPr>
          <w:rFonts w:hint="eastAsia"/>
          <w:color w:val="auto"/>
          <w:highlight w:val="none"/>
        </w:rPr>
        <w:t>根据验收意见及时编制整改计划，明确整改时间。总承包人须组建专职整改队伍，对整改内容和漏项工程，无偿负责整改、施工，保证施工质量及交接进度。</w:t>
      </w:r>
    </w:p>
    <w:p>
      <w:pPr>
        <w:pStyle w:val="4"/>
        <w:bidi w:val="0"/>
        <w:rPr>
          <w:color w:val="auto"/>
          <w:highlight w:val="none"/>
        </w:rPr>
      </w:pPr>
      <w:r>
        <w:rPr>
          <w:rFonts w:hint="eastAsia"/>
          <w:color w:val="auto"/>
          <w:highlight w:val="none"/>
        </w:rPr>
        <w:t>总承包人须按照设计图纸及施工验收规范要求对不合格的门窗洞口（预留位置、尺寸、垂直、方正等）及时进行整改。</w:t>
      </w:r>
    </w:p>
    <w:p>
      <w:pPr>
        <w:pStyle w:val="4"/>
        <w:bidi w:val="0"/>
        <w:rPr>
          <w:color w:val="auto"/>
          <w:highlight w:val="none"/>
        </w:rPr>
      </w:pPr>
      <w:r>
        <w:rPr>
          <w:rFonts w:hint="eastAsia"/>
          <w:color w:val="auto"/>
          <w:highlight w:val="none"/>
        </w:rPr>
        <w:t>验收项目需要总承包人提供相应检测工具并配合的，总承包人应无偿提供所需的检测工具并协助检测工作。</w:t>
      </w:r>
    </w:p>
    <w:p>
      <w:pPr>
        <w:pStyle w:val="4"/>
        <w:bidi w:val="0"/>
        <w:rPr>
          <w:color w:val="auto"/>
          <w:highlight w:val="none"/>
        </w:rPr>
      </w:pPr>
      <w:r>
        <w:rPr>
          <w:rFonts w:hint="eastAsia"/>
          <w:color w:val="auto"/>
          <w:highlight w:val="none"/>
        </w:rPr>
        <w:t>总承包人按照发包人要求穿插施工，在楼栋封顶后2个月内向精装修</w:t>
      </w:r>
      <w:r>
        <w:rPr>
          <w:rFonts w:hint="eastAsia"/>
          <w:color w:val="auto"/>
          <w:highlight w:val="none"/>
          <w:lang w:eastAsia="zh-CN"/>
        </w:rPr>
        <w:t>专业承包</w:t>
      </w:r>
      <w:r>
        <w:rPr>
          <w:rFonts w:hint="eastAsia"/>
          <w:color w:val="auto"/>
          <w:highlight w:val="none"/>
        </w:rPr>
        <w:t>人完成全部工作面移交</w:t>
      </w:r>
      <w:r>
        <w:rPr>
          <w:rFonts w:hint="eastAsia"/>
          <w:color w:val="auto"/>
          <w:highlight w:val="none"/>
          <w:lang w:eastAsia="zh-CN"/>
        </w:rPr>
        <w:t>，</w:t>
      </w:r>
      <w:r>
        <w:rPr>
          <w:rFonts w:hint="eastAsia"/>
          <w:color w:val="auto"/>
          <w:highlight w:val="none"/>
        </w:rPr>
        <w:t>否则由精装修</w:t>
      </w:r>
      <w:r>
        <w:rPr>
          <w:rFonts w:hint="eastAsia"/>
          <w:color w:val="auto"/>
          <w:highlight w:val="none"/>
          <w:lang w:eastAsia="zh-CN"/>
        </w:rPr>
        <w:t>专业承包</w:t>
      </w:r>
      <w:r>
        <w:rPr>
          <w:rFonts w:hint="eastAsia"/>
          <w:color w:val="auto"/>
          <w:highlight w:val="none"/>
        </w:rPr>
        <w:t>人直接接场并负责总承包人遗留问题整改。</w:t>
      </w:r>
    </w:p>
    <w:p>
      <w:pPr>
        <w:pStyle w:val="3"/>
        <w:bidi w:val="0"/>
        <w:rPr>
          <w:color w:val="auto"/>
          <w:highlight w:val="none"/>
        </w:rPr>
      </w:pPr>
      <w:bookmarkStart w:id="368" w:name="_Toc17202"/>
      <w:bookmarkStart w:id="369" w:name="_Toc15187"/>
      <w:bookmarkStart w:id="370" w:name="_Toc19640"/>
      <w:bookmarkStart w:id="371" w:name="_Toc6328"/>
      <w:bookmarkStart w:id="372" w:name="_Toc29290"/>
      <w:bookmarkStart w:id="373" w:name="_Toc11168"/>
      <w:bookmarkStart w:id="374" w:name="_Toc10251"/>
      <w:bookmarkStart w:id="375" w:name="_Toc26739"/>
      <w:bookmarkStart w:id="376" w:name="_Toc169722217"/>
      <w:bookmarkStart w:id="377" w:name="_Toc6689"/>
      <w:bookmarkStart w:id="378" w:name="_Toc14637"/>
      <w:bookmarkStart w:id="379" w:name="_Toc22156"/>
      <w:r>
        <w:rPr>
          <w:color w:val="auto"/>
          <w:highlight w:val="none"/>
        </w:rPr>
        <w:t>成品保护要求</w:t>
      </w:r>
      <w:bookmarkEnd w:id="368"/>
      <w:bookmarkEnd w:id="369"/>
      <w:bookmarkEnd w:id="370"/>
      <w:bookmarkEnd w:id="371"/>
      <w:bookmarkEnd w:id="372"/>
      <w:bookmarkEnd w:id="373"/>
      <w:bookmarkEnd w:id="374"/>
      <w:bookmarkEnd w:id="375"/>
      <w:bookmarkEnd w:id="376"/>
      <w:bookmarkEnd w:id="377"/>
      <w:bookmarkEnd w:id="378"/>
      <w:bookmarkEnd w:id="379"/>
    </w:p>
    <w:p>
      <w:pPr>
        <w:pStyle w:val="4"/>
        <w:bidi w:val="0"/>
        <w:rPr>
          <w:color w:val="auto"/>
          <w:highlight w:val="none"/>
        </w:rPr>
      </w:pPr>
      <w:r>
        <w:rPr>
          <w:rFonts w:hint="eastAsia"/>
          <w:color w:val="auto"/>
          <w:highlight w:val="none"/>
        </w:rPr>
        <w:t>总则</w:t>
      </w:r>
    </w:p>
    <w:p>
      <w:pPr>
        <w:bidi w:val="0"/>
        <w:rPr>
          <w:color w:val="auto"/>
          <w:highlight w:val="none"/>
        </w:rPr>
      </w:pPr>
      <w:r>
        <w:rPr>
          <w:rFonts w:hint="eastAsia"/>
          <w:color w:val="auto"/>
          <w:highlight w:val="none"/>
        </w:rPr>
        <w:t>工程竣工移交前，总承包人负责其自身承建工程项目的成品保护责任。</w:t>
      </w:r>
    </w:p>
    <w:p>
      <w:pPr>
        <w:pStyle w:val="4"/>
        <w:bidi w:val="0"/>
        <w:rPr>
          <w:color w:val="auto"/>
          <w:highlight w:val="none"/>
        </w:rPr>
      </w:pPr>
      <w:r>
        <w:rPr>
          <w:rFonts w:hint="eastAsia"/>
          <w:color w:val="auto"/>
          <w:highlight w:val="none"/>
        </w:rPr>
        <w:t>责任划分</w:t>
      </w:r>
    </w:p>
    <w:p>
      <w:pPr>
        <w:pStyle w:val="5"/>
        <w:bidi w:val="0"/>
        <w:ind w:left="253"/>
        <w:rPr>
          <w:color w:val="auto"/>
          <w:highlight w:val="none"/>
        </w:rPr>
      </w:pPr>
      <w:r>
        <w:rPr>
          <w:rFonts w:hint="eastAsia"/>
          <w:color w:val="auto"/>
          <w:highlight w:val="none"/>
        </w:rPr>
        <w:t>成品保护应遵循“谁生产，谁保护”、“谁破坏，谁负责”、“总承包人监管”原则。</w:t>
      </w:r>
    </w:p>
    <w:p>
      <w:pPr>
        <w:pStyle w:val="5"/>
        <w:bidi w:val="0"/>
        <w:ind w:left="253"/>
        <w:rPr>
          <w:color w:val="auto"/>
          <w:highlight w:val="none"/>
        </w:rPr>
      </w:pPr>
      <w:r>
        <w:rPr>
          <w:rFonts w:hint="eastAsia"/>
          <w:color w:val="auto"/>
          <w:highlight w:val="none"/>
        </w:rPr>
        <w:t>如果成品保护责任方未按要求完成成品保护工作，或未做到位而造成的成品破坏，无论是否有明确责任单位，所有损失由成品保护责任方承担。</w:t>
      </w:r>
    </w:p>
    <w:p>
      <w:pPr>
        <w:pStyle w:val="5"/>
        <w:bidi w:val="0"/>
        <w:ind w:left="253"/>
        <w:rPr>
          <w:color w:val="auto"/>
          <w:highlight w:val="none"/>
        </w:rPr>
      </w:pPr>
      <w:r>
        <w:rPr>
          <w:rFonts w:hint="eastAsia"/>
          <w:color w:val="auto"/>
          <w:highlight w:val="none"/>
        </w:rPr>
        <w:t>如果成品保护责任方已按要求完成成品保护工作，其产品仍被破坏，若成品保护责任方有明确证据指证责任单位的，由责任单位赔付所有直接和间接损失。若不能明确责任单位，则由成品保护责任方负责。如各当事方对责任争执不下，则由监理人鉴定责任，发包人给出结果。</w:t>
      </w:r>
    </w:p>
    <w:p>
      <w:pPr>
        <w:pStyle w:val="4"/>
        <w:bidi w:val="0"/>
        <w:rPr>
          <w:color w:val="auto"/>
          <w:highlight w:val="none"/>
        </w:rPr>
      </w:pPr>
      <w:r>
        <w:rPr>
          <w:rFonts w:hint="eastAsia"/>
          <w:color w:val="auto"/>
          <w:highlight w:val="none"/>
        </w:rPr>
        <w:t>实施细则</w:t>
      </w:r>
    </w:p>
    <w:p>
      <w:pPr>
        <w:pStyle w:val="5"/>
        <w:bidi w:val="0"/>
        <w:ind w:left="253"/>
        <w:rPr>
          <w:color w:val="auto"/>
          <w:highlight w:val="none"/>
        </w:rPr>
      </w:pPr>
      <w:r>
        <w:rPr>
          <w:rFonts w:hint="eastAsia"/>
          <w:color w:val="auto"/>
          <w:highlight w:val="none"/>
        </w:rPr>
        <w:t>总承包人须向发包人提供详细的成品保护方案，包括相关工序的具体成品、半成品保护措施，并对其承建范围内的工程项目的成品保护负责。</w:t>
      </w:r>
    </w:p>
    <w:p>
      <w:pPr>
        <w:pStyle w:val="5"/>
        <w:bidi w:val="0"/>
        <w:ind w:left="253"/>
        <w:rPr>
          <w:color w:val="auto"/>
          <w:highlight w:val="none"/>
        </w:rPr>
      </w:pPr>
      <w:r>
        <w:rPr>
          <w:rFonts w:hint="eastAsia"/>
          <w:color w:val="auto"/>
          <w:highlight w:val="none"/>
        </w:rPr>
        <w:t>总承包人现场成品保护应有专人负责对整个施工现场巡视和检查，防止成品、半成品被破坏。</w:t>
      </w:r>
    </w:p>
    <w:p>
      <w:pPr>
        <w:pStyle w:val="5"/>
        <w:bidi w:val="0"/>
        <w:ind w:left="253"/>
        <w:rPr>
          <w:color w:val="auto"/>
          <w:highlight w:val="none"/>
        </w:rPr>
      </w:pPr>
      <w:r>
        <w:rPr>
          <w:rFonts w:hint="eastAsia"/>
          <w:color w:val="auto"/>
          <w:highlight w:val="none"/>
        </w:rPr>
        <w:t>先施工的单位必须向后施工办理书面交接手续，双方签字认可，后施工单位应对施工区域内的所有成品、半成品履行保护的责任和义务。</w:t>
      </w:r>
    </w:p>
    <w:p>
      <w:pPr>
        <w:pStyle w:val="5"/>
        <w:bidi w:val="0"/>
        <w:ind w:left="253"/>
        <w:rPr>
          <w:color w:val="auto"/>
          <w:highlight w:val="none"/>
        </w:rPr>
      </w:pPr>
      <w:r>
        <w:rPr>
          <w:rFonts w:hint="eastAsia"/>
          <w:color w:val="auto"/>
          <w:highlight w:val="none"/>
        </w:rPr>
        <w:t>施工过程中未按成品保护方案执行或成品保护执行严重不到位的，将予以处罚。</w:t>
      </w:r>
    </w:p>
    <w:p>
      <w:pPr>
        <w:pStyle w:val="5"/>
        <w:bidi w:val="0"/>
        <w:ind w:left="253"/>
        <w:rPr>
          <w:color w:val="auto"/>
          <w:highlight w:val="none"/>
        </w:rPr>
      </w:pPr>
      <w:r>
        <w:rPr>
          <w:rFonts w:hint="eastAsia"/>
          <w:color w:val="auto"/>
          <w:highlight w:val="none"/>
        </w:rPr>
        <w:t>工程交接验收单、成品移交以监理人/发包人签字确认为准。无正式工程交接验收单，成品或半成品损坏丢失由总承包人自行承担。</w:t>
      </w:r>
    </w:p>
    <w:p>
      <w:pPr>
        <w:pStyle w:val="3"/>
        <w:bidi w:val="0"/>
        <w:rPr>
          <w:color w:val="auto"/>
          <w:highlight w:val="none"/>
        </w:rPr>
      </w:pPr>
      <w:bookmarkStart w:id="380" w:name="_Toc169722218"/>
      <w:bookmarkStart w:id="381" w:name="_Toc4929"/>
      <w:bookmarkStart w:id="382" w:name="_Toc6225"/>
      <w:bookmarkStart w:id="383" w:name="_Toc18600"/>
      <w:bookmarkStart w:id="384" w:name="_Toc9666"/>
      <w:bookmarkStart w:id="385" w:name="_Toc19462"/>
      <w:bookmarkStart w:id="386" w:name="_Toc22500"/>
      <w:bookmarkStart w:id="387" w:name="_Toc25131"/>
      <w:bookmarkStart w:id="388" w:name="_Toc26943"/>
      <w:bookmarkStart w:id="389" w:name="_Toc15390"/>
      <w:bookmarkStart w:id="390" w:name="_Toc4551"/>
      <w:bookmarkStart w:id="391" w:name="_Toc28863"/>
      <w:r>
        <w:rPr>
          <w:rFonts w:hint="eastAsia"/>
          <w:color w:val="auto"/>
          <w:highlight w:val="none"/>
        </w:rPr>
        <w:t>甲供物资</w:t>
      </w:r>
      <w:r>
        <w:rPr>
          <w:color w:val="auto"/>
          <w:highlight w:val="none"/>
        </w:rPr>
        <w:t>管理要求</w:t>
      </w:r>
      <w:bookmarkEnd w:id="380"/>
      <w:bookmarkEnd w:id="381"/>
      <w:bookmarkEnd w:id="382"/>
      <w:bookmarkEnd w:id="383"/>
      <w:r>
        <w:rPr>
          <w:rFonts w:hint="eastAsia"/>
          <w:color w:val="auto"/>
          <w:highlight w:val="none"/>
          <w:lang w:eastAsia="zh-CN"/>
        </w:rPr>
        <w:t>（</w:t>
      </w:r>
      <w:r>
        <w:rPr>
          <w:rFonts w:hint="eastAsia"/>
          <w:color w:val="auto"/>
          <w:highlight w:val="none"/>
          <w:lang w:val="en-US" w:eastAsia="zh-CN"/>
        </w:rPr>
        <w:t>如有</w:t>
      </w:r>
      <w:r>
        <w:rPr>
          <w:rFonts w:hint="eastAsia"/>
          <w:color w:val="auto"/>
          <w:highlight w:val="none"/>
          <w:lang w:eastAsia="zh-CN"/>
        </w:rPr>
        <w:t>）</w:t>
      </w:r>
      <w:bookmarkEnd w:id="384"/>
      <w:bookmarkEnd w:id="385"/>
      <w:bookmarkEnd w:id="386"/>
      <w:bookmarkEnd w:id="387"/>
      <w:bookmarkEnd w:id="388"/>
      <w:bookmarkEnd w:id="389"/>
      <w:bookmarkEnd w:id="390"/>
      <w:bookmarkEnd w:id="391"/>
    </w:p>
    <w:p>
      <w:pPr>
        <w:pStyle w:val="4"/>
        <w:bidi w:val="0"/>
        <w:rPr>
          <w:color w:val="auto"/>
          <w:highlight w:val="none"/>
        </w:rPr>
      </w:pPr>
      <w:bookmarkStart w:id="392" w:name="_Toc406435935"/>
      <w:bookmarkStart w:id="393" w:name="_Toc329131560"/>
      <w:bookmarkStart w:id="394" w:name="_Toc328755017"/>
      <w:r>
        <w:rPr>
          <w:rFonts w:hint="eastAsia"/>
          <w:color w:val="auto"/>
          <w:highlight w:val="none"/>
        </w:rPr>
        <w:t>甲供物资</w:t>
      </w:r>
    </w:p>
    <w:p>
      <w:pPr>
        <w:bidi w:val="0"/>
        <w:rPr>
          <w:color w:val="auto"/>
          <w:highlight w:val="none"/>
        </w:rPr>
      </w:pPr>
      <w:r>
        <w:rPr>
          <w:rFonts w:hint="eastAsia"/>
          <w:color w:val="auto"/>
          <w:highlight w:val="none"/>
        </w:rPr>
        <w:t>发包人招标，与供应商签订供货合同，发包人直接付款。</w:t>
      </w:r>
    </w:p>
    <w:p>
      <w:pPr>
        <w:pStyle w:val="4"/>
        <w:bidi w:val="0"/>
        <w:rPr>
          <w:color w:val="auto"/>
          <w:highlight w:val="none"/>
        </w:rPr>
      </w:pPr>
      <w:r>
        <w:rPr>
          <w:rFonts w:hint="eastAsia"/>
          <w:color w:val="auto"/>
          <w:highlight w:val="none"/>
        </w:rPr>
        <w:t>供应计划管理流程</w:t>
      </w:r>
    </w:p>
    <w:p>
      <w:pPr>
        <w:bidi w:val="0"/>
        <w:rPr>
          <w:color w:val="auto"/>
          <w:highlight w:val="none"/>
        </w:rPr>
      </w:pPr>
      <w:bookmarkStart w:id="395" w:name="_Hlk168667710"/>
      <w:bookmarkStart w:id="396" w:name="_Hlk168668529"/>
      <w:bookmarkStart w:id="397" w:name="_Toc406435933"/>
      <w:bookmarkStart w:id="398" w:name="_Toc437937241"/>
      <w:bookmarkStart w:id="399" w:name="_Toc436410800"/>
      <w:bookmarkStart w:id="400" w:name="_Toc329131558"/>
      <w:bookmarkStart w:id="401" w:name="_Toc328755015"/>
      <w:bookmarkStart w:id="402" w:name="_Toc436410967"/>
      <w:r>
        <w:rPr>
          <w:rFonts w:hint="eastAsia"/>
          <w:color w:val="auto"/>
          <w:highlight w:val="none"/>
        </w:rPr>
        <w:t>总承包人应组织</w:t>
      </w:r>
      <w:r>
        <w:rPr>
          <w:rFonts w:hint="eastAsia"/>
          <w:color w:val="auto"/>
          <w:highlight w:val="none"/>
          <w:lang w:eastAsia="zh-CN"/>
        </w:rPr>
        <w:t>专业承包</w:t>
      </w:r>
      <w:r>
        <w:rPr>
          <w:rFonts w:hint="eastAsia"/>
          <w:color w:val="auto"/>
          <w:highlight w:val="none"/>
        </w:rPr>
        <w:t>人共同编制并提交包含自身及</w:t>
      </w:r>
      <w:r>
        <w:rPr>
          <w:rFonts w:hint="eastAsia"/>
          <w:color w:val="auto"/>
          <w:highlight w:val="none"/>
          <w:lang w:eastAsia="zh-CN"/>
        </w:rPr>
        <w:t>专业承包</w:t>
      </w:r>
      <w:r>
        <w:rPr>
          <w:rFonts w:hint="eastAsia"/>
          <w:color w:val="auto"/>
          <w:highlight w:val="none"/>
        </w:rPr>
        <w:t>人的《甲供物资供应计划表》→监理人审核确认→发包人审核确认→发包人核对供货合约、确认→发包人于甲供材系统发起《甲供材料要货订单》→发包人督促供应商确认订单→发包人督促供应商按要求及时、保质、足量交货→发包人督促供应商于甲供材系统及时确认到货→发包人督促并配合甲供材单位完成线上四方验收→发包人于甲供材系统发起付款流程</w:t>
      </w:r>
      <w:bookmarkEnd w:id="395"/>
      <w:r>
        <w:rPr>
          <w:rFonts w:hint="eastAsia"/>
          <w:color w:val="auto"/>
          <w:highlight w:val="none"/>
        </w:rPr>
        <w:t>。</w:t>
      </w:r>
    </w:p>
    <w:bookmarkEnd w:id="396"/>
    <w:p>
      <w:pPr>
        <w:pStyle w:val="4"/>
        <w:bidi w:val="0"/>
        <w:rPr>
          <w:rFonts w:cs="Arial"/>
          <w:color w:val="auto"/>
          <w:highlight w:val="none"/>
        </w:rPr>
      </w:pPr>
      <w:r>
        <w:rPr>
          <w:rFonts w:hint="eastAsia" w:cs="Arial"/>
          <w:color w:val="auto"/>
          <w:highlight w:val="none"/>
        </w:rPr>
        <w:t>甲供</w:t>
      </w:r>
      <w:r>
        <w:rPr>
          <w:rFonts w:hint="eastAsia"/>
          <w:color w:val="auto"/>
          <w:highlight w:val="none"/>
        </w:rPr>
        <w:t>物资</w:t>
      </w:r>
      <w:r>
        <w:rPr>
          <w:rFonts w:hint="eastAsia" w:cs="Arial"/>
          <w:color w:val="auto"/>
          <w:highlight w:val="none"/>
        </w:rPr>
        <w:t>采购供应计划编制与排产</w:t>
      </w:r>
      <w:bookmarkEnd w:id="397"/>
      <w:bookmarkEnd w:id="398"/>
      <w:bookmarkEnd w:id="399"/>
      <w:bookmarkEnd w:id="400"/>
      <w:bookmarkEnd w:id="401"/>
      <w:bookmarkEnd w:id="402"/>
      <w:r>
        <w:rPr>
          <w:rFonts w:cs="Arial"/>
          <w:color w:val="auto"/>
          <w:highlight w:val="none"/>
        </w:rPr>
        <w:tab/>
      </w:r>
    </w:p>
    <w:p>
      <w:pPr>
        <w:pStyle w:val="5"/>
        <w:bidi w:val="0"/>
        <w:ind w:left="253"/>
        <w:rPr>
          <w:color w:val="auto"/>
          <w:highlight w:val="none"/>
        </w:rPr>
      </w:pPr>
      <w:r>
        <w:rPr>
          <w:rFonts w:hint="eastAsia"/>
          <w:color w:val="auto"/>
          <w:highlight w:val="none"/>
        </w:rPr>
        <w:t>总承包人依据合同约定，根据已审批的工程总施工进度计划，考虑招标、排产、加工、运输、验收等因素，提前编制《甲供材料设备进场计划》报发包人，并对数量和规格的准确性负责。</w:t>
      </w:r>
    </w:p>
    <w:p>
      <w:pPr>
        <w:pStyle w:val="5"/>
        <w:bidi w:val="0"/>
        <w:ind w:left="253"/>
        <w:rPr>
          <w:color w:val="auto"/>
          <w:highlight w:val="none"/>
        </w:rPr>
      </w:pPr>
      <w:r>
        <w:rPr>
          <w:rFonts w:hint="eastAsia"/>
          <w:color w:val="auto"/>
          <w:highlight w:val="none"/>
        </w:rPr>
        <w:t>发包人根据每种甲供物资现场使用时间及各自的制造周期，适时向供应商发出《甲供材料设备要货订单》。</w:t>
      </w:r>
    </w:p>
    <w:p>
      <w:pPr>
        <w:pStyle w:val="4"/>
        <w:bidi w:val="0"/>
        <w:rPr>
          <w:color w:val="auto"/>
          <w:highlight w:val="none"/>
        </w:rPr>
      </w:pPr>
      <w:r>
        <w:rPr>
          <w:rFonts w:hint="eastAsia"/>
          <w:color w:val="auto"/>
          <w:highlight w:val="none"/>
        </w:rPr>
        <w:t>发包人根据每种甲供物资现场使用时间及合同约定的供货周期，适时于甲供材系统向供应商发起《甲供材料要货订单》</w:t>
      </w:r>
    </w:p>
    <w:p>
      <w:pPr>
        <w:pStyle w:val="5"/>
        <w:bidi w:val="0"/>
        <w:ind w:left="253"/>
        <w:rPr>
          <w:color w:val="auto"/>
          <w:highlight w:val="none"/>
        </w:rPr>
      </w:pPr>
      <w:r>
        <w:rPr>
          <w:rFonts w:hint="eastAsia"/>
          <w:color w:val="auto"/>
          <w:highlight w:val="none"/>
        </w:rPr>
        <w:t>首批甲供物资到场：发包人在接到通知后组织监理人、总承包人等参与到货验收。总承包人填报《工程材料、构配件、设备报审表》，并报监理人。</w:t>
      </w:r>
    </w:p>
    <w:p>
      <w:pPr>
        <w:pStyle w:val="5"/>
        <w:bidi w:val="0"/>
        <w:ind w:left="253"/>
        <w:rPr>
          <w:color w:val="auto"/>
          <w:highlight w:val="none"/>
        </w:rPr>
      </w:pPr>
      <w:r>
        <w:rPr>
          <w:rFonts w:hint="eastAsia"/>
          <w:color w:val="auto"/>
          <w:highlight w:val="none"/>
        </w:rPr>
        <w:t>以后批次物资进场：由监理人组织供货商、总承包人、发包人等相关单位共同验收。</w:t>
      </w:r>
    </w:p>
    <w:p>
      <w:pPr>
        <w:pStyle w:val="5"/>
        <w:bidi w:val="0"/>
        <w:ind w:left="253"/>
        <w:rPr>
          <w:color w:val="auto"/>
          <w:highlight w:val="none"/>
        </w:rPr>
      </w:pPr>
      <w:bookmarkStart w:id="403" w:name="_Hlk168668669"/>
      <w:r>
        <w:rPr>
          <w:rFonts w:hint="eastAsia"/>
          <w:color w:val="auto"/>
          <w:highlight w:val="none"/>
        </w:rPr>
        <w:t>参加验收人员应按供货合同、供货样板及《甲供材料要货订单》的订单信息，对到货物料的数量、外观、包装、质量等进行现场验收。</w:t>
      </w:r>
    </w:p>
    <w:bookmarkEnd w:id="403"/>
    <w:p>
      <w:pPr>
        <w:pStyle w:val="5"/>
        <w:bidi w:val="0"/>
        <w:ind w:left="253"/>
        <w:rPr>
          <w:color w:val="auto"/>
          <w:highlight w:val="none"/>
        </w:rPr>
      </w:pPr>
      <w:r>
        <w:rPr>
          <w:rFonts w:hint="eastAsia"/>
          <w:color w:val="auto"/>
          <w:highlight w:val="none"/>
        </w:rPr>
        <w:t>各方检查验收结束后，应于货到现场</w:t>
      </w:r>
      <w:r>
        <w:rPr>
          <w:color w:val="auto"/>
          <w:highlight w:val="none"/>
        </w:rPr>
        <w:t>24</w:t>
      </w:r>
      <w:r>
        <w:rPr>
          <w:rFonts w:hint="eastAsia"/>
          <w:color w:val="auto"/>
          <w:highlight w:val="none"/>
        </w:rPr>
        <w:t>小时内于甲供材管理系统上签署验收单，各方签字确认并注明意见及日期，有不合格物资需退场的应注明。</w:t>
      </w:r>
    </w:p>
    <w:p>
      <w:pPr>
        <w:pStyle w:val="5"/>
        <w:bidi w:val="0"/>
        <w:ind w:left="253"/>
        <w:rPr>
          <w:color w:val="auto"/>
          <w:highlight w:val="none"/>
        </w:rPr>
      </w:pPr>
      <w:r>
        <w:rPr>
          <w:rFonts w:hint="eastAsia"/>
          <w:color w:val="auto"/>
          <w:highlight w:val="none"/>
        </w:rPr>
        <w:t>若甲供物资需现场见证送检的，由监理人见证取样，由相关施工安装单位送检，检验所需费用按合同有关规定执行，检验所需时间应纳入计划。</w:t>
      </w:r>
    </w:p>
    <w:p>
      <w:pPr>
        <w:pStyle w:val="5"/>
        <w:bidi w:val="0"/>
        <w:ind w:left="253"/>
        <w:rPr>
          <w:color w:val="auto"/>
          <w:highlight w:val="none"/>
        </w:rPr>
      </w:pPr>
      <w:r>
        <w:rPr>
          <w:rFonts w:hint="eastAsia"/>
          <w:color w:val="auto"/>
          <w:highlight w:val="none"/>
        </w:rPr>
        <w:t>对在设备工厂内做定型试验的大型设备（如制冷机组、空调机组、新风机组、水泵、冷却塔、高低压配电柜等），必要时，发包人组织相关部门（总承包人及监理人）到工厂进行监督及设备试验参数的采集。</w:t>
      </w:r>
    </w:p>
    <w:p>
      <w:pPr>
        <w:pStyle w:val="5"/>
        <w:bidi w:val="0"/>
        <w:ind w:left="253"/>
        <w:rPr>
          <w:color w:val="auto"/>
          <w:highlight w:val="none"/>
        </w:rPr>
      </w:pPr>
      <w:r>
        <w:rPr>
          <w:rFonts w:hint="eastAsia"/>
          <w:color w:val="auto"/>
          <w:highlight w:val="none"/>
        </w:rPr>
        <w:t>对重要物资，必要时，发包人组织监理人、总承包人及</w:t>
      </w:r>
      <w:r>
        <w:rPr>
          <w:rFonts w:hint="eastAsia"/>
          <w:color w:val="auto"/>
          <w:highlight w:val="none"/>
          <w:lang w:eastAsia="zh-CN"/>
        </w:rPr>
        <w:t>专业承包</w:t>
      </w:r>
      <w:r>
        <w:rPr>
          <w:rFonts w:hint="eastAsia"/>
          <w:color w:val="auto"/>
          <w:highlight w:val="none"/>
        </w:rPr>
        <w:t>人相关人员到工厂进行驻场监造，费用由各自单位承担。</w:t>
      </w:r>
    </w:p>
    <w:p>
      <w:pPr>
        <w:pStyle w:val="5"/>
        <w:bidi w:val="0"/>
        <w:ind w:left="253"/>
        <w:rPr>
          <w:color w:val="auto"/>
          <w:highlight w:val="none"/>
        </w:rPr>
      </w:pPr>
      <w:r>
        <w:rPr>
          <w:rFonts w:hint="eastAsia"/>
          <w:color w:val="auto"/>
          <w:highlight w:val="none"/>
        </w:rPr>
        <w:t>总承包人应根据甲供材管理系统上签署的验收单登记《甲供材料设备验收入库台帐》，每月统计一次报送发包人。</w:t>
      </w:r>
    </w:p>
    <w:p>
      <w:pPr>
        <w:pStyle w:val="5"/>
        <w:bidi w:val="0"/>
        <w:ind w:left="253"/>
        <w:rPr>
          <w:color w:val="auto"/>
          <w:highlight w:val="none"/>
        </w:rPr>
      </w:pPr>
      <w:r>
        <w:rPr>
          <w:rFonts w:hint="eastAsia"/>
          <w:color w:val="auto"/>
          <w:highlight w:val="none"/>
        </w:rPr>
        <w:t>所有发包人采购供应的物资由供应商运送到施工工地现场并卸货至发包人指定地点（汽车可到达区域）。到场后，由相应安装单位负责上述材料设备的二次运输和搬运、接收、验收、保管等管理工作。若因接收单位管理不当造成的损失，接收单位负责补偿。</w:t>
      </w:r>
    </w:p>
    <w:bookmarkEnd w:id="392"/>
    <w:bookmarkEnd w:id="393"/>
    <w:bookmarkEnd w:id="394"/>
    <w:p>
      <w:pPr>
        <w:pStyle w:val="3"/>
        <w:bidi w:val="0"/>
        <w:rPr>
          <w:color w:val="auto"/>
          <w:highlight w:val="none"/>
        </w:rPr>
      </w:pPr>
      <w:bookmarkStart w:id="404" w:name="_Toc31479"/>
      <w:bookmarkStart w:id="405" w:name="_Toc3704"/>
      <w:bookmarkStart w:id="406" w:name="_Toc22876"/>
      <w:bookmarkStart w:id="407" w:name="_Toc21301"/>
      <w:bookmarkStart w:id="408" w:name="_Toc6112"/>
      <w:bookmarkStart w:id="409" w:name="_Toc16803"/>
      <w:bookmarkStart w:id="410" w:name="_Toc27384"/>
      <w:bookmarkStart w:id="411" w:name="_Toc169722219"/>
      <w:bookmarkStart w:id="412" w:name="_Toc24101"/>
      <w:bookmarkStart w:id="413" w:name="_Toc1003"/>
      <w:bookmarkStart w:id="414" w:name="_Toc14084"/>
      <w:bookmarkStart w:id="415" w:name="_Toc983"/>
      <w:r>
        <w:rPr>
          <w:rFonts w:hint="eastAsia"/>
          <w:color w:val="auto"/>
          <w:highlight w:val="none"/>
        </w:rPr>
        <w:t>乙</w:t>
      </w:r>
      <w:r>
        <w:rPr>
          <w:color w:val="auto"/>
          <w:highlight w:val="none"/>
        </w:rPr>
        <w:t>供</w:t>
      </w:r>
      <w:r>
        <w:rPr>
          <w:rFonts w:hint="eastAsia"/>
          <w:color w:val="auto"/>
          <w:highlight w:val="none"/>
        </w:rPr>
        <w:t>物资</w:t>
      </w:r>
      <w:r>
        <w:rPr>
          <w:color w:val="auto"/>
          <w:highlight w:val="none"/>
        </w:rPr>
        <w:t>管理要求</w:t>
      </w:r>
      <w:bookmarkEnd w:id="404"/>
      <w:bookmarkEnd w:id="405"/>
      <w:bookmarkEnd w:id="406"/>
      <w:bookmarkEnd w:id="407"/>
      <w:bookmarkEnd w:id="408"/>
      <w:bookmarkEnd w:id="409"/>
      <w:bookmarkEnd w:id="410"/>
      <w:bookmarkEnd w:id="411"/>
      <w:bookmarkEnd w:id="412"/>
      <w:bookmarkEnd w:id="413"/>
      <w:bookmarkEnd w:id="414"/>
      <w:bookmarkEnd w:id="415"/>
    </w:p>
    <w:p>
      <w:pPr>
        <w:pStyle w:val="4"/>
        <w:bidi w:val="0"/>
        <w:rPr>
          <w:color w:val="auto"/>
          <w:highlight w:val="none"/>
        </w:rPr>
      </w:pPr>
      <w:bookmarkStart w:id="416" w:name="_Toc437937245"/>
      <w:bookmarkStart w:id="417" w:name="_Toc406435937"/>
      <w:bookmarkStart w:id="418" w:name="_Toc329131562"/>
      <w:bookmarkStart w:id="419" w:name="_Toc436410971"/>
      <w:bookmarkStart w:id="420" w:name="_Toc436410804"/>
      <w:bookmarkStart w:id="421" w:name="_Toc328755019"/>
      <w:bookmarkStart w:id="422" w:name="_Toc491332899"/>
      <w:bookmarkStart w:id="423" w:name="_Toc491453747"/>
      <w:bookmarkStart w:id="424" w:name="_Toc490829813"/>
      <w:bookmarkStart w:id="425" w:name="_Toc491089032"/>
      <w:r>
        <w:rPr>
          <w:rFonts w:hint="eastAsia"/>
          <w:color w:val="auto"/>
          <w:highlight w:val="none"/>
        </w:rPr>
        <w:t>乙供物资分类</w:t>
      </w:r>
      <w:bookmarkEnd w:id="416"/>
      <w:bookmarkEnd w:id="417"/>
      <w:bookmarkEnd w:id="418"/>
      <w:bookmarkEnd w:id="419"/>
      <w:bookmarkEnd w:id="420"/>
      <w:bookmarkEnd w:id="421"/>
    </w:p>
    <w:p>
      <w:pPr>
        <w:pStyle w:val="5"/>
        <w:bidi w:val="0"/>
        <w:ind w:left="253"/>
        <w:rPr>
          <w:color w:val="auto"/>
          <w:highlight w:val="none"/>
        </w:rPr>
      </w:pPr>
      <w:r>
        <w:rPr>
          <w:rFonts w:hint="eastAsia"/>
          <w:color w:val="auto"/>
          <w:highlight w:val="none"/>
        </w:rPr>
        <w:t>乙方供应：</w:t>
      </w:r>
      <w:r>
        <w:rPr>
          <w:rFonts w:hint="eastAsia"/>
          <w:color w:val="auto"/>
          <w:highlight w:val="none"/>
          <w:lang w:eastAsia="zh-CN"/>
        </w:rPr>
        <w:t>材料设备品牌选择范围应等同或相当于《主要设备材料推荐品牌表》，并按看样定板制度里的申报附件要求提供资料，并经监理人审议后确定</w:t>
      </w:r>
      <w:r>
        <w:rPr>
          <w:rFonts w:hint="eastAsia"/>
          <w:color w:val="auto"/>
          <w:highlight w:val="none"/>
        </w:rPr>
        <w:t>，总承包人自行与供应商签订合同并付款。</w:t>
      </w:r>
    </w:p>
    <w:p>
      <w:pPr>
        <w:pStyle w:val="4"/>
        <w:rPr>
          <w:color w:val="auto"/>
          <w:highlight w:val="none"/>
          <w:lang w:eastAsia="zh-CN"/>
        </w:rPr>
      </w:pPr>
      <w:bookmarkStart w:id="426" w:name="_Toc29009"/>
      <w:bookmarkStart w:id="427" w:name="_Toc329131563"/>
      <w:bookmarkStart w:id="428" w:name="_Toc328755020"/>
      <w:bookmarkStart w:id="429" w:name="_Toc436410805"/>
      <w:bookmarkStart w:id="430" w:name="_Toc406435938"/>
      <w:bookmarkStart w:id="431" w:name="_Toc437937246"/>
      <w:bookmarkStart w:id="432" w:name="_Toc436410972"/>
      <w:r>
        <w:rPr>
          <w:rFonts w:hint="eastAsia"/>
          <w:color w:val="auto"/>
          <w:highlight w:val="none"/>
        </w:rPr>
        <w:t>乙供物资</w:t>
      </w:r>
      <w:r>
        <w:rPr>
          <w:rFonts w:hint="eastAsia"/>
          <w:color w:val="auto"/>
          <w:highlight w:val="none"/>
          <w:lang w:eastAsia="zh-CN"/>
        </w:rPr>
        <w:t>计划管理</w:t>
      </w:r>
      <w:bookmarkEnd w:id="426"/>
    </w:p>
    <w:p>
      <w:pPr>
        <w:bidi w:val="0"/>
        <w:rPr>
          <w:color w:val="auto"/>
          <w:highlight w:val="none"/>
          <w:lang w:eastAsia="zh-CN"/>
        </w:rPr>
      </w:pPr>
      <w:r>
        <w:rPr>
          <w:rFonts w:hint="eastAsia"/>
          <w:color w:val="auto"/>
          <w:highlight w:val="none"/>
          <w:lang w:eastAsia="zh-CN"/>
        </w:rPr>
        <w:t>承包人进场后应根据设计图纸及施工进度计划制定主要材料设备采购计划，及时签订采购合同（签订供货合同的时间必须至少比第一批货物计划进场的时间提前两个月+备货期），影响工程造价较大的大批量材料设备，承包人必须提前定制或锁定价格，否则由此引起的工期调整或价格调整，发包人有权不予批准。其中：</w:t>
      </w:r>
    </w:p>
    <w:p>
      <w:pPr>
        <w:pStyle w:val="5"/>
        <w:rPr>
          <w:color w:val="auto"/>
          <w:highlight w:val="none"/>
          <w:lang w:eastAsia="zh-CN"/>
        </w:rPr>
      </w:pPr>
      <w:r>
        <w:rPr>
          <w:rFonts w:hint="eastAsia"/>
          <w:color w:val="auto"/>
          <w:highlight w:val="none"/>
          <w:lang w:eastAsia="zh-CN"/>
        </w:rPr>
        <w:t>主要材料设备采购计划需报监理单位审核，审核合格后报发包人备案，并作为第一期工程进度款的支付条件之一；</w:t>
      </w:r>
    </w:p>
    <w:p>
      <w:pPr>
        <w:pStyle w:val="5"/>
        <w:rPr>
          <w:color w:val="auto"/>
          <w:highlight w:val="none"/>
          <w:lang w:eastAsia="zh-CN"/>
        </w:rPr>
      </w:pPr>
      <w:r>
        <w:rPr>
          <w:rFonts w:hint="eastAsia"/>
          <w:color w:val="auto"/>
          <w:highlight w:val="none"/>
          <w:lang w:eastAsia="zh-CN"/>
        </w:rPr>
        <w:t>主要材料设备的采购合同必须报发包人备案（具体需要备案的材料设备采购合同种类由发包人根据项目实际需要确定），作为涉及相应材料设备的中间计量进度款的支付条件之一。</w:t>
      </w:r>
    </w:p>
    <w:p>
      <w:pPr>
        <w:pStyle w:val="4"/>
        <w:rPr>
          <w:color w:val="auto"/>
          <w:highlight w:val="none"/>
          <w:lang w:eastAsia="zh-CN"/>
        </w:rPr>
      </w:pPr>
      <w:bookmarkStart w:id="433" w:name="_Toc4922"/>
      <w:r>
        <w:rPr>
          <w:rFonts w:hint="eastAsia"/>
          <w:color w:val="auto"/>
          <w:highlight w:val="none"/>
        </w:rPr>
        <w:t>乙供物资</w:t>
      </w:r>
      <w:r>
        <w:rPr>
          <w:rFonts w:hint="eastAsia"/>
          <w:color w:val="auto"/>
          <w:highlight w:val="none"/>
          <w:lang w:eastAsia="zh-CN"/>
        </w:rPr>
        <w:t>采购管理</w:t>
      </w:r>
      <w:bookmarkEnd w:id="433"/>
    </w:p>
    <w:p>
      <w:pPr>
        <w:spacing w:before="120" w:beforeLines="50" w:after="120" w:afterLines="50"/>
        <w:ind w:firstLine="480" w:firstLineChars="200"/>
        <w:jc w:val="both"/>
        <w:rPr>
          <w:rFonts w:hint="eastAsia"/>
          <w:color w:val="auto"/>
          <w:highlight w:val="none"/>
          <w:lang w:eastAsia="zh-CN"/>
        </w:rPr>
      </w:pPr>
      <w:r>
        <w:rPr>
          <w:rFonts w:hint="eastAsia"/>
          <w:color w:val="auto"/>
          <w:highlight w:val="none"/>
          <w:lang w:eastAsia="zh-CN"/>
        </w:rPr>
        <w:t>承包人必须确保在满足或优于招标文件（包括招标文件各专业主要设备材料技术参数）、招标图纸和相关规范要求的条件下采购主要材料设备。甲方保留对材料设备进行集中采购的权利，乙方须无条件配合。其中：</w:t>
      </w:r>
    </w:p>
    <w:p>
      <w:pPr>
        <w:pStyle w:val="5"/>
        <w:rPr>
          <w:color w:val="auto"/>
          <w:highlight w:val="none"/>
          <w:lang w:eastAsia="zh-CN"/>
        </w:rPr>
      </w:pPr>
      <w:r>
        <w:rPr>
          <w:rFonts w:hint="eastAsia"/>
          <w:color w:val="auto"/>
          <w:highlight w:val="none"/>
          <w:lang w:eastAsia="zh-CN"/>
        </w:rPr>
        <w:t>招标文件有推荐品牌范围的主要材料设备，</w:t>
      </w:r>
      <w:r>
        <w:rPr>
          <w:rFonts w:hint="eastAsia"/>
          <w:color w:val="auto"/>
          <w:highlight w:val="none"/>
          <w:lang w:val="en-US" w:eastAsia="zh-CN"/>
        </w:rPr>
        <w:t>推荐承包人在</w:t>
      </w:r>
      <w:r>
        <w:rPr>
          <w:rFonts w:hint="eastAsia"/>
          <w:color w:val="auto"/>
          <w:highlight w:val="none"/>
          <w:lang w:eastAsia="zh-CN"/>
        </w:rPr>
        <w:t>推荐品牌范围内选用（具体见《主要设备材料推荐品牌表》）。</w:t>
      </w:r>
    </w:p>
    <w:p>
      <w:pPr>
        <w:pStyle w:val="5"/>
        <w:rPr>
          <w:color w:val="auto"/>
          <w:highlight w:val="none"/>
          <w:lang w:eastAsia="zh-CN"/>
        </w:rPr>
      </w:pPr>
      <w:r>
        <w:rPr>
          <w:rFonts w:hint="eastAsia"/>
          <w:color w:val="auto"/>
          <w:highlight w:val="none"/>
          <w:lang w:eastAsia="zh-CN"/>
        </w:rPr>
        <w:t>若承包人选用同等或优于推荐品牌的，在采购前必须经发包人审批同意，否则，视为承包人自行更换品牌，按招标文件和合同规定承担违约责任。</w:t>
      </w:r>
    </w:p>
    <w:p>
      <w:pPr>
        <w:pStyle w:val="5"/>
        <w:rPr>
          <w:color w:val="auto"/>
          <w:highlight w:val="none"/>
          <w:lang w:eastAsia="zh-CN"/>
        </w:rPr>
      </w:pPr>
      <w:r>
        <w:rPr>
          <w:rFonts w:hint="eastAsia"/>
          <w:color w:val="auto"/>
          <w:highlight w:val="none"/>
          <w:lang w:eastAsia="zh-CN"/>
        </w:rPr>
        <w:t>不在推荐品牌范围的主要材料设备，承包人按中国名牌、国家免检产品、省知名品牌的顺序选定，同时须严格按照发包人看样定板的相关规定执行。</w:t>
      </w:r>
    </w:p>
    <w:p>
      <w:pPr>
        <w:pStyle w:val="5"/>
        <w:rPr>
          <w:color w:val="auto"/>
          <w:highlight w:val="none"/>
          <w:lang w:eastAsia="zh-CN"/>
        </w:rPr>
      </w:pPr>
      <w:r>
        <w:rPr>
          <w:rFonts w:hint="eastAsia"/>
          <w:color w:val="auto"/>
          <w:highlight w:val="none"/>
          <w:lang w:eastAsia="zh-CN"/>
        </w:rPr>
        <w:t>本项目主要设备材料品牌/生产厂家推荐表，详见合同《主要设备材料推荐品牌表》。</w:t>
      </w:r>
    </w:p>
    <w:p>
      <w:pPr>
        <w:pStyle w:val="4"/>
        <w:rPr>
          <w:color w:val="auto"/>
          <w:highlight w:val="none"/>
          <w:lang w:eastAsia="zh-CN"/>
        </w:rPr>
      </w:pPr>
      <w:bookmarkStart w:id="434" w:name="_Toc19132"/>
      <w:r>
        <w:rPr>
          <w:rFonts w:hint="eastAsia"/>
          <w:color w:val="auto"/>
          <w:highlight w:val="none"/>
          <w:lang w:val="en-US" w:eastAsia="zh-CN"/>
        </w:rPr>
        <w:t>乙供物资</w:t>
      </w:r>
      <w:r>
        <w:rPr>
          <w:rFonts w:hint="eastAsia"/>
          <w:color w:val="auto"/>
          <w:highlight w:val="none"/>
          <w:lang w:eastAsia="zh-CN"/>
        </w:rPr>
        <w:t>检验、试验管理</w:t>
      </w:r>
      <w:bookmarkEnd w:id="434"/>
    </w:p>
    <w:p>
      <w:pPr>
        <w:spacing w:before="0" w:beforeLines="-2147483648" w:after="0" w:afterLines="-2147483648"/>
        <w:ind w:firstLine="0" w:firstLineChars="0"/>
        <w:jc w:val="left"/>
        <w:rPr>
          <w:color w:val="auto"/>
          <w:highlight w:val="none"/>
          <w:lang w:eastAsia="zh-CN"/>
        </w:rPr>
      </w:pPr>
      <w:r>
        <w:rPr>
          <w:color w:val="auto"/>
          <w:highlight w:val="none"/>
          <w:lang w:eastAsia="zh-CN"/>
        </w:rPr>
        <w:t xml:space="preserve"> </w:t>
      </w:r>
      <w:r>
        <w:rPr>
          <w:rFonts w:hint="eastAsia"/>
          <w:color w:val="auto"/>
          <w:highlight w:val="none"/>
          <w:lang w:val="en-US" w:eastAsia="zh-CN"/>
        </w:rPr>
        <w:t xml:space="preserve">  </w:t>
      </w:r>
      <w:r>
        <w:rPr>
          <w:rFonts w:hint="eastAsia"/>
          <w:color w:val="auto"/>
          <w:highlight w:val="none"/>
          <w:lang w:eastAsia="zh-CN"/>
        </w:rPr>
        <w:t>无论发包人是否推荐品牌范围，所有用于本工程的材料设备必须严格按合同条款的约定进行检验、试验，确保材料设备质量。材料进场批次要与见证取样检测批次一致， 否则，多出批次的检测费由承包人承担。本项目应进行节能、室内环境检测，需委托具有相应资质检测机构实施的相关工作。</w:t>
      </w:r>
    </w:p>
    <w:p>
      <w:pPr>
        <w:pStyle w:val="4"/>
        <w:rPr>
          <w:color w:val="auto"/>
          <w:highlight w:val="none"/>
          <w:lang w:eastAsia="zh-CN"/>
        </w:rPr>
      </w:pPr>
      <w:bookmarkStart w:id="435" w:name="_Toc2801"/>
      <w:r>
        <w:rPr>
          <w:rFonts w:hint="eastAsia"/>
          <w:color w:val="auto"/>
          <w:highlight w:val="none"/>
          <w:lang w:eastAsia="zh-CN"/>
        </w:rPr>
        <w:t>乙供材料设备看样定板管理</w:t>
      </w:r>
      <w:bookmarkEnd w:id="435"/>
    </w:p>
    <w:p>
      <w:pPr>
        <w:spacing w:before="0" w:beforeLines="-2147483648" w:after="0" w:afterLines="-2147483648"/>
        <w:ind w:firstLine="480" w:firstLineChars="200"/>
        <w:jc w:val="left"/>
        <w:rPr>
          <w:color w:val="auto"/>
          <w:highlight w:val="none"/>
          <w:lang w:eastAsia="zh-CN"/>
        </w:rPr>
      </w:pPr>
      <w:r>
        <w:rPr>
          <w:rFonts w:hint="eastAsia"/>
          <w:color w:val="auto"/>
          <w:highlight w:val="none"/>
          <w:lang w:eastAsia="zh-CN"/>
        </w:rPr>
        <w:t>为加强本工程所使用的乙供材料设备的质量管理，确保承包人所选购的材料设备的 质量、技术性能、款式、效果等方面满足设计和使用需求，所有主要材料设备在看样定板之前，发包人、使用业主、监理单位、设计单位有权对乙供材料设备厂家的生产能力、 制造水平、生产工艺等方面进行综合考察评估，考核评估合格的方能采购。如经综合考察评估不合格，发包人有权在《主要设备材料推荐品牌表》中选择其他满足规定的材料厂家及品牌，经考核评估合格后予以选用，合同价款不作调整。</w:t>
      </w:r>
    </w:p>
    <w:p>
      <w:pPr>
        <w:pStyle w:val="4"/>
        <w:rPr>
          <w:color w:val="auto"/>
          <w:highlight w:val="none"/>
          <w:lang w:eastAsia="zh-CN"/>
        </w:rPr>
      </w:pPr>
      <w:bookmarkStart w:id="436" w:name="_Toc6871"/>
      <w:r>
        <w:rPr>
          <w:rFonts w:hint="eastAsia"/>
          <w:color w:val="auto"/>
          <w:highlight w:val="none"/>
          <w:lang w:eastAsia="zh-CN"/>
        </w:rPr>
        <w:t>乙供材料设备供应商管理</w:t>
      </w:r>
      <w:bookmarkEnd w:id="436"/>
    </w:p>
    <w:p>
      <w:pPr>
        <w:spacing w:before="0" w:beforeLines="-2147483648" w:after="0" w:afterLines="-2147483648"/>
        <w:ind w:firstLine="480" w:firstLineChars="200"/>
        <w:jc w:val="left"/>
        <w:rPr>
          <w:color w:val="auto"/>
          <w:highlight w:val="none"/>
          <w:lang w:eastAsia="zh-CN"/>
        </w:rPr>
      </w:pPr>
      <w:r>
        <w:rPr>
          <w:rFonts w:hint="eastAsia"/>
          <w:color w:val="auto"/>
          <w:highlight w:val="none"/>
          <w:lang w:eastAsia="zh-CN"/>
        </w:rPr>
        <w:t>承包人应在确定主要乙供材料设备供应商的 7 个工作日内，将供应商的清单明细（包括供应商的名称、联系人、联系电话、联系地址等）报监理单位和发包人备案。供应商须服从监理单位和发包人的管理，并按要求参加相关工作例会。</w:t>
      </w:r>
    </w:p>
    <w:p>
      <w:pPr>
        <w:pStyle w:val="4"/>
        <w:rPr>
          <w:color w:val="auto"/>
          <w:highlight w:val="none"/>
          <w:lang w:eastAsia="zh-CN"/>
        </w:rPr>
      </w:pPr>
      <w:bookmarkStart w:id="437" w:name="_Toc11145"/>
      <w:r>
        <w:rPr>
          <w:rFonts w:hint="eastAsia"/>
          <w:color w:val="auto"/>
          <w:highlight w:val="none"/>
          <w:lang w:eastAsia="zh-CN"/>
        </w:rPr>
        <w:t>材料设备专用于本工程</w:t>
      </w:r>
      <w:bookmarkEnd w:id="437"/>
    </w:p>
    <w:p>
      <w:pPr>
        <w:spacing w:before="0" w:beforeLines="-2147483648" w:after="0" w:afterLines="-2147483648"/>
        <w:ind w:firstLine="0" w:firstLineChars="0"/>
        <w:jc w:val="left"/>
        <w:rPr>
          <w:color w:val="auto"/>
          <w:highlight w:val="none"/>
          <w:lang w:eastAsia="zh-CN"/>
        </w:rPr>
      </w:pPr>
      <w:r>
        <w:rPr>
          <w:rFonts w:hint="eastAsia"/>
          <w:color w:val="auto"/>
          <w:highlight w:val="none"/>
          <w:lang w:eastAsia="zh-CN"/>
        </w:rPr>
        <w:t>承包人运入施工现场的材料、工程设备、施工设备以及在施工场地建设的临时设施， 包括备品备件、安装工具与资料，必须专用于工程。未经发包人批准不得运出施工现场或挪作他用。</w:t>
      </w:r>
    </w:p>
    <w:bookmarkEnd w:id="427"/>
    <w:bookmarkEnd w:id="428"/>
    <w:bookmarkEnd w:id="429"/>
    <w:bookmarkEnd w:id="430"/>
    <w:bookmarkEnd w:id="431"/>
    <w:bookmarkEnd w:id="432"/>
    <w:p>
      <w:pPr>
        <w:pStyle w:val="3"/>
        <w:bidi w:val="0"/>
        <w:rPr>
          <w:color w:val="auto"/>
          <w:highlight w:val="none"/>
        </w:rPr>
      </w:pPr>
      <w:bookmarkStart w:id="438" w:name="_Toc6817"/>
      <w:bookmarkStart w:id="439" w:name="_Toc169722220"/>
      <w:bookmarkStart w:id="440" w:name="_Toc8685"/>
      <w:bookmarkStart w:id="441" w:name="_Toc25860"/>
      <w:bookmarkStart w:id="442" w:name="_Toc22411"/>
      <w:bookmarkStart w:id="443" w:name="_Toc15817"/>
      <w:bookmarkStart w:id="444" w:name="_Toc14281"/>
      <w:bookmarkStart w:id="445" w:name="_Toc11310"/>
      <w:bookmarkStart w:id="446" w:name="_Toc32704"/>
      <w:bookmarkStart w:id="447" w:name="_Toc30030"/>
      <w:bookmarkStart w:id="448" w:name="_Toc30835"/>
      <w:bookmarkStart w:id="449" w:name="_Toc26913"/>
      <w:r>
        <w:rPr>
          <w:color w:val="auto"/>
          <w:highlight w:val="none"/>
        </w:rPr>
        <w:t>主要机械设备</w:t>
      </w:r>
      <w:r>
        <w:rPr>
          <w:rFonts w:hint="eastAsia"/>
          <w:color w:val="auto"/>
          <w:highlight w:val="none"/>
        </w:rPr>
        <w:t>管理</w:t>
      </w:r>
      <w:r>
        <w:rPr>
          <w:color w:val="auto"/>
          <w:highlight w:val="none"/>
        </w:rPr>
        <w:t>要求</w:t>
      </w:r>
      <w:bookmarkEnd w:id="422"/>
      <w:bookmarkEnd w:id="423"/>
      <w:bookmarkEnd w:id="424"/>
      <w:bookmarkEnd w:id="425"/>
      <w:bookmarkEnd w:id="438"/>
      <w:bookmarkEnd w:id="439"/>
      <w:bookmarkEnd w:id="440"/>
      <w:bookmarkEnd w:id="441"/>
      <w:bookmarkEnd w:id="442"/>
      <w:bookmarkEnd w:id="443"/>
      <w:bookmarkEnd w:id="444"/>
      <w:bookmarkEnd w:id="445"/>
      <w:bookmarkEnd w:id="446"/>
      <w:bookmarkEnd w:id="447"/>
      <w:bookmarkEnd w:id="448"/>
      <w:bookmarkEnd w:id="449"/>
    </w:p>
    <w:p>
      <w:pPr>
        <w:pStyle w:val="4"/>
        <w:bidi w:val="0"/>
        <w:rPr>
          <w:color w:val="auto"/>
          <w:highlight w:val="none"/>
        </w:rPr>
      </w:pPr>
      <w:r>
        <w:rPr>
          <w:rFonts w:hint="eastAsia"/>
          <w:color w:val="auto"/>
          <w:highlight w:val="none"/>
        </w:rPr>
        <w:t>通用</w:t>
      </w:r>
      <w:r>
        <w:rPr>
          <w:color w:val="auto"/>
          <w:highlight w:val="none"/>
        </w:rPr>
        <w:t>要求</w:t>
      </w:r>
    </w:p>
    <w:p>
      <w:pPr>
        <w:pStyle w:val="5"/>
        <w:bidi w:val="0"/>
        <w:rPr>
          <w:color w:val="auto"/>
          <w:highlight w:val="none"/>
        </w:rPr>
      </w:pPr>
      <w:r>
        <w:rPr>
          <w:rFonts w:hint="eastAsia"/>
          <w:color w:val="auto"/>
          <w:highlight w:val="none"/>
        </w:rPr>
        <w:t>塔吊、施工电梯等设备须满足施工当地备案要求，检测合格并取得使用证。</w:t>
      </w:r>
    </w:p>
    <w:p>
      <w:pPr>
        <w:pStyle w:val="5"/>
        <w:bidi w:val="0"/>
        <w:rPr>
          <w:color w:val="auto"/>
          <w:highlight w:val="none"/>
        </w:rPr>
      </w:pPr>
      <w:r>
        <w:rPr>
          <w:rFonts w:hint="eastAsia"/>
          <w:color w:val="auto"/>
          <w:highlight w:val="none"/>
        </w:rPr>
        <w:t>塔吊、施工电梯、电焊机等特种作业操作人员必须取得上岗资格且年检合格。</w:t>
      </w:r>
    </w:p>
    <w:p>
      <w:pPr>
        <w:pStyle w:val="5"/>
        <w:bidi w:val="0"/>
        <w:rPr>
          <w:color w:val="auto"/>
          <w:highlight w:val="none"/>
        </w:rPr>
      </w:pPr>
      <w:r>
        <w:rPr>
          <w:rFonts w:hint="eastAsia"/>
          <w:color w:val="auto"/>
          <w:highlight w:val="none"/>
        </w:rPr>
        <w:t>塔吊、施工电梯等设备数量、规格、性能、设置位置需满足工程使用要求。</w:t>
      </w:r>
    </w:p>
    <w:p>
      <w:pPr>
        <w:pStyle w:val="5"/>
        <w:bidi w:val="0"/>
        <w:rPr>
          <w:color w:val="auto"/>
          <w:highlight w:val="none"/>
        </w:rPr>
      </w:pPr>
      <w:r>
        <w:rPr>
          <w:rFonts w:hint="eastAsia"/>
          <w:color w:val="auto"/>
          <w:highlight w:val="none"/>
        </w:rPr>
        <w:t>总承包人必须定期进行检查现场机械设备，并提交检查记录给监理人及发包人。</w:t>
      </w:r>
    </w:p>
    <w:p>
      <w:pPr>
        <w:pStyle w:val="5"/>
        <w:bidi w:val="0"/>
        <w:rPr>
          <w:color w:val="auto"/>
          <w:highlight w:val="none"/>
        </w:rPr>
      </w:pPr>
      <w:r>
        <w:rPr>
          <w:rFonts w:hint="eastAsia"/>
          <w:color w:val="auto"/>
          <w:highlight w:val="none"/>
        </w:rPr>
        <w:t>塔吊、施工电梯拆卸应报监理人及发包人审核同意后方可实施。</w:t>
      </w:r>
    </w:p>
    <w:p>
      <w:pPr>
        <w:pStyle w:val="5"/>
        <w:rPr>
          <w:color w:val="auto"/>
          <w:highlight w:val="none"/>
          <w:lang w:eastAsia="zh-CN"/>
        </w:rPr>
      </w:pPr>
      <w:r>
        <w:rPr>
          <w:rFonts w:hint="eastAsia"/>
          <w:color w:val="auto"/>
          <w:highlight w:val="none"/>
          <w:lang w:eastAsia="zh-CN"/>
        </w:rPr>
        <w:t>承包人进场后必须按合同约定时间提交机械设备进场计划，确保机械设备来源可靠，按期进场。对于自有机械设备，承包人必须说明当前的使用情况及计划进场时间，必要时发包人有权组织现场核查；对于租凭机械设备，承包人必须随机械设备进场计划及租凭合同报发包人备案；对于新购机械设备，承包人必须随机械设备进场计划提供订购或采购合同报发包人备案。</w:t>
      </w:r>
    </w:p>
    <w:p>
      <w:pPr>
        <w:pStyle w:val="5"/>
        <w:rPr>
          <w:color w:val="auto"/>
          <w:highlight w:val="none"/>
          <w:lang w:eastAsia="zh-CN"/>
        </w:rPr>
      </w:pPr>
      <w:r>
        <w:rPr>
          <w:rFonts w:hint="eastAsia"/>
          <w:color w:val="auto"/>
          <w:highlight w:val="none"/>
          <w:lang w:eastAsia="zh-CN"/>
        </w:rPr>
        <w:t>塔吊、施工电梯等起重设备应每月至少维保2次，且塔吊、施工电梯等起重备除满足广州市建设主管部门要求装备的附属设备外，还应安装具有定点检修、巡查功能的设备或系统（如检到位、设备卫士等），由此产生的费用由承包人自行承担。</w:t>
      </w:r>
    </w:p>
    <w:p>
      <w:pPr>
        <w:pStyle w:val="5"/>
        <w:bidi w:val="0"/>
        <w:rPr>
          <w:color w:val="auto"/>
          <w:highlight w:val="none"/>
        </w:rPr>
      </w:pPr>
      <w:r>
        <w:rPr>
          <w:rFonts w:hint="eastAsia"/>
          <w:color w:val="auto"/>
          <w:highlight w:val="none"/>
        </w:rPr>
        <w:t>塔吊、施工电梯除投入使用前需做第三方检测外，之后应每隔半年或台风等极端恶劣天气后做一次第三方检测，检测报告报监理人审查，相关费用应在投标时一并考虑。</w:t>
      </w:r>
    </w:p>
    <w:p>
      <w:pPr>
        <w:pStyle w:val="5"/>
        <w:rPr>
          <w:color w:val="auto"/>
          <w:highlight w:val="none"/>
          <w:lang w:eastAsia="zh-CN"/>
        </w:rPr>
      </w:pPr>
      <w:r>
        <w:rPr>
          <w:rFonts w:hint="eastAsia"/>
          <w:color w:val="auto"/>
          <w:highlight w:val="none"/>
          <w:lang w:eastAsia="zh-CN"/>
        </w:rPr>
        <w:t>承包人应按照政府监管部门、业主方要求，积极配合台风等异常天气对塔吊、施工电梯等大型设备的管控举措，如加固、降节、二次检测等，由此产生的费用由承包人自行承担。</w:t>
      </w:r>
    </w:p>
    <w:p>
      <w:pPr>
        <w:pStyle w:val="5"/>
        <w:rPr>
          <w:color w:val="auto"/>
          <w:highlight w:val="none"/>
          <w:lang w:eastAsia="zh-CN"/>
        </w:rPr>
      </w:pPr>
      <w:r>
        <w:rPr>
          <w:rFonts w:hint="eastAsia"/>
          <w:color w:val="auto"/>
          <w:highlight w:val="none"/>
          <w:lang w:eastAsia="zh-CN"/>
        </w:rPr>
        <w:t>承包人必须确保机械设备的性能良好，可正常使用。对于影响工程进度较大的主要机械设备，必须有一定备用量，确保在机械设备检修或维护期间，现场仍能正常施工，主要机械设备退场必须经监理工程师及业主同意方可退场，确保进度。</w:t>
      </w:r>
    </w:p>
    <w:p>
      <w:pPr>
        <w:pStyle w:val="5"/>
        <w:rPr>
          <w:color w:val="auto"/>
          <w:highlight w:val="none"/>
        </w:rPr>
      </w:pPr>
      <w:r>
        <w:rPr>
          <w:rFonts w:hint="eastAsia"/>
          <w:color w:val="auto"/>
          <w:highlight w:val="none"/>
          <w:lang w:eastAsia="zh-CN"/>
        </w:rPr>
        <w:t>为确保工程进度，承包人必须无条件增加机械设备的投入，除合同约定有赶工措施费外，发包人不另行增加相关费用。</w:t>
      </w:r>
    </w:p>
    <w:p>
      <w:pPr>
        <w:bidi w:val="0"/>
        <w:rPr>
          <w:color w:val="auto"/>
          <w:highlight w:val="none"/>
          <w:lang w:eastAsia="zh-CN"/>
        </w:rPr>
      </w:pPr>
      <w:r>
        <w:rPr>
          <w:rFonts w:hint="eastAsia"/>
          <w:color w:val="auto"/>
          <w:highlight w:val="none"/>
          <w:lang w:eastAsia="zh-CN"/>
        </w:rPr>
        <w:t>本项目需投入的施工机械基本要求详见下表。总承包人需根据本项目工程的特点，结合本企业的实力和资源情况配备，配备要求如下：</w:t>
      </w:r>
    </w:p>
    <w:p>
      <w:pPr>
        <w:pStyle w:val="4"/>
        <w:bidi w:val="0"/>
        <w:rPr>
          <w:color w:val="auto"/>
          <w:highlight w:val="none"/>
          <w:lang w:eastAsia="zh-CN"/>
        </w:rPr>
      </w:pPr>
      <w:r>
        <w:rPr>
          <w:color w:val="auto"/>
          <w:highlight w:val="none"/>
          <w:lang w:eastAsia="zh-CN"/>
        </w:rPr>
        <w:t xml:space="preserve">  主要设备基本要求</w:t>
      </w:r>
    </w:p>
    <w:tbl>
      <w:tblPr>
        <w:tblStyle w:val="21"/>
        <w:tblW w:w="9218" w:type="dxa"/>
        <w:tblInd w:w="10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583"/>
        <w:gridCol w:w="1424"/>
        <w:gridCol w:w="1057"/>
        <w:gridCol w:w="6154"/>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4" w:hRule="atLeast"/>
        </w:trPr>
        <w:tc>
          <w:tcPr>
            <w:tcW w:w="0" w:type="auto"/>
            <w:tcBorders>
              <w:top w:val="single" w:color="auto" w:sz="8" w:space="0"/>
              <w:left w:val="single" w:color="auto" w:sz="8" w:space="0"/>
              <w:bottom w:val="single" w:color="000000" w:sz="8" w:space="0"/>
              <w:right w:val="single" w:color="000000" w:sz="8"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序号</w:t>
            </w:r>
          </w:p>
        </w:tc>
        <w:tc>
          <w:tcPr>
            <w:tcW w:w="0" w:type="auto"/>
            <w:tcBorders>
              <w:top w:val="single" w:color="auto" w:sz="8" w:space="0"/>
              <w:left w:val="single" w:color="000000" w:sz="8" w:space="0"/>
              <w:bottom w:val="single" w:color="000000" w:sz="8" w:space="0"/>
              <w:right w:val="single" w:color="000000" w:sz="8"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设备、材料名称</w:t>
            </w:r>
          </w:p>
        </w:tc>
        <w:tc>
          <w:tcPr>
            <w:tcW w:w="0" w:type="auto"/>
            <w:tcBorders>
              <w:top w:val="single" w:color="auto" w:sz="8" w:space="0"/>
              <w:left w:val="single" w:color="000000" w:sz="8" w:space="0"/>
              <w:bottom w:val="single" w:color="000000" w:sz="8" w:space="0"/>
              <w:right w:val="single" w:color="000000" w:sz="8"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设备</w:t>
            </w:r>
          </w:p>
        </w:tc>
        <w:tc>
          <w:tcPr>
            <w:tcW w:w="0" w:type="auto"/>
            <w:tcBorders>
              <w:top w:val="single" w:color="auto" w:sz="8" w:space="0"/>
              <w:left w:val="single" w:color="000000" w:sz="8" w:space="0"/>
              <w:bottom w:val="single" w:color="000000" w:sz="8" w:space="0"/>
              <w:right w:val="single" w:color="auto" w:sz="8"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备注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4" w:hRule="atLeast"/>
        </w:trPr>
        <w:tc>
          <w:tcPr>
            <w:tcW w:w="0" w:type="auto"/>
            <w:vMerge w:val="restart"/>
            <w:tcBorders>
              <w:top w:val="nil"/>
              <w:left w:val="single" w:color="auto" w:sz="8" w:space="0"/>
              <w:bottom w:val="single" w:color="000000" w:sz="8" w:space="0"/>
              <w:right w:val="single" w:color="000000" w:sz="8"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1</w:t>
            </w:r>
          </w:p>
        </w:tc>
        <w:tc>
          <w:tcPr>
            <w:tcW w:w="0" w:type="auto"/>
            <w:vMerge w:val="restart"/>
            <w:tcBorders>
              <w:top w:val="nil"/>
              <w:left w:val="single" w:color="000000" w:sz="8" w:space="0"/>
              <w:bottom w:val="single" w:color="000000" w:sz="8" w:space="0"/>
              <w:right w:val="single" w:color="000000" w:sz="8"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塔吊</w:t>
            </w:r>
          </w:p>
        </w:tc>
        <w:tc>
          <w:tcPr>
            <w:tcW w:w="0" w:type="auto"/>
            <w:vMerge w:val="restart"/>
            <w:tcBorders>
              <w:top w:val="nil"/>
              <w:left w:val="single" w:color="000000" w:sz="8" w:space="0"/>
              <w:bottom w:val="single" w:color="000000" w:sz="8" w:space="0"/>
              <w:right w:val="single" w:color="000000" w:sz="8" w:space="0"/>
            </w:tcBorders>
            <w:shd w:val="clear" w:color="auto" w:fill="auto"/>
            <w:vAlign w:val="center"/>
          </w:tcPr>
          <w:p>
            <w:pPr>
              <w:pStyle w:val="12"/>
              <w:bidi w:val="0"/>
              <w:rPr>
                <w:rFonts w:hint="eastAsia"/>
                <w:color w:val="auto"/>
                <w:highlight w:val="none"/>
              </w:rPr>
            </w:pPr>
            <w:r>
              <w:rPr>
                <w:rFonts w:hint="eastAsia"/>
                <w:color w:val="auto"/>
                <w:highlight w:val="none"/>
                <w:lang w:val="en-US" w:eastAsia="zh-CN"/>
              </w:rPr>
              <w:t>不少于3台</w:t>
            </w:r>
          </w:p>
        </w:tc>
        <w:tc>
          <w:tcPr>
            <w:tcW w:w="0" w:type="auto"/>
            <w:tcBorders>
              <w:top w:val="nil"/>
              <w:left w:val="single" w:color="000000" w:sz="8" w:space="0"/>
              <w:bottom w:val="nil"/>
              <w:right w:val="single" w:color="auto" w:sz="8" w:space="0"/>
            </w:tcBorders>
            <w:shd w:val="clear" w:color="auto" w:fill="auto"/>
            <w:vAlign w:val="center"/>
          </w:tcPr>
          <w:p>
            <w:pPr>
              <w:pStyle w:val="12"/>
              <w:bidi w:val="0"/>
              <w:jc w:val="left"/>
              <w:rPr>
                <w:rFonts w:hint="eastAsia"/>
                <w:color w:val="auto"/>
                <w:highlight w:val="none"/>
              </w:rPr>
            </w:pPr>
            <w:r>
              <w:rPr>
                <w:rFonts w:hint="eastAsia"/>
                <w:color w:val="auto"/>
                <w:highlight w:val="none"/>
                <w:lang w:val="en-US" w:eastAsia="zh-CN"/>
              </w:rPr>
              <w:t>1.按平面图合理排布，同时满足地下室范围材料运输及装配式构件的吊装需求。</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40" w:hRule="atLeast"/>
        </w:trPr>
        <w:tc>
          <w:tcPr>
            <w:tcW w:w="0" w:type="auto"/>
            <w:vMerge w:val="continue"/>
            <w:tcBorders>
              <w:top w:val="nil"/>
              <w:left w:val="single" w:color="auto" w:sz="8" w:space="0"/>
              <w:bottom w:val="single" w:color="000000" w:sz="8" w:space="0"/>
              <w:right w:val="single" w:color="000000" w:sz="8" w:space="0"/>
            </w:tcBorders>
            <w:shd w:val="clear" w:color="auto" w:fill="auto"/>
            <w:vAlign w:val="center"/>
          </w:tcPr>
          <w:p>
            <w:pPr>
              <w:pStyle w:val="12"/>
              <w:bidi w:val="0"/>
              <w:rPr>
                <w:rFonts w:hint="eastAsia"/>
                <w:color w:val="auto"/>
                <w:highlight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vAlign w:val="center"/>
          </w:tcPr>
          <w:p>
            <w:pPr>
              <w:pStyle w:val="12"/>
              <w:bidi w:val="0"/>
              <w:rPr>
                <w:rFonts w:hint="eastAsia"/>
                <w:color w:val="auto"/>
                <w:highlight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vAlign w:val="center"/>
          </w:tcPr>
          <w:p>
            <w:pPr>
              <w:pStyle w:val="12"/>
              <w:bidi w:val="0"/>
              <w:rPr>
                <w:rFonts w:hint="eastAsia"/>
                <w:color w:val="auto"/>
                <w:highlight w:val="none"/>
              </w:rPr>
            </w:pPr>
          </w:p>
        </w:tc>
        <w:tc>
          <w:tcPr>
            <w:tcW w:w="0" w:type="auto"/>
            <w:tcBorders>
              <w:top w:val="nil"/>
              <w:left w:val="single" w:color="000000" w:sz="8" w:space="0"/>
              <w:bottom w:val="nil"/>
              <w:right w:val="single" w:color="auto" w:sz="8" w:space="0"/>
            </w:tcBorders>
            <w:shd w:val="clear" w:color="auto" w:fill="auto"/>
            <w:vAlign w:val="center"/>
          </w:tcPr>
          <w:p>
            <w:pPr>
              <w:pStyle w:val="12"/>
              <w:bidi w:val="0"/>
              <w:jc w:val="left"/>
              <w:rPr>
                <w:rFonts w:hint="eastAsia"/>
                <w:color w:val="auto"/>
                <w:highlight w:val="none"/>
              </w:rPr>
            </w:pPr>
            <w:r>
              <w:rPr>
                <w:rFonts w:hint="eastAsia"/>
                <w:color w:val="auto"/>
                <w:highlight w:val="none"/>
                <w:lang w:val="en-US" w:eastAsia="zh-CN"/>
              </w:rPr>
              <w:t>2.</w:t>
            </w:r>
            <w:r>
              <w:rPr>
                <w:rFonts w:hint="eastAsia"/>
                <w:color w:val="auto"/>
                <w:highlight w:val="none"/>
                <w:lang w:eastAsia="zh-CN"/>
              </w:rPr>
              <w:t>塔吊出厂</w:t>
            </w:r>
            <w:r>
              <w:rPr>
                <w:rFonts w:hint="eastAsia"/>
                <w:color w:val="auto"/>
                <w:highlight w:val="none"/>
                <w:lang w:val="en-US" w:eastAsia="zh-CN"/>
              </w:rPr>
              <w:t>至报装之日起</w:t>
            </w:r>
            <w:r>
              <w:rPr>
                <w:rFonts w:hint="eastAsia"/>
                <w:color w:val="auto"/>
                <w:highlight w:val="none"/>
                <w:lang w:eastAsia="zh-CN"/>
              </w:rPr>
              <w:t>不能超过</w:t>
            </w:r>
            <w:r>
              <w:rPr>
                <w:rFonts w:hint="eastAsia"/>
                <w:color w:val="auto"/>
                <w:highlight w:val="none"/>
                <w:lang w:val="en-US" w:eastAsia="zh-CN"/>
              </w:rPr>
              <w:t>6个月</w:t>
            </w:r>
            <w:r>
              <w:rPr>
                <w:rFonts w:hint="eastAsia"/>
                <w:color w:val="auto"/>
                <w:highlight w:val="none"/>
                <w:lang w:eastAsia="zh-CN"/>
              </w:rPr>
              <w:t>，</w:t>
            </w:r>
            <w:r>
              <w:rPr>
                <w:rFonts w:hint="eastAsia"/>
                <w:color w:val="auto"/>
                <w:highlight w:val="none"/>
                <w:lang w:val="en-US" w:eastAsia="zh-CN"/>
              </w:rPr>
              <w:t>全新塔吊。</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0" w:hRule="atLeast"/>
        </w:trPr>
        <w:tc>
          <w:tcPr>
            <w:tcW w:w="0" w:type="auto"/>
            <w:vMerge w:val="continue"/>
            <w:tcBorders>
              <w:top w:val="nil"/>
              <w:left w:val="single" w:color="auto" w:sz="8" w:space="0"/>
              <w:bottom w:val="single" w:color="000000" w:sz="8" w:space="0"/>
              <w:right w:val="single" w:color="000000" w:sz="8" w:space="0"/>
            </w:tcBorders>
            <w:shd w:val="clear" w:color="auto" w:fill="auto"/>
            <w:vAlign w:val="center"/>
          </w:tcPr>
          <w:p>
            <w:pPr>
              <w:pStyle w:val="12"/>
              <w:bidi w:val="0"/>
              <w:rPr>
                <w:rFonts w:hint="eastAsia"/>
                <w:color w:val="auto"/>
                <w:highlight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vAlign w:val="center"/>
          </w:tcPr>
          <w:p>
            <w:pPr>
              <w:pStyle w:val="12"/>
              <w:bidi w:val="0"/>
              <w:rPr>
                <w:rFonts w:hint="eastAsia"/>
                <w:color w:val="auto"/>
                <w:highlight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vAlign w:val="center"/>
          </w:tcPr>
          <w:p>
            <w:pPr>
              <w:pStyle w:val="12"/>
              <w:bidi w:val="0"/>
              <w:rPr>
                <w:rFonts w:hint="eastAsia"/>
                <w:color w:val="auto"/>
                <w:highlight w:val="none"/>
              </w:rPr>
            </w:pPr>
          </w:p>
        </w:tc>
        <w:tc>
          <w:tcPr>
            <w:tcW w:w="0" w:type="auto"/>
            <w:tcBorders>
              <w:top w:val="nil"/>
              <w:left w:val="single" w:color="000000" w:sz="8" w:space="0"/>
              <w:bottom w:val="nil"/>
              <w:right w:val="single" w:color="auto" w:sz="8" w:space="0"/>
            </w:tcBorders>
            <w:shd w:val="clear" w:color="auto" w:fill="auto"/>
            <w:vAlign w:val="center"/>
          </w:tcPr>
          <w:p>
            <w:pPr>
              <w:pStyle w:val="12"/>
              <w:bidi w:val="0"/>
              <w:jc w:val="left"/>
              <w:rPr>
                <w:rFonts w:hint="eastAsia"/>
                <w:color w:val="auto"/>
                <w:highlight w:val="none"/>
              </w:rPr>
            </w:pPr>
            <w:r>
              <w:rPr>
                <w:rFonts w:hint="eastAsia"/>
                <w:color w:val="auto"/>
                <w:highlight w:val="none"/>
                <w:lang w:val="en-US" w:eastAsia="zh-CN"/>
              </w:rPr>
              <w:t>3.严禁使用事故塔吊、大修塔吊、套牌塔吊等存在异常的塔吊。</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4" w:hRule="atLeast"/>
        </w:trPr>
        <w:tc>
          <w:tcPr>
            <w:tcW w:w="0" w:type="auto"/>
            <w:vMerge w:val="continue"/>
            <w:tcBorders>
              <w:top w:val="nil"/>
              <w:left w:val="single" w:color="auto" w:sz="8" w:space="0"/>
              <w:bottom w:val="single" w:color="auto" w:sz="4" w:space="0"/>
              <w:right w:val="single" w:color="000000" w:sz="8" w:space="0"/>
            </w:tcBorders>
            <w:shd w:val="clear" w:color="auto" w:fill="auto"/>
            <w:vAlign w:val="center"/>
          </w:tcPr>
          <w:p>
            <w:pPr>
              <w:pStyle w:val="12"/>
              <w:bidi w:val="0"/>
              <w:rPr>
                <w:rFonts w:hint="eastAsia"/>
                <w:color w:val="auto"/>
                <w:highlight w:val="none"/>
              </w:rPr>
            </w:pPr>
          </w:p>
        </w:tc>
        <w:tc>
          <w:tcPr>
            <w:tcW w:w="0" w:type="auto"/>
            <w:vMerge w:val="continue"/>
            <w:tcBorders>
              <w:top w:val="nil"/>
              <w:left w:val="single" w:color="000000" w:sz="8" w:space="0"/>
              <w:bottom w:val="single" w:color="auto" w:sz="4" w:space="0"/>
              <w:right w:val="single" w:color="000000" w:sz="8" w:space="0"/>
            </w:tcBorders>
            <w:shd w:val="clear" w:color="auto" w:fill="auto"/>
            <w:vAlign w:val="center"/>
          </w:tcPr>
          <w:p>
            <w:pPr>
              <w:pStyle w:val="12"/>
              <w:bidi w:val="0"/>
              <w:rPr>
                <w:rFonts w:hint="eastAsia"/>
                <w:color w:val="auto"/>
                <w:highlight w:val="none"/>
              </w:rPr>
            </w:pPr>
          </w:p>
        </w:tc>
        <w:tc>
          <w:tcPr>
            <w:tcW w:w="0" w:type="auto"/>
            <w:vMerge w:val="continue"/>
            <w:tcBorders>
              <w:top w:val="nil"/>
              <w:left w:val="single" w:color="000000" w:sz="8" w:space="0"/>
              <w:bottom w:val="single" w:color="auto" w:sz="4" w:space="0"/>
              <w:right w:val="single" w:color="000000" w:sz="8" w:space="0"/>
            </w:tcBorders>
            <w:shd w:val="clear" w:color="auto" w:fill="auto"/>
            <w:vAlign w:val="center"/>
          </w:tcPr>
          <w:p>
            <w:pPr>
              <w:pStyle w:val="12"/>
              <w:bidi w:val="0"/>
              <w:rPr>
                <w:rFonts w:hint="eastAsia"/>
                <w:color w:val="auto"/>
                <w:highlight w:val="none"/>
              </w:rPr>
            </w:pPr>
          </w:p>
        </w:tc>
        <w:tc>
          <w:tcPr>
            <w:tcW w:w="0" w:type="auto"/>
            <w:tcBorders>
              <w:top w:val="nil"/>
              <w:left w:val="single" w:color="000000" w:sz="8" w:space="0"/>
              <w:bottom w:val="single" w:color="auto" w:sz="4" w:space="0"/>
              <w:right w:val="single" w:color="auto" w:sz="8" w:space="0"/>
            </w:tcBorders>
            <w:shd w:val="clear" w:color="auto" w:fill="auto"/>
            <w:vAlign w:val="center"/>
          </w:tcPr>
          <w:p>
            <w:pPr>
              <w:pStyle w:val="12"/>
              <w:bidi w:val="0"/>
              <w:jc w:val="left"/>
              <w:rPr>
                <w:rFonts w:hint="eastAsia"/>
                <w:color w:val="auto"/>
                <w:highlight w:val="none"/>
              </w:rPr>
            </w:pPr>
            <w:r>
              <w:rPr>
                <w:rFonts w:hint="eastAsia"/>
                <w:color w:val="auto"/>
                <w:highlight w:val="none"/>
                <w:lang w:val="en-US" w:eastAsia="zh-CN"/>
              </w:rPr>
              <w:t>4.标准节内塔吊司机上下的爬梯，应选择之字形楼梯，避免使用垂直爬梯。</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54" w:hRule="atLeast"/>
        </w:trPr>
        <w:tc>
          <w:tcPr>
            <w:tcW w:w="0" w:type="auto"/>
            <w:tcBorders>
              <w:top w:val="single" w:color="auto" w:sz="4" w:space="0"/>
              <w:left w:val="single" w:color="auto" w:sz="8" w:space="0"/>
              <w:bottom w:val="single" w:color="auto" w:sz="8" w:space="0"/>
              <w:right w:val="single" w:color="000000" w:sz="8" w:space="0"/>
            </w:tcBorders>
            <w:shd w:val="clear" w:color="auto" w:fill="auto"/>
            <w:vAlign w:val="center"/>
          </w:tcPr>
          <w:p>
            <w:pPr>
              <w:pStyle w:val="12"/>
              <w:bidi w:val="0"/>
              <w:ind w:left="0" w:leftChars="0" w:right="0" w:rightChars="0" w:firstLine="0" w:firstLineChars="0"/>
              <w:rPr>
                <w:rFonts w:hint="eastAsia" w:ascii="宋体" w:hAnsi="宋体" w:eastAsia="宋体" w:cs="宋体"/>
                <w:color w:val="auto"/>
                <w:kern w:val="0"/>
                <w:sz w:val="21"/>
                <w:szCs w:val="20"/>
                <w:highlight w:val="none"/>
                <w:lang w:val="en-US" w:eastAsia="zh-CN" w:bidi="ar-SA"/>
              </w:rPr>
            </w:pPr>
            <w:r>
              <w:rPr>
                <w:rFonts w:hint="eastAsia"/>
                <w:color w:val="auto"/>
                <w:highlight w:val="none"/>
                <w:lang w:val="en-US" w:eastAsia="zh-CN"/>
              </w:rPr>
              <w:t>2</w:t>
            </w:r>
          </w:p>
        </w:tc>
        <w:tc>
          <w:tcPr>
            <w:tcW w:w="0" w:type="auto"/>
            <w:tcBorders>
              <w:top w:val="single" w:color="auto" w:sz="4" w:space="0"/>
              <w:left w:val="single" w:color="000000" w:sz="8" w:space="0"/>
              <w:bottom w:val="single" w:color="auto" w:sz="8" w:space="0"/>
              <w:right w:val="single" w:color="000000" w:sz="8" w:space="0"/>
            </w:tcBorders>
            <w:shd w:val="clear" w:color="auto" w:fill="auto"/>
            <w:vAlign w:val="center"/>
          </w:tcPr>
          <w:p>
            <w:pPr>
              <w:pStyle w:val="12"/>
              <w:bidi w:val="0"/>
              <w:ind w:left="0" w:leftChars="0" w:right="0" w:rightChars="0" w:firstLine="0" w:firstLineChars="0"/>
              <w:rPr>
                <w:rFonts w:hint="eastAsia" w:ascii="宋体" w:hAnsi="宋体" w:eastAsia="宋体" w:cs="宋体"/>
                <w:color w:val="auto"/>
                <w:kern w:val="0"/>
                <w:sz w:val="21"/>
                <w:szCs w:val="20"/>
                <w:highlight w:val="none"/>
                <w:lang w:val="en-US" w:eastAsia="zh-CN" w:bidi="ar-SA"/>
              </w:rPr>
            </w:pPr>
            <w:r>
              <w:rPr>
                <w:rFonts w:hint="eastAsia"/>
                <w:color w:val="auto"/>
                <w:highlight w:val="none"/>
                <w:lang w:val="en-US" w:eastAsia="zh-CN"/>
              </w:rPr>
              <w:t>双笼施工电梯</w:t>
            </w:r>
          </w:p>
        </w:tc>
        <w:tc>
          <w:tcPr>
            <w:tcW w:w="0" w:type="auto"/>
            <w:tcBorders>
              <w:top w:val="single" w:color="auto" w:sz="4" w:space="0"/>
              <w:left w:val="single" w:color="000000" w:sz="8" w:space="0"/>
              <w:bottom w:val="single" w:color="auto" w:sz="8" w:space="0"/>
              <w:right w:val="single" w:color="000000" w:sz="8" w:space="0"/>
            </w:tcBorders>
            <w:shd w:val="clear" w:color="auto" w:fill="auto"/>
            <w:vAlign w:val="center"/>
          </w:tcPr>
          <w:p>
            <w:pPr>
              <w:pStyle w:val="12"/>
              <w:bidi w:val="0"/>
              <w:ind w:left="0" w:leftChars="0" w:right="0" w:rightChars="0" w:firstLine="0" w:firstLineChars="0"/>
              <w:rPr>
                <w:rFonts w:hint="eastAsia" w:ascii="宋体" w:hAnsi="宋体" w:eastAsia="宋体" w:cs="宋体"/>
                <w:color w:val="auto"/>
                <w:kern w:val="0"/>
                <w:sz w:val="21"/>
                <w:szCs w:val="20"/>
                <w:highlight w:val="none"/>
                <w:lang w:val="en-US" w:eastAsia="zh-CN" w:bidi="ar-SA"/>
              </w:rPr>
            </w:pPr>
            <w:r>
              <w:rPr>
                <w:rFonts w:hint="eastAsia"/>
                <w:color w:val="auto"/>
                <w:highlight w:val="none"/>
                <w:lang w:val="en-US" w:eastAsia="zh-CN"/>
              </w:rPr>
              <w:t>不少于4台</w:t>
            </w:r>
          </w:p>
        </w:tc>
        <w:tc>
          <w:tcPr>
            <w:tcW w:w="0" w:type="auto"/>
            <w:tcBorders>
              <w:top w:val="single" w:color="auto" w:sz="4" w:space="0"/>
              <w:left w:val="single" w:color="000000" w:sz="8" w:space="0"/>
              <w:bottom w:val="single" w:color="auto" w:sz="8" w:space="0"/>
              <w:right w:val="single" w:color="auto" w:sz="8" w:space="0"/>
            </w:tcBorders>
            <w:shd w:val="clear" w:color="auto" w:fill="auto"/>
            <w:vAlign w:val="center"/>
          </w:tcPr>
          <w:p>
            <w:pPr>
              <w:pStyle w:val="12"/>
              <w:bidi w:val="0"/>
              <w:ind w:left="0" w:leftChars="0" w:right="0" w:rightChars="0" w:firstLine="0" w:firstLineChars="0"/>
              <w:jc w:val="left"/>
              <w:rPr>
                <w:rFonts w:hint="eastAsia" w:ascii="宋体" w:hAnsi="宋体" w:eastAsia="宋体" w:cs="宋体"/>
                <w:color w:val="auto"/>
                <w:kern w:val="0"/>
                <w:sz w:val="21"/>
                <w:szCs w:val="20"/>
                <w:highlight w:val="none"/>
                <w:lang w:val="en-US" w:eastAsia="zh-CN" w:bidi="ar-SA"/>
              </w:rPr>
            </w:pPr>
            <w:r>
              <w:rPr>
                <w:rFonts w:hint="eastAsia"/>
                <w:color w:val="auto"/>
                <w:highlight w:val="none"/>
                <w:lang w:val="en-US" w:eastAsia="zh-CN"/>
              </w:rPr>
              <w:t>施工电梯</w:t>
            </w:r>
            <w:r>
              <w:rPr>
                <w:rFonts w:hint="eastAsia"/>
                <w:color w:val="auto"/>
                <w:highlight w:val="none"/>
                <w:lang w:eastAsia="zh-CN"/>
              </w:rPr>
              <w:t>出厂</w:t>
            </w:r>
            <w:r>
              <w:rPr>
                <w:rFonts w:hint="eastAsia"/>
                <w:color w:val="auto"/>
                <w:highlight w:val="none"/>
                <w:lang w:val="en-US" w:eastAsia="zh-CN"/>
              </w:rPr>
              <w:t>至报装之日起</w:t>
            </w:r>
            <w:r>
              <w:rPr>
                <w:rFonts w:hint="eastAsia"/>
                <w:color w:val="auto"/>
                <w:highlight w:val="none"/>
                <w:lang w:eastAsia="zh-CN"/>
              </w:rPr>
              <w:t>不能超过</w:t>
            </w:r>
            <w:r>
              <w:rPr>
                <w:rFonts w:hint="eastAsia"/>
                <w:color w:val="auto"/>
                <w:highlight w:val="none"/>
                <w:lang w:val="en-US" w:eastAsia="zh-CN"/>
              </w:rPr>
              <w:t>6个月</w:t>
            </w:r>
            <w:r>
              <w:rPr>
                <w:rFonts w:hint="eastAsia"/>
                <w:color w:val="auto"/>
                <w:highlight w:val="none"/>
                <w:lang w:eastAsia="zh-CN"/>
              </w:rPr>
              <w:t>，</w:t>
            </w:r>
            <w:r>
              <w:rPr>
                <w:rFonts w:hint="eastAsia"/>
                <w:color w:val="auto"/>
                <w:highlight w:val="none"/>
                <w:lang w:val="en-US" w:eastAsia="zh-CN"/>
              </w:rPr>
              <w:t>全新施工电梯。满足每个单体至少一台</w:t>
            </w:r>
          </w:p>
        </w:tc>
      </w:tr>
    </w:tbl>
    <w:p>
      <w:pPr>
        <w:bidi w:val="0"/>
        <w:rPr>
          <w:rFonts w:hint="eastAsia"/>
          <w:color w:val="auto"/>
          <w:highlight w:val="none"/>
          <w:lang w:eastAsia="zh-CN"/>
        </w:rPr>
      </w:pPr>
      <w:r>
        <w:rPr>
          <w:rFonts w:hint="eastAsia"/>
          <w:color w:val="auto"/>
          <w:highlight w:val="none"/>
          <w:lang w:eastAsia="zh-CN"/>
        </w:rPr>
        <w:t>注：</w:t>
      </w:r>
    </w:p>
    <w:p>
      <w:pPr>
        <w:bidi w:val="0"/>
        <w:rPr>
          <w:color w:val="auto"/>
          <w:highlight w:val="none"/>
          <w:lang w:eastAsia="zh-CN"/>
        </w:rPr>
      </w:pPr>
      <w:r>
        <w:rPr>
          <w:rFonts w:hint="eastAsia"/>
          <w:color w:val="auto"/>
          <w:highlight w:val="none"/>
          <w:lang w:eastAsia="zh-CN"/>
        </w:rPr>
        <w:t>1）需配备熟练施工人员。</w:t>
      </w:r>
    </w:p>
    <w:p>
      <w:pPr>
        <w:bidi w:val="0"/>
        <w:rPr>
          <w:color w:val="auto"/>
          <w:highlight w:val="none"/>
          <w:lang w:eastAsia="zh-CN"/>
        </w:rPr>
      </w:pPr>
      <w:r>
        <w:rPr>
          <w:rFonts w:hint="eastAsia"/>
          <w:color w:val="auto"/>
          <w:highlight w:val="none"/>
          <w:lang w:eastAsia="zh-CN"/>
        </w:rPr>
        <w:t>2）塔吊司机、司索工、指挥工及人货梯司机需配备不少于3个班次的人员。</w:t>
      </w:r>
    </w:p>
    <w:p>
      <w:pPr>
        <w:bidi w:val="0"/>
        <w:rPr>
          <w:color w:val="auto"/>
          <w:highlight w:val="none"/>
          <w:lang w:eastAsia="zh-CN"/>
        </w:rPr>
      </w:pPr>
      <w:r>
        <w:rPr>
          <w:rFonts w:hint="eastAsia"/>
          <w:color w:val="auto"/>
          <w:highlight w:val="none"/>
          <w:lang w:eastAsia="zh-CN"/>
        </w:rPr>
        <w:t>3）施工设备涉及的所有建筑行业特种作业人员必须持有省级建设主管部门认可的特种作业人员操作证，并确保在有效内。</w:t>
      </w:r>
    </w:p>
    <w:p>
      <w:pPr>
        <w:pStyle w:val="4"/>
        <w:bidi w:val="0"/>
        <w:rPr>
          <w:color w:val="auto"/>
          <w:highlight w:val="none"/>
        </w:rPr>
      </w:pPr>
      <w:r>
        <w:rPr>
          <w:rFonts w:hint="eastAsia"/>
          <w:color w:val="auto"/>
          <w:highlight w:val="none"/>
        </w:rPr>
        <w:t>塔吊</w:t>
      </w:r>
    </w:p>
    <w:p>
      <w:pPr>
        <w:pStyle w:val="5"/>
        <w:bidi w:val="0"/>
        <w:ind w:left="253"/>
        <w:rPr>
          <w:color w:val="auto"/>
          <w:highlight w:val="none"/>
        </w:rPr>
      </w:pPr>
      <w:r>
        <w:rPr>
          <w:rFonts w:hint="eastAsia"/>
          <w:color w:val="auto"/>
          <w:highlight w:val="none"/>
        </w:rPr>
        <w:t>配置数量：</w:t>
      </w:r>
      <w:r>
        <w:rPr>
          <w:color w:val="auto"/>
          <w:highlight w:val="none"/>
        </w:rPr>
        <w:t>配置</w:t>
      </w:r>
      <w:r>
        <w:rPr>
          <w:rFonts w:hint="eastAsia"/>
          <w:color w:val="auto"/>
          <w:highlight w:val="none"/>
        </w:rPr>
        <w:t>塔吊数量至少要求能做到施工区域全覆盖无死角，且保证群塔作业安全并满足施工进度的要求。</w:t>
      </w:r>
    </w:p>
    <w:p>
      <w:pPr>
        <w:numPr>
          <w:ilvl w:val="0"/>
          <w:numId w:val="19"/>
        </w:numPr>
        <w:bidi w:val="0"/>
        <w:ind w:left="0" w:leftChars="0"/>
        <w:rPr>
          <w:color w:val="auto"/>
          <w:highlight w:val="none"/>
        </w:rPr>
      </w:pPr>
      <w:r>
        <w:rPr>
          <w:rFonts w:hint="eastAsia"/>
          <w:color w:val="auto"/>
          <w:highlight w:val="none"/>
        </w:rPr>
        <w:t>安装位置：塔吊安装位置要考虑覆盖的工作面大小、基础设置、附墙设置、材料堆场及场平道路、群塔作业、拆卸便利等。塔吊标准节与外墙、外边梁的距离要考虑整个立面轮廓线、脚手架或幕墙施工，避免冲突。</w:t>
      </w:r>
    </w:p>
    <w:p>
      <w:pPr>
        <w:numPr>
          <w:ilvl w:val="0"/>
          <w:numId w:val="19"/>
        </w:numPr>
        <w:bidi w:val="0"/>
        <w:ind w:left="0" w:leftChars="0"/>
        <w:rPr>
          <w:color w:val="auto"/>
          <w:highlight w:val="none"/>
        </w:rPr>
      </w:pPr>
      <w:r>
        <w:rPr>
          <w:rFonts w:hint="eastAsia"/>
          <w:color w:val="auto"/>
          <w:highlight w:val="none"/>
        </w:rPr>
        <w:t>安装位置还需考虑大臂不得与其他塔吊塔身相碰，不在架空高压线、变压器上方，否则须做好防护措施。</w:t>
      </w:r>
    </w:p>
    <w:p>
      <w:pPr>
        <w:numPr>
          <w:ilvl w:val="0"/>
          <w:numId w:val="19"/>
        </w:numPr>
        <w:bidi w:val="0"/>
        <w:ind w:left="0" w:leftChars="0"/>
        <w:rPr>
          <w:color w:val="auto"/>
          <w:highlight w:val="none"/>
        </w:rPr>
      </w:pPr>
      <w:r>
        <w:rPr>
          <w:rFonts w:hint="eastAsia"/>
          <w:color w:val="auto"/>
          <w:highlight w:val="none"/>
        </w:rPr>
        <w:t>塔吊大臂覆盖范围应靠近道路、材料堆场、加工场，减少水平运输距离。</w:t>
      </w:r>
    </w:p>
    <w:p>
      <w:pPr>
        <w:numPr>
          <w:ilvl w:val="0"/>
          <w:numId w:val="19"/>
        </w:numPr>
        <w:bidi w:val="0"/>
        <w:ind w:left="0" w:leftChars="0"/>
        <w:rPr>
          <w:color w:val="auto"/>
          <w:highlight w:val="none"/>
        </w:rPr>
      </w:pPr>
      <w:r>
        <w:rPr>
          <w:rFonts w:hint="eastAsia"/>
          <w:color w:val="auto"/>
          <w:highlight w:val="none"/>
        </w:rPr>
        <w:t>塔吊位置要便于安装、拆卸及配件的进退场，拆卸降节时不与建筑物相碰，拆卸时一般汽车吊能到指定位置。</w:t>
      </w:r>
    </w:p>
    <w:p>
      <w:pPr>
        <w:pStyle w:val="5"/>
        <w:bidi w:val="0"/>
        <w:ind w:left="253"/>
        <w:rPr>
          <w:color w:val="auto"/>
          <w:highlight w:val="none"/>
        </w:rPr>
      </w:pPr>
      <w:r>
        <w:rPr>
          <w:rFonts w:hint="eastAsia"/>
          <w:color w:val="auto"/>
          <w:highlight w:val="none"/>
        </w:rPr>
        <w:t>塔吊的规格型号：塔吊进场使用前使用年限以出厂铭牌时间计算，塔吊的规格型号选择主要从臂长和末端吊重两方面来考虑，臂长回转半径要尽量覆盖较多工程面，吊重主要考虑结构施工的钢筋、模板、钢管、混凝土、钢结构的吊装，机电工程设备的吊装。</w:t>
      </w:r>
    </w:p>
    <w:p>
      <w:pPr>
        <w:pStyle w:val="5"/>
        <w:bidi w:val="0"/>
        <w:ind w:left="253"/>
        <w:rPr>
          <w:color w:val="auto"/>
          <w:highlight w:val="none"/>
        </w:rPr>
      </w:pPr>
      <w:r>
        <w:rPr>
          <w:rFonts w:hint="eastAsia"/>
          <w:color w:val="auto"/>
          <w:highlight w:val="none"/>
        </w:rPr>
        <w:t>塔吊使用期限：</w:t>
      </w:r>
    </w:p>
    <w:p>
      <w:pPr>
        <w:numPr>
          <w:ilvl w:val="0"/>
          <w:numId w:val="20"/>
        </w:numPr>
        <w:bidi w:val="0"/>
        <w:ind w:left="0" w:leftChars="0"/>
        <w:rPr>
          <w:color w:val="auto"/>
          <w:highlight w:val="none"/>
        </w:rPr>
      </w:pPr>
      <w:r>
        <w:rPr>
          <w:rFonts w:hint="eastAsia"/>
          <w:color w:val="auto"/>
          <w:highlight w:val="none"/>
        </w:rPr>
        <w:t>塔吊进场：桩基、土方施工期间完成塔吊基础的施工，底板施工前完成塔吊安装、调试、检测，按底板流水施工分批进行安装交付使用。</w:t>
      </w:r>
    </w:p>
    <w:p>
      <w:pPr>
        <w:numPr>
          <w:ilvl w:val="0"/>
          <w:numId w:val="20"/>
        </w:numPr>
        <w:bidi w:val="0"/>
        <w:ind w:left="0" w:leftChars="0"/>
        <w:rPr>
          <w:color w:val="auto"/>
          <w:highlight w:val="none"/>
        </w:rPr>
      </w:pPr>
      <w:r>
        <w:rPr>
          <w:rFonts w:hint="eastAsia"/>
          <w:color w:val="auto"/>
          <w:highlight w:val="none"/>
        </w:rPr>
        <w:t>塔吊拆卸退场：结构</w:t>
      </w:r>
      <w:r>
        <w:rPr>
          <w:color w:val="auto"/>
          <w:highlight w:val="none"/>
        </w:rPr>
        <w:t>封顶</w:t>
      </w:r>
      <w:r>
        <w:rPr>
          <w:rFonts w:hint="eastAsia"/>
          <w:color w:val="auto"/>
          <w:highlight w:val="none"/>
        </w:rPr>
        <w:t>并</w:t>
      </w:r>
      <w:r>
        <w:rPr>
          <w:color w:val="auto"/>
          <w:highlight w:val="none"/>
        </w:rPr>
        <w:t>完成相关工序后，经监理人和发包人批准后</w:t>
      </w:r>
      <w:r>
        <w:rPr>
          <w:rFonts w:hint="eastAsia"/>
          <w:color w:val="auto"/>
          <w:highlight w:val="none"/>
        </w:rPr>
        <w:t>，</w:t>
      </w:r>
      <w:r>
        <w:rPr>
          <w:color w:val="auto"/>
          <w:highlight w:val="none"/>
        </w:rPr>
        <w:t>可以开始拆卸塔吊。</w:t>
      </w:r>
    </w:p>
    <w:p>
      <w:pPr>
        <w:numPr>
          <w:ilvl w:val="0"/>
          <w:numId w:val="20"/>
        </w:numPr>
        <w:bidi w:val="0"/>
        <w:ind w:left="0" w:leftChars="0"/>
        <w:rPr>
          <w:color w:val="auto"/>
          <w:highlight w:val="none"/>
        </w:rPr>
      </w:pPr>
      <w:r>
        <w:rPr>
          <w:rFonts w:hint="eastAsia"/>
          <w:color w:val="auto"/>
          <w:highlight w:val="none"/>
        </w:rPr>
        <w:t>塔吊拆除前，应</w:t>
      </w:r>
      <w:r>
        <w:rPr>
          <w:color w:val="auto"/>
          <w:highlight w:val="none"/>
        </w:rPr>
        <w:t>完成以下主要工序：主体结构封顶；需要塔吊屋顶作业的二次结构完成；</w:t>
      </w:r>
      <w:r>
        <w:rPr>
          <w:rFonts w:hint="eastAsia"/>
          <w:color w:val="auto"/>
          <w:highlight w:val="none"/>
        </w:rPr>
        <w:t>屋顶</w:t>
      </w:r>
      <w:r>
        <w:rPr>
          <w:color w:val="auto"/>
          <w:highlight w:val="none"/>
        </w:rPr>
        <w:t>的设备吊装完成：外架或爬架拆除完成等。</w:t>
      </w:r>
    </w:p>
    <w:p>
      <w:pPr>
        <w:pStyle w:val="5"/>
        <w:bidi w:val="0"/>
        <w:ind w:left="253"/>
        <w:rPr>
          <w:color w:val="auto"/>
          <w:highlight w:val="none"/>
        </w:rPr>
      </w:pPr>
      <w:r>
        <w:rPr>
          <w:rFonts w:hint="eastAsia"/>
          <w:color w:val="auto"/>
          <w:highlight w:val="none"/>
        </w:rPr>
        <w:t>总承包人应提供本项目塔吊配置计划，如下表所示：</w:t>
      </w:r>
    </w:p>
    <w:tbl>
      <w:tblPr>
        <w:tblStyle w:val="21"/>
        <w:tblW w:w="4997" w:type="pct"/>
        <w:jc w:val="right"/>
        <w:tblLayout w:type="autofit"/>
        <w:tblCellMar>
          <w:top w:w="0" w:type="dxa"/>
          <w:left w:w="108" w:type="dxa"/>
          <w:bottom w:w="0" w:type="dxa"/>
          <w:right w:w="108" w:type="dxa"/>
        </w:tblCellMar>
      </w:tblPr>
      <w:tblGrid>
        <w:gridCol w:w="797"/>
        <w:gridCol w:w="798"/>
        <w:gridCol w:w="930"/>
        <w:gridCol w:w="1062"/>
        <w:gridCol w:w="1986"/>
        <w:gridCol w:w="1324"/>
        <w:gridCol w:w="798"/>
        <w:gridCol w:w="798"/>
        <w:gridCol w:w="798"/>
      </w:tblGrid>
      <w:tr>
        <w:tblPrEx>
          <w:tblCellMar>
            <w:top w:w="0" w:type="dxa"/>
            <w:left w:w="108" w:type="dxa"/>
            <w:bottom w:w="0" w:type="dxa"/>
            <w:right w:w="108" w:type="dxa"/>
          </w:tblCellMar>
        </w:tblPrEx>
        <w:trPr>
          <w:trHeight w:val="619" w:hRule="atLeast"/>
          <w:jc w:val="right"/>
        </w:trPr>
        <w:tc>
          <w:tcPr>
            <w:tcW w:w="429" w:type="pct"/>
            <w:tcBorders>
              <w:top w:val="single" w:color="auto" w:sz="12" w:space="0"/>
              <w:left w:val="single" w:color="auto" w:sz="12" w:space="0"/>
              <w:bottom w:val="single" w:color="auto" w:sz="12" w:space="0"/>
            </w:tcBorders>
            <w:shd w:val="clear" w:color="auto" w:fill="FFC000"/>
            <w:vAlign w:val="center"/>
          </w:tcPr>
          <w:p>
            <w:pPr>
              <w:pStyle w:val="12"/>
              <w:bidi w:val="0"/>
              <w:rPr>
                <w:color w:val="auto"/>
                <w:highlight w:val="none"/>
              </w:rPr>
            </w:pPr>
            <w:r>
              <w:rPr>
                <w:rFonts w:hint="eastAsia"/>
                <w:color w:val="auto"/>
                <w:highlight w:val="none"/>
              </w:rPr>
              <w:t>编号</w:t>
            </w:r>
          </w:p>
        </w:tc>
        <w:tc>
          <w:tcPr>
            <w:tcW w:w="429" w:type="pct"/>
            <w:tcBorders>
              <w:top w:val="single" w:color="auto" w:sz="12" w:space="0"/>
              <w:left w:val="single" w:color="auto" w:sz="4" w:space="0"/>
              <w:bottom w:val="single" w:color="auto" w:sz="12" w:space="0"/>
              <w:right w:val="single" w:color="auto" w:sz="4" w:space="0"/>
            </w:tcBorders>
            <w:shd w:val="clear" w:color="auto" w:fill="FFC000"/>
            <w:vAlign w:val="center"/>
          </w:tcPr>
          <w:p>
            <w:pPr>
              <w:pStyle w:val="12"/>
              <w:bidi w:val="0"/>
              <w:rPr>
                <w:color w:val="auto"/>
                <w:highlight w:val="none"/>
              </w:rPr>
            </w:pPr>
            <w:r>
              <w:rPr>
                <w:rFonts w:hint="eastAsia"/>
                <w:color w:val="auto"/>
                <w:highlight w:val="none"/>
              </w:rPr>
              <w:t>型号</w:t>
            </w:r>
          </w:p>
        </w:tc>
        <w:tc>
          <w:tcPr>
            <w:tcW w:w="500" w:type="pct"/>
            <w:tcBorders>
              <w:top w:val="single" w:color="auto" w:sz="12" w:space="0"/>
              <w:left w:val="single" w:color="auto" w:sz="4" w:space="0"/>
              <w:bottom w:val="single" w:color="auto" w:sz="12" w:space="0"/>
              <w:right w:val="single" w:color="auto" w:sz="6" w:space="0"/>
            </w:tcBorders>
            <w:shd w:val="clear" w:color="auto" w:fill="FFC000"/>
            <w:vAlign w:val="center"/>
          </w:tcPr>
          <w:p>
            <w:pPr>
              <w:pStyle w:val="12"/>
              <w:bidi w:val="0"/>
              <w:rPr>
                <w:color w:val="auto"/>
                <w:highlight w:val="none"/>
              </w:rPr>
            </w:pPr>
            <w:r>
              <w:rPr>
                <w:rFonts w:hint="eastAsia"/>
                <w:color w:val="auto"/>
                <w:highlight w:val="none"/>
              </w:rPr>
              <w:t>臂长</w:t>
            </w:r>
          </w:p>
          <w:p>
            <w:pPr>
              <w:pStyle w:val="12"/>
              <w:bidi w:val="0"/>
              <w:rPr>
                <w:color w:val="auto"/>
                <w:highlight w:val="none"/>
              </w:rPr>
            </w:pPr>
            <w:r>
              <w:rPr>
                <w:rFonts w:hint="eastAsia"/>
                <w:color w:val="auto"/>
                <w:highlight w:val="none"/>
              </w:rPr>
              <w:t>（m）</w:t>
            </w:r>
          </w:p>
        </w:tc>
        <w:tc>
          <w:tcPr>
            <w:tcW w:w="571" w:type="pct"/>
            <w:tcBorders>
              <w:top w:val="single" w:color="auto" w:sz="12" w:space="0"/>
              <w:left w:val="single" w:color="auto" w:sz="6" w:space="0"/>
              <w:bottom w:val="single" w:color="auto" w:sz="12" w:space="0"/>
              <w:right w:val="single" w:color="auto" w:sz="6" w:space="0"/>
            </w:tcBorders>
            <w:shd w:val="clear" w:color="auto" w:fill="FFC000"/>
            <w:vAlign w:val="center"/>
          </w:tcPr>
          <w:p>
            <w:pPr>
              <w:pStyle w:val="12"/>
              <w:bidi w:val="0"/>
              <w:rPr>
                <w:color w:val="auto"/>
                <w:highlight w:val="none"/>
              </w:rPr>
            </w:pPr>
            <w:r>
              <w:rPr>
                <w:rFonts w:hint="eastAsia"/>
                <w:color w:val="auto"/>
                <w:highlight w:val="none"/>
              </w:rPr>
              <w:t>起重量</w:t>
            </w:r>
          </w:p>
          <w:p>
            <w:pPr>
              <w:pStyle w:val="12"/>
              <w:bidi w:val="0"/>
              <w:rPr>
                <w:color w:val="auto"/>
                <w:highlight w:val="none"/>
              </w:rPr>
            </w:pPr>
            <w:r>
              <w:rPr>
                <w:rFonts w:hint="eastAsia"/>
                <w:color w:val="auto"/>
                <w:highlight w:val="none"/>
              </w:rPr>
              <w:t>（t）</w:t>
            </w:r>
          </w:p>
        </w:tc>
        <w:tc>
          <w:tcPr>
            <w:tcW w:w="1068" w:type="pct"/>
            <w:tcBorders>
              <w:top w:val="single" w:color="auto" w:sz="12" w:space="0"/>
              <w:left w:val="single" w:color="auto" w:sz="6" w:space="0"/>
              <w:bottom w:val="single" w:color="auto" w:sz="12" w:space="0"/>
              <w:right w:val="single" w:color="auto" w:sz="6" w:space="0"/>
            </w:tcBorders>
            <w:shd w:val="clear" w:color="auto" w:fill="FFC000"/>
            <w:vAlign w:val="center"/>
          </w:tcPr>
          <w:p>
            <w:pPr>
              <w:pStyle w:val="12"/>
              <w:bidi w:val="0"/>
              <w:rPr>
                <w:color w:val="auto"/>
                <w:highlight w:val="none"/>
              </w:rPr>
            </w:pPr>
            <w:r>
              <w:rPr>
                <w:rFonts w:hint="eastAsia"/>
                <w:color w:val="auto"/>
                <w:highlight w:val="none"/>
              </w:rPr>
              <w:t>自由高度（m）</w:t>
            </w:r>
          </w:p>
        </w:tc>
        <w:tc>
          <w:tcPr>
            <w:tcW w:w="712" w:type="pct"/>
            <w:tcBorders>
              <w:top w:val="single" w:color="auto" w:sz="12" w:space="0"/>
              <w:left w:val="single" w:color="auto" w:sz="4" w:space="0"/>
              <w:bottom w:val="single" w:color="auto" w:sz="12" w:space="0"/>
              <w:right w:val="single" w:color="auto" w:sz="6" w:space="0"/>
            </w:tcBorders>
            <w:shd w:val="clear" w:color="auto" w:fill="FFC000"/>
            <w:vAlign w:val="center"/>
          </w:tcPr>
          <w:p>
            <w:pPr>
              <w:pStyle w:val="12"/>
              <w:bidi w:val="0"/>
              <w:rPr>
                <w:color w:val="auto"/>
                <w:highlight w:val="none"/>
              </w:rPr>
            </w:pPr>
            <w:r>
              <w:rPr>
                <w:rFonts w:hint="eastAsia"/>
                <w:color w:val="auto"/>
                <w:highlight w:val="none"/>
              </w:rPr>
              <w:t>安装高度</w:t>
            </w:r>
          </w:p>
          <w:p>
            <w:pPr>
              <w:pStyle w:val="12"/>
              <w:bidi w:val="0"/>
              <w:rPr>
                <w:color w:val="auto"/>
                <w:highlight w:val="none"/>
              </w:rPr>
            </w:pPr>
            <w:r>
              <w:rPr>
                <w:rFonts w:hint="eastAsia"/>
                <w:color w:val="auto"/>
                <w:highlight w:val="none"/>
              </w:rPr>
              <w:t>（m）</w:t>
            </w:r>
          </w:p>
        </w:tc>
        <w:tc>
          <w:tcPr>
            <w:tcW w:w="429" w:type="pct"/>
            <w:tcBorders>
              <w:top w:val="single" w:color="auto" w:sz="12" w:space="0"/>
              <w:left w:val="single" w:color="auto" w:sz="6" w:space="0"/>
              <w:bottom w:val="single" w:color="auto" w:sz="12" w:space="0"/>
              <w:right w:val="single" w:color="auto" w:sz="6" w:space="0"/>
            </w:tcBorders>
            <w:shd w:val="clear" w:color="auto" w:fill="FFC000"/>
            <w:vAlign w:val="center"/>
          </w:tcPr>
          <w:p>
            <w:pPr>
              <w:pStyle w:val="12"/>
              <w:bidi w:val="0"/>
              <w:rPr>
                <w:color w:val="auto"/>
                <w:highlight w:val="none"/>
              </w:rPr>
            </w:pPr>
            <w:r>
              <w:rPr>
                <w:rFonts w:hint="eastAsia"/>
                <w:color w:val="auto"/>
                <w:highlight w:val="none"/>
              </w:rPr>
              <w:t>安装</w:t>
            </w:r>
          </w:p>
          <w:p>
            <w:pPr>
              <w:pStyle w:val="12"/>
              <w:bidi w:val="0"/>
              <w:rPr>
                <w:color w:val="auto"/>
                <w:highlight w:val="none"/>
              </w:rPr>
            </w:pPr>
            <w:r>
              <w:rPr>
                <w:rFonts w:hint="eastAsia"/>
                <w:color w:val="auto"/>
                <w:highlight w:val="none"/>
              </w:rPr>
              <w:t>时间</w:t>
            </w:r>
          </w:p>
        </w:tc>
        <w:tc>
          <w:tcPr>
            <w:tcW w:w="429" w:type="pct"/>
            <w:tcBorders>
              <w:top w:val="single" w:color="auto" w:sz="12" w:space="0"/>
              <w:left w:val="single" w:color="auto" w:sz="6" w:space="0"/>
              <w:bottom w:val="single" w:color="auto" w:sz="12" w:space="0"/>
              <w:right w:val="single" w:color="auto" w:sz="2" w:space="0"/>
            </w:tcBorders>
            <w:shd w:val="clear" w:color="auto" w:fill="FFC000"/>
            <w:vAlign w:val="center"/>
          </w:tcPr>
          <w:p>
            <w:pPr>
              <w:pStyle w:val="12"/>
              <w:bidi w:val="0"/>
              <w:rPr>
                <w:color w:val="auto"/>
                <w:highlight w:val="none"/>
              </w:rPr>
            </w:pPr>
            <w:r>
              <w:rPr>
                <w:rFonts w:hint="eastAsia"/>
                <w:color w:val="auto"/>
                <w:highlight w:val="none"/>
              </w:rPr>
              <w:t>拆卸</w:t>
            </w:r>
          </w:p>
          <w:p>
            <w:pPr>
              <w:pStyle w:val="12"/>
              <w:bidi w:val="0"/>
              <w:rPr>
                <w:color w:val="auto"/>
                <w:highlight w:val="none"/>
              </w:rPr>
            </w:pPr>
            <w:r>
              <w:rPr>
                <w:rFonts w:hint="eastAsia"/>
                <w:color w:val="auto"/>
                <w:highlight w:val="none"/>
              </w:rPr>
              <w:t>时间</w:t>
            </w:r>
          </w:p>
        </w:tc>
        <w:tc>
          <w:tcPr>
            <w:tcW w:w="429" w:type="pct"/>
            <w:tcBorders>
              <w:top w:val="single" w:color="auto" w:sz="12" w:space="0"/>
              <w:left w:val="single" w:color="auto" w:sz="2" w:space="0"/>
              <w:bottom w:val="single" w:color="auto" w:sz="12" w:space="0"/>
              <w:right w:val="single" w:color="auto" w:sz="12" w:space="0"/>
            </w:tcBorders>
            <w:shd w:val="clear" w:color="auto" w:fill="FFC000"/>
            <w:vAlign w:val="center"/>
          </w:tcPr>
          <w:p>
            <w:pPr>
              <w:pStyle w:val="12"/>
              <w:bidi w:val="0"/>
              <w:rPr>
                <w:color w:val="auto"/>
                <w:highlight w:val="none"/>
              </w:rPr>
            </w:pPr>
            <w:r>
              <w:rPr>
                <w:rFonts w:hint="eastAsia"/>
                <w:color w:val="auto"/>
                <w:highlight w:val="none"/>
              </w:rPr>
              <w:t>备注</w:t>
            </w:r>
          </w:p>
        </w:tc>
      </w:tr>
      <w:tr>
        <w:tblPrEx>
          <w:tblCellMar>
            <w:top w:w="0" w:type="dxa"/>
            <w:left w:w="108" w:type="dxa"/>
            <w:bottom w:w="0" w:type="dxa"/>
            <w:right w:w="108" w:type="dxa"/>
          </w:tblCellMar>
        </w:tblPrEx>
        <w:trPr>
          <w:trHeight w:val="503" w:hRule="exact"/>
          <w:jc w:val="right"/>
        </w:trPr>
        <w:tc>
          <w:tcPr>
            <w:tcW w:w="429" w:type="pct"/>
            <w:tcBorders>
              <w:top w:val="single" w:color="auto" w:sz="12" w:space="0"/>
              <w:left w:val="single" w:color="auto" w:sz="12" w:space="0"/>
              <w:bottom w:val="single" w:color="auto" w:sz="6" w:space="0"/>
            </w:tcBorders>
            <w:shd w:val="clear" w:color="auto" w:fill="auto"/>
            <w:vAlign w:val="center"/>
          </w:tcPr>
          <w:p>
            <w:pPr>
              <w:pStyle w:val="12"/>
              <w:bidi w:val="0"/>
              <w:rPr>
                <w:color w:val="auto"/>
                <w:highlight w:val="none"/>
              </w:rPr>
            </w:pPr>
          </w:p>
        </w:tc>
        <w:tc>
          <w:tcPr>
            <w:tcW w:w="429" w:type="pct"/>
            <w:tcBorders>
              <w:top w:val="single" w:color="auto" w:sz="12" w:space="0"/>
              <w:left w:val="single" w:color="auto" w:sz="4" w:space="0"/>
              <w:bottom w:val="single" w:color="auto" w:sz="6" w:space="0"/>
              <w:right w:val="single" w:color="auto" w:sz="4" w:space="0"/>
            </w:tcBorders>
            <w:shd w:val="clear" w:color="auto" w:fill="auto"/>
            <w:vAlign w:val="center"/>
          </w:tcPr>
          <w:p>
            <w:pPr>
              <w:pStyle w:val="12"/>
              <w:bidi w:val="0"/>
              <w:rPr>
                <w:color w:val="auto"/>
                <w:highlight w:val="none"/>
              </w:rPr>
            </w:pPr>
          </w:p>
        </w:tc>
        <w:tc>
          <w:tcPr>
            <w:tcW w:w="500" w:type="pct"/>
            <w:tcBorders>
              <w:top w:val="single" w:color="auto" w:sz="12" w:space="0"/>
              <w:left w:val="single" w:color="auto" w:sz="4" w:space="0"/>
              <w:bottom w:val="single" w:color="auto" w:sz="6" w:space="0"/>
              <w:right w:val="single" w:color="auto" w:sz="6" w:space="0"/>
            </w:tcBorders>
            <w:shd w:val="clear" w:color="auto" w:fill="auto"/>
            <w:vAlign w:val="center"/>
          </w:tcPr>
          <w:p>
            <w:pPr>
              <w:pStyle w:val="12"/>
              <w:bidi w:val="0"/>
              <w:rPr>
                <w:color w:val="auto"/>
                <w:highlight w:val="none"/>
              </w:rPr>
            </w:pPr>
          </w:p>
        </w:tc>
        <w:tc>
          <w:tcPr>
            <w:tcW w:w="571" w:type="pct"/>
            <w:tcBorders>
              <w:top w:val="single" w:color="auto" w:sz="12" w:space="0"/>
              <w:left w:val="single" w:color="auto" w:sz="6" w:space="0"/>
              <w:bottom w:val="single" w:color="auto" w:sz="6" w:space="0"/>
              <w:right w:val="single" w:color="auto" w:sz="6" w:space="0"/>
            </w:tcBorders>
            <w:shd w:val="clear" w:color="auto" w:fill="auto"/>
            <w:vAlign w:val="center"/>
          </w:tcPr>
          <w:p>
            <w:pPr>
              <w:pStyle w:val="12"/>
              <w:bidi w:val="0"/>
              <w:rPr>
                <w:color w:val="auto"/>
                <w:highlight w:val="none"/>
              </w:rPr>
            </w:pPr>
          </w:p>
        </w:tc>
        <w:tc>
          <w:tcPr>
            <w:tcW w:w="1068" w:type="pct"/>
            <w:tcBorders>
              <w:top w:val="single" w:color="auto" w:sz="12" w:space="0"/>
              <w:left w:val="single" w:color="auto" w:sz="6" w:space="0"/>
              <w:bottom w:val="single" w:color="auto" w:sz="6" w:space="0"/>
              <w:right w:val="single" w:color="auto" w:sz="6" w:space="0"/>
            </w:tcBorders>
            <w:shd w:val="clear" w:color="auto" w:fill="auto"/>
            <w:vAlign w:val="center"/>
          </w:tcPr>
          <w:p>
            <w:pPr>
              <w:pStyle w:val="12"/>
              <w:bidi w:val="0"/>
              <w:rPr>
                <w:color w:val="auto"/>
                <w:highlight w:val="none"/>
              </w:rPr>
            </w:pPr>
          </w:p>
        </w:tc>
        <w:tc>
          <w:tcPr>
            <w:tcW w:w="712" w:type="pct"/>
            <w:tcBorders>
              <w:top w:val="single" w:color="auto" w:sz="12" w:space="0"/>
              <w:left w:val="single" w:color="auto" w:sz="4" w:space="0"/>
              <w:bottom w:val="single" w:color="auto" w:sz="6" w:space="0"/>
              <w:right w:val="single" w:color="auto" w:sz="6" w:space="0"/>
            </w:tcBorders>
            <w:shd w:val="clear" w:color="auto" w:fill="auto"/>
            <w:vAlign w:val="center"/>
          </w:tcPr>
          <w:p>
            <w:pPr>
              <w:pStyle w:val="12"/>
              <w:bidi w:val="0"/>
              <w:rPr>
                <w:color w:val="auto"/>
                <w:highlight w:val="none"/>
              </w:rPr>
            </w:pPr>
          </w:p>
        </w:tc>
        <w:tc>
          <w:tcPr>
            <w:tcW w:w="429" w:type="pct"/>
            <w:tcBorders>
              <w:top w:val="single" w:color="auto" w:sz="12" w:space="0"/>
              <w:left w:val="single" w:color="auto" w:sz="6" w:space="0"/>
              <w:bottom w:val="single" w:color="auto" w:sz="6" w:space="0"/>
              <w:right w:val="single" w:color="auto" w:sz="6" w:space="0"/>
            </w:tcBorders>
            <w:shd w:val="clear" w:color="auto" w:fill="auto"/>
            <w:noWrap/>
            <w:vAlign w:val="center"/>
          </w:tcPr>
          <w:p>
            <w:pPr>
              <w:pStyle w:val="12"/>
              <w:bidi w:val="0"/>
              <w:rPr>
                <w:color w:val="auto"/>
                <w:highlight w:val="none"/>
              </w:rPr>
            </w:pPr>
          </w:p>
        </w:tc>
        <w:tc>
          <w:tcPr>
            <w:tcW w:w="429" w:type="pct"/>
            <w:tcBorders>
              <w:top w:val="single" w:color="auto" w:sz="12" w:space="0"/>
              <w:left w:val="single" w:color="auto" w:sz="6" w:space="0"/>
              <w:bottom w:val="single" w:color="auto" w:sz="6" w:space="0"/>
              <w:right w:val="single" w:color="auto" w:sz="2" w:space="0"/>
            </w:tcBorders>
            <w:shd w:val="clear" w:color="auto" w:fill="auto"/>
            <w:noWrap/>
            <w:vAlign w:val="center"/>
          </w:tcPr>
          <w:p>
            <w:pPr>
              <w:pStyle w:val="12"/>
              <w:bidi w:val="0"/>
              <w:rPr>
                <w:color w:val="auto"/>
                <w:highlight w:val="none"/>
              </w:rPr>
            </w:pPr>
          </w:p>
        </w:tc>
        <w:tc>
          <w:tcPr>
            <w:tcW w:w="429" w:type="pct"/>
            <w:tcBorders>
              <w:top w:val="single" w:color="auto" w:sz="12" w:space="0"/>
              <w:left w:val="single" w:color="auto" w:sz="2" w:space="0"/>
              <w:bottom w:val="single" w:color="auto" w:sz="6" w:space="0"/>
              <w:right w:val="single" w:color="auto" w:sz="12" w:space="0"/>
            </w:tcBorders>
            <w:shd w:val="clear" w:color="auto" w:fill="auto"/>
            <w:vAlign w:val="center"/>
          </w:tcPr>
          <w:p>
            <w:pPr>
              <w:pStyle w:val="12"/>
              <w:bidi w:val="0"/>
              <w:rPr>
                <w:color w:val="auto"/>
                <w:highlight w:val="none"/>
              </w:rPr>
            </w:pPr>
          </w:p>
        </w:tc>
      </w:tr>
      <w:tr>
        <w:tblPrEx>
          <w:tblCellMar>
            <w:top w:w="0" w:type="dxa"/>
            <w:left w:w="108" w:type="dxa"/>
            <w:bottom w:w="0" w:type="dxa"/>
            <w:right w:w="108" w:type="dxa"/>
          </w:tblCellMar>
        </w:tblPrEx>
        <w:trPr>
          <w:trHeight w:val="410" w:hRule="exact"/>
          <w:jc w:val="right"/>
        </w:trPr>
        <w:tc>
          <w:tcPr>
            <w:tcW w:w="429" w:type="pct"/>
            <w:tcBorders>
              <w:top w:val="single" w:color="auto" w:sz="4" w:space="0"/>
              <w:left w:val="single" w:color="auto" w:sz="12" w:space="0"/>
              <w:bottom w:val="single" w:color="auto" w:sz="12" w:space="0"/>
            </w:tcBorders>
            <w:shd w:val="clear" w:color="auto" w:fill="auto"/>
            <w:vAlign w:val="center"/>
          </w:tcPr>
          <w:p>
            <w:pPr>
              <w:pStyle w:val="12"/>
              <w:bidi w:val="0"/>
              <w:rPr>
                <w:color w:val="auto"/>
                <w:highlight w:val="none"/>
              </w:rPr>
            </w:pPr>
          </w:p>
        </w:tc>
        <w:tc>
          <w:tcPr>
            <w:tcW w:w="429" w:type="pct"/>
            <w:tcBorders>
              <w:top w:val="single" w:color="auto" w:sz="4" w:space="0"/>
              <w:left w:val="single" w:color="auto" w:sz="4" w:space="0"/>
              <w:bottom w:val="single" w:color="auto" w:sz="12" w:space="0"/>
              <w:right w:val="single" w:color="auto" w:sz="4" w:space="0"/>
            </w:tcBorders>
            <w:shd w:val="clear" w:color="auto" w:fill="auto"/>
            <w:vAlign w:val="center"/>
          </w:tcPr>
          <w:p>
            <w:pPr>
              <w:pStyle w:val="12"/>
              <w:bidi w:val="0"/>
              <w:rPr>
                <w:color w:val="auto"/>
                <w:highlight w:val="none"/>
              </w:rPr>
            </w:pPr>
          </w:p>
        </w:tc>
        <w:tc>
          <w:tcPr>
            <w:tcW w:w="500" w:type="pct"/>
            <w:tcBorders>
              <w:top w:val="single" w:color="auto" w:sz="4" w:space="0"/>
              <w:left w:val="single" w:color="auto" w:sz="4" w:space="0"/>
              <w:bottom w:val="single" w:color="auto" w:sz="12" w:space="0"/>
              <w:right w:val="single" w:color="auto" w:sz="6" w:space="0"/>
            </w:tcBorders>
            <w:shd w:val="clear" w:color="auto" w:fill="auto"/>
            <w:vAlign w:val="center"/>
          </w:tcPr>
          <w:p>
            <w:pPr>
              <w:pStyle w:val="12"/>
              <w:bidi w:val="0"/>
              <w:rPr>
                <w:color w:val="auto"/>
                <w:highlight w:val="none"/>
              </w:rPr>
            </w:pPr>
          </w:p>
        </w:tc>
        <w:tc>
          <w:tcPr>
            <w:tcW w:w="571" w:type="pct"/>
            <w:tcBorders>
              <w:top w:val="single" w:color="auto" w:sz="4" w:space="0"/>
              <w:left w:val="single" w:color="auto" w:sz="6" w:space="0"/>
              <w:bottom w:val="single" w:color="auto" w:sz="12" w:space="0"/>
              <w:right w:val="single" w:color="auto" w:sz="6" w:space="0"/>
            </w:tcBorders>
            <w:shd w:val="clear" w:color="auto" w:fill="auto"/>
            <w:vAlign w:val="center"/>
          </w:tcPr>
          <w:p>
            <w:pPr>
              <w:pStyle w:val="12"/>
              <w:bidi w:val="0"/>
              <w:rPr>
                <w:color w:val="auto"/>
                <w:highlight w:val="none"/>
              </w:rPr>
            </w:pPr>
          </w:p>
        </w:tc>
        <w:tc>
          <w:tcPr>
            <w:tcW w:w="1068" w:type="pct"/>
            <w:tcBorders>
              <w:top w:val="single" w:color="auto" w:sz="4" w:space="0"/>
              <w:left w:val="single" w:color="auto" w:sz="6" w:space="0"/>
              <w:bottom w:val="single" w:color="auto" w:sz="12" w:space="0"/>
              <w:right w:val="single" w:color="auto" w:sz="6" w:space="0"/>
            </w:tcBorders>
            <w:shd w:val="clear" w:color="auto" w:fill="auto"/>
            <w:vAlign w:val="center"/>
          </w:tcPr>
          <w:p>
            <w:pPr>
              <w:pStyle w:val="12"/>
              <w:bidi w:val="0"/>
              <w:rPr>
                <w:color w:val="auto"/>
                <w:highlight w:val="none"/>
              </w:rPr>
            </w:pPr>
          </w:p>
        </w:tc>
        <w:tc>
          <w:tcPr>
            <w:tcW w:w="712" w:type="pct"/>
            <w:tcBorders>
              <w:top w:val="single" w:color="auto" w:sz="4" w:space="0"/>
              <w:left w:val="single" w:color="auto" w:sz="4" w:space="0"/>
              <w:bottom w:val="single" w:color="auto" w:sz="12" w:space="0"/>
              <w:right w:val="single" w:color="auto" w:sz="6" w:space="0"/>
            </w:tcBorders>
            <w:shd w:val="clear" w:color="auto" w:fill="auto"/>
            <w:vAlign w:val="center"/>
          </w:tcPr>
          <w:p>
            <w:pPr>
              <w:pStyle w:val="12"/>
              <w:bidi w:val="0"/>
              <w:rPr>
                <w:color w:val="auto"/>
                <w:highlight w:val="none"/>
              </w:rPr>
            </w:pPr>
          </w:p>
        </w:tc>
        <w:tc>
          <w:tcPr>
            <w:tcW w:w="429" w:type="pct"/>
            <w:tcBorders>
              <w:top w:val="single" w:color="auto" w:sz="4" w:space="0"/>
              <w:left w:val="single" w:color="auto" w:sz="6" w:space="0"/>
              <w:bottom w:val="single" w:color="auto" w:sz="12" w:space="0"/>
              <w:right w:val="single" w:color="auto" w:sz="6" w:space="0"/>
            </w:tcBorders>
            <w:shd w:val="clear" w:color="auto" w:fill="auto"/>
            <w:noWrap/>
            <w:vAlign w:val="center"/>
          </w:tcPr>
          <w:p>
            <w:pPr>
              <w:pStyle w:val="12"/>
              <w:bidi w:val="0"/>
              <w:rPr>
                <w:color w:val="auto"/>
                <w:highlight w:val="none"/>
              </w:rPr>
            </w:pPr>
          </w:p>
        </w:tc>
        <w:tc>
          <w:tcPr>
            <w:tcW w:w="429" w:type="pct"/>
            <w:tcBorders>
              <w:top w:val="single" w:color="auto" w:sz="4" w:space="0"/>
              <w:left w:val="single" w:color="auto" w:sz="6" w:space="0"/>
              <w:bottom w:val="single" w:color="auto" w:sz="12" w:space="0"/>
              <w:right w:val="single" w:color="auto" w:sz="2" w:space="0"/>
            </w:tcBorders>
            <w:shd w:val="clear" w:color="auto" w:fill="auto"/>
            <w:noWrap/>
            <w:vAlign w:val="center"/>
          </w:tcPr>
          <w:p>
            <w:pPr>
              <w:pStyle w:val="12"/>
              <w:bidi w:val="0"/>
              <w:rPr>
                <w:color w:val="auto"/>
                <w:highlight w:val="none"/>
              </w:rPr>
            </w:pPr>
          </w:p>
        </w:tc>
        <w:tc>
          <w:tcPr>
            <w:tcW w:w="429" w:type="pct"/>
            <w:tcBorders>
              <w:top w:val="single" w:color="auto" w:sz="4" w:space="0"/>
              <w:left w:val="single" w:color="auto" w:sz="2" w:space="0"/>
              <w:bottom w:val="single" w:color="auto" w:sz="12" w:space="0"/>
              <w:right w:val="single" w:color="auto" w:sz="12" w:space="0"/>
            </w:tcBorders>
            <w:shd w:val="clear" w:color="auto" w:fill="auto"/>
            <w:vAlign w:val="center"/>
          </w:tcPr>
          <w:p>
            <w:pPr>
              <w:pStyle w:val="12"/>
              <w:bidi w:val="0"/>
              <w:rPr>
                <w:color w:val="auto"/>
                <w:highlight w:val="none"/>
              </w:rPr>
            </w:pPr>
          </w:p>
        </w:tc>
      </w:tr>
    </w:tbl>
    <w:p>
      <w:pPr>
        <w:pStyle w:val="4"/>
        <w:bidi w:val="0"/>
        <w:rPr>
          <w:color w:val="auto"/>
          <w:highlight w:val="none"/>
        </w:rPr>
      </w:pPr>
      <w:r>
        <w:rPr>
          <w:rFonts w:hint="eastAsia"/>
          <w:color w:val="auto"/>
          <w:highlight w:val="none"/>
        </w:rPr>
        <w:t>施工</w:t>
      </w:r>
      <w:r>
        <w:rPr>
          <w:color w:val="auto"/>
          <w:highlight w:val="none"/>
        </w:rPr>
        <w:t>电梯</w:t>
      </w:r>
    </w:p>
    <w:p>
      <w:pPr>
        <w:pStyle w:val="5"/>
        <w:bidi w:val="0"/>
        <w:ind w:left="253"/>
        <w:rPr>
          <w:color w:val="auto"/>
          <w:highlight w:val="none"/>
        </w:rPr>
      </w:pPr>
      <w:r>
        <w:rPr>
          <w:rFonts w:hint="eastAsia"/>
          <w:color w:val="auto"/>
          <w:highlight w:val="none"/>
        </w:rPr>
        <w:t>配置数量：施工电梯主要为砌筑、抹灰、机电、装修等工程材料垂直运输服务，可按在楼层内人工运输半径在30~50m内考虑施工电梯的布置数量。</w:t>
      </w:r>
    </w:p>
    <w:p>
      <w:pPr>
        <w:pStyle w:val="5"/>
        <w:bidi w:val="0"/>
        <w:ind w:left="253"/>
        <w:rPr>
          <w:color w:val="auto"/>
          <w:highlight w:val="none"/>
        </w:rPr>
      </w:pPr>
      <w:r>
        <w:rPr>
          <w:rFonts w:hint="eastAsia"/>
          <w:color w:val="auto"/>
          <w:highlight w:val="none"/>
        </w:rPr>
        <w:t>安装位置：必须道路畅通，便于材料运输，电梯出入口进入楼层内需有结构楼板，不宜在井道、楼梯、架空板、剪力墙边、卫生间等位置；基础于地下室顶板上的施工电梯需考虑不能影响下部地下室的施工。施工电梯操作架平台与外架应独立不可连接，标准节与结构边梁的距离应考虑外架的宽度。</w:t>
      </w:r>
    </w:p>
    <w:p>
      <w:pPr>
        <w:pStyle w:val="5"/>
        <w:bidi w:val="0"/>
        <w:ind w:left="253"/>
        <w:rPr>
          <w:color w:val="auto"/>
          <w:highlight w:val="none"/>
        </w:rPr>
      </w:pPr>
      <w:r>
        <w:rPr>
          <w:rFonts w:hint="eastAsia"/>
          <w:color w:val="auto"/>
          <w:highlight w:val="none"/>
        </w:rPr>
        <w:t>使用期限：在上部结构砌筑抹灰前安装、检测完成，具备使用条件，拆卸时间为室内正式电梯完成调试检测能投入使用的时间。</w:t>
      </w:r>
    </w:p>
    <w:p>
      <w:pPr>
        <w:pStyle w:val="5"/>
        <w:bidi w:val="0"/>
        <w:ind w:left="253"/>
        <w:rPr>
          <w:color w:val="auto"/>
          <w:highlight w:val="none"/>
        </w:rPr>
      </w:pPr>
      <w:r>
        <w:rPr>
          <w:rFonts w:hint="eastAsia"/>
          <w:color w:val="auto"/>
          <w:highlight w:val="none"/>
        </w:rPr>
        <w:t>施工电梯进场使用前使用</w:t>
      </w:r>
      <w:r>
        <w:rPr>
          <w:color w:val="auto"/>
          <w:highlight w:val="none"/>
        </w:rPr>
        <w:t>年限</w:t>
      </w:r>
      <w:r>
        <w:rPr>
          <w:rFonts w:hint="eastAsia"/>
          <w:color w:val="auto"/>
          <w:highlight w:val="none"/>
        </w:rPr>
        <w:t>以出厂铭牌时间计算</w:t>
      </w:r>
      <w:r>
        <w:rPr>
          <w:color w:val="auto"/>
          <w:highlight w:val="none"/>
        </w:rPr>
        <w:t>。</w:t>
      </w:r>
    </w:p>
    <w:p>
      <w:pPr>
        <w:pStyle w:val="5"/>
        <w:bidi w:val="0"/>
        <w:ind w:left="253"/>
        <w:rPr>
          <w:color w:val="auto"/>
          <w:highlight w:val="none"/>
        </w:rPr>
      </w:pPr>
      <w:r>
        <w:rPr>
          <w:rFonts w:hint="eastAsia"/>
          <w:color w:val="auto"/>
          <w:highlight w:val="none"/>
        </w:rPr>
        <w:t>施工</w:t>
      </w:r>
      <w:r>
        <w:rPr>
          <w:color w:val="auto"/>
          <w:highlight w:val="none"/>
        </w:rPr>
        <w:t>现场禁止使用井架作为垂直运输设备。</w:t>
      </w:r>
    </w:p>
    <w:p>
      <w:pPr>
        <w:pStyle w:val="5"/>
        <w:bidi w:val="0"/>
        <w:ind w:left="253"/>
        <w:rPr>
          <w:color w:val="auto"/>
          <w:highlight w:val="none"/>
        </w:rPr>
      </w:pPr>
      <w:r>
        <w:rPr>
          <w:rFonts w:hint="eastAsia"/>
          <w:color w:val="auto"/>
          <w:highlight w:val="none"/>
        </w:rPr>
        <w:t>总承包人应提供本项目施工电梯配置计划，如下表所示：</w:t>
      </w:r>
    </w:p>
    <w:tbl>
      <w:tblPr>
        <w:tblStyle w:val="21"/>
        <w:tblpPr w:leftFromText="180" w:rightFromText="180" w:vertAnchor="text" w:horzAnchor="margin" w:tblpXSpec="right" w:tblpY="170"/>
        <w:tblW w:w="4996" w:type="pct"/>
        <w:tblInd w:w="0" w:type="dxa"/>
        <w:tblLayout w:type="autofit"/>
        <w:tblCellMar>
          <w:top w:w="0" w:type="dxa"/>
          <w:left w:w="108" w:type="dxa"/>
          <w:bottom w:w="0" w:type="dxa"/>
          <w:right w:w="108" w:type="dxa"/>
        </w:tblCellMar>
      </w:tblPr>
      <w:tblGrid>
        <w:gridCol w:w="971"/>
        <w:gridCol w:w="1131"/>
        <w:gridCol w:w="1618"/>
        <w:gridCol w:w="1454"/>
        <w:gridCol w:w="1292"/>
        <w:gridCol w:w="1210"/>
        <w:gridCol w:w="807"/>
        <w:gridCol w:w="807"/>
      </w:tblGrid>
      <w:tr>
        <w:tblPrEx>
          <w:tblCellMar>
            <w:top w:w="0" w:type="dxa"/>
            <w:left w:w="108" w:type="dxa"/>
            <w:bottom w:w="0" w:type="dxa"/>
            <w:right w:w="108" w:type="dxa"/>
          </w:tblCellMar>
        </w:tblPrEx>
        <w:trPr>
          <w:trHeight w:val="538" w:hRule="atLeast"/>
        </w:trPr>
        <w:tc>
          <w:tcPr>
            <w:tcW w:w="522" w:type="pct"/>
            <w:tcBorders>
              <w:top w:val="single" w:color="auto" w:sz="12" w:space="0"/>
              <w:left w:val="single" w:color="auto" w:sz="12" w:space="0"/>
              <w:bottom w:val="single" w:color="auto" w:sz="12" w:space="0"/>
            </w:tcBorders>
            <w:shd w:val="clear" w:color="auto" w:fill="FFC000"/>
            <w:vAlign w:val="center"/>
          </w:tcPr>
          <w:p>
            <w:pPr>
              <w:pStyle w:val="12"/>
              <w:bidi w:val="0"/>
              <w:rPr>
                <w:color w:val="auto"/>
                <w:highlight w:val="none"/>
              </w:rPr>
            </w:pPr>
            <w:r>
              <w:rPr>
                <w:rFonts w:hint="eastAsia"/>
                <w:color w:val="auto"/>
                <w:highlight w:val="none"/>
              </w:rPr>
              <w:t>编号</w:t>
            </w:r>
          </w:p>
        </w:tc>
        <w:tc>
          <w:tcPr>
            <w:tcW w:w="608" w:type="pct"/>
            <w:tcBorders>
              <w:top w:val="single" w:color="auto" w:sz="12" w:space="0"/>
              <w:left w:val="single" w:color="auto" w:sz="4" w:space="0"/>
              <w:bottom w:val="single" w:color="auto" w:sz="12" w:space="0"/>
              <w:right w:val="single" w:color="auto" w:sz="4" w:space="0"/>
            </w:tcBorders>
            <w:shd w:val="clear" w:color="auto" w:fill="FFC000"/>
            <w:vAlign w:val="center"/>
          </w:tcPr>
          <w:p>
            <w:pPr>
              <w:pStyle w:val="12"/>
              <w:bidi w:val="0"/>
              <w:rPr>
                <w:color w:val="auto"/>
                <w:highlight w:val="none"/>
              </w:rPr>
            </w:pPr>
            <w:r>
              <w:rPr>
                <w:rFonts w:hint="eastAsia"/>
                <w:color w:val="auto"/>
                <w:highlight w:val="none"/>
              </w:rPr>
              <w:t>型号</w:t>
            </w:r>
          </w:p>
        </w:tc>
        <w:tc>
          <w:tcPr>
            <w:tcW w:w="870" w:type="pct"/>
            <w:tcBorders>
              <w:top w:val="single" w:color="auto" w:sz="12" w:space="0"/>
              <w:left w:val="single" w:color="auto" w:sz="4" w:space="0"/>
              <w:bottom w:val="single" w:color="auto" w:sz="12" w:space="0"/>
              <w:right w:val="single" w:color="auto" w:sz="6" w:space="0"/>
            </w:tcBorders>
            <w:shd w:val="clear" w:color="auto" w:fill="FFC000"/>
            <w:vAlign w:val="center"/>
          </w:tcPr>
          <w:p>
            <w:pPr>
              <w:pStyle w:val="12"/>
              <w:bidi w:val="0"/>
              <w:rPr>
                <w:color w:val="auto"/>
                <w:highlight w:val="none"/>
              </w:rPr>
            </w:pPr>
            <w:r>
              <w:rPr>
                <w:rFonts w:hint="eastAsia"/>
                <w:color w:val="auto"/>
                <w:highlight w:val="none"/>
              </w:rPr>
              <w:t>限载重量</w:t>
            </w:r>
          </w:p>
          <w:p>
            <w:pPr>
              <w:pStyle w:val="12"/>
              <w:bidi w:val="0"/>
              <w:rPr>
                <w:color w:val="auto"/>
                <w:highlight w:val="none"/>
              </w:rPr>
            </w:pPr>
            <w:r>
              <w:rPr>
                <w:rFonts w:hint="eastAsia"/>
                <w:color w:val="auto"/>
                <w:highlight w:val="none"/>
              </w:rPr>
              <w:t>（t）</w:t>
            </w:r>
          </w:p>
        </w:tc>
        <w:tc>
          <w:tcPr>
            <w:tcW w:w="782" w:type="pct"/>
            <w:tcBorders>
              <w:top w:val="single" w:color="auto" w:sz="12" w:space="0"/>
              <w:left w:val="single" w:color="auto" w:sz="6" w:space="0"/>
              <w:bottom w:val="single" w:color="auto" w:sz="12" w:space="0"/>
              <w:right w:val="single" w:color="auto" w:sz="6" w:space="0"/>
            </w:tcBorders>
            <w:shd w:val="clear" w:color="auto" w:fill="FFC000"/>
            <w:vAlign w:val="center"/>
          </w:tcPr>
          <w:p>
            <w:pPr>
              <w:pStyle w:val="12"/>
              <w:bidi w:val="0"/>
              <w:rPr>
                <w:color w:val="auto"/>
                <w:highlight w:val="none"/>
              </w:rPr>
            </w:pPr>
            <w:r>
              <w:rPr>
                <w:rFonts w:hint="eastAsia"/>
                <w:color w:val="auto"/>
                <w:highlight w:val="none"/>
              </w:rPr>
              <w:t>安装高度</w:t>
            </w:r>
          </w:p>
          <w:p>
            <w:pPr>
              <w:pStyle w:val="12"/>
              <w:bidi w:val="0"/>
              <w:rPr>
                <w:color w:val="auto"/>
                <w:highlight w:val="none"/>
              </w:rPr>
            </w:pPr>
            <w:r>
              <w:rPr>
                <w:rFonts w:hint="eastAsia"/>
                <w:color w:val="auto"/>
                <w:highlight w:val="none"/>
              </w:rPr>
              <w:t>(m)</w:t>
            </w:r>
          </w:p>
        </w:tc>
        <w:tc>
          <w:tcPr>
            <w:tcW w:w="695" w:type="pct"/>
            <w:tcBorders>
              <w:top w:val="single" w:color="auto" w:sz="12" w:space="0"/>
              <w:left w:val="single" w:color="auto" w:sz="6" w:space="0"/>
              <w:bottom w:val="single" w:color="auto" w:sz="12" w:space="0"/>
              <w:right w:val="single" w:color="auto" w:sz="4" w:space="0"/>
            </w:tcBorders>
            <w:shd w:val="clear" w:color="auto" w:fill="FFC000"/>
            <w:vAlign w:val="center"/>
          </w:tcPr>
          <w:p>
            <w:pPr>
              <w:pStyle w:val="12"/>
              <w:bidi w:val="0"/>
              <w:rPr>
                <w:color w:val="auto"/>
                <w:highlight w:val="none"/>
              </w:rPr>
            </w:pPr>
            <w:r>
              <w:rPr>
                <w:rFonts w:hint="eastAsia"/>
                <w:color w:val="auto"/>
                <w:highlight w:val="none"/>
              </w:rPr>
              <w:t>吊笼尺寸（m）</w:t>
            </w:r>
          </w:p>
        </w:tc>
        <w:tc>
          <w:tcPr>
            <w:tcW w:w="651" w:type="pct"/>
            <w:tcBorders>
              <w:top w:val="single" w:color="auto" w:sz="12" w:space="0"/>
              <w:left w:val="single" w:color="auto" w:sz="4" w:space="0"/>
              <w:bottom w:val="single" w:color="auto" w:sz="12" w:space="0"/>
              <w:right w:val="single" w:color="auto" w:sz="2" w:space="0"/>
            </w:tcBorders>
            <w:shd w:val="clear" w:color="auto" w:fill="FFC000"/>
            <w:vAlign w:val="center"/>
          </w:tcPr>
          <w:p>
            <w:pPr>
              <w:pStyle w:val="12"/>
              <w:bidi w:val="0"/>
              <w:rPr>
                <w:color w:val="auto"/>
                <w:highlight w:val="none"/>
              </w:rPr>
            </w:pPr>
            <w:r>
              <w:rPr>
                <w:rFonts w:hint="eastAsia"/>
                <w:color w:val="auto"/>
                <w:highlight w:val="none"/>
              </w:rPr>
              <w:t>安装</w:t>
            </w:r>
          </w:p>
          <w:p>
            <w:pPr>
              <w:pStyle w:val="12"/>
              <w:bidi w:val="0"/>
              <w:rPr>
                <w:color w:val="auto"/>
                <w:highlight w:val="none"/>
              </w:rPr>
            </w:pPr>
            <w:r>
              <w:rPr>
                <w:rFonts w:hint="eastAsia"/>
                <w:color w:val="auto"/>
                <w:highlight w:val="none"/>
              </w:rPr>
              <w:t>时间</w:t>
            </w:r>
          </w:p>
        </w:tc>
        <w:tc>
          <w:tcPr>
            <w:tcW w:w="434" w:type="pct"/>
            <w:tcBorders>
              <w:top w:val="single" w:color="auto" w:sz="12" w:space="0"/>
              <w:left w:val="single" w:color="auto" w:sz="2" w:space="0"/>
              <w:bottom w:val="single" w:color="auto" w:sz="12" w:space="0"/>
              <w:right w:val="single" w:color="auto" w:sz="6" w:space="0"/>
            </w:tcBorders>
            <w:shd w:val="clear" w:color="auto" w:fill="FFC000"/>
            <w:vAlign w:val="center"/>
          </w:tcPr>
          <w:p>
            <w:pPr>
              <w:pStyle w:val="12"/>
              <w:bidi w:val="0"/>
              <w:rPr>
                <w:color w:val="auto"/>
                <w:highlight w:val="none"/>
              </w:rPr>
            </w:pPr>
            <w:r>
              <w:rPr>
                <w:rFonts w:hint="eastAsia"/>
                <w:color w:val="auto"/>
                <w:highlight w:val="none"/>
              </w:rPr>
              <w:t>拆卸时间</w:t>
            </w:r>
          </w:p>
        </w:tc>
        <w:tc>
          <w:tcPr>
            <w:tcW w:w="434" w:type="pct"/>
            <w:tcBorders>
              <w:top w:val="single" w:color="auto" w:sz="12" w:space="0"/>
              <w:left w:val="single" w:color="auto" w:sz="6" w:space="0"/>
              <w:bottom w:val="single" w:color="auto" w:sz="12" w:space="0"/>
              <w:right w:val="single" w:color="auto" w:sz="12" w:space="0"/>
            </w:tcBorders>
            <w:shd w:val="clear" w:color="auto" w:fill="FFC000"/>
            <w:vAlign w:val="center"/>
          </w:tcPr>
          <w:p>
            <w:pPr>
              <w:pStyle w:val="12"/>
              <w:bidi w:val="0"/>
              <w:rPr>
                <w:color w:val="auto"/>
                <w:highlight w:val="none"/>
              </w:rPr>
            </w:pPr>
            <w:r>
              <w:rPr>
                <w:rFonts w:hint="eastAsia"/>
                <w:color w:val="auto"/>
                <w:highlight w:val="none"/>
              </w:rPr>
              <w:t>备注</w:t>
            </w:r>
          </w:p>
        </w:tc>
      </w:tr>
      <w:tr>
        <w:tblPrEx>
          <w:tblCellMar>
            <w:top w:w="0" w:type="dxa"/>
            <w:left w:w="108" w:type="dxa"/>
            <w:bottom w:w="0" w:type="dxa"/>
            <w:right w:w="108" w:type="dxa"/>
          </w:tblCellMar>
        </w:tblPrEx>
        <w:trPr>
          <w:trHeight w:val="450" w:hRule="exact"/>
        </w:trPr>
        <w:tc>
          <w:tcPr>
            <w:tcW w:w="522" w:type="pct"/>
            <w:tcBorders>
              <w:top w:val="single" w:color="auto" w:sz="2" w:space="0"/>
              <w:left w:val="single" w:color="auto" w:sz="12" w:space="0"/>
              <w:bottom w:val="single" w:color="auto" w:sz="2" w:space="0"/>
            </w:tcBorders>
            <w:shd w:val="clear" w:color="auto" w:fill="auto"/>
            <w:vAlign w:val="center"/>
          </w:tcPr>
          <w:p>
            <w:pPr>
              <w:pStyle w:val="12"/>
              <w:bidi w:val="0"/>
              <w:rPr>
                <w:color w:val="auto"/>
                <w:highlight w:val="none"/>
              </w:rPr>
            </w:pPr>
          </w:p>
        </w:tc>
        <w:tc>
          <w:tcPr>
            <w:tcW w:w="608" w:type="pct"/>
            <w:tcBorders>
              <w:top w:val="single" w:color="auto" w:sz="2" w:space="0"/>
              <w:left w:val="single" w:color="auto" w:sz="4" w:space="0"/>
              <w:bottom w:val="single" w:color="auto" w:sz="2" w:space="0"/>
              <w:right w:val="single" w:color="auto" w:sz="4" w:space="0"/>
            </w:tcBorders>
            <w:shd w:val="clear" w:color="auto" w:fill="auto"/>
            <w:vAlign w:val="center"/>
          </w:tcPr>
          <w:p>
            <w:pPr>
              <w:pStyle w:val="12"/>
              <w:bidi w:val="0"/>
              <w:rPr>
                <w:color w:val="auto"/>
                <w:highlight w:val="none"/>
              </w:rPr>
            </w:pPr>
          </w:p>
        </w:tc>
        <w:tc>
          <w:tcPr>
            <w:tcW w:w="870" w:type="pct"/>
            <w:tcBorders>
              <w:top w:val="single" w:color="auto" w:sz="2" w:space="0"/>
              <w:left w:val="single" w:color="auto" w:sz="4" w:space="0"/>
              <w:bottom w:val="single" w:color="auto" w:sz="2" w:space="0"/>
              <w:right w:val="single" w:color="auto" w:sz="6" w:space="0"/>
            </w:tcBorders>
            <w:shd w:val="clear" w:color="auto" w:fill="auto"/>
            <w:vAlign w:val="center"/>
          </w:tcPr>
          <w:p>
            <w:pPr>
              <w:pStyle w:val="12"/>
              <w:bidi w:val="0"/>
              <w:rPr>
                <w:color w:val="auto"/>
                <w:highlight w:val="none"/>
              </w:rPr>
            </w:pPr>
          </w:p>
        </w:tc>
        <w:tc>
          <w:tcPr>
            <w:tcW w:w="782" w:type="pct"/>
            <w:tcBorders>
              <w:top w:val="single" w:color="auto" w:sz="2" w:space="0"/>
              <w:left w:val="single" w:color="auto" w:sz="6" w:space="0"/>
              <w:bottom w:val="single" w:color="auto" w:sz="2" w:space="0"/>
              <w:right w:val="single" w:color="auto" w:sz="6" w:space="0"/>
            </w:tcBorders>
            <w:shd w:val="clear" w:color="auto" w:fill="auto"/>
            <w:vAlign w:val="center"/>
          </w:tcPr>
          <w:p>
            <w:pPr>
              <w:pStyle w:val="12"/>
              <w:bidi w:val="0"/>
              <w:rPr>
                <w:color w:val="auto"/>
                <w:highlight w:val="none"/>
              </w:rPr>
            </w:pPr>
          </w:p>
        </w:tc>
        <w:tc>
          <w:tcPr>
            <w:tcW w:w="695" w:type="pct"/>
            <w:tcBorders>
              <w:top w:val="single" w:color="auto" w:sz="2" w:space="0"/>
              <w:left w:val="single" w:color="auto" w:sz="6" w:space="0"/>
              <w:bottom w:val="single" w:color="auto" w:sz="2" w:space="0"/>
              <w:right w:val="single" w:color="auto" w:sz="4" w:space="0"/>
            </w:tcBorders>
            <w:shd w:val="clear" w:color="auto" w:fill="auto"/>
            <w:vAlign w:val="center"/>
          </w:tcPr>
          <w:p>
            <w:pPr>
              <w:pStyle w:val="12"/>
              <w:bidi w:val="0"/>
              <w:rPr>
                <w:color w:val="auto"/>
                <w:highlight w:val="none"/>
              </w:rPr>
            </w:pPr>
          </w:p>
        </w:tc>
        <w:tc>
          <w:tcPr>
            <w:tcW w:w="651" w:type="pct"/>
            <w:tcBorders>
              <w:top w:val="single" w:color="auto" w:sz="2" w:space="0"/>
              <w:left w:val="single" w:color="auto" w:sz="4" w:space="0"/>
              <w:bottom w:val="single" w:color="auto" w:sz="2" w:space="0"/>
              <w:right w:val="single" w:color="auto" w:sz="2" w:space="0"/>
            </w:tcBorders>
            <w:shd w:val="clear" w:color="auto" w:fill="auto"/>
            <w:vAlign w:val="center"/>
          </w:tcPr>
          <w:p>
            <w:pPr>
              <w:pStyle w:val="12"/>
              <w:bidi w:val="0"/>
              <w:rPr>
                <w:color w:val="auto"/>
                <w:highlight w:val="none"/>
              </w:rPr>
            </w:pPr>
          </w:p>
        </w:tc>
        <w:tc>
          <w:tcPr>
            <w:tcW w:w="434" w:type="pct"/>
            <w:tcBorders>
              <w:top w:val="single" w:color="auto" w:sz="2" w:space="0"/>
              <w:left w:val="single" w:color="auto" w:sz="2" w:space="0"/>
              <w:bottom w:val="single" w:color="auto" w:sz="2" w:space="0"/>
              <w:right w:val="single" w:color="auto" w:sz="6" w:space="0"/>
            </w:tcBorders>
            <w:shd w:val="clear" w:color="auto" w:fill="auto"/>
            <w:vAlign w:val="center"/>
          </w:tcPr>
          <w:p>
            <w:pPr>
              <w:pStyle w:val="12"/>
              <w:bidi w:val="0"/>
              <w:rPr>
                <w:color w:val="auto"/>
                <w:highlight w:val="none"/>
              </w:rPr>
            </w:pPr>
          </w:p>
        </w:tc>
        <w:tc>
          <w:tcPr>
            <w:tcW w:w="434" w:type="pct"/>
            <w:tcBorders>
              <w:top w:val="single" w:color="auto" w:sz="2" w:space="0"/>
              <w:left w:val="single" w:color="auto" w:sz="6" w:space="0"/>
              <w:bottom w:val="single" w:color="auto" w:sz="2" w:space="0"/>
              <w:right w:val="single" w:color="auto" w:sz="12" w:space="0"/>
            </w:tcBorders>
            <w:shd w:val="clear" w:color="auto" w:fill="auto"/>
            <w:noWrap/>
            <w:vAlign w:val="center"/>
          </w:tcPr>
          <w:p>
            <w:pPr>
              <w:pStyle w:val="12"/>
              <w:bidi w:val="0"/>
              <w:rPr>
                <w:color w:val="auto"/>
                <w:highlight w:val="none"/>
              </w:rPr>
            </w:pPr>
          </w:p>
        </w:tc>
      </w:tr>
      <w:tr>
        <w:tblPrEx>
          <w:tblCellMar>
            <w:top w:w="0" w:type="dxa"/>
            <w:left w:w="108" w:type="dxa"/>
            <w:bottom w:w="0" w:type="dxa"/>
            <w:right w:w="108" w:type="dxa"/>
          </w:tblCellMar>
        </w:tblPrEx>
        <w:trPr>
          <w:trHeight w:val="450" w:hRule="exact"/>
        </w:trPr>
        <w:tc>
          <w:tcPr>
            <w:tcW w:w="522" w:type="pct"/>
            <w:tcBorders>
              <w:top w:val="single" w:color="auto" w:sz="2" w:space="0"/>
              <w:left w:val="single" w:color="auto" w:sz="12" w:space="0"/>
              <w:bottom w:val="single" w:color="auto" w:sz="12" w:space="0"/>
            </w:tcBorders>
            <w:shd w:val="clear" w:color="auto" w:fill="auto"/>
            <w:vAlign w:val="center"/>
          </w:tcPr>
          <w:p>
            <w:pPr>
              <w:pStyle w:val="12"/>
              <w:bidi w:val="0"/>
              <w:rPr>
                <w:color w:val="auto"/>
                <w:highlight w:val="none"/>
              </w:rPr>
            </w:pPr>
          </w:p>
        </w:tc>
        <w:tc>
          <w:tcPr>
            <w:tcW w:w="608" w:type="pct"/>
            <w:tcBorders>
              <w:top w:val="single" w:color="auto" w:sz="2" w:space="0"/>
              <w:left w:val="single" w:color="auto" w:sz="4" w:space="0"/>
              <w:bottom w:val="single" w:color="auto" w:sz="12" w:space="0"/>
              <w:right w:val="single" w:color="auto" w:sz="4" w:space="0"/>
            </w:tcBorders>
            <w:shd w:val="clear" w:color="auto" w:fill="auto"/>
            <w:vAlign w:val="center"/>
          </w:tcPr>
          <w:p>
            <w:pPr>
              <w:pStyle w:val="12"/>
              <w:bidi w:val="0"/>
              <w:rPr>
                <w:color w:val="auto"/>
                <w:highlight w:val="none"/>
              </w:rPr>
            </w:pPr>
          </w:p>
        </w:tc>
        <w:tc>
          <w:tcPr>
            <w:tcW w:w="870" w:type="pct"/>
            <w:tcBorders>
              <w:top w:val="single" w:color="auto" w:sz="2" w:space="0"/>
              <w:left w:val="single" w:color="auto" w:sz="4" w:space="0"/>
              <w:bottom w:val="single" w:color="auto" w:sz="12" w:space="0"/>
              <w:right w:val="single" w:color="auto" w:sz="6" w:space="0"/>
            </w:tcBorders>
            <w:shd w:val="clear" w:color="auto" w:fill="auto"/>
            <w:vAlign w:val="center"/>
          </w:tcPr>
          <w:p>
            <w:pPr>
              <w:pStyle w:val="12"/>
              <w:bidi w:val="0"/>
              <w:rPr>
                <w:color w:val="auto"/>
                <w:highlight w:val="none"/>
              </w:rPr>
            </w:pPr>
          </w:p>
        </w:tc>
        <w:tc>
          <w:tcPr>
            <w:tcW w:w="782" w:type="pct"/>
            <w:tcBorders>
              <w:top w:val="single" w:color="auto" w:sz="2" w:space="0"/>
              <w:left w:val="single" w:color="auto" w:sz="6" w:space="0"/>
              <w:bottom w:val="single" w:color="auto" w:sz="12" w:space="0"/>
              <w:right w:val="single" w:color="auto" w:sz="6" w:space="0"/>
            </w:tcBorders>
            <w:shd w:val="clear" w:color="auto" w:fill="auto"/>
            <w:vAlign w:val="center"/>
          </w:tcPr>
          <w:p>
            <w:pPr>
              <w:pStyle w:val="12"/>
              <w:bidi w:val="0"/>
              <w:rPr>
                <w:color w:val="auto"/>
                <w:highlight w:val="none"/>
              </w:rPr>
            </w:pPr>
          </w:p>
        </w:tc>
        <w:tc>
          <w:tcPr>
            <w:tcW w:w="695" w:type="pct"/>
            <w:tcBorders>
              <w:top w:val="single" w:color="auto" w:sz="2" w:space="0"/>
              <w:left w:val="single" w:color="auto" w:sz="6" w:space="0"/>
              <w:bottom w:val="single" w:color="auto" w:sz="12" w:space="0"/>
              <w:right w:val="single" w:color="auto" w:sz="4" w:space="0"/>
            </w:tcBorders>
            <w:shd w:val="clear" w:color="auto" w:fill="auto"/>
            <w:vAlign w:val="center"/>
          </w:tcPr>
          <w:p>
            <w:pPr>
              <w:pStyle w:val="12"/>
              <w:bidi w:val="0"/>
              <w:rPr>
                <w:color w:val="auto"/>
                <w:highlight w:val="none"/>
              </w:rPr>
            </w:pPr>
          </w:p>
        </w:tc>
        <w:tc>
          <w:tcPr>
            <w:tcW w:w="651" w:type="pct"/>
            <w:tcBorders>
              <w:top w:val="single" w:color="auto" w:sz="2" w:space="0"/>
              <w:left w:val="single" w:color="auto" w:sz="4" w:space="0"/>
              <w:bottom w:val="single" w:color="auto" w:sz="12" w:space="0"/>
              <w:right w:val="single" w:color="auto" w:sz="2" w:space="0"/>
            </w:tcBorders>
            <w:shd w:val="clear" w:color="auto" w:fill="auto"/>
            <w:vAlign w:val="center"/>
          </w:tcPr>
          <w:p>
            <w:pPr>
              <w:pStyle w:val="12"/>
              <w:bidi w:val="0"/>
              <w:rPr>
                <w:color w:val="auto"/>
                <w:highlight w:val="none"/>
              </w:rPr>
            </w:pPr>
          </w:p>
        </w:tc>
        <w:tc>
          <w:tcPr>
            <w:tcW w:w="434" w:type="pct"/>
            <w:tcBorders>
              <w:top w:val="single" w:color="auto" w:sz="2" w:space="0"/>
              <w:left w:val="single" w:color="auto" w:sz="2" w:space="0"/>
              <w:bottom w:val="single" w:color="auto" w:sz="12" w:space="0"/>
              <w:right w:val="single" w:color="auto" w:sz="6" w:space="0"/>
            </w:tcBorders>
            <w:shd w:val="clear" w:color="auto" w:fill="auto"/>
            <w:vAlign w:val="center"/>
          </w:tcPr>
          <w:p>
            <w:pPr>
              <w:pStyle w:val="12"/>
              <w:bidi w:val="0"/>
              <w:rPr>
                <w:color w:val="auto"/>
                <w:highlight w:val="none"/>
              </w:rPr>
            </w:pPr>
          </w:p>
        </w:tc>
        <w:tc>
          <w:tcPr>
            <w:tcW w:w="434" w:type="pct"/>
            <w:tcBorders>
              <w:top w:val="single" w:color="auto" w:sz="2" w:space="0"/>
              <w:left w:val="single" w:color="auto" w:sz="6" w:space="0"/>
              <w:bottom w:val="single" w:color="auto" w:sz="12" w:space="0"/>
              <w:right w:val="single" w:color="auto" w:sz="12" w:space="0"/>
            </w:tcBorders>
            <w:shd w:val="clear" w:color="auto" w:fill="auto"/>
            <w:noWrap/>
            <w:vAlign w:val="center"/>
          </w:tcPr>
          <w:p>
            <w:pPr>
              <w:pStyle w:val="12"/>
              <w:bidi w:val="0"/>
              <w:rPr>
                <w:color w:val="auto"/>
                <w:highlight w:val="none"/>
              </w:rPr>
            </w:pPr>
          </w:p>
        </w:tc>
      </w:tr>
    </w:tbl>
    <w:p>
      <w:pPr>
        <w:pStyle w:val="3"/>
        <w:bidi w:val="0"/>
        <w:rPr>
          <w:color w:val="auto"/>
          <w:highlight w:val="none"/>
        </w:rPr>
      </w:pPr>
      <w:bookmarkStart w:id="450" w:name="_Toc520244624"/>
      <w:bookmarkEnd w:id="450"/>
      <w:bookmarkStart w:id="451" w:name="_Toc520245252"/>
      <w:bookmarkEnd w:id="451"/>
      <w:bookmarkStart w:id="452" w:name="_Toc169722221"/>
      <w:bookmarkStart w:id="453" w:name="_Toc491453748"/>
      <w:bookmarkStart w:id="454" w:name="_Toc3833"/>
      <w:bookmarkStart w:id="455" w:name="_Toc491089033"/>
      <w:bookmarkStart w:id="456" w:name="_Toc11607"/>
      <w:bookmarkStart w:id="457" w:name="_Toc18710"/>
      <w:bookmarkStart w:id="458" w:name="_Toc491332900"/>
      <w:bookmarkStart w:id="459" w:name="_Toc1041"/>
      <w:bookmarkStart w:id="460" w:name="_Toc31472"/>
      <w:bookmarkStart w:id="461" w:name="_Toc32477"/>
      <w:bookmarkStart w:id="462" w:name="_Toc31524"/>
      <w:bookmarkStart w:id="463" w:name="_Toc490829814"/>
      <w:bookmarkStart w:id="464" w:name="_Toc2009"/>
      <w:bookmarkStart w:id="465" w:name="_Toc21722"/>
      <w:bookmarkStart w:id="466" w:name="_Toc15766"/>
      <w:bookmarkStart w:id="467" w:name="_Toc16579"/>
      <w:r>
        <w:rPr>
          <w:color w:val="auto"/>
          <w:highlight w:val="none"/>
        </w:rPr>
        <w:t>劳务队伍</w:t>
      </w:r>
      <w:r>
        <w:rPr>
          <w:rFonts w:hint="eastAsia"/>
          <w:color w:val="auto"/>
          <w:highlight w:val="none"/>
        </w:rPr>
        <w:t>选择</w:t>
      </w:r>
      <w:r>
        <w:rPr>
          <w:color w:val="auto"/>
          <w:highlight w:val="none"/>
        </w:rPr>
        <w:t>要求</w:t>
      </w:r>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p>
    <w:p>
      <w:pPr>
        <w:pStyle w:val="4"/>
        <w:bidi w:val="0"/>
        <w:rPr>
          <w:color w:val="auto"/>
          <w:highlight w:val="none"/>
        </w:rPr>
      </w:pPr>
      <w:bookmarkStart w:id="468" w:name="_Toc491453749"/>
      <w:bookmarkStart w:id="469" w:name="_Toc5548"/>
      <w:bookmarkStart w:id="470" w:name="_Toc19201"/>
      <w:bookmarkStart w:id="471" w:name="_Toc490829815"/>
      <w:bookmarkStart w:id="472" w:name="_Toc7875"/>
      <w:bookmarkStart w:id="473" w:name="_Toc32722"/>
      <w:bookmarkStart w:id="474" w:name="_Toc22983"/>
      <w:bookmarkStart w:id="475" w:name="_Toc169722222"/>
      <w:bookmarkStart w:id="476" w:name="_Toc491089034"/>
      <w:bookmarkStart w:id="477" w:name="_Toc3138"/>
      <w:bookmarkStart w:id="478" w:name="_Toc264"/>
      <w:bookmarkStart w:id="479" w:name="_Toc19297"/>
      <w:bookmarkStart w:id="480" w:name="_Toc491332901"/>
      <w:bookmarkStart w:id="481" w:name="_Toc21904"/>
      <w:bookmarkStart w:id="482" w:name="_Toc9323"/>
      <w:r>
        <w:rPr>
          <w:rFonts w:hint="eastAsia"/>
          <w:color w:val="auto"/>
          <w:highlight w:val="none"/>
        </w:rPr>
        <w:t>劳务队伍的选定</w:t>
      </w:r>
    </w:p>
    <w:p>
      <w:pPr>
        <w:pStyle w:val="5"/>
        <w:bidi w:val="0"/>
        <w:ind w:left="253"/>
        <w:rPr>
          <w:color w:val="auto"/>
          <w:highlight w:val="none"/>
        </w:rPr>
      </w:pPr>
      <w:r>
        <w:rPr>
          <w:rFonts w:hint="eastAsia"/>
          <w:color w:val="auto"/>
          <w:highlight w:val="none"/>
        </w:rPr>
        <w:t>具有劳务分包资质，不存在被停止招投标、安全生产许可证被暂扣或吊销等情况。已完成在项目所在地备案手续。</w:t>
      </w:r>
    </w:p>
    <w:p>
      <w:pPr>
        <w:pStyle w:val="5"/>
        <w:bidi w:val="0"/>
        <w:ind w:left="253"/>
        <w:rPr>
          <w:color w:val="auto"/>
          <w:highlight w:val="none"/>
        </w:rPr>
      </w:pPr>
      <w:r>
        <w:rPr>
          <w:rFonts w:hint="eastAsia"/>
          <w:color w:val="auto"/>
          <w:highlight w:val="none"/>
        </w:rPr>
        <w:t>具备与招标项目类似的项目工程经验。</w:t>
      </w:r>
    </w:p>
    <w:p>
      <w:pPr>
        <w:pStyle w:val="5"/>
        <w:bidi w:val="0"/>
        <w:ind w:left="253"/>
        <w:rPr>
          <w:color w:val="auto"/>
          <w:highlight w:val="none"/>
        </w:rPr>
      </w:pPr>
      <w:r>
        <w:rPr>
          <w:rFonts w:hint="eastAsia"/>
          <w:color w:val="auto"/>
          <w:highlight w:val="none"/>
        </w:rPr>
        <w:t>近</w:t>
      </w:r>
      <w:r>
        <w:rPr>
          <w:color w:val="auto"/>
          <w:highlight w:val="none"/>
        </w:rPr>
        <w:t>3</w:t>
      </w:r>
      <w:r>
        <w:rPr>
          <w:rFonts w:hint="eastAsia"/>
          <w:color w:val="auto"/>
          <w:highlight w:val="none"/>
        </w:rPr>
        <w:t>年内与总承包人无劳务纠纷、群众事件、集体上访事件。</w:t>
      </w:r>
    </w:p>
    <w:p>
      <w:pPr>
        <w:pStyle w:val="5"/>
        <w:bidi w:val="0"/>
        <w:ind w:left="253"/>
        <w:rPr>
          <w:color w:val="auto"/>
          <w:highlight w:val="none"/>
        </w:rPr>
      </w:pPr>
      <w:r>
        <w:rPr>
          <w:rFonts w:hint="eastAsia"/>
          <w:color w:val="auto"/>
          <w:highlight w:val="none"/>
        </w:rPr>
        <w:t>不得使用建筑业信用警戒提示企业名单、个人名单内的劳务企业及施工队长。</w:t>
      </w:r>
    </w:p>
    <w:p>
      <w:pPr>
        <w:pStyle w:val="4"/>
        <w:bidi w:val="0"/>
        <w:rPr>
          <w:color w:val="auto"/>
          <w:highlight w:val="none"/>
        </w:rPr>
      </w:pPr>
      <w:r>
        <w:rPr>
          <w:rFonts w:hint="eastAsia"/>
          <w:color w:val="auto"/>
          <w:highlight w:val="none"/>
        </w:rPr>
        <w:t>劳务队伍的管理</w:t>
      </w:r>
      <w:r>
        <w:rPr>
          <w:color w:val="auto"/>
          <w:highlight w:val="none"/>
        </w:rPr>
        <w:t>要求</w:t>
      </w:r>
    </w:p>
    <w:p>
      <w:pPr>
        <w:pStyle w:val="5"/>
        <w:bidi w:val="0"/>
        <w:ind w:left="253"/>
        <w:rPr>
          <w:color w:val="auto"/>
          <w:highlight w:val="none"/>
        </w:rPr>
      </w:pPr>
      <w:r>
        <w:rPr>
          <w:rFonts w:hint="eastAsia"/>
          <w:color w:val="auto"/>
          <w:highlight w:val="none"/>
        </w:rPr>
        <w:t>劳务分包的组织机构健全，有完整的管理体系。</w:t>
      </w:r>
    </w:p>
    <w:p>
      <w:pPr>
        <w:pStyle w:val="5"/>
        <w:bidi w:val="0"/>
        <w:ind w:left="253"/>
        <w:rPr>
          <w:color w:val="auto"/>
          <w:highlight w:val="none"/>
        </w:rPr>
      </w:pPr>
      <w:r>
        <w:rPr>
          <w:rFonts w:hint="eastAsia"/>
          <w:color w:val="auto"/>
          <w:highlight w:val="none"/>
        </w:rPr>
        <w:t>劳务分包的项目人员架构齐全，并有相应的资格证书。由总承包人对劳务分包的项目人员的资格进行审查，并呈报给发包人。</w:t>
      </w:r>
    </w:p>
    <w:p>
      <w:pPr>
        <w:pStyle w:val="5"/>
        <w:bidi w:val="0"/>
        <w:ind w:left="253"/>
        <w:rPr>
          <w:color w:val="auto"/>
          <w:highlight w:val="none"/>
        </w:rPr>
      </w:pPr>
      <w:r>
        <w:rPr>
          <w:rFonts w:hint="eastAsia"/>
          <w:color w:val="auto"/>
          <w:highlight w:val="none"/>
        </w:rPr>
        <w:t>总承包人需向发包人提交与劳务公司的具体总承包人式及材料设备界面划分等详细信息。劳务分包辅料中不得含主材。施工电梯、塔吊、二级以上配电箱等由总承包人提供。</w:t>
      </w:r>
    </w:p>
    <w:p>
      <w:pPr>
        <w:pStyle w:val="5"/>
        <w:bidi w:val="0"/>
        <w:ind w:left="253"/>
        <w:rPr>
          <w:color w:val="auto"/>
          <w:highlight w:val="none"/>
        </w:rPr>
      </w:pPr>
      <w:r>
        <w:rPr>
          <w:rFonts w:hint="eastAsia"/>
          <w:color w:val="auto"/>
          <w:highlight w:val="none"/>
        </w:rPr>
        <w:t>劳务分包的机器设备、工具应在总承包人的指导和检查下使用，统一管理。</w:t>
      </w:r>
    </w:p>
    <w:p>
      <w:pPr>
        <w:pStyle w:val="5"/>
        <w:bidi w:val="0"/>
        <w:ind w:left="253"/>
        <w:rPr>
          <w:color w:val="auto"/>
          <w:highlight w:val="none"/>
        </w:rPr>
      </w:pPr>
      <w:r>
        <w:rPr>
          <w:rFonts w:hint="eastAsia"/>
          <w:color w:val="auto"/>
          <w:highlight w:val="none"/>
        </w:rPr>
        <w:t>总承包人在</w:t>
      </w:r>
      <w:r>
        <w:rPr>
          <w:color w:val="auto"/>
          <w:highlight w:val="none"/>
        </w:rPr>
        <w:t>劳务招标文件与合同</w:t>
      </w:r>
      <w:r>
        <w:rPr>
          <w:rFonts w:hint="eastAsia"/>
          <w:color w:val="auto"/>
          <w:highlight w:val="none"/>
        </w:rPr>
        <w:t>文件中</w:t>
      </w:r>
      <w:r>
        <w:rPr>
          <w:color w:val="auto"/>
          <w:highlight w:val="none"/>
        </w:rPr>
        <w:t>列明的质量、安全要求</w:t>
      </w:r>
      <w:r>
        <w:rPr>
          <w:rFonts w:hint="eastAsia"/>
          <w:color w:val="auto"/>
          <w:highlight w:val="none"/>
        </w:rPr>
        <w:t>，应与发包人</w:t>
      </w:r>
      <w:r>
        <w:rPr>
          <w:color w:val="auto"/>
          <w:highlight w:val="none"/>
        </w:rPr>
        <w:t>对总承包人的</w:t>
      </w:r>
      <w:r>
        <w:rPr>
          <w:rFonts w:hint="eastAsia"/>
          <w:color w:val="auto"/>
          <w:highlight w:val="none"/>
        </w:rPr>
        <w:t>所有</w:t>
      </w:r>
      <w:r>
        <w:rPr>
          <w:color w:val="auto"/>
          <w:highlight w:val="none"/>
        </w:rPr>
        <w:t>质量、安全要求一致，</w:t>
      </w:r>
      <w:r>
        <w:rPr>
          <w:rFonts w:hint="eastAsia"/>
          <w:color w:val="auto"/>
          <w:highlight w:val="none"/>
        </w:rPr>
        <w:t>总承包人</w:t>
      </w:r>
      <w:r>
        <w:rPr>
          <w:color w:val="auto"/>
          <w:highlight w:val="none"/>
        </w:rPr>
        <w:t>劳务招标文件与合同</w:t>
      </w:r>
      <w:r>
        <w:rPr>
          <w:rFonts w:hint="eastAsia"/>
          <w:color w:val="auto"/>
          <w:highlight w:val="none"/>
        </w:rPr>
        <w:t>文件须</w:t>
      </w:r>
      <w:r>
        <w:rPr>
          <w:color w:val="auto"/>
          <w:highlight w:val="none"/>
        </w:rPr>
        <w:t>报备发包人。</w:t>
      </w:r>
    </w:p>
    <w:p>
      <w:pPr>
        <w:pStyle w:val="4"/>
        <w:bidi w:val="0"/>
        <w:rPr>
          <w:color w:val="auto"/>
          <w:highlight w:val="none"/>
        </w:rPr>
      </w:pPr>
      <w:r>
        <w:rPr>
          <w:rFonts w:hint="eastAsia"/>
          <w:color w:val="auto"/>
          <w:highlight w:val="none"/>
        </w:rPr>
        <w:t>劳务队伍的选择</w:t>
      </w:r>
      <w:r>
        <w:rPr>
          <w:color w:val="auto"/>
          <w:highlight w:val="none"/>
        </w:rPr>
        <w:t>和考察</w:t>
      </w:r>
    </w:p>
    <w:p>
      <w:pPr>
        <w:pStyle w:val="5"/>
        <w:bidi w:val="0"/>
        <w:ind w:left="253"/>
        <w:rPr>
          <w:color w:val="auto"/>
          <w:highlight w:val="none"/>
        </w:rPr>
      </w:pPr>
      <w:r>
        <w:rPr>
          <w:rFonts w:hint="eastAsia"/>
          <w:color w:val="auto"/>
          <w:highlight w:val="none"/>
        </w:rPr>
        <w:t>总承包人对劳务分包的工程业绩资料、营业执照、资质证书、安全资格认可证、特种作业许可证等资质证明及内部管理制度文件作资格审查并报送监理人、发包人。</w:t>
      </w:r>
    </w:p>
    <w:p>
      <w:pPr>
        <w:pStyle w:val="5"/>
        <w:bidi w:val="0"/>
        <w:ind w:left="253"/>
        <w:rPr>
          <w:color w:val="auto"/>
          <w:highlight w:val="none"/>
        </w:rPr>
      </w:pPr>
      <w:r>
        <w:rPr>
          <w:rFonts w:hint="eastAsia"/>
          <w:color w:val="auto"/>
          <w:highlight w:val="none"/>
        </w:rPr>
        <w:t>监理人、发包人参与总承包人对劳务分包的考察，对拟选用的劳务分包考察其在建项目。考察结果作为总承包人劳务进场的条件，发包人具有一票否决权。</w:t>
      </w:r>
    </w:p>
    <w:p>
      <w:pPr>
        <w:pStyle w:val="3"/>
        <w:bidi w:val="0"/>
        <w:rPr>
          <w:color w:val="auto"/>
          <w:highlight w:val="none"/>
        </w:rPr>
      </w:pPr>
      <w:bookmarkStart w:id="483" w:name="_Toc25707"/>
      <w:r>
        <w:rPr>
          <w:rFonts w:hint="eastAsia"/>
          <w:color w:val="auto"/>
          <w:highlight w:val="none"/>
        </w:rPr>
        <w:t>工程验收及移交要求</w:t>
      </w:r>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p>
    <w:p>
      <w:pPr>
        <w:pStyle w:val="4"/>
        <w:bidi w:val="0"/>
        <w:rPr>
          <w:color w:val="auto"/>
          <w:highlight w:val="none"/>
        </w:rPr>
      </w:pPr>
      <w:bookmarkStart w:id="484" w:name="_Toc385333225"/>
      <w:r>
        <w:rPr>
          <w:rFonts w:hint="eastAsia"/>
          <w:color w:val="auto"/>
          <w:highlight w:val="none"/>
        </w:rPr>
        <w:t>工程</w:t>
      </w:r>
      <w:r>
        <w:rPr>
          <w:color w:val="auto"/>
          <w:highlight w:val="none"/>
        </w:rPr>
        <w:t>验收</w:t>
      </w:r>
      <w:bookmarkEnd w:id="484"/>
    </w:p>
    <w:p>
      <w:pPr>
        <w:pStyle w:val="5"/>
        <w:bidi w:val="0"/>
        <w:rPr>
          <w:color w:val="auto"/>
          <w:highlight w:val="none"/>
          <w:lang w:eastAsia="zh-CN"/>
        </w:rPr>
      </w:pPr>
      <w:r>
        <w:rPr>
          <w:rFonts w:hint="eastAsia"/>
          <w:color w:val="auto"/>
          <w:highlight w:val="none"/>
          <w:lang w:eastAsia="zh-CN"/>
        </w:rPr>
        <w:t>承包人必须在工程具备验收条件时的 3 周前编制验收计划（包括专业工程 验收计划、消防等专项验收计划等），按工程竣工验收有关规定及验收计划分阶段逐项申报验收，确保工程一次验收合格。</w:t>
      </w:r>
    </w:p>
    <w:p>
      <w:pPr>
        <w:pStyle w:val="5"/>
        <w:bidi w:val="0"/>
        <w:rPr>
          <w:color w:val="auto"/>
          <w:highlight w:val="none"/>
          <w:lang w:eastAsia="zh-CN"/>
        </w:rPr>
      </w:pPr>
      <w:r>
        <w:rPr>
          <w:rFonts w:hint="eastAsia"/>
          <w:color w:val="auto"/>
          <w:highlight w:val="none"/>
          <w:lang w:eastAsia="zh-CN"/>
        </w:rPr>
        <w:t>竣工验收执行《房屋建筑和市政基础设施工程竣工验收规定》（建质〔2013〕 171 号）和《关于规范广州市房屋建筑工程和市政基础设施工程竣工验收程序的通知》 （穗建质监字〔2014〕53 号）、《广州市房屋建筑和市政基础设施工程竣工联合验收工作方案》（穗建质[2020]446 号）（注：如有新规定则按新规定执行）。</w:t>
      </w:r>
    </w:p>
    <w:p>
      <w:pPr>
        <w:pStyle w:val="5"/>
        <w:bidi w:val="0"/>
        <w:rPr>
          <w:color w:val="auto"/>
          <w:highlight w:val="none"/>
          <w:lang w:eastAsia="zh-CN"/>
        </w:rPr>
      </w:pPr>
      <w:r>
        <w:rPr>
          <w:rFonts w:hint="eastAsia"/>
          <w:color w:val="auto"/>
          <w:highlight w:val="none"/>
          <w:lang w:eastAsia="zh-CN"/>
        </w:rPr>
        <w:t>经验收评定，工程质量不合格或工程内容有尚未完成者，由承包人在商 定的期限内进行修补后，再进行竣工验收，直至达到完全符合合同要求为止，并按最后验收合格的日期作为竣工日期，由此产生的一切费用均由承包人负责。</w:t>
      </w:r>
    </w:p>
    <w:p>
      <w:pPr>
        <w:pStyle w:val="5"/>
        <w:bidi w:val="0"/>
        <w:rPr>
          <w:color w:val="auto"/>
          <w:highlight w:val="none"/>
        </w:rPr>
      </w:pPr>
      <w:r>
        <w:rPr>
          <w:rFonts w:hint="eastAsia"/>
          <w:color w:val="auto"/>
          <w:highlight w:val="none"/>
        </w:rPr>
        <w:t>总承包人</w:t>
      </w:r>
      <w:r>
        <w:rPr>
          <w:color w:val="auto"/>
          <w:highlight w:val="none"/>
        </w:rPr>
        <w:t>应在本工程的竣工验收完成日后按</w:t>
      </w:r>
      <w:r>
        <w:rPr>
          <w:rFonts w:hint="eastAsia"/>
          <w:color w:val="auto"/>
          <w:highlight w:val="none"/>
        </w:rPr>
        <w:t>发包人</w:t>
      </w:r>
      <w:r>
        <w:rPr>
          <w:color w:val="auto"/>
          <w:highlight w:val="none"/>
        </w:rPr>
        <w:t>要求时间</w:t>
      </w:r>
      <w:r>
        <w:rPr>
          <w:rFonts w:hint="eastAsia"/>
          <w:color w:val="auto"/>
          <w:highlight w:val="none"/>
        </w:rPr>
        <w:t>，</w:t>
      </w:r>
      <w:r>
        <w:rPr>
          <w:color w:val="auto"/>
          <w:highlight w:val="none"/>
        </w:rPr>
        <w:t>完成符合城建档案馆要求的档案资料（必须归集所有</w:t>
      </w:r>
      <w:r>
        <w:rPr>
          <w:rFonts w:hint="eastAsia"/>
          <w:color w:val="auto"/>
          <w:highlight w:val="none"/>
        </w:rPr>
        <w:t>工程</w:t>
      </w:r>
      <w:r>
        <w:rPr>
          <w:color w:val="auto"/>
          <w:highlight w:val="none"/>
        </w:rPr>
        <w:t>资料）。</w:t>
      </w:r>
      <w:r>
        <w:rPr>
          <w:rFonts w:hint="eastAsia"/>
          <w:color w:val="auto"/>
          <w:highlight w:val="none"/>
          <w:lang w:eastAsia="zh-CN"/>
        </w:rPr>
        <w:t>专业承包</w:t>
      </w:r>
      <w:r>
        <w:rPr>
          <w:color w:val="auto"/>
          <w:highlight w:val="none"/>
        </w:rPr>
        <w:t>人的档案资料由</w:t>
      </w:r>
      <w:r>
        <w:rPr>
          <w:rFonts w:hint="eastAsia"/>
          <w:color w:val="auto"/>
          <w:highlight w:val="none"/>
          <w:lang w:eastAsia="zh-CN"/>
        </w:rPr>
        <w:t>专业承包</w:t>
      </w:r>
      <w:r>
        <w:rPr>
          <w:rFonts w:hint="eastAsia"/>
          <w:color w:val="auto"/>
          <w:highlight w:val="none"/>
        </w:rPr>
        <w:t>人</w:t>
      </w:r>
      <w:r>
        <w:rPr>
          <w:color w:val="auto"/>
          <w:highlight w:val="none"/>
        </w:rPr>
        <w:t>完善后提交</w:t>
      </w:r>
      <w:r>
        <w:rPr>
          <w:rFonts w:hint="eastAsia"/>
          <w:color w:val="auto"/>
          <w:highlight w:val="none"/>
        </w:rPr>
        <w:t>总承包人</w:t>
      </w:r>
      <w:r>
        <w:rPr>
          <w:color w:val="auto"/>
          <w:highlight w:val="none"/>
        </w:rPr>
        <w:t>归总、装订，</w:t>
      </w:r>
      <w:r>
        <w:rPr>
          <w:rFonts w:hint="eastAsia"/>
          <w:color w:val="auto"/>
          <w:highlight w:val="none"/>
        </w:rPr>
        <w:t>总承包人</w:t>
      </w:r>
      <w:r>
        <w:rPr>
          <w:color w:val="auto"/>
          <w:highlight w:val="none"/>
        </w:rPr>
        <w:t>对此提供协助。</w:t>
      </w:r>
      <w:r>
        <w:rPr>
          <w:rFonts w:hint="eastAsia"/>
          <w:color w:val="auto"/>
          <w:highlight w:val="none"/>
        </w:rPr>
        <w:t>总承包人</w:t>
      </w:r>
      <w:r>
        <w:rPr>
          <w:color w:val="auto"/>
          <w:highlight w:val="none"/>
        </w:rPr>
        <w:t>应及时为</w:t>
      </w:r>
      <w:r>
        <w:rPr>
          <w:rFonts w:hint="eastAsia"/>
          <w:color w:val="auto"/>
          <w:highlight w:val="none"/>
          <w:lang w:eastAsia="zh-CN"/>
        </w:rPr>
        <w:t>专业承包</w:t>
      </w:r>
      <w:r>
        <w:rPr>
          <w:color w:val="auto"/>
          <w:highlight w:val="none"/>
        </w:rPr>
        <w:t>人的档案资料办理签字盖章等手续，否则影响本工程竣工验收，一切责任由</w:t>
      </w:r>
      <w:r>
        <w:rPr>
          <w:rFonts w:hint="eastAsia"/>
          <w:color w:val="auto"/>
          <w:highlight w:val="none"/>
        </w:rPr>
        <w:t>总承包人</w:t>
      </w:r>
      <w:r>
        <w:rPr>
          <w:color w:val="auto"/>
          <w:highlight w:val="none"/>
        </w:rPr>
        <w:t>承担。</w:t>
      </w:r>
      <w:r>
        <w:rPr>
          <w:rFonts w:hint="eastAsia"/>
          <w:color w:val="auto"/>
          <w:highlight w:val="none"/>
        </w:rPr>
        <w:t>工程资料按月整理，作为进度款申请依据。</w:t>
      </w:r>
    </w:p>
    <w:p>
      <w:pPr>
        <w:pStyle w:val="5"/>
        <w:bidi w:val="0"/>
        <w:rPr>
          <w:color w:val="auto"/>
          <w:highlight w:val="none"/>
        </w:rPr>
      </w:pPr>
      <w:r>
        <w:rPr>
          <w:rFonts w:hint="eastAsia"/>
          <w:color w:val="auto"/>
          <w:highlight w:val="none"/>
        </w:rPr>
        <w:t>竣工</w:t>
      </w:r>
      <w:r>
        <w:rPr>
          <w:color w:val="auto"/>
          <w:highlight w:val="none"/>
        </w:rPr>
        <w:t>验收后，</w:t>
      </w:r>
      <w:r>
        <w:rPr>
          <w:rFonts w:hint="eastAsia"/>
          <w:color w:val="auto"/>
          <w:highlight w:val="none"/>
        </w:rPr>
        <w:t>总承包人应</w:t>
      </w:r>
      <w:r>
        <w:rPr>
          <w:color w:val="auto"/>
          <w:highlight w:val="none"/>
        </w:rPr>
        <w:t>在规定的时限内，送交资料到相关政府部门进行备案</w:t>
      </w:r>
      <w:r>
        <w:rPr>
          <w:rFonts w:hint="eastAsia"/>
          <w:color w:val="auto"/>
          <w:highlight w:val="none"/>
        </w:rPr>
        <w:t>，</w:t>
      </w:r>
      <w:r>
        <w:rPr>
          <w:color w:val="auto"/>
          <w:highlight w:val="none"/>
        </w:rPr>
        <w:t>并为</w:t>
      </w:r>
      <w:r>
        <w:rPr>
          <w:rFonts w:hint="eastAsia"/>
          <w:color w:val="auto"/>
          <w:highlight w:val="none"/>
        </w:rPr>
        <w:t>发包人</w:t>
      </w:r>
      <w:r>
        <w:rPr>
          <w:color w:val="auto"/>
          <w:highlight w:val="none"/>
        </w:rPr>
        <w:t>取得《建设工程竣工验收备案证明书》。</w:t>
      </w:r>
    </w:p>
    <w:p>
      <w:pPr>
        <w:pStyle w:val="4"/>
        <w:bidi w:val="0"/>
        <w:rPr>
          <w:color w:val="auto"/>
          <w:highlight w:val="none"/>
        </w:rPr>
      </w:pPr>
      <w:bookmarkStart w:id="485" w:name="_Toc385333226"/>
      <w:r>
        <w:rPr>
          <w:rFonts w:hint="eastAsia"/>
          <w:color w:val="auto"/>
          <w:highlight w:val="none"/>
        </w:rPr>
        <w:t>保洁要求</w:t>
      </w:r>
    </w:p>
    <w:p>
      <w:pPr>
        <w:bidi w:val="0"/>
        <w:rPr>
          <w:color w:val="auto"/>
          <w:highlight w:val="none"/>
        </w:rPr>
      </w:pPr>
      <w:r>
        <w:rPr>
          <w:rFonts w:hint="eastAsia"/>
          <w:color w:val="auto"/>
          <w:highlight w:val="none"/>
        </w:rPr>
        <w:t>总承包人竣工移交</w:t>
      </w:r>
      <w:r>
        <w:rPr>
          <w:rFonts w:hint="eastAsia"/>
          <w:color w:val="auto"/>
          <w:highlight w:val="none"/>
          <w:lang w:val="en-US" w:eastAsia="zh-CN"/>
        </w:rPr>
        <w:t>对于自身承包范围工作内容</w:t>
      </w:r>
      <w:r>
        <w:rPr>
          <w:rFonts w:hint="eastAsia"/>
          <w:color w:val="auto"/>
          <w:highlight w:val="none"/>
        </w:rPr>
        <w:t>应满足无肉眼可见垃圾</w:t>
      </w:r>
      <w:r>
        <w:rPr>
          <w:rFonts w:hint="eastAsia"/>
          <w:color w:val="auto"/>
          <w:highlight w:val="none"/>
          <w:lang w:val="en-US" w:eastAsia="zh-CN"/>
        </w:rPr>
        <w:t>并</w:t>
      </w:r>
      <w:r>
        <w:rPr>
          <w:rFonts w:hint="eastAsia"/>
          <w:color w:val="auto"/>
          <w:highlight w:val="none"/>
        </w:rPr>
        <w:t>满足以下保洁移交标准：</w:t>
      </w:r>
    </w:p>
    <w:tbl>
      <w:tblPr>
        <w:tblStyle w:val="21"/>
        <w:tblW w:w="4998"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617"/>
        <w:gridCol w:w="2015"/>
        <w:gridCol w:w="666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92" w:hRule="atLeast"/>
          <w:tblHeader/>
        </w:trPr>
        <w:tc>
          <w:tcPr>
            <w:tcW w:w="1416" w:type="pct"/>
            <w:gridSpan w:val="2"/>
            <w:vAlign w:val="center"/>
          </w:tcPr>
          <w:p>
            <w:pPr>
              <w:pStyle w:val="12"/>
              <w:bidi w:val="0"/>
              <w:rPr>
                <w:color w:val="auto"/>
                <w:highlight w:val="none"/>
              </w:rPr>
            </w:pPr>
            <w:r>
              <w:rPr>
                <w:rFonts w:hint="eastAsia"/>
                <w:color w:val="auto"/>
                <w:highlight w:val="none"/>
              </w:rPr>
              <w:t>部位</w:t>
            </w:r>
          </w:p>
        </w:tc>
        <w:tc>
          <w:tcPr>
            <w:tcW w:w="3583" w:type="pct"/>
            <w:tcBorders>
              <w:right w:val="single" w:color="auto" w:sz="4" w:space="0"/>
            </w:tcBorders>
            <w:vAlign w:val="center"/>
          </w:tcPr>
          <w:p>
            <w:pPr>
              <w:pStyle w:val="12"/>
              <w:bidi w:val="0"/>
              <w:rPr>
                <w:color w:val="auto"/>
                <w:highlight w:val="none"/>
              </w:rPr>
            </w:pPr>
            <w:r>
              <w:rPr>
                <w:rFonts w:hint="eastAsia"/>
                <w:color w:val="auto"/>
                <w:highlight w:val="none"/>
              </w:rPr>
              <w:t>保洁移交标准</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332" w:type="pct"/>
            <w:vMerge w:val="restart"/>
            <w:tcBorders>
              <w:right w:val="single" w:color="auto" w:sz="4" w:space="0"/>
            </w:tcBorders>
            <w:vAlign w:val="center"/>
          </w:tcPr>
          <w:p>
            <w:pPr>
              <w:pStyle w:val="12"/>
              <w:bidi w:val="0"/>
              <w:rPr>
                <w:color w:val="auto"/>
                <w:highlight w:val="none"/>
              </w:rPr>
            </w:pPr>
            <w:r>
              <w:rPr>
                <w:rFonts w:hint="eastAsia"/>
                <w:color w:val="auto"/>
                <w:highlight w:val="none"/>
              </w:rPr>
              <w:t>室内区域(毛坯交付)</w:t>
            </w:r>
          </w:p>
        </w:tc>
        <w:tc>
          <w:tcPr>
            <w:tcW w:w="1083" w:type="pct"/>
            <w:tcBorders>
              <w:left w:val="single" w:color="auto" w:sz="4" w:space="0"/>
            </w:tcBorders>
            <w:vAlign w:val="center"/>
          </w:tcPr>
          <w:p>
            <w:pPr>
              <w:pStyle w:val="12"/>
              <w:bidi w:val="0"/>
              <w:rPr>
                <w:color w:val="auto"/>
                <w:highlight w:val="none"/>
              </w:rPr>
            </w:pPr>
            <w:r>
              <w:rPr>
                <w:rFonts w:hint="eastAsia"/>
                <w:color w:val="auto"/>
                <w:highlight w:val="none"/>
              </w:rPr>
              <w:t>楼地面</w:t>
            </w:r>
          </w:p>
        </w:tc>
        <w:tc>
          <w:tcPr>
            <w:tcW w:w="3583" w:type="pct"/>
            <w:vAlign w:val="center"/>
          </w:tcPr>
          <w:p>
            <w:pPr>
              <w:pStyle w:val="12"/>
              <w:bidi w:val="0"/>
              <w:rPr>
                <w:color w:val="auto"/>
                <w:highlight w:val="none"/>
              </w:rPr>
            </w:pPr>
            <w:r>
              <w:rPr>
                <w:rFonts w:hint="eastAsia"/>
                <w:color w:val="auto"/>
                <w:highlight w:val="none"/>
              </w:rPr>
              <w:t>无积水、无泥沙、无灰尘、无污渍、无垃圾杂物、无建筑装修材料残留。</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332" w:type="pct"/>
            <w:vMerge w:val="continue"/>
            <w:tcBorders>
              <w:right w:val="single" w:color="auto" w:sz="4" w:space="0"/>
            </w:tcBorders>
            <w:vAlign w:val="center"/>
          </w:tcPr>
          <w:p>
            <w:pPr>
              <w:pStyle w:val="12"/>
              <w:bidi w:val="0"/>
              <w:rPr>
                <w:color w:val="auto"/>
                <w:highlight w:val="none"/>
              </w:rPr>
            </w:pPr>
          </w:p>
        </w:tc>
        <w:tc>
          <w:tcPr>
            <w:tcW w:w="1083" w:type="pct"/>
            <w:tcBorders>
              <w:left w:val="single" w:color="auto" w:sz="4" w:space="0"/>
            </w:tcBorders>
            <w:vAlign w:val="center"/>
          </w:tcPr>
          <w:p>
            <w:pPr>
              <w:pStyle w:val="12"/>
              <w:bidi w:val="0"/>
              <w:rPr>
                <w:color w:val="auto"/>
                <w:highlight w:val="none"/>
              </w:rPr>
            </w:pPr>
            <w:r>
              <w:rPr>
                <w:rFonts w:hint="eastAsia"/>
                <w:color w:val="auto"/>
                <w:highlight w:val="none"/>
              </w:rPr>
              <w:t>墙面</w:t>
            </w:r>
          </w:p>
        </w:tc>
        <w:tc>
          <w:tcPr>
            <w:tcW w:w="3583" w:type="pct"/>
            <w:vAlign w:val="center"/>
          </w:tcPr>
          <w:p>
            <w:pPr>
              <w:pStyle w:val="12"/>
              <w:bidi w:val="0"/>
              <w:rPr>
                <w:color w:val="auto"/>
                <w:highlight w:val="none"/>
              </w:rPr>
            </w:pPr>
            <w:r>
              <w:rPr>
                <w:rFonts w:hint="eastAsia"/>
                <w:color w:val="auto"/>
                <w:highlight w:val="none"/>
              </w:rPr>
              <w:t>无粘贴物、无灰尘、无污渍、无建筑装修材料残留。</w:t>
            </w:r>
            <w:r>
              <w:rPr>
                <w:color w:val="auto"/>
                <w:highlight w:val="none"/>
              </w:rPr>
              <w:t xml:space="preserve">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332" w:type="pct"/>
            <w:vMerge w:val="continue"/>
            <w:tcBorders>
              <w:right w:val="single" w:color="auto" w:sz="4" w:space="0"/>
            </w:tcBorders>
            <w:vAlign w:val="center"/>
          </w:tcPr>
          <w:p>
            <w:pPr>
              <w:pStyle w:val="12"/>
              <w:bidi w:val="0"/>
              <w:rPr>
                <w:color w:val="auto"/>
                <w:highlight w:val="none"/>
              </w:rPr>
            </w:pPr>
          </w:p>
        </w:tc>
        <w:tc>
          <w:tcPr>
            <w:tcW w:w="1083" w:type="pct"/>
            <w:tcBorders>
              <w:left w:val="single" w:color="auto" w:sz="4" w:space="0"/>
            </w:tcBorders>
            <w:vAlign w:val="center"/>
          </w:tcPr>
          <w:p>
            <w:pPr>
              <w:pStyle w:val="12"/>
              <w:bidi w:val="0"/>
              <w:rPr>
                <w:color w:val="auto"/>
                <w:highlight w:val="none"/>
              </w:rPr>
            </w:pPr>
            <w:r>
              <w:rPr>
                <w:rFonts w:hint="eastAsia"/>
                <w:color w:val="auto"/>
                <w:highlight w:val="none"/>
              </w:rPr>
              <w:t>天棚</w:t>
            </w:r>
          </w:p>
        </w:tc>
        <w:tc>
          <w:tcPr>
            <w:tcW w:w="3583" w:type="pct"/>
            <w:vAlign w:val="center"/>
          </w:tcPr>
          <w:p>
            <w:pPr>
              <w:pStyle w:val="12"/>
              <w:bidi w:val="0"/>
              <w:rPr>
                <w:color w:val="auto"/>
                <w:highlight w:val="none"/>
              </w:rPr>
            </w:pPr>
            <w:r>
              <w:rPr>
                <w:rFonts w:hint="eastAsia"/>
                <w:color w:val="auto"/>
                <w:highlight w:val="none"/>
              </w:rPr>
              <w:t>无蛛网、无灰尘、无污渍、无建筑装修材料残留。</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332" w:type="pct"/>
            <w:vMerge w:val="continue"/>
            <w:tcBorders>
              <w:right w:val="single" w:color="auto" w:sz="4" w:space="0"/>
            </w:tcBorders>
            <w:vAlign w:val="center"/>
          </w:tcPr>
          <w:p>
            <w:pPr>
              <w:pStyle w:val="12"/>
              <w:bidi w:val="0"/>
              <w:rPr>
                <w:color w:val="auto"/>
                <w:highlight w:val="none"/>
              </w:rPr>
            </w:pPr>
          </w:p>
        </w:tc>
        <w:tc>
          <w:tcPr>
            <w:tcW w:w="1083" w:type="pct"/>
            <w:tcBorders>
              <w:left w:val="single" w:color="auto" w:sz="4" w:space="0"/>
            </w:tcBorders>
            <w:vAlign w:val="center"/>
          </w:tcPr>
          <w:p>
            <w:pPr>
              <w:pStyle w:val="12"/>
              <w:bidi w:val="0"/>
              <w:rPr>
                <w:color w:val="auto"/>
                <w:highlight w:val="none"/>
              </w:rPr>
            </w:pPr>
            <w:r>
              <w:rPr>
                <w:rFonts w:hint="eastAsia"/>
                <w:color w:val="auto"/>
                <w:highlight w:val="none"/>
              </w:rPr>
              <w:t>开关面板、电箱</w:t>
            </w:r>
          </w:p>
        </w:tc>
        <w:tc>
          <w:tcPr>
            <w:tcW w:w="3583" w:type="pct"/>
            <w:vAlign w:val="center"/>
          </w:tcPr>
          <w:p>
            <w:pPr>
              <w:pStyle w:val="12"/>
              <w:bidi w:val="0"/>
              <w:rPr>
                <w:color w:val="auto"/>
                <w:highlight w:val="none"/>
              </w:rPr>
            </w:pPr>
            <w:r>
              <w:rPr>
                <w:rFonts w:hint="eastAsia"/>
                <w:color w:val="auto"/>
                <w:highlight w:val="none"/>
              </w:rPr>
              <w:t>无灰尘、无划痕、无污渍、无水泥迹。</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332" w:type="pct"/>
            <w:vMerge w:val="continue"/>
            <w:tcBorders>
              <w:right w:val="single" w:color="auto" w:sz="4" w:space="0"/>
            </w:tcBorders>
            <w:vAlign w:val="center"/>
          </w:tcPr>
          <w:p>
            <w:pPr>
              <w:pStyle w:val="12"/>
              <w:bidi w:val="0"/>
              <w:rPr>
                <w:color w:val="auto"/>
                <w:highlight w:val="none"/>
              </w:rPr>
            </w:pPr>
          </w:p>
        </w:tc>
        <w:tc>
          <w:tcPr>
            <w:tcW w:w="1083" w:type="pct"/>
            <w:tcBorders>
              <w:left w:val="single" w:color="auto" w:sz="4" w:space="0"/>
            </w:tcBorders>
            <w:vAlign w:val="center"/>
          </w:tcPr>
          <w:p>
            <w:pPr>
              <w:pStyle w:val="12"/>
              <w:bidi w:val="0"/>
              <w:rPr>
                <w:color w:val="auto"/>
                <w:highlight w:val="none"/>
              </w:rPr>
            </w:pPr>
            <w:r>
              <w:rPr>
                <w:rFonts w:hint="eastAsia"/>
                <w:color w:val="auto"/>
                <w:highlight w:val="none"/>
              </w:rPr>
              <w:t>线管及管道</w:t>
            </w:r>
          </w:p>
        </w:tc>
        <w:tc>
          <w:tcPr>
            <w:tcW w:w="3583" w:type="pct"/>
            <w:vAlign w:val="center"/>
          </w:tcPr>
          <w:p>
            <w:pPr>
              <w:pStyle w:val="12"/>
              <w:bidi w:val="0"/>
              <w:rPr>
                <w:color w:val="auto"/>
                <w:highlight w:val="none"/>
              </w:rPr>
            </w:pPr>
            <w:r>
              <w:rPr>
                <w:rFonts w:hint="eastAsia"/>
                <w:color w:val="auto"/>
                <w:highlight w:val="none"/>
              </w:rPr>
              <w:t>无粘贴物、内部无杂物、无泥沙、无污渍，外部表面清洁、金属制品无锈渍。</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332" w:type="pct"/>
            <w:vMerge w:val="continue"/>
            <w:tcBorders>
              <w:right w:val="single" w:color="auto" w:sz="4" w:space="0"/>
            </w:tcBorders>
            <w:vAlign w:val="center"/>
          </w:tcPr>
          <w:p>
            <w:pPr>
              <w:pStyle w:val="12"/>
              <w:bidi w:val="0"/>
              <w:rPr>
                <w:color w:val="auto"/>
                <w:highlight w:val="none"/>
              </w:rPr>
            </w:pPr>
          </w:p>
        </w:tc>
        <w:tc>
          <w:tcPr>
            <w:tcW w:w="1083" w:type="pct"/>
            <w:tcBorders>
              <w:left w:val="single" w:color="auto" w:sz="4" w:space="0"/>
            </w:tcBorders>
            <w:vAlign w:val="center"/>
          </w:tcPr>
          <w:p>
            <w:pPr>
              <w:pStyle w:val="12"/>
              <w:bidi w:val="0"/>
              <w:rPr>
                <w:color w:val="auto"/>
                <w:highlight w:val="none"/>
              </w:rPr>
            </w:pPr>
            <w:r>
              <w:rPr>
                <w:rFonts w:hint="eastAsia"/>
                <w:color w:val="auto"/>
                <w:highlight w:val="none"/>
              </w:rPr>
              <w:t>空调机位、空调孔</w:t>
            </w:r>
          </w:p>
        </w:tc>
        <w:tc>
          <w:tcPr>
            <w:tcW w:w="3583" w:type="pct"/>
            <w:vAlign w:val="center"/>
          </w:tcPr>
          <w:p>
            <w:pPr>
              <w:pStyle w:val="12"/>
              <w:bidi w:val="0"/>
              <w:rPr>
                <w:color w:val="auto"/>
                <w:highlight w:val="none"/>
              </w:rPr>
            </w:pPr>
            <w:r>
              <w:rPr>
                <w:rFonts w:hint="eastAsia"/>
                <w:color w:val="auto"/>
                <w:highlight w:val="none"/>
              </w:rPr>
              <w:t>无杂物，无灰尘。</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332" w:type="pct"/>
            <w:vMerge w:val="continue"/>
            <w:tcBorders>
              <w:right w:val="single" w:color="auto" w:sz="4" w:space="0"/>
            </w:tcBorders>
            <w:vAlign w:val="center"/>
          </w:tcPr>
          <w:p>
            <w:pPr>
              <w:pStyle w:val="12"/>
              <w:bidi w:val="0"/>
              <w:rPr>
                <w:color w:val="auto"/>
                <w:highlight w:val="none"/>
              </w:rPr>
            </w:pPr>
          </w:p>
        </w:tc>
        <w:tc>
          <w:tcPr>
            <w:tcW w:w="1083" w:type="pct"/>
            <w:tcBorders>
              <w:left w:val="single" w:color="auto" w:sz="4" w:space="0"/>
            </w:tcBorders>
            <w:vAlign w:val="center"/>
          </w:tcPr>
          <w:p>
            <w:pPr>
              <w:pStyle w:val="12"/>
              <w:bidi w:val="0"/>
              <w:rPr>
                <w:color w:val="auto"/>
                <w:highlight w:val="none"/>
              </w:rPr>
            </w:pPr>
            <w:r>
              <w:rPr>
                <w:rFonts w:hint="eastAsia"/>
                <w:color w:val="auto"/>
                <w:highlight w:val="none"/>
              </w:rPr>
              <w:t>窗台</w:t>
            </w:r>
          </w:p>
        </w:tc>
        <w:tc>
          <w:tcPr>
            <w:tcW w:w="3583" w:type="pct"/>
            <w:vAlign w:val="center"/>
          </w:tcPr>
          <w:p>
            <w:pPr>
              <w:pStyle w:val="12"/>
              <w:bidi w:val="0"/>
              <w:rPr>
                <w:color w:val="auto"/>
                <w:highlight w:val="none"/>
              </w:rPr>
            </w:pPr>
            <w:r>
              <w:rPr>
                <w:rFonts w:hint="eastAsia"/>
                <w:color w:val="auto"/>
                <w:highlight w:val="none"/>
              </w:rPr>
              <w:t>无杂物、无污迹、无灰尘。</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332" w:type="pct"/>
            <w:vMerge w:val="restart"/>
            <w:tcBorders>
              <w:right w:val="single" w:color="auto" w:sz="4" w:space="0"/>
            </w:tcBorders>
            <w:vAlign w:val="center"/>
          </w:tcPr>
          <w:p>
            <w:pPr>
              <w:pStyle w:val="12"/>
              <w:bidi w:val="0"/>
              <w:rPr>
                <w:color w:val="auto"/>
                <w:highlight w:val="none"/>
              </w:rPr>
            </w:pPr>
            <w:r>
              <w:rPr>
                <w:rFonts w:hint="eastAsia"/>
                <w:color w:val="auto"/>
                <w:highlight w:val="none"/>
              </w:rPr>
              <w:t>公共区域</w:t>
            </w:r>
          </w:p>
        </w:tc>
        <w:tc>
          <w:tcPr>
            <w:tcW w:w="1083" w:type="pct"/>
            <w:tcBorders>
              <w:left w:val="single" w:color="auto" w:sz="4" w:space="0"/>
            </w:tcBorders>
            <w:vAlign w:val="center"/>
          </w:tcPr>
          <w:p>
            <w:pPr>
              <w:pStyle w:val="12"/>
              <w:bidi w:val="0"/>
              <w:rPr>
                <w:color w:val="auto"/>
                <w:highlight w:val="none"/>
              </w:rPr>
            </w:pPr>
            <w:r>
              <w:rPr>
                <w:rFonts w:hint="eastAsia"/>
                <w:color w:val="auto"/>
                <w:highlight w:val="none"/>
              </w:rPr>
              <w:t>楼地面（楼梯）</w:t>
            </w:r>
          </w:p>
        </w:tc>
        <w:tc>
          <w:tcPr>
            <w:tcW w:w="3583" w:type="pct"/>
            <w:vAlign w:val="center"/>
          </w:tcPr>
          <w:p>
            <w:pPr>
              <w:pStyle w:val="12"/>
              <w:bidi w:val="0"/>
              <w:rPr>
                <w:color w:val="auto"/>
                <w:highlight w:val="none"/>
              </w:rPr>
            </w:pPr>
            <w:r>
              <w:rPr>
                <w:rFonts w:hint="eastAsia"/>
                <w:color w:val="auto"/>
                <w:highlight w:val="none"/>
              </w:rPr>
              <w:t>无灰尘、无垃圾杂物、无污渍、无涂料斑点，踢脚线上无涂料和水泥迹。</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332" w:type="pct"/>
            <w:vMerge w:val="continue"/>
            <w:tcBorders>
              <w:right w:val="single" w:color="auto" w:sz="4" w:space="0"/>
            </w:tcBorders>
            <w:vAlign w:val="center"/>
          </w:tcPr>
          <w:p>
            <w:pPr>
              <w:pStyle w:val="12"/>
              <w:bidi w:val="0"/>
              <w:rPr>
                <w:color w:val="auto"/>
                <w:highlight w:val="none"/>
              </w:rPr>
            </w:pPr>
          </w:p>
        </w:tc>
        <w:tc>
          <w:tcPr>
            <w:tcW w:w="1083" w:type="pct"/>
            <w:tcBorders>
              <w:left w:val="single" w:color="auto" w:sz="4" w:space="0"/>
            </w:tcBorders>
            <w:vAlign w:val="center"/>
          </w:tcPr>
          <w:p>
            <w:pPr>
              <w:pStyle w:val="12"/>
              <w:bidi w:val="0"/>
              <w:rPr>
                <w:color w:val="auto"/>
                <w:highlight w:val="none"/>
              </w:rPr>
            </w:pPr>
            <w:r>
              <w:rPr>
                <w:rFonts w:hint="eastAsia"/>
                <w:color w:val="auto"/>
                <w:highlight w:val="none"/>
              </w:rPr>
              <w:t>墙面（楼梯）</w:t>
            </w:r>
          </w:p>
        </w:tc>
        <w:tc>
          <w:tcPr>
            <w:tcW w:w="3583" w:type="pct"/>
            <w:vAlign w:val="center"/>
          </w:tcPr>
          <w:p>
            <w:pPr>
              <w:pStyle w:val="12"/>
              <w:bidi w:val="0"/>
              <w:rPr>
                <w:color w:val="auto"/>
                <w:highlight w:val="none"/>
              </w:rPr>
            </w:pPr>
            <w:r>
              <w:rPr>
                <w:rFonts w:hint="eastAsia"/>
                <w:color w:val="auto"/>
                <w:highlight w:val="none"/>
              </w:rPr>
              <w:t>无粘贴物、无灰尘、无污渍、无建筑装修材料残留、无印迹、无划痕、无胶渍等异物、无异色污染。</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332" w:type="pct"/>
            <w:vMerge w:val="continue"/>
            <w:tcBorders>
              <w:right w:val="single" w:color="auto" w:sz="4" w:space="0"/>
            </w:tcBorders>
            <w:vAlign w:val="center"/>
          </w:tcPr>
          <w:p>
            <w:pPr>
              <w:pStyle w:val="12"/>
              <w:bidi w:val="0"/>
              <w:rPr>
                <w:color w:val="auto"/>
                <w:highlight w:val="none"/>
              </w:rPr>
            </w:pPr>
          </w:p>
        </w:tc>
        <w:tc>
          <w:tcPr>
            <w:tcW w:w="1083" w:type="pct"/>
            <w:tcBorders>
              <w:left w:val="single" w:color="auto" w:sz="4" w:space="0"/>
            </w:tcBorders>
            <w:vAlign w:val="center"/>
          </w:tcPr>
          <w:p>
            <w:pPr>
              <w:pStyle w:val="12"/>
              <w:bidi w:val="0"/>
              <w:rPr>
                <w:color w:val="auto"/>
                <w:highlight w:val="none"/>
              </w:rPr>
            </w:pPr>
            <w:r>
              <w:rPr>
                <w:rFonts w:hint="eastAsia"/>
                <w:color w:val="auto"/>
                <w:highlight w:val="none"/>
              </w:rPr>
              <w:t>天棚（楼梯）</w:t>
            </w:r>
          </w:p>
        </w:tc>
        <w:tc>
          <w:tcPr>
            <w:tcW w:w="3583" w:type="pct"/>
            <w:vAlign w:val="center"/>
          </w:tcPr>
          <w:p>
            <w:pPr>
              <w:pStyle w:val="12"/>
              <w:bidi w:val="0"/>
              <w:rPr>
                <w:color w:val="auto"/>
                <w:highlight w:val="none"/>
              </w:rPr>
            </w:pPr>
            <w:r>
              <w:rPr>
                <w:rFonts w:hint="eastAsia"/>
                <w:color w:val="auto"/>
                <w:highlight w:val="none"/>
              </w:rPr>
              <w:t>无蛛网、无灰尘、无划痕、无污渍、无建筑装修材料残留，阴阳角无暗灰、无异色污染。</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332" w:type="pct"/>
            <w:vMerge w:val="continue"/>
            <w:tcBorders>
              <w:right w:val="single" w:color="auto" w:sz="4" w:space="0"/>
            </w:tcBorders>
            <w:vAlign w:val="center"/>
          </w:tcPr>
          <w:p>
            <w:pPr>
              <w:pStyle w:val="12"/>
              <w:bidi w:val="0"/>
              <w:rPr>
                <w:color w:val="auto"/>
                <w:highlight w:val="none"/>
              </w:rPr>
            </w:pPr>
          </w:p>
        </w:tc>
        <w:tc>
          <w:tcPr>
            <w:tcW w:w="1083" w:type="pct"/>
            <w:tcBorders>
              <w:left w:val="single" w:color="auto" w:sz="4" w:space="0"/>
            </w:tcBorders>
            <w:vAlign w:val="center"/>
          </w:tcPr>
          <w:p>
            <w:pPr>
              <w:pStyle w:val="12"/>
              <w:bidi w:val="0"/>
              <w:rPr>
                <w:color w:val="auto"/>
                <w:highlight w:val="none"/>
              </w:rPr>
            </w:pPr>
            <w:r>
              <w:rPr>
                <w:rFonts w:hint="eastAsia"/>
                <w:color w:val="auto"/>
                <w:highlight w:val="none"/>
              </w:rPr>
              <w:t>开关面板</w:t>
            </w:r>
          </w:p>
        </w:tc>
        <w:tc>
          <w:tcPr>
            <w:tcW w:w="3583" w:type="pct"/>
            <w:vAlign w:val="center"/>
          </w:tcPr>
          <w:p>
            <w:pPr>
              <w:pStyle w:val="12"/>
              <w:bidi w:val="0"/>
              <w:rPr>
                <w:color w:val="auto"/>
                <w:highlight w:val="none"/>
              </w:rPr>
            </w:pPr>
            <w:r>
              <w:rPr>
                <w:rFonts w:hint="eastAsia"/>
                <w:color w:val="auto"/>
                <w:highlight w:val="none"/>
              </w:rPr>
              <w:t>无灰尘、无划痕、无污渍、无水泥迹、无涂料斑点。</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332" w:type="pct"/>
            <w:vMerge w:val="continue"/>
            <w:tcBorders>
              <w:right w:val="single" w:color="auto" w:sz="4" w:space="0"/>
            </w:tcBorders>
            <w:vAlign w:val="center"/>
          </w:tcPr>
          <w:p>
            <w:pPr>
              <w:pStyle w:val="12"/>
              <w:bidi w:val="0"/>
              <w:rPr>
                <w:color w:val="auto"/>
                <w:highlight w:val="none"/>
              </w:rPr>
            </w:pPr>
          </w:p>
        </w:tc>
        <w:tc>
          <w:tcPr>
            <w:tcW w:w="1083" w:type="pct"/>
            <w:tcBorders>
              <w:left w:val="single" w:color="auto" w:sz="4" w:space="0"/>
            </w:tcBorders>
            <w:vAlign w:val="center"/>
          </w:tcPr>
          <w:p>
            <w:pPr>
              <w:pStyle w:val="12"/>
              <w:bidi w:val="0"/>
              <w:rPr>
                <w:color w:val="auto"/>
                <w:highlight w:val="none"/>
              </w:rPr>
            </w:pPr>
            <w:r>
              <w:rPr>
                <w:rFonts w:hint="eastAsia"/>
                <w:color w:val="auto"/>
                <w:highlight w:val="none"/>
              </w:rPr>
              <w:t>电箱</w:t>
            </w:r>
          </w:p>
        </w:tc>
        <w:tc>
          <w:tcPr>
            <w:tcW w:w="3583" w:type="pct"/>
            <w:vAlign w:val="center"/>
          </w:tcPr>
          <w:p>
            <w:pPr>
              <w:pStyle w:val="12"/>
              <w:bidi w:val="0"/>
              <w:rPr>
                <w:color w:val="auto"/>
                <w:highlight w:val="none"/>
              </w:rPr>
            </w:pPr>
            <w:r>
              <w:rPr>
                <w:rFonts w:hint="eastAsia"/>
                <w:color w:val="auto"/>
                <w:highlight w:val="none"/>
              </w:rPr>
              <w:t>无粘贴物、无灰尘、无划痕、无污渍、无水泥迹、无涂料斑点、金属制品无锈渍。</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332" w:type="pct"/>
            <w:vMerge w:val="continue"/>
            <w:tcBorders>
              <w:right w:val="single" w:color="auto" w:sz="4" w:space="0"/>
            </w:tcBorders>
            <w:vAlign w:val="center"/>
          </w:tcPr>
          <w:p>
            <w:pPr>
              <w:pStyle w:val="12"/>
              <w:bidi w:val="0"/>
              <w:rPr>
                <w:color w:val="auto"/>
                <w:highlight w:val="none"/>
              </w:rPr>
            </w:pPr>
          </w:p>
        </w:tc>
        <w:tc>
          <w:tcPr>
            <w:tcW w:w="1083" w:type="pct"/>
            <w:tcBorders>
              <w:left w:val="single" w:color="auto" w:sz="4" w:space="0"/>
            </w:tcBorders>
            <w:vAlign w:val="center"/>
          </w:tcPr>
          <w:p>
            <w:pPr>
              <w:pStyle w:val="12"/>
              <w:bidi w:val="0"/>
              <w:rPr>
                <w:color w:val="auto"/>
                <w:highlight w:val="none"/>
              </w:rPr>
            </w:pPr>
            <w:r>
              <w:rPr>
                <w:rFonts w:hint="eastAsia"/>
                <w:color w:val="auto"/>
                <w:highlight w:val="none"/>
              </w:rPr>
              <w:t>线管及管道</w:t>
            </w:r>
          </w:p>
        </w:tc>
        <w:tc>
          <w:tcPr>
            <w:tcW w:w="3583" w:type="pct"/>
            <w:vAlign w:val="center"/>
          </w:tcPr>
          <w:p>
            <w:pPr>
              <w:pStyle w:val="12"/>
              <w:bidi w:val="0"/>
              <w:rPr>
                <w:color w:val="auto"/>
                <w:highlight w:val="none"/>
              </w:rPr>
            </w:pPr>
            <w:r>
              <w:rPr>
                <w:rFonts w:hint="eastAsia"/>
                <w:color w:val="auto"/>
                <w:highlight w:val="none"/>
              </w:rPr>
              <w:t>内部无杂物、无泥沙、无污渍，外部表面清洁、金属制品无锈渍。</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332" w:type="pct"/>
            <w:vMerge w:val="restart"/>
            <w:tcBorders>
              <w:right w:val="single" w:color="auto" w:sz="4" w:space="0"/>
            </w:tcBorders>
            <w:vAlign w:val="center"/>
          </w:tcPr>
          <w:p>
            <w:pPr>
              <w:pStyle w:val="12"/>
              <w:bidi w:val="0"/>
              <w:rPr>
                <w:color w:val="auto"/>
                <w:highlight w:val="none"/>
              </w:rPr>
            </w:pPr>
            <w:r>
              <w:rPr>
                <w:rFonts w:hint="eastAsia"/>
                <w:color w:val="auto"/>
                <w:highlight w:val="none"/>
              </w:rPr>
              <w:t>室外区域</w:t>
            </w:r>
          </w:p>
        </w:tc>
        <w:tc>
          <w:tcPr>
            <w:tcW w:w="1083" w:type="pct"/>
            <w:tcBorders>
              <w:left w:val="single" w:color="auto" w:sz="4" w:space="0"/>
            </w:tcBorders>
            <w:vAlign w:val="center"/>
          </w:tcPr>
          <w:p>
            <w:pPr>
              <w:pStyle w:val="12"/>
              <w:bidi w:val="0"/>
              <w:rPr>
                <w:color w:val="auto"/>
                <w:highlight w:val="none"/>
              </w:rPr>
            </w:pPr>
            <w:r>
              <w:rPr>
                <w:rFonts w:hint="eastAsia"/>
                <w:color w:val="auto"/>
                <w:highlight w:val="none"/>
              </w:rPr>
              <w:t>外墙面</w:t>
            </w:r>
          </w:p>
        </w:tc>
        <w:tc>
          <w:tcPr>
            <w:tcW w:w="3583" w:type="pct"/>
            <w:vAlign w:val="center"/>
          </w:tcPr>
          <w:p>
            <w:pPr>
              <w:pStyle w:val="12"/>
              <w:bidi w:val="0"/>
              <w:rPr>
                <w:color w:val="auto"/>
                <w:highlight w:val="none"/>
              </w:rPr>
            </w:pPr>
            <w:r>
              <w:rPr>
                <w:rFonts w:hint="eastAsia"/>
                <w:color w:val="auto"/>
                <w:highlight w:val="none"/>
              </w:rPr>
              <w:t>无粘贴物、无灰尘、无污渍、无建筑装修材料残留、无印迹、无划痕、无胶渍等异物、无异色污染，石材、瓷砖墙面需保持光亮。</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332" w:type="pct"/>
            <w:vMerge w:val="continue"/>
            <w:tcBorders>
              <w:right w:val="single" w:color="auto" w:sz="4" w:space="0"/>
            </w:tcBorders>
            <w:vAlign w:val="center"/>
          </w:tcPr>
          <w:p>
            <w:pPr>
              <w:pStyle w:val="12"/>
              <w:bidi w:val="0"/>
              <w:rPr>
                <w:color w:val="auto"/>
                <w:highlight w:val="none"/>
              </w:rPr>
            </w:pPr>
          </w:p>
        </w:tc>
        <w:tc>
          <w:tcPr>
            <w:tcW w:w="1083" w:type="pct"/>
            <w:tcBorders>
              <w:left w:val="single" w:color="auto" w:sz="4" w:space="0"/>
            </w:tcBorders>
            <w:vAlign w:val="center"/>
          </w:tcPr>
          <w:p>
            <w:pPr>
              <w:pStyle w:val="12"/>
              <w:bidi w:val="0"/>
              <w:rPr>
                <w:color w:val="auto"/>
                <w:highlight w:val="none"/>
              </w:rPr>
            </w:pPr>
            <w:r>
              <w:rPr>
                <w:rFonts w:hint="eastAsia"/>
                <w:color w:val="auto"/>
                <w:highlight w:val="none"/>
              </w:rPr>
              <w:t>屋顶（含天沟）</w:t>
            </w:r>
          </w:p>
        </w:tc>
        <w:tc>
          <w:tcPr>
            <w:tcW w:w="3583" w:type="pct"/>
            <w:vAlign w:val="center"/>
          </w:tcPr>
          <w:p>
            <w:pPr>
              <w:pStyle w:val="12"/>
              <w:bidi w:val="0"/>
              <w:rPr>
                <w:color w:val="auto"/>
                <w:highlight w:val="none"/>
              </w:rPr>
            </w:pPr>
            <w:r>
              <w:rPr>
                <w:rFonts w:hint="eastAsia"/>
                <w:color w:val="auto"/>
                <w:highlight w:val="none"/>
              </w:rPr>
              <w:t>无积水、无泥沙、无垃圾杂物、无建筑材料残留，面层显本色。</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332" w:type="pct"/>
            <w:vMerge w:val="continue"/>
            <w:tcBorders>
              <w:right w:val="single" w:color="auto" w:sz="4" w:space="0"/>
            </w:tcBorders>
            <w:vAlign w:val="center"/>
          </w:tcPr>
          <w:p>
            <w:pPr>
              <w:pStyle w:val="12"/>
              <w:bidi w:val="0"/>
              <w:rPr>
                <w:color w:val="auto"/>
                <w:highlight w:val="none"/>
              </w:rPr>
            </w:pPr>
          </w:p>
        </w:tc>
        <w:tc>
          <w:tcPr>
            <w:tcW w:w="1083" w:type="pct"/>
            <w:tcBorders>
              <w:left w:val="single" w:color="auto" w:sz="4" w:space="0"/>
            </w:tcBorders>
            <w:vAlign w:val="center"/>
          </w:tcPr>
          <w:p>
            <w:pPr>
              <w:pStyle w:val="12"/>
              <w:bidi w:val="0"/>
              <w:rPr>
                <w:color w:val="auto"/>
                <w:highlight w:val="none"/>
              </w:rPr>
            </w:pPr>
            <w:r>
              <w:rPr>
                <w:rFonts w:hint="eastAsia"/>
                <w:color w:val="auto"/>
                <w:highlight w:val="none"/>
              </w:rPr>
              <w:t>室外地面</w:t>
            </w:r>
          </w:p>
        </w:tc>
        <w:tc>
          <w:tcPr>
            <w:tcW w:w="3583" w:type="pct"/>
            <w:vAlign w:val="center"/>
          </w:tcPr>
          <w:p>
            <w:pPr>
              <w:pStyle w:val="12"/>
              <w:bidi w:val="0"/>
              <w:rPr>
                <w:color w:val="auto"/>
                <w:highlight w:val="none"/>
              </w:rPr>
            </w:pPr>
            <w:r>
              <w:rPr>
                <w:rFonts w:hint="eastAsia"/>
                <w:color w:val="auto"/>
                <w:highlight w:val="none"/>
              </w:rPr>
              <w:t>无粘贴物、无垃圾、无积砂、无印迹、无异色污染。</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332" w:type="pct"/>
            <w:vMerge w:val="continue"/>
            <w:tcBorders>
              <w:right w:val="single" w:color="auto" w:sz="4" w:space="0"/>
            </w:tcBorders>
            <w:vAlign w:val="center"/>
          </w:tcPr>
          <w:p>
            <w:pPr>
              <w:pStyle w:val="12"/>
              <w:bidi w:val="0"/>
              <w:rPr>
                <w:color w:val="auto"/>
                <w:highlight w:val="none"/>
              </w:rPr>
            </w:pPr>
          </w:p>
        </w:tc>
        <w:tc>
          <w:tcPr>
            <w:tcW w:w="1083" w:type="pct"/>
            <w:tcBorders>
              <w:left w:val="single" w:color="auto" w:sz="4" w:space="0"/>
            </w:tcBorders>
            <w:vAlign w:val="center"/>
          </w:tcPr>
          <w:p>
            <w:pPr>
              <w:pStyle w:val="12"/>
              <w:bidi w:val="0"/>
              <w:rPr>
                <w:color w:val="auto"/>
                <w:highlight w:val="none"/>
              </w:rPr>
            </w:pPr>
            <w:r>
              <w:rPr>
                <w:rFonts w:hint="eastAsia"/>
                <w:color w:val="auto"/>
                <w:highlight w:val="none"/>
              </w:rPr>
              <w:t>室外道路</w:t>
            </w:r>
          </w:p>
        </w:tc>
        <w:tc>
          <w:tcPr>
            <w:tcW w:w="3583" w:type="pct"/>
            <w:vAlign w:val="center"/>
          </w:tcPr>
          <w:p>
            <w:pPr>
              <w:pStyle w:val="12"/>
              <w:bidi w:val="0"/>
              <w:rPr>
                <w:color w:val="auto"/>
                <w:highlight w:val="none"/>
              </w:rPr>
            </w:pPr>
            <w:r>
              <w:rPr>
                <w:rFonts w:hint="eastAsia"/>
                <w:color w:val="auto"/>
                <w:highlight w:val="none"/>
              </w:rPr>
              <w:t>无粘贴物、无垃圾、无积砂、无异色污染。</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332" w:type="pct"/>
            <w:vMerge w:val="continue"/>
            <w:tcBorders>
              <w:right w:val="single" w:color="auto" w:sz="4" w:space="0"/>
            </w:tcBorders>
            <w:vAlign w:val="center"/>
          </w:tcPr>
          <w:p>
            <w:pPr>
              <w:pStyle w:val="12"/>
              <w:bidi w:val="0"/>
              <w:rPr>
                <w:color w:val="auto"/>
                <w:highlight w:val="none"/>
              </w:rPr>
            </w:pPr>
          </w:p>
        </w:tc>
        <w:tc>
          <w:tcPr>
            <w:tcW w:w="1083" w:type="pct"/>
            <w:tcBorders>
              <w:left w:val="single" w:color="auto" w:sz="4" w:space="0"/>
            </w:tcBorders>
            <w:vAlign w:val="center"/>
          </w:tcPr>
          <w:p>
            <w:pPr>
              <w:pStyle w:val="12"/>
              <w:bidi w:val="0"/>
              <w:rPr>
                <w:color w:val="auto"/>
                <w:highlight w:val="none"/>
              </w:rPr>
            </w:pPr>
            <w:r>
              <w:rPr>
                <w:rFonts w:hint="eastAsia"/>
                <w:color w:val="auto"/>
                <w:highlight w:val="none"/>
              </w:rPr>
              <w:t>线管及管道</w:t>
            </w:r>
          </w:p>
        </w:tc>
        <w:tc>
          <w:tcPr>
            <w:tcW w:w="3583" w:type="pct"/>
            <w:vAlign w:val="center"/>
          </w:tcPr>
          <w:p>
            <w:pPr>
              <w:pStyle w:val="12"/>
              <w:bidi w:val="0"/>
              <w:rPr>
                <w:color w:val="auto"/>
                <w:highlight w:val="none"/>
              </w:rPr>
            </w:pPr>
            <w:r>
              <w:rPr>
                <w:rFonts w:hint="eastAsia"/>
                <w:color w:val="auto"/>
                <w:highlight w:val="none"/>
              </w:rPr>
              <w:t>内部无杂物、无泥沙、无污渍，外部表面清洁、金属制品无锈渍。</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332" w:type="pct"/>
            <w:vMerge w:val="restart"/>
            <w:tcBorders>
              <w:right w:val="single" w:color="auto" w:sz="4" w:space="0"/>
            </w:tcBorders>
            <w:vAlign w:val="center"/>
          </w:tcPr>
          <w:p>
            <w:pPr>
              <w:pStyle w:val="12"/>
              <w:bidi w:val="0"/>
              <w:rPr>
                <w:color w:val="auto"/>
                <w:highlight w:val="none"/>
              </w:rPr>
            </w:pPr>
            <w:r>
              <w:rPr>
                <w:rFonts w:hint="eastAsia"/>
                <w:color w:val="auto"/>
                <w:highlight w:val="none"/>
              </w:rPr>
              <w:t>地下车库</w:t>
            </w:r>
          </w:p>
        </w:tc>
        <w:tc>
          <w:tcPr>
            <w:tcW w:w="1083" w:type="pct"/>
            <w:tcBorders>
              <w:left w:val="single" w:color="auto" w:sz="4" w:space="0"/>
            </w:tcBorders>
            <w:vAlign w:val="center"/>
          </w:tcPr>
          <w:p>
            <w:pPr>
              <w:pStyle w:val="12"/>
              <w:bidi w:val="0"/>
              <w:rPr>
                <w:color w:val="auto"/>
                <w:highlight w:val="none"/>
              </w:rPr>
            </w:pPr>
            <w:r>
              <w:rPr>
                <w:rFonts w:hint="eastAsia"/>
                <w:color w:val="auto"/>
                <w:highlight w:val="none"/>
              </w:rPr>
              <w:t>地面</w:t>
            </w:r>
          </w:p>
        </w:tc>
        <w:tc>
          <w:tcPr>
            <w:tcW w:w="3583" w:type="pct"/>
            <w:vAlign w:val="center"/>
          </w:tcPr>
          <w:p>
            <w:pPr>
              <w:pStyle w:val="12"/>
              <w:bidi w:val="0"/>
              <w:rPr>
                <w:color w:val="auto"/>
                <w:highlight w:val="none"/>
              </w:rPr>
            </w:pPr>
            <w:r>
              <w:rPr>
                <w:rFonts w:hint="eastAsia"/>
                <w:color w:val="auto"/>
                <w:highlight w:val="none"/>
              </w:rPr>
              <w:t>无积水、无泥沙、无灰尘、无污渍、无垃圾杂物、无建筑装修材料残留。</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332" w:type="pct"/>
            <w:vMerge w:val="continue"/>
            <w:tcBorders>
              <w:right w:val="single" w:color="auto" w:sz="4" w:space="0"/>
            </w:tcBorders>
            <w:vAlign w:val="center"/>
          </w:tcPr>
          <w:p>
            <w:pPr>
              <w:pStyle w:val="12"/>
              <w:bidi w:val="0"/>
              <w:rPr>
                <w:color w:val="auto"/>
                <w:highlight w:val="none"/>
              </w:rPr>
            </w:pPr>
          </w:p>
        </w:tc>
        <w:tc>
          <w:tcPr>
            <w:tcW w:w="1083" w:type="pct"/>
            <w:tcBorders>
              <w:left w:val="single" w:color="auto" w:sz="4" w:space="0"/>
            </w:tcBorders>
            <w:vAlign w:val="center"/>
          </w:tcPr>
          <w:p>
            <w:pPr>
              <w:pStyle w:val="12"/>
              <w:bidi w:val="0"/>
              <w:rPr>
                <w:color w:val="auto"/>
                <w:highlight w:val="none"/>
              </w:rPr>
            </w:pPr>
            <w:r>
              <w:rPr>
                <w:rFonts w:hint="eastAsia"/>
                <w:color w:val="auto"/>
                <w:highlight w:val="none"/>
              </w:rPr>
              <w:t>墙面</w:t>
            </w:r>
          </w:p>
        </w:tc>
        <w:tc>
          <w:tcPr>
            <w:tcW w:w="3583" w:type="pct"/>
            <w:vAlign w:val="center"/>
          </w:tcPr>
          <w:p>
            <w:pPr>
              <w:pStyle w:val="12"/>
              <w:bidi w:val="0"/>
              <w:rPr>
                <w:rFonts w:hint="eastAsia" w:eastAsia="宋体"/>
                <w:color w:val="auto"/>
                <w:highlight w:val="none"/>
                <w:lang w:eastAsia="zh-CN"/>
              </w:rPr>
            </w:pPr>
            <w:r>
              <w:rPr>
                <w:rFonts w:hint="eastAsia"/>
                <w:color w:val="auto"/>
                <w:highlight w:val="none"/>
              </w:rPr>
              <w:t>无粘贴物、无灰尘、无污渍、无建筑装修材料残留、无印迹、无划痕、无胶渍等异物、无异色污染</w:t>
            </w:r>
            <w:r>
              <w:rPr>
                <w:rFonts w:hint="eastAsia"/>
                <w:color w:val="auto"/>
                <w:highlight w:val="none"/>
                <w:lang w:eastAsia="zh-CN"/>
              </w:rPr>
              <w:t>，</w:t>
            </w:r>
            <w:r>
              <w:rPr>
                <w:rFonts w:hint="eastAsia"/>
                <w:color w:val="auto"/>
                <w:highlight w:val="none"/>
                <w:lang w:val="en-US" w:eastAsia="zh-CN"/>
              </w:rPr>
              <w:t>石材面须打蜡处理</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332" w:type="pct"/>
            <w:vMerge w:val="continue"/>
            <w:tcBorders>
              <w:right w:val="single" w:color="auto" w:sz="4" w:space="0"/>
            </w:tcBorders>
            <w:vAlign w:val="center"/>
          </w:tcPr>
          <w:p>
            <w:pPr>
              <w:pStyle w:val="12"/>
              <w:bidi w:val="0"/>
              <w:rPr>
                <w:color w:val="auto"/>
                <w:highlight w:val="none"/>
              </w:rPr>
            </w:pPr>
          </w:p>
        </w:tc>
        <w:tc>
          <w:tcPr>
            <w:tcW w:w="1083" w:type="pct"/>
            <w:tcBorders>
              <w:left w:val="single" w:color="auto" w:sz="4" w:space="0"/>
            </w:tcBorders>
            <w:vAlign w:val="center"/>
          </w:tcPr>
          <w:p>
            <w:pPr>
              <w:pStyle w:val="12"/>
              <w:bidi w:val="0"/>
              <w:rPr>
                <w:color w:val="auto"/>
                <w:highlight w:val="none"/>
              </w:rPr>
            </w:pPr>
            <w:r>
              <w:rPr>
                <w:rFonts w:hint="eastAsia"/>
                <w:color w:val="auto"/>
                <w:highlight w:val="none"/>
              </w:rPr>
              <w:t>天棚</w:t>
            </w:r>
          </w:p>
        </w:tc>
        <w:tc>
          <w:tcPr>
            <w:tcW w:w="3583" w:type="pct"/>
            <w:vAlign w:val="center"/>
          </w:tcPr>
          <w:p>
            <w:pPr>
              <w:pStyle w:val="12"/>
              <w:bidi w:val="0"/>
              <w:rPr>
                <w:color w:val="auto"/>
                <w:highlight w:val="none"/>
              </w:rPr>
            </w:pPr>
            <w:r>
              <w:rPr>
                <w:rFonts w:hint="eastAsia"/>
                <w:color w:val="auto"/>
                <w:highlight w:val="none"/>
              </w:rPr>
              <w:t>无蛛网、无灰尘、无划痕、无污渍、无建筑装修材料残留，阴阳角无暗灰、无异色污染。</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332" w:type="pct"/>
            <w:vMerge w:val="continue"/>
            <w:tcBorders>
              <w:right w:val="single" w:color="auto" w:sz="4" w:space="0"/>
            </w:tcBorders>
            <w:vAlign w:val="center"/>
          </w:tcPr>
          <w:p>
            <w:pPr>
              <w:pStyle w:val="12"/>
              <w:bidi w:val="0"/>
              <w:rPr>
                <w:color w:val="auto"/>
                <w:highlight w:val="none"/>
              </w:rPr>
            </w:pPr>
          </w:p>
        </w:tc>
        <w:tc>
          <w:tcPr>
            <w:tcW w:w="1083" w:type="pct"/>
            <w:tcBorders>
              <w:left w:val="single" w:color="auto" w:sz="4" w:space="0"/>
            </w:tcBorders>
            <w:shd w:val="clear" w:color="auto" w:fill="auto"/>
            <w:vAlign w:val="center"/>
          </w:tcPr>
          <w:p>
            <w:pPr>
              <w:pStyle w:val="12"/>
              <w:bidi w:val="0"/>
              <w:ind w:left="0" w:leftChars="0" w:right="0" w:rightChars="0" w:firstLine="0" w:firstLineChars="0"/>
              <w:rPr>
                <w:rFonts w:hint="eastAsia" w:ascii="宋体" w:hAnsi="宋体" w:eastAsia="宋体" w:cs="宋体"/>
                <w:color w:val="auto"/>
                <w:kern w:val="0"/>
                <w:sz w:val="21"/>
                <w:szCs w:val="20"/>
                <w:highlight w:val="none"/>
                <w:lang w:val="en-US" w:eastAsia="zh-CN" w:bidi="ar-SA"/>
              </w:rPr>
            </w:pPr>
            <w:r>
              <w:rPr>
                <w:rFonts w:hint="eastAsia"/>
                <w:color w:val="auto"/>
                <w:highlight w:val="none"/>
                <w:lang w:val="en-US" w:eastAsia="zh-CN"/>
              </w:rPr>
              <w:t>扶手</w:t>
            </w:r>
          </w:p>
        </w:tc>
        <w:tc>
          <w:tcPr>
            <w:tcW w:w="3583" w:type="pct"/>
            <w:shd w:val="clear" w:color="auto" w:fill="auto"/>
            <w:vAlign w:val="center"/>
          </w:tcPr>
          <w:p>
            <w:pPr>
              <w:pStyle w:val="12"/>
              <w:bidi w:val="0"/>
              <w:ind w:left="0" w:leftChars="0" w:right="0" w:rightChars="0" w:firstLine="0" w:firstLineChars="0"/>
              <w:rPr>
                <w:rFonts w:hint="eastAsia" w:ascii="宋体" w:hAnsi="宋体" w:eastAsia="宋体" w:cs="宋体"/>
                <w:color w:val="auto"/>
                <w:kern w:val="0"/>
                <w:sz w:val="21"/>
                <w:szCs w:val="20"/>
                <w:highlight w:val="none"/>
                <w:lang w:val="en-US" w:eastAsia="zh-CN" w:bidi="ar-SA"/>
              </w:rPr>
            </w:pPr>
            <w:r>
              <w:rPr>
                <w:rFonts w:hint="eastAsia"/>
                <w:color w:val="auto"/>
                <w:highlight w:val="none"/>
                <w:lang w:val="en-US" w:eastAsia="zh-CN"/>
              </w:rPr>
              <w:t>无水泥渍、无灰尘、无涂料、无水迹、无污迹、洁净</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332" w:type="pct"/>
            <w:vMerge w:val="continue"/>
            <w:tcBorders>
              <w:right w:val="single" w:color="auto" w:sz="4" w:space="0"/>
            </w:tcBorders>
            <w:vAlign w:val="center"/>
          </w:tcPr>
          <w:p>
            <w:pPr>
              <w:pStyle w:val="12"/>
              <w:bidi w:val="0"/>
              <w:rPr>
                <w:color w:val="auto"/>
                <w:highlight w:val="none"/>
              </w:rPr>
            </w:pPr>
          </w:p>
        </w:tc>
        <w:tc>
          <w:tcPr>
            <w:tcW w:w="1083" w:type="pct"/>
            <w:tcBorders>
              <w:left w:val="single" w:color="auto" w:sz="4" w:space="0"/>
            </w:tcBorders>
            <w:shd w:val="clear" w:color="auto" w:fill="auto"/>
            <w:vAlign w:val="center"/>
          </w:tcPr>
          <w:p>
            <w:pPr>
              <w:pStyle w:val="12"/>
              <w:bidi w:val="0"/>
              <w:ind w:left="0" w:leftChars="0" w:right="0" w:rightChars="0" w:firstLine="0" w:firstLineChars="0"/>
              <w:rPr>
                <w:rFonts w:hint="eastAsia" w:ascii="宋体" w:hAnsi="宋体" w:eastAsia="宋体" w:cs="宋体"/>
                <w:color w:val="auto"/>
                <w:kern w:val="0"/>
                <w:sz w:val="21"/>
                <w:szCs w:val="20"/>
                <w:highlight w:val="none"/>
                <w:lang w:val="en-US" w:eastAsia="zh-CN" w:bidi="ar-SA"/>
              </w:rPr>
            </w:pPr>
            <w:r>
              <w:rPr>
                <w:rFonts w:hint="eastAsia"/>
                <w:color w:val="auto"/>
                <w:highlight w:val="none"/>
                <w:lang w:val="en-US" w:eastAsia="zh-CN"/>
              </w:rPr>
              <w:t>消防栓、灭火器</w:t>
            </w:r>
          </w:p>
        </w:tc>
        <w:tc>
          <w:tcPr>
            <w:tcW w:w="3583" w:type="pct"/>
            <w:shd w:val="clear" w:color="auto" w:fill="auto"/>
            <w:vAlign w:val="center"/>
          </w:tcPr>
          <w:p>
            <w:pPr>
              <w:pStyle w:val="12"/>
              <w:bidi w:val="0"/>
              <w:ind w:left="0" w:leftChars="0" w:right="0" w:rightChars="0" w:firstLine="0" w:firstLineChars="0"/>
              <w:rPr>
                <w:rFonts w:hint="eastAsia" w:ascii="宋体" w:hAnsi="宋体" w:eastAsia="宋体" w:cs="宋体"/>
                <w:color w:val="auto"/>
                <w:kern w:val="0"/>
                <w:sz w:val="21"/>
                <w:szCs w:val="20"/>
                <w:highlight w:val="none"/>
                <w:lang w:val="en-US" w:eastAsia="zh-CN" w:bidi="ar-SA"/>
              </w:rPr>
            </w:pPr>
            <w:r>
              <w:rPr>
                <w:rFonts w:hint="eastAsia"/>
                <w:color w:val="auto"/>
                <w:highlight w:val="none"/>
                <w:lang w:val="en-US" w:eastAsia="zh-CN"/>
              </w:rPr>
              <w:t>无水泥渍、无油漆、涂料及污渍、无灰尘、无水迹、无蜘蛛网</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332" w:type="pct"/>
            <w:vMerge w:val="continue"/>
            <w:tcBorders>
              <w:right w:val="single" w:color="auto" w:sz="4" w:space="0"/>
            </w:tcBorders>
            <w:vAlign w:val="center"/>
          </w:tcPr>
          <w:p>
            <w:pPr>
              <w:pStyle w:val="12"/>
              <w:bidi w:val="0"/>
              <w:rPr>
                <w:color w:val="auto"/>
                <w:highlight w:val="none"/>
              </w:rPr>
            </w:pPr>
          </w:p>
        </w:tc>
        <w:tc>
          <w:tcPr>
            <w:tcW w:w="1083" w:type="pct"/>
            <w:tcBorders>
              <w:left w:val="single" w:color="auto" w:sz="4" w:space="0"/>
            </w:tcBorders>
            <w:shd w:val="clear" w:color="auto" w:fill="auto"/>
            <w:vAlign w:val="center"/>
          </w:tcPr>
          <w:p>
            <w:pPr>
              <w:pStyle w:val="12"/>
              <w:bidi w:val="0"/>
              <w:ind w:left="0" w:leftChars="0" w:right="0" w:rightChars="0" w:firstLine="0" w:firstLineChars="0"/>
              <w:rPr>
                <w:rFonts w:hint="eastAsia" w:ascii="宋体" w:hAnsi="宋体" w:eastAsia="宋体" w:cs="宋体"/>
                <w:color w:val="auto"/>
                <w:kern w:val="0"/>
                <w:sz w:val="21"/>
                <w:szCs w:val="20"/>
                <w:highlight w:val="none"/>
                <w:lang w:val="en-US" w:eastAsia="zh-CN" w:bidi="ar-SA"/>
              </w:rPr>
            </w:pPr>
            <w:r>
              <w:rPr>
                <w:rFonts w:hint="eastAsia"/>
                <w:color w:val="auto"/>
                <w:highlight w:val="none"/>
                <w:lang w:val="en-US" w:eastAsia="zh-CN"/>
              </w:rPr>
              <w:t>电源开关、盖板</w:t>
            </w:r>
          </w:p>
        </w:tc>
        <w:tc>
          <w:tcPr>
            <w:tcW w:w="3583" w:type="pct"/>
            <w:shd w:val="clear" w:color="auto" w:fill="auto"/>
            <w:vAlign w:val="center"/>
          </w:tcPr>
          <w:p>
            <w:pPr>
              <w:pStyle w:val="12"/>
              <w:bidi w:val="0"/>
              <w:ind w:left="0" w:leftChars="0" w:right="0" w:rightChars="0" w:firstLine="0" w:firstLineChars="0"/>
              <w:rPr>
                <w:rFonts w:hint="eastAsia" w:ascii="宋体" w:hAnsi="宋体" w:eastAsia="宋体" w:cs="宋体"/>
                <w:color w:val="auto"/>
                <w:kern w:val="0"/>
                <w:sz w:val="21"/>
                <w:szCs w:val="20"/>
                <w:highlight w:val="none"/>
                <w:lang w:val="en-US" w:eastAsia="zh-CN" w:bidi="ar-SA"/>
              </w:rPr>
            </w:pPr>
            <w:r>
              <w:rPr>
                <w:rFonts w:hint="eastAsia"/>
                <w:color w:val="auto"/>
                <w:highlight w:val="none"/>
                <w:lang w:val="en-US" w:eastAsia="zh-CN"/>
              </w:rPr>
              <w:t>无水泥渍、无油漆、涂料及污渍、无灰尘、洁净</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332" w:type="pct"/>
            <w:vMerge w:val="continue"/>
            <w:tcBorders>
              <w:right w:val="single" w:color="auto" w:sz="4" w:space="0"/>
            </w:tcBorders>
            <w:vAlign w:val="center"/>
          </w:tcPr>
          <w:p>
            <w:pPr>
              <w:pStyle w:val="12"/>
              <w:bidi w:val="0"/>
              <w:rPr>
                <w:color w:val="auto"/>
                <w:highlight w:val="none"/>
              </w:rPr>
            </w:pPr>
          </w:p>
        </w:tc>
        <w:tc>
          <w:tcPr>
            <w:tcW w:w="1983" w:type="dxa"/>
            <w:tcBorders>
              <w:left w:val="single" w:color="auto" w:sz="4" w:space="0"/>
            </w:tcBorders>
            <w:shd w:val="clear" w:color="auto" w:fill="auto"/>
            <w:vAlign w:val="center"/>
          </w:tcPr>
          <w:p>
            <w:pPr>
              <w:pStyle w:val="12"/>
              <w:bidi w:val="0"/>
              <w:ind w:left="0" w:leftChars="0" w:right="0" w:rightChars="0" w:firstLine="0" w:firstLineChars="0"/>
              <w:rPr>
                <w:rFonts w:hint="eastAsia"/>
                <w:color w:val="auto"/>
                <w:highlight w:val="none"/>
                <w:lang w:val="en-US" w:eastAsia="zh-CN"/>
              </w:rPr>
            </w:pPr>
            <w:r>
              <w:rPr>
                <w:rFonts w:hint="eastAsia"/>
                <w:color w:val="auto"/>
                <w:highlight w:val="none"/>
                <w:lang w:val="en-US" w:eastAsia="zh-CN"/>
              </w:rPr>
              <w:t>贴脚线</w:t>
            </w:r>
          </w:p>
        </w:tc>
        <w:tc>
          <w:tcPr>
            <w:tcW w:w="6559" w:type="dxa"/>
            <w:shd w:val="clear" w:color="auto" w:fill="auto"/>
            <w:vAlign w:val="center"/>
          </w:tcPr>
          <w:p>
            <w:pPr>
              <w:pStyle w:val="12"/>
              <w:bidi w:val="0"/>
              <w:ind w:left="0" w:leftChars="0" w:right="0" w:rightChars="0" w:firstLine="0" w:firstLineChars="0"/>
              <w:rPr>
                <w:rFonts w:hint="eastAsia"/>
                <w:color w:val="auto"/>
                <w:highlight w:val="none"/>
                <w:lang w:val="en-US" w:eastAsia="zh-CN"/>
              </w:rPr>
            </w:pPr>
            <w:r>
              <w:rPr>
                <w:rFonts w:hint="eastAsia"/>
                <w:color w:val="auto"/>
                <w:highlight w:val="none"/>
                <w:lang w:val="en-US" w:eastAsia="zh-CN"/>
              </w:rPr>
              <w:t>无水泥渍、无油漆、无涂料及污迹、无垃圾、无灰尘、无水迹、光亮、无蜘蛛网、无乱贴乱画、石材面须打蜡处理</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332" w:type="pct"/>
            <w:vMerge w:val="continue"/>
            <w:tcBorders>
              <w:right w:val="single" w:color="auto" w:sz="4" w:space="0"/>
            </w:tcBorders>
            <w:vAlign w:val="center"/>
          </w:tcPr>
          <w:p>
            <w:pPr>
              <w:pStyle w:val="12"/>
              <w:bidi w:val="0"/>
              <w:rPr>
                <w:color w:val="auto"/>
                <w:highlight w:val="none"/>
              </w:rPr>
            </w:pPr>
          </w:p>
        </w:tc>
        <w:tc>
          <w:tcPr>
            <w:tcW w:w="1983" w:type="dxa"/>
            <w:tcBorders>
              <w:left w:val="single" w:color="auto" w:sz="4" w:space="0"/>
            </w:tcBorders>
            <w:shd w:val="clear" w:color="auto" w:fill="auto"/>
            <w:vAlign w:val="center"/>
          </w:tcPr>
          <w:p>
            <w:pPr>
              <w:pStyle w:val="12"/>
              <w:bidi w:val="0"/>
              <w:ind w:left="0" w:leftChars="0" w:right="0" w:rightChars="0" w:firstLine="0" w:firstLineChars="0"/>
              <w:rPr>
                <w:rFonts w:hint="eastAsia"/>
                <w:color w:val="auto"/>
                <w:highlight w:val="none"/>
                <w:lang w:val="en-US" w:eastAsia="zh-CN"/>
              </w:rPr>
            </w:pPr>
            <w:r>
              <w:rPr>
                <w:rFonts w:hint="eastAsia"/>
                <w:color w:val="auto"/>
                <w:highlight w:val="none"/>
                <w:lang w:val="en-US" w:eastAsia="zh-CN"/>
              </w:rPr>
              <w:t>灯罩</w:t>
            </w:r>
          </w:p>
        </w:tc>
        <w:tc>
          <w:tcPr>
            <w:tcW w:w="6559" w:type="dxa"/>
            <w:shd w:val="clear" w:color="auto" w:fill="auto"/>
            <w:vAlign w:val="center"/>
          </w:tcPr>
          <w:p>
            <w:pPr>
              <w:pStyle w:val="12"/>
              <w:bidi w:val="0"/>
              <w:ind w:left="0" w:leftChars="0" w:right="0" w:rightChars="0" w:firstLine="0" w:firstLineChars="0"/>
              <w:rPr>
                <w:rFonts w:hint="eastAsia"/>
                <w:color w:val="auto"/>
                <w:highlight w:val="none"/>
                <w:lang w:val="en-US" w:eastAsia="zh-CN"/>
              </w:rPr>
            </w:pPr>
            <w:r>
              <w:rPr>
                <w:rFonts w:hint="eastAsia"/>
                <w:color w:val="auto"/>
                <w:highlight w:val="none"/>
                <w:lang w:val="en-US" w:eastAsia="zh-CN"/>
              </w:rPr>
              <w:t>无涂料、无胶迹、无污渍、无灰尘</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332" w:type="pct"/>
            <w:vMerge w:val="continue"/>
            <w:tcBorders>
              <w:right w:val="single" w:color="auto" w:sz="4" w:space="0"/>
            </w:tcBorders>
            <w:vAlign w:val="center"/>
          </w:tcPr>
          <w:p>
            <w:pPr>
              <w:pStyle w:val="12"/>
              <w:bidi w:val="0"/>
              <w:rPr>
                <w:color w:val="auto"/>
                <w:highlight w:val="none"/>
              </w:rPr>
            </w:pPr>
          </w:p>
        </w:tc>
        <w:tc>
          <w:tcPr>
            <w:tcW w:w="1983" w:type="dxa"/>
            <w:tcBorders>
              <w:left w:val="single" w:color="auto" w:sz="4" w:space="0"/>
            </w:tcBorders>
            <w:shd w:val="clear" w:color="auto" w:fill="auto"/>
            <w:vAlign w:val="center"/>
          </w:tcPr>
          <w:p>
            <w:pPr>
              <w:pStyle w:val="12"/>
              <w:bidi w:val="0"/>
              <w:ind w:left="0" w:leftChars="0" w:right="0" w:rightChars="0" w:firstLine="0" w:firstLineChars="0"/>
              <w:rPr>
                <w:rFonts w:hint="eastAsia"/>
                <w:color w:val="auto"/>
                <w:highlight w:val="none"/>
                <w:lang w:val="en-US" w:eastAsia="zh-CN"/>
              </w:rPr>
            </w:pPr>
            <w:r>
              <w:rPr>
                <w:rFonts w:hint="eastAsia"/>
                <w:color w:val="auto"/>
                <w:highlight w:val="none"/>
                <w:lang w:val="en-US" w:eastAsia="zh-CN"/>
              </w:rPr>
              <w:t>配电箱及附属管道</w:t>
            </w:r>
          </w:p>
        </w:tc>
        <w:tc>
          <w:tcPr>
            <w:tcW w:w="6559" w:type="dxa"/>
            <w:shd w:val="clear" w:color="auto" w:fill="auto"/>
            <w:vAlign w:val="center"/>
          </w:tcPr>
          <w:p>
            <w:pPr>
              <w:pStyle w:val="12"/>
              <w:bidi w:val="0"/>
              <w:ind w:left="0" w:leftChars="0" w:right="0" w:rightChars="0" w:firstLine="0" w:firstLineChars="0"/>
              <w:rPr>
                <w:rFonts w:hint="eastAsia"/>
                <w:color w:val="auto"/>
                <w:highlight w:val="none"/>
                <w:lang w:val="en-US" w:eastAsia="zh-CN"/>
              </w:rPr>
            </w:pPr>
            <w:r>
              <w:rPr>
                <w:rFonts w:hint="eastAsia"/>
                <w:color w:val="auto"/>
                <w:highlight w:val="none"/>
                <w:lang w:val="en-US" w:eastAsia="zh-CN"/>
              </w:rPr>
              <w:t>无涂料、无水泥渍、无胶迹、无污迹、无灰尘</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332" w:type="pct"/>
            <w:vMerge w:val="continue"/>
            <w:tcBorders>
              <w:right w:val="single" w:color="auto" w:sz="4" w:space="0"/>
            </w:tcBorders>
            <w:vAlign w:val="center"/>
          </w:tcPr>
          <w:p>
            <w:pPr>
              <w:pStyle w:val="12"/>
              <w:bidi w:val="0"/>
              <w:rPr>
                <w:color w:val="auto"/>
                <w:highlight w:val="none"/>
              </w:rPr>
            </w:pPr>
          </w:p>
        </w:tc>
        <w:tc>
          <w:tcPr>
            <w:tcW w:w="1983" w:type="dxa"/>
            <w:tcBorders>
              <w:left w:val="single" w:color="auto" w:sz="4" w:space="0"/>
            </w:tcBorders>
            <w:shd w:val="clear" w:color="auto" w:fill="auto"/>
            <w:vAlign w:val="center"/>
          </w:tcPr>
          <w:p>
            <w:pPr>
              <w:pStyle w:val="12"/>
              <w:bidi w:val="0"/>
              <w:ind w:left="0" w:leftChars="0" w:right="0" w:rightChars="0" w:firstLine="0" w:firstLineChars="0"/>
              <w:rPr>
                <w:rFonts w:hint="eastAsia"/>
                <w:color w:val="auto"/>
                <w:highlight w:val="none"/>
                <w:lang w:val="en-US" w:eastAsia="zh-CN"/>
              </w:rPr>
            </w:pPr>
            <w:r>
              <w:rPr>
                <w:rFonts w:hint="eastAsia"/>
                <w:color w:val="auto"/>
                <w:highlight w:val="none"/>
                <w:lang w:val="en-US" w:eastAsia="zh-CN"/>
              </w:rPr>
              <w:t>管道井及附属管道</w:t>
            </w:r>
          </w:p>
        </w:tc>
        <w:tc>
          <w:tcPr>
            <w:tcW w:w="6559" w:type="dxa"/>
            <w:shd w:val="clear" w:color="auto" w:fill="auto"/>
            <w:vAlign w:val="center"/>
          </w:tcPr>
          <w:p>
            <w:pPr>
              <w:pStyle w:val="12"/>
              <w:bidi w:val="0"/>
              <w:ind w:left="0" w:leftChars="0" w:right="0" w:rightChars="0" w:firstLine="0" w:firstLineChars="0"/>
              <w:rPr>
                <w:rFonts w:hint="eastAsia"/>
                <w:color w:val="auto"/>
                <w:highlight w:val="none"/>
                <w:lang w:val="en-US" w:eastAsia="zh-CN"/>
              </w:rPr>
            </w:pPr>
            <w:r>
              <w:rPr>
                <w:rFonts w:hint="eastAsia"/>
                <w:color w:val="auto"/>
                <w:highlight w:val="none"/>
                <w:lang w:val="en-US" w:eastAsia="zh-CN"/>
              </w:rPr>
              <w:t>无垃圾、无杂物、管道上无涂料、无水泥渍、无污迹、无灰尘</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332" w:type="pct"/>
            <w:vMerge w:val="continue"/>
            <w:tcBorders>
              <w:right w:val="single" w:color="auto" w:sz="4" w:space="0"/>
            </w:tcBorders>
            <w:vAlign w:val="center"/>
          </w:tcPr>
          <w:p>
            <w:pPr>
              <w:pStyle w:val="12"/>
              <w:bidi w:val="0"/>
              <w:rPr>
                <w:color w:val="auto"/>
                <w:highlight w:val="none"/>
              </w:rPr>
            </w:pPr>
          </w:p>
        </w:tc>
        <w:tc>
          <w:tcPr>
            <w:tcW w:w="1983" w:type="dxa"/>
            <w:tcBorders>
              <w:left w:val="single" w:color="auto" w:sz="4" w:space="0"/>
            </w:tcBorders>
            <w:shd w:val="clear" w:color="auto" w:fill="auto"/>
            <w:vAlign w:val="center"/>
          </w:tcPr>
          <w:p>
            <w:pPr>
              <w:pStyle w:val="12"/>
              <w:bidi w:val="0"/>
              <w:ind w:left="0" w:leftChars="0" w:right="0" w:rightChars="0" w:firstLine="0" w:firstLineChars="0"/>
              <w:rPr>
                <w:rFonts w:hint="eastAsia"/>
                <w:color w:val="auto"/>
                <w:highlight w:val="none"/>
                <w:lang w:val="en-US" w:eastAsia="zh-CN"/>
              </w:rPr>
            </w:pPr>
            <w:r>
              <w:rPr>
                <w:rFonts w:hint="eastAsia"/>
                <w:color w:val="auto"/>
                <w:highlight w:val="none"/>
                <w:lang w:val="en-US" w:eastAsia="zh-CN"/>
              </w:rPr>
              <w:t>不锈钢、钛金部件</w:t>
            </w:r>
          </w:p>
        </w:tc>
        <w:tc>
          <w:tcPr>
            <w:tcW w:w="6559" w:type="dxa"/>
            <w:shd w:val="clear" w:color="auto" w:fill="auto"/>
            <w:vAlign w:val="center"/>
          </w:tcPr>
          <w:p>
            <w:pPr>
              <w:pStyle w:val="12"/>
              <w:bidi w:val="0"/>
              <w:ind w:left="0" w:leftChars="0" w:right="0" w:rightChars="0" w:firstLine="0" w:firstLineChars="0"/>
              <w:rPr>
                <w:rFonts w:hint="eastAsia"/>
                <w:color w:val="auto"/>
                <w:highlight w:val="none"/>
                <w:lang w:val="en-US" w:eastAsia="zh-CN"/>
              </w:rPr>
            </w:pPr>
            <w:r>
              <w:rPr>
                <w:rFonts w:hint="eastAsia"/>
                <w:color w:val="auto"/>
                <w:highlight w:val="none"/>
                <w:lang w:val="en-US" w:eastAsia="zh-CN"/>
              </w:rPr>
              <w:t>无油漆、无涂料、无胶迹、无污迹、无灰尘、无水印、无手印、有光泽度、上专用金属光亮剂</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332" w:type="pct"/>
            <w:vMerge w:val="continue"/>
            <w:tcBorders>
              <w:right w:val="single" w:color="auto" w:sz="4" w:space="0"/>
            </w:tcBorders>
            <w:vAlign w:val="center"/>
          </w:tcPr>
          <w:p>
            <w:pPr>
              <w:pStyle w:val="12"/>
              <w:bidi w:val="0"/>
              <w:rPr>
                <w:color w:val="auto"/>
                <w:highlight w:val="none"/>
              </w:rPr>
            </w:pPr>
          </w:p>
        </w:tc>
        <w:tc>
          <w:tcPr>
            <w:tcW w:w="1983" w:type="dxa"/>
            <w:tcBorders>
              <w:left w:val="single" w:color="auto" w:sz="4" w:space="0"/>
            </w:tcBorders>
            <w:shd w:val="clear" w:color="auto" w:fill="auto"/>
            <w:vAlign w:val="center"/>
          </w:tcPr>
          <w:p>
            <w:pPr>
              <w:pStyle w:val="12"/>
              <w:bidi w:val="0"/>
              <w:ind w:left="0" w:leftChars="0" w:right="0" w:rightChars="0" w:firstLine="0" w:firstLineChars="0"/>
              <w:rPr>
                <w:rFonts w:hint="eastAsia"/>
                <w:color w:val="auto"/>
                <w:highlight w:val="none"/>
                <w:lang w:val="en-US" w:eastAsia="zh-CN"/>
              </w:rPr>
            </w:pPr>
            <w:r>
              <w:rPr>
                <w:rFonts w:hint="eastAsia"/>
                <w:color w:val="auto"/>
                <w:highlight w:val="none"/>
                <w:lang w:val="en-US" w:eastAsia="zh-CN"/>
              </w:rPr>
              <w:t>车挡</w:t>
            </w:r>
          </w:p>
        </w:tc>
        <w:tc>
          <w:tcPr>
            <w:tcW w:w="6559" w:type="dxa"/>
            <w:shd w:val="clear" w:color="auto" w:fill="auto"/>
            <w:vAlign w:val="center"/>
          </w:tcPr>
          <w:p>
            <w:pPr>
              <w:pStyle w:val="12"/>
              <w:bidi w:val="0"/>
              <w:ind w:left="0" w:leftChars="0" w:right="0" w:rightChars="0" w:firstLine="0" w:firstLineChars="0"/>
              <w:rPr>
                <w:rFonts w:hint="eastAsia"/>
                <w:color w:val="auto"/>
                <w:highlight w:val="none"/>
                <w:lang w:val="en-US" w:eastAsia="zh-CN"/>
              </w:rPr>
            </w:pPr>
            <w:r>
              <w:rPr>
                <w:rFonts w:hint="eastAsia"/>
                <w:color w:val="auto"/>
                <w:highlight w:val="none"/>
                <w:lang w:val="en-US" w:eastAsia="zh-CN"/>
              </w:rPr>
              <w:t>无涂料、无胶迹、无污渍、无灰尘</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332" w:type="pct"/>
            <w:vMerge w:val="continue"/>
            <w:tcBorders>
              <w:right w:val="single" w:color="auto" w:sz="4" w:space="0"/>
            </w:tcBorders>
            <w:vAlign w:val="center"/>
          </w:tcPr>
          <w:p>
            <w:pPr>
              <w:pStyle w:val="12"/>
              <w:bidi w:val="0"/>
              <w:rPr>
                <w:color w:val="auto"/>
                <w:highlight w:val="none"/>
              </w:rPr>
            </w:pPr>
          </w:p>
        </w:tc>
        <w:tc>
          <w:tcPr>
            <w:tcW w:w="1983" w:type="dxa"/>
            <w:tcBorders>
              <w:left w:val="single" w:color="auto" w:sz="4" w:space="0"/>
            </w:tcBorders>
            <w:shd w:val="clear" w:color="auto" w:fill="auto"/>
            <w:vAlign w:val="center"/>
          </w:tcPr>
          <w:p>
            <w:pPr>
              <w:pStyle w:val="12"/>
              <w:bidi w:val="0"/>
              <w:ind w:left="0" w:leftChars="0" w:right="0" w:rightChars="0" w:firstLine="0" w:firstLineChars="0"/>
              <w:rPr>
                <w:rFonts w:hint="eastAsia"/>
                <w:color w:val="auto"/>
                <w:highlight w:val="none"/>
                <w:lang w:val="en-US" w:eastAsia="zh-CN"/>
              </w:rPr>
            </w:pPr>
            <w:r>
              <w:rPr>
                <w:rFonts w:hint="eastAsia"/>
                <w:color w:val="auto"/>
                <w:highlight w:val="none"/>
                <w:lang w:val="en-US" w:eastAsia="zh-CN"/>
              </w:rPr>
              <w:t>贴脚线</w:t>
            </w:r>
          </w:p>
        </w:tc>
        <w:tc>
          <w:tcPr>
            <w:tcW w:w="6559" w:type="dxa"/>
            <w:shd w:val="clear" w:color="auto" w:fill="auto"/>
            <w:vAlign w:val="center"/>
          </w:tcPr>
          <w:p>
            <w:pPr>
              <w:pStyle w:val="12"/>
              <w:bidi w:val="0"/>
              <w:ind w:left="0" w:leftChars="0" w:right="0" w:rightChars="0" w:firstLine="0" w:firstLineChars="0"/>
              <w:rPr>
                <w:rFonts w:hint="eastAsia"/>
                <w:color w:val="auto"/>
                <w:highlight w:val="none"/>
                <w:lang w:val="en-US" w:eastAsia="zh-CN"/>
              </w:rPr>
            </w:pPr>
            <w:r>
              <w:rPr>
                <w:rFonts w:hint="eastAsia"/>
                <w:color w:val="auto"/>
                <w:highlight w:val="none"/>
                <w:lang w:val="en-US" w:eastAsia="zh-CN"/>
              </w:rPr>
              <w:t>无水泥渍、无油漆、无涂料及污迹、无垃圾、无灰尘、无水迹、光亮、无蜘蛛网、无乱贴乱画、石材面须打蜡处理</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332" w:type="pct"/>
            <w:vMerge w:val="continue"/>
            <w:tcBorders>
              <w:right w:val="single" w:color="auto" w:sz="4" w:space="0"/>
            </w:tcBorders>
            <w:vAlign w:val="center"/>
          </w:tcPr>
          <w:p>
            <w:pPr>
              <w:pStyle w:val="12"/>
              <w:bidi w:val="0"/>
              <w:rPr>
                <w:color w:val="auto"/>
                <w:highlight w:val="none"/>
              </w:rPr>
            </w:pPr>
          </w:p>
        </w:tc>
        <w:tc>
          <w:tcPr>
            <w:tcW w:w="1083" w:type="pct"/>
            <w:tcBorders>
              <w:left w:val="single" w:color="auto" w:sz="4" w:space="0"/>
            </w:tcBorders>
            <w:vAlign w:val="center"/>
          </w:tcPr>
          <w:p>
            <w:pPr>
              <w:pStyle w:val="12"/>
              <w:bidi w:val="0"/>
              <w:rPr>
                <w:color w:val="auto"/>
                <w:highlight w:val="none"/>
              </w:rPr>
            </w:pPr>
            <w:r>
              <w:rPr>
                <w:rFonts w:hint="eastAsia"/>
                <w:color w:val="auto"/>
                <w:highlight w:val="none"/>
              </w:rPr>
              <w:t>机电管道</w:t>
            </w:r>
          </w:p>
        </w:tc>
        <w:tc>
          <w:tcPr>
            <w:tcW w:w="3583" w:type="pct"/>
            <w:vAlign w:val="center"/>
          </w:tcPr>
          <w:p>
            <w:pPr>
              <w:pStyle w:val="12"/>
              <w:bidi w:val="0"/>
              <w:rPr>
                <w:color w:val="auto"/>
                <w:highlight w:val="none"/>
              </w:rPr>
            </w:pPr>
            <w:r>
              <w:rPr>
                <w:rFonts w:hint="eastAsia"/>
                <w:color w:val="auto"/>
                <w:highlight w:val="none"/>
              </w:rPr>
              <w:t>无涂料、胶迹污染，无灰尘，目测洁净。</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332" w:type="pct"/>
            <w:vMerge w:val="continue"/>
            <w:tcBorders>
              <w:right w:val="single" w:color="auto" w:sz="4" w:space="0"/>
            </w:tcBorders>
            <w:vAlign w:val="center"/>
          </w:tcPr>
          <w:p>
            <w:pPr>
              <w:pStyle w:val="12"/>
              <w:bidi w:val="0"/>
              <w:rPr>
                <w:color w:val="auto"/>
                <w:highlight w:val="none"/>
              </w:rPr>
            </w:pPr>
          </w:p>
        </w:tc>
        <w:tc>
          <w:tcPr>
            <w:tcW w:w="1083" w:type="pct"/>
            <w:tcBorders>
              <w:left w:val="single" w:color="auto" w:sz="4" w:space="0"/>
            </w:tcBorders>
            <w:vAlign w:val="center"/>
          </w:tcPr>
          <w:p>
            <w:pPr>
              <w:pStyle w:val="12"/>
              <w:bidi w:val="0"/>
              <w:rPr>
                <w:color w:val="auto"/>
                <w:highlight w:val="none"/>
              </w:rPr>
            </w:pPr>
            <w:r>
              <w:rPr>
                <w:rFonts w:hint="eastAsia"/>
                <w:color w:val="auto"/>
                <w:highlight w:val="none"/>
              </w:rPr>
              <w:t>水泵房、设备间等</w:t>
            </w:r>
          </w:p>
        </w:tc>
        <w:tc>
          <w:tcPr>
            <w:tcW w:w="3583" w:type="pct"/>
            <w:vAlign w:val="center"/>
          </w:tcPr>
          <w:p>
            <w:pPr>
              <w:pStyle w:val="12"/>
              <w:bidi w:val="0"/>
              <w:rPr>
                <w:color w:val="auto"/>
                <w:highlight w:val="none"/>
              </w:rPr>
            </w:pPr>
            <w:r>
              <w:rPr>
                <w:rFonts w:hint="eastAsia"/>
                <w:color w:val="auto"/>
                <w:highlight w:val="none"/>
              </w:rPr>
              <w:t>地面无涂料污染，内外无垃圾灰尘。</w:t>
            </w:r>
          </w:p>
        </w:tc>
      </w:tr>
    </w:tbl>
    <w:p>
      <w:pPr>
        <w:pStyle w:val="4"/>
        <w:bidi w:val="0"/>
        <w:rPr>
          <w:color w:val="auto"/>
          <w:highlight w:val="none"/>
        </w:rPr>
      </w:pPr>
      <w:r>
        <w:rPr>
          <w:color w:val="auto"/>
          <w:highlight w:val="none"/>
        </w:rPr>
        <w:t>工程移交</w:t>
      </w:r>
      <w:bookmarkEnd w:id="485"/>
    </w:p>
    <w:p>
      <w:pPr>
        <w:bidi w:val="0"/>
        <w:rPr>
          <w:color w:val="auto"/>
          <w:highlight w:val="none"/>
        </w:rPr>
      </w:pPr>
      <w:r>
        <w:rPr>
          <w:rFonts w:hint="eastAsia"/>
          <w:color w:val="auto"/>
          <w:highlight w:val="none"/>
        </w:rPr>
        <w:t>竣工</w:t>
      </w:r>
      <w:r>
        <w:rPr>
          <w:color w:val="auto"/>
          <w:highlight w:val="none"/>
        </w:rPr>
        <w:t>备案完成且移交验收完成合格后7日内，</w:t>
      </w:r>
      <w:r>
        <w:rPr>
          <w:rFonts w:hint="eastAsia"/>
          <w:color w:val="auto"/>
          <w:highlight w:val="none"/>
        </w:rPr>
        <w:t>总承包人</w:t>
      </w:r>
      <w:r>
        <w:rPr>
          <w:color w:val="auto"/>
          <w:highlight w:val="none"/>
        </w:rPr>
        <w:t>提交《工程</w:t>
      </w:r>
      <w:r>
        <w:rPr>
          <w:rFonts w:hint="eastAsia"/>
          <w:color w:val="auto"/>
          <w:highlight w:val="none"/>
        </w:rPr>
        <w:t>移交书</w:t>
      </w:r>
      <w:r>
        <w:rPr>
          <w:color w:val="auto"/>
          <w:highlight w:val="none"/>
        </w:rPr>
        <w:t>》，经</w:t>
      </w:r>
      <w:r>
        <w:rPr>
          <w:rFonts w:hint="eastAsia"/>
          <w:color w:val="auto"/>
          <w:highlight w:val="none"/>
        </w:rPr>
        <w:t>监理人、发包人</w:t>
      </w:r>
      <w:r>
        <w:rPr>
          <w:color w:val="auto"/>
          <w:highlight w:val="none"/>
        </w:rPr>
        <w:t>、物业单位（</w:t>
      </w:r>
      <w:r>
        <w:rPr>
          <w:rFonts w:hint="eastAsia"/>
          <w:color w:val="auto"/>
          <w:highlight w:val="none"/>
        </w:rPr>
        <w:t>或发包人</w:t>
      </w:r>
      <w:r>
        <w:rPr>
          <w:color w:val="auto"/>
          <w:highlight w:val="none"/>
        </w:rPr>
        <w:t>指定的其他部门）</w:t>
      </w:r>
      <w:r>
        <w:rPr>
          <w:rFonts w:hint="eastAsia"/>
          <w:color w:val="auto"/>
          <w:highlight w:val="none"/>
        </w:rPr>
        <w:t>检查确认合同范围内工作已完成后</w:t>
      </w:r>
      <w:r>
        <w:rPr>
          <w:color w:val="auto"/>
          <w:highlight w:val="none"/>
        </w:rPr>
        <w:t>签字认可，工程移交完成。</w:t>
      </w:r>
    </w:p>
    <w:p>
      <w:pPr>
        <w:pStyle w:val="5"/>
        <w:bidi w:val="0"/>
        <w:rPr>
          <w:color w:val="auto"/>
          <w:highlight w:val="none"/>
          <w:lang w:eastAsia="zh-CN"/>
        </w:rPr>
      </w:pPr>
      <w:r>
        <w:rPr>
          <w:rFonts w:hint="eastAsia"/>
          <w:color w:val="auto"/>
          <w:highlight w:val="none"/>
          <w:lang w:eastAsia="zh-CN"/>
        </w:rPr>
        <w:t>移交范围</w:t>
      </w:r>
    </w:p>
    <w:p>
      <w:pPr>
        <w:bidi w:val="0"/>
        <w:rPr>
          <w:color w:val="auto"/>
          <w:highlight w:val="none"/>
          <w:lang w:eastAsia="zh-CN"/>
        </w:rPr>
      </w:pPr>
      <w:r>
        <w:rPr>
          <w:color w:val="auto"/>
          <w:highlight w:val="none"/>
          <w:lang w:eastAsia="zh-CN"/>
        </w:rPr>
        <w:t xml:space="preserve"> </w:t>
      </w:r>
      <w:r>
        <w:rPr>
          <w:rFonts w:hint="eastAsia"/>
          <w:color w:val="auto"/>
          <w:highlight w:val="none"/>
          <w:lang w:eastAsia="zh-CN"/>
        </w:rPr>
        <w:t>工程项目移交的范围包括工程资料移交、工程实体移交（含备品备件）和使用维护管理移交（含设备维护培训及交底）。</w:t>
      </w:r>
    </w:p>
    <w:p>
      <w:pPr>
        <w:bidi w:val="0"/>
        <w:rPr>
          <w:color w:val="auto"/>
          <w:highlight w:val="none"/>
          <w:lang w:eastAsia="zh-CN"/>
        </w:rPr>
      </w:pPr>
      <w:r>
        <w:rPr>
          <w:rFonts w:hint="eastAsia"/>
          <w:color w:val="auto"/>
          <w:highlight w:val="none"/>
          <w:lang w:eastAsia="zh-CN"/>
        </w:rPr>
        <w:t>（1）工程资料移交</w:t>
      </w:r>
    </w:p>
    <w:p>
      <w:pPr>
        <w:bidi w:val="0"/>
        <w:rPr>
          <w:color w:val="auto"/>
          <w:highlight w:val="none"/>
          <w:lang w:eastAsia="zh-CN"/>
        </w:rPr>
      </w:pPr>
      <w:r>
        <w:rPr>
          <w:rFonts w:hint="eastAsia"/>
          <w:color w:val="auto"/>
          <w:highlight w:val="none"/>
          <w:lang w:eastAsia="zh-CN"/>
        </w:rPr>
        <w:t>工程竣工资料包括工程建设前期有关资料、工程技术管理资料、竣工验收备案资 料等。承包人在工程实施过程中及工程竣工后，应对各类工程文件档案进行收集、整理和查验，确保向发包人移交的工程文件档案资料是真实的、完整的。</w:t>
      </w:r>
    </w:p>
    <w:p>
      <w:pPr>
        <w:bidi w:val="0"/>
        <w:rPr>
          <w:color w:val="auto"/>
          <w:highlight w:val="none"/>
          <w:lang w:eastAsia="zh-CN"/>
        </w:rPr>
      </w:pPr>
      <w:r>
        <w:rPr>
          <w:rFonts w:hint="eastAsia"/>
          <w:color w:val="auto"/>
          <w:highlight w:val="none"/>
          <w:lang w:eastAsia="zh-CN"/>
        </w:rPr>
        <w:t>（2）工程实体移交</w:t>
      </w:r>
    </w:p>
    <w:p>
      <w:pPr>
        <w:bidi w:val="0"/>
        <w:rPr>
          <w:color w:val="auto"/>
          <w:highlight w:val="none"/>
          <w:lang w:eastAsia="zh-CN"/>
        </w:rPr>
      </w:pPr>
      <w:r>
        <w:rPr>
          <w:rFonts w:hint="eastAsia"/>
          <w:color w:val="auto"/>
          <w:highlight w:val="none"/>
          <w:lang w:eastAsia="zh-CN"/>
        </w:rPr>
        <w:t>承包人在工程移交前，应编制完整的《工程实体移交清单》（含设备材料移交清单、备品备件移交清单），并提供给发包人、监理单位和工程接收单位审核并盖章确认。</w:t>
      </w:r>
    </w:p>
    <w:p>
      <w:pPr>
        <w:pStyle w:val="5"/>
        <w:bidi w:val="0"/>
        <w:rPr>
          <w:color w:val="auto"/>
          <w:highlight w:val="none"/>
          <w:lang w:eastAsia="zh-CN"/>
        </w:rPr>
      </w:pPr>
      <w:r>
        <w:rPr>
          <w:rFonts w:hint="eastAsia"/>
          <w:color w:val="auto"/>
          <w:highlight w:val="none"/>
          <w:lang w:eastAsia="zh-CN"/>
        </w:rPr>
        <w:t>移交前维护</w:t>
      </w:r>
    </w:p>
    <w:p>
      <w:pPr>
        <w:bidi w:val="0"/>
        <w:rPr>
          <w:color w:val="auto"/>
          <w:highlight w:val="none"/>
          <w:lang w:eastAsia="zh-CN"/>
        </w:rPr>
      </w:pPr>
      <w:r>
        <w:rPr>
          <w:rFonts w:hint="eastAsia"/>
          <w:color w:val="auto"/>
          <w:highlight w:val="none"/>
          <w:lang w:eastAsia="zh-CN"/>
        </w:rPr>
        <w:t>在工程竣工验收后至工程移交之前，承包人必须保障：智能化工程、机电工程的正常运行及维护，如在此期间发现工程或工程设备损坏或存在缺陷的，由承包人按质量保证期服务要求的约定进行修复。有关机电设备（含智能化设备）的检测、登记、 使用、运行、维护、耗材、水电气等费用已包含在合同总价中，发包人不另支付；如承包人拒绝维护，且经发包人书面催告后仍未维护的，发包人有权委托第三方维护所需费用由承包人承担。</w:t>
      </w:r>
    </w:p>
    <w:p>
      <w:pPr>
        <w:pStyle w:val="5"/>
        <w:bidi w:val="0"/>
        <w:rPr>
          <w:color w:val="auto"/>
          <w:highlight w:val="none"/>
          <w:lang w:eastAsia="zh-CN"/>
        </w:rPr>
      </w:pPr>
      <w:r>
        <w:rPr>
          <w:rFonts w:hint="eastAsia"/>
          <w:color w:val="auto"/>
          <w:highlight w:val="none"/>
          <w:lang w:eastAsia="zh-CN"/>
        </w:rPr>
        <w:t>移交计划</w:t>
      </w:r>
    </w:p>
    <w:p>
      <w:pPr>
        <w:bidi w:val="0"/>
        <w:rPr>
          <w:color w:val="auto"/>
          <w:highlight w:val="none"/>
          <w:lang w:eastAsia="zh-CN"/>
        </w:rPr>
      </w:pPr>
      <w:r>
        <w:rPr>
          <w:rFonts w:hint="eastAsia"/>
          <w:color w:val="auto"/>
          <w:highlight w:val="none"/>
          <w:lang w:eastAsia="zh-CN"/>
        </w:rPr>
        <w:t>承包人应在进行移交工作前编写工程项目移交计划，且移交计划需报发包人及监理单位审核，在经发包人及监理单位审核同意后按计划进行移交。</w:t>
      </w:r>
    </w:p>
    <w:p>
      <w:pPr>
        <w:pStyle w:val="5"/>
        <w:bidi w:val="0"/>
        <w:rPr>
          <w:color w:val="auto"/>
          <w:highlight w:val="none"/>
          <w:lang w:eastAsia="zh-CN"/>
        </w:rPr>
      </w:pPr>
      <w:r>
        <w:rPr>
          <w:rFonts w:hint="eastAsia"/>
          <w:color w:val="auto"/>
          <w:highlight w:val="none"/>
          <w:lang w:eastAsia="zh-CN"/>
        </w:rPr>
        <w:t>工程移交</w:t>
      </w:r>
    </w:p>
    <w:p>
      <w:pPr>
        <w:bidi w:val="0"/>
        <w:rPr>
          <w:color w:val="auto"/>
          <w:highlight w:val="none"/>
          <w:lang w:eastAsia="zh-CN"/>
        </w:rPr>
      </w:pPr>
      <w:r>
        <w:rPr>
          <w:rFonts w:hint="eastAsia"/>
          <w:color w:val="auto"/>
          <w:highlight w:val="none"/>
          <w:lang w:eastAsia="zh-CN"/>
        </w:rPr>
        <w:t>承包人应在发包人组织的工程移交中向使用单位办理好工程移交，并做好相关的保障、维修及服务。</w:t>
      </w:r>
    </w:p>
    <w:p>
      <w:pPr>
        <w:bidi w:val="0"/>
        <w:rPr>
          <w:color w:val="auto"/>
          <w:highlight w:val="none"/>
        </w:rPr>
      </w:pPr>
      <w:r>
        <w:rPr>
          <w:rFonts w:hint="eastAsia"/>
          <w:color w:val="auto"/>
          <w:highlight w:val="none"/>
          <w:lang w:eastAsia="zh-CN"/>
        </w:rPr>
        <w:t>承包人负责对工程竣工验收及工程移交中提出的质量及工程资料问题进行整改，完成 整改后向监理单位提交《工程整改完工报告》申请整改后正式移交。</w:t>
      </w:r>
    </w:p>
    <w:p>
      <w:pPr>
        <w:pStyle w:val="4"/>
        <w:bidi w:val="0"/>
        <w:rPr>
          <w:color w:val="auto"/>
          <w:highlight w:val="none"/>
        </w:rPr>
      </w:pPr>
      <w:bookmarkStart w:id="486" w:name="_Toc385333227"/>
      <w:r>
        <w:rPr>
          <w:color w:val="auto"/>
          <w:highlight w:val="none"/>
        </w:rPr>
        <w:t>竣工资料</w:t>
      </w:r>
      <w:bookmarkEnd w:id="486"/>
    </w:p>
    <w:p>
      <w:pPr>
        <w:bidi w:val="0"/>
        <w:rPr>
          <w:rFonts w:hint="eastAsia"/>
          <w:color w:val="auto"/>
          <w:highlight w:val="none"/>
        </w:rPr>
      </w:pPr>
      <w:r>
        <w:rPr>
          <w:rFonts w:hint="eastAsia"/>
          <w:color w:val="auto"/>
          <w:highlight w:val="none"/>
        </w:rPr>
        <w:t>竣工验收前总承包人</w:t>
      </w:r>
      <w:r>
        <w:rPr>
          <w:color w:val="auto"/>
          <w:highlight w:val="none"/>
        </w:rPr>
        <w:t>必须向</w:t>
      </w:r>
      <w:r>
        <w:rPr>
          <w:rFonts w:hint="eastAsia"/>
          <w:color w:val="auto"/>
          <w:highlight w:val="none"/>
        </w:rPr>
        <w:t>发包人</w:t>
      </w:r>
      <w:r>
        <w:rPr>
          <w:color w:val="auto"/>
          <w:highlight w:val="none"/>
        </w:rPr>
        <w:t>提交完整的按档案馆规定格式装订成册的竣工资料</w:t>
      </w:r>
      <w:r>
        <w:rPr>
          <w:rFonts w:hint="eastAsia"/>
          <w:color w:val="auto"/>
          <w:highlight w:val="none"/>
        </w:rPr>
        <w:t>和</w:t>
      </w:r>
      <w:r>
        <w:rPr>
          <w:color w:val="auto"/>
          <w:highlight w:val="none"/>
        </w:rPr>
        <w:t>竣工图</w:t>
      </w:r>
      <w:r>
        <w:rPr>
          <w:rFonts w:hint="eastAsia"/>
          <w:b/>
          <w:bCs/>
          <w:color w:val="auto"/>
          <w:highlight w:val="none"/>
        </w:rPr>
        <w:t>共</w:t>
      </w:r>
      <w:r>
        <w:rPr>
          <w:rFonts w:hint="eastAsia"/>
          <w:b/>
          <w:bCs/>
          <w:color w:val="auto"/>
          <w:highlight w:val="none"/>
          <w:lang w:val="en-US" w:eastAsia="zh-CN"/>
        </w:rPr>
        <w:t>6</w:t>
      </w:r>
      <w:r>
        <w:rPr>
          <w:rFonts w:hint="eastAsia"/>
          <w:b/>
          <w:bCs/>
          <w:color w:val="auto"/>
          <w:highlight w:val="none"/>
          <w:u w:val="single"/>
        </w:rPr>
        <w:t>套</w:t>
      </w:r>
      <w:r>
        <w:rPr>
          <w:rFonts w:hint="eastAsia"/>
          <w:color w:val="auto"/>
          <w:highlight w:val="none"/>
        </w:rPr>
        <w:t>。</w:t>
      </w:r>
    </w:p>
    <w:p>
      <w:pPr>
        <w:pStyle w:val="4"/>
        <w:bidi w:val="0"/>
        <w:rPr>
          <w:color w:val="auto"/>
          <w:highlight w:val="none"/>
          <w:lang w:eastAsia="zh-CN"/>
        </w:rPr>
      </w:pPr>
      <w:r>
        <w:rPr>
          <w:rFonts w:hint="eastAsia"/>
          <w:color w:val="auto"/>
          <w:highlight w:val="none"/>
          <w:lang w:val="en-US" w:eastAsia="zh-CN"/>
        </w:rPr>
        <w:t>交付快修</w:t>
      </w:r>
      <w:r>
        <w:rPr>
          <w:color w:val="auto"/>
          <w:highlight w:val="none"/>
          <w:lang w:eastAsia="zh-CN"/>
        </w:rPr>
        <w:t>要求</w:t>
      </w:r>
    </w:p>
    <w:p>
      <w:pPr>
        <w:bidi w:val="0"/>
        <w:rPr>
          <w:rFonts w:hint="default"/>
          <w:color w:val="auto"/>
          <w:highlight w:val="none"/>
          <w:lang w:val="en-US" w:eastAsia="zh-CN"/>
        </w:rPr>
      </w:pPr>
      <w:r>
        <w:rPr>
          <w:rFonts w:hint="eastAsia"/>
          <w:color w:val="auto"/>
          <w:highlight w:val="none"/>
          <w:lang w:val="en-US" w:eastAsia="zh-CN"/>
        </w:rPr>
        <w:t>要求承包人</w:t>
      </w:r>
      <w:r>
        <w:rPr>
          <w:rFonts w:hint="default"/>
          <w:color w:val="auto"/>
          <w:highlight w:val="none"/>
          <w:lang w:val="en-US" w:eastAsia="zh-CN"/>
        </w:rPr>
        <w:t>正式交付前</w:t>
      </w:r>
      <w:r>
        <w:rPr>
          <w:rFonts w:hint="eastAsia"/>
          <w:color w:val="auto"/>
          <w:highlight w:val="none"/>
          <w:lang w:val="en-US" w:eastAsia="zh-CN"/>
        </w:rPr>
        <w:t>3</w:t>
      </w:r>
      <w:r>
        <w:rPr>
          <w:rFonts w:hint="default"/>
          <w:color w:val="auto"/>
          <w:highlight w:val="none"/>
          <w:lang w:val="en-US" w:eastAsia="zh-CN"/>
        </w:rPr>
        <w:t>个月</w:t>
      </w:r>
      <w:r>
        <w:rPr>
          <w:rFonts w:hint="eastAsia"/>
          <w:color w:val="auto"/>
          <w:highlight w:val="none"/>
          <w:lang w:val="en-US" w:eastAsia="zh-CN"/>
        </w:rPr>
        <w:t>成立交付专项小组，组织进行交付专项策划及资源筹备，承包人需组织各专业承包人成立集中交付快修指挥组，快修队人员不得少于60人，建立快修队责任人通讯录；交付前5日对快修队维修标准进行集中交底培训；由发包人对快修指挥组组长及工人每日进行交底，交底内容包括着装统一、文明用语、快修响应流程及注意事项等；每天晚上召开快修组例会，总结当天快修情况并进行风险提示；每周召开快修专项总结会，对快修队施工进度开展奖罚措施</w:t>
      </w:r>
      <w:r>
        <w:rPr>
          <w:rFonts w:hint="default"/>
          <w:color w:val="auto"/>
          <w:highlight w:val="none"/>
          <w:lang w:val="en-US" w:eastAsia="zh-CN"/>
        </w:rPr>
        <w:t>。</w:t>
      </w:r>
    </w:p>
    <w:p>
      <w:pPr>
        <w:pStyle w:val="3"/>
        <w:bidi w:val="0"/>
        <w:rPr>
          <w:color w:val="auto"/>
          <w:highlight w:val="none"/>
          <w:lang w:eastAsia="zh-CN"/>
        </w:rPr>
      </w:pPr>
      <w:bookmarkStart w:id="487" w:name="_Toc26173"/>
      <w:bookmarkStart w:id="488" w:name="_Toc29353"/>
      <w:bookmarkStart w:id="489" w:name="_Toc27332"/>
      <w:bookmarkStart w:id="490" w:name="_Toc7098"/>
      <w:bookmarkStart w:id="491" w:name="_Toc31570"/>
      <w:bookmarkStart w:id="492" w:name="_Toc2521"/>
      <w:bookmarkStart w:id="493" w:name="_Toc5338"/>
      <w:bookmarkStart w:id="494" w:name="_Toc25825"/>
      <w:bookmarkStart w:id="495" w:name="_Toc32355"/>
      <w:bookmarkStart w:id="496" w:name="_Toc19979"/>
      <w:bookmarkStart w:id="497" w:name="_Toc16207"/>
      <w:bookmarkStart w:id="498" w:name="_Toc28011"/>
      <w:bookmarkStart w:id="499" w:name="_Toc169722223"/>
      <w:bookmarkStart w:id="500" w:name="_Toc491089035"/>
      <w:bookmarkStart w:id="501" w:name="_Toc491332902"/>
      <w:bookmarkStart w:id="502" w:name="_Toc437939420"/>
      <w:bookmarkStart w:id="503" w:name="_Toc491453750"/>
      <w:bookmarkStart w:id="504" w:name="_Toc422854848"/>
      <w:bookmarkStart w:id="505" w:name="_Toc490829816"/>
      <w:bookmarkStart w:id="506" w:name="_Toc436899071"/>
      <w:r>
        <w:rPr>
          <w:rFonts w:hint="eastAsia"/>
          <w:color w:val="auto"/>
          <w:highlight w:val="none"/>
          <w:lang w:eastAsia="zh-CN"/>
        </w:rPr>
        <w:t>质量保证期和售后服务</w:t>
      </w:r>
      <w:bookmarkEnd w:id="487"/>
      <w:bookmarkEnd w:id="488"/>
      <w:bookmarkEnd w:id="489"/>
      <w:bookmarkEnd w:id="490"/>
      <w:bookmarkEnd w:id="491"/>
      <w:bookmarkEnd w:id="492"/>
      <w:bookmarkEnd w:id="493"/>
      <w:bookmarkEnd w:id="494"/>
      <w:bookmarkEnd w:id="495"/>
      <w:bookmarkEnd w:id="496"/>
      <w:bookmarkEnd w:id="497"/>
      <w:bookmarkEnd w:id="498"/>
    </w:p>
    <w:p>
      <w:pPr>
        <w:pStyle w:val="4"/>
        <w:bidi w:val="0"/>
        <w:rPr>
          <w:color w:val="auto"/>
          <w:highlight w:val="none"/>
          <w:lang w:eastAsia="zh-CN"/>
        </w:rPr>
      </w:pPr>
      <w:r>
        <w:rPr>
          <w:rFonts w:hint="eastAsia"/>
          <w:color w:val="auto"/>
          <w:highlight w:val="none"/>
          <w:lang w:eastAsia="zh-CN"/>
        </w:rPr>
        <w:t>在质量保证期内，承包人按保修协议约定免费提供设备的维修及保养服务。</w:t>
      </w:r>
    </w:p>
    <w:p>
      <w:pPr>
        <w:pStyle w:val="4"/>
        <w:bidi w:val="0"/>
        <w:rPr>
          <w:color w:val="auto"/>
          <w:highlight w:val="none"/>
          <w:lang w:eastAsia="zh-CN"/>
        </w:rPr>
      </w:pPr>
      <w:r>
        <w:rPr>
          <w:rFonts w:hint="eastAsia"/>
          <w:color w:val="auto"/>
          <w:highlight w:val="none"/>
          <w:lang w:eastAsia="zh-CN"/>
        </w:rPr>
        <w:t>质保期内须免费提供设备的维修及保养服务，定期派工程师到现场巡查，并配合对各系统进行每年一次的年检且提供年检报告。</w:t>
      </w:r>
    </w:p>
    <w:p>
      <w:pPr>
        <w:pStyle w:val="4"/>
        <w:bidi w:val="0"/>
        <w:rPr>
          <w:color w:val="auto"/>
          <w:highlight w:val="none"/>
          <w:lang w:eastAsia="zh-CN"/>
        </w:rPr>
      </w:pPr>
      <w:r>
        <w:rPr>
          <w:rFonts w:hint="eastAsia"/>
          <w:color w:val="auto"/>
          <w:highlight w:val="none"/>
          <w:lang w:eastAsia="zh-CN"/>
        </w:rPr>
        <w:t>质保期内设备本身质量出现问题或由于设备本身质量原因造成的任何损伤 或损坏，承包人应及时给予免费维修或免费更换，由此引起的施工费、人工费、材料费等其他一切费用由承包人负责。新更换的零部件的质保期则从更换之日起计。</w:t>
      </w:r>
    </w:p>
    <w:p>
      <w:pPr>
        <w:pStyle w:val="4"/>
        <w:bidi w:val="0"/>
        <w:rPr>
          <w:color w:val="auto"/>
          <w:highlight w:val="none"/>
          <w:lang w:eastAsia="zh-CN"/>
        </w:rPr>
      </w:pPr>
      <w:r>
        <w:rPr>
          <w:rFonts w:hint="eastAsia"/>
          <w:color w:val="auto"/>
          <w:highlight w:val="none"/>
          <w:lang w:eastAsia="zh-CN"/>
        </w:rPr>
        <w:t>承包人在故障保修响应方面应做到：承包人须在接到业主通知的 1 小时内予以答复；在业主要求时，承包人的技术人员须在收到业主通知后3小时之内到现场进行修理，相关的维修必须连续进行，直至故障完全修复为止。若在 24小时内不能排除故障，承包人应立即采取切实有效的补救措施（包括免费提供应急设备），全力防止损失的扩大。</w:t>
      </w:r>
    </w:p>
    <w:p>
      <w:pPr>
        <w:pStyle w:val="4"/>
        <w:bidi w:val="0"/>
        <w:rPr>
          <w:color w:val="auto"/>
          <w:highlight w:val="none"/>
          <w:lang w:eastAsia="zh-CN"/>
        </w:rPr>
      </w:pPr>
      <w:r>
        <w:rPr>
          <w:rFonts w:hint="eastAsia"/>
          <w:color w:val="auto"/>
          <w:highlight w:val="none"/>
          <w:lang w:eastAsia="zh-CN"/>
        </w:rPr>
        <w:t>从工程竣工验收合格正式运行之日起的质量保证期（含潜在缺陷质量保证 期）内，由于设备材料因素造成的损坏，均由承包人免费维修、更换，由于人为（非承包人人员）和自然灾害造成的损坏，收取成本费用。</w:t>
      </w:r>
    </w:p>
    <w:p>
      <w:pPr>
        <w:pStyle w:val="4"/>
        <w:bidi w:val="0"/>
        <w:rPr>
          <w:color w:val="auto"/>
          <w:highlight w:val="none"/>
          <w:lang w:eastAsia="zh-CN"/>
        </w:rPr>
      </w:pPr>
      <w:r>
        <w:rPr>
          <w:rFonts w:hint="eastAsia"/>
          <w:color w:val="auto"/>
          <w:highlight w:val="none"/>
          <w:lang w:eastAsia="zh-CN"/>
        </w:rPr>
        <w:t>在质量保证期结束前，承包人须与业主代表对合同项下设备进行全面的检 查，对任何缺陷由承包人负责修理。在修理之后，承包人须将缺陷原因、修理的内容、完成修理及恢复正常的时间和日期等情况报告给业主。</w:t>
      </w:r>
    </w:p>
    <w:p>
      <w:pPr>
        <w:pStyle w:val="4"/>
        <w:bidi w:val="0"/>
        <w:rPr>
          <w:color w:val="auto"/>
          <w:highlight w:val="none"/>
          <w:lang w:eastAsia="zh-CN"/>
        </w:rPr>
      </w:pPr>
      <w:r>
        <w:rPr>
          <w:rFonts w:hint="eastAsia"/>
          <w:color w:val="auto"/>
          <w:highlight w:val="none"/>
          <w:lang w:eastAsia="zh-CN"/>
        </w:rPr>
        <w:t>承包人必提供满足质量保证期内正常运行的备品备件和易损、易耗件，并随时优惠提供易损件，优惠提供产品更新、改造服务。</w:t>
      </w:r>
    </w:p>
    <w:p>
      <w:pPr>
        <w:pStyle w:val="4"/>
        <w:bidi w:val="0"/>
        <w:rPr>
          <w:color w:val="auto"/>
          <w:highlight w:val="none"/>
          <w:lang w:eastAsia="zh-CN"/>
        </w:rPr>
      </w:pPr>
      <w:r>
        <w:rPr>
          <w:rFonts w:hint="eastAsia"/>
          <w:color w:val="auto"/>
          <w:highlight w:val="none"/>
          <w:lang w:eastAsia="zh-CN"/>
        </w:rPr>
        <w:t>在质量保证期内，以下主要设备提供原厂售后保修服务，若本项目的质量 保证期比主要设备供应商规定的售后保修服务期长的，须相应延长主要设备的原厂售后保修服务期，所发生的相关费用由承包人承担，发包人不另行增加费用。原厂提供售后保修服务的主要设备包括不限于：空调、水泵、电气元器件、控制器、智能化设备等。</w:t>
      </w:r>
    </w:p>
    <w:p>
      <w:pPr>
        <w:pStyle w:val="4"/>
        <w:bidi w:val="0"/>
        <w:rPr>
          <w:color w:val="auto"/>
          <w:highlight w:val="none"/>
          <w:lang w:eastAsia="zh-CN"/>
        </w:rPr>
      </w:pPr>
      <w:r>
        <w:rPr>
          <w:rFonts w:hint="eastAsia"/>
          <w:color w:val="auto"/>
          <w:highlight w:val="none"/>
          <w:lang w:eastAsia="zh-CN"/>
        </w:rPr>
        <w:t>质保期满，由承包人提出退还质量保证金申请，按要求提交《工程质量保修责任期终止证书》，经监理单位、使用单位和发包人确认后按合同要求退还。</w:t>
      </w:r>
    </w:p>
    <w:p>
      <w:pPr>
        <w:pStyle w:val="4"/>
        <w:bidi w:val="0"/>
        <w:rPr>
          <w:color w:val="auto"/>
          <w:highlight w:val="none"/>
          <w:lang w:eastAsia="zh-CN"/>
        </w:rPr>
      </w:pPr>
      <w:r>
        <w:rPr>
          <w:rFonts w:hint="eastAsia"/>
          <w:color w:val="auto"/>
          <w:highlight w:val="none"/>
          <w:lang w:eastAsia="zh-CN"/>
        </w:rPr>
        <w:t>建设项目通过验收后，在使用过程中发现的较大质量隐患，发包人有权将合同质保期延长至隐患消除为止。</w:t>
      </w:r>
    </w:p>
    <w:p>
      <w:pPr>
        <w:pStyle w:val="4"/>
        <w:bidi w:val="0"/>
        <w:rPr>
          <w:color w:val="auto"/>
          <w:highlight w:val="none"/>
        </w:rPr>
      </w:pPr>
      <w:r>
        <w:rPr>
          <w:rFonts w:hint="eastAsia"/>
          <w:color w:val="auto"/>
          <w:highlight w:val="none"/>
          <w:lang w:eastAsia="zh-CN"/>
        </w:rPr>
        <w:t>本项目的质量保修金的支付与缺陷责任期内防水工程的质量情况挂钩具体详见合同约定。</w:t>
      </w:r>
    </w:p>
    <w:p>
      <w:pPr>
        <w:pStyle w:val="3"/>
        <w:bidi w:val="0"/>
        <w:rPr>
          <w:color w:val="auto"/>
          <w:highlight w:val="none"/>
        </w:rPr>
      </w:pPr>
      <w:bookmarkStart w:id="507" w:name="_Toc31491"/>
      <w:bookmarkStart w:id="508" w:name="_Toc11944"/>
      <w:bookmarkStart w:id="509" w:name="_Toc7917"/>
      <w:bookmarkStart w:id="510" w:name="_Toc8286"/>
      <w:bookmarkStart w:id="511" w:name="_Toc28938"/>
      <w:bookmarkStart w:id="512" w:name="_Toc32093"/>
      <w:bookmarkStart w:id="513" w:name="_Toc6554"/>
      <w:bookmarkStart w:id="514" w:name="_Toc26159"/>
      <w:bookmarkStart w:id="515" w:name="_Toc13001"/>
      <w:bookmarkStart w:id="516" w:name="_Toc967"/>
      <w:bookmarkStart w:id="517" w:name="_Toc9433"/>
      <w:r>
        <w:rPr>
          <w:rFonts w:hint="eastAsia"/>
          <w:color w:val="auto"/>
          <w:highlight w:val="none"/>
        </w:rPr>
        <w:t>检测与试验要求</w:t>
      </w:r>
      <w:bookmarkEnd w:id="499"/>
      <w:bookmarkEnd w:id="507"/>
      <w:bookmarkEnd w:id="508"/>
      <w:bookmarkEnd w:id="509"/>
      <w:bookmarkEnd w:id="510"/>
      <w:bookmarkEnd w:id="511"/>
      <w:bookmarkEnd w:id="512"/>
      <w:bookmarkEnd w:id="513"/>
      <w:bookmarkEnd w:id="514"/>
      <w:bookmarkEnd w:id="515"/>
      <w:bookmarkEnd w:id="516"/>
      <w:bookmarkEnd w:id="517"/>
    </w:p>
    <w:p>
      <w:pPr>
        <w:bidi w:val="0"/>
        <w:rPr>
          <w:color w:val="auto"/>
          <w:highlight w:val="none"/>
        </w:rPr>
      </w:pPr>
      <w:r>
        <w:rPr>
          <w:rFonts w:hint="eastAsia"/>
          <w:color w:val="auto"/>
          <w:highlight w:val="none"/>
        </w:rPr>
        <w:t>总承包人需做的材料检测和试验包括但不限于</w:t>
      </w:r>
      <w:r>
        <w:rPr>
          <w:color w:val="auto"/>
          <w:highlight w:val="none"/>
        </w:rPr>
        <w:t>:</w:t>
      </w:r>
    </w:p>
    <w:p>
      <w:pPr>
        <w:pStyle w:val="4"/>
        <w:bidi w:val="0"/>
        <w:rPr>
          <w:color w:val="auto"/>
          <w:highlight w:val="none"/>
        </w:rPr>
      </w:pPr>
      <w:r>
        <w:rPr>
          <w:rFonts w:hint="eastAsia"/>
          <w:color w:val="auto"/>
          <w:highlight w:val="none"/>
        </w:rPr>
        <w:t>材料检测</w:t>
      </w:r>
    </w:p>
    <w:p>
      <w:pPr>
        <w:bidi w:val="0"/>
        <w:rPr>
          <w:color w:val="auto"/>
          <w:highlight w:val="none"/>
        </w:rPr>
      </w:pPr>
      <w:r>
        <w:rPr>
          <w:rFonts w:hint="eastAsia"/>
          <w:color w:val="auto"/>
          <w:highlight w:val="none"/>
        </w:rPr>
        <w:t>总承包人工程范围内的钢筋、混凝土、砌体、节能保温材料、机电类材料等须按照国家、行业和地方相关检验标准进行检验，合格后方可使用。</w:t>
      </w:r>
    </w:p>
    <w:p>
      <w:pPr>
        <w:pStyle w:val="4"/>
        <w:bidi w:val="0"/>
        <w:rPr>
          <w:color w:val="auto"/>
          <w:highlight w:val="none"/>
        </w:rPr>
      </w:pPr>
      <w:r>
        <w:rPr>
          <w:rFonts w:hint="eastAsia"/>
          <w:color w:val="auto"/>
          <w:highlight w:val="none"/>
        </w:rPr>
        <w:t>性能试验</w:t>
      </w:r>
    </w:p>
    <w:p>
      <w:pPr>
        <w:bidi w:val="0"/>
        <w:rPr>
          <w:color w:val="auto"/>
          <w:highlight w:val="none"/>
        </w:rPr>
      </w:pPr>
      <w:r>
        <w:rPr>
          <w:rFonts w:hint="eastAsia"/>
          <w:color w:val="auto"/>
          <w:highlight w:val="none"/>
        </w:rPr>
        <w:t>总承包人须按照国家、行业和地方及发包人的相关标准进行有关性能试验。</w:t>
      </w:r>
    </w:p>
    <w:p>
      <w:pPr>
        <w:pStyle w:val="3"/>
        <w:bidi w:val="0"/>
        <w:rPr>
          <w:color w:val="auto"/>
          <w:highlight w:val="none"/>
        </w:rPr>
      </w:pPr>
      <w:bookmarkStart w:id="518" w:name="_Toc451"/>
      <w:bookmarkStart w:id="519" w:name="_Toc10097"/>
      <w:bookmarkStart w:id="520" w:name="_Toc3766"/>
      <w:bookmarkStart w:id="521" w:name="_Toc9246"/>
      <w:bookmarkStart w:id="522" w:name="_Toc26450"/>
      <w:bookmarkStart w:id="523" w:name="_Toc19664"/>
      <w:bookmarkStart w:id="524" w:name="_Toc18510"/>
      <w:bookmarkStart w:id="525" w:name="_Toc4879"/>
      <w:bookmarkStart w:id="526" w:name="_Toc169722224"/>
      <w:bookmarkStart w:id="527" w:name="_Toc21213"/>
      <w:bookmarkStart w:id="528" w:name="_Toc10407"/>
      <w:bookmarkStart w:id="529" w:name="_Toc8929"/>
      <w:r>
        <w:rPr>
          <w:rFonts w:hint="eastAsia"/>
          <w:color w:val="auto"/>
          <w:highlight w:val="none"/>
        </w:rPr>
        <w:t>撤场程序</w:t>
      </w:r>
      <w:bookmarkEnd w:id="500"/>
      <w:bookmarkEnd w:id="501"/>
      <w:bookmarkEnd w:id="502"/>
      <w:bookmarkEnd w:id="503"/>
      <w:bookmarkEnd w:id="504"/>
      <w:bookmarkEnd w:id="505"/>
      <w:bookmarkEnd w:id="506"/>
      <w:bookmarkEnd w:id="518"/>
      <w:bookmarkEnd w:id="519"/>
      <w:bookmarkEnd w:id="520"/>
      <w:bookmarkEnd w:id="521"/>
      <w:bookmarkEnd w:id="522"/>
      <w:bookmarkEnd w:id="523"/>
      <w:bookmarkEnd w:id="524"/>
      <w:bookmarkEnd w:id="525"/>
      <w:bookmarkEnd w:id="526"/>
      <w:bookmarkEnd w:id="527"/>
      <w:bookmarkEnd w:id="528"/>
      <w:bookmarkEnd w:id="529"/>
    </w:p>
    <w:p>
      <w:pPr>
        <w:pStyle w:val="4"/>
        <w:bidi w:val="0"/>
        <w:rPr>
          <w:color w:val="auto"/>
          <w:highlight w:val="none"/>
        </w:rPr>
      </w:pPr>
      <w:bookmarkStart w:id="530" w:name="_Toc436899072"/>
      <w:r>
        <w:rPr>
          <w:rFonts w:hint="eastAsia"/>
          <w:color w:val="auto"/>
          <w:highlight w:val="none"/>
        </w:rPr>
        <w:t>总则</w:t>
      </w:r>
      <w:bookmarkEnd w:id="530"/>
    </w:p>
    <w:p>
      <w:pPr>
        <w:bidi w:val="0"/>
        <w:rPr>
          <w:color w:val="auto"/>
          <w:highlight w:val="none"/>
        </w:rPr>
      </w:pPr>
      <w:r>
        <w:rPr>
          <w:rFonts w:hint="eastAsia"/>
          <w:color w:val="auto"/>
          <w:highlight w:val="none"/>
        </w:rPr>
        <w:t>经友好协商，总承包人同意调整原合同的施工范围，同意撤场。具体各方在权责、范围等事宜由后期发包人与总承包人签订的《总承包合同补充协议》中详细说明。</w:t>
      </w:r>
    </w:p>
    <w:p>
      <w:pPr>
        <w:pStyle w:val="4"/>
        <w:bidi w:val="0"/>
        <w:rPr>
          <w:color w:val="auto"/>
          <w:highlight w:val="none"/>
        </w:rPr>
      </w:pPr>
      <w:bookmarkStart w:id="531" w:name="_Toc436899073"/>
      <w:r>
        <w:rPr>
          <w:rFonts w:hint="eastAsia"/>
          <w:color w:val="auto"/>
          <w:highlight w:val="none"/>
        </w:rPr>
        <w:t>成立撤场协调小组</w:t>
      </w:r>
      <w:bookmarkEnd w:id="531"/>
    </w:p>
    <w:p>
      <w:pPr>
        <w:bidi w:val="0"/>
        <w:rPr>
          <w:color w:val="auto"/>
          <w:highlight w:val="none"/>
        </w:rPr>
      </w:pPr>
      <w:r>
        <w:rPr>
          <w:rFonts w:hint="eastAsia"/>
          <w:color w:val="auto"/>
          <w:highlight w:val="none"/>
        </w:rPr>
        <w:t>明确总承包人撤场的大原则情况下，双方需在2个工作日内成立各自的撤场协调小组，明确小组成员、分工及详细的工作职责和义务。小组成员应包括但不限于双方的法人代表或法定授权人、</w:t>
      </w:r>
      <w:r>
        <w:rPr>
          <w:rFonts w:hint="eastAsia"/>
          <w:color w:val="auto"/>
          <w:highlight w:val="none"/>
          <w:lang w:eastAsia="zh-CN"/>
        </w:rPr>
        <w:t>项目负责人</w:t>
      </w:r>
      <w:r>
        <w:rPr>
          <w:rFonts w:hint="eastAsia"/>
          <w:color w:val="auto"/>
          <w:highlight w:val="none"/>
        </w:rPr>
        <w:t>、合约人员等。</w:t>
      </w:r>
    </w:p>
    <w:p>
      <w:pPr>
        <w:pStyle w:val="4"/>
        <w:bidi w:val="0"/>
        <w:rPr>
          <w:color w:val="auto"/>
          <w:highlight w:val="none"/>
        </w:rPr>
      </w:pPr>
      <w:bookmarkStart w:id="532" w:name="_Toc436899074"/>
      <w:r>
        <w:rPr>
          <w:rFonts w:hint="eastAsia"/>
          <w:color w:val="auto"/>
          <w:highlight w:val="none"/>
        </w:rPr>
        <w:t>现场盘点</w:t>
      </w:r>
      <w:bookmarkEnd w:id="532"/>
    </w:p>
    <w:p>
      <w:pPr>
        <w:pStyle w:val="5"/>
        <w:bidi w:val="0"/>
        <w:ind w:left="253"/>
        <w:rPr>
          <w:color w:val="auto"/>
          <w:highlight w:val="none"/>
        </w:rPr>
      </w:pPr>
      <w:r>
        <w:rPr>
          <w:rFonts w:hint="eastAsia"/>
          <w:color w:val="auto"/>
          <w:highlight w:val="none"/>
        </w:rPr>
        <w:t>工程实体的盘点：双方对总承包人自身完成的工程实体工作量确认，总承包人需保证已完成的实体工程质量满足合同、国家、地方政府质量验收标准与规范要求。此项工作在总承包人收到发包人撤场通知单后，双方15天内完成全部盘点工作，20天内总承包人逐步提供后续施工的工作面，并最终在45天内完成质量整改工作和全部撤场工作。</w:t>
      </w:r>
    </w:p>
    <w:p>
      <w:pPr>
        <w:pStyle w:val="5"/>
        <w:bidi w:val="0"/>
        <w:ind w:left="253"/>
        <w:rPr>
          <w:color w:val="auto"/>
          <w:highlight w:val="none"/>
        </w:rPr>
      </w:pPr>
      <w:r>
        <w:rPr>
          <w:rFonts w:hint="eastAsia"/>
          <w:color w:val="auto"/>
          <w:highlight w:val="none"/>
        </w:rPr>
        <w:t>现场材料及配套设施的盘点：双方对现场剩余材料，临时水电、办公区、场地硬化、大型施工机械设备、临时防护、临时设施等进行盘点后，由发包人告知总承包人需要撤场的配套物资、材料、机械设施等。</w:t>
      </w:r>
    </w:p>
    <w:p>
      <w:pPr>
        <w:pStyle w:val="5"/>
        <w:bidi w:val="0"/>
        <w:ind w:left="253"/>
        <w:rPr>
          <w:color w:val="auto"/>
          <w:highlight w:val="none"/>
        </w:rPr>
      </w:pPr>
      <w:r>
        <w:rPr>
          <w:rFonts w:hint="eastAsia"/>
          <w:color w:val="auto"/>
          <w:highlight w:val="none"/>
        </w:rPr>
        <w:t>若《总承包合同补充协议》包含上述内容，按协议执行。</w:t>
      </w:r>
    </w:p>
    <w:p>
      <w:pPr>
        <w:pStyle w:val="4"/>
        <w:bidi w:val="0"/>
        <w:rPr>
          <w:color w:val="auto"/>
          <w:highlight w:val="none"/>
        </w:rPr>
      </w:pPr>
      <w:bookmarkStart w:id="533" w:name="_Toc436899075"/>
      <w:r>
        <w:rPr>
          <w:rFonts w:hint="eastAsia"/>
          <w:color w:val="auto"/>
          <w:highlight w:val="none"/>
        </w:rPr>
        <w:t>总承包人尚需要完成的工作</w:t>
      </w:r>
      <w:bookmarkEnd w:id="533"/>
    </w:p>
    <w:p>
      <w:pPr>
        <w:bidi w:val="0"/>
        <w:rPr>
          <w:color w:val="auto"/>
          <w:highlight w:val="none"/>
        </w:rPr>
      </w:pPr>
      <w:r>
        <w:rPr>
          <w:rFonts w:hint="eastAsia"/>
          <w:color w:val="auto"/>
          <w:highlight w:val="none"/>
        </w:rPr>
        <w:t>总承包人必须在45天内陆续交接并最终完成以下内容：</w:t>
      </w:r>
    </w:p>
    <w:p>
      <w:pPr>
        <w:pStyle w:val="5"/>
        <w:bidi w:val="0"/>
        <w:ind w:left="253"/>
        <w:rPr>
          <w:color w:val="auto"/>
          <w:highlight w:val="none"/>
        </w:rPr>
      </w:pPr>
      <w:r>
        <w:rPr>
          <w:rFonts w:hint="eastAsia"/>
          <w:color w:val="auto"/>
          <w:highlight w:val="none"/>
        </w:rPr>
        <w:t>总承包人前期未完成的设计变更、已完工程中图纸漏项及未盘点到的相关内容。</w:t>
      </w:r>
    </w:p>
    <w:p>
      <w:pPr>
        <w:pStyle w:val="5"/>
        <w:bidi w:val="0"/>
        <w:ind w:left="253"/>
        <w:rPr>
          <w:color w:val="auto"/>
          <w:highlight w:val="none"/>
        </w:rPr>
      </w:pPr>
      <w:r>
        <w:rPr>
          <w:rFonts w:hint="eastAsia"/>
          <w:color w:val="auto"/>
          <w:highlight w:val="none"/>
        </w:rPr>
        <w:t>由于工序、气候条件、工作界面、工料等原因需要连续作业完成的内容。</w:t>
      </w:r>
    </w:p>
    <w:p>
      <w:pPr>
        <w:pStyle w:val="5"/>
        <w:bidi w:val="0"/>
        <w:ind w:left="253"/>
        <w:rPr>
          <w:color w:val="auto"/>
          <w:highlight w:val="none"/>
        </w:rPr>
      </w:pPr>
      <w:r>
        <w:rPr>
          <w:rFonts w:hint="eastAsia"/>
          <w:color w:val="auto"/>
          <w:highlight w:val="none"/>
        </w:rPr>
        <w:t>总承包人依据合同中明确的资料内容、备案资料内容将其所涉及的全部施工过程资料移交于发包人，并签署资料移交清单。总承包人同时承诺在本工程办理后续有关手续过程中提供全部配合工作。</w:t>
      </w:r>
    </w:p>
    <w:p>
      <w:pPr>
        <w:pStyle w:val="5"/>
        <w:bidi w:val="0"/>
        <w:ind w:left="253"/>
        <w:rPr>
          <w:color w:val="auto"/>
          <w:highlight w:val="none"/>
        </w:rPr>
      </w:pPr>
      <w:r>
        <w:rPr>
          <w:rFonts w:hint="eastAsia"/>
          <w:color w:val="auto"/>
          <w:highlight w:val="none"/>
        </w:rPr>
        <w:t>总承包人必须根据发包人下发的撤场通知单在规定时间内完成全部撤场（包括人员、材料、机械）。</w:t>
      </w:r>
    </w:p>
    <w:p>
      <w:pPr>
        <w:pStyle w:val="5"/>
        <w:bidi w:val="0"/>
        <w:ind w:left="253"/>
        <w:rPr>
          <w:color w:val="auto"/>
          <w:highlight w:val="none"/>
        </w:rPr>
      </w:pPr>
      <w:r>
        <w:rPr>
          <w:rFonts w:hint="eastAsia"/>
          <w:color w:val="auto"/>
          <w:highlight w:val="none"/>
        </w:rPr>
        <w:t>总承包人必须自行妥善处理农民工、材料商、租赁公司等与总承包人有合同关系单位的一切纠纷，并完成上述单位的结算，保证不影响交接和后续施工进程。</w:t>
      </w:r>
    </w:p>
    <w:p>
      <w:pPr>
        <w:pStyle w:val="4"/>
        <w:bidi w:val="0"/>
        <w:rPr>
          <w:color w:val="auto"/>
          <w:highlight w:val="none"/>
        </w:rPr>
      </w:pPr>
      <w:bookmarkStart w:id="534" w:name="_Toc436899076"/>
      <w:r>
        <w:rPr>
          <w:rFonts w:hint="eastAsia"/>
          <w:color w:val="auto"/>
          <w:highlight w:val="none"/>
        </w:rPr>
        <w:t>责任和义务</w:t>
      </w:r>
      <w:bookmarkEnd w:id="534"/>
    </w:p>
    <w:p>
      <w:pPr>
        <w:pStyle w:val="5"/>
        <w:bidi w:val="0"/>
        <w:ind w:left="253"/>
        <w:rPr>
          <w:color w:val="auto"/>
          <w:highlight w:val="none"/>
        </w:rPr>
      </w:pPr>
      <w:r>
        <w:rPr>
          <w:rFonts w:hint="eastAsia"/>
          <w:color w:val="auto"/>
          <w:highlight w:val="none"/>
        </w:rPr>
        <w:t>双方协议撤场后，安全文明措施费、社保费、农民工保证金依据地方政府法律法规或依据发包人与总承包人后期签署的《总承包合同补充协议》执行，水电费依据水表、电表进行确定。</w:t>
      </w:r>
    </w:p>
    <w:p>
      <w:pPr>
        <w:pStyle w:val="5"/>
        <w:bidi w:val="0"/>
        <w:ind w:left="253"/>
        <w:rPr>
          <w:color w:val="auto"/>
          <w:highlight w:val="none"/>
        </w:rPr>
      </w:pPr>
      <w:r>
        <w:rPr>
          <w:rFonts w:hint="eastAsia"/>
          <w:color w:val="auto"/>
          <w:highlight w:val="none"/>
        </w:rPr>
        <w:t>总承包人应积极、及时、有效的配合发包人面积测绘、环保验收、消防验收、规划验收、电梯准用检测、卫生防疫验收、配套工程验收、竣工备案等一切后续验收及备案工作。在接到需要配合的通知后3日内按照通知要求派相关人员到场履行配合工作，若遇签字或盖章等需要，须在接到通知后3天内完成相应的签字及盖章工作。</w:t>
      </w:r>
    </w:p>
    <w:p>
      <w:pPr>
        <w:pStyle w:val="5"/>
        <w:bidi w:val="0"/>
        <w:ind w:left="253"/>
        <w:rPr>
          <w:color w:val="auto"/>
          <w:highlight w:val="none"/>
        </w:rPr>
      </w:pPr>
      <w:r>
        <w:rPr>
          <w:rFonts w:hint="eastAsia"/>
          <w:color w:val="auto"/>
          <w:highlight w:val="none"/>
        </w:rPr>
        <w:t>总承包人对其施工的工程质量负有维保的义务。</w:t>
      </w:r>
      <w:bookmarkStart w:id="535" w:name="_附表1：项目经理（项目总工/现场经理）资格一览表(盖章)"/>
      <w:bookmarkEnd w:id="535"/>
      <w:bookmarkStart w:id="536" w:name="_附表5：工程进度日报表"/>
      <w:bookmarkEnd w:id="536"/>
      <w:bookmarkStart w:id="537" w:name="_附表二：项目人员面试评价表格"/>
      <w:bookmarkEnd w:id="537"/>
      <w:bookmarkStart w:id="538" w:name="_附表2：项目人员面试评价表格"/>
      <w:bookmarkEnd w:id="538"/>
      <w:bookmarkStart w:id="539" w:name="_附表一：项目经理（项目总工/现场经理）资格一览表(盖章)"/>
      <w:bookmarkEnd w:id="539"/>
    </w:p>
    <w:p>
      <w:pPr>
        <w:pStyle w:val="3"/>
        <w:bidi w:val="0"/>
        <w:rPr>
          <w:color w:val="auto"/>
          <w:highlight w:val="none"/>
        </w:rPr>
      </w:pPr>
      <w:bookmarkStart w:id="540" w:name="_Toc20215"/>
      <w:bookmarkStart w:id="541" w:name="_Toc7635"/>
      <w:bookmarkStart w:id="542" w:name="_Toc31657"/>
      <w:bookmarkStart w:id="543" w:name="_Toc12794"/>
      <w:bookmarkStart w:id="544" w:name="_Toc20786"/>
      <w:bookmarkStart w:id="545" w:name="_Toc20732"/>
      <w:bookmarkStart w:id="546" w:name="_Toc169722225"/>
      <w:bookmarkStart w:id="547" w:name="_Toc7773"/>
      <w:bookmarkStart w:id="548" w:name="_Toc19846"/>
      <w:bookmarkStart w:id="549" w:name="_Toc20015"/>
      <w:bookmarkStart w:id="550" w:name="_Toc21413"/>
      <w:bookmarkStart w:id="551" w:name="_Toc24999"/>
      <w:r>
        <w:rPr>
          <w:rFonts w:hint="eastAsia"/>
          <w:color w:val="auto"/>
          <w:highlight w:val="none"/>
        </w:rPr>
        <w:t>治污减霾要求</w:t>
      </w:r>
      <w:bookmarkEnd w:id="540"/>
      <w:bookmarkEnd w:id="541"/>
      <w:bookmarkEnd w:id="542"/>
      <w:bookmarkEnd w:id="543"/>
      <w:bookmarkEnd w:id="544"/>
      <w:bookmarkEnd w:id="545"/>
      <w:bookmarkEnd w:id="546"/>
      <w:bookmarkEnd w:id="547"/>
      <w:bookmarkEnd w:id="548"/>
      <w:bookmarkEnd w:id="549"/>
      <w:bookmarkEnd w:id="550"/>
      <w:bookmarkEnd w:id="551"/>
    </w:p>
    <w:p>
      <w:pPr>
        <w:pStyle w:val="4"/>
        <w:bidi w:val="0"/>
        <w:rPr>
          <w:color w:val="auto"/>
          <w:highlight w:val="none"/>
        </w:rPr>
      </w:pPr>
      <w:r>
        <w:rPr>
          <w:rFonts w:hint="eastAsia"/>
          <w:color w:val="auto"/>
          <w:highlight w:val="none"/>
        </w:rPr>
        <w:t>总承包人应充分了解当地政府治污减霾、大气污染综合治理的要求，落实相关措施。</w:t>
      </w:r>
    </w:p>
    <w:p>
      <w:pPr>
        <w:pStyle w:val="4"/>
        <w:bidi w:val="0"/>
        <w:rPr>
          <w:color w:val="auto"/>
          <w:highlight w:val="none"/>
        </w:rPr>
      </w:pPr>
      <w:r>
        <w:rPr>
          <w:rFonts w:hint="eastAsia"/>
          <w:color w:val="auto"/>
          <w:highlight w:val="none"/>
        </w:rPr>
        <w:t>总承包人应积极应对雾霾天气对施工的影响，采取必要的措施，确保工程质量、安全、进度等目标的实现。</w:t>
      </w:r>
    </w:p>
    <w:p>
      <w:pPr>
        <w:pStyle w:val="3"/>
        <w:bidi w:val="0"/>
        <w:rPr>
          <w:color w:val="auto"/>
          <w:highlight w:val="none"/>
          <w:lang w:eastAsia="zh-CN"/>
        </w:rPr>
      </w:pPr>
      <w:bookmarkStart w:id="552" w:name="_Toc15470"/>
      <w:bookmarkStart w:id="553" w:name="_Toc2930"/>
      <w:bookmarkStart w:id="554" w:name="_Toc14822"/>
      <w:bookmarkStart w:id="555" w:name="_Toc13398"/>
      <w:bookmarkStart w:id="556" w:name="_Toc15089"/>
      <w:bookmarkStart w:id="557" w:name="_Toc9265"/>
      <w:bookmarkStart w:id="558" w:name="_Toc6346"/>
      <w:bookmarkStart w:id="559" w:name="_Toc4642"/>
      <w:bookmarkStart w:id="560" w:name="_Toc5598"/>
      <w:bookmarkStart w:id="561" w:name="_Toc30578"/>
      <w:bookmarkStart w:id="562" w:name="_Toc23589"/>
      <w:bookmarkStart w:id="563" w:name="_Toc17261"/>
      <w:r>
        <w:rPr>
          <w:rFonts w:hint="eastAsia"/>
          <w:color w:val="auto"/>
          <w:highlight w:val="none"/>
          <w:lang w:eastAsia="zh-CN"/>
        </w:rPr>
        <w:t>绿色施工管理要求</w:t>
      </w:r>
      <w:bookmarkEnd w:id="552"/>
      <w:bookmarkEnd w:id="553"/>
      <w:bookmarkEnd w:id="554"/>
      <w:bookmarkEnd w:id="555"/>
      <w:bookmarkEnd w:id="556"/>
      <w:bookmarkEnd w:id="557"/>
      <w:bookmarkEnd w:id="558"/>
      <w:bookmarkEnd w:id="559"/>
      <w:bookmarkEnd w:id="560"/>
      <w:bookmarkEnd w:id="561"/>
      <w:bookmarkEnd w:id="562"/>
      <w:bookmarkEnd w:id="563"/>
    </w:p>
    <w:p>
      <w:pPr>
        <w:pStyle w:val="5"/>
        <w:bidi w:val="0"/>
        <w:rPr>
          <w:color w:val="auto"/>
          <w:highlight w:val="none"/>
          <w:lang w:eastAsia="zh-CN"/>
        </w:rPr>
      </w:pPr>
      <w:r>
        <w:rPr>
          <w:rFonts w:hint="eastAsia"/>
          <w:color w:val="auto"/>
          <w:highlight w:val="none"/>
          <w:lang w:eastAsia="zh-CN"/>
        </w:rPr>
        <w:t>施工管理要求。加强绿色施工管理，主要包括组织管理、规划管理、实施管理、 评价管理和人员安全与健康管理五个方面。建立绿色施工管理体系，并制定相应的管理 制度与目标；编制绿色施工方案，该方案应在施工组织设计中独立成章，并按有关规定 进行审批；绿色施工应对整个施工过程实施动态管理，加强对施工策划、施工准备、材料采购、现场施工、工程验收等各阶段的管理和监督。</w:t>
      </w:r>
    </w:p>
    <w:p>
      <w:pPr>
        <w:pStyle w:val="5"/>
        <w:bidi w:val="0"/>
        <w:rPr>
          <w:color w:val="auto"/>
          <w:highlight w:val="none"/>
          <w:lang w:eastAsia="zh-CN"/>
        </w:rPr>
      </w:pPr>
      <w:r>
        <w:rPr>
          <w:rFonts w:hint="eastAsia"/>
          <w:color w:val="auto"/>
          <w:highlight w:val="none"/>
          <w:lang w:eastAsia="zh-CN"/>
        </w:rPr>
        <w:t>环境保护要求。对土方作业阶段、结构安装装饰阶段作业区扬尘高度进行监控， 采用喷雾、洒水等措施进行治理；同时做好对噪音与振动控制、光污染控制、水污染控制、土壤保护、建筑垃圾控制、地下设施、文物和资源保护等方面控制。</w:t>
      </w:r>
    </w:p>
    <w:p>
      <w:pPr>
        <w:pStyle w:val="5"/>
        <w:bidi w:val="0"/>
        <w:rPr>
          <w:color w:val="auto"/>
          <w:highlight w:val="none"/>
          <w:lang w:eastAsia="zh-CN"/>
        </w:rPr>
      </w:pPr>
      <w:r>
        <w:rPr>
          <w:rFonts w:hint="eastAsia"/>
          <w:color w:val="auto"/>
          <w:highlight w:val="none"/>
          <w:lang w:eastAsia="zh-CN"/>
        </w:rPr>
        <w:t>节材与材料资源利用。优化模板及支撑体系方案，采用工具式模板、钢制大模板和早拆支撑体系，采用定型钢模、钢框木模、木塑板；钢筋制作采用专业化加工、配送；使用预拌混凝土和商品砂浆。</w:t>
      </w:r>
    </w:p>
    <w:p>
      <w:pPr>
        <w:pStyle w:val="5"/>
        <w:bidi w:val="0"/>
        <w:rPr>
          <w:rFonts w:cs="Arial"/>
          <w:bCs/>
          <w:color w:val="auto"/>
          <w:highlight w:val="none"/>
        </w:rPr>
      </w:pPr>
      <w:r>
        <w:rPr>
          <w:rFonts w:hint="eastAsia"/>
          <w:color w:val="auto"/>
          <w:highlight w:val="none"/>
          <w:lang w:eastAsia="zh-CN"/>
        </w:rPr>
        <w:t>推广使用节水与水资源利用技术，要求采取多种措施提高用水效率。如施工中 采用先进的节水施工工艺；现场搅拌用水、养护用水应采取有效的节水措施，严禁无措施浇水养护混凝土；施工现场分别对生活用水与工程用水确定用水定额指标，并分别计量管理；大型工程的不同单项工程、不同标段、不同专业承包生活区，凡具备条件的应分别计量用水量；对混凝土搅拌站点等用水集中的区域和工艺点进行专项计量考核，施工现场建立雨水、中水或可再利用水的搜集利用系统。</w:t>
      </w:r>
    </w:p>
    <w:p>
      <w:pPr>
        <w:pStyle w:val="3"/>
        <w:bidi w:val="0"/>
        <w:rPr>
          <w:rFonts w:hint="default"/>
          <w:color w:val="auto"/>
          <w:highlight w:val="none"/>
          <w:lang w:val="en-US" w:eastAsia="zh-CN"/>
        </w:rPr>
      </w:pPr>
      <w:bookmarkStart w:id="564" w:name="_Toc10246"/>
      <w:bookmarkStart w:id="565" w:name="_Toc18909"/>
      <w:bookmarkStart w:id="566" w:name="_Toc3629"/>
      <w:bookmarkStart w:id="567" w:name="_Toc18876"/>
      <w:bookmarkStart w:id="568" w:name="_Toc29235"/>
      <w:bookmarkStart w:id="569" w:name="_Toc18663"/>
      <w:bookmarkStart w:id="570" w:name="_Toc25835"/>
      <w:bookmarkStart w:id="571" w:name="_Toc3822"/>
      <w:r>
        <w:rPr>
          <w:rFonts w:hint="eastAsia"/>
          <w:color w:val="auto"/>
          <w:highlight w:val="none"/>
          <w:lang w:val="en-US" w:eastAsia="zh-CN"/>
        </w:rPr>
        <w:t>其他施工管理要求</w:t>
      </w:r>
      <w:bookmarkEnd w:id="564"/>
      <w:bookmarkEnd w:id="565"/>
      <w:bookmarkEnd w:id="566"/>
      <w:bookmarkEnd w:id="567"/>
      <w:bookmarkEnd w:id="568"/>
      <w:bookmarkEnd w:id="569"/>
      <w:bookmarkEnd w:id="570"/>
      <w:bookmarkEnd w:id="571"/>
    </w:p>
    <w:p>
      <w:pPr>
        <w:pStyle w:val="4"/>
        <w:bidi w:val="0"/>
        <w:rPr>
          <w:rFonts w:hint="default"/>
          <w:color w:val="auto"/>
          <w:highlight w:val="none"/>
          <w:lang w:val="en-US" w:eastAsia="zh-CN"/>
        </w:rPr>
      </w:pPr>
      <w:r>
        <w:rPr>
          <w:rFonts w:hint="eastAsia"/>
          <w:color w:val="auto"/>
          <w:highlight w:val="none"/>
          <w:lang w:val="en-US" w:eastAsia="zh-CN"/>
        </w:rPr>
        <w:t>总平面管理要求</w:t>
      </w:r>
    </w:p>
    <w:p>
      <w:pPr>
        <w:pStyle w:val="5"/>
        <w:bidi w:val="0"/>
        <w:rPr>
          <w:color w:val="auto"/>
          <w:highlight w:val="none"/>
        </w:rPr>
      </w:pPr>
      <w:r>
        <w:rPr>
          <w:rFonts w:hint="eastAsia"/>
          <w:color w:val="auto"/>
          <w:highlight w:val="none"/>
          <w:lang w:val="en-US" w:eastAsia="zh-CN"/>
        </w:rPr>
        <w:t>承包人</w:t>
      </w:r>
      <w:r>
        <w:rPr>
          <w:rFonts w:hint="eastAsia"/>
          <w:color w:val="auto"/>
          <w:highlight w:val="none"/>
          <w:lang w:eastAsia="zh-CN"/>
        </w:rPr>
        <w:t>应严格按已审批的施工总平面图或相关的单位工程施工平面图规定的位置，布置施工项目的主要机械设备、脚手架、密封式安全网和围挡、施工临时道路、各类管道或线路、施工材料加工场地及堆放位置或仓库、土方及建筑垃圾堆放位置、警卫室、现场的办公及生产和生活设施、变配电间、消防设施等。涉及到专业承包工程的，专业工程</w:t>
      </w:r>
      <w:r>
        <w:rPr>
          <w:rFonts w:hint="eastAsia"/>
          <w:color w:val="auto"/>
          <w:highlight w:val="none"/>
          <w:lang w:val="en-US" w:eastAsia="zh-CN"/>
        </w:rPr>
        <w:t>承包</w:t>
      </w:r>
      <w:r>
        <w:rPr>
          <w:rFonts w:hint="eastAsia"/>
          <w:color w:val="auto"/>
          <w:highlight w:val="none"/>
          <w:lang w:eastAsia="zh-CN"/>
        </w:rPr>
        <w:t>单位也必须按此条执行。</w:t>
      </w:r>
    </w:p>
    <w:p>
      <w:pPr>
        <w:pStyle w:val="5"/>
        <w:bidi w:val="0"/>
        <w:rPr>
          <w:color w:val="auto"/>
          <w:highlight w:val="none"/>
          <w:lang w:eastAsia="zh-CN"/>
        </w:rPr>
      </w:pPr>
      <w:r>
        <w:rPr>
          <w:color w:val="auto"/>
          <w:highlight w:val="none"/>
          <w:lang w:eastAsia="zh-CN"/>
        </w:rPr>
        <w:t>若因影响后续施工而产生二次或多次临建设施搬迁，承包人必须无条件服从施工安排，并恢复原状，由此引起的恢复费用，发包人不做任何补偿。</w:t>
      </w:r>
    </w:p>
    <w:p>
      <w:pPr>
        <w:pStyle w:val="5"/>
        <w:bidi w:val="0"/>
        <w:rPr>
          <w:rFonts w:hint="eastAsia"/>
          <w:color w:val="auto"/>
          <w:highlight w:val="none"/>
          <w:lang w:val="en-US" w:eastAsia="zh-CN"/>
        </w:rPr>
      </w:pPr>
      <w:r>
        <w:rPr>
          <w:rFonts w:hint="eastAsia"/>
          <w:color w:val="auto"/>
          <w:highlight w:val="none"/>
          <w:lang w:val="en-US" w:eastAsia="zh-CN"/>
        </w:rPr>
        <w:t>承包人需为发包人/监理人/顾问提供、维护符合发包人要求的办公室及卫生设施，包括空调设施，并负责保洁工作，承包人进场后需上报临建布置图并报监理人及发包人审批后实施。</w:t>
      </w:r>
    </w:p>
    <w:p>
      <w:pPr>
        <w:pStyle w:val="4"/>
        <w:bidi w:val="0"/>
        <w:rPr>
          <w:color w:val="auto"/>
          <w:highlight w:val="none"/>
          <w:lang w:eastAsia="zh-CN"/>
        </w:rPr>
      </w:pPr>
      <w:r>
        <w:rPr>
          <w:color w:val="auto"/>
          <w:highlight w:val="none"/>
          <w:lang w:eastAsia="zh-CN"/>
        </w:rPr>
        <w:t>防水工程质量问题处理要求</w:t>
      </w:r>
    </w:p>
    <w:p>
      <w:pPr>
        <w:bidi w:val="0"/>
        <w:rPr>
          <w:color w:val="auto"/>
          <w:highlight w:val="none"/>
          <w:lang w:eastAsia="zh-CN"/>
        </w:rPr>
      </w:pPr>
      <w:r>
        <w:rPr>
          <w:color w:val="auto"/>
          <w:highlight w:val="none"/>
          <w:lang w:eastAsia="zh-CN"/>
        </w:rPr>
        <w:t>若在质保期内出现渗水、漏水等影响正常办公、生活的情况，在收到通知后 24 小时内必须赶到现场并及时进行维修，并赔偿由此引起的所有损失；未在约定期限内派人维修，发包人有权指定</w:t>
      </w:r>
      <w:r>
        <w:rPr>
          <w:rFonts w:hint="eastAsia"/>
          <w:color w:val="auto"/>
          <w:highlight w:val="none"/>
          <w:lang w:val="en-US" w:eastAsia="zh-CN"/>
        </w:rPr>
        <w:t>第三方</w:t>
      </w:r>
      <w:r>
        <w:rPr>
          <w:color w:val="auto"/>
          <w:highlight w:val="none"/>
          <w:lang w:eastAsia="zh-CN"/>
        </w:rPr>
        <w:t>其他人员维修。</w:t>
      </w:r>
    </w:p>
    <w:p>
      <w:pPr>
        <w:pStyle w:val="4"/>
        <w:bidi w:val="0"/>
        <w:rPr>
          <w:color w:val="auto"/>
          <w:highlight w:val="none"/>
          <w:lang w:eastAsia="zh-CN"/>
        </w:rPr>
      </w:pPr>
      <w:r>
        <w:rPr>
          <w:color w:val="auto"/>
          <w:highlight w:val="none"/>
          <w:lang w:eastAsia="zh-CN"/>
        </w:rPr>
        <w:t>水电空转要求</w:t>
      </w:r>
    </w:p>
    <w:p>
      <w:pPr>
        <w:bidi w:val="0"/>
        <w:rPr>
          <w:color w:val="auto"/>
          <w:highlight w:val="none"/>
          <w:lang w:eastAsia="zh-CN"/>
        </w:rPr>
      </w:pPr>
      <w:r>
        <w:rPr>
          <w:rFonts w:hint="eastAsia"/>
          <w:color w:val="auto"/>
          <w:highlight w:val="none"/>
          <w:lang w:eastAsia="zh-CN"/>
        </w:rPr>
        <w:t>（</w:t>
      </w:r>
      <w:r>
        <w:rPr>
          <w:rFonts w:hint="eastAsia"/>
          <w:color w:val="auto"/>
          <w:highlight w:val="none"/>
          <w:lang w:val="en-US" w:eastAsia="zh-CN"/>
        </w:rPr>
        <w:t>1</w:t>
      </w:r>
      <w:r>
        <w:rPr>
          <w:rFonts w:hint="eastAsia"/>
          <w:color w:val="auto"/>
          <w:highlight w:val="none"/>
          <w:lang w:eastAsia="zh-CN"/>
        </w:rPr>
        <w:t>）</w:t>
      </w:r>
      <w:r>
        <w:rPr>
          <w:rFonts w:hint="eastAsia"/>
          <w:color w:val="auto"/>
          <w:highlight w:val="none"/>
          <w:lang w:val="en-US" w:eastAsia="zh-CN"/>
        </w:rPr>
        <w:t>水电接设完成至水电正式使用过程中</w:t>
      </w:r>
      <w:r>
        <w:rPr>
          <w:color w:val="auto"/>
          <w:highlight w:val="none"/>
          <w:lang w:eastAsia="zh-CN"/>
        </w:rPr>
        <w:t>的空置（损耗）费用由承包人自行承担；</w:t>
      </w:r>
    </w:p>
    <w:p>
      <w:pPr>
        <w:bidi w:val="0"/>
        <w:rPr>
          <w:color w:val="auto"/>
          <w:highlight w:val="none"/>
          <w:lang w:eastAsia="zh-CN"/>
        </w:rPr>
      </w:pPr>
      <w:r>
        <w:rPr>
          <w:rFonts w:hint="eastAsia"/>
          <w:color w:val="auto"/>
          <w:highlight w:val="none"/>
          <w:lang w:eastAsia="zh-CN"/>
        </w:rPr>
        <w:t>（</w:t>
      </w:r>
      <w:r>
        <w:rPr>
          <w:rFonts w:hint="eastAsia"/>
          <w:color w:val="auto"/>
          <w:highlight w:val="none"/>
          <w:lang w:val="en-US" w:eastAsia="zh-CN"/>
        </w:rPr>
        <w:t>2</w:t>
      </w:r>
      <w:r>
        <w:rPr>
          <w:rFonts w:hint="eastAsia"/>
          <w:color w:val="auto"/>
          <w:highlight w:val="none"/>
          <w:lang w:eastAsia="zh-CN"/>
        </w:rPr>
        <w:t>）</w:t>
      </w:r>
      <w:r>
        <w:rPr>
          <w:color w:val="auto"/>
          <w:highlight w:val="none"/>
          <w:lang w:eastAsia="zh-CN"/>
        </w:rPr>
        <w:t>所产生的费用已在投标总价中综合考虑，不要求发包人增加；</w:t>
      </w:r>
    </w:p>
    <w:p>
      <w:pPr>
        <w:pStyle w:val="4"/>
        <w:bidi w:val="0"/>
        <w:rPr>
          <w:color w:val="auto"/>
          <w:highlight w:val="none"/>
          <w:lang w:eastAsia="zh-CN"/>
        </w:rPr>
      </w:pPr>
      <w:r>
        <w:rPr>
          <w:color w:val="auto"/>
          <w:highlight w:val="none"/>
          <w:lang w:eastAsia="zh-CN"/>
        </w:rPr>
        <w:t>周边管线及地下管线保护要求</w:t>
      </w:r>
    </w:p>
    <w:p>
      <w:pPr>
        <w:bidi w:val="0"/>
        <w:rPr>
          <w:color w:val="auto"/>
          <w:highlight w:val="none"/>
          <w:lang w:eastAsia="zh-CN"/>
        </w:rPr>
      </w:pPr>
      <w:r>
        <w:rPr>
          <w:color w:val="auto"/>
          <w:highlight w:val="none"/>
          <w:lang w:eastAsia="zh-CN"/>
        </w:rPr>
        <w:t>承包人应</w:t>
      </w:r>
      <w:r>
        <w:rPr>
          <w:rFonts w:hint="eastAsia"/>
          <w:color w:val="auto"/>
          <w:highlight w:val="none"/>
          <w:lang w:eastAsia="zh-CN"/>
        </w:rPr>
        <w:t>对周边管线及地下管线采取有效的保护措施，若造成周边管线及地下管线等损坏的，</w:t>
      </w:r>
      <w:r>
        <w:rPr>
          <w:color w:val="auto"/>
          <w:highlight w:val="none"/>
          <w:lang w:eastAsia="zh-CN"/>
        </w:rPr>
        <w:t>由承包人负责修复，并承担所造成的的所有损失。</w:t>
      </w:r>
      <w:r>
        <w:rPr>
          <w:rFonts w:hint="eastAsia"/>
          <w:color w:val="auto"/>
          <w:highlight w:val="none"/>
          <w:lang w:eastAsia="zh-CN"/>
        </w:rPr>
        <w:t>权属单位提出的施工配合费等一切费用均由</w:t>
      </w:r>
      <w:r>
        <w:rPr>
          <w:color w:val="auto"/>
          <w:highlight w:val="none"/>
          <w:lang w:eastAsia="zh-CN"/>
        </w:rPr>
        <w:t>承包人</w:t>
      </w:r>
      <w:r>
        <w:rPr>
          <w:rFonts w:hint="eastAsia"/>
          <w:color w:val="auto"/>
          <w:highlight w:val="none"/>
          <w:lang w:eastAsia="zh-CN"/>
        </w:rPr>
        <w:t>承担。</w:t>
      </w:r>
    </w:p>
    <w:p>
      <w:pPr>
        <w:pStyle w:val="4"/>
        <w:bidi w:val="0"/>
        <w:rPr>
          <w:color w:val="auto"/>
          <w:highlight w:val="none"/>
          <w:lang w:eastAsia="zh-CN"/>
        </w:rPr>
      </w:pPr>
      <w:r>
        <w:rPr>
          <w:color w:val="auto"/>
          <w:highlight w:val="none"/>
          <w:lang w:eastAsia="zh-CN"/>
        </w:rPr>
        <w:t>周边管线（建筑物、构筑物等）变形监测要求</w:t>
      </w:r>
    </w:p>
    <w:p>
      <w:pPr>
        <w:bidi w:val="0"/>
        <w:rPr>
          <w:color w:val="auto"/>
          <w:highlight w:val="none"/>
          <w:lang w:eastAsia="zh-CN"/>
        </w:rPr>
      </w:pPr>
      <w:r>
        <w:rPr>
          <w:color w:val="auto"/>
          <w:highlight w:val="none"/>
          <w:lang w:eastAsia="zh-CN"/>
        </w:rPr>
        <w:t>在工程整体交付使用前，承包人需已充分考虑现场周边管线（建筑物、构筑物、高 压电塔、城际铁路、燃油管道）等情况，并加强周边管线（建筑物、构筑物、高压电塔、城际铁路、燃油管道等）变形监测和采取有效的保护措施。</w:t>
      </w:r>
    </w:p>
    <w:p>
      <w:pPr>
        <w:pStyle w:val="4"/>
        <w:bidi w:val="0"/>
        <w:rPr>
          <w:color w:val="auto"/>
          <w:highlight w:val="none"/>
          <w:lang w:eastAsia="zh-CN"/>
        </w:rPr>
      </w:pPr>
      <w:r>
        <w:rPr>
          <w:color w:val="auto"/>
          <w:highlight w:val="none"/>
          <w:lang w:eastAsia="zh-CN"/>
        </w:rPr>
        <w:t>基坑、高支模、主体沉降监测要求</w:t>
      </w:r>
    </w:p>
    <w:p>
      <w:pPr>
        <w:bidi w:val="0"/>
        <w:rPr>
          <w:color w:val="auto"/>
          <w:highlight w:val="none"/>
          <w:lang w:eastAsia="zh-CN"/>
        </w:rPr>
      </w:pPr>
      <w:r>
        <w:rPr>
          <w:color w:val="auto"/>
          <w:highlight w:val="none"/>
          <w:lang w:eastAsia="zh-CN"/>
        </w:rPr>
        <w:t>在基坑支护和高大支模施工时，承包人需采用合理科学先进工艺，确保按图施工，确保工程安全，避免出现基坑支护和高大支模、主体沉降监测异常（或到达报警值）需要第三方监测单位增加监测点、加大监测频率（次数）的情况。不得因第三方监测单位 进行监测而取消或暂停该项工作，保证与第三方监测单位独立同步实时进行基坑、高支模、主体沉降监测。</w:t>
      </w:r>
    </w:p>
    <w:p>
      <w:pPr>
        <w:bidi w:val="0"/>
        <w:rPr>
          <w:color w:val="auto"/>
          <w:highlight w:val="none"/>
          <w:lang w:eastAsia="zh-CN"/>
        </w:rPr>
      </w:pPr>
      <w:r>
        <w:rPr>
          <w:rFonts w:hint="eastAsia"/>
          <w:color w:val="auto"/>
          <w:highlight w:val="none"/>
          <w:lang w:eastAsia="zh-CN"/>
        </w:rPr>
        <w:t>承包人应按照规定对基坑变形、周边建筑物沉降等进行复测，并定期与第三方监测数据进行比对，确保基坑安全。</w:t>
      </w:r>
    </w:p>
    <w:p>
      <w:pPr>
        <w:pStyle w:val="4"/>
        <w:bidi w:val="0"/>
        <w:rPr>
          <w:color w:val="auto"/>
          <w:highlight w:val="none"/>
          <w:lang w:eastAsia="zh-CN"/>
        </w:rPr>
      </w:pPr>
      <w:r>
        <w:rPr>
          <w:color w:val="auto"/>
          <w:highlight w:val="none"/>
          <w:lang w:eastAsia="zh-CN"/>
        </w:rPr>
        <w:t>及时支付劳动者报酬要求</w:t>
      </w:r>
    </w:p>
    <w:p>
      <w:pPr>
        <w:bidi w:val="0"/>
        <w:rPr>
          <w:color w:val="auto"/>
          <w:highlight w:val="none"/>
          <w:lang w:eastAsia="zh-CN"/>
        </w:rPr>
      </w:pPr>
      <w:r>
        <w:rPr>
          <w:rFonts w:hint="eastAsia"/>
          <w:color w:val="auto"/>
          <w:highlight w:val="none"/>
          <w:lang w:eastAsia="zh-CN"/>
        </w:rPr>
        <w:t>（</w:t>
      </w:r>
      <w:r>
        <w:rPr>
          <w:rFonts w:hint="eastAsia"/>
          <w:color w:val="auto"/>
          <w:highlight w:val="none"/>
          <w:lang w:val="en-US" w:eastAsia="zh-CN"/>
        </w:rPr>
        <w:t>1</w:t>
      </w:r>
      <w:r>
        <w:rPr>
          <w:rFonts w:hint="eastAsia"/>
          <w:color w:val="auto"/>
          <w:highlight w:val="none"/>
          <w:lang w:eastAsia="zh-CN"/>
        </w:rPr>
        <w:t>）</w:t>
      </w:r>
      <w:r>
        <w:rPr>
          <w:color w:val="auto"/>
          <w:highlight w:val="none"/>
          <w:lang w:eastAsia="zh-CN"/>
        </w:rPr>
        <w:t>根据国家和当地劳动法规，需与本项目施工的所有劳动者（含农民工、下同）签订了劳动合同，并严格履行支付劳动报酬等合同义务。</w:t>
      </w:r>
    </w:p>
    <w:p>
      <w:pPr>
        <w:bidi w:val="0"/>
        <w:rPr>
          <w:color w:val="auto"/>
          <w:highlight w:val="none"/>
          <w:lang w:eastAsia="zh-CN"/>
        </w:rPr>
      </w:pPr>
      <w:r>
        <w:rPr>
          <w:rFonts w:hint="eastAsia"/>
          <w:color w:val="auto"/>
          <w:highlight w:val="none"/>
          <w:lang w:eastAsia="zh-CN"/>
        </w:rPr>
        <w:t>（</w:t>
      </w:r>
      <w:r>
        <w:rPr>
          <w:rFonts w:hint="eastAsia"/>
          <w:color w:val="auto"/>
          <w:highlight w:val="none"/>
          <w:lang w:val="en-US" w:eastAsia="zh-CN"/>
        </w:rPr>
        <w:t>2</w:t>
      </w:r>
      <w:r>
        <w:rPr>
          <w:rFonts w:hint="eastAsia"/>
          <w:color w:val="auto"/>
          <w:highlight w:val="none"/>
          <w:lang w:eastAsia="zh-CN"/>
        </w:rPr>
        <w:t>）</w:t>
      </w:r>
      <w:r>
        <w:rPr>
          <w:color w:val="auto"/>
          <w:highlight w:val="none"/>
          <w:lang w:eastAsia="zh-CN"/>
        </w:rPr>
        <w:t>工程款应优先用于支付劳动者报酬。</w:t>
      </w:r>
    </w:p>
    <w:p>
      <w:pPr>
        <w:bidi w:val="0"/>
        <w:rPr>
          <w:color w:val="auto"/>
          <w:highlight w:val="none"/>
          <w:lang w:eastAsia="zh-CN"/>
        </w:rPr>
      </w:pPr>
      <w:r>
        <w:rPr>
          <w:rFonts w:hint="eastAsia"/>
          <w:color w:val="auto"/>
          <w:highlight w:val="none"/>
          <w:lang w:eastAsia="zh-CN"/>
        </w:rPr>
        <w:t>（</w:t>
      </w:r>
      <w:r>
        <w:rPr>
          <w:rFonts w:hint="eastAsia"/>
          <w:color w:val="auto"/>
          <w:highlight w:val="none"/>
          <w:lang w:val="en-US" w:eastAsia="zh-CN"/>
        </w:rPr>
        <w:t>3</w:t>
      </w:r>
      <w:r>
        <w:rPr>
          <w:rFonts w:hint="eastAsia"/>
          <w:color w:val="auto"/>
          <w:highlight w:val="none"/>
          <w:lang w:eastAsia="zh-CN"/>
        </w:rPr>
        <w:t>）</w:t>
      </w:r>
      <w:r>
        <w:rPr>
          <w:color w:val="auto"/>
          <w:highlight w:val="none"/>
          <w:lang w:eastAsia="zh-CN"/>
        </w:rPr>
        <w:t>若在本项目上发生拖欠、克扣劳动者报酬行为的，或者因该项目劳动者报酬 纠纷使得发包人可能涉及诉讼、仲裁、或其他不利影响时，发包人有权从承包人工程款 中扣除相应款项，直接支付给相关的劳动者，并有权解除施工合同，承包人赔偿因此而给发包人造成的一切损失。</w:t>
      </w:r>
    </w:p>
    <w:p>
      <w:pPr>
        <w:pStyle w:val="4"/>
        <w:bidi w:val="0"/>
        <w:rPr>
          <w:color w:val="auto"/>
          <w:highlight w:val="none"/>
          <w:lang w:eastAsia="zh-CN"/>
        </w:rPr>
      </w:pPr>
      <w:r>
        <w:rPr>
          <w:color w:val="auto"/>
          <w:highlight w:val="none"/>
          <w:lang w:eastAsia="zh-CN"/>
        </w:rPr>
        <w:t>水土保持监测要求</w:t>
      </w:r>
    </w:p>
    <w:p>
      <w:pPr>
        <w:bidi w:val="0"/>
        <w:rPr>
          <w:color w:val="auto"/>
          <w:highlight w:val="none"/>
          <w:lang w:eastAsia="zh-CN"/>
        </w:rPr>
      </w:pPr>
      <w:r>
        <w:rPr>
          <w:rFonts w:hint="eastAsia"/>
          <w:color w:val="auto"/>
          <w:highlight w:val="none"/>
          <w:lang w:eastAsia="zh-CN"/>
        </w:rPr>
        <w:t>（</w:t>
      </w:r>
      <w:r>
        <w:rPr>
          <w:rFonts w:hint="eastAsia"/>
          <w:color w:val="auto"/>
          <w:highlight w:val="none"/>
          <w:lang w:val="en-US" w:eastAsia="zh-CN"/>
        </w:rPr>
        <w:t>1</w:t>
      </w:r>
      <w:r>
        <w:rPr>
          <w:rFonts w:hint="eastAsia"/>
          <w:color w:val="auto"/>
          <w:highlight w:val="none"/>
          <w:lang w:eastAsia="zh-CN"/>
        </w:rPr>
        <w:t>）</w:t>
      </w:r>
      <w:r>
        <w:rPr>
          <w:color w:val="auto"/>
          <w:highlight w:val="none"/>
          <w:lang w:eastAsia="zh-CN"/>
        </w:rPr>
        <w:t>项目开工后，承包人自行安排人员进行水土保持监测工作。</w:t>
      </w:r>
    </w:p>
    <w:p>
      <w:pPr>
        <w:bidi w:val="0"/>
        <w:rPr>
          <w:color w:val="auto"/>
          <w:highlight w:val="none"/>
          <w:lang w:eastAsia="zh-CN"/>
        </w:rPr>
      </w:pPr>
      <w:r>
        <w:rPr>
          <w:rFonts w:hint="eastAsia"/>
          <w:color w:val="auto"/>
          <w:highlight w:val="none"/>
          <w:lang w:eastAsia="zh-CN"/>
        </w:rPr>
        <w:t>（</w:t>
      </w:r>
      <w:r>
        <w:rPr>
          <w:rFonts w:hint="eastAsia"/>
          <w:color w:val="auto"/>
          <w:highlight w:val="none"/>
          <w:lang w:val="en-US" w:eastAsia="zh-CN"/>
        </w:rPr>
        <w:t>2</w:t>
      </w:r>
      <w:r>
        <w:rPr>
          <w:rFonts w:hint="eastAsia"/>
          <w:color w:val="auto"/>
          <w:highlight w:val="none"/>
          <w:lang w:eastAsia="zh-CN"/>
        </w:rPr>
        <w:t>）</w:t>
      </w:r>
      <w:r>
        <w:rPr>
          <w:color w:val="auto"/>
          <w:highlight w:val="none"/>
          <w:lang w:eastAsia="zh-CN"/>
        </w:rPr>
        <w:t>承包人及时将监测结果上报至发包人及监理单位。</w:t>
      </w:r>
    </w:p>
    <w:p>
      <w:pPr>
        <w:bidi w:val="0"/>
        <w:rPr>
          <w:color w:val="auto"/>
          <w:highlight w:val="none"/>
          <w:lang w:eastAsia="zh-CN"/>
        </w:rPr>
      </w:pPr>
      <w:r>
        <w:rPr>
          <w:rFonts w:hint="eastAsia"/>
          <w:color w:val="auto"/>
          <w:highlight w:val="none"/>
          <w:lang w:eastAsia="zh-CN"/>
        </w:rPr>
        <w:t>（</w:t>
      </w:r>
      <w:r>
        <w:rPr>
          <w:rFonts w:hint="eastAsia"/>
          <w:color w:val="auto"/>
          <w:highlight w:val="none"/>
          <w:lang w:val="en-US" w:eastAsia="zh-CN"/>
        </w:rPr>
        <w:t>3</w:t>
      </w:r>
      <w:r>
        <w:rPr>
          <w:rFonts w:hint="eastAsia"/>
          <w:color w:val="auto"/>
          <w:highlight w:val="none"/>
          <w:lang w:eastAsia="zh-CN"/>
        </w:rPr>
        <w:t>）</w:t>
      </w:r>
      <w:r>
        <w:rPr>
          <w:color w:val="auto"/>
          <w:highlight w:val="none"/>
          <w:lang w:eastAsia="zh-CN"/>
        </w:rPr>
        <w:t>承包人收集、编制、汇总监测资料，配合发包人进行水土保持验收及备案等工作。</w:t>
      </w:r>
    </w:p>
    <w:p>
      <w:pPr>
        <w:bidi w:val="0"/>
        <w:rPr>
          <w:color w:val="auto"/>
          <w:highlight w:val="none"/>
          <w:lang w:eastAsia="zh-CN"/>
        </w:rPr>
      </w:pPr>
      <w:r>
        <w:rPr>
          <w:rFonts w:hint="eastAsia"/>
          <w:color w:val="auto"/>
          <w:highlight w:val="none"/>
          <w:lang w:eastAsia="zh-CN"/>
        </w:rPr>
        <w:t>（</w:t>
      </w:r>
      <w:r>
        <w:rPr>
          <w:rFonts w:hint="eastAsia"/>
          <w:color w:val="auto"/>
          <w:highlight w:val="none"/>
          <w:lang w:val="en-US" w:eastAsia="zh-CN"/>
        </w:rPr>
        <w:t>4</w:t>
      </w:r>
      <w:r>
        <w:rPr>
          <w:rFonts w:hint="eastAsia"/>
          <w:color w:val="auto"/>
          <w:highlight w:val="none"/>
          <w:lang w:eastAsia="zh-CN"/>
        </w:rPr>
        <w:t>）</w:t>
      </w:r>
      <w:r>
        <w:rPr>
          <w:color w:val="auto"/>
          <w:highlight w:val="none"/>
          <w:lang w:eastAsia="zh-CN"/>
        </w:rPr>
        <w:t>所产生的费用已在投标总价中综合考虑，不要求发包人增加。</w:t>
      </w:r>
    </w:p>
    <w:p>
      <w:pPr>
        <w:pStyle w:val="4"/>
        <w:bidi w:val="0"/>
        <w:rPr>
          <w:color w:val="auto"/>
          <w:highlight w:val="none"/>
          <w:lang w:eastAsia="zh-CN"/>
        </w:rPr>
      </w:pPr>
      <w:r>
        <w:rPr>
          <w:color w:val="auto"/>
          <w:highlight w:val="none"/>
          <w:lang w:eastAsia="zh-CN"/>
        </w:rPr>
        <w:t>信息化管理及智慧工地建设</w:t>
      </w:r>
      <w:r>
        <w:rPr>
          <w:rFonts w:hint="eastAsia"/>
          <w:color w:val="auto"/>
          <w:highlight w:val="none"/>
          <w:lang w:val="en-US" w:eastAsia="zh-CN"/>
        </w:rPr>
        <w:t>要求</w:t>
      </w:r>
    </w:p>
    <w:p>
      <w:pPr>
        <w:pStyle w:val="5"/>
        <w:bidi w:val="0"/>
        <w:rPr>
          <w:color w:val="auto"/>
          <w:highlight w:val="none"/>
          <w:lang w:eastAsia="zh-CN"/>
        </w:rPr>
      </w:pPr>
      <w:r>
        <w:rPr>
          <w:color w:val="auto"/>
          <w:highlight w:val="none"/>
          <w:lang w:eastAsia="zh-CN"/>
        </w:rPr>
        <w:t>信息系统对接</w:t>
      </w:r>
    </w:p>
    <w:p>
      <w:pPr>
        <w:bidi w:val="0"/>
        <w:rPr>
          <w:color w:val="auto"/>
          <w:highlight w:val="none"/>
          <w:lang w:eastAsia="zh-CN"/>
        </w:rPr>
      </w:pPr>
      <w:r>
        <w:rPr>
          <w:color w:val="auto"/>
          <w:highlight w:val="none"/>
          <w:lang w:eastAsia="zh-CN"/>
        </w:rPr>
        <w:t>承包人自行配置优质的网络硬件、软件环境与</w:t>
      </w:r>
      <w:r>
        <w:rPr>
          <w:rFonts w:hint="eastAsia"/>
          <w:color w:val="auto"/>
          <w:highlight w:val="none"/>
          <w:lang w:val="en-US" w:eastAsia="zh-CN"/>
        </w:rPr>
        <w:t>发包人</w:t>
      </w:r>
      <w:r>
        <w:rPr>
          <w:color w:val="auto"/>
          <w:highlight w:val="none"/>
          <w:lang w:eastAsia="zh-CN"/>
        </w:rPr>
        <w:t>的综合管理平台对接</w:t>
      </w:r>
      <w:r>
        <w:rPr>
          <w:rFonts w:hint="eastAsia"/>
          <w:color w:val="auto"/>
          <w:highlight w:val="none"/>
          <w:lang w:val="en-US" w:eastAsia="zh-CN"/>
        </w:rPr>
        <w:t>并按照发包人要求进行相关数据上传工作</w:t>
      </w:r>
      <w:r>
        <w:rPr>
          <w:color w:val="auto"/>
          <w:highlight w:val="none"/>
          <w:lang w:eastAsia="zh-CN"/>
        </w:rPr>
        <w:t>，配备专业的信息化管理人员，并承担相应费用。</w:t>
      </w:r>
    </w:p>
    <w:p>
      <w:pPr>
        <w:pStyle w:val="5"/>
        <w:bidi w:val="0"/>
        <w:rPr>
          <w:rFonts w:hint="default"/>
          <w:color w:val="auto"/>
          <w:highlight w:val="none"/>
          <w:lang w:val="en-US" w:eastAsia="zh-CN"/>
        </w:rPr>
      </w:pPr>
      <w:r>
        <w:rPr>
          <w:color w:val="auto"/>
          <w:highlight w:val="none"/>
          <w:lang w:eastAsia="zh-CN"/>
        </w:rPr>
        <w:t>智慧工地建设</w:t>
      </w:r>
      <w:r>
        <w:rPr>
          <w:rFonts w:hint="eastAsia"/>
          <w:color w:val="auto"/>
          <w:highlight w:val="none"/>
          <w:lang w:val="en-US" w:eastAsia="zh-CN"/>
        </w:rPr>
        <w:t>要求</w:t>
      </w:r>
    </w:p>
    <w:p>
      <w:pPr>
        <w:bidi w:val="0"/>
        <w:rPr>
          <w:color w:val="auto"/>
          <w:highlight w:val="none"/>
          <w:lang w:eastAsia="zh-CN"/>
        </w:rPr>
      </w:pPr>
      <w:r>
        <w:rPr>
          <w:color w:val="auto"/>
          <w:highlight w:val="none"/>
          <w:lang w:eastAsia="zh-CN"/>
        </w:rPr>
        <w:t>承包人需实现工程建设过程中的智慧工地全过程监控，</w:t>
      </w:r>
      <w:r>
        <w:rPr>
          <w:rFonts w:hint="eastAsia"/>
          <w:color w:val="auto"/>
          <w:highlight w:val="none"/>
          <w:lang w:val="en-US" w:eastAsia="zh-CN"/>
        </w:rPr>
        <w:t>满足《建筑工程智慧工地技术规程DB4401/T 235-2023》的要求</w:t>
      </w:r>
      <w:r>
        <w:rPr>
          <w:color w:val="auto"/>
          <w:highlight w:val="none"/>
          <w:lang w:eastAsia="zh-CN"/>
        </w:rPr>
        <w:t>并</w:t>
      </w:r>
      <w:r>
        <w:rPr>
          <w:rFonts w:hint="eastAsia"/>
          <w:color w:val="auto"/>
          <w:highlight w:val="none"/>
          <w:lang w:val="en-US" w:eastAsia="zh-CN"/>
        </w:rPr>
        <w:t>达到二星级智慧工地评价标准，承包人应投入足够的人员并配备足够的设备与发包人工程项目信息管理系统连接，确保及时准确地按发包人要求进行信息沟通及管理。</w:t>
      </w:r>
      <w:r>
        <w:rPr>
          <w:color w:val="auto"/>
          <w:highlight w:val="none"/>
          <w:lang w:eastAsia="zh-CN"/>
        </w:rPr>
        <w:t>包括不限于：安全监控（塔吊升降机监控、吊钩可视化监控、无人值守深基坑监测、 高支模监测、脚手架管理、临边防护预警、烟感消防预警等）、质量监控（实测实量、 混凝土生产信息、关键质量检测报告等）、文明施工（视频监控、扬尘噪声、车辆管理、实名制管理、智能水电管理、安全帽 AI 抓拍、联动喷淋等）等数据。</w:t>
      </w:r>
    </w:p>
    <w:p>
      <w:pPr>
        <w:pStyle w:val="4"/>
        <w:bidi w:val="0"/>
        <w:rPr>
          <w:rFonts w:hint="default"/>
          <w:color w:val="auto"/>
          <w:highlight w:val="none"/>
          <w:lang w:val="en-US" w:eastAsia="zh-CN"/>
        </w:rPr>
      </w:pPr>
      <w:r>
        <w:rPr>
          <w:rFonts w:hint="eastAsia"/>
          <w:color w:val="auto"/>
          <w:highlight w:val="none"/>
          <w:lang w:val="en-US" w:eastAsia="zh-CN"/>
        </w:rPr>
        <w:t>总承包人履约要求</w:t>
      </w:r>
    </w:p>
    <w:p>
      <w:pPr>
        <w:keepNext w:val="0"/>
        <w:keepLines w:val="0"/>
        <w:widowControl w:val="0"/>
        <w:suppressLineNumbers w:val="0"/>
        <w:snapToGrid w:val="0"/>
        <w:spacing w:before="0" w:beforeAutospacing="0" w:after="0" w:afterAutospacing="0" w:line="264" w:lineRule="auto"/>
        <w:ind w:left="0" w:right="0" w:firstLine="480" w:firstLineChars="200"/>
        <w:jc w:val="both"/>
        <w:rPr>
          <w:color w:val="auto"/>
          <w:highlight w:val="none"/>
        </w:rPr>
      </w:pPr>
      <w:r>
        <w:rPr>
          <w:rFonts w:hint="eastAsia"/>
          <w:color w:val="auto"/>
          <w:highlight w:val="none"/>
          <w:lang w:val="en-US" w:eastAsia="zh-CN"/>
        </w:rPr>
        <w:t>总承包人在施工过程中拒</w:t>
      </w:r>
      <w:r>
        <w:rPr>
          <w:rFonts w:hint="eastAsia"/>
          <w:color w:val="auto"/>
          <w:highlight w:val="none"/>
          <w:lang w:eastAsia="zh-CN"/>
        </w:rPr>
        <w:t>不履行</w:t>
      </w:r>
      <w:r>
        <w:rPr>
          <w:rFonts w:hint="eastAsia"/>
          <w:color w:val="auto"/>
          <w:highlight w:val="none"/>
          <w:lang w:val="en-US" w:eastAsia="zh-CN"/>
        </w:rPr>
        <w:t>本</w:t>
      </w:r>
      <w:r>
        <w:rPr>
          <w:rFonts w:hint="eastAsia"/>
          <w:color w:val="auto"/>
          <w:highlight w:val="none"/>
          <w:lang w:eastAsia="zh-CN"/>
        </w:rPr>
        <w:t>合同</w:t>
      </w:r>
      <w:r>
        <w:rPr>
          <w:rFonts w:hint="eastAsia"/>
          <w:color w:val="auto"/>
          <w:highlight w:val="none"/>
          <w:lang w:val="en-US" w:eastAsia="zh-CN"/>
        </w:rPr>
        <w:t>要求内容或者</w:t>
      </w:r>
      <w:r>
        <w:rPr>
          <w:rFonts w:hint="eastAsia"/>
          <w:color w:val="auto"/>
          <w:highlight w:val="none"/>
          <w:lang w:eastAsia="zh-CN"/>
        </w:rPr>
        <w:t>履行</w:t>
      </w:r>
      <w:r>
        <w:rPr>
          <w:rFonts w:hint="eastAsia"/>
          <w:color w:val="auto"/>
          <w:highlight w:val="none"/>
          <w:lang w:val="en-US" w:eastAsia="zh-CN"/>
        </w:rPr>
        <w:t>标准</w:t>
      </w:r>
      <w:r>
        <w:rPr>
          <w:rFonts w:hint="eastAsia"/>
          <w:color w:val="auto"/>
          <w:highlight w:val="none"/>
          <w:lang w:eastAsia="zh-CN"/>
        </w:rPr>
        <w:t>不符合</w:t>
      </w:r>
      <w:r>
        <w:rPr>
          <w:rFonts w:hint="eastAsia"/>
          <w:color w:val="auto"/>
          <w:highlight w:val="none"/>
          <w:lang w:val="en-US" w:eastAsia="zh-CN"/>
        </w:rPr>
        <w:t>要求</w:t>
      </w:r>
      <w:r>
        <w:rPr>
          <w:rFonts w:hint="eastAsia"/>
          <w:color w:val="auto"/>
          <w:highlight w:val="none"/>
          <w:lang w:eastAsia="zh-CN"/>
        </w:rPr>
        <w:t>的，</w:t>
      </w:r>
      <w:r>
        <w:rPr>
          <w:rFonts w:hint="eastAsia"/>
          <w:color w:val="auto"/>
          <w:highlight w:val="none"/>
          <w:lang w:val="en-US" w:eastAsia="zh-CN"/>
        </w:rPr>
        <w:t>发包人有权</w:t>
      </w:r>
      <w:r>
        <w:rPr>
          <w:rFonts w:hint="eastAsia"/>
          <w:color w:val="auto"/>
          <w:highlight w:val="none"/>
          <w:lang w:eastAsia="zh-CN"/>
        </w:rPr>
        <w:t>委托第三方单位替代履行，</w:t>
      </w:r>
      <w:r>
        <w:rPr>
          <w:rFonts w:hint="eastAsia"/>
          <w:color w:val="auto"/>
          <w:highlight w:val="none"/>
          <w:lang w:val="en-US" w:eastAsia="zh-CN"/>
        </w:rPr>
        <w:t>所造成的</w:t>
      </w:r>
      <w:r>
        <w:rPr>
          <w:rFonts w:hint="eastAsia" w:ascii="宋体" w:hAnsi="宋体" w:eastAsia="宋体" w:cs="宋体"/>
          <w:snapToGrid/>
          <w:color w:val="auto"/>
          <w:kern w:val="2"/>
          <w:sz w:val="24"/>
          <w:szCs w:val="24"/>
          <w:highlight w:val="none"/>
          <w:lang w:val="en-US" w:eastAsia="zh-CN" w:bidi="ar"/>
        </w:rPr>
        <w:t>费用按</w:t>
      </w:r>
      <w:r>
        <w:rPr>
          <w:rFonts w:hint="eastAsia" w:cs="宋体"/>
          <w:snapToGrid/>
          <w:color w:val="auto"/>
          <w:kern w:val="2"/>
          <w:sz w:val="24"/>
          <w:szCs w:val="24"/>
          <w:highlight w:val="none"/>
          <w:lang w:val="en-US" w:eastAsia="zh-CN" w:bidi="ar"/>
        </w:rPr>
        <w:t>第三方单位</w:t>
      </w:r>
      <w:r>
        <w:rPr>
          <w:rFonts w:hint="eastAsia" w:ascii="宋体" w:hAnsi="宋体" w:eastAsia="宋体" w:cs="宋体"/>
          <w:snapToGrid/>
          <w:color w:val="auto"/>
          <w:kern w:val="2"/>
          <w:sz w:val="24"/>
          <w:szCs w:val="24"/>
          <w:highlight w:val="none"/>
          <w:lang w:val="en-US" w:eastAsia="zh-CN" w:bidi="ar"/>
        </w:rPr>
        <w:t>实际发生费用</w:t>
      </w:r>
      <w:r>
        <w:rPr>
          <w:rFonts w:hint="eastAsia" w:cs="Times New Roman"/>
          <w:snapToGrid/>
          <w:color w:val="auto"/>
          <w:kern w:val="2"/>
          <w:sz w:val="24"/>
          <w:szCs w:val="24"/>
          <w:highlight w:val="none"/>
          <w:lang w:val="en-US" w:eastAsia="zh-CN" w:bidi="ar"/>
        </w:rPr>
        <w:t>与承包人合同费用之间的高值</w:t>
      </w:r>
      <w:r>
        <w:rPr>
          <w:rFonts w:hint="eastAsia" w:ascii="宋体" w:hAnsi="宋体" w:eastAsia="宋体" w:cs="Times New Roman"/>
          <w:snapToGrid/>
          <w:color w:val="auto"/>
          <w:kern w:val="2"/>
          <w:sz w:val="24"/>
          <w:szCs w:val="24"/>
          <w:highlight w:val="none"/>
          <w:lang w:val="en-US" w:eastAsia="zh-CN" w:bidi="ar"/>
        </w:rPr>
        <w:t>扣除，并赔偿由此引起的所有损失。</w:t>
      </w:r>
    </w:p>
    <w:p>
      <w:pPr>
        <w:bidi w:val="0"/>
        <w:rPr>
          <w:color w:val="auto"/>
          <w:highlight w:val="none"/>
        </w:rPr>
      </w:pPr>
      <w:bookmarkStart w:id="572" w:name="_Toc10269"/>
      <w:bookmarkStart w:id="573" w:name="_Toc169722229"/>
      <w:bookmarkStart w:id="574" w:name="_Toc32168"/>
      <w:bookmarkStart w:id="575" w:name="_Toc26687"/>
      <w:bookmarkStart w:id="576" w:name="_Toc2881"/>
      <w:bookmarkStart w:id="577" w:name="_Toc18333"/>
      <w:bookmarkStart w:id="578" w:name="_Toc27700"/>
      <w:r>
        <w:rPr>
          <w:rFonts w:hint="eastAsia"/>
          <w:color w:val="auto"/>
          <w:highlight w:val="none"/>
        </w:rPr>
        <w:br w:type="page"/>
      </w:r>
    </w:p>
    <w:p>
      <w:pPr>
        <w:pStyle w:val="2"/>
        <w:bidi w:val="0"/>
        <w:rPr>
          <w:color w:val="auto"/>
          <w:highlight w:val="none"/>
        </w:rPr>
      </w:pPr>
      <w:bookmarkStart w:id="579" w:name="_Toc15469"/>
      <w:bookmarkStart w:id="580" w:name="_Toc14261"/>
      <w:bookmarkStart w:id="581" w:name="_Toc19727"/>
      <w:bookmarkStart w:id="582" w:name="_Toc14726"/>
      <w:bookmarkStart w:id="583" w:name="_Toc4704"/>
      <w:r>
        <w:rPr>
          <w:rFonts w:hint="eastAsia"/>
          <w:color w:val="auto"/>
          <w:highlight w:val="none"/>
        </w:rPr>
        <w:t>技术要求</w:t>
      </w:r>
      <w:bookmarkEnd w:id="572"/>
      <w:bookmarkEnd w:id="573"/>
      <w:bookmarkEnd w:id="574"/>
      <w:bookmarkEnd w:id="575"/>
      <w:bookmarkEnd w:id="576"/>
      <w:bookmarkEnd w:id="577"/>
      <w:bookmarkEnd w:id="578"/>
      <w:bookmarkEnd w:id="579"/>
      <w:bookmarkEnd w:id="580"/>
      <w:bookmarkEnd w:id="581"/>
      <w:bookmarkEnd w:id="582"/>
      <w:bookmarkEnd w:id="583"/>
    </w:p>
    <w:p>
      <w:pPr>
        <w:pStyle w:val="3"/>
        <w:bidi w:val="0"/>
        <w:rPr>
          <w:color w:val="auto"/>
          <w:highlight w:val="none"/>
        </w:rPr>
      </w:pPr>
      <w:bookmarkStart w:id="584" w:name="_Toc32693"/>
      <w:bookmarkStart w:id="585" w:name="_Toc14586"/>
      <w:bookmarkStart w:id="586" w:name="_Toc25992"/>
      <w:bookmarkStart w:id="587" w:name="_Toc18583"/>
      <w:bookmarkStart w:id="588" w:name="_Toc8345"/>
      <w:bookmarkStart w:id="589" w:name="_Toc29940"/>
      <w:bookmarkStart w:id="590" w:name="_Toc17160"/>
      <w:bookmarkStart w:id="591" w:name="_Toc4172"/>
      <w:bookmarkStart w:id="592" w:name="_Toc4683"/>
      <w:bookmarkStart w:id="593" w:name="_Toc30936"/>
      <w:bookmarkStart w:id="594" w:name="_Toc24527"/>
      <w:bookmarkStart w:id="595" w:name="_Toc169722230"/>
      <w:r>
        <w:rPr>
          <w:color w:val="auto"/>
          <w:highlight w:val="none"/>
        </w:rPr>
        <w:t>技术规范和标准</w:t>
      </w:r>
      <w:bookmarkEnd w:id="584"/>
      <w:bookmarkEnd w:id="585"/>
      <w:bookmarkEnd w:id="586"/>
      <w:bookmarkEnd w:id="587"/>
      <w:bookmarkEnd w:id="588"/>
      <w:bookmarkEnd w:id="589"/>
      <w:bookmarkEnd w:id="590"/>
      <w:bookmarkEnd w:id="591"/>
      <w:bookmarkEnd w:id="592"/>
      <w:bookmarkEnd w:id="593"/>
      <w:bookmarkEnd w:id="594"/>
      <w:bookmarkEnd w:id="595"/>
      <w:bookmarkStart w:id="596" w:name="_Toc490643538"/>
      <w:bookmarkStart w:id="597" w:name="_Toc489516866"/>
      <w:bookmarkStart w:id="598" w:name="_Toc489520047"/>
      <w:bookmarkStart w:id="599" w:name="_Toc422854852"/>
    </w:p>
    <w:p>
      <w:pPr>
        <w:bidi w:val="0"/>
        <w:rPr>
          <w:color w:val="auto"/>
          <w:highlight w:val="none"/>
        </w:rPr>
      </w:pPr>
      <w:r>
        <w:rPr>
          <w:rFonts w:hint="eastAsia"/>
          <w:color w:val="auto"/>
          <w:highlight w:val="none"/>
        </w:rPr>
        <w:t>总承包人应严格执行最新的现行国家、行业和地方相关技术</w:t>
      </w:r>
      <w:r>
        <w:rPr>
          <w:color w:val="auto"/>
          <w:highlight w:val="none"/>
        </w:rPr>
        <w:t>规范</w:t>
      </w:r>
      <w:r>
        <w:rPr>
          <w:rFonts w:hint="eastAsia"/>
          <w:color w:val="auto"/>
          <w:highlight w:val="none"/>
        </w:rPr>
        <w:t>和</w:t>
      </w:r>
      <w:r>
        <w:rPr>
          <w:color w:val="auto"/>
          <w:highlight w:val="none"/>
        </w:rPr>
        <w:t>标准</w:t>
      </w:r>
      <w:r>
        <w:rPr>
          <w:rFonts w:hint="eastAsia"/>
          <w:color w:val="auto"/>
          <w:highlight w:val="none"/>
        </w:rPr>
        <w:t>。</w:t>
      </w:r>
      <w:r>
        <w:rPr>
          <w:color w:val="auto"/>
          <w:highlight w:val="none"/>
        </w:rPr>
        <w:t>若</w:t>
      </w:r>
      <w:r>
        <w:rPr>
          <w:rFonts w:hint="eastAsia"/>
          <w:color w:val="auto"/>
          <w:highlight w:val="none"/>
        </w:rPr>
        <w:t>上</w:t>
      </w:r>
      <w:r>
        <w:rPr>
          <w:color w:val="auto"/>
          <w:highlight w:val="none"/>
        </w:rPr>
        <w:t>述规范和标准内容有互相抵触时，应按较严格的条款执行</w:t>
      </w:r>
      <w:r>
        <w:rPr>
          <w:rFonts w:hint="eastAsia"/>
          <w:color w:val="auto"/>
          <w:highlight w:val="none"/>
        </w:rPr>
        <w:t>。</w:t>
      </w:r>
      <w:bookmarkEnd w:id="596"/>
      <w:bookmarkEnd w:id="597"/>
      <w:bookmarkEnd w:id="598"/>
    </w:p>
    <w:p>
      <w:pPr>
        <w:pStyle w:val="3"/>
        <w:bidi w:val="0"/>
        <w:rPr>
          <w:color w:val="auto"/>
          <w:highlight w:val="none"/>
        </w:rPr>
      </w:pPr>
      <w:bookmarkStart w:id="600" w:name="_Toc31279"/>
      <w:bookmarkStart w:id="601" w:name="_Toc7467"/>
      <w:bookmarkStart w:id="602" w:name="_Toc15076"/>
      <w:bookmarkStart w:id="603" w:name="_Toc14325"/>
      <w:bookmarkStart w:id="604" w:name="_Toc9540"/>
      <w:bookmarkStart w:id="605" w:name="_Toc2078"/>
      <w:bookmarkStart w:id="606" w:name="_Toc32675"/>
      <w:bookmarkStart w:id="607" w:name="_Toc1463"/>
      <w:bookmarkStart w:id="608" w:name="_Toc10959"/>
      <w:bookmarkStart w:id="609" w:name="_Toc169722231"/>
      <w:bookmarkStart w:id="610" w:name="_Toc16158"/>
      <w:bookmarkStart w:id="611" w:name="_Toc12036"/>
      <w:r>
        <w:rPr>
          <w:rFonts w:hint="eastAsia"/>
          <w:color w:val="auto"/>
          <w:highlight w:val="none"/>
        </w:rPr>
        <w:t>一般施工技术要求</w:t>
      </w:r>
      <w:bookmarkEnd w:id="599"/>
      <w:bookmarkEnd w:id="600"/>
      <w:bookmarkEnd w:id="601"/>
      <w:bookmarkEnd w:id="602"/>
      <w:bookmarkEnd w:id="603"/>
      <w:bookmarkEnd w:id="604"/>
      <w:bookmarkEnd w:id="605"/>
      <w:bookmarkEnd w:id="606"/>
      <w:bookmarkEnd w:id="607"/>
      <w:bookmarkEnd w:id="608"/>
      <w:bookmarkEnd w:id="609"/>
      <w:bookmarkEnd w:id="610"/>
      <w:bookmarkEnd w:id="611"/>
      <w:bookmarkStart w:id="612" w:name="_Toc246820711"/>
    </w:p>
    <w:bookmarkEnd w:id="612"/>
    <w:p>
      <w:pPr>
        <w:pStyle w:val="4"/>
        <w:bidi w:val="0"/>
        <w:rPr>
          <w:color w:val="auto"/>
          <w:highlight w:val="none"/>
        </w:rPr>
      </w:pPr>
      <w:bookmarkStart w:id="613" w:name="_Toc308696229"/>
      <w:bookmarkStart w:id="614" w:name="_Toc246820716"/>
      <w:bookmarkStart w:id="615" w:name="_Toc308643217"/>
      <w:r>
        <w:rPr>
          <w:color w:val="auto"/>
          <w:highlight w:val="none"/>
        </w:rPr>
        <w:t>测量</w:t>
      </w:r>
      <w:bookmarkEnd w:id="613"/>
      <w:bookmarkEnd w:id="614"/>
      <w:bookmarkEnd w:id="615"/>
      <w:bookmarkStart w:id="616" w:name="_Toc246820717"/>
    </w:p>
    <w:p>
      <w:pPr>
        <w:bidi w:val="0"/>
        <w:rPr>
          <w:color w:val="auto"/>
          <w:highlight w:val="none"/>
        </w:rPr>
      </w:pPr>
      <w:r>
        <w:rPr>
          <w:rFonts w:hint="eastAsia"/>
          <w:color w:val="auto"/>
          <w:highlight w:val="none"/>
        </w:rPr>
        <w:t>总承包人应该为所有的</w:t>
      </w:r>
      <w:r>
        <w:rPr>
          <w:rFonts w:hint="eastAsia"/>
          <w:color w:val="auto"/>
          <w:highlight w:val="none"/>
          <w:lang w:eastAsia="zh-CN"/>
        </w:rPr>
        <w:t>专业承包</w:t>
      </w:r>
      <w:r>
        <w:rPr>
          <w:rFonts w:hint="eastAsia"/>
          <w:color w:val="auto"/>
          <w:highlight w:val="none"/>
        </w:rPr>
        <w:t>人，包括但不限于门窗、机电、保温、精装修等，提供准确、齐备、统一的坐标线和标高线。如坐标线或标高线因后续施工被隐蔽，总承包人应重新提供，并保证前后完全一致。</w:t>
      </w:r>
    </w:p>
    <w:p>
      <w:pPr>
        <w:pStyle w:val="5"/>
        <w:bidi w:val="0"/>
        <w:ind w:left="253"/>
        <w:rPr>
          <w:color w:val="auto"/>
          <w:highlight w:val="none"/>
        </w:rPr>
      </w:pPr>
      <w:r>
        <w:rPr>
          <w:color w:val="auto"/>
          <w:highlight w:val="none"/>
        </w:rPr>
        <w:t>场地测量基准点移交</w:t>
      </w:r>
    </w:p>
    <w:p>
      <w:pPr>
        <w:bidi w:val="0"/>
        <w:rPr>
          <w:color w:val="auto"/>
          <w:highlight w:val="none"/>
        </w:rPr>
      </w:pPr>
      <w:r>
        <w:rPr>
          <w:rFonts w:hint="eastAsia"/>
          <w:color w:val="auto"/>
          <w:highlight w:val="none"/>
        </w:rPr>
        <w:t>总承包人</w:t>
      </w:r>
      <w:r>
        <w:rPr>
          <w:color w:val="auto"/>
          <w:highlight w:val="none"/>
        </w:rPr>
        <w:t>进场施工前，由</w:t>
      </w:r>
      <w:r>
        <w:rPr>
          <w:rFonts w:hint="eastAsia"/>
          <w:color w:val="auto"/>
          <w:highlight w:val="none"/>
        </w:rPr>
        <w:t>发包人</w:t>
      </w:r>
      <w:r>
        <w:rPr>
          <w:color w:val="auto"/>
          <w:highlight w:val="none"/>
        </w:rPr>
        <w:t>进行基准点的书面移交，</w:t>
      </w:r>
      <w:r>
        <w:rPr>
          <w:rFonts w:hint="eastAsia"/>
          <w:color w:val="auto"/>
          <w:highlight w:val="none"/>
        </w:rPr>
        <w:t>总承包人</w:t>
      </w:r>
      <w:r>
        <w:rPr>
          <w:color w:val="auto"/>
          <w:highlight w:val="none"/>
        </w:rPr>
        <w:t>应安排测量人员对测量基准点进行复测。工程的测量基准点由</w:t>
      </w:r>
      <w:r>
        <w:rPr>
          <w:rFonts w:hint="eastAsia"/>
          <w:color w:val="auto"/>
          <w:highlight w:val="none"/>
        </w:rPr>
        <w:t>总承包人负责</w:t>
      </w:r>
      <w:r>
        <w:rPr>
          <w:color w:val="auto"/>
          <w:highlight w:val="none"/>
        </w:rPr>
        <w:t>管理及保护，并负责损坏后的</w:t>
      </w:r>
      <w:r>
        <w:rPr>
          <w:rFonts w:hint="eastAsia"/>
          <w:color w:val="auto"/>
          <w:highlight w:val="none"/>
        </w:rPr>
        <w:t>修补</w:t>
      </w:r>
      <w:r>
        <w:rPr>
          <w:color w:val="auto"/>
          <w:highlight w:val="none"/>
        </w:rPr>
        <w:t>工作</w:t>
      </w:r>
      <w:r>
        <w:rPr>
          <w:rFonts w:hint="eastAsia"/>
          <w:color w:val="auto"/>
          <w:highlight w:val="none"/>
        </w:rPr>
        <w:t>。</w:t>
      </w:r>
    </w:p>
    <w:p>
      <w:pPr>
        <w:pStyle w:val="5"/>
        <w:bidi w:val="0"/>
        <w:ind w:left="253"/>
        <w:rPr>
          <w:color w:val="auto"/>
          <w:highlight w:val="none"/>
        </w:rPr>
      </w:pPr>
      <w:r>
        <w:rPr>
          <w:color w:val="auto"/>
          <w:highlight w:val="none"/>
        </w:rPr>
        <w:t>测量组织管理</w:t>
      </w:r>
      <w:bookmarkEnd w:id="616"/>
    </w:p>
    <w:p>
      <w:pPr>
        <w:bidi w:val="0"/>
        <w:rPr>
          <w:color w:val="auto"/>
          <w:highlight w:val="none"/>
        </w:rPr>
      </w:pPr>
      <w:r>
        <w:rPr>
          <w:rFonts w:hint="eastAsia"/>
          <w:color w:val="auto"/>
          <w:highlight w:val="none"/>
        </w:rPr>
        <w:t>总承包人</w:t>
      </w:r>
      <w:r>
        <w:rPr>
          <w:color w:val="auto"/>
          <w:highlight w:val="none"/>
        </w:rPr>
        <w:t>应安排专业的测量人员持证上岗，设立专门的测量组负责管理。</w:t>
      </w:r>
    </w:p>
    <w:p>
      <w:pPr>
        <w:numPr>
          <w:ilvl w:val="0"/>
          <w:numId w:val="21"/>
        </w:numPr>
        <w:bidi w:val="0"/>
        <w:ind w:left="0" w:leftChars="0"/>
        <w:rPr>
          <w:rFonts w:hint="eastAsia" w:ascii="宋体" w:hAnsi="宋体" w:eastAsia="宋体"/>
          <w:color w:val="auto"/>
          <w:highlight w:val="none"/>
        </w:rPr>
      </w:pPr>
      <w:r>
        <w:rPr>
          <w:rFonts w:hint="eastAsia" w:ascii="宋体" w:hAnsi="宋体" w:eastAsia="宋体"/>
          <w:color w:val="auto"/>
          <w:highlight w:val="none"/>
        </w:rPr>
        <w:t>总承包人应配备满足本工程需要的测量放线人员，人员应有测量资质和三年以上同类住宅项目测量经验。</w:t>
      </w:r>
    </w:p>
    <w:p>
      <w:pPr>
        <w:numPr>
          <w:ilvl w:val="0"/>
          <w:numId w:val="21"/>
        </w:numPr>
        <w:bidi w:val="0"/>
        <w:ind w:left="0" w:leftChars="0"/>
        <w:rPr>
          <w:rFonts w:hint="eastAsia" w:ascii="宋体" w:hAnsi="宋体" w:eastAsia="宋体"/>
          <w:color w:val="auto"/>
          <w:highlight w:val="none"/>
        </w:rPr>
      </w:pPr>
      <w:r>
        <w:rPr>
          <w:rFonts w:hint="eastAsia" w:ascii="宋体" w:hAnsi="宋体" w:eastAsia="宋体"/>
          <w:color w:val="auto"/>
          <w:highlight w:val="none"/>
        </w:rPr>
        <w:t>总承包人应配备满足本工程需要的测量设备，测量设备应按规定进行年检，并保证工程测量精度。</w:t>
      </w:r>
    </w:p>
    <w:p>
      <w:pPr>
        <w:numPr>
          <w:ilvl w:val="0"/>
          <w:numId w:val="21"/>
        </w:numPr>
        <w:bidi w:val="0"/>
        <w:ind w:left="0" w:leftChars="0"/>
        <w:rPr>
          <w:rFonts w:hint="eastAsia" w:ascii="宋体" w:hAnsi="宋体" w:eastAsia="宋体"/>
          <w:color w:val="auto"/>
          <w:highlight w:val="none"/>
        </w:rPr>
      </w:pPr>
      <w:r>
        <w:rPr>
          <w:rFonts w:hint="eastAsia" w:ascii="宋体" w:hAnsi="宋体" w:eastAsia="宋体"/>
          <w:color w:val="auto"/>
          <w:highlight w:val="none"/>
        </w:rPr>
        <w:t>总承包人应编制专项测量方案，并对实体工程平整度、垂直度、净高等指标制定相关的控制保证措施，在工程实施过程中切实执行。</w:t>
      </w:r>
    </w:p>
    <w:p>
      <w:pPr>
        <w:pStyle w:val="5"/>
        <w:bidi w:val="0"/>
        <w:ind w:left="253"/>
        <w:rPr>
          <w:color w:val="auto"/>
          <w:highlight w:val="none"/>
        </w:rPr>
      </w:pPr>
      <w:bookmarkStart w:id="617" w:name="_Toc246820718"/>
      <w:r>
        <w:rPr>
          <w:rFonts w:hint="eastAsia"/>
          <w:color w:val="auto"/>
          <w:highlight w:val="none"/>
        </w:rPr>
        <w:t>总承包人</w:t>
      </w:r>
      <w:r>
        <w:rPr>
          <w:color w:val="auto"/>
          <w:highlight w:val="none"/>
        </w:rPr>
        <w:t>负责测量工作内容</w:t>
      </w:r>
      <w:bookmarkEnd w:id="617"/>
    </w:p>
    <w:p>
      <w:pPr>
        <w:numPr>
          <w:ilvl w:val="0"/>
          <w:numId w:val="22"/>
        </w:numPr>
        <w:bidi w:val="0"/>
        <w:ind w:left="0" w:leftChars="0"/>
        <w:rPr>
          <w:rFonts w:hint="eastAsia" w:ascii="宋体" w:hAnsi="宋体" w:eastAsia="宋体"/>
          <w:color w:val="auto"/>
          <w:highlight w:val="none"/>
        </w:rPr>
      </w:pPr>
      <w:r>
        <w:rPr>
          <w:rFonts w:hint="eastAsia" w:ascii="宋体" w:hAnsi="宋体" w:eastAsia="宋体"/>
          <w:color w:val="auto"/>
          <w:highlight w:val="none"/>
        </w:rPr>
        <w:t>维护发包人提供的首级控制网。</w:t>
      </w:r>
    </w:p>
    <w:p>
      <w:pPr>
        <w:numPr>
          <w:ilvl w:val="0"/>
          <w:numId w:val="22"/>
        </w:numPr>
        <w:bidi w:val="0"/>
        <w:ind w:left="0" w:leftChars="0"/>
        <w:rPr>
          <w:rFonts w:hint="eastAsia" w:ascii="宋体" w:hAnsi="宋体" w:eastAsia="宋体"/>
          <w:color w:val="auto"/>
          <w:highlight w:val="none"/>
        </w:rPr>
      </w:pPr>
      <w:r>
        <w:rPr>
          <w:rFonts w:hint="eastAsia" w:ascii="宋体" w:hAnsi="宋体" w:eastAsia="宋体"/>
          <w:color w:val="auto"/>
          <w:highlight w:val="none"/>
        </w:rPr>
        <w:t>测设场地内的次级控制网。</w:t>
      </w:r>
    </w:p>
    <w:p>
      <w:pPr>
        <w:numPr>
          <w:ilvl w:val="0"/>
          <w:numId w:val="22"/>
        </w:numPr>
        <w:bidi w:val="0"/>
        <w:ind w:left="0" w:leftChars="0"/>
        <w:rPr>
          <w:rFonts w:hint="eastAsia" w:ascii="宋体" w:hAnsi="宋体" w:eastAsia="宋体"/>
          <w:color w:val="auto"/>
          <w:highlight w:val="none"/>
        </w:rPr>
      </w:pPr>
      <w:r>
        <w:rPr>
          <w:rFonts w:hint="eastAsia" w:ascii="宋体" w:hAnsi="宋体" w:eastAsia="宋体"/>
          <w:color w:val="auto"/>
          <w:highlight w:val="none"/>
        </w:rPr>
        <w:t>负责建筑物内三级控制网主轴线的测设工作。</w:t>
      </w:r>
    </w:p>
    <w:p>
      <w:pPr>
        <w:numPr>
          <w:ilvl w:val="0"/>
          <w:numId w:val="22"/>
        </w:numPr>
        <w:bidi w:val="0"/>
        <w:ind w:left="0" w:leftChars="0"/>
        <w:rPr>
          <w:rFonts w:hint="eastAsia" w:ascii="宋体" w:hAnsi="宋体" w:eastAsia="宋体"/>
          <w:color w:val="auto"/>
          <w:highlight w:val="none"/>
        </w:rPr>
      </w:pPr>
      <w:r>
        <w:rPr>
          <w:rFonts w:hint="eastAsia" w:ascii="宋体" w:hAnsi="宋体" w:eastAsia="宋体"/>
          <w:color w:val="auto"/>
          <w:highlight w:val="none"/>
        </w:rPr>
        <w:t>负责场地内基准标高的测设工作。</w:t>
      </w:r>
    </w:p>
    <w:p>
      <w:pPr>
        <w:numPr>
          <w:ilvl w:val="0"/>
          <w:numId w:val="22"/>
        </w:numPr>
        <w:bidi w:val="0"/>
        <w:ind w:left="0" w:leftChars="0"/>
        <w:rPr>
          <w:rFonts w:hint="eastAsia" w:ascii="宋体" w:hAnsi="宋体" w:eastAsia="宋体"/>
          <w:color w:val="auto"/>
          <w:highlight w:val="none"/>
        </w:rPr>
      </w:pPr>
      <w:r>
        <w:rPr>
          <w:rFonts w:hint="eastAsia" w:ascii="宋体" w:hAnsi="宋体" w:eastAsia="宋体"/>
          <w:color w:val="auto"/>
          <w:highlight w:val="none"/>
        </w:rPr>
        <w:t>负责同一分期内不同标段间的测量复核工作。</w:t>
      </w:r>
    </w:p>
    <w:p>
      <w:pPr>
        <w:numPr>
          <w:ilvl w:val="0"/>
          <w:numId w:val="22"/>
        </w:numPr>
        <w:bidi w:val="0"/>
        <w:ind w:left="0" w:leftChars="0"/>
        <w:rPr>
          <w:rFonts w:hint="eastAsia" w:ascii="宋体" w:hAnsi="宋体" w:eastAsia="宋体"/>
          <w:color w:val="auto"/>
          <w:highlight w:val="none"/>
        </w:rPr>
      </w:pPr>
      <w:r>
        <w:rPr>
          <w:rFonts w:hint="eastAsia" w:ascii="宋体" w:hAnsi="宋体" w:eastAsia="宋体"/>
          <w:color w:val="auto"/>
          <w:highlight w:val="none"/>
        </w:rPr>
        <w:t>向</w:t>
      </w:r>
      <w:r>
        <w:rPr>
          <w:rFonts w:hint="eastAsia"/>
          <w:color w:val="auto"/>
          <w:highlight w:val="none"/>
          <w:lang w:eastAsia="zh-CN"/>
        </w:rPr>
        <w:t>专业承包</w:t>
      </w:r>
      <w:r>
        <w:rPr>
          <w:rFonts w:hint="eastAsia" w:ascii="宋体" w:hAnsi="宋体" w:eastAsia="宋体"/>
          <w:color w:val="auto"/>
          <w:highlight w:val="none"/>
        </w:rPr>
        <w:t>人进行主轴线及基准标高的移交工作。</w:t>
      </w:r>
    </w:p>
    <w:p>
      <w:pPr>
        <w:numPr>
          <w:ilvl w:val="0"/>
          <w:numId w:val="22"/>
        </w:numPr>
        <w:bidi w:val="0"/>
        <w:ind w:left="0" w:leftChars="0"/>
        <w:rPr>
          <w:rFonts w:hint="eastAsia" w:ascii="宋体" w:hAnsi="宋体" w:eastAsia="宋体"/>
          <w:color w:val="auto"/>
          <w:highlight w:val="none"/>
        </w:rPr>
      </w:pPr>
      <w:r>
        <w:rPr>
          <w:rFonts w:hint="eastAsia" w:ascii="宋体" w:hAnsi="宋体" w:eastAsia="宋体"/>
          <w:color w:val="auto"/>
          <w:highlight w:val="none"/>
        </w:rPr>
        <w:t>对</w:t>
      </w:r>
      <w:r>
        <w:rPr>
          <w:rFonts w:hint="eastAsia"/>
          <w:color w:val="auto"/>
          <w:highlight w:val="none"/>
          <w:lang w:eastAsia="zh-CN"/>
        </w:rPr>
        <w:t>专业承包</w:t>
      </w:r>
      <w:r>
        <w:rPr>
          <w:rFonts w:hint="eastAsia" w:ascii="宋体" w:hAnsi="宋体" w:eastAsia="宋体"/>
          <w:color w:val="auto"/>
          <w:highlight w:val="none"/>
        </w:rPr>
        <w:t>人的测量工作进行管理及检查复核。</w:t>
      </w:r>
    </w:p>
    <w:p>
      <w:pPr>
        <w:numPr>
          <w:ilvl w:val="0"/>
          <w:numId w:val="22"/>
        </w:numPr>
        <w:bidi w:val="0"/>
        <w:ind w:left="0" w:leftChars="0"/>
        <w:rPr>
          <w:rFonts w:hint="eastAsia" w:ascii="宋体" w:hAnsi="宋体" w:eastAsia="宋体"/>
          <w:color w:val="auto"/>
          <w:highlight w:val="none"/>
        </w:rPr>
      </w:pPr>
      <w:r>
        <w:rPr>
          <w:rFonts w:hint="eastAsia" w:ascii="宋体" w:hAnsi="宋体" w:eastAsia="宋体"/>
          <w:color w:val="auto"/>
          <w:highlight w:val="none"/>
        </w:rPr>
        <w:t>负责测量资料的整理归档工作。</w:t>
      </w:r>
    </w:p>
    <w:p>
      <w:pPr>
        <w:numPr>
          <w:ilvl w:val="0"/>
          <w:numId w:val="22"/>
        </w:numPr>
        <w:bidi w:val="0"/>
        <w:ind w:left="0" w:leftChars="0"/>
        <w:rPr>
          <w:rFonts w:hint="eastAsia" w:ascii="宋体" w:hAnsi="宋体" w:eastAsia="宋体"/>
          <w:color w:val="auto"/>
          <w:highlight w:val="none"/>
        </w:rPr>
      </w:pPr>
      <w:r>
        <w:rPr>
          <w:rFonts w:hint="eastAsia" w:ascii="宋体" w:hAnsi="宋体" w:eastAsia="宋体"/>
          <w:color w:val="auto"/>
          <w:highlight w:val="none"/>
        </w:rPr>
        <w:t>配合发包人做好政府规划部门的测量验线工作。</w:t>
      </w:r>
      <w:bookmarkStart w:id="618" w:name="_Toc246820726"/>
    </w:p>
    <w:bookmarkEnd w:id="618"/>
    <w:p>
      <w:pPr>
        <w:pStyle w:val="4"/>
        <w:bidi w:val="0"/>
        <w:rPr>
          <w:color w:val="auto"/>
          <w:highlight w:val="none"/>
        </w:rPr>
      </w:pPr>
      <w:bookmarkStart w:id="619" w:name="_Toc308696233"/>
      <w:bookmarkStart w:id="620" w:name="_Toc246820740"/>
      <w:bookmarkStart w:id="621" w:name="_Toc146516999"/>
      <w:bookmarkStart w:id="622" w:name="_Toc154742379"/>
      <w:bookmarkStart w:id="623" w:name="_Toc146361422"/>
      <w:bookmarkStart w:id="624" w:name="_Toc152173050"/>
      <w:bookmarkStart w:id="625" w:name="_Toc308643221"/>
      <w:r>
        <w:rPr>
          <w:color w:val="auto"/>
          <w:highlight w:val="none"/>
        </w:rPr>
        <w:t>雨季施工措施</w:t>
      </w:r>
      <w:bookmarkEnd w:id="619"/>
      <w:bookmarkEnd w:id="620"/>
      <w:bookmarkEnd w:id="621"/>
      <w:bookmarkEnd w:id="622"/>
      <w:bookmarkEnd w:id="623"/>
      <w:bookmarkEnd w:id="624"/>
      <w:bookmarkEnd w:id="625"/>
      <w:bookmarkStart w:id="626" w:name="_Toc75851495"/>
      <w:bookmarkStart w:id="627" w:name="_Toc246820741"/>
      <w:bookmarkStart w:id="628" w:name="_Toc154742380"/>
      <w:bookmarkStart w:id="629" w:name="_Toc152173051"/>
      <w:bookmarkStart w:id="630" w:name="_Toc146361423"/>
    </w:p>
    <w:bookmarkEnd w:id="626"/>
    <w:bookmarkEnd w:id="627"/>
    <w:bookmarkEnd w:id="628"/>
    <w:bookmarkEnd w:id="629"/>
    <w:bookmarkEnd w:id="630"/>
    <w:p>
      <w:pPr>
        <w:pStyle w:val="5"/>
        <w:bidi w:val="0"/>
        <w:ind w:left="253"/>
        <w:rPr>
          <w:color w:val="auto"/>
          <w:highlight w:val="none"/>
        </w:rPr>
      </w:pPr>
      <w:r>
        <w:rPr>
          <w:color w:val="auto"/>
          <w:highlight w:val="none"/>
        </w:rPr>
        <w:t>组织措施</w:t>
      </w:r>
    </w:p>
    <w:p>
      <w:pPr>
        <w:numPr>
          <w:ilvl w:val="0"/>
          <w:numId w:val="23"/>
        </w:numPr>
        <w:bidi w:val="0"/>
        <w:ind w:left="300" w:leftChars="0"/>
        <w:rPr>
          <w:color w:val="auto"/>
          <w:highlight w:val="none"/>
        </w:rPr>
      </w:pPr>
      <w:r>
        <w:rPr>
          <w:rFonts w:hint="eastAsia"/>
          <w:color w:val="auto"/>
          <w:highlight w:val="none"/>
        </w:rPr>
        <w:t>总承包人</w:t>
      </w:r>
      <w:r>
        <w:rPr>
          <w:color w:val="auto"/>
          <w:highlight w:val="none"/>
        </w:rPr>
        <w:t>应成立以</w:t>
      </w:r>
      <w:r>
        <w:rPr>
          <w:rFonts w:hint="eastAsia"/>
          <w:color w:val="auto"/>
          <w:highlight w:val="none"/>
          <w:lang w:eastAsia="zh-CN"/>
        </w:rPr>
        <w:t>项目负责人</w:t>
      </w:r>
      <w:r>
        <w:rPr>
          <w:color w:val="auto"/>
          <w:highlight w:val="none"/>
        </w:rPr>
        <w:t>为第一责任人的应急小组，配备劳动力、应急水泵、电箱电缆、防雨布等物资和设备，并明确</w:t>
      </w:r>
      <w:r>
        <w:rPr>
          <w:rFonts w:hint="eastAsia"/>
          <w:color w:val="auto"/>
          <w:highlight w:val="none"/>
        </w:rPr>
        <w:t>相关</w:t>
      </w:r>
      <w:r>
        <w:rPr>
          <w:color w:val="auto"/>
          <w:highlight w:val="none"/>
        </w:rPr>
        <w:t>责任人。</w:t>
      </w:r>
    </w:p>
    <w:p>
      <w:pPr>
        <w:numPr>
          <w:ilvl w:val="0"/>
          <w:numId w:val="23"/>
        </w:numPr>
        <w:bidi w:val="0"/>
        <w:ind w:left="300" w:leftChars="0"/>
        <w:rPr>
          <w:color w:val="auto"/>
          <w:highlight w:val="none"/>
        </w:rPr>
      </w:pPr>
      <w:r>
        <w:rPr>
          <w:color w:val="auto"/>
          <w:highlight w:val="none"/>
        </w:rPr>
        <w:t>暴雨来临前，增加夜间值班人员，项目领导参与夜间值班，主要管理人员24小时</w:t>
      </w:r>
      <w:r>
        <w:rPr>
          <w:rFonts w:hint="eastAsia"/>
          <w:color w:val="auto"/>
          <w:highlight w:val="none"/>
        </w:rPr>
        <w:t>手机</w:t>
      </w:r>
      <w:r>
        <w:rPr>
          <w:color w:val="auto"/>
          <w:highlight w:val="none"/>
        </w:rPr>
        <w:t>开机。</w:t>
      </w:r>
    </w:p>
    <w:p>
      <w:pPr>
        <w:numPr>
          <w:ilvl w:val="0"/>
          <w:numId w:val="23"/>
        </w:numPr>
        <w:bidi w:val="0"/>
        <w:ind w:left="300" w:leftChars="0"/>
        <w:rPr>
          <w:color w:val="auto"/>
          <w:highlight w:val="none"/>
        </w:rPr>
      </w:pPr>
      <w:r>
        <w:rPr>
          <w:color w:val="auto"/>
          <w:highlight w:val="none"/>
        </w:rPr>
        <w:t>雨季施工主要以预防为主，采取防雨措施及排水措施。</w:t>
      </w:r>
    </w:p>
    <w:p>
      <w:pPr>
        <w:numPr>
          <w:ilvl w:val="0"/>
          <w:numId w:val="23"/>
        </w:numPr>
        <w:bidi w:val="0"/>
        <w:ind w:left="300" w:leftChars="0"/>
        <w:rPr>
          <w:color w:val="auto"/>
          <w:highlight w:val="none"/>
        </w:rPr>
      </w:pPr>
      <w:r>
        <w:rPr>
          <w:rFonts w:hint="eastAsia"/>
          <w:color w:val="auto"/>
          <w:highlight w:val="none"/>
        </w:rPr>
        <w:t>总承包人</w:t>
      </w:r>
      <w:r>
        <w:rPr>
          <w:color w:val="auto"/>
          <w:highlight w:val="none"/>
        </w:rPr>
        <w:t>应做好施工人员的雨季施工培训工作，组织相关人员进行施工现场的准备工作，并进行一次全面的施工现场检查，包括检查临时设施、临时用电、机械设备等各项工作。</w:t>
      </w:r>
    </w:p>
    <w:p>
      <w:pPr>
        <w:numPr>
          <w:ilvl w:val="0"/>
          <w:numId w:val="23"/>
        </w:numPr>
        <w:bidi w:val="0"/>
        <w:ind w:left="300" w:leftChars="0"/>
        <w:rPr>
          <w:color w:val="auto"/>
          <w:highlight w:val="none"/>
        </w:rPr>
      </w:pPr>
      <w:r>
        <w:rPr>
          <w:color w:val="auto"/>
          <w:highlight w:val="none"/>
        </w:rPr>
        <w:t>加强雨季施工的信息反馈，对容易发生问题的要采取防范措施，设法排除隐患，同时合理的安排日常工作。</w:t>
      </w:r>
    </w:p>
    <w:p>
      <w:pPr>
        <w:pStyle w:val="5"/>
        <w:bidi w:val="0"/>
        <w:ind w:left="253"/>
        <w:rPr>
          <w:color w:val="auto"/>
          <w:highlight w:val="none"/>
        </w:rPr>
      </w:pPr>
      <w:r>
        <w:rPr>
          <w:rFonts w:hint="eastAsia"/>
          <w:color w:val="auto"/>
          <w:highlight w:val="none"/>
        </w:rPr>
        <w:t>雨季施工方案</w:t>
      </w:r>
    </w:p>
    <w:p>
      <w:pPr>
        <w:bidi w:val="0"/>
        <w:rPr>
          <w:color w:val="auto"/>
          <w:highlight w:val="none"/>
        </w:rPr>
      </w:pPr>
      <w:r>
        <w:rPr>
          <w:rFonts w:hint="eastAsia"/>
          <w:color w:val="auto"/>
          <w:highlight w:val="none"/>
        </w:rPr>
        <w:t>总承包人</w:t>
      </w:r>
      <w:r>
        <w:rPr>
          <w:color w:val="auto"/>
          <w:highlight w:val="none"/>
        </w:rPr>
        <w:t>应编制详细的雨季施工方案，报监理人</w:t>
      </w:r>
      <w:r>
        <w:rPr>
          <w:rFonts w:hint="eastAsia"/>
          <w:color w:val="auto"/>
          <w:highlight w:val="none"/>
        </w:rPr>
        <w:t>审批</w:t>
      </w:r>
      <w:r>
        <w:rPr>
          <w:color w:val="auto"/>
          <w:highlight w:val="none"/>
        </w:rPr>
        <w:t>。该方案</w:t>
      </w:r>
      <w:r>
        <w:rPr>
          <w:rFonts w:hint="eastAsia"/>
          <w:color w:val="auto"/>
          <w:highlight w:val="none"/>
        </w:rPr>
        <w:t>应</w:t>
      </w:r>
      <w:r>
        <w:rPr>
          <w:color w:val="auto"/>
          <w:highlight w:val="none"/>
        </w:rPr>
        <w:t>根据具体施工图、工程进度</w:t>
      </w:r>
      <w:r>
        <w:rPr>
          <w:rFonts w:hint="eastAsia"/>
          <w:color w:val="auto"/>
          <w:highlight w:val="none"/>
        </w:rPr>
        <w:t>计划</w:t>
      </w:r>
      <w:r>
        <w:rPr>
          <w:color w:val="auto"/>
          <w:highlight w:val="none"/>
        </w:rPr>
        <w:t>及</w:t>
      </w:r>
      <w:r>
        <w:rPr>
          <w:rFonts w:hint="eastAsia"/>
          <w:color w:val="auto"/>
          <w:highlight w:val="none"/>
        </w:rPr>
        <w:t>本地</w:t>
      </w:r>
      <w:r>
        <w:rPr>
          <w:color w:val="auto"/>
          <w:highlight w:val="none"/>
        </w:rPr>
        <w:t>雨季</w:t>
      </w:r>
      <w:r>
        <w:rPr>
          <w:rFonts w:hint="eastAsia"/>
          <w:color w:val="auto"/>
          <w:highlight w:val="none"/>
        </w:rPr>
        <w:t>特点</w:t>
      </w:r>
      <w:r>
        <w:rPr>
          <w:color w:val="auto"/>
          <w:highlight w:val="none"/>
        </w:rPr>
        <w:t>编制完成，提出切实可行的雨季施工措施。</w:t>
      </w:r>
    </w:p>
    <w:p>
      <w:pPr>
        <w:pStyle w:val="5"/>
        <w:bidi w:val="0"/>
        <w:ind w:left="253"/>
        <w:rPr>
          <w:color w:val="auto"/>
          <w:highlight w:val="none"/>
        </w:rPr>
      </w:pPr>
      <w:r>
        <w:rPr>
          <w:color w:val="auto"/>
          <w:highlight w:val="none"/>
        </w:rPr>
        <w:t>施工现场措施</w:t>
      </w:r>
    </w:p>
    <w:p>
      <w:pPr>
        <w:numPr>
          <w:ilvl w:val="0"/>
          <w:numId w:val="24"/>
        </w:numPr>
        <w:bidi w:val="0"/>
        <w:ind w:left="300" w:leftChars="0"/>
        <w:rPr>
          <w:color w:val="auto"/>
          <w:highlight w:val="none"/>
        </w:rPr>
      </w:pPr>
      <w:r>
        <w:rPr>
          <w:color w:val="auto"/>
          <w:highlight w:val="none"/>
        </w:rPr>
        <w:t>施工现场道路在雨季之前要进行修理，</w:t>
      </w:r>
      <w:r>
        <w:rPr>
          <w:rFonts w:hint="eastAsia"/>
          <w:color w:val="auto"/>
          <w:highlight w:val="none"/>
        </w:rPr>
        <w:t>做</w:t>
      </w:r>
      <w:r>
        <w:rPr>
          <w:color w:val="auto"/>
          <w:highlight w:val="none"/>
        </w:rPr>
        <w:t>到道路不积水。道路</w:t>
      </w:r>
      <w:r>
        <w:rPr>
          <w:rFonts w:hint="eastAsia"/>
          <w:color w:val="auto"/>
          <w:highlight w:val="none"/>
        </w:rPr>
        <w:t>两</w:t>
      </w:r>
      <w:r>
        <w:rPr>
          <w:color w:val="auto"/>
          <w:highlight w:val="none"/>
        </w:rPr>
        <w:t>侧设排水沟，每间隔一段距离加设集水坑，排水沟要经常维护，保持通畅，场地内部要作好有组织排水。</w:t>
      </w:r>
    </w:p>
    <w:p>
      <w:pPr>
        <w:numPr>
          <w:ilvl w:val="0"/>
          <w:numId w:val="24"/>
        </w:numPr>
        <w:bidi w:val="0"/>
        <w:ind w:left="300" w:leftChars="0"/>
        <w:rPr>
          <w:color w:val="auto"/>
          <w:highlight w:val="none"/>
        </w:rPr>
      </w:pPr>
      <w:r>
        <w:rPr>
          <w:color w:val="auto"/>
          <w:highlight w:val="none"/>
        </w:rPr>
        <w:t>室外露天的中、小型机械需按规定搭设防雨棚，电闸箱防漏电保护装置要灵敏有效，同时设专人定期检测并做好记录。机电设备需经常检查接零、接地保护。雨季前要对避雷装置进行一次全面的检查，遇雷雨天停止使用高大设备，以防雷击。</w:t>
      </w:r>
    </w:p>
    <w:p>
      <w:pPr>
        <w:numPr>
          <w:ilvl w:val="0"/>
          <w:numId w:val="24"/>
        </w:numPr>
        <w:bidi w:val="0"/>
        <w:ind w:left="300" w:leftChars="0"/>
        <w:rPr>
          <w:color w:val="auto"/>
          <w:highlight w:val="none"/>
        </w:rPr>
      </w:pPr>
      <w:r>
        <w:rPr>
          <w:color w:val="auto"/>
          <w:highlight w:val="none"/>
        </w:rPr>
        <w:t>雨季期间所需的塑料布提前准备好，污水泵要作到运转良好。库房及堆放场地四周要求有良好的排水。模板、脚手架、木方等堆放场地均在底部垫方木，上面用塑料布遮盖以防雨淋。</w:t>
      </w:r>
      <w:bookmarkStart w:id="631" w:name="_Toc246820744"/>
      <w:bookmarkStart w:id="632" w:name="_Toc146361424"/>
      <w:bookmarkStart w:id="633" w:name="_Toc75851498"/>
      <w:bookmarkStart w:id="634" w:name="_Toc154742381"/>
      <w:bookmarkStart w:id="635" w:name="_Toc152173052"/>
    </w:p>
    <w:p>
      <w:pPr>
        <w:pStyle w:val="5"/>
        <w:bidi w:val="0"/>
        <w:ind w:left="253"/>
        <w:rPr>
          <w:color w:val="auto"/>
          <w:highlight w:val="none"/>
        </w:rPr>
      </w:pPr>
      <w:r>
        <w:rPr>
          <w:color w:val="auto"/>
          <w:highlight w:val="none"/>
        </w:rPr>
        <w:t>主要部位雨季施工措施</w:t>
      </w:r>
      <w:bookmarkEnd w:id="631"/>
      <w:bookmarkEnd w:id="632"/>
      <w:bookmarkEnd w:id="633"/>
      <w:bookmarkEnd w:id="634"/>
      <w:bookmarkEnd w:id="635"/>
    </w:p>
    <w:p>
      <w:pPr>
        <w:numPr>
          <w:ilvl w:val="0"/>
          <w:numId w:val="25"/>
        </w:numPr>
        <w:bidi w:val="0"/>
        <w:ind w:left="300" w:leftChars="0"/>
        <w:rPr>
          <w:color w:val="auto"/>
          <w:highlight w:val="none"/>
        </w:rPr>
      </w:pPr>
      <w:r>
        <w:rPr>
          <w:color w:val="auto"/>
          <w:highlight w:val="none"/>
        </w:rPr>
        <w:t>为防止首层及屋面平面洞口大量渗水至下部工作面，对地下室顶板上及屋面上外露的所有洞口应</w:t>
      </w:r>
      <w:r>
        <w:rPr>
          <w:rFonts w:hint="eastAsia"/>
          <w:color w:val="auto"/>
          <w:highlight w:val="none"/>
        </w:rPr>
        <w:t>采用临时</w:t>
      </w:r>
      <w:r>
        <w:rPr>
          <w:color w:val="auto"/>
          <w:highlight w:val="none"/>
        </w:rPr>
        <w:t>挡水措施。</w:t>
      </w:r>
    </w:p>
    <w:p>
      <w:pPr>
        <w:numPr>
          <w:ilvl w:val="0"/>
          <w:numId w:val="25"/>
        </w:numPr>
        <w:bidi w:val="0"/>
        <w:ind w:left="300" w:leftChars="0"/>
        <w:rPr>
          <w:color w:val="auto"/>
          <w:highlight w:val="none"/>
        </w:rPr>
      </w:pPr>
      <w:bookmarkStart w:id="636" w:name="_Toc246820746"/>
      <w:bookmarkStart w:id="637" w:name="_Toc146361425"/>
      <w:bookmarkStart w:id="638" w:name="_Toc75851499"/>
      <w:r>
        <w:rPr>
          <w:color w:val="auto"/>
          <w:highlight w:val="none"/>
        </w:rPr>
        <w:t>在地下室、电梯底坑等</w:t>
      </w:r>
      <w:bookmarkEnd w:id="636"/>
      <w:r>
        <w:rPr>
          <w:color w:val="auto"/>
          <w:highlight w:val="none"/>
        </w:rPr>
        <w:t>极易积水区域设置足够功率及数量的水泵，安排专人巡视，检查水泵工作情况，并根据现场积水情况及时调整水泵数量或采取其他挡水等措施。</w:t>
      </w:r>
    </w:p>
    <w:p>
      <w:pPr>
        <w:numPr>
          <w:ilvl w:val="0"/>
          <w:numId w:val="25"/>
        </w:numPr>
        <w:bidi w:val="0"/>
        <w:ind w:left="300" w:leftChars="0"/>
        <w:rPr>
          <w:color w:val="auto"/>
          <w:highlight w:val="none"/>
        </w:rPr>
      </w:pPr>
      <w:r>
        <w:rPr>
          <w:color w:val="auto"/>
          <w:highlight w:val="none"/>
        </w:rPr>
        <w:t>钢筋堆放时，下部要垫砌体、混凝土条块或</w:t>
      </w:r>
      <w:r>
        <w:rPr>
          <w:rFonts w:hint="eastAsia"/>
          <w:color w:val="auto"/>
          <w:highlight w:val="none"/>
        </w:rPr>
        <w:t>木枋</w:t>
      </w:r>
      <w:r>
        <w:rPr>
          <w:color w:val="auto"/>
          <w:highlight w:val="none"/>
        </w:rPr>
        <w:t>，雨天要覆盖塑料布。雨后要对钢筋表面进行检查，做好除锈工作。雨天不得在无任何防雨措施的场地进行焊接施工。</w:t>
      </w:r>
    </w:p>
    <w:p>
      <w:pPr>
        <w:numPr>
          <w:ilvl w:val="0"/>
          <w:numId w:val="25"/>
        </w:numPr>
        <w:bidi w:val="0"/>
        <w:ind w:left="300" w:leftChars="0"/>
        <w:rPr>
          <w:color w:val="auto"/>
          <w:highlight w:val="none"/>
        </w:rPr>
      </w:pPr>
      <w:bookmarkStart w:id="639" w:name="_Toc246820748"/>
      <w:r>
        <w:rPr>
          <w:color w:val="auto"/>
          <w:highlight w:val="none"/>
        </w:rPr>
        <w:t>混凝土浇筑前应了解当天的气象情况，以防因大雨被迫中断混凝土浇筑。对浇筑完未终凝的混凝土如遇突然降雨，及时用塑料布覆盖，以防水泥浆流失</w:t>
      </w:r>
      <w:bookmarkEnd w:id="639"/>
      <w:r>
        <w:rPr>
          <w:color w:val="auto"/>
          <w:highlight w:val="none"/>
        </w:rPr>
        <w:t>。</w:t>
      </w:r>
    </w:p>
    <w:p>
      <w:pPr>
        <w:numPr>
          <w:ilvl w:val="0"/>
          <w:numId w:val="25"/>
        </w:numPr>
        <w:bidi w:val="0"/>
        <w:ind w:left="300" w:leftChars="0"/>
        <w:rPr>
          <w:color w:val="auto"/>
          <w:highlight w:val="none"/>
        </w:rPr>
      </w:pPr>
      <w:r>
        <w:rPr>
          <w:color w:val="auto"/>
          <w:highlight w:val="none"/>
        </w:rPr>
        <w:t>室内装修时，应将门窗关闭，防止雨</w:t>
      </w:r>
      <w:r>
        <w:rPr>
          <w:rFonts w:hint="eastAsia"/>
          <w:color w:val="auto"/>
          <w:highlight w:val="none"/>
        </w:rPr>
        <w:t>水</w:t>
      </w:r>
      <w:r>
        <w:rPr>
          <w:color w:val="auto"/>
          <w:highlight w:val="none"/>
        </w:rPr>
        <w:t>进入室内，破坏已装修完毕的饰面层。易受潮的装修材料</w:t>
      </w:r>
      <w:r>
        <w:rPr>
          <w:rFonts w:hint="eastAsia"/>
          <w:color w:val="auto"/>
          <w:highlight w:val="none"/>
        </w:rPr>
        <w:t>应</w:t>
      </w:r>
      <w:r>
        <w:rPr>
          <w:color w:val="auto"/>
          <w:highlight w:val="none"/>
        </w:rPr>
        <w:t>堆放至室内或用防雨材料覆盖。雨期抹灰工程应采取防雨措施。</w:t>
      </w:r>
    </w:p>
    <w:p>
      <w:pPr>
        <w:numPr>
          <w:ilvl w:val="0"/>
          <w:numId w:val="25"/>
        </w:numPr>
        <w:bidi w:val="0"/>
        <w:ind w:left="300" w:leftChars="0"/>
        <w:rPr>
          <w:color w:val="auto"/>
          <w:highlight w:val="none"/>
        </w:rPr>
      </w:pPr>
      <w:r>
        <w:rPr>
          <w:rFonts w:hint="eastAsia"/>
          <w:color w:val="auto"/>
          <w:highlight w:val="none"/>
        </w:rPr>
        <w:t>雨季</w:t>
      </w:r>
      <w:r>
        <w:rPr>
          <w:color w:val="auto"/>
          <w:highlight w:val="none"/>
        </w:rPr>
        <w:t>期间</w:t>
      </w:r>
      <w:r>
        <w:rPr>
          <w:rFonts w:hint="eastAsia"/>
          <w:color w:val="auto"/>
          <w:highlight w:val="none"/>
        </w:rPr>
        <w:t>应</w:t>
      </w:r>
      <w:r>
        <w:rPr>
          <w:color w:val="auto"/>
          <w:highlight w:val="none"/>
        </w:rPr>
        <w:t>对所有脚手架工程进行全面检查，脚手架立杆底座必须牢固，基土应夯实，外用脚手架要与墙体拉接牢固。</w:t>
      </w:r>
    </w:p>
    <w:p>
      <w:pPr>
        <w:numPr>
          <w:ilvl w:val="0"/>
          <w:numId w:val="25"/>
        </w:numPr>
        <w:bidi w:val="0"/>
        <w:ind w:left="300" w:leftChars="0"/>
        <w:rPr>
          <w:color w:val="auto"/>
          <w:highlight w:val="none"/>
        </w:rPr>
      </w:pPr>
      <w:r>
        <w:rPr>
          <w:color w:val="auto"/>
          <w:highlight w:val="none"/>
        </w:rPr>
        <w:t>雨天应停止外脚手架施工，大雨后要对架体进行全面检查，确认无沉降和松动后</w:t>
      </w:r>
      <w:r>
        <w:rPr>
          <w:rFonts w:hint="eastAsia"/>
          <w:color w:val="auto"/>
          <w:highlight w:val="none"/>
        </w:rPr>
        <w:t>方</w:t>
      </w:r>
      <w:r>
        <w:rPr>
          <w:color w:val="auto"/>
          <w:highlight w:val="none"/>
        </w:rPr>
        <w:t>可使用。</w:t>
      </w:r>
    </w:p>
    <w:bookmarkEnd w:id="637"/>
    <w:bookmarkEnd w:id="638"/>
    <w:p>
      <w:pPr>
        <w:pStyle w:val="4"/>
        <w:bidi w:val="0"/>
        <w:rPr>
          <w:color w:val="auto"/>
          <w:highlight w:val="none"/>
        </w:rPr>
      </w:pPr>
      <w:bookmarkStart w:id="640" w:name="_Toc246820757"/>
      <w:bookmarkStart w:id="641" w:name="_Toc146361426"/>
      <w:bookmarkStart w:id="642" w:name="_Toc75851503"/>
      <w:bookmarkStart w:id="643" w:name="_Toc154742383"/>
      <w:bookmarkStart w:id="644" w:name="_Toc152173054"/>
      <w:r>
        <w:rPr>
          <w:color w:val="auto"/>
          <w:highlight w:val="none"/>
        </w:rPr>
        <w:t>高温天气施工措施</w:t>
      </w:r>
      <w:bookmarkEnd w:id="640"/>
      <w:bookmarkEnd w:id="641"/>
      <w:bookmarkEnd w:id="642"/>
      <w:bookmarkEnd w:id="643"/>
      <w:bookmarkEnd w:id="644"/>
    </w:p>
    <w:p>
      <w:pPr>
        <w:bidi w:val="0"/>
        <w:rPr>
          <w:color w:val="auto"/>
          <w:highlight w:val="none"/>
        </w:rPr>
      </w:pPr>
      <w:bookmarkStart w:id="645" w:name="_Toc146361427"/>
      <w:r>
        <w:rPr>
          <w:color w:val="auto"/>
          <w:highlight w:val="none"/>
        </w:rPr>
        <w:t>在高温天气下(气温达35℃以上)，</w:t>
      </w:r>
      <w:r>
        <w:rPr>
          <w:rFonts w:hint="eastAsia"/>
          <w:color w:val="auto"/>
          <w:highlight w:val="none"/>
        </w:rPr>
        <w:t>需</w:t>
      </w:r>
      <w:r>
        <w:rPr>
          <w:color w:val="auto"/>
          <w:highlight w:val="none"/>
        </w:rPr>
        <w:t>采取预防措施，防止作业人员的中暑</w:t>
      </w:r>
      <w:r>
        <w:rPr>
          <w:rFonts w:hint="eastAsia"/>
          <w:color w:val="auto"/>
          <w:highlight w:val="none"/>
        </w:rPr>
        <w:t>。</w:t>
      </w:r>
      <w:r>
        <w:rPr>
          <w:color w:val="auto"/>
          <w:highlight w:val="none"/>
        </w:rPr>
        <w:t>在关系</w:t>
      </w:r>
      <w:r>
        <w:rPr>
          <w:rFonts w:hint="eastAsia"/>
          <w:color w:val="auto"/>
          <w:highlight w:val="none"/>
        </w:rPr>
        <w:t>到</w:t>
      </w:r>
      <w:r>
        <w:rPr>
          <w:color w:val="auto"/>
          <w:highlight w:val="none"/>
        </w:rPr>
        <w:t>工程质量的工艺上，要采取有效的温度控制措施。</w:t>
      </w:r>
    </w:p>
    <w:p>
      <w:pPr>
        <w:pStyle w:val="5"/>
        <w:bidi w:val="0"/>
        <w:ind w:left="253"/>
        <w:rPr>
          <w:color w:val="auto"/>
          <w:highlight w:val="none"/>
        </w:rPr>
      </w:pPr>
      <w:bookmarkStart w:id="646" w:name="_Toc246820758"/>
      <w:bookmarkStart w:id="647" w:name="_Toc75851504"/>
      <w:r>
        <w:rPr>
          <w:color w:val="auto"/>
          <w:highlight w:val="none"/>
        </w:rPr>
        <w:t>人员防暑的保护</w:t>
      </w:r>
      <w:bookmarkEnd w:id="646"/>
      <w:bookmarkEnd w:id="647"/>
    </w:p>
    <w:p>
      <w:pPr>
        <w:numPr>
          <w:ilvl w:val="0"/>
          <w:numId w:val="26"/>
        </w:numPr>
        <w:bidi w:val="0"/>
        <w:ind w:left="300" w:leftChars="0"/>
        <w:rPr>
          <w:color w:val="auto"/>
          <w:highlight w:val="none"/>
        </w:rPr>
      </w:pPr>
      <w:r>
        <w:rPr>
          <w:rFonts w:hint="eastAsia"/>
          <w:color w:val="auto"/>
          <w:highlight w:val="none"/>
        </w:rPr>
        <w:t>总承包人</w:t>
      </w:r>
      <w:r>
        <w:rPr>
          <w:color w:val="auto"/>
          <w:highlight w:val="none"/>
        </w:rPr>
        <w:t>应在现场配备防暑急救器材和药品</w:t>
      </w:r>
      <w:r>
        <w:rPr>
          <w:rFonts w:hint="eastAsia"/>
          <w:color w:val="auto"/>
          <w:highlight w:val="none"/>
        </w:rPr>
        <w:t>，</w:t>
      </w:r>
      <w:r>
        <w:rPr>
          <w:color w:val="auto"/>
          <w:highlight w:val="none"/>
        </w:rPr>
        <w:t>加强对防暑降温知识的宣传，组织现场作业人员进行中暑急救知识培训。</w:t>
      </w:r>
    </w:p>
    <w:p>
      <w:pPr>
        <w:numPr>
          <w:ilvl w:val="0"/>
          <w:numId w:val="26"/>
        </w:numPr>
        <w:bidi w:val="0"/>
        <w:ind w:left="300" w:leftChars="0"/>
        <w:rPr>
          <w:color w:val="auto"/>
          <w:highlight w:val="none"/>
        </w:rPr>
      </w:pPr>
      <w:r>
        <w:rPr>
          <w:color w:val="auto"/>
          <w:highlight w:val="none"/>
        </w:rPr>
        <w:t>房间保持良好通风，增加屋面隔热厚度或安装遮阳棚、防晒网，使工人能够有个较好的休息环境。发放防暑用品到每个员工并指导使用，在施工现场提供足够茶水、清凉饮料</w:t>
      </w:r>
      <w:r>
        <w:rPr>
          <w:rFonts w:hint="eastAsia"/>
          <w:color w:val="auto"/>
          <w:highlight w:val="none"/>
        </w:rPr>
        <w:t>等</w:t>
      </w:r>
      <w:r>
        <w:rPr>
          <w:color w:val="auto"/>
          <w:highlight w:val="none"/>
        </w:rPr>
        <w:t>。</w:t>
      </w:r>
    </w:p>
    <w:p>
      <w:pPr>
        <w:numPr>
          <w:ilvl w:val="0"/>
          <w:numId w:val="26"/>
        </w:numPr>
        <w:bidi w:val="0"/>
        <w:ind w:left="300" w:leftChars="0"/>
        <w:rPr>
          <w:color w:val="auto"/>
          <w:highlight w:val="none"/>
        </w:rPr>
      </w:pPr>
      <w:r>
        <w:rPr>
          <w:color w:val="auto"/>
          <w:highlight w:val="none"/>
        </w:rPr>
        <w:t>当天气预报气温达35℃以上时，通过</w:t>
      </w:r>
      <w:r>
        <w:rPr>
          <w:rFonts w:hint="eastAsia"/>
          <w:color w:val="auto"/>
          <w:highlight w:val="none"/>
        </w:rPr>
        <w:t>“</w:t>
      </w:r>
      <w:r>
        <w:rPr>
          <w:color w:val="auto"/>
          <w:highlight w:val="none"/>
        </w:rPr>
        <w:t>抓两头、歇中间</w:t>
      </w:r>
      <w:r>
        <w:rPr>
          <w:rFonts w:hint="eastAsia"/>
          <w:color w:val="auto"/>
          <w:highlight w:val="none"/>
        </w:rPr>
        <w:t>”</w:t>
      </w:r>
      <w:r>
        <w:rPr>
          <w:color w:val="auto"/>
          <w:highlight w:val="none"/>
        </w:rPr>
        <w:t>等措施，尽量避免高温时段进行露天室外作业，严格控制加班加点，减轻工人劳动强度，避免疲劳作业。</w:t>
      </w:r>
    </w:p>
    <w:p>
      <w:pPr>
        <w:numPr>
          <w:ilvl w:val="0"/>
          <w:numId w:val="26"/>
        </w:numPr>
        <w:bidi w:val="0"/>
        <w:ind w:left="300" w:leftChars="0"/>
        <w:rPr>
          <w:color w:val="auto"/>
          <w:highlight w:val="none"/>
        </w:rPr>
      </w:pPr>
      <w:r>
        <w:rPr>
          <w:color w:val="auto"/>
          <w:highlight w:val="none"/>
        </w:rPr>
        <w:t>做好施工现场环境及卫生防疫工作，加强对饮用水、食品的卫生管理，加强对夏季易发疾病的监控，避免食物中毒和传染病的发生。</w:t>
      </w:r>
    </w:p>
    <w:p>
      <w:pPr>
        <w:pStyle w:val="5"/>
        <w:bidi w:val="0"/>
        <w:ind w:left="253"/>
        <w:rPr>
          <w:color w:val="auto"/>
          <w:highlight w:val="none"/>
        </w:rPr>
      </w:pPr>
      <w:bookmarkStart w:id="648" w:name="_Toc75851505"/>
      <w:bookmarkStart w:id="649" w:name="_Toc246820759"/>
      <w:r>
        <w:rPr>
          <w:color w:val="auto"/>
          <w:highlight w:val="none"/>
        </w:rPr>
        <w:t>施工工艺的保护</w:t>
      </w:r>
      <w:bookmarkEnd w:id="648"/>
      <w:bookmarkEnd w:id="649"/>
    </w:p>
    <w:p>
      <w:pPr>
        <w:numPr>
          <w:ilvl w:val="0"/>
          <w:numId w:val="27"/>
        </w:numPr>
        <w:bidi w:val="0"/>
        <w:ind w:left="310" w:leftChars="0"/>
        <w:rPr>
          <w:color w:val="auto"/>
          <w:highlight w:val="none"/>
        </w:rPr>
      </w:pPr>
      <w:r>
        <w:rPr>
          <w:color w:val="auto"/>
          <w:highlight w:val="none"/>
        </w:rPr>
        <w:t>露天焊接作业，一是要挡阳光曝晒，二是用挡风罩挡风，防止焊接过程风吹焊接熔池，造成焊缝氧化或产生气孔。</w:t>
      </w:r>
    </w:p>
    <w:p>
      <w:pPr>
        <w:numPr>
          <w:ilvl w:val="0"/>
          <w:numId w:val="27"/>
        </w:numPr>
        <w:bidi w:val="0"/>
        <w:ind w:left="310" w:leftChars="0"/>
        <w:rPr>
          <w:color w:val="auto"/>
          <w:highlight w:val="none"/>
        </w:rPr>
      </w:pPr>
      <w:r>
        <w:rPr>
          <w:color w:val="auto"/>
          <w:highlight w:val="none"/>
        </w:rPr>
        <w:t>垂直测量时间选择清晨时段，减小因太阳直射的不均匀造成的热胀冷缩，给测量带来的偏差。</w:t>
      </w:r>
    </w:p>
    <w:p>
      <w:pPr>
        <w:numPr>
          <w:ilvl w:val="0"/>
          <w:numId w:val="27"/>
        </w:numPr>
        <w:bidi w:val="0"/>
        <w:ind w:left="310" w:leftChars="0"/>
        <w:rPr>
          <w:color w:val="auto"/>
          <w:highlight w:val="none"/>
        </w:rPr>
      </w:pPr>
      <w:r>
        <w:rPr>
          <w:color w:val="auto"/>
          <w:highlight w:val="none"/>
        </w:rPr>
        <w:t>油漆或涂料的施工中，根据材料的性能或使用要求，要避免在阳光下暴晒作业，采用阴干、风干的措施，防止涂层干燥过快引起的粘结不牢而脱落。</w:t>
      </w:r>
      <w:bookmarkEnd w:id="645"/>
      <w:bookmarkStart w:id="650" w:name="_Toc489519767"/>
      <w:bookmarkEnd w:id="650"/>
      <w:bookmarkStart w:id="651" w:name="_Toc410745041"/>
      <w:bookmarkEnd w:id="651"/>
      <w:bookmarkStart w:id="652" w:name="_Toc417651250"/>
      <w:bookmarkEnd w:id="652"/>
      <w:bookmarkStart w:id="653" w:name="_Toc410745725"/>
      <w:bookmarkEnd w:id="653"/>
      <w:bookmarkStart w:id="654" w:name="_Toc415675004"/>
      <w:bookmarkEnd w:id="654"/>
      <w:bookmarkStart w:id="655" w:name="_Toc415745625"/>
      <w:bookmarkEnd w:id="655"/>
      <w:bookmarkStart w:id="656" w:name="_Toc410745634"/>
      <w:bookmarkEnd w:id="656"/>
      <w:bookmarkStart w:id="657" w:name="_Toc488312927"/>
      <w:bookmarkEnd w:id="657"/>
      <w:bookmarkStart w:id="658" w:name="_Toc414624409"/>
      <w:bookmarkEnd w:id="658"/>
      <w:bookmarkStart w:id="659" w:name="_Toc489519768"/>
      <w:bookmarkEnd w:id="659"/>
      <w:bookmarkStart w:id="660" w:name="_Toc415745624"/>
      <w:bookmarkEnd w:id="660"/>
      <w:bookmarkStart w:id="661" w:name="_Toc416255272"/>
      <w:bookmarkEnd w:id="661"/>
      <w:bookmarkStart w:id="662" w:name="_Toc489888533"/>
      <w:bookmarkEnd w:id="662"/>
      <w:bookmarkStart w:id="663" w:name="_Toc489516869"/>
      <w:bookmarkEnd w:id="663"/>
      <w:bookmarkStart w:id="664" w:name="_Toc414624408"/>
      <w:bookmarkEnd w:id="664"/>
      <w:bookmarkStart w:id="665" w:name="_Toc489257378"/>
      <w:bookmarkEnd w:id="665"/>
      <w:bookmarkStart w:id="666" w:name="_Toc489888370"/>
      <w:bookmarkEnd w:id="666"/>
      <w:bookmarkStart w:id="667" w:name="_Toc489257266"/>
      <w:bookmarkEnd w:id="667"/>
      <w:bookmarkStart w:id="668" w:name="_Toc489257154"/>
      <w:bookmarkEnd w:id="668"/>
      <w:bookmarkStart w:id="669" w:name="_Toc490036465"/>
      <w:bookmarkEnd w:id="669"/>
      <w:bookmarkStart w:id="670" w:name="_Toc489277292"/>
      <w:bookmarkEnd w:id="670"/>
      <w:bookmarkStart w:id="671" w:name="_Toc488312813"/>
      <w:bookmarkEnd w:id="671"/>
      <w:bookmarkStart w:id="672" w:name="_Toc416255273"/>
      <w:bookmarkEnd w:id="672"/>
      <w:bookmarkStart w:id="673" w:name="_Toc422842579"/>
      <w:bookmarkEnd w:id="673"/>
      <w:bookmarkStart w:id="674" w:name="_Toc422854854"/>
      <w:bookmarkEnd w:id="674"/>
      <w:bookmarkStart w:id="675" w:name="_Toc410744632"/>
      <w:bookmarkEnd w:id="675"/>
      <w:bookmarkStart w:id="676" w:name="_Toc417488783"/>
      <w:bookmarkEnd w:id="676"/>
      <w:bookmarkStart w:id="677" w:name="_Toc417564839"/>
      <w:bookmarkEnd w:id="677"/>
      <w:bookmarkStart w:id="678" w:name="_Toc489519861"/>
      <w:bookmarkEnd w:id="678"/>
      <w:bookmarkStart w:id="679" w:name="_Toc489257377"/>
      <w:bookmarkEnd w:id="679"/>
      <w:bookmarkStart w:id="680" w:name="_Toc489519862"/>
      <w:bookmarkEnd w:id="680"/>
      <w:bookmarkStart w:id="681" w:name="_Toc416949227"/>
      <w:bookmarkEnd w:id="681"/>
      <w:bookmarkStart w:id="682" w:name="_Toc410745246"/>
      <w:bookmarkEnd w:id="682"/>
      <w:bookmarkStart w:id="683" w:name="_Toc410745726"/>
      <w:bookmarkEnd w:id="683"/>
      <w:bookmarkStart w:id="684" w:name="_Toc489516868"/>
      <w:bookmarkEnd w:id="684"/>
      <w:bookmarkStart w:id="685" w:name="_Toc490643540"/>
      <w:bookmarkEnd w:id="685"/>
      <w:bookmarkStart w:id="686" w:name="_Toc488312928"/>
      <w:bookmarkEnd w:id="686"/>
      <w:bookmarkStart w:id="687" w:name="_Toc415675005"/>
      <w:bookmarkEnd w:id="687"/>
      <w:bookmarkStart w:id="688" w:name="_Toc417461517"/>
      <w:bookmarkEnd w:id="688"/>
      <w:bookmarkStart w:id="689" w:name="_Toc489520050"/>
      <w:bookmarkEnd w:id="689"/>
      <w:bookmarkStart w:id="690" w:name="_Toc490643541"/>
      <w:bookmarkEnd w:id="690"/>
      <w:bookmarkStart w:id="691" w:name="_Toc415745665"/>
      <w:bookmarkEnd w:id="691"/>
      <w:bookmarkStart w:id="692" w:name="_Toc415745664"/>
      <w:bookmarkEnd w:id="692"/>
      <w:bookmarkStart w:id="693" w:name="_Toc415675053"/>
      <w:bookmarkEnd w:id="693"/>
      <w:bookmarkStart w:id="694" w:name="_Toc410745040"/>
      <w:bookmarkEnd w:id="694"/>
      <w:bookmarkStart w:id="695" w:name="_Toc488312650"/>
      <w:bookmarkEnd w:id="695"/>
      <w:bookmarkStart w:id="696" w:name="_Toc416364276"/>
      <w:bookmarkEnd w:id="696"/>
      <w:bookmarkStart w:id="697" w:name="_Toc489519956"/>
      <w:bookmarkEnd w:id="697"/>
      <w:bookmarkStart w:id="698" w:name="_Toc416949228"/>
      <w:bookmarkEnd w:id="698"/>
      <w:bookmarkStart w:id="699" w:name="_Toc489257155"/>
      <w:bookmarkEnd w:id="699"/>
      <w:bookmarkStart w:id="700" w:name="_Toc422854853"/>
      <w:bookmarkEnd w:id="700"/>
      <w:bookmarkStart w:id="701" w:name="_Toc410745635"/>
      <w:bookmarkEnd w:id="701"/>
      <w:bookmarkStart w:id="702" w:name="_Toc489520049"/>
      <w:bookmarkEnd w:id="702"/>
      <w:bookmarkStart w:id="703" w:name="_Toc410744633"/>
      <w:bookmarkEnd w:id="703"/>
      <w:bookmarkStart w:id="704" w:name="_Toc416364277"/>
      <w:bookmarkEnd w:id="704"/>
      <w:bookmarkStart w:id="705" w:name="_Toc414454386"/>
      <w:bookmarkEnd w:id="705"/>
      <w:bookmarkStart w:id="706" w:name="_Toc411253358"/>
      <w:bookmarkEnd w:id="706"/>
      <w:bookmarkStart w:id="707" w:name="_Toc489219095"/>
      <w:bookmarkEnd w:id="707"/>
      <w:bookmarkStart w:id="708" w:name="_Toc488312812"/>
      <w:bookmarkEnd w:id="708"/>
      <w:bookmarkStart w:id="709" w:name="_Toc489257267"/>
      <w:bookmarkEnd w:id="709"/>
      <w:bookmarkStart w:id="710" w:name="_Toc489277291"/>
      <w:bookmarkEnd w:id="710"/>
      <w:bookmarkStart w:id="711" w:name="_Toc417488784"/>
      <w:bookmarkEnd w:id="711"/>
      <w:bookmarkStart w:id="712" w:name="_Toc414454385"/>
      <w:bookmarkEnd w:id="712"/>
      <w:bookmarkStart w:id="713" w:name="_Toc488312651"/>
      <w:bookmarkEnd w:id="713"/>
      <w:bookmarkStart w:id="714" w:name="_Toc417651251"/>
      <w:bookmarkEnd w:id="714"/>
      <w:bookmarkStart w:id="715" w:name="_Toc490036466"/>
      <w:bookmarkEnd w:id="715"/>
      <w:bookmarkStart w:id="716" w:name="_Toc489519955"/>
      <w:bookmarkEnd w:id="716"/>
      <w:bookmarkStart w:id="717" w:name="_Toc489888534"/>
      <w:bookmarkEnd w:id="717"/>
      <w:bookmarkStart w:id="718" w:name="_Toc489219096"/>
      <w:bookmarkEnd w:id="718"/>
      <w:bookmarkStart w:id="719" w:name="_Toc410745245"/>
      <w:bookmarkEnd w:id="719"/>
      <w:bookmarkStart w:id="720" w:name="_Toc422842580"/>
      <w:bookmarkEnd w:id="720"/>
      <w:bookmarkStart w:id="721" w:name="_Toc489888371"/>
      <w:bookmarkEnd w:id="721"/>
      <w:bookmarkStart w:id="722" w:name="_Toc415675054"/>
      <w:bookmarkEnd w:id="722"/>
      <w:bookmarkStart w:id="723" w:name="_Toc417461516"/>
      <w:bookmarkEnd w:id="723"/>
      <w:bookmarkStart w:id="724" w:name="_Toc414525185"/>
      <w:bookmarkEnd w:id="724"/>
      <w:bookmarkStart w:id="725" w:name="_Toc417564838"/>
      <w:bookmarkEnd w:id="725"/>
      <w:bookmarkStart w:id="726" w:name="_Toc414525184"/>
      <w:bookmarkEnd w:id="726"/>
      <w:bookmarkStart w:id="727" w:name="_Toc411253359"/>
      <w:bookmarkEnd w:id="727"/>
    </w:p>
    <w:p>
      <w:pPr>
        <w:pStyle w:val="4"/>
        <w:bidi w:val="0"/>
        <w:rPr>
          <w:rFonts w:hint="eastAsia"/>
          <w:color w:val="auto"/>
          <w:highlight w:val="none"/>
        </w:rPr>
      </w:pPr>
      <w:r>
        <w:rPr>
          <w:rFonts w:hint="eastAsia"/>
          <w:color w:val="auto"/>
          <w:highlight w:val="none"/>
        </w:rPr>
        <w:t>防台风施工措施</w:t>
      </w:r>
    </w:p>
    <w:p>
      <w:pPr>
        <w:pStyle w:val="5"/>
        <w:bidi w:val="0"/>
        <w:rPr>
          <w:rFonts w:hint="eastAsia"/>
          <w:color w:val="auto"/>
          <w:highlight w:val="none"/>
        </w:rPr>
      </w:pPr>
      <w:r>
        <w:rPr>
          <w:rFonts w:hint="eastAsia"/>
          <w:color w:val="auto"/>
          <w:highlight w:val="none"/>
        </w:rPr>
        <w:t>组织措施</w:t>
      </w:r>
    </w:p>
    <w:p>
      <w:pPr>
        <w:keepNext w:val="0"/>
        <w:keepLines w:val="0"/>
        <w:widowControl w:val="0"/>
        <w:suppressLineNumbers w:val="0"/>
        <w:snapToGrid w:val="0"/>
        <w:spacing w:before="0" w:beforeAutospacing="0" w:after="0" w:afterAutospacing="0" w:line="360" w:lineRule="auto"/>
        <w:ind w:left="0" w:right="0" w:firstLine="480" w:firstLineChars="200"/>
        <w:jc w:val="both"/>
        <w:rPr>
          <w:rFonts w:hint="eastAsia" w:ascii="宋体" w:hAnsi="宋体" w:eastAsia="宋体" w:cs="Times New Roman"/>
          <w:color w:val="auto"/>
          <w:kern w:val="2"/>
          <w:sz w:val="24"/>
          <w:szCs w:val="24"/>
          <w:highlight w:val="none"/>
        </w:rPr>
      </w:pPr>
      <w:r>
        <w:rPr>
          <w:rFonts w:hint="eastAsia" w:ascii="宋体" w:hAnsi="宋体" w:eastAsia="宋体" w:cs="宋体"/>
          <w:snapToGrid/>
          <w:color w:val="auto"/>
          <w:kern w:val="2"/>
          <w:sz w:val="24"/>
          <w:szCs w:val="24"/>
          <w:highlight w:val="none"/>
          <w:lang w:val="en-US" w:eastAsia="zh-CN" w:bidi="ar"/>
        </w:rPr>
        <w:t>1）以</w:t>
      </w:r>
      <w:r>
        <w:rPr>
          <w:rFonts w:hint="eastAsia" w:cs="宋体"/>
          <w:snapToGrid/>
          <w:color w:val="auto"/>
          <w:kern w:val="2"/>
          <w:sz w:val="24"/>
          <w:szCs w:val="24"/>
          <w:highlight w:val="none"/>
          <w:lang w:val="en-US" w:eastAsia="zh-CN" w:bidi="ar"/>
        </w:rPr>
        <w:t>项目负责人</w:t>
      </w:r>
      <w:r>
        <w:rPr>
          <w:rFonts w:hint="eastAsia" w:ascii="宋体" w:hAnsi="宋体" w:eastAsia="宋体" w:cs="宋体"/>
          <w:snapToGrid/>
          <w:color w:val="auto"/>
          <w:kern w:val="2"/>
          <w:sz w:val="24"/>
          <w:szCs w:val="24"/>
          <w:highlight w:val="none"/>
          <w:lang w:val="en-US" w:eastAsia="zh-CN" w:bidi="ar"/>
        </w:rPr>
        <w:t>为现场防台风责任人，建立现场安全防台风领导小组。防台风小组职责为制定防台风预案及防台风检查制度，教育现场每个施工人员要认真执行各项防台风安全管理制度。在气象部门每次台风预警信息发布后，</w:t>
      </w:r>
      <w:r>
        <w:rPr>
          <w:rFonts w:hint="eastAsia" w:cs="宋体"/>
          <w:snapToGrid/>
          <w:color w:val="auto"/>
          <w:kern w:val="2"/>
          <w:sz w:val="24"/>
          <w:szCs w:val="24"/>
          <w:highlight w:val="none"/>
          <w:lang w:val="en-US" w:eastAsia="zh-CN" w:bidi="ar"/>
        </w:rPr>
        <w:t>项目负责人</w:t>
      </w:r>
      <w:r>
        <w:rPr>
          <w:rFonts w:hint="eastAsia" w:ascii="宋体" w:hAnsi="宋体" w:eastAsia="宋体" w:cs="宋体"/>
          <w:snapToGrid/>
          <w:color w:val="auto"/>
          <w:kern w:val="2"/>
          <w:sz w:val="24"/>
          <w:szCs w:val="24"/>
          <w:highlight w:val="none"/>
          <w:lang w:val="en-US" w:eastAsia="zh-CN" w:bidi="ar"/>
        </w:rPr>
        <w:t>立即组织防台风小组成员开会，进行防台风工作布置，并组织各项防台风措施落实。</w:t>
      </w:r>
    </w:p>
    <w:p>
      <w:pPr>
        <w:keepNext w:val="0"/>
        <w:keepLines w:val="0"/>
        <w:widowControl w:val="0"/>
        <w:suppressLineNumbers w:val="0"/>
        <w:snapToGrid w:val="0"/>
        <w:spacing w:before="0" w:beforeAutospacing="0" w:after="0" w:afterAutospacing="0" w:line="360" w:lineRule="auto"/>
        <w:ind w:left="0" w:right="0" w:firstLine="480" w:firstLineChars="200"/>
        <w:jc w:val="both"/>
        <w:rPr>
          <w:rFonts w:hint="eastAsia" w:ascii="宋体" w:hAnsi="宋体" w:eastAsia="宋体" w:cs="Times New Roman"/>
          <w:color w:val="auto"/>
          <w:kern w:val="2"/>
          <w:sz w:val="24"/>
          <w:szCs w:val="24"/>
          <w:highlight w:val="none"/>
        </w:rPr>
      </w:pPr>
      <w:r>
        <w:rPr>
          <w:rFonts w:hint="eastAsia" w:ascii="宋体" w:hAnsi="宋体" w:eastAsia="宋体" w:cs="宋体"/>
          <w:snapToGrid/>
          <w:color w:val="auto"/>
          <w:kern w:val="2"/>
          <w:sz w:val="24"/>
          <w:szCs w:val="24"/>
          <w:highlight w:val="none"/>
          <w:lang w:val="en-US" w:eastAsia="zh-CN" w:bidi="ar"/>
        </w:rPr>
        <w:t>2）防台风管理制度</w:t>
      </w:r>
    </w:p>
    <w:p>
      <w:pPr>
        <w:keepNext w:val="0"/>
        <w:keepLines w:val="0"/>
        <w:widowControl w:val="0"/>
        <w:suppressLineNumbers w:val="0"/>
        <w:snapToGrid w:val="0"/>
        <w:spacing w:before="0" w:beforeAutospacing="0" w:after="0" w:afterAutospacing="0" w:line="360" w:lineRule="auto"/>
        <w:ind w:left="0" w:right="0" w:firstLine="480" w:firstLineChars="200"/>
        <w:jc w:val="both"/>
        <w:rPr>
          <w:rFonts w:hint="eastAsia" w:ascii="宋体" w:hAnsi="宋体" w:eastAsia="宋体" w:cs="Times New Roman"/>
          <w:color w:val="auto"/>
          <w:kern w:val="2"/>
          <w:sz w:val="24"/>
          <w:szCs w:val="24"/>
          <w:highlight w:val="none"/>
        </w:rPr>
      </w:pPr>
      <w:r>
        <w:rPr>
          <w:rFonts w:hint="eastAsia" w:ascii="宋体" w:hAnsi="宋体" w:eastAsia="宋体" w:cs="宋体"/>
          <w:snapToGrid/>
          <w:color w:val="auto"/>
          <w:kern w:val="2"/>
          <w:sz w:val="24"/>
          <w:szCs w:val="24"/>
          <w:highlight w:val="none"/>
          <w:lang w:val="en-US" w:eastAsia="zh-CN" w:bidi="ar"/>
        </w:rPr>
        <w:t>a.在通讯群组、宣传栏等发布台风预警信息及停工通知，要求室外作业全部停工。</w:t>
      </w:r>
    </w:p>
    <w:p>
      <w:pPr>
        <w:keepNext w:val="0"/>
        <w:keepLines w:val="0"/>
        <w:widowControl w:val="0"/>
        <w:suppressLineNumbers w:val="0"/>
        <w:snapToGrid w:val="0"/>
        <w:spacing w:before="0" w:beforeAutospacing="0" w:after="0" w:afterAutospacing="0" w:line="360" w:lineRule="auto"/>
        <w:ind w:left="0" w:right="0" w:firstLine="480" w:firstLineChars="200"/>
        <w:jc w:val="both"/>
        <w:rPr>
          <w:rFonts w:hint="eastAsia" w:ascii="宋体" w:hAnsi="宋体" w:eastAsia="宋体" w:cs="Times New Roman"/>
          <w:color w:val="auto"/>
          <w:kern w:val="2"/>
          <w:sz w:val="24"/>
          <w:szCs w:val="24"/>
          <w:highlight w:val="none"/>
        </w:rPr>
      </w:pPr>
      <w:r>
        <w:rPr>
          <w:rFonts w:hint="eastAsia" w:ascii="宋体" w:hAnsi="宋体" w:eastAsia="宋体" w:cs="宋体"/>
          <w:snapToGrid/>
          <w:color w:val="auto"/>
          <w:kern w:val="2"/>
          <w:sz w:val="24"/>
          <w:szCs w:val="24"/>
          <w:highlight w:val="none"/>
          <w:lang w:val="en-US" w:eastAsia="zh-CN" w:bidi="ar"/>
        </w:rPr>
        <w:t>b.所有临建房屋要求对屋面进行加固，防止台风掀翻屋盖。</w:t>
      </w:r>
    </w:p>
    <w:p>
      <w:pPr>
        <w:keepNext w:val="0"/>
        <w:keepLines w:val="0"/>
        <w:widowControl w:val="0"/>
        <w:suppressLineNumbers w:val="0"/>
        <w:snapToGrid w:val="0"/>
        <w:spacing w:before="0" w:beforeAutospacing="0" w:after="0" w:afterAutospacing="0" w:line="360" w:lineRule="auto"/>
        <w:ind w:left="0" w:right="0" w:firstLine="480" w:firstLineChars="200"/>
        <w:jc w:val="both"/>
        <w:rPr>
          <w:rFonts w:hint="eastAsia" w:ascii="宋体" w:hAnsi="宋体" w:eastAsia="宋体" w:cs="Times New Roman"/>
          <w:color w:val="auto"/>
          <w:kern w:val="2"/>
          <w:sz w:val="24"/>
          <w:szCs w:val="24"/>
          <w:highlight w:val="none"/>
        </w:rPr>
      </w:pPr>
      <w:r>
        <w:rPr>
          <w:rFonts w:hint="eastAsia" w:ascii="宋体" w:hAnsi="宋体" w:eastAsia="宋体" w:cs="宋体"/>
          <w:snapToGrid/>
          <w:color w:val="auto"/>
          <w:kern w:val="2"/>
          <w:sz w:val="24"/>
          <w:szCs w:val="24"/>
          <w:highlight w:val="none"/>
          <w:lang w:val="en-US" w:eastAsia="zh-CN" w:bidi="ar"/>
        </w:rPr>
        <w:t>c.电气设备要求覆盖或安装防雨设施，室外配电箱安装防雨设备。</w:t>
      </w:r>
    </w:p>
    <w:p>
      <w:pPr>
        <w:keepNext w:val="0"/>
        <w:keepLines w:val="0"/>
        <w:widowControl w:val="0"/>
        <w:suppressLineNumbers w:val="0"/>
        <w:snapToGrid w:val="0"/>
        <w:spacing w:before="0" w:beforeAutospacing="0" w:after="0" w:afterAutospacing="0" w:line="360" w:lineRule="auto"/>
        <w:ind w:left="0" w:right="0" w:firstLine="480" w:firstLineChars="200"/>
        <w:jc w:val="both"/>
        <w:rPr>
          <w:rFonts w:hint="eastAsia" w:ascii="宋体" w:hAnsi="宋体" w:eastAsia="宋体" w:cs="Times New Roman"/>
          <w:color w:val="auto"/>
          <w:kern w:val="2"/>
          <w:sz w:val="24"/>
          <w:szCs w:val="24"/>
          <w:highlight w:val="none"/>
        </w:rPr>
      </w:pPr>
      <w:r>
        <w:rPr>
          <w:rFonts w:hint="eastAsia" w:ascii="宋体" w:hAnsi="宋体" w:eastAsia="宋体" w:cs="宋体"/>
          <w:snapToGrid/>
          <w:color w:val="auto"/>
          <w:kern w:val="2"/>
          <w:sz w:val="24"/>
          <w:szCs w:val="24"/>
          <w:highlight w:val="none"/>
          <w:lang w:val="en-US" w:eastAsia="zh-CN" w:bidi="ar"/>
        </w:rPr>
        <w:t>d.起重运输机械井架未附墙的，要求及时附墙。</w:t>
      </w:r>
    </w:p>
    <w:p>
      <w:pPr>
        <w:keepNext w:val="0"/>
        <w:keepLines w:val="0"/>
        <w:widowControl w:val="0"/>
        <w:suppressLineNumbers w:val="0"/>
        <w:snapToGrid w:val="0"/>
        <w:spacing w:before="0" w:beforeAutospacing="0" w:after="0" w:afterAutospacing="0" w:line="360" w:lineRule="auto"/>
        <w:ind w:left="0" w:right="0" w:firstLine="480" w:firstLineChars="200"/>
        <w:jc w:val="both"/>
        <w:rPr>
          <w:rFonts w:hint="eastAsia" w:ascii="宋体" w:hAnsi="宋体" w:eastAsia="宋体" w:cs="Times New Roman"/>
          <w:color w:val="auto"/>
          <w:kern w:val="2"/>
          <w:sz w:val="24"/>
          <w:szCs w:val="24"/>
          <w:highlight w:val="none"/>
        </w:rPr>
      </w:pPr>
      <w:r>
        <w:rPr>
          <w:rFonts w:hint="eastAsia" w:ascii="宋体" w:hAnsi="宋体" w:eastAsia="宋体" w:cs="宋体"/>
          <w:snapToGrid/>
          <w:color w:val="auto"/>
          <w:kern w:val="2"/>
          <w:sz w:val="24"/>
          <w:szCs w:val="24"/>
          <w:highlight w:val="none"/>
          <w:lang w:val="en-US" w:eastAsia="zh-CN" w:bidi="ar"/>
        </w:rPr>
        <w:t>e.外脚手架在顶部高度不能超过两步架，并要求安装好连墙件。</w:t>
      </w:r>
    </w:p>
    <w:p>
      <w:pPr>
        <w:keepNext w:val="0"/>
        <w:keepLines w:val="0"/>
        <w:widowControl w:val="0"/>
        <w:suppressLineNumbers w:val="0"/>
        <w:snapToGrid w:val="0"/>
        <w:spacing w:before="0" w:beforeAutospacing="0" w:after="0" w:afterAutospacing="0" w:line="360" w:lineRule="auto"/>
        <w:ind w:left="0" w:right="0" w:firstLine="480" w:firstLineChars="200"/>
        <w:jc w:val="both"/>
        <w:rPr>
          <w:rFonts w:hint="eastAsia" w:ascii="宋体" w:hAnsi="宋体" w:eastAsia="宋体" w:cs="Times New Roman"/>
          <w:color w:val="auto"/>
          <w:kern w:val="2"/>
          <w:sz w:val="24"/>
          <w:szCs w:val="24"/>
          <w:highlight w:val="none"/>
        </w:rPr>
      </w:pPr>
      <w:r>
        <w:rPr>
          <w:rFonts w:hint="eastAsia" w:ascii="宋体" w:hAnsi="宋体" w:eastAsia="宋体" w:cs="宋体"/>
          <w:snapToGrid/>
          <w:color w:val="auto"/>
          <w:kern w:val="2"/>
          <w:sz w:val="24"/>
          <w:szCs w:val="24"/>
          <w:highlight w:val="none"/>
          <w:lang w:val="en-US" w:eastAsia="zh-CN" w:bidi="ar"/>
        </w:rPr>
        <w:t>f.台风预警信息收到后，不能进行大型混凝土浇注。如楼面、地下室混凝土浇筑。</w:t>
      </w:r>
    </w:p>
    <w:p>
      <w:pPr>
        <w:pStyle w:val="5"/>
        <w:bidi w:val="0"/>
        <w:spacing w:line="360" w:lineRule="auto"/>
        <w:rPr>
          <w:rFonts w:hint="eastAsia"/>
          <w:color w:val="auto"/>
          <w:highlight w:val="none"/>
        </w:rPr>
      </w:pPr>
      <w:r>
        <w:rPr>
          <w:rFonts w:hint="eastAsia"/>
          <w:color w:val="auto"/>
          <w:highlight w:val="none"/>
        </w:rPr>
        <w:t>防台风安全专项施工方案</w:t>
      </w:r>
    </w:p>
    <w:p>
      <w:pPr>
        <w:keepNext w:val="0"/>
        <w:keepLines w:val="0"/>
        <w:widowControl w:val="0"/>
        <w:suppressLineNumbers w:val="0"/>
        <w:snapToGrid w:val="0"/>
        <w:spacing w:before="0" w:beforeAutospacing="0" w:after="0" w:afterAutospacing="0" w:line="360" w:lineRule="auto"/>
        <w:ind w:left="0" w:right="0" w:firstLine="0" w:firstLineChars="0"/>
        <w:jc w:val="both"/>
        <w:rPr>
          <w:rFonts w:hint="eastAsia" w:ascii="宋体" w:hAnsi="宋体" w:eastAsia="宋体" w:cs="Times New Roman"/>
          <w:color w:val="auto"/>
          <w:kern w:val="2"/>
          <w:sz w:val="24"/>
          <w:szCs w:val="24"/>
          <w:highlight w:val="none"/>
        </w:rPr>
      </w:pPr>
      <w:r>
        <w:rPr>
          <w:rFonts w:hint="eastAsia" w:ascii="宋体" w:hAnsi="宋体" w:eastAsia="宋体" w:cs="宋体"/>
          <w:snapToGrid/>
          <w:color w:val="auto"/>
          <w:kern w:val="2"/>
          <w:sz w:val="24"/>
          <w:szCs w:val="24"/>
          <w:highlight w:val="none"/>
          <w:lang w:val="en-US" w:eastAsia="zh-CN" w:bidi="ar"/>
        </w:rPr>
        <w:t>总承包人应编制详细的防台风安全专项施工方案，报监理人审批。该方案应根据具体施工图、工程进度计划及本地台风气候特点编制完成，提出切实可行的防台风措施。</w:t>
      </w:r>
    </w:p>
    <w:p>
      <w:pPr>
        <w:pStyle w:val="5"/>
        <w:bidi w:val="0"/>
        <w:spacing w:line="360" w:lineRule="auto"/>
        <w:rPr>
          <w:rFonts w:hint="eastAsia"/>
          <w:color w:val="auto"/>
          <w:highlight w:val="none"/>
        </w:rPr>
      </w:pPr>
      <w:r>
        <w:rPr>
          <w:rFonts w:hint="eastAsia"/>
          <w:color w:val="auto"/>
          <w:highlight w:val="none"/>
        </w:rPr>
        <w:t>施工现场措施</w:t>
      </w:r>
    </w:p>
    <w:p>
      <w:pPr>
        <w:keepNext w:val="0"/>
        <w:keepLines w:val="0"/>
        <w:widowControl w:val="0"/>
        <w:suppressLineNumbers w:val="0"/>
        <w:snapToGrid w:val="0"/>
        <w:spacing w:before="0" w:beforeAutospacing="0" w:after="0" w:afterAutospacing="0" w:line="360" w:lineRule="auto"/>
        <w:ind w:left="0" w:right="0" w:firstLine="480" w:firstLineChars="200"/>
        <w:jc w:val="both"/>
        <w:rPr>
          <w:rFonts w:hint="eastAsia" w:ascii="宋体" w:hAnsi="宋体" w:eastAsia="宋体" w:cs="Times New Roman"/>
          <w:color w:val="auto"/>
          <w:kern w:val="2"/>
          <w:sz w:val="24"/>
          <w:szCs w:val="24"/>
          <w:highlight w:val="none"/>
        </w:rPr>
      </w:pPr>
      <w:r>
        <w:rPr>
          <w:rFonts w:hint="eastAsia" w:ascii="宋体" w:hAnsi="宋体" w:eastAsia="宋体" w:cs="宋体"/>
          <w:snapToGrid/>
          <w:color w:val="auto"/>
          <w:kern w:val="2"/>
          <w:sz w:val="24"/>
          <w:szCs w:val="24"/>
          <w:highlight w:val="none"/>
          <w:lang w:val="en-US" w:eastAsia="zh-CN" w:bidi="ar"/>
        </w:rPr>
        <w:t>1）加强高处作业安全管理。排查高处作业情况，重点检查建筑工地“三宝”使用情况和临边洞口的防护情况。对存在问题的，立即予以整改。遇暴雨、六级以上强风，一律禁止进行攀登、悬空露天作业，确保人员安全。</w:t>
      </w:r>
    </w:p>
    <w:p>
      <w:pPr>
        <w:keepNext w:val="0"/>
        <w:keepLines w:val="0"/>
        <w:widowControl w:val="0"/>
        <w:suppressLineNumbers w:val="0"/>
        <w:snapToGrid w:val="0"/>
        <w:spacing w:before="0" w:beforeAutospacing="0" w:after="0" w:afterAutospacing="0" w:line="360" w:lineRule="auto"/>
        <w:ind w:left="0" w:right="0" w:firstLine="480" w:firstLineChars="200"/>
        <w:jc w:val="both"/>
        <w:rPr>
          <w:rFonts w:hint="eastAsia" w:ascii="宋体" w:hAnsi="宋体" w:eastAsia="宋体" w:cs="Times New Roman"/>
          <w:color w:val="auto"/>
          <w:kern w:val="2"/>
          <w:sz w:val="24"/>
          <w:szCs w:val="24"/>
          <w:highlight w:val="none"/>
        </w:rPr>
      </w:pPr>
      <w:r>
        <w:rPr>
          <w:rFonts w:hint="eastAsia" w:ascii="宋体" w:hAnsi="宋体" w:eastAsia="宋体" w:cs="宋体"/>
          <w:snapToGrid/>
          <w:color w:val="auto"/>
          <w:kern w:val="2"/>
          <w:sz w:val="24"/>
          <w:szCs w:val="24"/>
          <w:highlight w:val="none"/>
          <w:lang w:val="en-US" w:eastAsia="zh-CN" w:bidi="ar"/>
        </w:rPr>
        <w:t>2）加强工地应急处置准备管理。做好建筑工地应急处置的准备用工作，储备应急物资、检查应急设备，组织应急队伍，要确保排水设施、机电设备的安全正常运行，确保垂直运输设施的稳固和防风安全，确保临时用电设施防水防触电的安全措施落实到位。</w:t>
      </w:r>
    </w:p>
    <w:p>
      <w:pPr>
        <w:keepNext w:val="0"/>
        <w:keepLines w:val="0"/>
        <w:widowControl w:val="0"/>
        <w:suppressLineNumbers w:val="0"/>
        <w:snapToGrid w:val="0"/>
        <w:spacing w:before="0" w:beforeAutospacing="0" w:after="0" w:afterAutospacing="0" w:line="360" w:lineRule="auto"/>
        <w:ind w:left="0" w:right="0" w:firstLine="480" w:firstLineChars="200"/>
        <w:jc w:val="both"/>
        <w:rPr>
          <w:rFonts w:hint="eastAsia" w:ascii="宋体" w:hAnsi="宋体" w:eastAsia="宋体" w:cs="Times New Roman"/>
          <w:color w:val="auto"/>
          <w:kern w:val="2"/>
          <w:sz w:val="24"/>
          <w:szCs w:val="24"/>
          <w:highlight w:val="none"/>
        </w:rPr>
      </w:pPr>
      <w:r>
        <w:rPr>
          <w:rFonts w:hint="eastAsia" w:ascii="宋体" w:hAnsi="宋体" w:eastAsia="宋体" w:cs="宋体"/>
          <w:snapToGrid/>
          <w:color w:val="auto"/>
          <w:kern w:val="2"/>
          <w:sz w:val="24"/>
          <w:szCs w:val="24"/>
          <w:highlight w:val="none"/>
          <w:lang w:val="en-US" w:eastAsia="zh-CN" w:bidi="ar"/>
        </w:rPr>
        <w:t>3）注意及时收听收看气象灾害预警信息。本市气象台、电视台、广播电台、气象专线等媒体发布的台风、暴雨等气象灾害预警信息，根据天气变化及时做好工地防台风工作。</w:t>
      </w:r>
    </w:p>
    <w:p>
      <w:pPr>
        <w:keepNext w:val="0"/>
        <w:keepLines w:val="0"/>
        <w:widowControl w:val="0"/>
        <w:suppressLineNumbers w:val="0"/>
        <w:snapToGrid w:val="0"/>
        <w:spacing w:before="0" w:beforeAutospacing="0" w:after="0" w:afterAutospacing="0" w:line="360" w:lineRule="auto"/>
        <w:ind w:left="0" w:right="0" w:firstLine="480" w:firstLineChars="200"/>
        <w:jc w:val="both"/>
        <w:rPr>
          <w:rFonts w:hint="eastAsia" w:ascii="宋体" w:hAnsi="宋体" w:eastAsia="宋体" w:cs="Times New Roman"/>
          <w:color w:val="auto"/>
          <w:kern w:val="2"/>
          <w:sz w:val="24"/>
          <w:szCs w:val="24"/>
          <w:highlight w:val="none"/>
        </w:rPr>
      </w:pPr>
      <w:r>
        <w:rPr>
          <w:rFonts w:hint="eastAsia" w:ascii="宋体" w:hAnsi="宋体" w:eastAsia="宋体" w:cs="宋体"/>
          <w:snapToGrid/>
          <w:color w:val="auto"/>
          <w:kern w:val="2"/>
          <w:sz w:val="24"/>
          <w:szCs w:val="24"/>
          <w:highlight w:val="none"/>
          <w:lang w:val="en-US" w:eastAsia="zh-CN" w:bidi="ar"/>
        </w:rPr>
        <w:t>4）台风到来前严格按规定停止作业。台风橙色预警信号发布后，要停止施工和高空作业。作业人员要减少户外停留时间，特别注意不可在工地围墙下躲风避雨。</w:t>
      </w:r>
    </w:p>
    <w:p>
      <w:pPr>
        <w:keepNext w:val="0"/>
        <w:keepLines w:val="0"/>
        <w:widowControl w:val="0"/>
        <w:suppressLineNumbers w:val="0"/>
        <w:snapToGrid w:val="0"/>
        <w:spacing w:before="0" w:beforeAutospacing="0" w:after="0" w:afterAutospacing="0" w:line="360" w:lineRule="auto"/>
        <w:ind w:left="0" w:right="0" w:firstLine="480" w:firstLineChars="200"/>
        <w:jc w:val="both"/>
        <w:rPr>
          <w:rFonts w:hint="eastAsia" w:ascii="宋体" w:hAnsi="宋体" w:eastAsia="宋体" w:cs="Times New Roman"/>
          <w:color w:val="auto"/>
          <w:kern w:val="2"/>
          <w:sz w:val="24"/>
          <w:szCs w:val="24"/>
          <w:highlight w:val="none"/>
        </w:rPr>
      </w:pPr>
      <w:r>
        <w:rPr>
          <w:rFonts w:hint="eastAsia" w:ascii="宋体" w:hAnsi="宋体" w:eastAsia="宋体" w:cs="宋体"/>
          <w:snapToGrid/>
          <w:color w:val="auto"/>
          <w:kern w:val="2"/>
          <w:sz w:val="24"/>
          <w:szCs w:val="24"/>
          <w:highlight w:val="none"/>
          <w:lang w:val="en-US" w:eastAsia="zh-CN" w:bidi="ar"/>
        </w:rPr>
        <w:t>5）特殊情况下在高空作业突然来大风或台风来临时，施工人员不能及时下来躲避，要充分利用好安全带，将安全带牢牢系挂在牢固的结构上，并确保安全带的紧固性，必要时双手紧抱钢性构件或躲在设备挡风侧系挂好安全带，就近寻找避风点，保持镇定。</w:t>
      </w:r>
    </w:p>
    <w:p>
      <w:pPr>
        <w:keepNext w:val="0"/>
        <w:keepLines w:val="0"/>
        <w:widowControl w:val="0"/>
        <w:suppressLineNumbers w:val="0"/>
        <w:snapToGrid w:val="0"/>
        <w:spacing w:before="0" w:beforeAutospacing="0" w:after="0" w:afterAutospacing="0" w:line="360" w:lineRule="auto"/>
        <w:ind w:left="0" w:right="0" w:firstLine="480" w:firstLineChars="200"/>
        <w:jc w:val="both"/>
        <w:rPr>
          <w:rFonts w:hint="eastAsia" w:ascii="宋体" w:hAnsi="宋体" w:eastAsia="宋体" w:cs="宋体"/>
          <w:color w:val="auto"/>
          <w:kern w:val="2"/>
          <w:sz w:val="24"/>
          <w:szCs w:val="24"/>
          <w:highlight w:val="none"/>
        </w:rPr>
      </w:pPr>
      <w:r>
        <w:rPr>
          <w:rFonts w:hint="eastAsia" w:ascii="宋体" w:hAnsi="宋体" w:eastAsia="宋体" w:cs="宋体"/>
          <w:snapToGrid/>
          <w:color w:val="auto"/>
          <w:kern w:val="2"/>
          <w:sz w:val="24"/>
          <w:szCs w:val="24"/>
          <w:highlight w:val="none"/>
          <w:lang w:val="en-US" w:eastAsia="zh-CN" w:bidi="ar"/>
        </w:rPr>
        <w:t>6）加强工地排水，确保管网畅通。对周围的排水管道进行清理，确保排水畅通，减少台风期间工地积水，一旦出现堵水或内涝，要及时采取措施处理。</w:t>
      </w:r>
    </w:p>
    <w:p>
      <w:pPr>
        <w:keepNext w:val="0"/>
        <w:keepLines w:val="0"/>
        <w:widowControl w:val="0"/>
        <w:suppressLineNumbers w:val="0"/>
        <w:snapToGrid w:val="0"/>
        <w:spacing w:before="0" w:beforeAutospacing="0" w:after="0" w:afterAutospacing="0" w:line="360" w:lineRule="auto"/>
        <w:ind w:left="0" w:right="0" w:firstLine="480" w:firstLineChars="200"/>
        <w:jc w:val="both"/>
        <w:rPr>
          <w:rFonts w:hint="eastAsia" w:ascii="宋体" w:hAnsi="宋体" w:eastAsia="宋体" w:cs="宋体"/>
          <w:color w:val="auto"/>
          <w:kern w:val="2"/>
          <w:sz w:val="24"/>
          <w:szCs w:val="24"/>
          <w:highlight w:val="none"/>
        </w:rPr>
      </w:pPr>
      <w:r>
        <w:rPr>
          <w:rFonts w:hint="eastAsia" w:ascii="宋体" w:hAnsi="宋体" w:eastAsia="宋体" w:cs="宋体"/>
          <w:snapToGrid/>
          <w:color w:val="auto"/>
          <w:kern w:val="2"/>
          <w:sz w:val="24"/>
          <w:szCs w:val="24"/>
          <w:highlight w:val="none"/>
          <w:lang w:val="en-US" w:eastAsia="zh-CN" w:bidi="ar"/>
        </w:rPr>
        <w:t>7）土建施工争取赶在台风期到来前，完成大基础和主要构筑物的施工。必须进行混凝土浇筑时，应用两倍的草袋进行防护，并确保压牢。</w:t>
      </w:r>
    </w:p>
    <w:p>
      <w:pPr>
        <w:keepNext w:val="0"/>
        <w:keepLines w:val="0"/>
        <w:widowControl w:val="0"/>
        <w:suppressLineNumbers w:val="0"/>
        <w:snapToGrid w:val="0"/>
        <w:spacing w:before="0" w:beforeAutospacing="0" w:after="0" w:afterAutospacing="0" w:line="360" w:lineRule="auto"/>
        <w:ind w:left="0" w:right="0" w:firstLine="480" w:firstLineChars="200"/>
        <w:jc w:val="both"/>
        <w:rPr>
          <w:rFonts w:hint="eastAsia" w:ascii="宋体" w:hAnsi="宋体" w:eastAsia="宋体" w:cs="宋体"/>
          <w:color w:val="auto"/>
          <w:kern w:val="2"/>
          <w:sz w:val="24"/>
          <w:szCs w:val="24"/>
          <w:highlight w:val="none"/>
        </w:rPr>
      </w:pPr>
      <w:r>
        <w:rPr>
          <w:rFonts w:hint="eastAsia" w:ascii="宋体" w:hAnsi="宋体" w:eastAsia="宋体" w:cs="宋体"/>
          <w:snapToGrid/>
          <w:color w:val="auto"/>
          <w:kern w:val="2"/>
          <w:sz w:val="24"/>
          <w:szCs w:val="24"/>
          <w:highlight w:val="none"/>
          <w:lang w:val="en-US" w:eastAsia="zh-CN" w:bidi="ar"/>
        </w:rPr>
        <w:t>8）现场的铁皮、木板、石棉瓦等易被大风吹起的东西应打扫干净，材料设备摆好放牢。</w:t>
      </w:r>
    </w:p>
    <w:p>
      <w:pPr>
        <w:pStyle w:val="5"/>
        <w:bidi w:val="0"/>
        <w:spacing w:line="360" w:lineRule="auto"/>
        <w:rPr>
          <w:rFonts w:hint="eastAsia"/>
          <w:color w:val="auto"/>
          <w:highlight w:val="none"/>
        </w:rPr>
      </w:pPr>
      <w:r>
        <w:rPr>
          <w:rFonts w:hint="eastAsia"/>
          <w:color w:val="auto"/>
          <w:highlight w:val="none"/>
        </w:rPr>
        <w:t>暴雨防御措施</w:t>
      </w:r>
    </w:p>
    <w:p>
      <w:pPr>
        <w:keepNext w:val="0"/>
        <w:keepLines w:val="0"/>
        <w:widowControl w:val="0"/>
        <w:suppressLineNumbers w:val="0"/>
        <w:snapToGrid w:val="0"/>
        <w:spacing w:before="0" w:beforeAutospacing="0" w:after="0" w:afterAutospacing="0" w:line="360" w:lineRule="auto"/>
        <w:ind w:left="0" w:right="0" w:firstLine="480" w:firstLineChars="200"/>
        <w:jc w:val="both"/>
        <w:rPr>
          <w:rFonts w:hint="eastAsia" w:ascii="宋体" w:hAnsi="宋体" w:eastAsia="宋体" w:cs="宋体"/>
          <w:color w:val="auto"/>
          <w:kern w:val="2"/>
          <w:sz w:val="24"/>
          <w:szCs w:val="24"/>
          <w:highlight w:val="none"/>
        </w:rPr>
      </w:pPr>
      <w:r>
        <w:rPr>
          <w:rFonts w:hint="eastAsia" w:ascii="宋体" w:hAnsi="宋体" w:eastAsia="宋体" w:cs="宋体"/>
          <w:snapToGrid/>
          <w:color w:val="auto"/>
          <w:kern w:val="2"/>
          <w:sz w:val="24"/>
          <w:szCs w:val="24"/>
          <w:highlight w:val="none"/>
          <w:lang w:val="en-US" w:eastAsia="zh-CN" w:bidi="ar"/>
        </w:rPr>
        <w:t>1）检查排水设施或通道的可用性，检查应排水设备的可用性，检查门、窗、天台等易进雨的设施，收盖露天存放的物品，疏散低洼易浸地区物资，要注意广播、电视有关暴雨信息的最新广播。发现险情，在保证安全的情况下，组织抢险。雨后组织检查，排除险情和隐患。</w:t>
      </w:r>
    </w:p>
    <w:p>
      <w:pPr>
        <w:keepNext w:val="0"/>
        <w:keepLines w:val="0"/>
        <w:widowControl w:val="0"/>
        <w:suppressLineNumbers w:val="0"/>
        <w:snapToGrid w:val="0"/>
        <w:spacing w:before="0" w:beforeAutospacing="0" w:after="0" w:afterAutospacing="0" w:line="360" w:lineRule="auto"/>
        <w:ind w:left="0" w:right="0" w:firstLine="480" w:firstLineChars="200"/>
        <w:jc w:val="both"/>
        <w:rPr>
          <w:rFonts w:hint="eastAsia" w:ascii="宋体" w:hAnsi="宋体" w:eastAsia="宋体" w:cs="宋体"/>
          <w:color w:val="auto"/>
          <w:kern w:val="2"/>
          <w:sz w:val="24"/>
          <w:szCs w:val="24"/>
          <w:highlight w:val="none"/>
        </w:rPr>
      </w:pPr>
      <w:r>
        <w:rPr>
          <w:rFonts w:hint="eastAsia" w:ascii="宋体" w:hAnsi="宋体" w:eastAsia="宋体" w:cs="宋体"/>
          <w:snapToGrid/>
          <w:color w:val="auto"/>
          <w:kern w:val="2"/>
          <w:sz w:val="24"/>
          <w:szCs w:val="24"/>
          <w:highlight w:val="none"/>
          <w:lang w:val="en-US" w:eastAsia="zh-CN" w:bidi="ar"/>
        </w:rPr>
        <w:t>2）暂停在空矿地方的户外作业；外出应考虑天气和道路情况是否许可；检查户外电气设备、临时电气设备的抗风、抗雨措施；切断低洼地带有危险的室外电源；发现险情，在采取了安全措施的情况下，组织抢险。雨后组织检查，排除险情和隐患。</w:t>
      </w:r>
    </w:p>
    <w:p>
      <w:pPr>
        <w:keepNext w:val="0"/>
        <w:keepLines w:val="0"/>
        <w:widowControl w:val="0"/>
        <w:suppressLineNumbers w:val="0"/>
        <w:snapToGrid w:val="0"/>
        <w:spacing w:before="0" w:beforeAutospacing="0" w:after="0" w:afterAutospacing="0" w:line="360" w:lineRule="auto"/>
        <w:ind w:left="0" w:right="0" w:firstLine="480" w:firstLineChars="200"/>
        <w:jc w:val="both"/>
        <w:rPr>
          <w:rFonts w:hint="eastAsia" w:ascii="宋体" w:hAnsi="宋体" w:eastAsia="宋体" w:cs="宋体"/>
          <w:color w:val="auto"/>
          <w:kern w:val="2"/>
          <w:sz w:val="24"/>
          <w:szCs w:val="24"/>
          <w:highlight w:val="none"/>
        </w:rPr>
      </w:pPr>
      <w:r>
        <w:rPr>
          <w:rFonts w:hint="eastAsia" w:ascii="宋体" w:hAnsi="宋体" w:eastAsia="宋体" w:cs="宋体"/>
          <w:snapToGrid/>
          <w:color w:val="auto"/>
          <w:kern w:val="2"/>
          <w:sz w:val="24"/>
          <w:szCs w:val="24"/>
          <w:highlight w:val="none"/>
          <w:lang w:val="en-US" w:eastAsia="zh-CN" w:bidi="ar"/>
        </w:rPr>
        <w:t>3）室内停留人员，如办公区可能出现严重水淹，则报警，组织救援，到安全地方暂避；停止户外作业；停止非事故抢险的交通运输活动；雨后组织检查，排除险情和隐患。</w:t>
      </w:r>
    </w:p>
    <w:p>
      <w:pPr>
        <w:pStyle w:val="5"/>
        <w:bidi w:val="0"/>
        <w:spacing w:line="360" w:lineRule="auto"/>
        <w:rPr>
          <w:rFonts w:hint="eastAsia"/>
          <w:color w:val="auto"/>
          <w:highlight w:val="none"/>
        </w:rPr>
      </w:pPr>
      <w:r>
        <w:rPr>
          <w:rFonts w:hint="eastAsia"/>
          <w:color w:val="auto"/>
          <w:highlight w:val="none"/>
        </w:rPr>
        <w:t>雷暴防御措施</w:t>
      </w:r>
    </w:p>
    <w:p>
      <w:pPr>
        <w:keepNext w:val="0"/>
        <w:keepLines w:val="0"/>
        <w:widowControl w:val="0"/>
        <w:suppressLineNumbers w:val="0"/>
        <w:snapToGrid w:val="0"/>
        <w:spacing w:before="0" w:beforeAutospacing="0" w:after="0" w:afterAutospacing="0" w:line="360" w:lineRule="auto"/>
        <w:ind w:left="0" w:right="0" w:firstLine="480" w:firstLineChars="200"/>
        <w:jc w:val="both"/>
        <w:rPr>
          <w:rFonts w:hint="eastAsia" w:ascii="宋体" w:hAnsi="宋体" w:eastAsia="宋体" w:cs="Times New Roman"/>
          <w:color w:val="auto"/>
          <w:kern w:val="2"/>
          <w:sz w:val="24"/>
          <w:szCs w:val="24"/>
          <w:highlight w:val="none"/>
        </w:rPr>
      </w:pPr>
      <w:r>
        <w:rPr>
          <w:rFonts w:hint="eastAsia" w:ascii="宋体" w:hAnsi="宋体" w:eastAsia="宋体" w:cs="宋体"/>
          <w:snapToGrid/>
          <w:color w:val="auto"/>
          <w:kern w:val="2"/>
          <w:sz w:val="24"/>
          <w:szCs w:val="24"/>
          <w:highlight w:val="none"/>
          <w:lang w:val="en-US" w:eastAsia="zh-CN" w:bidi="ar"/>
        </w:rPr>
        <w:t>在雷暴来临之前完成所有防雷接地的检查。雷暴期间，停止一切户外活动，防雷暴措施方法如下：</w:t>
      </w:r>
    </w:p>
    <w:p>
      <w:pPr>
        <w:keepNext w:val="0"/>
        <w:keepLines w:val="0"/>
        <w:widowControl w:val="0"/>
        <w:suppressLineNumbers w:val="0"/>
        <w:snapToGrid w:val="0"/>
        <w:spacing w:before="0" w:beforeAutospacing="0" w:after="0" w:afterAutospacing="0" w:line="360" w:lineRule="auto"/>
        <w:ind w:left="0" w:right="0" w:firstLine="480" w:firstLineChars="200"/>
        <w:jc w:val="both"/>
        <w:rPr>
          <w:rFonts w:hint="eastAsia" w:ascii="宋体" w:hAnsi="宋体" w:eastAsia="宋体" w:cs="宋体"/>
          <w:color w:val="auto"/>
          <w:kern w:val="2"/>
          <w:sz w:val="24"/>
          <w:szCs w:val="24"/>
          <w:highlight w:val="none"/>
        </w:rPr>
      </w:pPr>
      <w:r>
        <w:rPr>
          <w:rFonts w:hint="eastAsia" w:ascii="宋体" w:hAnsi="宋体" w:eastAsia="宋体" w:cs="宋体"/>
          <w:snapToGrid/>
          <w:color w:val="auto"/>
          <w:kern w:val="2"/>
          <w:sz w:val="24"/>
          <w:szCs w:val="24"/>
          <w:highlight w:val="none"/>
          <w:lang w:val="en-US" w:eastAsia="zh-CN" w:bidi="ar"/>
        </w:rPr>
        <w:t>1）避雷针设置</w:t>
      </w:r>
    </w:p>
    <w:p>
      <w:pPr>
        <w:keepNext w:val="0"/>
        <w:keepLines w:val="0"/>
        <w:widowControl w:val="0"/>
        <w:suppressLineNumbers w:val="0"/>
        <w:snapToGrid w:val="0"/>
        <w:spacing w:before="0" w:beforeAutospacing="0" w:after="0" w:afterAutospacing="0" w:line="360" w:lineRule="auto"/>
        <w:ind w:left="0" w:right="0" w:firstLine="480" w:firstLineChars="200"/>
        <w:jc w:val="both"/>
        <w:rPr>
          <w:rFonts w:hint="eastAsia" w:ascii="宋体" w:hAnsi="宋体" w:eastAsia="宋体" w:cs="宋体"/>
          <w:color w:val="auto"/>
          <w:kern w:val="2"/>
          <w:sz w:val="24"/>
          <w:szCs w:val="24"/>
          <w:highlight w:val="none"/>
        </w:rPr>
      </w:pPr>
      <w:r>
        <w:rPr>
          <w:rFonts w:hint="eastAsia" w:ascii="宋体" w:hAnsi="宋体" w:eastAsia="宋体" w:cs="宋体"/>
          <w:snapToGrid/>
          <w:color w:val="auto"/>
          <w:kern w:val="2"/>
          <w:sz w:val="24"/>
          <w:szCs w:val="24"/>
          <w:highlight w:val="none"/>
          <w:lang w:val="en-US" w:eastAsia="zh-CN" w:bidi="ar"/>
        </w:rPr>
        <w:t>所有正在施工建造的建筑物，当高度在20m以上应装设避雷针。施工现场内的塔吊及脚手架机械设备，若在相邻建筑物、构筑物的防雷设置的保护范围以外，则应安装避雷针。机械设备上的避雷针的防雷引下线可利用该设备的金属结构体，但应保证电气联接。机械设备所有的动力、控制、照明、信号及通信等线路，应采用钢管敷设。钢管与机械设备的金属结构体作焊接以保证其接地通道的电气连接。</w:t>
      </w:r>
    </w:p>
    <w:p>
      <w:pPr>
        <w:keepNext w:val="0"/>
        <w:keepLines w:val="0"/>
        <w:widowControl w:val="0"/>
        <w:suppressLineNumbers w:val="0"/>
        <w:snapToGrid w:val="0"/>
        <w:spacing w:before="0" w:beforeAutospacing="0" w:after="0" w:afterAutospacing="0" w:line="360" w:lineRule="auto"/>
        <w:ind w:left="480" w:leftChars="200" w:right="0" w:firstLine="0" w:firstLineChars="0"/>
        <w:jc w:val="both"/>
        <w:rPr>
          <w:rFonts w:hint="eastAsia" w:ascii="宋体" w:hAnsi="宋体" w:eastAsia="宋体" w:cs="宋体"/>
          <w:color w:val="auto"/>
          <w:kern w:val="2"/>
          <w:sz w:val="24"/>
          <w:szCs w:val="24"/>
          <w:highlight w:val="none"/>
        </w:rPr>
      </w:pPr>
      <w:r>
        <w:rPr>
          <w:rFonts w:hint="eastAsia" w:ascii="宋体" w:hAnsi="宋体" w:eastAsia="宋体" w:cs="宋体"/>
          <w:snapToGrid/>
          <w:color w:val="auto"/>
          <w:kern w:val="2"/>
          <w:sz w:val="24"/>
          <w:szCs w:val="24"/>
          <w:highlight w:val="none"/>
          <w:lang w:val="en-US" w:eastAsia="zh-CN" w:bidi="ar"/>
        </w:rPr>
        <w:t>2）防止感应雷击的措施</w:t>
      </w:r>
    </w:p>
    <w:p>
      <w:pPr>
        <w:keepNext w:val="0"/>
        <w:keepLines w:val="0"/>
        <w:widowControl w:val="0"/>
        <w:suppressLineNumbers w:val="0"/>
        <w:snapToGrid w:val="0"/>
        <w:spacing w:before="0" w:beforeAutospacing="0" w:after="0" w:afterAutospacing="0" w:line="360" w:lineRule="auto"/>
        <w:ind w:left="0" w:right="0" w:firstLine="480" w:firstLineChars="200"/>
        <w:jc w:val="both"/>
        <w:rPr>
          <w:color w:val="auto"/>
          <w:highlight w:val="none"/>
        </w:rPr>
      </w:pPr>
      <w:r>
        <w:rPr>
          <w:rFonts w:hint="eastAsia" w:ascii="宋体" w:hAnsi="宋体" w:eastAsia="宋体" w:cs="宋体"/>
          <w:snapToGrid/>
          <w:color w:val="auto"/>
          <w:kern w:val="2"/>
          <w:sz w:val="24"/>
          <w:szCs w:val="24"/>
          <w:highlight w:val="none"/>
          <w:lang w:val="en-US" w:eastAsia="zh-CN" w:bidi="ar"/>
        </w:rPr>
        <w:t>建筑物在施工过程中，其避雷针（网、带）及其接地装置，应采取自下而上的施工程序，即首先安装集中接地装置，后安装引下线，最后安装接闪器。建筑物内的金属设备、金属管道、结构钢筋均应做到有良好的接地。</w:t>
      </w:r>
    </w:p>
    <w:p>
      <w:pPr>
        <w:pStyle w:val="4"/>
        <w:bidi w:val="0"/>
        <w:rPr>
          <w:color w:val="auto"/>
          <w:highlight w:val="none"/>
        </w:rPr>
      </w:pPr>
      <w:r>
        <w:rPr>
          <w:rFonts w:hint="eastAsia"/>
          <w:color w:val="auto"/>
          <w:highlight w:val="none"/>
        </w:rPr>
        <w:t>夜间施工措施</w:t>
      </w:r>
    </w:p>
    <w:p>
      <w:pPr>
        <w:pStyle w:val="5"/>
        <w:bidi w:val="0"/>
        <w:ind w:left="253"/>
        <w:rPr>
          <w:color w:val="auto"/>
          <w:highlight w:val="none"/>
        </w:rPr>
      </w:pPr>
      <w:r>
        <w:rPr>
          <w:rFonts w:hint="eastAsia"/>
          <w:color w:val="auto"/>
          <w:highlight w:val="none"/>
        </w:rPr>
        <w:t>夜间施工应满足当地政府要求，办理相关许可证。</w:t>
      </w:r>
    </w:p>
    <w:p>
      <w:pPr>
        <w:pStyle w:val="5"/>
        <w:bidi w:val="0"/>
        <w:ind w:left="253"/>
        <w:rPr>
          <w:color w:val="auto"/>
          <w:highlight w:val="none"/>
        </w:rPr>
      </w:pPr>
      <w:r>
        <w:rPr>
          <w:color w:val="auto"/>
          <w:highlight w:val="none"/>
        </w:rPr>
        <w:t>根据现场情况，夜间施工尽量安排噪音小的工作，避免影响邻近居民休息。</w:t>
      </w:r>
    </w:p>
    <w:p>
      <w:pPr>
        <w:pStyle w:val="5"/>
        <w:bidi w:val="0"/>
        <w:ind w:left="253"/>
        <w:rPr>
          <w:color w:val="auto"/>
          <w:highlight w:val="none"/>
        </w:rPr>
      </w:pPr>
      <w:r>
        <w:rPr>
          <w:color w:val="auto"/>
          <w:highlight w:val="none"/>
        </w:rPr>
        <w:t>夜间施工时，应保证有足够的照明设施，能满足夜间施工需要，并准备备用电源。</w:t>
      </w:r>
    </w:p>
    <w:p>
      <w:pPr>
        <w:pStyle w:val="5"/>
        <w:bidi w:val="0"/>
        <w:ind w:left="253"/>
        <w:rPr>
          <w:color w:val="auto"/>
          <w:highlight w:val="none"/>
        </w:rPr>
      </w:pPr>
      <w:r>
        <w:rPr>
          <w:color w:val="auto"/>
          <w:highlight w:val="none"/>
        </w:rPr>
        <w:t>施工现场设置明显的交通标志、安全标牌、警戒灯等标志，标志牌具备夜间荧光功能</w:t>
      </w:r>
      <w:r>
        <w:rPr>
          <w:rFonts w:hint="eastAsia"/>
          <w:color w:val="auto"/>
          <w:highlight w:val="none"/>
        </w:rPr>
        <w:t>，</w:t>
      </w:r>
      <w:r>
        <w:rPr>
          <w:color w:val="auto"/>
          <w:highlight w:val="none"/>
        </w:rPr>
        <w:t>保证施工机械和施工人员的施工安全。施工人员需穿戴反光警示服。</w:t>
      </w:r>
    </w:p>
    <w:p>
      <w:pPr>
        <w:pStyle w:val="5"/>
        <w:bidi w:val="0"/>
        <w:ind w:left="253"/>
        <w:rPr>
          <w:color w:val="auto"/>
          <w:highlight w:val="none"/>
        </w:rPr>
      </w:pPr>
      <w:r>
        <w:rPr>
          <w:color w:val="auto"/>
          <w:highlight w:val="none"/>
        </w:rPr>
        <w:t>夜间气候恶劣的情况下严禁施工作业。</w:t>
      </w:r>
    </w:p>
    <w:p>
      <w:pPr>
        <w:pStyle w:val="3"/>
        <w:bidi w:val="0"/>
        <w:rPr>
          <w:rFonts w:hint="eastAsia"/>
          <w:color w:val="auto"/>
          <w:highlight w:val="none"/>
          <w:lang w:val="en-US" w:eastAsia="zh-CN"/>
        </w:rPr>
      </w:pPr>
      <w:bookmarkStart w:id="728" w:name="_Toc520245260"/>
      <w:bookmarkEnd w:id="728"/>
      <w:bookmarkStart w:id="729" w:name="_Toc520244632"/>
      <w:bookmarkEnd w:id="729"/>
      <w:bookmarkStart w:id="730" w:name="_Toc12484"/>
      <w:bookmarkStart w:id="731" w:name="_Toc30731"/>
      <w:bookmarkStart w:id="732" w:name="_Toc32724"/>
      <w:bookmarkStart w:id="733" w:name="_Toc24519"/>
      <w:bookmarkStart w:id="734" w:name="_Toc5839"/>
      <w:bookmarkStart w:id="735" w:name="_Toc8012"/>
      <w:bookmarkStart w:id="736" w:name="_Toc31974"/>
      <w:bookmarkStart w:id="737" w:name="_Toc18182"/>
      <w:bookmarkStart w:id="738" w:name="_Toc9603"/>
      <w:bookmarkStart w:id="739" w:name="_Toc21151"/>
      <w:bookmarkStart w:id="740" w:name="_Toc13682"/>
      <w:bookmarkStart w:id="741" w:name="_Toc422854855"/>
      <w:bookmarkStart w:id="742" w:name="_Toc169722232"/>
      <w:r>
        <w:rPr>
          <w:rFonts w:hint="eastAsia"/>
          <w:color w:val="auto"/>
          <w:highlight w:val="none"/>
          <w:lang w:eastAsia="zh-CN"/>
        </w:rPr>
        <w:t>地基基础工程</w:t>
      </w:r>
      <w:r>
        <w:rPr>
          <w:rFonts w:hint="eastAsia"/>
          <w:color w:val="auto"/>
          <w:highlight w:val="none"/>
          <w:lang w:val="en-US" w:eastAsia="zh-CN"/>
        </w:rPr>
        <w:t>施工技术要求</w:t>
      </w:r>
      <w:bookmarkEnd w:id="730"/>
      <w:bookmarkEnd w:id="731"/>
      <w:bookmarkEnd w:id="732"/>
      <w:bookmarkEnd w:id="733"/>
      <w:bookmarkEnd w:id="734"/>
      <w:bookmarkEnd w:id="735"/>
      <w:bookmarkEnd w:id="736"/>
      <w:bookmarkEnd w:id="737"/>
      <w:bookmarkEnd w:id="738"/>
      <w:bookmarkEnd w:id="739"/>
      <w:bookmarkEnd w:id="740"/>
    </w:p>
    <w:p>
      <w:pPr>
        <w:bidi w:val="0"/>
        <w:rPr>
          <w:color w:val="auto"/>
          <w:highlight w:val="none"/>
          <w:lang w:eastAsia="zh-CN"/>
        </w:rPr>
      </w:pPr>
      <w:r>
        <w:rPr>
          <w:rFonts w:hint="eastAsia"/>
          <w:color w:val="auto"/>
          <w:highlight w:val="none"/>
          <w:lang w:eastAsia="zh-CN"/>
        </w:rPr>
        <w:t>地基处理、桩基础、砖胎膜施工、防水施工、以及大体积混凝土浇筑等按照现行规范组织施工，实行全过程旁站，隐蔽验收、材料进场均采取举牌等可视化验收。</w:t>
      </w:r>
    </w:p>
    <w:p>
      <w:pPr>
        <w:bidi w:val="0"/>
        <w:rPr>
          <w:color w:val="auto"/>
          <w:highlight w:val="none"/>
          <w:lang w:eastAsia="zh-CN"/>
        </w:rPr>
      </w:pPr>
      <w:r>
        <w:rPr>
          <w:rFonts w:hint="eastAsia"/>
          <w:color w:val="auto"/>
          <w:highlight w:val="none"/>
          <w:lang w:eastAsia="zh-CN"/>
        </w:rPr>
        <w:t>（1）设计单位通过试桩给定收桩的相关数据，并按该规定执行，涉及打（压）桩顺序、承台土方开挖顺序按监理人批准的施工方案实行；</w:t>
      </w:r>
    </w:p>
    <w:p>
      <w:pPr>
        <w:bidi w:val="0"/>
        <w:rPr>
          <w:color w:val="auto"/>
          <w:highlight w:val="none"/>
          <w:lang w:eastAsia="zh-CN"/>
        </w:rPr>
      </w:pPr>
      <w:r>
        <w:rPr>
          <w:rFonts w:hint="eastAsia"/>
          <w:color w:val="auto"/>
          <w:highlight w:val="none"/>
          <w:lang w:eastAsia="zh-CN"/>
        </w:rPr>
        <w:t>（2）基础工程严格按照设计图纸、规范施工，所有原材进场应进行见证验收计量、送检，材料品牌按照合同要求以及看样定板通过材料执行。实体工程应进行现场抽样，抽样结果作为结算依据。</w:t>
      </w:r>
    </w:p>
    <w:p>
      <w:pPr>
        <w:bidi w:val="0"/>
        <w:rPr>
          <w:color w:val="auto"/>
          <w:highlight w:val="none"/>
          <w:lang w:eastAsia="zh-CN"/>
        </w:rPr>
      </w:pPr>
      <w:r>
        <w:rPr>
          <w:rFonts w:hint="eastAsia"/>
          <w:color w:val="auto"/>
          <w:highlight w:val="none"/>
          <w:lang w:eastAsia="zh-CN"/>
        </w:rPr>
        <w:t>（3）砖胎膜砌筑，砖胎膜需编制专项施工方案报监理单位、设计单位以及发包人审批后实施，原则上承台深度≤800mm的采用60mm厚承台板，承台深度800mm~1500mm采用200mm厚砌块砖砌筑，1500mm以上采用240mm砌块砖并每隔2米设置400*400mm砖柱。承台砖胎膜砌筑完成后抹灰施工前应由承包人验收合格并报监理人现场每个承台举牌验收。</w:t>
      </w:r>
    </w:p>
    <w:p>
      <w:pPr>
        <w:bidi w:val="0"/>
        <w:rPr>
          <w:color w:val="auto"/>
          <w:highlight w:val="none"/>
          <w:lang w:eastAsia="zh-CN"/>
        </w:rPr>
      </w:pPr>
      <w:r>
        <w:rPr>
          <w:rFonts w:hint="eastAsia"/>
          <w:color w:val="auto"/>
          <w:highlight w:val="none"/>
          <w:lang w:eastAsia="zh-CN"/>
        </w:rPr>
        <w:t>（5）承台及地梁混凝土浇筑前，必须清理完毕内部的积水、杂物，基础底板施工应编制专项施工方案，涉及底板防水、后浇带必须由施工单位出具详细深化图报设计单位确认以及监理审批后方可施工；桩头处理及锚固应按监理工程师审批通过的专项方案实施；大体积混凝土按规定配料、浇筑、监测、养护；土方回填按规范要求分层回填、逐层压实；</w:t>
      </w:r>
    </w:p>
    <w:p>
      <w:pPr>
        <w:bidi w:val="0"/>
        <w:rPr>
          <w:color w:val="auto"/>
          <w:highlight w:val="none"/>
        </w:rPr>
      </w:pPr>
      <w:r>
        <w:rPr>
          <w:rFonts w:hint="eastAsia"/>
          <w:color w:val="auto"/>
          <w:highlight w:val="none"/>
          <w:lang w:eastAsia="zh-CN"/>
        </w:rPr>
        <w:t>（6）地基基础工程见证、验收资料应现场签署并即时存档，所有计量设备应由具备资质的第三方单位校定检测。</w:t>
      </w:r>
    </w:p>
    <w:p>
      <w:pPr>
        <w:pStyle w:val="3"/>
        <w:bidi w:val="0"/>
        <w:rPr>
          <w:color w:val="auto"/>
          <w:highlight w:val="none"/>
        </w:rPr>
      </w:pPr>
      <w:bookmarkStart w:id="743" w:name="_Toc26211"/>
      <w:bookmarkStart w:id="744" w:name="_Toc26775"/>
      <w:bookmarkStart w:id="745" w:name="_Toc261"/>
      <w:bookmarkStart w:id="746" w:name="_Toc756"/>
      <w:bookmarkStart w:id="747" w:name="_Toc30558"/>
      <w:bookmarkStart w:id="748" w:name="_Toc7521"/>
      <w:bookmarkStart w:id="749" w:name="_Toc31265"/>
      <w:bookmarkStart w:id="750" w:name="_Toc20690"/>
      <w:bookmarkStart w:id="751" w:name="_Toc18027"/>
      <w:bookmarkStart w:id="752" w:name="_Toc274"/>
      <w:bookmarkStart w:id="753" w:name="_Toc29657"/>
      <w:r>
        <w:rPr>
          <w:color w:val="auto"/>
          <w:highlight w:val="none"/>
        </w:rPr>
        <w:t>混凝土工程施工技术要求</w:t>
      </w:r>
      <w:bookmarkEnd w:id="741"/>
      <w:bookmarkEnd w:id="742"/>
      <w:bookmarkEnd w:id="743"/>
      <w:bookmarkEnd w:id="744"/>
      <w:bookmarkEnd w:id="745"/>
      <w:bookmarkEnd w:id="746"/>
      <w:bookmarkEnd w:id="747"/>
      <w:bookmarkEnd w:id="748"/>
      <w:bookmarkEnd w:id="749"/>
      <w:bookmarkEnd w:id="750"/>
      <w:bookmarkEnd w:id="751"/>
      <w:bookmarkEnd w:id="752"/>
      <w:bookmarkEnd w:id="753"/>
    </w:p>
    <w:p>
      <w:pPr>
        <w:pStyle w:val="4"/>
        <w:bidi w:val="0"/>
        <w:rPr>
          <w:color w:val="auto"/>
          <w:highlight w:val="none"/>
        </w:rPr>
      </w:pPr>
      <w:r>
        <w:rPr>
          <w:rFonts w:hint="eastAsia"/>
          <w:color w:val="auto"/>
          <w:highlight w:val="none"/>
        </w:rPr>
        <w:t>钢筋工程</w:t>
      </w:r>
    </w:p>
    <w:p>
      <w:pPr>
        <w:pStyle w:val="5"/>
        <w:bidi w:val="0"/>
        <w:ind w:left="253"/>
        <w:rPr>
          <w:color w:val="auto"/>
          <w:highlight w:val="none"/>
        </w:rPr>
      </w:pPr>
      <w:r>
        <w:rPr>
          <w:rFonts w:hint="eastAsia"/>
          <w:color w:val="auto"/>
          <w:highlight w:val="none"/>
        </w:rPr>
        <w:t>质量标准</w:t>
      </w:r>
    </w:p>
    <w:p>
      <w:pPr>
        <w:numPr>
          <w:ilvl w:val="0"/>
          <w:numId w:val="28"/>
        </w:numPr>
        <w:bidi w:val="0"/>
        <w:ind w:left="310" w:leftChars="0"/>
        <w:rPr>
          <w:rFonts w:hint="eastAsia" w:ascii="宋体" w:hAnsi="宋体" w:eastAsia="宋体"/>
          <w:color w:val="auto"/>
          <w:highlight w:val="none"/>
        </w:rPr>
      </w:pPr>
      <w:r>
        <w:rPr>
          <w:rFonts w:hint="eastAsia" w:ascii="宋体" w:hAnsi="宋体" w:eastAsia="宋体"/>
          <w:color w:val="auto"/>
          <w:highlight w:val="none"/>
        </w:rPr>
        <w:t>应符合现行国家和行业有关钢筋工程的规范和标准。</w:t>
      </w:r>
    </w:p>
    <w:p>
      <w:pPr>
        <w:numPr>
          <w:ilvl w:val="0"/>
          <w:numId w:val="28"/>
        </w:numPr>
        <w:bidi w:val="0"/>
        <w:ind w:left="310" w:leftChars="0"/>
        <w:rPr>
          <w:rFonts w:hint="eastAsia" w:ascii="宋体" w:hAnsi="宋体" w:eastAsia="宋体"/>
          <w:color w:val="auto"/>
          <w:highlight w:val="none"/>
        </w:rPr>
      </w:pPr>
      <w:r>
        <w:rPr>
          <w:rFonts w:hint="eastAsia" w:ascii="宋体" w:hAnsi="宋体" w:eastAsia="宋体"/>
          <w:color w:val="auto"/>
          <w:highlight w:val="none"/>
        </w:rPr>
        <w:t>钢筋的规格、形状、尺寸、数量、间距、锚固长度、接头位置、保护层厚度须符合设计要求和施工规范的规定。</w:t>
      </w:r>
    </w:p>
    <w:p>
      <w:pPr>
        <w:numPr>
          <w:ilvl w:val="0"/>
          <w:numId w:val="28"/>
        </w:numPr>
        <w:bidi w:val="0"/>
        <w:ind w:left="310" w:leftChars="0"/>
        <w:rPr>
          <w:rFonts w:hint="eastAsia" w:ascii="宋体" w:hAnsi="宋体" w:eastAsia="宋体"/>
          <w:color w:val="auto"/>
          <w:highlight w:val="none"/>
        </w:rPr>
      </w:pPr>
      <w:r>
        <w:rPr>
          <w:rFonts w:hint="eastAsia" w:ascii="宋体" w:hAnsi="宋体" w:eastAsia="宋体"/>
          <w:color w:val="auto"/>
          <w:highlight w:val="none"/>
        </w:rPr>
        <w:t>钢筋骨架绑扎，缺扣、松扣不超过应绑扎数据的10%，且不应集中。</w:t>
      </w:r>
    </w:p>
    <w:p>
      <w:pPr>
        <w:numPr>
          <w:ilvl w:val="0"/>
          <w:numId w:val="28"/>
        </w:numPr>
        <w:bidi w:val="0"/>
        <w:ind w:left="310" w:leftChars="0"/>
        <w:rPr>
          <w:rFonts w:hint="eastAsia" w:ascii="宋体" w:hAnsi="宋体" w:eastAsia="宋体"/>
          <w:color w:val="auto"/>
          <w:highlight w:val="none"/>
        </w:rPr>
      </w:pPr>
      <w:r>
        <w:rPr>
          <w:rFonts w:hint="eastAsia" w:ascii="宋体" w:hAnsi="宋体" w:eastAsia="宋体"/>
          <w:color w:val="auto"/>
          <w:highlight w:val="none"/>
        </w:rPr>
        <w:t>钢筋弯钩的朝向正确，绑扎接头符合施工规范的规定，搭接长度不小于规定值。</w:t>
      </w:r>
    </w:p>
    <w:p>
      <w:pPr>
        <w:numPr>
          <w:ilvl w:val="0"/>
          <w:numId w:val="28"/>
        </w:numPr>
        <w:bidi w:val="0"/>
        <w:ind w:left="310" w:leftChars="0"/>
        <w:rPr>
          <w:rFonts w:hint="eastAsia" w:ascii="宋体" w:hAnsi="宋体" w:eastAsia="宋体"/>
          <w:color w:val="auto"/>
          <w:highlight w:val="none"/>
        </w:rPr>
      </w:pPr>
      <w:r>
        <w:rPr>
          <w:rFonts w:hint="eastAsia" w:ascii="宋体" w:hAnsi="宋体" w:eastAsia="宋体"/>
          <w:color w:val="auto"/>
          <w:highlight w:val="none"/>
        </w:rPr>
        <w:t>所有焊接接头必须进行外观检验，其要求是：焊缝表面平顺，没有较明显的咬边、凹陷、焊瘤、夹渣及气孔，严禁有裂纹出现。</w:t>
      </w:r>
    </w:p>
    <w:p>
      <w:pPr>
        <w:pStyle w:val="5"/>
        <w:bidi w:val="0"/>
        <w:ind w:left="253"/>
        <w:rPr>
          <w:color w:val="auto"/>
          <w:highlight w:val="none"/>
        </w:rPr>
      </w:pPr>
      <w:r>
        <w:rPr>
          <w:rFonts w:hint="eastAsia"/>
          <w:color w:val="auto"/>
          <w:highlight w:val="none"/>
        </w:rPr>
        <w:t>钢筋材料验收要求</w:t>
      </w:r>
    </w:p>
    <w:p>
      <w:pPr>
        <w:bidi w:val="0"/>
        <w:rPr>
          <w:color w:val="auto"/>
          <w:highlight w:val="none"/>
        </w:rPr>
      </w:pPr>
      <w:r>
        <w:rPr>
          <w:color w:val="auto"/>
          <w:highlight w:val="none"/>
        </w:rPr>
        <w:t>送到施工现场的每一批热轧钢筋应符合如下条件：</w:t>
      </w:r>
    </w:p>
    <w:p>
      <w:pPr>
        <w:numPr>
          <w:ilvl w:val="0"/>
          <w:numId w:val="29"/>
        </w:numPr>
        <w:bidi w:val="0"/>
        <w:ind w:left="310" w:leftChars="0"/>
        <w:rPr>
          <w:rFonts w:ascii="宋体" w:hAnsi="宋体" w:eastAsia="宋体"/>
          <w:color w:val="auto"/>
          <w:highlight w:val="none"/>
        </w:rPr>
      </w:pPr>
      <w:r>
        <w:rPr>
          <w:rFonts w:hint="eastAsia" w:ascii="宋体" w:hAnsi="宋体" w:eastAsia="宋体"/>
          <w:color w:val="auto"/>
          <w:highlight w:val="none"/>
        </w:rPr>
        <w:t>有加盖供应单位公章的质量证明书，质量证明书应真实且与钢筋铭牌上信息相对应。</w:t>
      </w:r>
    </w:p>
    <w:p>
      <w:pPr>
        <w:numPr>
          <w:ilvl w:val="0"/>
          <w:numId w:val="29"/>
        </w:numPr>
        <w:bidi w:val="0"/>
        <w:ind w:left="310" w:leftChars="0"/>
        <w:rPr>
          <w:rFonts w:ascii="宋体" w:hAnsi="宋体" w:eastAsia="宋体"/>
          <w:color w:val="auto"/>
          <w:highlight w:val="none"/>
        </w:rPr>
      </w:pPr>
      <w:r>
        <w:rPr>
          <w:rFonts w:hint="eastAsia" w:ascii="宋体" w:hAnsi="宋体" w:eastAsia="宋体"/>
          <w:color w:val="auto"/>
          <w:highlight w:val="none"/>
        </w:rPr>
        <w:t>钢筋有出厂合格证即铭牌, 对抗震设防要求的结构，重点关注是否有E标钢筋要求。</w:t>
      </w:r>
    </w:p>
    <w:p>
      <w:pPr>
        <w:numPr>
          <w:ilvl w:val="0"/>
          <w:numId w:val="29"/>
        </w:numPr>
        <w:bidi w:val="0"/>
        <w:ind w:left="310" w:leftChars="0"/>
        <w:rPr>
          <w:rFonts w:ascii="宋体" w:hAnsi="宋体" w:eastAsia="宋体"/>
          <w:color w:val="auto"/>
          <w:highlight w:val="none"/>
        </w:rPr>
      </w:pPr>
      <w:r>
        <w:rPr>
          <w:rFonts w:hint="eastAsia" w:ascii="宋体" w:hAnsi="宋体" w:eastAsia="宋体"/>
          <w:color w:val="auto"/>
          <w:highlight w:val="none"/>
        </w:rPr>
        <w:t>钢筋外观无损伤，表面无裂纹、油污或锈斑。</w:t>
      </w:r>
    </w:p>
    <w:p>
      <w:pPr>
        <w:numPr>
          <w:ilvl w:val="0"/>
          <w:numId w:val="29"/>
        </w:numPr>
        <w:bidi w:val="0"/>
        <w:ind w:left="310" w:leftChars="0"/>
        <w:rPr>
          <w:rFonts w:ascii="宋体" w:hAnsi="宋体" w:eastAsia="宋体"/>
          <w:color w:val="auto"/>
          <w:highlight w:val="none"/>
        </w:rPr>
      </w:pPr>
      <w:r>
        <w:rPr>
          <w:rFonts w:hint="eastAsia" w:ascii="宋体" w:hAnsi="宋体" w:eastAsia="宋体"/>
          <w:color w:val="auto"/>
          <w:highlight w:val="none"/>
        </w:rPr>
        <w:t>总承包人在监理人监督下见证取样送检，检验报告合格。</w:t>
      </w:r>
    </w:p>
    <w:p>
      <w:pPr>
        <w:numPr>
          <w:ilvl w:val="0"/>
          <w:numId w:val="29"/>
        </w:numPr>
        <w:bidi w:val="0"/>
        <w:ind w:left="310" w:leftChars="0"/>
        <w:rPr>
          <w:rFonts w:ascii="宋体" w:hAnsi="宋体" w:eastAsia="宋体"/>
          <w:color w:val="auto"/>
          <w:highlight w:val="none"/>
        </w:rPr>
      </w:pPr>
      <w:r>
        <w:rPr>
          <w:rFonts w:hint="eastAsia" w:ascii="宋体" w:hAnsi="宋体" w:eastAsia="宋体"/>
          <w:color w:val="auto"/>
          <w:highlight w:val="none"/>
        </w:rPr>
        <w:t>所有进场钢筋待检测合格后方可投入使用。</w:t>
      </w:r>
    </w:p>
    <w:p>
      <w:pPr>
        <w:pStyle w:val="5"/>
        <w:bidi w:val="0"/>
        <w:ind w:left="253"/>
        <w:rPr>
          <w:color w:val="auto"/>
          <w:highlight w:val="none"/>
        </w:rPr>
      </w:pPr>
      <w:r>
        <w:rPr>
          <w:rFonts w:hint="eastAsia"/>
          <w:color w:val="auto"/>
          <w:highlight w:val="none"/>
        </w:rPr>
        <w:t>质量关键点控制</w:t>
      </w:r>
    </w:p>
    <w:p>
      <w:pPr>
        <w:numPr>
          <w:ilvl w:val="0"/>
          <w:numId w:val="30"/>
        </w:numPr>
        <w:bidi w:val="0"/>
        <w:ind w:left="310" w:leftChars="0"/>
        <w:rPr>
          <w:rFonts w:hint="eastAsia" w:ascii="宋体" w:hAnsi="宋体" w:eastAsia="宋体"/>
          <w:color w:val="auto"/>
          <w:highlight w:val="none"/>
        </w:rPr>
      </w:pPr>
      <w:r>
        <w:rPr>
          <w:rFonts w:hint="eastAsia" w:ascii="宋体" w:hAnsi="宋体" w:eastAsia="宋体"/>
          <w:color w:val="auto"/>
          <w:highlight w:val="none"/>
        </w:rPr>
        <w:t>钢筋加工：加工标准挂牌于现场，加工前有详细的技术交底及加工翻样图，分别明示于各自的操作台前。直螺纹套丝钢筋端头端面宜平整并与钢筋轴线垂直，不得有马蹄形或扭曲，钢筋端部不得有弯曲，套丝检查合格后套上塑料保护帽。钢筋应采用机械调直，严禁采用冷拉、冷拔的方法。</w:t>
      </w:r>
    </w:p>
    <w:p>
      <w:pPr>
        <w:numPr>
          <w:ilvl w:val="0"/>
          <w:numId w:val="30"/>
        </w:numPr>
        <w:bidi w:val="0"/>
        <w:ind w:left="310" w:leftChars="0"/>
        <w:rPr>
          <w:rFonts w:hint="eastAsia" w:ascii="宋体" w:hAnsi="宋体" w:eastAsia="宋体"/>
          <w:color w:val="auto"/>
          <w:highlight w:val="none"/>
        </w:rPr>
      </w:pPr>
      <w:r>
        <w:rPr>
          <w:rFonts w:hint="eastAsia" w:ascii="宋体" w:hAnsi="宋体" w:eastAsia="宋体"/>
          <w:color w:val="auto"/>
          <w:highlight w:val="none"/>
        </w:rPr>
        <w:t>钢筋翻样：要考虑水电、设备等预留洞的位置，尽量不切断钢筋，电盒焊在附加的钢筋上，安装牢固，不得焊在主筋上。</w:t>
      </w:r>
    </w:p>
    <w:p>
      <w:pPr>
        <w:numPr>
          <w:ilvl w:val="0"/>
          <w:numId w:val="30"/>
        </w:numPr>
        <w:bidi w:val="0"/>
        <w:ind w:left="310" w:leftChars="0"/>
        <w:rPr>
          <w:rFonts w:hint="eastAsia" w:ascii="宋体" w:hAnsi="宋体" w:eastAsia="宋体"/>
          <w:color w:val="auto"/>
          <w:highlight w:val="none"/>
        </w:rPr>
      </w:pPr>
      <w:r>
        <w:rPr>
          <w:rFonts w:hint="eastAsia" w:ascii="宋体" w:hAnsi="宋体" w:eastAsia="宋体"/>
          <w:color w:val="auto"/>
          <w:highlight w:val="none"/>
        </w:rPr>
        <w:t>楼板钢筋绑扎：在模板上根据楼板钢筋间距画线后绑扎，包括起步筋的位置。板筋应100%绑扎。</w:t>
      </w:r>
    </w:p>
    <w:p>
      <w:pPr>
        <w:numPr>
          <w:ilvl w:val="0"/>
          <w:numId w:val="30"/>
        </w:numPr>
        <w:bidi w:val="0"/>
        <w:ind w:left="310" w:leftChars="0"/>
        <w:rPr>
          <w:rFonts w:hint="eastAsia" w:ascii="宋体" w:hAnsi="宋体" w:eastAsia="宋体"/>
          <w:color w:val="auto"/>
          <w:highlight w:val="none"/>
        </w:rPr>
      </w:pPr>
      <w:r>
        <w:rPr>
          <w:rFonts w:hint="eastAsia" w:ascii="宋体" w:hAnsi="宋体" w:eastAsia="宋体"/>
          <w:color w:val="auto"/>
          <w:highlight w:val="none"/>
        </w:rPr>
        <w:t>加工后的直螺纹接头应用专用模具检查。直螺纹接头连接后应检查外露丝扣，合格后做好标识。</w:t>
      </w:r>
    </w:p>
    <w:p>
      <w:pPr>
        <w:numPr>
          <w:ilvl w:val="0"/>
          <w:numId w:val="30"/>
        </w:numPr>
        <w:bidi w:val="0"/>
        <w:ind w:left="310" w:leftChars="0"/>
        <w:rPr>
          <w:rFonts w:hint="eastAsia" w:ascii="宋体" w:hAnsi="宋体" w:eastAsia="宋体"/>
          <w:color w:val="auto"/>
          <w:highlight w:val="none"/>
        </w:rPr>
      </w:pPr>
      <w:r>
        <w:rPr>
          <w:rFonts w:hint="eastAsia" w:ascii="宋体" w:hAnsi="宋体" w:eastAsia="宋体"/>
          <w:color w:val="auto"/>
          <w:highlight w:val="none"/>
        </w:rPr>
        <w:t>楼板混凝土浇筑前，应搭设操作马道，严格控制负弯矩筋被踩下，在模板上摆放钢筋马凳，上面铺设架板，架板离混凝土成品面层不得小于100mm，以方便操作。</w:t>
      </w:r>
    </w:p>
    <w:p>
      <w:pPr>
        <w:numPr>
          <w:ilvl w:val="0"/>
          <w:numId w:val="30"/>
        </w:numPr>
        <w:bidi w:val="0"/>
        <w:ind w:left="310" w:leftChars="0"/>
        <w:rPr>
          <w:rFonts w:hint="eastAsia" w:ascii="宋体" w:hAnsi="宋体" w:eastAsia="宋体"/>
          <w:color w:val="auto"/>
          <w:highlight w:val="none"/>
        </w:rPr>
      </w:pPr>
      <w:r>
        <w:rPr>
          <w:rFonts w:hint="eastAsia" w:ascii="宋体" w:hAnsi="宋体" w:eastAsia="宋体"/>
          <w:color w:val="auto"/>
          <w:highlight w:val="none"/>
        </w:rPr>
        <w:t>保护层垫块的材质及间距：钢筋保护层厚度应符合设计、规范要求，垫块采用成品水泥砂浆垫块或其他成品垫块，板底钢筋垫块数量设置应满足保护层要求；负弯矩钢筋应设置通长马凳，其间距不应超过600mm。</w:t>
      </w:r>
    </w:p>
    <w:p>
      <w:pPr>
        <w:numPr>
          <w:ilvl w:val="0"/>
          <w:numId w:val="30"/>
        </w:numPr>
        <w:bidi w:val="0"/>
        <w:ind w:left="310" w:leftChars="0"/>
        <w:rPr>
          <w:rFonts w:hint="eastAsia" w:ascii="宋体" w:hAnsi="宋体" w:eastAsia="宋体"/>
          <w:color w:val="auto"/>
          <w:highlight w:val="none"/>
        </w:rPr>
      </w:pPr>
      <w:r>
        <w:rPr>
          <w:rFonts w:hint="eastAsia" w:ascii="宋体" w:hAnsi="宋体" w:eastAsia="宋体"/>
          <w:color w:val="auto"/>
          <w:highlight w:val="none"/>
        </w:rPr>
        <w:t>基础底板钢筋绑扎时，马凳需经过受力计算，安全可靠，确保能承受底板上层钢筋负重，工人进入两层钢筋之间进行作业前，需总承包人项目总工核实安全可靠后方可进入。</w:t>
      </w:r>
    </w:p>
    <w:p>
      <w:pPr>
        <w:pStyle w:val="4"/>
        <w:bidi w:val="0"/>
        <w:rPr>
          <w:color w:val="auto"/>
          <w:highlight w:val="none"/>
        </w:rPr>
      </w:pPr>
      <w:r>
        <w:rPr>
          <w:rFonts w:hint="eastAsia"/>
          <w:color w:val="auto"/>
          <w:highlight w:val="none"/>
        </w:rPr>
        <w:t>模板工程</w:t>
      </w:r>
    </w:p>
    <w:p>
      <w:pPr>
        <w:pStyle w:val="5"/>
        <w:bidi w:val="0"/>
        <w:ind w:left="253"/>
        <w:rPr>
          <w:color w:val="auto"/>
          <w:highlight w:val="none"/>
        </w:rPr>
      </w:pPr>
      <w:r>
        <w:rPr>
          <w:rFonts w:hint="eastAsia"/>
          <w:color w:val="auto"/>
          <w:highlight w:val="none"/>
        </w:rPr>
        <w:t>木模板</w:t>
      </w:r>
    </w:p>
    <w:p>
      <w:pPr>
        <w:numPr>
          <w:ilvl w:val="0"/>
          <w:numId w:val="31"/>
        </w:numPr>
        <w:bidi w:val="0"/>
        <w:rPr>
          <w:color w:val="auto"/>
          <w:highlight w:val="none"/>
        </w:rPr>
      </w:pPr>
      <w:r>
        <w:rPr>
          <w:rFonts w:hint="eastAsia"/>
          <w:color w:val="auto"/>
          <w:highlight w:val="none"/>
        </w:rPr>
        <w:t>质量标准</w:t>
      </w:r>
    </w:p>
    <w:p>
      <w:pPr>
        <w:numPr>
          <w:ilvl w:val="0"/>
          <w:numId w:val="32"/>
        </w:numPr>
        <w:bidi w:val="0"/>
        <w:ind w:left="480" w:leftChars="0"/>
        <w:rPr>
          <w:color w:val="auto"/>
          <w:highlight w:val="none"/>
        </w:rPr>
      </w:pPr>
      <w:r>
        <w:rPr>
          <w:rFonts w:hint="eastAsia"/>
          <w:color w:val="auto"/>
          <w:highlight w:val="none"/>
        </w:rPr>
        <w:t>模板支设应保证主体结构成活后色泽一致，无漏浆漏振、蜂窝、麻面，接缝平整，棱角方正，线条顺直，各项实测指标合格。</w:t>
      </w:r>
    </w:p>
    <w:p>
      <w:pPr>
        <w:numPr>
          <w:ilvl w:val="0"/>
          <w:numId w:val="32"/>
        </w:numPr>
        <w:bidi w:val="0"/>
        <w:ind w:left="480" w:leftChars="0"/>
        <w:rPr>
          <w:color w:val="auto"/>
          <w:highlight w:val="none"/>
        </w:rPr>
      </w:pPr>
      <w:r>
        <w:rPr>
          <w:color w:val="auto"/>
          <w:highlight w:val="none"/>
        </w:rPr>
        <w:t>模板工程一次合格率不得低于98%，整改后合格率100%。确保混凝土拆模后实测实量</w:t>
      </w:r>
      <w:r>
        <w:rPr>
          <w:rFonts w:hint="eastAsia"/>
          <w:color w:val="auto"/>
          <w:highlight w:val="none"/>
        </w:rPr>
        <w:t>一次</w:t>
      </w:r>
      <w:r>
        <w:rPr>
          <w:color w:val="auto"/>
          <w:highlight w:val="none"/>
        </w:rPr>
        <w:t>合格率不低于95%</w:t>
      </w:r>
      <w:r>
        <w:rPr>
          <w:rFonts w:hint="eastAsia"/>
          <w:color w:val="auto"/>
          <w:highlight w:val="none"/>
        </w:rPr>
        <w:t>，轻度整改后合格率不低于</w:t>
      </w:r>
      <w:r>
        <w:rPr>
          <w:color w:val="auto"/>
          <w:highlight w:val="none"/>
        </w:rPr>
        <w:t>97%</w:t>
      </w:r>
      <w:r>
        <w:rPr>
          <w:rFonts w:hint="eastAsia"/>
          <w:color w:val="auto"/>
          <w:highlight w:val="none"/>
        </w:rPr>
        <w:t>。</w:t>
      </w:r>
    </w:p>
    <w:p>
      <w:pPr>
        <w:numPr>
          <w:ilvl w:val="0"/>
          <w:numId w:val="32"/>
        </w:numPr>
        <w:bidi w:val="0"/>
        <w:ind w:left="480" w:leftChars="0"/>
        <w:rPr>
          <w:color w:val="auto"/>
          <w:highlight w:val="none"/>
        </w:rPr>
      </w:pPr>
      <w:r>
        <w:rPr>
          <w:rFonts w:hint="eastAsia"/>
          <w:color w:val="auto"/>
          <w:highlight w:val="none"/>
        </w:rPr>
        <w:t>原材料</w:t>
      </w:r>
    </w:p>
    <w:p>
      <w:pPr>
        <w:numPr>
          <w:ilvl w:val="0"/>
          <w:numId w:val="32"/>
        </w:numPr>
        <w:bidi w:val="0"/>
        <w:ind w:left="480" w:leftChars="0"/>
        <w:rPr>
          <w:color w:val="auto"/>
          <w:highlight w:val="none"/>
        </w:rPr>
      </w:pPr>
      <w:r>
        <w:rPr>
          <w:rFonts w:hint="eastAsia"/>
          <w:color w:val="auto"/>
          <w:highlight w:val="none"/>
        </w:rPr>
        <w:t>采用</w:t>
      </w:r>
      <w:r>
        <w:rPr>
          <w:rFonts w:hint="eastAsia"/>
          <w:color w:val="auto"/>
          <w:highlight w:val="none"/>
          <w:lang w:val="en-US" w:eastAsia="zh-CN"/>
        </w:rPr>
        <w:t>全新</w:t>
      </w:r>
      <w:r>
        <w:rPr>
          <w:rFonts w:hint="eastAsia"/>
          <w:color w:val="auto"/>
          <w:highlight w:val="none"/>
        </w:rPr>
        <w:t>胶合覆膜板，要求不少于1</w:t>
      </w:r>
      <w:r>
        <w:rPr>
          <w:rFonts w:hint="eastAsia"/>
          <w:color w:val="auto"/>
          <w:highlight w:val="none"/>
          <w:lang w:val="en-US" w:eastAsia="zh-CN"/>
        </w:rPr>
        <w:t>4</w:t>
      </w:r>
      <w:r>
        <w:rPr>
          <w:rFonts w:hint="eastAsia"/>
          <w:color w:val="auto"/>
          <w:highlight w:val="none"/>
        </w:rPr>
        <w:t>mm厚，厚度偏差满足GB∕T 17656-2018 混凝土模板用胶合板规范要求</w:t>
      </w:r>
      <w:r>
        <w:rPr>
          <w:rFonts w:hint="eastAsia"/>
          <w:color w:val="auto"/>
          <w:highlight w:val="none"/>
          <w:lang w:eastAsia="zh-CN"/>
        </w:rPr>
        <w:t>，</w:t>
      </w:r>
      <w:r>
        <w:rPr>
          <w:rFonts w:hint="eastAsia"/>
          <w:color w:val="auto"/>
          <w:highlight w:val="none"/>
        </w:rPr>
        <w:t>胶合强度单个试件≥</w:t>
      </w:r>
      <w:r>
        <w:rPr>
          <w:color w:val="auto"/>
          <w:highlight w:val="none"/>
        </w:rPr>
        <w:t>0.7Mpa</w:t>
      </w:r>
      <w:r>
        <w:rPr>
          <w:rFonts w:hint="eastAsia"/>
          <w:color w:val="auto"/>
          <w:highlight w:val="none"/>
        </w:rPr>
        <w:t>，静曲强度顺纹≥</w:t>
      </w:r>
      <w:r>
        <w:rPr>
          <w:color w:val="auto"/>
          <w:highlight w:val="none"/>
        </w:rPr>
        <w:t>45Mpa</w:t>
      </w:r>
      <w:r>
        <w:rPr>
          <w:rFonts w:hint="eastAsia"/>
          <w:color w:val="auto"/>
          <w:highlight w:val="none"/>
        </w:rPr>
        <w:t>，横纹≥</w:t>
      </w:r>
      <w:r>
        <w:rPr>
          <w:color w:val="auto"/>
          <w:highlight w:val="none"/>
        </w:rPr>
        <w:t>30Mpa</w:t>
      </w:r>
      <w:r>
        <w:rPr>
          <w:rFonts w:hint="eastAsia"/>
          <w:color w:val="auto"/>
          <w:highlight w:val="none"/>
        </w:rPr>
        <w:t>；弹性模量顺纹≥</w:t>
      </w:r>
      <w:r>
        <w:rPr>
          <w:color w:val="auto"/>
          <w:highlight w:val="none"/>
        </w:rPr>
        <w:t>6000Mpa</w:t>
      </w:r>
      <w:r>
        <w:rPr>
          <w:rFonts w:hint="eastAsia"/>
          <w:color w:val="auto"/>
          <w:highlight w:val="none"/>
        </w:rPr>
        <w:t>，横纹≥</w:t>
      </w:r>
      <w:r>
        <w:rPr>
          <w:color w:val="auto"/>
          <w:highlight w:val="none"/>
        </w:rPr>
        <w:t>4500Mpa</w:t>
      </w:r>
      <w:r>
        <w:rPr>
          <w:rFonts w:hint="eastAsia"/>
          <w:color w:val="auto"/>
          <w:highlight w:val="none"/>
        </w:rPr>
        <w:t>。</w:t>
      </w:r>
    </w:p>
    <w:p>
      <w:pPr>
        <w:numPr>
          <w:ilvl w:val="0"/>
          <w:numId w:val="32"/>
        </w:numPr>
        <w:bidi w:val="0"/>
        <w:ind w:left="480" w:leftChars="0"/>
        <w:rPr>
          <w:color w:val="auto"/>
          <w:highlight w:val="none"/>
        </w:rPr>
      </w:pPr>
      <w:r>
        <w:rPr>
          <w:rFonts w:hint="eastAsia"/>
          <w:color w:val="auto"/>
          <w:highlight w:val="none"/>
        </w:rPr>
        <w:t>梁模板周转次数不</w:t>
      </w:r>
      <w:r>
        <w:rPr>
          <w:rFonts w:hint="eastAsia"/>
          <w:color w:val="auto"/>
          <w:highlight w:val="none"/>
          <w:lang w:val="en-US" w:eastAsia="zh-CN"/>
        </w:rPr>
        <w:t>宜</w:t>
      </w:r>
      <w:r>
        <w:rPr>
          <w:rFonts w:hint="eastAsia"/>
          <w:color w:val="auto"/>
          <w:highlight w:val="none"/>
        </w:rPr>
        <w:t>大于</w:t>
      </w:r>
      <w:r>
        <w:rPr>
          <w:rFonts w:hint="eastAsia"/>
          <w:color w:val="auto"/>
          <w:highlight w:val="none"/>
          <w:lang w:eastAsia="zh-CN"/>
        </w:rPr>
        <w:t>3</w:t>
      </w:r>
      <w:r>
        <w:rPr>
          <w:rFonts w:hint="eastAsia"/>
          <w:color w:val="auto"/>
          <w:highlight w:val="none"/>
        </w:rPr>
        <w:t>次，其他部位模板周转次数不</w:t>
      </w:r>
      <w:r>
        <w:rPr>
          <w:rFonts w:hint="eastAsia"/>
          <w:color w:val="auto"/>
          <w:highlight w:val="none"/>
          <w:lang w:val="en-US" w:eastAsia="zh-CN"/>
        </w:rPr>
        <w:t>宜</w:t>
      </w:r>
      <w:r>
        <w:rPr>
          <w:rFonts w:hint="eastAsia"/>
          <w:color w:val="auto"/>
          <w:highlight w:val="none"/>
        </w:rPr>
        <w:t>大于</w:t>
      </w:r>
      <w:r>
        <w:rPr>
          <w:rFonts w:hint="eastAsia"/>
          <w:color w:val="auto"/>
          <w:highlight w:val="none"/>
          <w:lang w:eastAsia="zh-CN"/>
        </w:rPr>
        <w:t>4</w:t>
      </w:r>
      <w:r>
        <w:rPr>
          <w:rFonts w:hint="eastAsia"/>
          <w:color w:val="auto"/>
          <w:highlight w:val="none"/>
        </w:rPr>
        <w:t>次，若模板出现边缘破损应及时更换。</w:t>
      </w:r>
    </w:p>
    <w:p>
      <w:pPr>
        <w:numPr>
          <w:ilvl w:val="0"/>
          <w:numId w:val="32"/>
        </w:numPr>
        <w:bidi w:val="0"/>
        <w:ind w:left="480" w:leftChars="0"/>
        <w:rPr>
          <w:color w:val="auto"/>
          <w:highlight w:val="none"/>
        </w:rPr>
      </w:pPr>
      <w:r>
        <w:rPr>
          <w:rFonts w:hint="eastAsia"/>
          <w:color w:val="auto"/>
          <w:highlight w:val="none"/>
        </w:rPr>
        <w:t>墙柱主、次楞应采用方钢、槽钢，断面一致。钢材表面应平直光滑，不应有裂缝、结疤、分层、错位、硬弯、毛刺、压痕和深划痕。钢管采用</w:t>
      </w:r>
      <w:r>
        <w:rPr>
          <w:color w:val="auto"/>
          <w:highlight w:val="none"/>
        </w:rPr>
        <w:t>Φ48.3×3.6 mm</w:t>
      </w:r>
      <w:r>
        <w:rPr>
          <w:rFonts w:hint="eastAsia"/>
          <w:color w:val="auto"/>
          <w:highlight w:val="none"/>
        </w:rPr>
        <w:t>，即外径</w:t>
      </w:r>
      <w:r>
        <w:rPr>
          <w:color w:val="auto"/>
          <w:highlight w:val="none"/>
        </w:rPr>
        <w:t>48.3 mm</w:t>
      </w:r>
      <w:r>
        <w:rPr>
          <w:rFonts w:hint="eastAsia"/>
          <w:color w:val="auto"/>
          <w:highlight w:val="none"/>
        </w:rPr>
        <w:t>，壁厚</w:t>
      </w:r>
      <w:r>
        <w:rPr>
          <w:color w:val="auto"/>
          <w:highlight w:val="none"/>
        </w:rPr>
        <w:t>3.6 mm</w:t>
      </w:r>
      <w:r>
        <w:rPr>
          <w:rFonts w:hint="eastAsia"/>
          <w:color w:val="auto"/>
          <w:highlight w:val="none"/>
        </w:rPr>
        <w:t>。钢管表面和材料要求与方钢相同。</w:t>
      </w:r>
      <w:r>
        <w:rPr>
          <w:color w:val="auto"/>
          <w:highlight w:val="none"/>
        </w:rPr>
        <w:t xml:space="preserve">                                                </w:t>
      </w:r>
    </w:p>
    <w:p>
      <w:pPr>
        <w:numPr>
          <w:ilvl w:val="0"/>
          <w:numId w:val="32"/>
        </w:numPr>
        <w:bidi w:val="0"/>
        <w:ind w:left="480" w:leftChars="0"/>
        <w:rPr>
          <w:color w:val="auto"/>
          <w:highlight w:val="none"/>
        </w:rPr>
      </w:pPr>
      <w:r>
        <w:rPr>
          <w:rFonts w:hint="eastAsia"/>
          <w:color w:val="auto"/>
          <w:highlight w:val="none"/>
        </w:rPr>
        <w:t>止水螺杆采用三段式止水螺杆，地上穿墙螺杆直径≥</w:t>
      </w:r>
      <w:r>
        <w:rPr>
          <w:color w:val="auto"/>
          <w:highlight w:val="none"/>
        </w:rPr>
        <w:t>12mm</w:t>
      </w:r>
      <w:r>
        <w:rPr>
          <w:rFonts w:hint="eastAsia"/>
          <w:color w:val="auto"/>
          <w:highlight w:val="none"/>
        </w:rPr>
        <w:t>，地下室穿墙螺杆直径≥</w:t>
      </w:r>
      <w:r>
        <w:rPr>
          <w:color w:val="auto"/>
          <w:highlight w:val="none"/>
        </w:rPr>
        <w:t>14mm</w:t>
      </w:r>
      <w:r>
        <w:rPr>
          <w:rFonts w:hint="eastAsia"/>
          <w:color w:val="auto"/>
          <w:highlight w:val="none"/>
        </w:rPr>
        <w:t>。</w:t>
      </w:r>
    </w:p>
    <w:p>
      <w:pPr>
        <w:numPr>
          <w:ilvl w:val="0"/>
          <w:numId w:val="32"/>
        </w:numPr>
        <w:bidi w:val="0"/>
        <w:ind w:left="480" w:leftChars="0"/>
        <w:rPr>
          <w:color w:val="auto"/>
          <w:highlight w:val="none"/>
        </w:rPr>
      </w:pPr>
      <w:r>
        <w:rPr>
          <w:rFonts w:hint="eastAsia"/>
          <w:color w:val="auto"/>
          <w:highlight w:val="none"/>
        </w:rPr>
        <w:t>模板内水泥撑条长度应与混凝土构件截面尺寸相同，不允许采用过短的水泥撑条。</w:t>
      </w:r>
    </w:p>
    <w:p>
      <w:pPr>
        <w:numPr>
          <w:ilvl w:val="0"/>
          <w:numId w:val="32"/>
        </w:numPr>
        <w:bidi w:val="0"/>
        <w:ind w:left="480" w:leftChars="0"/>
        <w:rPr>
          <w:color w:val="auto"/>
          <w:highlight w:val="none"/>
        </w:rPr>
      </w:pPr>
      <w:r>
        <w:rPr>
          <w:rFonts w:hint="eastAsia"/>
          <w:color w:val="auto"/>
          <w:highlight w:val="none"/>
        </w:rPr>
        <w:t>脱模剂采用非油性脱模剂。</w:t>
      </w:r>
    </w:p>
    <w:p>
      <w:pPr>
        <w:numPr>
          <w:ilvl w:val="0"/>
          <w:numId w:val="31"/>
        </w:numPr>
        <w:tabs>
          <w:tab w:val="left" w:pos="567"/>
          <w:tab w:val="left" w:pos="851"/>
        </w:tabs>
        <w:spacing w:before="120" w:beforeLines="50" w:after="120" w:afterLines="50"/>
        <w:ind w:firstLine="6"/>
        <w:rPr>
          <w:rFonts w:eastAsia="宋体"/>
          <w:color w:val="auto"/>
          <w:highlight w:val="none"/>
        </w:rPr>
      </w:pPr>
      <w:r>
        <w:rPr>
          <w:rFonts w:hint="eastAsia" w:eastAsia="宋体"/>
          <w:color w:val="auto"/>
          <w:highlight w:val="none"/>
        </w:rPr>
        <w:t>测量放线</w:t>
      </w:r>
    </w:p>
    <w:p>
      <w:pPr>
        <w:numPr>
          <w:ilvl w:val="0"/>
          <w:numId w:val="33"/>
        </w:numPr>
        <w:bidi w:val="0"/>
        <w:ind w:left="480" w:leftChars="0"/>
        <w:rPr>
          <w:color w:val="auto"/>
          <w:highlight w:val="none"/>
        </w:rPr>
      </w:pPr>
      <w:r>
        <w:rPr>
          <w:rFonts w:hint="eastAsia"/>
          <w:color w:val="auto"/>
          <w:highlight w:val="none"/>
        </w:rPr>
        <w:t>柱子和剪力墙四周及洞口应有两道尺寸：一道为混凝土构件截面轮廓线，另一道为</w:t>
      </w:r>
      <w:r>
        <w:rPr>
          <w:color w:val="auto"/>
          <w:highlight w:val="none"/>
        </w:rPr>
        <w:t>200 mm</w:t>
      </w:r>
      <w:r>
        <w:rPr>
          <w:rFonts w:hint="eastAsia"/>
          <w:color w:val="auto"/>
          <w:highlight w:val="none"/>
        </w:rPr>
        <w:t>或</w:t>
      </w:r>
      <w:r>
        <w:rPr>
          <w:color w:val="auto"/>
          <w:highlight w:val="none"/>
        </w:rPr>
        <w:t>300 mm</w:t>
      </w:r>
      <w:r>
        <w:rPr>
          <w:rFonts w:hint="eastAsia"/>
          <w:color w:val="auto"/>
          <w:highlight w:val="none"/>
        </w:rPr>
        <w:t>控制线。</w:t>
      </w:r>
    </w:p>
    <w:p>
      <w:pPr>
        <w:numPr>
          <w:ilvl w:val="0"/>
          <w:numId w:val="33"/>
        </w:numPr>
        <w:bidi w:val="0"/>
        <w:ind w:left="480" w:leftChars="0"/>
        <w:rPr>
          <w:color w:val="auto"/>
          <w:highlight w:val="none"/>
        </w:rPr>
      </w:pPr>
      <w:r>
        <w:rPr>
          <w:rFonts w:hint="eastAsia"/>
          <w:color w:val="auto"/>
          <w:highlight w:val="none"/>
        </w:rPr>
        <w:t>轴线偏差±</w:t>
      </w:r>
      <w:r>
        <w:rPr>
          <w:color w:val="auto"/>
          <w:highlight w:val="none"/>
        </w:rPr>
        <w:t>5mm</w:t>
      </w:r>
      <w:r>
        <w:rPr>
          <w:rFonts w:hint="eastAsia"/>
          <w:color w:val="auto"/>
          <w:highlight w:val="none"/>
        </w:rPr>
        <w:t>，楼层总宽及总长偏差±</w:t>
      </w:r>
      <w:r>
        <w:rPr>
          <w:color w:val="auto"/>
          <w:highlight w:val="none"/>
        </w:rPr>
        <w:t>10mm</w:t>
      </w:r>
      <w:r>
        <w:rPr>
          <w:rFonts w:hint="eastAsia"/>
          <w:color w:val="auto"/>
          <w:highlight w:val="none"/>
        </w:rPr>
        <w:t>。</w:t>
      </w:r>
    </w:p>
    <w:p>
      <w:pPr>
        <w:numPr>
          <w:ilvl w:val="0"/>
          <w:numId w:val="33"/>
        </w:numPr>
        <w:bidi w:val="0"/>
        <w:ind w:left="480" w:leftChars="0"/>
        <w:rPr>
          <w:color w:val="auto"/>
          <w:highlight w:val="none"/>
        </w:rPr>
      </w:pPr>
      <w:r>
        <w:rPr>
          <w:rFonts w:hint="eastAsia"/>
          <w:color w:val="auto"/>
          <w:highlight w:val="none"/>
        </w:rPr>
        <w:t>在模板安装前应设置定位筋，定位筋设置于模板内侧，其截面圆应与混凝土构件截面轮廓线相切，外侧底部钉模板条锁底。</w:t>
      </w:r>
    </w:p>
    <w:p>
      <w:pPr>
        <w:numPr>
          <w:ilvl w:val="0"/>
          <w:numId w:val="31"/>
        </w:numPr>
        <w:tabs>
          <w:tab w:val="left" w:pos="567"/>
          <w:tab w:val="left" w:pos="851"/>
        </w:tabs>
        <w:spacing w:before="120" w:beforeLines="50" w:after="120" w:afterLines="50"/>
        <w:ind w:firstLine="6"/>
        <w:rPr>
          <w:rFonts w:eastAsia="宋体"/>
          <w:color w:val="auto"/>
          <w:highlight w:val="none"/>
        </w:rPr>
      </w:pPr>
      <w:r>
        <w:rPr>
          <w:rFonts w:hint="eastAsia" w:eastAsia="宋体"/>
          <w:color w:val="auto"/>
          <w:highlight w:val="none"/>
        </w:rPr>
        <w:t>墙模加固</w:t>
      </w:r>
    </w:p>
    <w:p>
      <w:pPr>
        <w:numPr>
          <w:ilvl w:val="0"/>
          <w:numId w:val="34"/>
        </w:numPr>
        <w:bidi w:val="0"/>
        <w:ind w:left="480" w:leftChars="0"/>
        <w:rPr>
          <w:color w:val="auto"/>
          <w:highlight w:val="none"/>
        </w:rPr>
      </w:pPr>
      <w:r>
        <w:rPr>
          <w:rFonts w:hint="eastAsia"/>
          <w:color w:val="auto"/>
          <w:highlight w:val="none"/>
        </w:rPr>
        <w:t>对拉螺栓竖向间距≤</w:t>
      </w:r>
      <w:r>
        <w:rPr>
          <w:color w:val="auto"/>
          <w:highlight w:val="none"/>
        </w:rPr>
        <w:t>500mm</w:t>
      </w:r>
      <w:r>
        <w:rPr>
          <w:rFonts w:hint="eastAsia"/>
          <w:color w:val="auto"/>
          <w:highlight w:val="none"/>
        </w:rPr>
        <w:t>，水平间距≤</w:t>
      </w:r>
      <w:r>
        <w:rPr>
          <w:color w:val="auto"/>
          <w:highlight w:val="none"/>
        </w:rPr>
        <w:t>450mm</w:t>
      </w:r>
      <w:r>
        <w:rPr>
          <w:rFonts w:hint="eastAsia"/>
          <w:color w:val="auto"/>
          <w:highlight w:val="none"/>
        </w:rPr>
        <w:t>，最低道距地≤</w:t>
      </w:r>
      <w:r>
        <w:rPr>
          <w:color w:val="auto"/>
          <w:highlight w:val="none"/>
        </w:rPr>
        <w:t>200mm</w:t>
      </w:r>
      <w:r>
        <w:rPr>
          <w:rFonts w:hint="eastAsia"/>
          <w:color w:val="auto"/>
          <w:highlight w:val="none"/>
        </w:rPr>
        <w:t>，最上道距顶板≤</w:t>
      </w:r>
      <w:r>
        <w:rPr>
          <w:color w:val="auto"/>
          <w:highlight w:val="none"/>
        </w:rPr>
        <w:t>300mm</w:t>
      </w:r>
      <w:r>
        <w:rPr>
          <w:rFonts w:hint="eastAsia"/>
          <w:color w:val="auto"/>
          <w:highlight w:val="none"/>
        </w:rPr>
        <w:t>，转角部位对拉螺栓阴角≤</w:t>
      </w:r>
      <w:r>
        <w:rPr>
          <w:color w:val="auto"/>
          <w:highlight w:val="none"/>
        </w:rPr>
        <w:t>200mm</w:t>
      </w:r>
      <w:r>
        <w:rPr>
          <w:rFonts w:hint="eastAsia"/>
          <w:color w:val="auto"/>
          <w:highlight w:val="none"/>
        </w:rPr>
        <w:t>。</w:t>
      </w:r>
    </w:p>
    <w:p>
      <w:pPr>
        <w:numPr>
          <w:ilvl w:val="0"/>
          <w:numId w:val="34"/>
        </w:numPr>
        <w:bidi w:val="0"/>
        <w:ind w:left="480" w:leftChars="0"/>
        <w:rPr>
          <w:color w:val="auto"/>
          <w:highlight w:val="none"/>
        </w:rPr>
      </w:pPr>
      <w:r>
        <w:rPr>
          <w:rFonts w:hint="eastAsia"/>
          <w:color w:val="auto"/>
          <w:highlight w:val="none"/>
        </w:rPr>
        <w:t>对拉螺栓竖向间距≤</w:t>
      </w:r>
      <w:r>
        <w:rPr>
          <w:color w:val="auto"/>
          <w:highlight w:val="none"/>
        </w:rPr>
        <w:t>500 mm</w:t>
      </w:r>
      <w:r>
        <w:rPr>
          <w:rFonts w:hint="eastAsia"/>
          <w:color w:val="auto"/>
          <w:highlight w:val="none"/>
        </w:rPr>
        <w:t>，水平间距≤</w:t>
      </w:r>
      <w:r>
        <w:rPr>
          <w:color w:val="auto"/>
          <w:highlight w:val="none"/>
        </w:rPr>
        <w:t>350 mm</w:t>
      </w:r>
      <w:r>
        <w:rPr>
          <w:rFonts w:hint="eastAsia"/>
          <w:color w:val="auto"/>
          <w:highlight w:val="none"/>
        </w:rPr>
        <w:t>，最低道距地≤</w:t>
      </w:r>
      <w:r>
        <w:rPr>
          <w:color w:val="auto"/>
          <w:highlight w:val="none"/>
        </w:rPr>
        <w:t>200 mm</w:t>
      </w:r>
      <w:r>
        <w:rPr>
          <w:rFonts w:hint="eastAsia"/>
          <w:color w:val="auto"/>
          <w:highlight w:val="none"/>
        </w:rPr>
        <w:t>，最上道距顶板≤</w:t>
      </w:r>
      <w:r>
        <w:rPr>
          <w:color w:val="auto"/>
          <w:highlight w:val="none"/>
        </w:rPr>
        <w:t>300 mm</w:t>
      </w:r>
      <w:r>
        <w:rPr>
          <w:rFonts w:hint="eastAsia"/>
          <w:color w:val="auto"/>
          <w:highlight w:val="none"/>
        </w:rPr>
        <w:t>，转角部位对拉螺栓阴角≤</w:t>
      </w:r>
      <w:r>
        <w:rPr>
          <w:color w:val="auto"/>
          <w:highlight w:val="none"/>
        </w:rPr>
        <w:t>200 mm</w:t>
      </w:r>
      <w:r>
        <w:rPr>
          <w:rFonts w:hint="eastAsia"/>
          <w:color w:val="auto"/>
          <w:highlight w:val="none"/>
        </w:rPr>
        <w:t>。</w:t>
      </w:r>
    </w:p>
    <w:p>
      <w:pPr>
        <w:numPr>
          <w:ilvl w:val="0"/>
          <w:numId w:val="34"/>
        </w:numPr>
        <w:bidi w:val="0"/>
        <w:ind w:left="480" w:leftChars="0"/>
        <w:rPr>
          <w:color w:val="auto"/>
          <w:highlight w:val="none"/>
        </w:rPr>
      </w:pPr>
      <w:r>
        <w:rPr>
          <w:rFonts w:hint="eastAsia"/>
          <w:color w:val="auto"/>
          <w:highlight w:val="none"/>
        </w:rPr>
        <w:t>竖向龙骨净尺间距≤</w:t>
      </w:r>
      <w:r>
        <w:rPr>
          <w:color w:val="auto"/>
          <w:highlight w:val="none"/>
        </w:rPr>
        <w:t>250mm</w:t>
      </w:r>
      <w:r>
        <w:rPr>
          <w:rFonts w:hint="eastAsia"/>
          <w:color w:val="auto"/>
          <w:highlight w:val="none"/>
        </w:rPr>
        <w:t>，横向龙骨净尺间距≤</w:t>
      </w:r>
      <w:r>
        <w:rPr>
          <w:color w:val="auto"/>
          <w:highlight w:val="none"/>
        </w:rPr>
        <w:t>500 mm</w:t>
      </w:r>
      <w:r>
        <w:rPr>
          <w:rFonts w:hint="eastAsia"/>
          <w:color w:val="auto"/>
          <w:highlight w:val="none"/>
        </w:rPr>
        <w:t>。</w:t>
      </w:r>
    </w:p>
    <w:p>
      <w:pPr>
        <w:numPr>
          <w:ilvl w:val="0"/>
          <w:numId w:val="34"/>
        </w:numPr>
        <w:bidi w:val="0"/>
        <w:ind w:left="480" w:leftChars="0"/>
        <w:rPr>
          <w:color w:val="auto"/>
          <w:highlight w:val="none"/>
        </w:rPr>
      </w:pPr>
      <w:r>
        <w:rPr>
          <w:rFonts w:hint="eastAsia"/>
          <w:color w:val="auto"/>
          <w:highlight w:val="none"/>
        </w:rPr>
        <w:t>墙根部采用水泥砂浆护角，防止漏浆；或者采用模板条锁底边，起到固定模板和防止漏浆两重作用。</w:t>
      </w:r>
    </w:p>
    <w:p>
      <w:pPr>
        <w:numPr>
          <w:ilvl w:val="0"/>
          <w:numId w:val="34"/>
        </w:numPr>
        <w:bidi w:val="0"/>
        <w:ind w:left="480" w:leftChars="0"/>
        <w:rPr>
          <w:color w:val="auto"/>
          <w:highlight w:val="none"/>
        </w:rPr>
      </w:pPr>
      <w:r>
        <w:rPr>
          <w:rFonts w:hint="eastAsia"/>
          <w:color w:val="auto"/>
          <w:highlight w:val="none"/>
        </w:rPr>
        <w:t>每道剪力墙斜支撑不少于两道，在外墙位置除了斜支架外还应设置拉索，每面外墙拉索不少于两道。</w:t>
      </w:r>
    </w:p>
    <w:p>
      <w:pPr>
        <w:numPr>
          <w:ilvl w:val="0"/>
          <w:numId w:val="34"/>
        </w:numPr>
        <w:bidi w:val="0"/>
        <w:ind w:left="480" w:leftChars="0"/>
        <w:rPr>
          <w:color w:val="auto"/>
          <w:highlight w:val="none"/>
        </w:rPr>
      </w:pPr>
      <w:r>
        <w:rPr>
          <w:rFonts w:hint="eastAsia"/>
          <w:color w:val="auto"/>
          <w:highlight w:val="none"/>
        </w:rPr>
        <w:t>外墙和下沉式卫生间处模板下挂至少</w:t>
      </w:r>
      <w:r>
        <w:rPr>
          <w:color w:val="auto"/>
          <w:highlight w:val="none"/>
        </w:rPr>
        <w:t>150 mm</w:t>
      </w:r>
      <w:r>
        <w:rPr>
          <w:rFonts w:hint="eastAsia"/>
          <w:color w:val="auto"/>
          <w:highlight w:val="none"/>
        </w:rPr>
        <w:t>。</w:t>
      </w:r>
    </w:p>
    <w:p>
      <w:pPr>
        <w:numPr>
          <w:ilvl w:val="0"/>
          <w:numId w:val="34"/>
        </w:numPr>
        <w:bidi w:val="0"/>
        <w:ind w:left="480" w:leftChars="0"/>
        <w:rPr>
          <w:color w:val="auto"/>
          <w:highlight w:val="none"/>
        </w:rPr>
      </w:pPr>
      <w:r>
        <w:rPr>
          <w:rFonts w:hint="eastAsia"/>
          <w:color w:val="auto"/>
          <w:highlight w:val="none"/>
        </w:rPr>
        <w:t>墙模跨洞口处模板平整度控制应采取相应措施。</w:t>
      </w:r>
    </w:p>
    <w:p>
      <w:pPr>
        <w:numPr>
          <w:ilvl w:val="0"/>
          <w:numId w:val="34"/>
        </w:numPr>
        <w:bidi w:val="0"/>
        <w:ind w:left="480" w:leftChars="0"/>
        <w:rPr>
          <w:color w:val="auto"/>
          <w:highlight w:val="none"/>
        </w:rPr>
      </w:pPr>
      <w:r>
        <w:rPr>
          <w:rFonts w:hint="eastAsia"/>
          <w:color w:val="auto"/>
          <w:highlight w:val="none"/>
        </w:rPr>
        <w:t>对拉螺栓与墙模板应垂直，松紧应一致，螺杆上螺帽必须拧紧，不得出现松脱。</w:t>
      </w:r>
    </w:p>
    <w:p>
      <w:pPr>
        <w:numPr>
          <w:ilvl w:val="0"/>
          <w:numId w:val="31"/>
        </w:numPr>
        <w:bidi w:val="0"/>
        <w:rPr>
          <w:color w:val="auto"/>
          <w:highlight w:val="none"/>
        </w:rPr>
      </w:pPr>
      <w:r>
        <w:rPr>
          <w:rFonts w:hint="eastAsia"/>
          <w:color w:val="auto"/>
          <w:highlight w:val="none"/>
        </w:rPr>
        <w:t>柱模加固</w:t>
      </w:r>
    </w:p>
    <w:p>
      <w:pPr>
        <w:numPr>
          <w:ilvl w:val="0"/>
          <w:numId w:val="35"/>
        </w:numPr>
        <w:bidi w:val="0"/>
        <w:ind w:left="480" w:leftChars="0"/>
        <w:rPr>
          <w:color w:val="auto"/>
          <w:highlight w:val="none"/>
        </w:rPr>
      </w:pPr>
      <w:r>
        <w:rPr>
          <w:rFonts w:hint="eastAsia"/>
          <w:color w:val="auto"/>
          <w:highlight w:val="none"/>
        </w:rPr>
        <w:t>穿墙螺杆直径≥</w:t>
      </w:r>
      <w:r>
        <w:rPr>
          <w:color w:val="auto"/>
          <w:highlight w:val="none"/>
        </w:rPr>
        <w:t>14mm</w:t>
      </w:r>
      <w:r>
        <w:rPr>
          <w:rFonts w:hint="eastAsia"/>
          <w:color w:val="auto"/>
          <w:highlight w:val="none"/>
        </w:rPr>
        <w:t>。</w:t>
      </w:r>
    </w:p>
    <w:p>
      <w:pPr>
        <w:numPr>
          <w:ilvl w:val="0"/>
          <w:numId w:val="35"/>
        </w:numPr>
        <w:bidi w:val="0"/>
        <w:ind w:left="480" w:leftChars="0"/>
        <w:rPr>
          <w:color w:val="auto"/>
          <w:highlight w:val="none"/>
        </w:rPr>
      </w:pPr>
      <w:r>
        <w:rPr>
          <w:rFonts w:hint="eastAsia"/>
          <w:color w:val="auto"/>
          <w:highlight w:val="none"/>
        </w:rPr>
        <w:t>柱箍间距≤</w:t>
      </w:r>
      <w:r>
        <w:rPr>
          <w:color w:val="auto"/>
          <w:highlight w:val="none"/>
        </w:rPr>
        <w:t>500 mm</w:t>
      </w:r>
      <w:r>
        <w:rPr>
          <w:rFonts w:hint="eastAsia"/>
          <w:color w:val="auto"/>
          <w:highlight w:val="none"/>
        </w:rPr>
        <w:t>，第一道柱箍距离根部</w:t>
      </w:r>
      <w:r>
        <w:rPr>
          <w:color w:val="auto"/>
          <w:highlight w:val="none"/>
        </w:rPr>
        <w:t>150 mm</w:t>
      </w:r>
      <w:r>
        <w:rPr>
          <w:rFonts w:hint="eastAsia"/>
          <w:color w:val="auto"/>
          <w:highlight w:val="none"/>
        </w:rPr>
        <w:t>。</w:t>
      </w:r>
    </w:p>
    <w:p>
      <w:pPr>
        <w:numPr>
          <w:ilvl w:val="0"/>
          <w:numId w:val="35"/>
        </w:numPr>
        <w:bidi w:val="0"/>
        <w:ind w:left="480" w:leftChars="0"/>
        <w:rPr>
          <w:color w:val="auto"/>
          <w:highlight w:val="none"/>
        </w:rPr>
      </w:pPr>
      <w:r>
        <w:rPr>
          <w:rFonts w:hint="eastAsia"/>
          <w:color w:val="auto"/>
          <w:highlight w:val="none"/>
        </w:rPr>
        <w:t>地面以上</w:t>
      </w:r>
      <w:r>
        <w:rPr>
          <w:color w:val="auto"/>
          <w:highlight w:val="none"/>
        </w:rPr>
        <w:t>1/2</w:t>
      </w:r>
      <w:r>
        <w:rPr>
          <w:rFonts w:hint="eastAsia"/>
          <w:color w:val="auto"/>
          <w:highlight w:val="none"/>
        </w:rPr>
        <w:t>柱高以下处设双螺帽。</w:t>
      </w:r>
    </w:p>
    <w:p>
      <w:pPr>
        <w:numPr>
          <w:ilvl w:val="0"/>
          <w:numId w:val="35"/>
        </w:numPr>
        <w:bidi w:val="0"/>
        <w:ind w:left="480" w:leftChars="0"/>
        <w:rPr>
          <w:color w:val="auto"/>
          <w:highlight w:val="none"/>
        </w:rPr>
      </w:pPr>
      <w:r>
        <w:rPr>
          <w:rFonts w:hint="eastAsia"/>
          <w:color w:val="auto"/>
          <w:highlight w:val="none"/>
        </w:rPr>
        <w:t>梁柱结合处模板拼缝取柱模包梁模的构造形式。</w:t>
      </w:r>
    </w:p>
    <w:p>
      <w:pPr>
        <w:numPr>
          <w:ilvl w:val="0"/>
          <w:numId w:val="31"/>
        </w:numPr>
        <w:bidi w:val="0"/>
        <w:rPr>
          <w:color w:val="auto"/>
          <w:highlight w:val="none"/>
        </w:rPr>
      </w:pPr>
      <w:r>
        <w:rPr>
          <w:rFonts w:hint="eastAsia"/>
          <w:color w:val="auto"/>
          <w:highlight w:val="none"/>
        </w:rPr>
        <w:t>梁模加固</w:t>
      </w:r>
      <w:r>
        <w:rPr>
          <w:color w:val="auto"/>
          <w:highlight w:val="none"/>
        </w:rPr>
        <w:t xml:space="preserve"> </w:t>
      </w:r>
    </w:p>
    <w:p>
      <w:pPr>
        <w:numPr>
          <w:ilvl w:val="0"/>
          <w:numId w:val="36"/>
        </w:numPr>
        <w:bidi w:val="0"/>
        <w:ind w:left="480" w:leftChars="0"/>
        <w:rPr>
          <w:color w:val="auto"/>
          <w:highlight w:val="none"/>
        </w:rPr>
      </w:pPr>
      <w:r>
        <w:rPr>
          <w:rFonts w:hint="eastAsia"/>
          <w:color w:val="auto"/>
          <w:highlight w:val="none"/>
        </w:rPr>
        <w:t>梁高≥</w:t>
      </w:r>
      <w:r>
        <w:rPr>
          <w:color w:val="auto"/>
          <w:highlight w:val="none"/>
        </w:rPr>
        <w:t>600mm</w:t>
      </w:r>
      <w:r>
        <w:rPr>
          <w:rFonts w:hint="eastAsia"/>
          <w:color w:val="auto"/>
          <w:highlight w:val="none"/>
        </w:rPr>
        <w:t>要加穿梁螺杆。</w:t>
      </w:r>
      <w:r>
        <w:rPr>
          <w:color w:val="auto"/>
          <w:highlight w:val="none"/>
        </w:rPr>
        <w:t xml:space="preserve"> </w:t>
      </w:r>
    </w:p>
    <w:p>
      <w:pPr>
        <w:numPr>
          <w:ilvl w:val="0"/>
          <w:numId w:val="36"/>
        </w:numPr>
        <w:bidi w:val="0"/>
        <w:ind w:left="480" w:leftChars="0"/>
        <w:rPr>
          <w:color w:val="auto"/>
          <w:highlight w:val="none"/>
        </w:rPr>
      </w:pPr>
      <w:r>
        <w:rPr>
          <w:rFonts w:hint="eastAsia"/>
          <w:color w:val="auto"/>
          <w:highlight w:val="none"/>
        </w:rPr>
        <w:t>梁底应有单支撑与满堂架子连接。</w:t>
      </w:r>
      <w:r>
        <w:rPr>
          <w:color w:val="auto"/>
          <w:highlight w:val="none"/>
        </w:rPr>
        <w:t xml:space="preserve"> </w:t>
      </w:r>
    </w:p>
    <w:p>
      <w:pPr>
        <w:numPr>
          <w:ilvl w:val="0"/>
          <w:numId w:val="36"/>
        </w:numPr>
        <w:bidi w:val="0"/>
        <w:ind w:left="480" w:leftChars="0"/>
        <w:rPr>
          <w:color w:val="auto"/>
          <w:highlight w:val="none"/>
        </w:rPr>
      </w:pPr>
      <w:r>
        <w:rPr>
          <w:rFonts w:hint="eastAsia"/>
          <w:color w:val="auto"/>
          <w:highlight w:val="none"/>
        </w:rPr>
        <w:t>梁板交接处采用通长木方加固。</w:t>
      </w:r>
    </w:p>
    <w:p>
      <w:pPr>
        <w:numPr>
          <w:ilvl w:val="0"/>
          <w:numId w:val="36"/>
        </w:numPr>
        <w:bidi w:val="0"/>
        <w:ind w:left="480" w:leftChars="0"/>
        <w:rPr>
          <w:color w:val="auto"/>
          <w:highlight w:val="none"/>
        </w:rPr>
      </w:pPr>
      <w:r>
        <w:rPr>
          <w:rFonts w:hint="eastAsia"/>
          <w:color w:val="auto"/>
          <w:highlight w:val="none"/>
        </w:rPr>
        <w:t>梁底增加步步紧</w:t>
      </w:r>
      <w:r>
        <w:rPr>
          <w:color w:val="auto"/>
          <w:highlight w:val="none"/>
        </w:rPr>
        <w:t>,</w:t>
      </w:r>
      <w:r>
        <w:rPr>
          <w:rFonts w:hint="eastAsia"/>
          <w:color w:val="auto"/>
          <w:highlight w:val="none"/>
        </w:rPr>
        <w:t>间距≤</w:t>
      </w:r>
      <w:r>
        <w:rPr>
          <w:color w:val="auto"/>
          <w:highlight w:val="none"/>
        </w:rPr>
        <w:t>600mm</w:t>
      </w:r>
      <w:r>
        <w:rPr>
          <w:rFonts w:hint="eastAsia"/>
          <w:color w:val="auto"/>
          <w:highlight w:val="none"/>
        </w:rPr>
        <w:t>。</w:t>
      </w:r>
      <w:r>
        <w:rPr>
          <w:color w:val="auto"/>
          <w:highlight w:val="none"/>
        </w:rPr>
        <w:t xml:space="preserve"> </w:t>
      </w:r>
    </w:p>
    <w:p>
      <w:pPr>
        <w:numPr>
          <w:ilvl w:val="0"/>
          <w:numId w:val="36"/>
        </w:numPr>
        <w:bidi w:val="0"/>
        <w:ind w:left="480" w:leftChars="0"/>
        <w:rPr>
          <w:color w:val="auto"/>
          <w:highlight w:val="none"/>
        </w:rPr>
      </w:pPr>
      <w:r>
        <w:rPr>
          <w:rFonts w:hint="eastAsia"/>
          <w:color w:val="auto"/>
          <w:highlight w:val="none"/>
        </w:rPr>
        <w:t>跨度大于</w:t>
      </w:r>
      <w:r>
        <w:rPr>
          <w:color w:val="auto"/>
          <w:highlight w:val="none"/>
        </w:rPr>
        <w:t>4m</w:t>
      </w:r>
      <w:r>
        <w:rPr>
          <w:rFonts w:hint="eastAsia"/>
          <w:color w:val="auto"/>
          <w:highlight w:val="none"/>
        </w:rPr>
        <w:t>时，应起拱全跨长度的</w:t>
      </w:r>
      <w:r>
        <w:rPr>
          <w:color w:val="auto"/>
          <w:highlight w:val="none"/>
        </w:rPr>
        <w:t>1/1000-3/1000</w:t>
      </w:r>
      <w:r>
        <w:rPr>
          <w:rFonts w:hint="eastAsia"/>
          <w:color w:val="auto"/>
          <w:highlight w:val="none"/>
        </w:rPr>
        <w:t>。</w:t>
      </w:r>
    </w:p>
    <w:p>
      <w:pPr>
        <w:numPr>
          <w:ilvl w:val="0"/>
          <w:numId w:val="31"/>
        </w:numPr>
        <w:bidi w:val="0"/>
        <w:rPr>
          <w:color w:val="auto"/>
          <w:highlight w:val="none"/>
        </w:rPr>
      </w:pPr>
      <w:r>
        <w:rPr>
          <w:rFonts w:hint="eastAsia"/>
          <w:color w:val="auto"/>
          <w:highlight w:val="none"/>
        </w:rPr>
        <w:t>板模加固</w:t>
      </w:r>
    </w:p>
    <w:p>
      <w:pPr>
        <w:numPr>
          <w:ilvl w:val="0"/>
          <w:numId w:val="37"/>
        </w:numPr>
        <w:bidi w:val="0"/>
        <w:ind w:left="480" w:leftChars="0"/>
        <w:rPr>
          <w:color w:val="auto"/>
          <w:highlight w:val="none"/>
        </w:rPr>
      </w:pPr>
      <w:r>
        <w:rPr>
          <w:rFonts w:hint="eastAsia"/>
          <w:color w:val="auto"/>
          <w:highlight w:val="none"/>
        </w:rPr>
        <w:t>顶托（</w:t>
      </w:r>
      <w:r>
        <w:rPr>
          <w:color w:val="auto"/>
          <w:highlight w:val="none"/>
        </w:rPr>
        <w:t>U</w:t>
      </w:r>
      <w:r>
        <w:rPr>
          <w:rFonts w:hint="eastAsia"/>
          <w:color w:val="auto"/>
          <w:highlight w:val="none"/>
        </w:rPr>
        <w:t>型托）螺杆伸出钢管顶部长度≤</w:t>
      </w:r>
      <w:r>
        <w:rPr>
          <w:color w:val="auto"/>
          <w:highlight w:val="none"/>
        </w:rPr>
        <w:t>200mm</w:t>
      </w:r>
      <w:r>
        <w:rPr>
          <w:rFonts w:hint="eastAsia"/>
          <w:color w:val="auto"/>
          <w:highlight w:val="none"/>
        </w:rPr>
        <w:t>。</w:t>
      </w:r>
    </w:p>
    <w:p>
      <w:pPr>
        <w:numPr>
          <w:ilvl w:val="0"/>
          <w:numId w:val="37"/>
        </w:numPr>
        <w:bidi w:val="0"/>
        <w:ind w:left="480" w:leftChars="0"/>
        <w:rPr>
          <w:color w:val="auto"/>
          <w:highlight w:val="none"/>
        </w:rPr>
      </w:pPr>
      <w:r>
        <w:rPr>
          <w:rFonts w:hint="eastAsia"/>
          <w:color w:val="auto"/>
          <w:highlight w:val="none"/>
        </w:rPr>
        <w:t>立杆间距≤</w:t>
      </w:r>
      <w:r>
        <w:rPr>
          <w:color w:val="auto"/>
          <w:highlight w:val="none"/>
        </w:rPr>
        <w:t>1200mm</w:t>
      </w:r>
      <w:r>
        <w:rPr>
          <w:rFonts w:hint="eastAsia"/>
          <w:color w:val="auto"/>
          <w:highlight w:val="none"/>
        </w:rPr>
        <w:t>，并符合设计承载力要求。</w:t>
      </w:r>
    </w:p>
    <w:p>
      <w:pPr>
        <w:numPr>
          <w:ilvl w:val="0"/>
          <w:numId w:val="37"/>
        </w:numPr>
        <w:bidi w:val="0"/>
        <w:ind w:left="480" w:leftChars="0"/>
        <w:rPr>
          <w:color w:val="auto"/>
          <w:highlight w:val="none"/>
        </w:rPr>
      </w:pPr>
      <w:r>
        <w:rPr>
          <w:rFonts w:hint="eastAsia"/>
          <w:color w:val="auto"/>
          <w:highlight w:val="none"/>
        </w:rPr>
        <w:t>纵横项扫地杆距地≤</w:t>
      </w:r>
      <w:r>
        <w:rPr>
          <w:color w:val="auto"/>
          <w:highlight w:val="none"/>
        </w:rPr>
        <w:t>200mm</w:t>
      </w:r>
      <w:r>
        <w:rPr>
          <w:rFonts w:hint="eastAsia"/>
          <w:color w:val="auto"/>
          <w:highlight w:val="none"/>
        </w:rPr>
        <w:t>。</w:t>
      </w:r>
    </w:p>
    <w:p>
      <w:pPr>
        <w:numPr>
          <w:ilvl w:val="0"/>
          <w:numId w:val="37"/>
        </w:numPr>
        <w:bidi w:val="0"/>
        <w:ind w:left="480" w:leftChars="0"/>
        <w:rPr>
          <w:color w:val="auto"/>
          <w:highlight w:val="none"/>
        </w:rPr>
      </w:pPr>
      <w:r>
        <w:rPr>
          <w:rFonts w:hint="eastAsia"/>
          <w:color w:val="auto"/>
          <w:highlight w:val="none"/>
        </w:rPr>
        <w:t>距墙第一道立杆≤</w:t>
      </w:r>
      <w:r>
        <w:rPr>
          <w:color w:val="auto"/>
          <w:highlight w:val="none"/>
        </w:rPr>
        <w:t>400mm</w:t>
      </w:r>
      <w:r>
        <w:rPr>
          <w:rFonts w:hint="eastAsia"/>
          <w:color w:val="auto"/>
          <w:highlight w:val="none"/>
        </w:rPr>
        <w:t>。</w:t>
      </w:r>
    </w:p>
    <w:p>
      <w:pPr>
        <w:numPr>
          <w:ilvl w:val="0"/>
          <w:numId w:val="37"/>
        </w:numPr>
        <w:bidi w:val="0"/>
        <w:ind w:left="480" w:leftChars="0"/>
        <w:rPr>
          <w:color w:val="auto"/>
          <w:highlight w:val="none"/>
        </w:rPr>
      </w:pPr>
      <w:r>
        <w:rPr>
          <w:rFonts w:hint="eastAsia"/>
          <w:color w:val="auto"/>
          <w:highlight w:val="none"/>
        </w:rPr>
        <w:t>方木间距≤</w:t>
      </w:r>
      <w:r>
        <w:rPr>
          <w:color w:val="auto"/>
          <w:highlight w:val="none"/>
        </w:rPr>
        <w:t>200mm</w:t>
      </w:r>
      <w:r>
        <w:rPr>
          <w:rFonts w:hint="eastAsia"/>
          <w:color w:val="auto"/>
          <w:highlight w:val="none"/>
        </w:rPr>
        <w:t>。</w:t>
      </w:r>
    </w:p>
    <w:p>
      <w:pPr>
        <w:numPr>
          <w:ilvl w:val="0"/>
          <w:numId w:val="37"/>
        </w:numPr>
        <w:bidi w:val="0"/>
        <w:ind w:left="480" w:leftChars="0"/>
        <w:rPr>
          <w:color w:val="auto"/>
          <w:highlight w:val="none"/>
        </w:rPr>
      </w:pPr>
      <w:r>
        <w:rPr>
          <w:rFonts w:hint="eastAsia"/>
          <w:color w:val="auto"/>
          <w:highlight w:val="none"/>
        </w:rPr>
        <w:t>板模板与墙模板和梁模板相交处用通长木方加固。</w:t>
      </w:r>
    </w:p>
    <w:p>
      <w:pPr>
        <w:numPr>
          <w:ilvl w:val="0"/>
          <w:numId w:val="37"/>
        </w:numPr>
        <w:bidi w:val="0"/>
        <w:ind w:left="480" w:leftChars="0"/>
        <w:rPr>
          <w:color w:val="auto"/>
          <w:highlight w:val="none"/>
        </w:rPr>
      </w:pPr>
      <w:r>
        <w:rPr>
          <w:rFonts w:hint="eastAsia"/>
          <w:color w:val="auto"/>
          <w:highlight w:val="none"/>
        </w:rPr>
        <w:t>下沉式卫生间挂模底部应增加支撑，防止挂模底部涨模。</w:t>
      </w:r>
    </w:p>
    <w:p>
      <w:pPr>
        <w:numPr>
          <w:ilvl w:val="0"/>
          <w:numId w:val="37"/>
        </w:numPr>
        <w:bidi w:val="0"/>
        <w:ind w:left="480" w:leftChars="0"/>
        <w:rPr>
          <w:color w:val="auto"/>
          <w:highlight w:val="none"/>
        </w:rPr>
      </w:pPr>
      <w:r>
        <w:rPr>
          <w:rFonts w:hint="eastAsia"/>
          <w:color w:val="auto"/>
          <w:highlight w:val="none"/>
        </w:rPr>
        <w:t>板模悬挑长度不宜超过</w:t>
      </w:r>
      <w:r>
        <w:rPr>
          <w:color w:val="auto"/>
          <w:highlight w:val="none"/>
        </w:rPr>
        <w:t>350 mm</w:t>
      </w:r>
      <w:r>
        <w:rPr>
          <w:rFonts w:hint="eastAsia"/>
          <w:color w:val="auto"/>
          <w:highlight w:val="none"/>
        </w:rPr>
        <w:t>，离墙距离不宜大于</w:t>
      </w:r>
      <w:r>
        <w:rPr>
          <w:color w:val="auto"/>
          <w:highlight w:val="none"/>
        </w:rPr>
        <w:t>150 mm</w:t>
      </w:r>
      <w:r>
        <w:rPr>
          <w:rFonts w:hint="eastAsia"/>
          <w:color w:val="auto"/>
          <w:highlight w:val="none"/>
        </w:rPr>
        <w:t>。</w:t>
      </w:r>
    </w:p>
    <w:p>
      <w:pPr>
        <w:numPr>
          <w:ilvl w:val="0"/>
          <w:numId w:val="31"/>
        </w:numPr>
        <w:bidi w:val="0"/>
        <w:rPr>
          <w:color w:val="auto"/>
          <w:highlight w:val="none"/>
        </w:rPr>
      </w:pPr>
      <w:r>
        <w:rPr>
          <w:rFonts w:hint="eastAsia"/>
          <w:color w:val="auto"/>
          <w:highlight w:val="none"/>
        </w:rPr>
        <w:t>后浇带加固</w:t>
      </w:r>
    </w:p>
    <w:p>
      <w:pPr>
        <w:numPr>
          <w:ilvl w:val="0"/>
          <w:numId w:val="38"/>
        </w:numPr>
        <w:bidi w:val="0"/>
        <w:ind w:left="480" w:leftChars="0"/>
        <w:rPr>
          <w:color w:val="auto"/>
          <w:highlight w:val="none"/>
        </w:rPr>
      </w:pPr>
      <w:r>
        <w:rPr>
          <w:rFonts w:hint="eastAsia"/>
          <w:color w:val="auto"/>
          <w:highlight w:val="none"/>
        </w:rPr>
        <w:t>后浇带和悬挑结构采用独立的模板及支撑系统，两侧支撑均不少于两排。</w:t>
      </w:r>
    </w:p>
    <w:p>
      <w:pPr>
        <w:numPr>
          <w:ilvl w:val="0"/>
          <w:numId w:val="38"/>
        </w:numPr>
        <w:bidi w:val="0"/>
        <w:ind w:left="480" w:leftChars="0"/>
        <w:rPr>
          <w:color w:val="auto"/>
          <w:highlight w:val="none"/>
        </w:rPr>
      </w:pPr>
      <w:r>
        <w:rPr>
          <w:rFonts w:hint="eastAsia"/>
          <w:color w:val="auto"/>
          <w:highlight w:val="none"/>
        </w:rPr>
        <w:t>后浇带封闭前，后浇带处梁、板模板的支撑不得拆除。</w:t>
      </w:r>
      <w:r>
        <w:rPr>
          <w:color w:val="auto"/>
          <w:highlight w:val="none"/>
        </w:rPr>
        <w:t xml:space="preserve"> </w:t>
      </w:r>
    </w:p>
    <w:p>
      <w:pPr>
        <w:numPr>
          <w:ilvl w:val="0"/>
          <w:numId w:val="38"/>
        </w:numPr>
        <w:bidi w:val="0"/>
        <w:ind w:left="480" w:leftChars="0"/>
        <w:rPr>
          <w:color w:val="auto"/>
          <w:highlight w:val="none"/>
        </w:rPr>
      </w:pPr>
      <w:r>
        <w:rPr>
          <w:rFonts w:hint="eastAsia"/>
          <w:color w:val="auto"/>
          <w:highlight w:val="none"/>
        </w:rPr>
        <w:t>温度后浇带，混凝土浇筑间隔时间不少于</w:t>
      </w:r>
      <w:r>
        <w:rPr>
          <w:color w:val="auto"/>
          <w:highlight w:val="none"/>
        </w:rPr>
        <w:t>60</w:t>
      </w:r>
      <w:r>
        <w:rPr>
          <w:rFonts w:hint="eastAsia"/>
          <w:color w:val="auto"/>
          <w:highlight w:val="none"/>
        </w:rPr>
        <w:t>天。沉降后浇带要求主体结构施工完成后并满足设计图纸要求后再进行混凝土浇筑。</w:t>
      </w:r>
      <w:r>
        <w:rPr>
          <w:color w:val="auto"/>
          <w:highlight w:val="none"/>
        </w:rPr>
        <w:t xml:space="preserve"> </w:t>
      </w:r>
    </w:p>
    <w:p>
      <w:pPr>
        <w:numPr>
          <w:ilvl w:val="0"/>
          <w:numId w:val="38"/>
        </w:numPr>
        <w:bidi w:val="0"/>
        <w:ind w:left="480" w:leftChars="0"/>
        <w:rPr>
          <w:color w:val="auto"/>
          <w:highlight w:val="none"/>
        </w:rPr>
      </w:pPr>
      <w:r>
        <w:rPr>
          <w:rFonts w:hint="eastAsia"/>
          <w:color w:val="auto"/>
          <w:highlight w:val="none"/>
        </w:rPr>
        <w:t>后浇带浇筑完毕后，混凝土养护</w:t>
      </w:r>
      <w:r>
        <w:rPr>
          <w:color w:val="auto"/>
          <w:highlight w:val="none"/>
        </w:rPr>
        <w:t>28</w:t>
      </w:r>
      <w:r>
        <w:rPr>
          <w:rFonts w:hint="eastAsia"/>
          <w:color w:val="auto"/>
          <w:highlight w:val="none"/>
        </w:rPr>
        <w:t>天后，方可拆除。</w:t>
      </w:r>
      <w:r>
        <w:rPr>
          <w:color w:val="auto"/>
          <w:highlight w:val="none"/>
        </w:rPr>
        <w:t xml:space="preserve">                                          </w:t>
      </w:r>
    </w:p>
    <w:p>
      <w:pPr>
        <w:numPr>
          <w:ilvl w:val="0"/>
          <w:numId w:val="38"/>
        </w:numPr>
        <w:bidi w:val="0"/>
        <w:ind w:left="480" w:leftChars="0"/>
        <w:rPr>
          <w:color w:val="auto"/>
          <w:highlight w:val="none"/>
        </w:rPr>
      </w:pPr>
      <w:r>
        <w:rPr>
          <w:rFonts w:hint="eastAsia"/>
          <w:color w:val="auto"/>
          <w:highlight w:val="none"/>
        </w:rPr>
        <w:t>后浇带支撑加剪刀撑。</w:t>
      </w:r>
    </w:p>
    <w:p>
      <w:pPr>
        <w:numPr>
          <w:ilvl w:val="0"/>
          <w:numId w:val="31"/>
        </w:numPr>
        <w:bidi w:val="0"/>
        <w:rPr>
          <w:color w:val="auto"/>
          <w:highlight w:val="none"/>
        </w:rPr>
      </w:pPr>
      <w:r>
        <w:rPr>
          <w:rFonts w:hint="eastAsia"/>
          <w:color w:val="auto"/>
          <w:highlight w:val="none"/>
        </w:rPr>
        <w:t>模板拆除</w:t>
      </w:r>
    </w:p>
    <w:p>
      <w:pPr>
        <w:numPr>
          <w:ilvl w:val="0"/>
          <w:numId w:val="39"/>
        </w:numPr>
        <w:bidi w:val="0"/>
        <w:ind w:left="480" w:leftChars="0"/>
        <w:rPr>
          <w:color w:val="auto"/>
          <w:highlight w:val="none"/>
        </w:rPr>
      </w:pPr>
      <w:r>
        <w:rPr>
          <w:rFonts w:hint="eastAsia"/>
          <w:color w:val="auto"/>
          <w:highlight w:val="none"/>
        </w:rPr>
        <w:t>模板拆除前应设置警戒区，并应设专人监护。</w:t>
      </w:r>
    </w:p>
    <w:p>
      <w:pPr>
        <w:numPr>
          <w:ilvl w:val="0"/>
          <w:numId w:val="39"/>
        </w:numPr>
        <w:bidi w:val="0"/>
        <w:ind w:left="480" w:leftChars="0"/>
        <w:rPr>
          <w:color w:val="auto"/>
          <w:highlight w:val="none"/>
        </w:rPr>
      </w:pPr>
      <w:r>
        <w:rPr>
          <w:rFonts w:hint="eastAsia"/>
          <w:color w:val="auto"/>
          <w:highlight w:val="none"/>
        </w:rPr>
        <w:t>模板拆除过程中应注意保护主体结构边角位置，保证不出现缺棱掉角。</w:t>
      </w:r>
    </w:p>
    <w:p>
      <w:pPr>
        <w:pStyle w:val="5"/>
        <w:bidi w:val="0"/>
        <w:ind w:left="253"/>
        <w:rPr>
          <w:color w:val="auto"/>
          <w:highlight w:val="none"/>
        </w:rPr>
      </w:pPr>
      <w:r>
        <w:rPr>
          <w:rFonts w:hint="eastAsia"/>
          <w:color w:val="auto"/>
          <w:highlight w:val="none"/>
        </w:rPr>
        <w:t>铝合金模板</w:t>
      </w:r>
    </w:p>
    <w:p>
      <w:pPr>
        <w:bidi w:val="0"/>
        <w:rPr>
          <w:color w:val="auto"/>
          <w:highlight w:val="none"/>
        </w:rPr>
      </w:pPr>
      <w:r>
        <w:rPr>
          <w:color w:val="auto"/>
          <w:highlight w:val="none"/>
        </w:rPr>
        <w:t>1</w:t>
      </w:r>
      <w:r>
        <w:rPr>
          <w:rFonts w:hint="eastAsia"/>
          <w:color w:val="auto"/>
          <w:highlight w:val="none"/>
        </w:rPr>
        <w:t>）铝模板工厂选择确定</w:t>
      </w:r>
    </w:p>
    <w:p>
      <w:pPr>
        <w:bidi w:val="0"/>
        <w:rPr>
          <w:color w:val="auto"/>
          <w:highlight w:val="none"/>
        </w:rPr>
      </w:pPr>
      <w:r>
        <w:rPr>
          <w:rFonts w:hint="eastAsia"/>
          <w:color w:val="auto"/>
          <w:highlight w:val="none"/>
        </w:rPr>
        <w:t>总承包人应将铝模厂家资料报</w:t>
      </w:r>
      <w:r>
        <w:rPr>
          <w:color w:val="auto"/>
          <w:highlight w:val="none"/>
        </w:rPr>
        <w:t>发包人审核</w:t>
      </w:r>
      <w:r>
        <w:rPr>
          <w:rFonts w:hint="eastAsia"/>
          <w:color w:val="auto"/>
          <w:highlight w:val="none"/>
        </w:rPr>
        <w:t>，由总承包人组织考察厂家的项目和工厂，发包人参加，经考察合格后，方可选用。同时发包人有权在任何时候更换铝模生产厂家</w:t>
      </w:r>
      <w:r>
        <w:rPr>
          <w:color w:val="auto"/>
          <w:highlight w:val="none"/>
        </w:rPr>
        <w:t>。</w:t>
      </w:r>
    </w:p>
    <w:p>
      <w:pPr>
        <w:bidi w:val="0"/>
        <w:rPr>
          <w:color w:val="auto"/>
          <w:highlight w:val="none"/>
        </w:rPr>
      </w:pPr>
      <w:r>
        <w:rPr>
          <w:color w:val="auto"/>
          <w:highlight w:val="none"/>
        </w:rPr>
        <w:t>2</w:t>
      </w:r>
      <w:r>
        <w:rPr>
          <w:rFonts w:hint="eastAsia"/>
          <w:color w:val="auto"/>
          <w:highlight w:val="none"/>
        </w:rPr>
        <w:t>）质量标准</w:t>
      </w:r>
    </w:p>
    <w:p>
      <w:pPr>
        <w:bidi w:val="0"/>
        <w:rPr>
          <w:color w:val="auto"/>
          <w:highlight w:val="none"/>
        </w:rPr>
      </w:pPr>
      <w:r>
        <w:rPr>
          <w:rFonts w:hint="eastAsia"/>
          <w:color w:val="auto"/>
          <w:highlight w:val="none"/>
        </w:rPr>
        <w:t>采用铝模施工区域的</w:t>
      </w:r>
      <w:r>
        <w:rPr>
          <w:color w:val="auto"/>
          <w:highlight w:val="none"/>
        </w:rPr>
        <w:t>混凝土结构实测实量</w:t>
      </w:r>
      <w:r>
        <w:rPr>
          <w:rFonts w:hint="eastAsia"/>
          <w:color w:val="auto"/>
          <w:highlight w:val="none"/>
        </w:rPr>
        <w:t>一次合格率不低于9</w:t>
      </w:r>
      <w:r>
        <w:rPr>
          <w:rFonts w:hint="eastAsia"/>
          <w:color w:val="auto"/>
          <w:highlight w:val="none"/>
          <w:lang w:val="en-US" w:eastAsia="zh-CN"/>
        </w:rPr>
        <w:t>5</w:t>
      </w:r>
      <w:r>
        <w:rPr>
          <w:rFonts w:hint="eastAsia"/>
          <w:color w:val="auto"/>
          <w:highlight w:val="none"/>
        </w:rPr>
        <w:t>%。</w:t>
      </w:r>
    </w:p>
    <w:p>
      <w:pPr>
        <w:bidi w:val="0"/>
        <w:rPr>
          <w:color w:val="auto"/>
          <w:highlight w:val="none"/>
        </w:rPr>
      </w:pPr>
      <w:r>
        <w:rPr>
          <w:color w:val="auto"/>
          <w:highlight w:val="none"/>
        </w:rPr>
        <w:t>3</w:t>
      </w:r>
      <w:r>
        <w:rPr>
          <w:rFonts w:hint="eastAsia"/>
          <w:color w:val="auto"/>
          <w:highlight w:val="none"/>
        </w:rPr>
        <w:t>）铝合金材料</w:t>
      </w:r>
    </w:p>
    <w:p>
      <w:pPr>
        <w:numPr>
          <w:ilvl w:val="0"/>
          <w:numId w:val="40"/>
        </w:numPr>
        <w:tabs>
          <w:tab w:val="left" w:pos="-420"/>
          <w:tab w:val="clear" w:pos="-840"/>
        </w:tabs>
        <w:bidi w:val="0"/>
        <w:ind w:left="480" w:leftChars="0"/>
        <w:rPr>
          <w:color w:val="auto"/>
          <w:highlight w:val="none"/>
        </w:rPr>
      </w:pPr>
      <w:r>
        <w:rPr>
          <w:rFonts w:hint="eastAsia"/>
          <w:color w:val="auto"/>
          <w:highlight w:val="none"/>
        </w:rPr>
        <w:t>铝合金带肋面板、各类型材及板材符合国家规范。</w:t>
      </w:r>
    </w:p>
    <w:p>
      <w:pPr>
        <w:numPr>
          <w:ilvl w:val="0"/>
          <w:numId w:val="40"/>
        </w:numPr>
        <w:tabs>
          <w:tab w:val="left" w:pos="-420"/>
          <w:tab w:val="clear" w:pos="-840"/>
        </w:tabs>
        <w:bidi w:val="0"/>
        <w:ind w:left="480" w:leftChars="0"/>
        <w:rPr>
          <w:color w:val="auto"/>
          <w:highlight w:val="none"/>
        </w:rPr>
      </w:pPr>
      <w:r>
        <w:rPr>
          <w:rFonts w:hint="eastAsia"/>
          <w:color w:val="auto"/>
          <w:highlight w:val="none"/>
        </w:rPr>
        <w:t>铝合金模板系统的钢支撑、钢背楞、拉杆、销钉、销片等钢配件符合国家规范。</w:t>
      </w:r>
    </w:p>
    <w:p>
      <w:pPr>
        <w:numPr>
          <w:ilvl w:val="0"/>
          <w:numId w:val="40"/>
        </w:numPr>
        <w:tabs>
          <w:tab w:val="left" w:pos="-420"/>
          <w:tab w:val="clear" w:pos="-840"/>
        </w:tabs>
        <w:bidi w:val="0"/>
        <w:ind w:left="480" w:leftChars="0"/>
        <w:rPr>
          <w:color w:val="auto"/>
          <w:highlight w:val="none"/>
        </w:rPr>
      </w:pPr>
      <w:r>
        <w:rPr>
          <w:rFonts w:hint="eastAsia"/>
          <w:color w:val="auto"/>
          <w:highlight w:val="none"/>
        </w:rPr>
        <w:t>采用水性脱模剂，脱模剂品牌须报发包人审核确定。</w:t>
      </w:r>
    </w:p>
    <w:p>
      <w:pPr>
        <w:bidi w:val="0"/>
        <w:rPr>
          <w:color w:val="auto"/>
          <w:highlight w:val="none"/>
        </w:rPr>
      </w:pPr>
      <w:r>
        <w:rPr>
          <w:color w:val="auto"/>
          <w:highlight w:val="none"/>
        </w:rPr>
        <w:t>4）铝合金模板</w:t>
      </w:r>
      <w:r>
        <w:rPr>
          <w:rFonts w:hint="eastAsia"/>
          <w:color w:val="auto"/>
          <w:highlight w:val="none"/>
        </w:rPr>
        <w:t>设计、生产</w:t>
      </w:r>
    </w:p>
    <w:p>
      <w:pPr>
        <w:numPr>
          <w:ilvl w:val="0"/>
          <w:numId w:val="41"/>
        </w:numPr>
        <w:tabs>
          <w:tab w:val="left" w:pos="-420"/>
          <w:tab w:val="clear" w:pos="-840"/>
        </w:tabs>
        <w:bidi w:val="0"/>
        <w:ind w:left="480" w:leftChars="0"/>
        <w:rPr>
          <w:color w:val="auto"/>
          <w:highlight w:val="none"/>
        </w:rPr>
      </w:pPr>
      <w:r>
        <w:rPr>
          <w:rFonts w:hint="eastAsia"/>
          <w:color w:val="auto"/>
          <w:highlight w:val="none"/>
        </w:rPr>
        <w:t>铝模深化时</w:t>
      </w:r>
      <w:r>
        <w:rPr>
          <w:color w:val="auto"/>
          <w:highlight w:val="none"/>
        </w:rPr>
        <w:t>应考虑</w:t>
      </w:r>
      <w:r>
        <w:rPr>
          <w:rFonts w:hint="eastAsia"/>
          <w:color w:val="auto"/>
          <w:highlight w:val="none"/>
        </w:rPr>
        <w:t>以下部位全部同主体一起浇筑：窗台、窗坎、</w:t>
      </w:r>
      <w:r>
        <w:rPr>
          <w:rFonts w:hint="eastAsia"/>
          <w:color w:val="auto"/>
          <w:highlight w:val="none"/>
          <w:lang w:val="en-US" w:eastAsia="zh-CN"/>
        </w:rPr>
        <w:t>反坎、</w:t>
      </w:r>
      <w:r>
        <w:rPr>
          <w:rFonts w:hint="eastAsia"/>
          <w:color w:val="auto"/>
          <w:highlight w:val="none"/>
        </w:rPr>
        <w:t>门洞过梁、构造柱、滴水线、楼层分隔线、门头梁下挂、户内门框柱（包括入户门、户内门、卫生间门、阳台铝合金门）、铝模混凝土结构墙体与砌体连接节点、预留孔洞位置、干湿相接房间隔墙、给水管压槽、机电点位与铝模冲突处等。</w:t>
      </w:r>
    </w:p>
    <w:p>
      <w:pPr>
        <w:numPr>
          <w:ilvl w:val="0"/>
          <w:numId w:val="41"/>
        </w:numPr>
        <w:tabs>
          <w:tab w:val="left" w:pos="-420"/>
          <w:tab w:val="clear" w:pos="-840"/>
        </w:tabs>
        <w:bidi w:val="0"/>
        <w:ind w:left="480" w:leftChars="0"/>
        <w:rPr>
          <w:color w:val="auto"/>
          <w:highlight w:val="none"/>
        </w:rPr>
      </w:pPr>
      <w:r>
        <w:rPr>
          <w:rFonts w:hint="eastAsia"/>
          <w:color w:val="auto"/>
          <w:highlight w:val="none"/>
        </w:rPr>
        <w:t>深化设计图纸必须经过发包人审批同意后方可按照深化图纸开模、加工。</w:t>
      </w:r>
    </w:p>
    <w:p>
      <w:pPr>
        <w:numPr>
          <w:ilvl w:val="0"/>
          <w:numId w:val="41"/>
        </w:numPr>
        <w:tabs>
          <w:tab w:val="left" w:pos="-420"/>
          <w:tab w:val="clear" w:pos="-840"/>
        </w:tabs>
        <w:bidi w:val="0"/>
        <w:ind w:left="480" w:leftChars="0"/>
        <w:rPr>
          <w:color w:val="auto"/>
          <w:highlight w:val="none"/>
        </w:rPr>
      </w:pPr>
      <w:r>
        <w:rPr>
          <w:rFonts w:hint="eastAsia"/>
          <w:color w:val="auto"/>
          <w:highlight w:val="none"/>
        </w:rPr>
        <w:t>铝</w:t>
      </w:r>
      <w:r>
        <w:rPr>
          <w:color w:val="auto"/>
          <w:highlight w:val="none"/>
        </w:rPr>
        <w:t>模设计</w:t>
      </w:r>
      <w:r>
        <w:rPr>
          <w:rFonts w:hint="eastAsia"/>
          <w:color w:val="auto"/>
          <w:highlight w:val="none"/>
        </w:rPr>
        <w:t>厚度</w:t>
      </w:r>
      <w:r>
        <w:rPr>
          <w:color w:val="auto"/>
          <w:highlight w:val="none"/>
        </w:rPr>
        <w:t>应满足</w:t>
      </w:r>
      <w:r>
        <w:rPr>
          <w:rFonts w:hint="eastAsia"/>
          <w:color w:val="auto"/>
          <w:highlight w:val="none"/>
        </w:rPr>
        <w:t>模板</w:t>
      </w:r>
      <w:r>
        <w:rPr>
          <w:color w:val="auto"/>
          <w:highlight w:val="none"/>
        </w:rPr>
        <w:t>承载力</w:t>
      </w:r>
      <w:r>
        <w:rPr>
          <w:rFonts w:hint="eastAsia"/>
          <w:color w:val="auto"/>
          <w:highlight w:val="none"/>
        </w:rPr>
        <w:t>要</w:t>
      </w:r>
      <w:r>
        <w:rPr>
          <w:color w:val="auto"/>
          <w:highlight w:val="none"/>
        </w:rPr>
        <w:t>求。</w:t>
      </w:r>
    </w:p>
    <w:p>
      <w:pPr>
        <w:numPr>
          <w:ilvl w:val="0"/>
          <w:numId w:val="41"/>
        </w:numPr>
        <w:tabs>
          <w:tab w:val="left" w:pos="-420"/>
          <w:tab w:val="clear" w:pos="-840"/>
        </w:tabs>
        <w:bidi w:val="0"/>
        <w:ind w:left="480" w:leftChars="0"/>
        <w:rPr>
          <w:color w:val="auto"/>
          <w:highlight w:val="none"/>
        </w:rPr>
      </w:pPr>
      <w:r>
        <w:rPr>
          <w:color w:val="auto"/>
          <w:highlight w:val="none"/>
        </w:rPr>
        <w:t>铝模在</w:t>
      </w:r>
      <w:r>
        <w:rPr>
          <w:rFonts w:hint="eastAsia"/>
          <w:color w:val="auto"/>
          <w:highlight w:val="none"/>
        </w:rPr>
        <w:t>工</w:t>
      </w:r>
      <w:r>
        <w:rPr>
          <w:color w:val="auto"/>
          <w:highlight w:val="none"/>
        </w:rPr>
        <w:t>厂</w:t>
      </w:r>
      <w:r>
        <w:rPr>
          <w:rFonts w:hint="eastAsia"/>
          <w:color w:val="auto"/>
          <w:highlight w:val="none"/>
        </w:rPr>
        <w:t>内</w:t>
      </w:r>
      <w:r>
        <w:rPr>
          <w:color w:val="auto"/>
          <w:highlight w:val="none"/>
        </w:rPr>
        <w:t>应进行充分的隔离处理，同时优化混凝土配合</w:t>
      </w:r>
      <w:r>
        <w:rPr>
          <w:rFonts w:hint="eastAsia"/>
          <w:color w:val="auto"/>
          <w:highlight w:val="none"/>
        </w:rPr>
        <w:t>比</w:t>
      </w:r>
      <w:r>
        <w:rPr>
          <w:color w:val="auto"/>
          <w:highlight w:val="none"/>
        </w:rPr>
        <w:t>，避免混凝土表面出现麻</w:t>
      </w:r>
      <w:r>
        <w:rPr>
          <w:rFonts w:hint="eastAsia"/>
          <w:color w:val="auto"/>
          <w:highlight w:val="none"/>
        </w:rPr>
        <w:t>面</w:t>
      </w:r>
      <w:r>
        <w:rPr>
          <w:color w:val="auto"/>
          <w:highlight w:val="none"/>
        </w:rPr>
        <w:t>、</w:t>
      </w:r>
      <w:r>
        <w:rPr>
          <w:rFonts w:hint="eastAsia"/>
          <w:color w:val="auto"/>
          <w:highlight w:val="none"/>
        </w:rPr>
        <w:t>起</w:t>
      </w:r>
      <w:r>
        <w:rPr>
          <w:color w:val="auto"/>
          <w:highlight w:val="none"/>
        </w:rPr>
        <w:t>泡。</w:t>
      </w:r>
    </w:p>
    <w:p>
      <w:pPr>
        <w:bidi w:val="0"/>
        <w:rPr>
          <w:color w:val="auto"/>
          <w:sz w:val="24"/>
          <w:highlight w:val="none"/>
        </w:rPr>
      </w:pPr>
      <w:r>
        <w:rPr>
          <w:color w:val="auto"/>
          <w:sz w:val="24"/>
          <w:highlight w:val="none"/>
        </w:rPr>
        <w:t>5</w:t>
      </w:r>
      <w:r>
        <w:rPr>
          <w:rFonts w:hint="eastAsia"/>
          <w:color w:val="auto"/>
          <w:sz w:val="24"/>
          <w:highlight w:val="none"/>
        </w:rPr>
        <w:t>）铝合金模板</w:t>
      </w:r>
      <w:r>
        <w:rPr>
          <w:rFonts w:hint="eastAsia" w:asciiTheme="minorEastAsia" w:hAnsiTheme="minorEastAsia"/>
          <w:color w:val="auto"/>
          <w:sz w:val="24"/>
          <w:highlight w:val="none"/>
        </w:rPr>
        <w:t>试</w:t>
      </w:r>
      <w:r>
        <w:rPr>
          <w:rFonts w:asciiTheme="minorEastAsia" w:hAnsiTheme="minorEastAsia"/>
          <w:color w:val="auto"/>
          <w:sz w:val="24"/>
          <w:highlight w:val="none"/>
        </w:rPr>
        <w:t>拼装</w:t>
      </w:r>
    </w:p>
    <w:p>
      <w:pPr>
        <w:numPr>
          <w:ilvl w:val="0"/>
          <w:numId w:val="42"/>
        </w:numPr>
        <w:tabs>
          <w:tab w:val="left" w:pos="-420"/>
          <w:tab w:val="clear" w:pos="-840"/>
        </w:tabs>
        <w:bidi w:val="0"/>
        <w:ind w:left="480" w:leftChars="0"/>
        <w:rPr>
          <w:color w:val="auto"/>
          <w:highlight w:val="none"/>
        </w:rPr>
      </w:pPr>
      <w:r>
        <w:rPr>
          <w:rFonts w:hint="eastAsia"/>
          <w:color w:val="auto"/>
          <w:highlight w:val="none"/>
        </w:rPr>
        <w:t>铝模在正式安装之前，应在工厂进行试拼装。铝模的试拼装应在组装平台或铝模厂家经处理的场地上进行，组装完毕后由总承包人组织发包人、监理人、设计人等单位进行铝模试拼装联合验收。验收合格</w:t>
      </w:r>
      <w:r>
        <w:rPr>
          <w:color w:val="auto"/>
          <w:highlight w:val="none"/>
        </w:rPr>
        <w:t>后方可拉至现场。</w:t>
      </w:r>
    </w:p>
    <w:p>
      <w:pPr>
        <w:numPr>
          <w:ilvl w:val="0"/>
          <w:numId w:val="42"/>
        </w:numPr>
        <w:tabs>
          <w:tab w:val="left" w:pos="-420"/>
          <w:tab w:val="clear" w:pos="-840"/>
        </w:tabs>
        <w:bidi w:val="0"/>
        <w:ind w:left="480" w:leftChars="0"/>
        <w:rPr>
          <w:color w:val="auto"/>
          <w:highlight w:val="none"/>
        </w:rPr>
      </w:pPr>
      <w:r>
        <w:rPr>
          <w:rFonts w:hint="eastAsia"/>
          <w:color w:val="auto"/>
          <w:highlight w:val="none"/>
        </w:rPr>
        <w:t>试拼装验收管控要点：检查铝模支撑体系是否按深化图配置；检查压槽配件是否固定牢固，滴水线、给水管、缺口梁等压槽配件宜采用焊接固定；检查各深化节点是否落实到位。且总承包人需在安装过程中提前安排人员进行机电点位预埋定位穿插施工，复核图纸的准确性，正确指导后期现场施工。深化设计图纸必须经过监理审批同意后方可按照深化图纸开模、加工。若因深化图纸与蓝图不符导致铝模拆改，造成的损失由承包人承担。</w:t>
      </w:r>
    </w:p>
    <w:p>
      <w:pPr>
        <w:numPr>
          <w:ilvl w:val="0"/>
          <w:numId w:val="42"/>
        </w:numPr>
        <w:tabs>
          <w:tab w:val="left" w:pos="-420"/>
          <w:tab w:val="clear" w:pos="-840"/>
        </w:tabs>
        <w:bidi w:val="0"/>
        <w:ind w:left="480" w:leftChars="0"/>
        <w:rPr>
          <w:color w:val="auto"/>
          <w:highlight w:val="none"/>
        </w:rPr>
      </w:pPr>
      <w:r>
        <w:rPr>
          <w:rFonts w:hint="eastAsia"/>
          <w:color w:val="auto"/>
          <w:highlight w:val="none"/>
        </w:rPr>
        <w:t>经试拼装验收合格后打包运输到项目，打包前由铝模施工班组对铝模进行编号，按照编号进行打包和装车。平行叠放稳妥，避免碰撞。每捆打包的铝模之间应加垫木，铝模与垫木应上下平堆，运输时，应整体绑缚捆紧，防止摇晃摩擦。</w:t>
      </w:r>
    </w:p>
    <w:p>
      <w:pPr>
        <w:bidi w:val="0"/>
        <w:rPr>
          <w:color w:val="auto"/>
          <w:highlight w:val="none"/>
        </w:rPr>
      </w:pPr>
      <w:r>
        <w:rPr>
          <w:color w:val="auto"/>
          <w:highlight w:val="none"/>
        </w:rPr>
        <w:t>6</w:t>
      </w:r>
      <w:r>
        <w:rPr>
          <w:rFonts w:hint="eastAsia"/>
          <w:color w:val="auto"/>
          <w:highlight w:val="none"/>
        </w:rPr>
        <w:t>）质量</w:t>
      </w:r>
      <w:r>
        <w:rPr>
          <w:color w:val="auto"/>
          <w:highlight w:val="none"/>
        </w:rPr>
        <w:t>控制要求</w:t>
      </w:r>
    </w:p>
    <w:p>
      <w:pPr>
        <w:numPr>
          <w:ilvl w:val="0"/>
          <w:numId w:val="43"/>
        </w:numPr>
        <w:tabs>
          <w:tab w:val="left" w:pos="-420"/>
          <w:tab w:val="clear" w:pos="-840"/>
        </w:tabs>
        <w:bidi w:val="0"/>
        <w:ind w:left="480" w:leftChars="0"/>
        <w:rPr>
          <w:color w:val="auto"/>
          <w:highlight w:val="none"/>
        </w:rPr>
      </w:pPr>
      <w:r>
        <w:rPr>
          <w:rFonts w:hint="eastAsia"/>
          <w:color w:val="auto"/>
          <w:highlight w:val="none"/>
        </w:rPr>
        <w:t>铝模验收控制程序：劳务自检→总承包人复验→监理人核验→发包人抽检。</w:t>
      </w:r>
    </w:p>
    <w:p>
      <w:pPr>
        <w:numPr>
          <w:ilvl w:val="0"/>
          <w:numId w:val="43"/>
        </w:numPr>
        <w:tabs>
          <w:tab w:val="left" w:pos="-420"/>
          <w:tab w:val="clear" w:pos="-840"/>
        </w:tabs>
        <w:bidi w:val="0"/>
        <w:ind w:left="480" w:leftChars="0"/>
        <w:rPr>
          <w:color w:val="auto"/>
          <w:highlight w:val="none"/>
        </w:rPr>
      </w:pPr>
      <w:r>
        <w:rPr>
          <w:rFonts w:hint="eastAsia"/>
          <w:color w:val="auto"/>
          <w:highlight w:val="none"/>
        </w:rPr>
        <w:t>墙</w:t>
      </w:r>
      <w:r>
        <w:rPr>
          <w:color w:val="auto"/>
          <w:highlight w:val="none"/>
        </w:rPr>
        <w:t>柱模板</w:t>
      </w:r>
      <w:r>
        <w:rPr>
          <w:rFonts w:hint="eastAsia"/>
          <w:color w:val="auto"/>
          <w:highlight w:val="none"/>
        </w:rPr>
        <w:t>的</w:t>
      </w:r>
      <w:r>
        <w:rPr>
          <w:color w:val="auto"/>
          <w:highlight w:val="none"/>
        </w:rPr>
        <w:t>安装底面应平整坚实</w:t>
      </w:r>
      <w:r>
        <w:rPr>
          <w:rFonts w:hint="eastAsia"/>
          <w:color w:val="auto"/>
          <w:highlight w:val="none"/>
        </w:rPr>
        <w:t>，</w:t>
      </w:r>
      <w:r>
        <w:rPr>
          <w:color w:val="auto"/>
          <w:highlight w:val="none"/>
        </w:rPr>
        <w:t>并采取可靠的定位措施</w:t>
      </w:r>
      <w:r>
        <w:rPr>
          <w:rFonts w:hint="eastAsia"/>
          <w:color w:val="auto"/>
          <w:highlight w:val="none"/>
        </w:rPr>
        <w:t>。</w:t>
      </w:r>
    </w:p>
    <w:p>
      <w:pPr>
        <w:numPr>
          <w:ilvl w:val="0"/>
          <w:numId w:val="43"/>
        </w:numPr>
        <w:tabs>
          <w:tab w:val="left" w:pos="-420"/>
          <w:tab w:val="clear" w:pos="-840"/>
        </w:tabs>
        <w:bidi w:val="0"/>
        <w:ind w:left="480" w:leftChars="0"/>
        <w:rPr>
          <w:color w:val="auto"/>
          <w:highlight w:val="none"/>
        </w:rPr>
      </w:pPr>
      <w:r>
        <w:rPr>
          <w:rFonts w:hint="eastAsia"/>
          <w:color w:val="auto"/>
          <w:highlight w:val="none"/>
        </w:rPr>
        <w:t>立杆</w:t>
      </w:r>
      <w:r>
        <w:rPr>
          <w:color w:val="auto"/>
          <w:highlight w:val="none"/>
        </w:rPr>
        <w:t>和斜撑下的支承面应平整，并有足够的</w:t>
      </w:r>
      <w:r>
        <w:rPr>
          <w:rFonts w:hint="eastAsia"/>
          <w:color w:val="auto"/>
          <w:highlight w:val="none"/>
        </w:rPr>
        <w:t>承压</w:t>
      </w:r>
      <w:r>
        <w:rPr>
          <w:color w:val="auto"/>
          <w:highlight w:val="none"/>
        </w:rPr>
        <w:t>面积</w:t>
      </w:r>
      <w:r>
        <w:rPr>
          <w:rFonts w:hint="eastAsia"/>
          <w:color w:val="auto"/>
          <w:highlight w:val="none"/>
        </w:rPr>
        <w:t>，斜支撑应着力于外楞。</w:t>
      </w:r>
    </w:p>
    <w:p>
      <w:pPr>
        <w:numPr>
          <w:ilvl w:val="0"/>
          <w:numId w:val="43"/>
        </w:numPr>
        <w:tabs>
          <w:tab w:val="left" w:pos="-420"/>
          <w:tab w:val="clear" w:pos="-840"/>
        </w:tabs>
        <w:bidi w:val="0"/>
        <w:ind w:left="480" w:leftChars="0"/>
        <w:rPr>
          <w:color w:val="auto"/>
          <w:highlight w:val="none"/>
        </w:rPr>
      </w:pPr>
      <w:r>
        <w:rPr>
          <w:rFonts w:hint="eastAsia"/>
          <w:color w:val="auto"/>
          <w:highlight w:val="none"/>
        </w:rPr>
        <w:t>上下</w:t>
      </w:r>
      <w:r>
        <w:rPr>
          <w:color w:val="auto"/>
          <w:highlight w:val="none"/>
        </w:rPr>
        <w:t>层对应的</w:t>
      </w:r>
      <w:r>
        <w:rPr>
          <w:rFonts w:hint="eastAsia"/>
          <w:color w:val="auto"/>
          <w:highlight w:val="none"/>
        </w:rPr>
        <w:t>模板</w:t>
      </w:r>
      <w:r>
        <w:rPr>
          <w:color w:val="auto"/>
          <w:highlight w:val="none"/>
        </w:rPr>
        <w:t>立杆应设置在同一</w:t>
      </w:r>
      <w:r>
        <w:rPr>
          <w:rFonts w:hint="eastAsia"/>
          <w:color w:val="auto"/>
          <w:highlight w:val="none"/>
        </w:rPr>
        <w:t>竖向</w:t>
      </w:r>
      <w:r>
        <w:rPr>
          <w:color w:val="auto"/>
          <w:highlight w:val="none"/>
        </w:rPr>
        <w:t>中心线上。</w:t>
      </w:r>
    </w:p>
    <w:p>
      <w:pPr>
        <w:numPr>
          <w:ilvl w:val="0"/>
          <w:numId w:val="43"/>
        </w:numPr>
        <w:tabs>
          <w:tab w:val="left" w:pos="-420"/>
          <w:tab w:val="clear" w:pos="-840"/>
        </w:tabs>
        <w:bidi w:val="0"/>
        <w:ind w:left="480" w:leftChars="0"/>
        <w:rPr>
          <w:color w:val="auto"/>
          <w:highlight w:val="none"/>
        </w:rPr>
      </w:pPr>
      <w:r>
        <w:rPr>
          <w:rFonts w:hint="eastAsia"/>
          <w:color w:val="auto"/>
          <w:highlight w:val="none"/>
        </w:rPr>
        <w:t>为保证</w:t>
      </w:r>
      <w:r>
        <w:rPr>
          <w:color w:val="auto"/>
          <w:highlight w:val="none"/>
        </w:rPr>
        <w:t>门窗洞口</w:t>
      </w:r>
      <w:r>
        <w:rPr>
          <w:rFonts w:hint="eastAsia"/>
          <w:color w:val="auto"/>
          <w:highlight w:val="none"/>
        </w:rPr>
        <w:t>方</w:t>
      </w:r>
      <w:r>
        <w:rPr>
          <w:color w:val="auto"/>
          <w:highlight w:val="none"/>
        </w:rPr>
        <w:t>正度</w:t>
      </w:r>
      <w:r>
        <w:rPr>
          <w:rFonts w:hint="eastAsia"/>
          <w:color w:val="auto"/>
          <w:highlight w:val="none"/>
        </w:rPr>
        <w:t>及</w:t>
      </w:r>
      <w:r>
        <w:rPr>
          <w:color w:val="auto"/>
          <w:highlight w:val="none"/>
        </w:rPr>
        <w:t>整体平整度，对宽度小</w:t>
      </w:r>
      <w:r>
        <w:rPr>
          <w:rFonts w:hint="eastAsia"/>
          <w:color w:val="auto"/>
          <w:highlight w:val="none"/>
        </w:rPr>
        <w:t>于1m的</w:t>
      </w:r>
      <w:r>
        <w:rPr>
          <w:color w:val="auto"/>
          <w:highlight w:val="none"/>
        </w:rPr>
        <w:t>门洞，下端设置</w:t>
      </w:r>
      <w:r>
        <w:rPr>
          <w:rFonts w:hint="eastAsia"/>
          <w:color w:val="auto"/>
          <w:highlight w:val="none"/>
        </w:rPr>
        <w:t>铝</w:t>
      </w:r>
      <w:r>
        <w:rPr>
          <w:color w:val="auto"/>
          <w:highlight w:val="none"/>
        </w:rPr>
        <w:t>角拉件控制门宽，对宽度</w:t>
      </w:r>
      <w:r>
        <w:rPr>
          <w:rFonts w:hint="eastAsia"/>
          <w:color w:val="auto"/>
          <w:highlight w:val="none"/>
        </w:rPr>
        <w:t>大于1m的</w:t>
      </w:r>
      <w:r>
        <w:rPr>
          <w:color w:val="auto"/>
          <w:highlight w:val="none"/>
        </w:rPr>
        <w:t>门洞，</w:t>
      </w:r>
      <w:r>
        <w:rPr>
          <w:rFonts w:hint="eastAsia"/>
          <w:color w:val="auto"/>
          <w:highlight w:val="none"/>
        </w:rPr>
        <w:t>于</w:t>
      </w:r>
      <w:r>
        <w:rPr>
          <w:color w:val="auto"/>
          <w:highlight w:val="none"/>
        </w:rPr>
        <w:t>两边门头铝板下方各设置斜撑固定。</w:t>
      </w:r>
    </w:p>
    <w:p>
      <w:pPr>
        <w:numPr>
          <w:ilvl w:val="0"/>
          <w:numId w:val="43"/>
        </w:numPr>
        <w:tabs>
          <w:tab w:val="left" w:pos="-420"/>
          <w:tab w:val="clear" w:pos="-840"/>
        </w:tabs>
        <w:bidi w:val="0"/>
        <w:ind w:left="480" w:leftChars="0"/>
        <w:rPr>
          <w:color w:val="auto"/>
          <w:highlight w:val="none"/>
        </w:rPr>
      </w:pPr>
      <w:r>
        <w:rPr>
          <w:rFonts w:hint="eastAsia"/>
          <w:color w:val="auto"/>
          <w:highlight w:val="none"/>
        </w:rPr>
        <w:t>为</w:t>
      </w:r>
      <w:r>
        <w:rPr>
          <w:color w:val="auto"/>
          <w:highlight w:val="none"/>
        </w:rPr>
        <w:t>控制施工标高，外墙起</w:t>
      </w:r>
      <w:r>
        <w:rPr>
          <w:rFonts w:hint="eastAsia"/>
          <w:color w:val="auto"/>
          <w:highlight w:val="none"/>
        </w:rPr>
        <w:t>步</w:t>
      </w:r>
      <w:r>
        <w:rPr>
          <w:color w:val="auto"/>
          <w:highlight w:val="none"/>
        </w:rPr>
        <w:t>板预</w:t>
      </w:r>
      <w:r>
        <w:rPr>
          <w:rFonts w:hint="eastAsia"/>
          <w:color w:val="auto"/>
          <w:highlight w:val="none"/>
        </w:rPr>
        <w:t>埋螺丝</w:t>
      </w:r>
      <w:r>
        <w:rPr>
          <w:color w:val="auto"/>
          <w:highlight w:val="none"/>
        </w:rPr>
        <w:t>孔为长圆孔，内墙底部铝模提高</w:t>
      </w:r>
      <w:r>
        <w:rPr>
          <w:rFonts w:hint="eastAsia"/>
          <w:color w:val="auto"/>
          <w:highlight w:val="none"/>
        </w:rPr>
        <w:t>10</w:t>
      </w:r>
      <w:r>
        <w:rPr>
          <w:color w:val="auto"/>
          <w:highlight w:val="none"/>
        </w:rPr>
        <w:t>mm</w:t>
      </w:r>
      <w:r>
        <w:rPr>
          <w:rFonts w:hint="eastAsia"/>
          <w:color w:val="auto"/>
          <w:highlight w:val="none"/>
        </w:rPr>
        <w:t>，</w:t>
      </w:r>
      <w:r>
        <w:rPr>
          <w:color w:val="auto"/>
          <w:highlight w:val="none"/>
        </w:rPr>
        <w:t>待标高调整到位后用限位</w:t>
      </w:r>
      <w:r>
        <w:rPr>
          <w:rFonts w:hint="eastAsia"/>
          <w:color w:val="auto"/>
          <w:highlight w:val="none"/>
        </w:rPr>
        <w:t>板</w:t>
      </w:r>
      <w:r>
        <w:rPr>
          <w:color w:val="auto"/>
          <w:highlight w:val="none"/>
        </w:rPr>
        <w:t>条堵缝，防止漏浆。</w:t>
      </w:r>
    </w:p>
    <w:p>
      <w:pPr>
        <w:numPr>
          <w:ilvl w:val="0"/>
          <w:numId w:val="43"/>
        </w:numPr>
        <w:tabs>
          <w:tab w:val="left" w:pos="-420"/>
          <w:tab w:val="clear" w:pos="-840"/>
        </w:tabs>
        <w:bidi w:val="0"/>
        <w:ind w:left="480" w:leftChars="0"/>
        <w:rPr>
          <w:color w:val="auto"/>
          <w:highlight w:val="none"/>
        </w:rPr>
      </w:pPr>
      <w:r>
        <w:rPr>
          <w:rFonts w:hint="eastAsia"/>
          <w:color w:val="auto"/>
          <w:highlight w:val="none"/>
        </w:rPr>
        <w:t>为</w:t>
      </w:r>
      <w:r>
        <w:rPr>
          <w:color w:val="auto"/>
          <w:highlight w:val="none"/>
        </w:rPr>
        <w:t>处理铝模施工楼层间的接缝，可在外墙部位设置</w:t>
      </w:r>
      <w:r>
        <w:rPr>
          <w:rFonts w:hint="eastAsia"/>
          <w:color w:val="auto"/>
          <w:highlight w:val="none"/>
        </w:rPr>
        <w:t>300</w:t>
      </w:r>
      <w:r>
        <w:rPr>
          <w:color w:val="auto"/>
          <w:highlight w:val="none"/>
        </w:rPr>
        <w:t>mm</w:t>
      </w:r>
      <w:r>
        <w:rPr>
          <w:rFonts w:hint="eastAsia"/>
          <w:color w:val="auto"/>
          <w:highlight w:val="none"/>
        </w:rPr>
        <w:t>高</w:t>
      </w:r>
      <w:r>
        <w:rPr>
          <w:color w:val="auto"/>
          <w:highlight w:val="none"/>
        </w:rPr>
        <w:t>起步板连接上下层铝模板，内墙墙身铝板下端为</w:t>
      </w:r>
      <w:r>
        <w:rPr>
          <w:rFonts w:hint="eastAsia"/>
          <w:color w:val="auto"/>
          <w:highlight w:val="none"/>
        </w:rPr>
        <w:t>40</w:t>
      </w:r>
      <w:r>
        <w:rPr>
          <w:color w:val="auto"/>
          <w:highlight w:val="none"/>
        </w:rPr>
        <w:t>mm</w:t>
      </w:r>
      <w:r>
        <w:rPr>
          <w:rFonts w:hint="eastAsia"/>
          <w:color w:val="auto"/>
          <w:highlight w:val="none"/>
        </w:rPr>
        <w:t>的</w:t>
      </w:r>
      <w:r>
        <w:rPr>
          <w:color w:val="auto"/>
          <w:highlight w:val="none"/>
        </w:rPr>
        <w:t>高铝角</w:t>
      </w:r>
      <w:r>
        <w:rPr>
          <w:rFonts w:hint="eastAsia"/>
          <w:color w:val="auto"/>
          <w:highlight w:val="none"/>
        </w:rPr>
        <w:t>。</w:t>
      </w:r>
    </w:p>
    <w:p>
      <w:pPr>
        <w:numPr>
          <w:ilvl w:val="0"/>
          <w:numId w:val="43"/>
        </w:numPr>
        <w:tabs>
          <w:tab w:val="left" w:pos="-420"/>
          <w:tab w:val="clear" w:pos="-840"/>
        </w:tabs>
        <w:bidi w:val="0"/>
        <w:ind w:left="480" w:leftChars="0"/>
        <w:rPr>
          <w:color w:val="auto"/>
          <w:highlight w:val="none"/>
        </w:rPr>
      </w:pPr>
      <w:r>
        <w:rPr>
          <w:rFonts w:hint="eastAsia"/>
          <w:color w:val="auto"/>
          <w:highlight w:val="none"/>
        </w:rPr>
        <w:t>墙</w:t>
      </w:r>
      <w:r>
        <w:rPr>
          <w:color w:val="auto"/>
          <w:highlight w:val="none"/>
        </w:rPr>
        <w:t>柱垂直定位参照线和标高控制线都应</w:t>
      </w:r>
      <w:r>
        <w:rPr>
          <w:rFonts w:hint="eastAsia"/>
          <w:color w:val="auto"/>
          <w:highlight w:val="none"/>
        </w:rPr>
        <w:t>标识</w:t>
      </w:r>
      <w:r>
        <w:rPr>
          <w:color w:val="auto"/>
          <w:highlight w:val="none"/>
        </w:rPr>
        <w:t>清晰准确</w:t>
      </w:r>
      <w:r>
        <w:rPr>
          <w:rFonts w:hint="eastAsia"/>
          <w:color w:val="auto"/>
          <w:highlight w:val="none"/>
        </w:rPr>
        <w:t>，</w:t>
      </w:r>
      <w:r>
        <w:rPr>
          <w:color w:val="auto"/>
          <w:highlight w:val="none"/>
        </w:rPr>
        <w:t>便于模板垂直度、水平度的控制。</w:t>
      </w:r>
    </w:p>
    <w:p>
      <w:pPr>
        <w:numPr>
          <w:ilvl w:val="0"/>
          <w:numId w:val="43"/>
        </w:numPr>
        <w:tabs>
          <w:tab w:val="left" w:pos="-420"/>
          <w:tab w:val="clear" w:pos="-840"/>
        </w:tabs>
        <w:bidi w:val="0"/>
        <w:ind w:left="480" w:leftChars="0"/>
        <w:rPr>
          <w:color w:val="auto"/>
          <w:highlight w:val="none"/>
        </w:rPr>
      </w:pPr>
      <w:r>
        <w:rPr>
          <w:rFonts w:hint="eastAsia"/>
          <w:color w:val="auto"/>
          <w:highlight w:val="none"/>
        </w:rPr>
        <w:t>墙</w:t>
      </w:r>
      <w:r>
        <w:rPr>
          <w:color w:val="auto"/>
          <w:highlight w:val="none"/>
        </w:rPr>
        <w:t>柱模板</w:t>
      </w:r>
      <w:r>
        <w:rPr>
          <w:rFonts w:hint="eastAsia"/>
          <w:color w:val="auto"/>
          <w:highlight w:val="none"/>
        </w:rPr>
        <w:t>竖</w:t>
      </w:r>
      <w:r>
        <w:rPr>
          <w:color w:val="auto"/>
          <w:highlight w:val="none"/>
        </w:rPr>
        <w:t>向要做成整</w:t>
      </w:r>
      <w:r>
        <w:rPr>
          <w:rFonts w:hint="eastAsia"/>
          <w:color w:val="auto"/>
          <w:highlight w:val="none"/>
        </w:rPr>
        <w:t>板</w:t>
      </w:r>
      <w:r>
        <w:rPr>
          <w:color w:val="auto"/>
          <w:highlight w:val="none"/>
        </w:rPr>
        <w:t>，不</w:t>
      </w:r>
      <w:r>
        <w:rPr>
          <w:rFonts w:hint="eastAsia"/>
          <w:color w:val="auto"/>
          <w:highlight w:val="none"/>
        </w:rPr>
        <w:t>允许竖</w:t>
      </w:r>
      <w:r>
        <w:rPr>
          <w:color w:val="auto"/>
          <w:highlight w:val="none"/>
        </w:rPr>
        <w:t>向</w:t>
      </w:r>
      <w:r>
        <w:rPr>
          <w:rFonts w:hint="eastAsia"/>
          <w:color w:val="auto"/>
          <w:highlight w:val="none"/>
        </w:rPr>
        <w:t>拼</w:t>
      </w:r>
      <w:r>
        <w:rPr>
          <w:color w:val="auto"/>
          <w:highlight w:val="none"/>
        </w:rPr>
        <w:t>缝</w:t>
      </w:r>
      <w:r>
        <w:rPr>
          <w:rFonts w:hint="eastAsia"/>
          <w:color w:val="auto"/>
          <w:highlight w:val="none"/>
        </w:rPr>
        <w:t>，便于垂直</w:t>
      </w:r>
      <w:r>
        <w:rPr>
          <w:color w:val="auto"/>
          <w:highlight w:val="none"/>
        </w:rPr>
        <w:t>控制。</w:t>
      </w:r>
    </w:p>
    <w:p>
      <w:pPr>
        <w:numPr>
          <w:ilvl w:val="0"/>
          <w:numId w:val="43"/>
        </w:numPr>
        <w:tabs>
          <w:tab w:val="left" w:pos="-420"/>
          <w:tab w:val="clear" w:pos="-840"/>
        </w:tabs>
        <w:bidi w:val="0"/>
        <w:ind w:left="480" w:leftChars="0"/>
        <w:rPr>
          <w:color w:val="auto"/>
          <w:highlight w:val="none"/>
        </w:rPr>
      </w:pPr>
      <w:r>
        <w:rPr>
          <w:rFonts w:hint="eastAsia"/>
          <w:color w:val="auto"/>
          <w:highlight w:val="none"/>
        </w:rPr>
        <w:t>现场</w:t>
      </w:r>
      <w:r>
        <w:rPr>
          <w:color w:val="auto"/>
          <w:highlight w:val="none"/>
        </w:rPr>
        <w:t>设置校模机，对变形超过允许偏差的模板进行校正，确保混凝土成型尺寸及</w:t>
      </w:r>
      <w:r>
        <w:rPr>
          <w:rFonts w:hint="eastAsia"/>
          <w:color w:val="auto"/>
          <w:highlight w:val="none"/>
        </w:rPr>
        <w:t>质量。</w:t>
      </w:r>
    </w:p>
    <w:p>
      <w:pPr>
        <w:numPr>
          <w:ilvl w:val="0"/>
          <w:numId w:val="43"/>
        </w:numPr>
        <w:tabs>
          <w:tab w:val="left" w:pos="-420"/>
          <w:tab w:val="clear" w:pos="-840"/>
        </w:tabs>
        <w:bidi w:val="0"/>
        <w:ind w:left="480" w:leftChars="0"/>
        <w:rPr>
          <w:color w:val="auto"/>
          <w:highlight w:val="none"/>
        </w:rPr>
      </w:pPr>
      <w:r>
        <w:rPr>
          <w:rFonts w:hint="eastAsia"/>
          <w:color w:val="auto"/>
          <w:highlight w:val="none"/>
        </w:rPr>
        <w:t>模板</w:t>
      </w:r>
      <w:r>
        <w:rPr>
          <w:color w:val="auto"/>
          <w:highlight w:val="none"/>
        </w:rPr>
        <w:t>拆除时，应将模板</w:t>
      </w:r>
      <w:r>
        <w:rPr>
          <w:rFonts w:hint="eastAsia"/>
          <w:color w:val="auto"/>
          <w:highlight w:val="none"/>
        </w:rPr>
        <w:t>逐</w:t>
      </w:r>
      <w:r>
        <w:rPr>
          <w:color w:val="auto"/>
          <w:highlight w:val="none"/>
        </w:rPr>
        <w:t>块拆除传递，严禁抛掷踩撞，避免损伤模板和</w:t>
      </w:r>
      <w:r>
        <w:rPr>
          <w:rFonts w:hint="eastAsia"/>
          <w:color w:val="auto"/>
          <w:highlight w:val="none"/>
        </w:rPr>
        <w:t>混凝土</w:t>
      </w:r>
      <w:r>
        <w:rPr>
          <w:color w:val="auto"/>
          <w:highlight w:val="none"/>
        </w:rPr>
        <w:t>。</w:t>
      </w:r>
    </w:p>
    <w:p>
      <w:pPr>
        <w:numPr>
          <w:ilvl w:val="0"/>
          <w:numId w:val="43"/>
        </w:numPr>
        <w:tabs>
          <w:tab w:val="left" w:pos="-420"/>
          <w:tab w:val="clear" w:pos="-840"/>
        </w:tabs>
        <w:bidi w:val="0"/>
        <w:ind w:left="480" w:leftChars="0"/>
        <w:rPr>
          <w:color w:val="auto"/>
          <w:highlight w:val="none"/>
        </w:rPr>
      </w:pPr>
      <w:r>
        <w:rPr>
          <w:rFonts w:hint="eastAsia"/>
          <w:color w:val="auto"/>
          <w:highlight w:val="none"/>
        </w:rPr>
        <w:t>拆下的模板和配件应分类堆放整齐。</w:t>
      </w:r>
    </w:p>
    <w:p>
      <w:pPr>
        <w:numPr>
          <w:ilvl w:val="0"/>
          <w:numId w:val="43"/>
        </w:numPr>
        <w:tabs>
          <w:tab w:val="left" w:pos="-420"/>
          <w:tab w:val="clear" w:pos="-840"/>
        </w:tabs>
        <w:bidi w:val="0"/>
        <w:ind w:left="480" w:leftChars="0"/>
        <w:rPr>
          <w:color w:val="auto"/>
          <w:highlight w:val="none"/>
        </w:rPr>
      </w:pPr>
      <w:r>
        <w:rPr>
          <w:rFonts w:hint="eastAsia"/>
          <w:color w:val="auto"/>
          <w:highlight w:val="none"/>
        </w:rPr>
        <w:t>为</w:t>
      </w:r>
      <w:r>
        <w:rPr>
          <w:color w:val="auto"/>
          <w:highlight w:val="none"/>
        </w:rPr>
        <w:t>减少混凝土泵抖动对支撑的不利影响，推荐使用下层</w:t>
      </w:r>
      <w:r>
        <w:rPr>
          <w:rFonts w:hint="eastAsia"/>
          <w:color w:val="auto"/>
          <w:highlight w:val="none"/>
        </w:rPr>
        <w:t>布料</w:t>
      </w:r>
      <w:r>
        <w:rPr>
          <w:color w:val="auto"/>
          <w:highlight w:val="none"/>
        </w:rPr>
        <w:t>机，如果使用</w:t>
      </w:r>
      <w:r>
        <w:rPr>
          <w:rFonts w:hint="eastAsia"/>
          <w:color w:val="auto"/>
          <w:highlight w:val="none"/>
        </w:rPr>
        <w:t>普通</w:t>
      </w:r>
      <w:r>
        <w:rPr>
          <w:color w:val="auto"/>
          <w:highlight w:val="none"/>
        </w:rPr>
        <w:t>布</w:t>
      </w:r>
      <w:r>
        <w:rPr>
          <w:rFonts w:hint="eastAsia"/>
          <w:color w:val="auto"/>
          <w:highlight w:val="none"/>
        </w:rPr>
        <w:t>料</w:t>
      </w:r>
      <w:r>
        <w:rPr>
          <w:color w:val="auto"/>
          <w:highlight w:val="none"/>
        </w:rPr>
        <w:t>机，水平管需垫轮胎</w:t>
      </w:r>
      <w:r>
        <w:rPr>
          <w:rFonts w:hint="eastAsia"/>
          <w:color w:val="auto"/>
          <w:highlight w:val="none"/>
        </w:rPr>
        <w:t>减</w:t>
      </w:r>
      <w:r>
        <w:rPr>
          <w:color w:val="auto"/>
          <w:highlight w:val="none"/>
        </w:rPr>
        <w:t>震</w:t>
      </w:r>
      <w:r>
        <w:rPr>
          <w:rFonts w:hint="eastAsia"/>
          <w:color w:val="auto"/>
          <w:highlight w:val="none"/>
        </w:rPr>
        <w:t>，布料机下部须采取有效加固措施</w:t>
      </w:r>
      <w:r>
        <w:rPr>
          <w:color w:val="auto"/>
          <w:highlight w:val="none"/>
        </w:rPr>
        <w:t>。</w:t>
      </w:r>
    </w:p>
    <w:p>
      <w:pPr>
        <w:numPr>
          <w:ilvl w:val="0"/>
          <w:numId w:val="43"/>
        </w:numPr>
        <w:tabs>
          <w:tab w:val="left" w:pos="-420"/>
          <w:tab w:val="clear" w:pos="-840"/>
        </w:tabs>
        <w:bidi w:val="0"/>
        <w:ind w:left="480" w:leftChars="0"/>
        <w:rPr>
          <w:color w:val="auto"/>
          <w:highlight w:val="none"/>
        </w:rPr>
      </w:pPr>
      <w:r>
        <w:rPr>
          <w:rFonts w:hint="eastAsia"/>
          <w:color w:val="auto"/>
          <w:highlight w:val="none"/>
        </w:rPr>
        <w:t>总承包人应安排满足工程进度以及质量要求的铝模厂熟练工人进行</w:t>
      </w:r>
      <w:r>
        <w:rPr>
          <w:color w:val="auto"/>
          <w:highlight w:val="none"/>
        </w:rPr>
        <w:t>铝模板施工</w:t>
      </w:r>
      <w:r>
        <w:rPr>
          <w:rFonts w:hint="eastAsia"/>
          <w:color w:val="auto"/>
          <w:highlight w:val="none"/>
        </w:rPr>
        <w:t>。</w:t>
      </w:r>
    </w:p>
    <w:p>
      <w:pPr>
        <w:bidi w:val="0"/>
        <w:rPr>
          <w:color w:val="auto"/>
          <w:highlight w:val="none"/>
        </w:rPr>
      </w:pPr>
      <w:r>
        <w:rPr>
          <w:rFonts w:hint="eastAsia"/>
          <w:color w:val="auto"/>
          <w:highlight w:val="none"/>
        </w:rPr>
        <w:t>8）铝模拆模控制</w:t>
      </w:r>
    </w:p>
    <w:p>
      <w:pPr>
        <w:numPr>
          <w:ilvl w:val="0"/>
          <w:numId w:val="44"/>
        </w:numPr>
        <w:bidi w:val="0"/>
        <w:ind w:left="710" w:leftChars="0"/>
        <w:rPr>
          <w:color w:val="auto"/>
          <w:highlight w:val="none"/>
        </w:rPr>
      </w:pPr>
      <w:r>
        <w:rPr>
          <w:rFonts w:hint="eastAsia"/>
          <w:color w:val="auto"/>
          <w:highlight w:val="none"/>
        </w:rPr>
        <w:t>现场拆除组合铝模时，应遵循下列规定：拆模前应制定拆模的程序，拆模方法以及安全措施。先拆墙身模板，再拆梁、板模板。支撑件与杆件应逐件拆卸，模板应逐块拆卸传递，拆除时不得损伤模板和混凝土。拆下的模板和配件均应分类堆放整齐，附件应放在工具箱内。</w:t>
      </w:r>
    </w:p>
    <w:p>
      <w:pPr>
        <w:numPr>
          <w:ilvl w:val="0"/>
          <w:numId w:val="44"/>
        </w:numPr>
        <w:bidi w:val="0"/>
        <w:ind w:left="710" w:leftChars="0"/>
        <w:rPr>
          <w:color w:val="auto"/>
          <w:highlight w:val="none"/>
        </w:rPr>
      </w:pPr>
      <w:r>
        <w:rPr>
          <w:rFonts w:hint="eastAsia"/>
          <w:color w:val="auto"/>
          <w:highlight w:val="none"/>
        </w:rPr>
        <w:t>拆除下来的模板应及时清理上面的混凝土残渣，然后及时涂刷专用脱模剂。脱模剂的涂刷要求：所有模板必须清洁干净后方可涂刷脱模剂；墙身模板竖立后用滚筒涂刷，为防止量过多流动污染地面，只刷模板上半部分，下半部分让它自由流匀；楼面部分的脱模剂不能用滚筒涂刷，只能用胶壶喷洒，且用量不能过多。</w:t>
      </w:r>
    </w:p>
    <w:p>
      <w:pPr>
        <w:bidi w:val="0"/>
        <w:rPr>
          <w:rFonts w:ascii="Times New Roman" w:eastAsiaTheme="minorEastAsia"/>
          <w:bCs/>
          <w:color w:val="auto"/>
          <w:sz w:val="24"/>
          <w:highlight w:val="none"/>
        </w:rPr>
      </w:pPr>
      <w:r>
        <w:rPr>
          <w:color w:val="auto"/>
          <w:sz w:val="24"/>
          <w:highlight w:val="none"/>
        </w:rPr>
        <w:t>9</w:t>
      </w:r>
      <w:r>
        <w:rPr>
          <w:rFonts w:hint="eastAsia"/>
          <w:color w:val="auto"/>
          <w:sz w:val="24"/>
          <w:highlight w:val="none"/>
        </w:rPr>
        <w:t>）</w:t>
      </w:r>
      <w:r>
        <w:rPr>
          <w:rFonts w:hint="eastAsia" w:ascii="Times New Roman" w:eastAsiaTheme="minorEastAsia"/>
          <w:bCs/>
          <w:color w:val="auto"/>
          <w:sz w:val="24"/>
          <w:highlight w:val="none"/>
        </w:rPr>
        <w:t>负责拉片式铝模防锈工作，采用银色防锈漆按圆形磨具涂刷。总承包人投标报价时充分考虑相关措施费用，包含在合约清单中。</w:t>
      </w:r>
    </w:p>
    <w:p>
      <w:pPr>
        <w:bidi w:val="0"/>
        <w:rPr>
          <w:color w:val="auto"/>
          <w:highlight w:val="none"/>
        </w:rPr>
      </w:pPr>
      <w:r>
        <w:rPr>
          <w:rFonts w:hint="eastAsia"/>
          <w:color w:val="auto"/>
          <w:highlight w:val="none"/>
        </w:rPr>
        <w:t>1</w:t>
      </w:r>
      <w:r>
        <w:rPr>
          <w:color w:val="auto"/>
          <w:highlight w:val="none"/>
        </w:rPr>
        <w:t>0）</w:t>
      </w:r>
      <w:r>
        <w:rPr>
          <w:rFonts w:hint="eastAsia"/>
          <w:color w:val="auto"/>
          <w:highlight w:val="none"/>
        </w:rPr>
        <w:t>外墙免抹灰项目，爬架底部、中部两道翻板位置需设置截浆带，以阻止外墙模板漏浆而污染爬架以下的外墙腻子。</w:t>
      </w:r>
    </w:p>
    <w:p>
      <w:pPr>
        <w:pStyle w:val="4"/>
        <w:bidi w:val="0"/>
        <w:rPr>
          <w:color w:val="auto"/>
          <w:highlight w:val="none"/>
        </w:rPr>
      </w:pPr>
      <w:r>
        <w:rPr>
          <w:rFonts w:hint="eastAsia"/>
          <w:color w:val="auto"/>
          <w:highlight w:val="none"/>
        </w:rPr>
        <w:t>混凝土工程</w:t>
      </w:r>
    </w:p>
    <w:p>
      <w:pPr>
        <w:pStyle w:val="5"/>
        <w:bidi w:val="0"/>
        <w:ind w:left="253"/>
        <w:rPr>
          <w:color w:val="auto"/>
          <w:highlight w:val="none"/>
        </w:rPr>
      </w:pPr>
      <w:r>
        <w:rPr>
          <w:rFonts w:hint="eastAsia"/>
          <w:color w:val="auto"/>
          <w:highlight w:val="none"/>
        </w:rPr>
        <w:t xml:space="preserve">质量标准 </w:t>
      </w:r>
      <w:r>
        <w:rPr>
          <w:color w:val="auto"/>
          <w:highlight w:val="none"/>
        </w:rPr>
        <w:t xml:space="preserve"> </w:t>
      </w:r>
    </w:p>
    <w:p>
      <w:pPr>
        <w:numPr>
          <w:ilvl w:val="0"/>
          <w:numId w:val="45"/>
        </w:numPr>
        <w:bidi w:val="0"/>
        <w:rPr>
          <w:color w:val="auto"/>
          <w:highlight w:val="none"/>
        </w:rPr>
      </w:pPr>
      <w:r>
        <w:rPr>
          <w:rFonts w:hint="eastAsia"/>
          <w:color w:val="auto"/>
          <w:highlight w:val="none"/>
        </w:rPr>
        <w:t>应符合国家和行业现行有关混凝土工程的规范和标准及《</w:t>
      </w:r>
      <w:r>
        <w:rPr>
          <w:rFonts w:hint="eastAsia"/>
          <w:color w:val="auto"/>
          <w:highlight w:val="none"/>
          <w:lang w:eastAsia="zh-CN"/>
        </w:rPr>
        <w:t>【附件B-3】质量过程检查标准</w:t>
      </w:r>
      <w:r>
        <w:rPr>
          <w:rFonts w:hint="eastAsia"/>
          <w:color w:val="auto"/>
          <w:highlight w:val="none"/>
        </w:rPr>
        <w:t>》</w:t>
      </w:r>
      <w:r>
        <w:rPr>
          <w:rFonts w:hint="eastAsia"/>
          <w:color w:val="auto"/>
          <w:highlight w:val="none"/>
          <w:lang w:val="en-US" w:eastAsia="zh-CN"/>
        </w:rPr>
        <w:t>要求</w:t>
      </w:r>
      <w:r>
        <w:rPr>
          <w:rFonts w:hint="eastAsia"/>
          <w:color w:val="auto"/>
          <w:highlight w:val="none"/>
        </w:rPr>
        <w:t>。</w:t>
      </w:r>
    </w:p>
    <w:p>
      <w:pPr>
        <w:numPr>
          <w:ilvl w:val="0"/>
          <w:numId w:val="45"/>
        </w:numPr>
        <w:bidi w:val="0"/>
        <w:rPr>
          <w:color w:val="auto"/>
          <w:highlight w:val="none"/>
        </w:rPr>
      </w:pPr>
      <w:bookmarkStart w:id="754" w:name="_Hlk168303936"/>
      <w:r>
        <w:rPr>
          <w:rFonts w:hint="eastAsia"/>
          <w:color w:val="auto"/>
          <w:highlight w:val="none"/>
        </w:rPr>
        <w:t>如混凝土墙为无保温且免抹灰</w:t>
      </w:r>
      <w:r>
        <w:rPr>
          <w:rFonts w:hint="eastAsia"/>
          <w:color w:val="auto"/>
          <w:highlight w:val="none"/>
          <w:lang w:val="en-US" w:eastAsia="zh-CN"/>
        </w:rPr>
        <w:t>做法</w:t>
      </w:r>
      <w:r>
        <w:rPr>
          <w:rFonts w:hint="eastAsia"/>
          <w:color w:val="auto"/>
          <w:highlight w:val="none"/>
        </w:rPr>
        <w:t>，总承包人应采取必要的打磨、修补措施，对混凝土墙进行整改处理，质量标准为垂直度、平整度允许偏差</w:t>
      </w:r>
      <w:r>
        <w:rPr>
          <w:color w:val="auto"/>
          <w:highlight w:val="none"/>
        </w:rPr>
        <w:t>4mm</w:t>
      </w:r>
      <w:r>
        <w:rPr>
          <w:rFonts w:hint="eastAsia"/>
          <w:color w:val="auto"/>
          <w:highlight w:val="none"/>
          <w:lang w:eastAsia="zh-CN"/>
        </w:rPr>
        <w:t>（</w:t>
      </w:r>
      <w:r>
        <w:rPr>
          <w:rFonts w:hint="eastAsia"/>
          <w:b/>
          <w:bCs/>
          <w:color w:val="auto"/>
          <w:highlight w:val="none"/>
          <w:lang w:val="en-US" w:eastAsia="zh-CN"/>
        </w:rPr>
        <w:t>【附件B-8】精装修工作面移交标准</w:t>
      </w:r>
      <w:r>
        <w:rPr>
          <w:rFonts w:hint="eastAsia"/>
          <w:color w:val="auto"/>
          <w:highlight w:val="none"/>
          <w:lang w:eastAsia="zh-CN"/>
        </w:rPr>
        <w:t>），</w:t>
      </w:r>
      <w:r>
        <w:rPr>
          <w:rFonts w:hint="eastAsia"/>
          <w:color w:val="auto"/>
          <w:highlight w:val="none"/>
          <w:lang w:val="en-US" w:eastAsia="zh-CN"/>
        </w:rPr>
        <w:t>并达到工序移交标准</w:t>
      </w:r>
      <w:r>
        <w:rPr>
          <w:rFonts w:hint="eastAsia"/>
          <w:color w:val="auto"/>
          <w:highlight w:val="none"/>
        </w:rPr>
        <w:t>。总承包人投标报价时充分考虑相关措施费用，</w:t>
      </w:r>
      <w:r>
        <w:rPr>
          <w:rFonts w:hint="eastAsia"/>
          <w:color w:val="auto"/>
          <w:highlight w:val="none"/>
          <w:lang w:val="en-US" w:eastAsia="zh-CN"/>
        </w:rPr>
        <w:t>相关费用不单独计取</w:t>
      </w:r>
      <w:r>
        <w:rPr>
          <w:rFonts w:hint="eastAsia"/>
          <w:color w:val="auto"/>
          <w:highlight w:val="none"/>
        </w:rPr>
        <w:t>。</w:t>
      </w:r>
      <w:bookmarkEnd w:id="754"/>
    </w:p>
    <w:p>
      <w:pPr>
        <w:numPr>
          <w:ilvl w:val="0"/>
          <w:numId w:val="45"/>
        </w:numPr>
        <w:bidi w:val="0"/>
        <w:rPr>
          <w:color w:val="auto"/>
          <w:highlight w:val="none"/>
        </w:rPr>
      </w:pPr>
      <w:r>
        <w:rPr>
          <w:rFonts w:hint="eastAsia"/>
          <w:color w:val="auto"/>
          <w:highlight w:val="none"/>
        </w:rPr>
        <w:t>混凝土施工缝、后浇带留置应按设计要求。</w:t>
      </w:r>
    </w:p>
    <w:p>
      <w:pPr>
        <w:numPr>
          <w:ilvl w:val="0"/>
          <w:numId w:val="45"/>
        </w:numPr>
        <w:bidi w:val="0"/>
        <w:rPr>
          <w:color w:val="auto"/>
          <w:highlight w:val="none"/>
        </w:rPr>
      </w:pPr>
      <w:r>
        <w:rPr>
          <w:rFonts w:hint="eastAsia"/>
          <w:color w:val="auto"/>
          <w:highlight w:val="none"/>
        </w:rPr>
        <w:t>现浇混凝土楼板板底严禁抹灰。</w:t>
      </w:r>
    </w:p>
    <w:p>
      <w:pPr>
        <w:numPr>
          <w:ilvl w:val="0"/>
          <w:numId w:val="45"/>
        </w:numPr>
        <w:bidi w:val="0"/>
        <w:rPr>
          <w:color w:val="auto"/>
          <w:highlight w:val="none"/>
        </w:rPr>
      </w:pPr>
      <w:r>
        <w:rPr>
          <w:rFonts w:hint="eastAsia"/>
          <w:color w:val="auto"/>
          <w:highlight w:val="none"/>
        </w:rPr>
        <w:t>混凝土不得出现蜂窝、烂根、缺棱掉角、一般表面夹渣（如夹模板、垃圾、编织袋等）、混凝土楼板收面不佳（如有脚印、麻面、高低不平）、混凝土构件出现孔洞（深于钢筋保护层厚度）、露筋等情况，阴角线应规整顺直。</w:t>
      </w:r>
    </w:p>
    <w:p>
      <w:pPr>
        <w:numPr>
          <w:ilvl w:val="0"/>
          <w:numId w:val="45"/>
        </w:numPr>
        <w:bidi w:val="0"/>
        <w:rPr>
          <w:color w:val="auto"/>
          <w:highlight w:val="none"/>
        </w:rPr>
      </w:pPr>
      <w:r>
        <w:rPr>
          <w:rFonts w:hint="eastAsia"/>
          <w:color w:val="auto"/>
          <w:highlight w:val="none"/>
        </w:rPr>
        <w:t>铝模施工区域</w:t>
      </w:r>
      <w:r>
        <w:rPr>
          <w:color w:val="auto"/>
          <w:highlight w:val="none"/>
        </w:rPr>
        <w:t>确保混凝土拆模后实测实量</w:t>
      </w:r>
      <w:r>
        <w:rPr>
          <w:rFonts w:hint="eastAsia"/>
          <w:color w:val="auto"/>
          <w:highlight w:val="none"/>
        </w:rPr>
        <w:t>一次</w:t>
      </w:r>
      <w:r>
        <w:rPr>
          <w:color w:val="auto"/>
          <w:highlight w:val="none"/>
        </w:rPr>
        <w:t>合格率不低于9</w:t>
      </w:r>
      <w:r>
        <w:rPr>
          <w:rFonts w:hint="eastAsia"/>
          <w:color w:val="auto"/>
          <w:highlight w:val="none"/>
        </w:rPr>
        <w:t>8</w:t>
      </w:r>
      <w:r>
        <w:rPr>
          <w:color w:val="auto"/>
          <w:highlight w:val="none"/>
        </w:rPr>
        <w:t>%</w:t>
      </w:r>
      <w:r>
        <w:rPr>
          <w:rFonts w:hint="eastAsia"/>
          <w:color w:val="auto"/>
          <w:highlight w:val="none"/>
        </w:rPr>
        <w:t>。</w:t>
      </w:r>
    </w:p>
    <w:p>
      <w:pPr>
        <w:pStyle w:val="5"/>
        <w:bidi w:val="0"/>
        <w:ind w:left="253"/>
        <w:rPr>
          <w:color w:val="auto"/>
          <w:highlight w:val="none"/>
        </w:rPr>
      </w:pPr>
      <w:r>
        <w:rPr>
          <w:rFonts w:hint="eastAsia"/>
          <w:color w:val="auto"/>
          <w:highlight w:val="none"/>
        </w:rPr>
        <w:t>浇筑令</w:t>
      </w:r>
    </w:p>
    <w:p>
      <w:pPr>
        <w:bidi w:val="0"/>
        <w:rPr>
          <w:color w:val="auto"/>
          <w:highlight w:val="none"/>
        </w:rPr>
      </w:pPr>
      <w:r>
        <w:rPr>
          <w:rFonts w:hint="eastAsia"/>
          <w:color w:val="auto"/>
          <w:highlight w:val="none"/>
        </w:rPr>
        <w:t>混凝土浇筑前，应经监理人/发包人对模板工程、钢筋工程及水电预留预埋等隐蔽工程验收合格后，会签验收意见，并由总监/总监代表下发浇筑令再进行混凝土浇筑施工。</w:t>
      </w:r>
    </w:p>
    <w:p>
      <w:pPr>
        <w:pStyle w:val="5"/>
        <w:bidi w:val="0"/>
        <w:ind w:left="253"/>
        <w:rPr>
          <w:color w:val="auto"/>
          <w:highlight w:val="none"/>
        </w:rPr>
      </w:pPr>
      <w:r>
        <w:rPr>
          <w:rFonts w:hint="eastAsia"/>
          <w:color w:val="auto"/>
          <w:highlight w:val="none"/>
        </w:rPr>
        <w:t>混凝土材料验收要求</w:t>
      </w:r>
    </w:p>
    <w:p>
      <w:pPr>
        <w:numPr>
          <w:ilvl w:val="0"/>
          <w:numId w:val="46"/>
        </w:numPr>
        <w:bidi w:val="0"/>
        <w:rPr>
          <w:rFonts w:hint="eastAsia"/>
          <w:color w:val="auto"/>
          <w:highlight w:val="none"/>
        </w:rPr>
      </w:pPr>
      <w:r>
        <w:rPr>
          <w:rFonts w:hint="eastAsia"/>
          <w:color w:val="auto"/>
          <w:highlight w:val="none"/>
        </w:rPr>
        <w:t>基础、主体结构须全部采用商品混凝土。</w:t>
      </w:r>
    </w:p>
    <w:p>
      <w:pPr>
        <w:numPr>
          <w:ilvl w:val="0"/>
          <w:numId w:val="46"/>
        </w:numPr>
        <w:bidi w:val="0"/>
        <w:rPr>
          <w:rFonts w:hint="eastAsia"/>
          <w:color w:val="auto"/>
          <w:highlight w:val="none"/>
        </w:rPr>
      </w:pPr>
      <w:r>
        <w:rPr>
          <w:rFonts w:hint="eastAsia"/>
          <w:color w:val="auto"/>
          <w:highlight w:val="none"/>
        </w:rPr>
        <w:t>监理人在混凝土运输到达现场后随机见证抽检混凝土塌落度，并见证取样留置混凝土试块，做好标识。对进场不合格的混凝土一律退回，不得浇筑。</w:t>
      </w:r>
    </w:p>
    <w:p>
      <w:pPr>
        <w:numPr>
          <w:ilvl w:val="0"/>
          <w:numId w:val="46"/>
        </w:numPr>
        <w:bidi w:val="0"/>
        <w:rPr>
          <w:rFonts w:hint="eastAsia"/>
          <w:color w:val="auto"/>
          <w:highlight w:val="none"/>
        </w:rPr>
      </w:pPr>
      <w:r>
        <w:rPr>
          <w:rFonts w:hint="eastAsia"/>
          <w:color w:val="auto"/>
          <w:highlight w:val="none"/>
        </w:rPr>
        <w:t>混凝土搅拌站应提供原材料的质量合格证明文件和混凝土配合比单。</w:t>
      </w:r>
    </w:p>
    <w:p>
      <w:pPr>
        <w:pStyle w:val="5"/>
        <w:bidi w:val="0"/>
        <w:ind w:left="253"/>
        <w:rPr>
          <w:color w:val="auto"/>
          <w:highlight w:val="none"/>
        </w:rPr>
      </w:pPr>
      <w:r>
        <w:rPr>
          <w:rFonts w:hint="eastAsia"/>
          <w:color w:val="auto"/>
          <w:highlight w:val="none"/>
        </w:rPr>
        <w:t>浇筑过程控制要求</w:t>
      </w:r>
    </w:p>
    <w:p>
      <w:pPr>
        <w:numPr>
          <w:ilvl w:val="0"/>
          <w:numId w:val="47"/>
        </w:numPr>
        <w:bidi w:val="0"/>
        <w:rPr>
          <w:rFonts w:hint="eastAsia"/>
          <w:color w:val="auto"/>
          <w:highlight w:val="none"/>
        </w:rPr>
      </w:pPr>
      <w:r>
        <w:rPr>
          <w:rFonts w:hint="eastAsia"/>
          <w:color w:val="auto"/>
          <w:highlight w:val="none"/>
        </w:rPr>
        <w:t xml:space="preserve">保证混凝土供应及时，并确保混凝土连续浇筑。 </w:t>
      </w:r>
    </w:p>
    <w:p>
      <w:pPr>
        <w:numPr>
          <w:ilvl w:val="0"/>
          <w:numId w:val="47"/>
        </w:numPr>
        <w:bidi w:val="0"/>
        <w:rPr>
          <w:rFonts w:hint="eastAsia"/>
          <w:color w:val="auto"/>
          <w:highlight w:val="none"/>
        </w:rPr>
      </w:pPr>
      <w:r>
        <w:rPr>
          <w:rFonts w:hint="eastAsia"/>
          <w:color w:val="auto"/>
          <w:highlight w:val="none"/>
        </w:rPr>
        <w:t>混凝土浇筑振捣时须关注模板是否变形，随时校正和加固模板。</w:t>
      </w:r>
    </w:p>
    <w:p>
      <w:pPr>
        <w:numPr>
          <w:ilvl w:val="0"/>
          <w:numId w:val="47"/>
        </w:numPr>
        <w:bidi w:val="0"/>
        <w:rPr>
          <w:rFonts w:hint="eastAsia"/>
          <w:color w:val="auto"/>
          <w:highlight w:val="none"/>
        </w:rPr>
      </w:pPr>
      <w:r>
        <w:rPr>
          <w:rFonts w:hint="eastAsia"/>
          <w:color w:val="auto"/>
          <w:highlight w:val="none"/>
        </w:rPr>
        <w:t>墙柱混凝土必须分层连续浇筑，每层浇筑高度不大于500mm。</w:t>
      </w:r>
    </w:p>
    <w:p>
      <w:pPr>
        <w:numPr>
          <w:ilvl w:val="0"/>
          <w:numId w:val="47"/>
        </w:numPr>
        <w:bidi w:val="0"/>
        <w:rPr>
          <w:rFonts w:hint="eastAsia"/>
          <w:color w:val="auto"/>
          <w:highlight w:val="none"/>
        </w:rPr>
      </w:pPr>
      <w:r>
        <w:rPr>
          <w:rFonts w:hint="eastAsia"/>
          <w:color w:val="auto"/>
          <w:highlight w:val="none"/>
        </w:rPr>
        <w:t>墙柱与梁、板的混凝土强度等级不同时，应先浇筑墙柱高标号混凝土于楼板面标高，且向柱周边的板内及梁内浇筑一定的长度，然后再浇梁、板混凝土。</w:t>
      </w:r>
    </w:p>
    <w:p>
      <w:pPr>
        <w:numPr>
          <w:ilvl w:val="0"/>
          <w:numId w:val="47"/>
        </w:numPr>
        <w:bidi w:val="0"/>
        <w:rPr>
          <w:rFonts w:hint="eastAsia"/>
          <w:color w:val="auto"/>
          <w:highlight w:val="none"/>
        </w:rPr>
      </w:pPr>
      <w:r>
        <w:rPr>
          <w:rFonts w:hint="eastAsia"/>
          <w:color w:val="auto"/>
          <w:highlight w:val="none"/>
        </w:rPr>
        <w:t>严格控制振捣时间，不得过振和漏振，防止出现离析、蜂窝、狗洞等质量问题。</w:t>
      </w:r>
    </w:p>
    <w:p>
      <w:pPr>
        <w:numPr>
          <w:ilvl w:val="0"/>
          <w:numId w:val="47"/>
        </w:numPr>
        <w:bidi w:val="0"/>
        <w:rPr>
          <w:rFonts w:hint="eastAsia"/>
          <w:color w:val="auto"/>
          <w:highlight w:val="none"/>
        </w:rPr>
      </w:pPr>
      <w:r>
        <w:rPr>
          <w:rFonts w:hint="eastAsia"/>
          <w:color w:val="auto"/>
          <w:highlight w:val="none"/>
        </w:rPr>
        <w:t>浇筑混凝土应连续进行。如必须间歇，时间应尽量缩短，并应在前层混凝土初凝之前，将次层混凝土浇筑完毕。间歇的最长时间应按所有水泥品种及混凝土初凝条件确定，一般超过2小时应按施工缝处理。</w:t>
      </w:r>
    </w:p>
    <w:p>
      <w:pPr>
        <w:numPr>
          <w:ilvl w:val="0"/>
          <w:numId w:val="47"/>
        </w:numPr>
        <w:bidi w:val="0"/>
        <w:rPr>
          <w:rFonts w:hint="eastAsia"/>
          <w:color w:val="auto"/>
          <w:highlight w:val="none"/>
        </w:rPr>
      </w:pPr>
      <w:r>
        <w:rPr>
          <w:rFonts w:hint="eastAsia"/>
          <w:color w:val="auto"/>
          <w:highlight w:val="none"/>
        </w:rPr>
        <w:t>浇筑混凝土时应派专人经常观察模板钢筋、预留孔洞、预埋件、插筋等有无位移变形或堵塞情况，发现问题应停止浇灌并应在已浇筑的混凝土初凝前修整完毕。</w:t>
      </w:r>
    </w:p>
    <w:p>
      <w:pPr>
        <w:numPr>
          <w:ilvl w:val="0"/>
          <w:numId w:val="47"/>
        </w:numPr>
        <w:bidi w:val="0"/>
        <w:rPr>
          <w:rFonts w:hint="eastAsia"/>
          <w:color w:val="auto"/>
          <w:highlight w:val="none"/>
        </w:rPr>
      </w:pPr>
      <w:r>
        <w:rPr>
          <w:rFonts w:hint="eastAsia"/>
          <w:color w:val="auto"/>
          <w:highlight w:val="none"/>
        </w:rPr>
        <w:t>梁板混凝土浇筑过程中，必须采用拉线、插扦等方式严格控制楼板厚度。插扦测量板厚应在楼板混凝土振捣完成后进行，分别对板四角及板中位置的板厚进行插扦测量，并在平面图上记录板厚数据。板厚控制应以插扦数据为准。</w:t>
      </w:r>
    </w:p>
    <w:p>
      <w:pPr>
        <w:numPr>
          <w:ilvl w:val="0"/>
          <w:numId w:val="47"/>
        </w:numPr>
        <w:bidi w:val="0"/>
        <w:rPr>
          <w:rFonts w:hint="eastAsia"/>
          <w:color w:val="auto"/>
          <w:highlight w:val="none"/>
        </w:rPr>
      </w:pPr>
      <w:r>
        <w:rPr>
          <w:rFonts w:hint="eastAsia"/>
          <w:color w:val="auto"/>
          <w:highlight w:val="none"/>
        </w:rPr>
        <w:t>构造柱混凝土一次浇筑时必须采取措施（填砂）与结构断开，以免改变结构受力状态。</w:t>
      </w:r>
    </w:p>
    <w:p>
      <w:pPr>
        <w:numPr>
          <w:ilvl w:val="0"/>
          <w:numId w:val="47"/>
        </w:numPr>
        <w:bidi w:val="0"/>
        <w:rPr>
          <w:rFonts w:hint="eastAsia"/>
          <w:color w:val="auto"/>
          <w:highlight w:val="none"/>
        </w:rPr>
      </w:pPr>
      <w:r>
        <w:rPr>
          <w:rFonts w:hint="eastAsia"/>
          <w:color w:val="auto"/>
          <w:highlight w:val="none"/>
        </w:rPr>
        <w:t>楼板混凝土振捣完成后，应进行收光扫毛。初次压光应在混凝土初凝前，用木抹子搓压后，用铁抹子初次压光；待混凝土表面收水后（人踩了有脚印，但不陷入时为宜）采用磨光机进行第二次压光，压光时用力均匀，将表面压实、压光，清除表面气泡、砂眼等缺陷。收光完成后，需对楼板混凝土表面用扫把进行扫毛，以增强结构与后续工艺的粘结性。</w:t>
      </w:r>
    </w:p>
    <w:p>
      <w:pPr>
        <w:pStyle w:val="5"/>
        <w:bidi w:val="0"/>
        <w:ind w:left="253"/>
        <w:rPr>
          <w:color w:val="auto"/>
          <w:highlight w:val="none"/>
        </w:rPr>
      </w:pPr>
      <w:r>
        <w:rPr>
          <w:color w:val="auto"/>
          <w:highlight w:val="none"/>
        </w:rPr>
        <w:t xml:space="preserve"> </w:t>
      </w:r>
      <w:r>
        <w:rPr>
          <w:rFonts w:hint="eastAsia"/>
          <w:color w:val="auto"/>
          <w:highlight w:val="none"/>
        </w:rPr>
        <w:t>混凝土的养护要求</w:t>
      </w:r>
    </w:p>
    <w:p>
      <w:pPr>
        <w:numPr>
          <w:ilvl w:val="0"/>
          <w:numId w:val="48"/>
        </w:numPr>
        <w:bidi w:val="0"/>
        <w:rPr>
          <w:rFonts w:hint="eastAsia"/>
          <w:color w:val="auto"/>
          <w:highlight w:val="none"/>
        </w:rPr>
      </w:pPr>
      <w:r>
        <w:rPr>
          <w:rFonts w:hint="eastAsia"/>
          <w:color w:val="auto"/>
          <w:highlight w:val="none"/>
        </w:rPr>
        <w:t>混凝土浇筑完毕后12小时内宜用塑料薄膜覆盖并保湿养护，混凝土在规范规定的养护期内必须保湿养护，养护应由专人负责。</w:t>
      </w:r>
    </w:p>
    <w:p>
      <w:pPr>
        <w:numPr>
          <w:ilvl w:val="0"/>
          <w:numId w:val="48"/>
        </w:numPr>
        <w:bidi w:val="0"/>
        <w:rPr>
          <w:rFonts w:hint="eastAsia"/>
          <w:color w:val="auto"/>
          <w:highlight w:val="none"/>
        </w:rPr>
      </w:pPr>
      <w:r>
        <w:rPr>
          <w:rFonts w:hint="eastAsia"/>
          <w:color w:val="auto"/>
          <w:highlight w:val="none"/>
        </w:rPr>
        <w:t>混凝土浇水养护日期，掺用缓凝型外加剂或有抗渗要求的混凝土不得小于14天。在混凝土强度达到1.2Mpa之前，不得在其上踩或施工振动。柱、墙拆模后，宜用塑料薄膜覆盖养护，以确保立面结构表面保持湿润状态。</w:t>
      </w:r>
    </w:p>
    <w:p>
      <w:pPr>
        <w:pStyle w:val="5"/>
        <w:spacing w:before="120" w:beforeLines="50" w:after="120" w:afterLines="50"/>
        <w:ind w:left="253" w:firstLineChars="0"/>
        <w:jc w:val="both"/>
        <w:rPr>
          <w:color w:val="auto"/>
          <w:highlight w:val="none"/>
          <w:lang w:eastAsia="zh-CN"/>
        </w:rPr>
      </w:pPr>
      <w:r>
        <w:rPr>
          <w:rFonts w:hint="eastAsia"/>
          <w:color w:val="auto"/>
          <w:highlight w:val="none"/>
          <w:lang w:eastAsia="zh-CN"/>
        </w:rPr>
        <w:t>地下室顶板和屋面混凝土施工</w:t>
      </w:r>
    </w:p>
    <w:p>
      <w:pPr>
        <w:numPr>
          <w:ilvl w:val="0"/>
          <w:numId w:val="49"/>
        </w:numPr>
        <w:bidi w:val="0"/>
        <w:rPr>
          <w:rFonts w:hint="eastAsia"/>
          <w:color w:val="auto"/>
          <w:highlight w:val="none"/>
          <w:lang w:eastAsia="zh-CN"/>
        </w:rPr>
      </w:pPr>
      <w:r>
        <w:rPr>
          <w:rFonts w:hint="eastAsia"/>
          <w:color w:val="auto"/>
          <w:highlight w:val="none"/>
          <w:lang w:eastAsia="zh-CN"/>
        </w:rPr>
        <w:t>同个板块地下室顶板的室外和室内区域若混凝土设计要求不同，须提前做好深化，须做好分隔措施，控制好施工顺序。</w:t>
      </w:r>
    </w:p>
    <w:p>
      <w:pPr>
        <w:numPr>
          <w:ilvl w:val="0"/>
          <w:numId w:val="49"/>
        </w:numPr>
        <w:bidi w:val="0"/>
        <w:rPr>
          <w:rFonts w:hint="eastAsia"/>
          <w:color w:val="auto"/>
          <w:highlight w:val="none"/>
          <w:lang w:eastAsia="zh-CN"/>
        </w:rPr>
      </w:pPr>
      <w:r>
        <w:rPr>
          <w:rFonts w:hint="eastAsia"/>
          <w:color w:val="auto"/>
          <w:highlight w:val="none"/>
          <w:lang w:eastAsia="zh-CN"/>
        </w:rPr>
        <w:t>同个板块内的室外或屋顶混凝土浇筑若留设施工缝，至少在泛水高度范围内，其止水钢板设置应闭合完整。</w:t>
      </w:r>
    </w:p>
    <w:p>
      <w:pPr>
        <w:numPr>
          <w:ilvl w:val="0"/>
          <w:numId w:val="49"/>
        </w:numPr>
        <w:bidi w:val="0"/>
        <w:rPr>
          <w:rFonts w:hint="eastAsia"/>
          <w:color w:val="auto"/>
          <w:highlight w:val="none"/>
        </w:rPr>
      </w:pPr>
      <w:r>
        <w:rPr>
          <w:rFonts w:hint="eastAsia"/>
          <w:color w:val="auto"/>
          <w:highlight w:val="none"/>
          <w:lang w:eastAsia="zh-CN"/>
        </w:rPr>
        <w:t>室外和屋顶区域的竖向构件（如：女儿墙、天窗反坎、伸缩缝、风井等）混凝土应尽量一次浇筑，不得在泛水高度范围内形成冷缝，否则须在施工缝处设置止水钢板。该范围内须使用符合设计要求的止水螺杆进行模板工程的加固。</w:t>
      </w:r>
    </w:p>
    <w:p>
      <w:pPr>
        <w:pStyle w:val="3"/>
        <w:bidi w:val="0"/>
        <w:rPr>
          <w:color w:val="auto"/>
          <w:highlight w:val="none"/>
        </w:rPr>
      </w:pPr>
      <w:bookmarkStart w:id="755" w:name="_Toc3498"/>
      <w:bookmarkStart w:id="756" w:name="_Toc31225"/>
      <w:bookmarkStart w:id="757" w:name="_Toc15254"/>
      <w:bookmarkStart w:id="758" w:name="_Toc12122"/>
      <w:bookmarkStart w:id="759" w:name="_Toc422854856"/>
      <w:bookmarkStart w:id="760" w:name="_Toc1145"/>
      <w:bookmarkStart w:id="761" w:name="_Toc16841"/>
      <w:bookmarkStart w:id="762" w:name="_Toc31850"/>
      <w:bookmarkStart w:id="763" w:name="_Toc6525"/>
      <w:bookmarkStart w:id="764" w:name="_Toc31689"/>
      <w:bookmarkStart w:id="765" w:name="_Toc12541"/>
      <w:bookmarkStart w:id="766" w:name="_Toc169722233"/>
      <w:bookmarkStart w:id="767" w:name="_Toc11448"/>
      <w:r>
        <w:rPr>
          <w:color w:val="auto"/>
          <w:highlight w:val="none"/>
        </w:rPr>
        <w:t>砌筑工程技术要求</w:t>
      </w:r>
      <w:bookmarkEnd w:id="755"/>
      <w:bookmarkEnd w:id="756"/>
      <w:bookmarkEnd w:id="757"/>
      <w:bookmarkEnd w:id="758"/>
      <w:bookmarkEnd w:id="759"/>
      <w:bookmarkEnd w:id="760"/>
      <w:bookmarkEnd w:id="761"/>
      <w:bookmarkEnd w:id="762"/>
      <w:bookmarkEnd w:id="763"/>
      <w:bookmarkEnd w:id="764"/>
      <w:bookmarkEnd w:id="765"/>
      <w:bookmarkEnd w:id="766"/>
      <w:bookmarkEnd w:id="767"/>
    </w:p>
    <w:p>
      <w:pPr>
        <w:pStyle w:val="4"/>
        <w:bidi w:val="0"/>
        <w:rPr>
          <w:color w:val="auto"/>
          <w:highlight w:val="none"/>
        </w:rPr>
      </w:pPr>
      <w:r>
        <w:rPr>
          <w:rFonts w:hint="eastAsia"/>
          <w:color w:val="auto"/>
          <w:highlight w:val="none"/>
        </w:rPr>
        <w:t>砌筑工程</w:t>
      </w:r>
    </w:p>
    <w:p>
      <w:pPr>
        <w:pStyle w:val="5"/>
        <w:bidi w:val="0"/>
        <w:ind w:left="253"/>
        <w:rPr>
          <w:color w:val="auto"/>
          <w:highlight w:val="none"/>
        </w:rPr>
      </w:pPr>
      <w:r>
        <w:rPr>
          <w:rFonts w:hint="eastAsia"/>
          <w:color w:val="auto"/>
          <w:highlight w:val="none"/>
        </w:rPr>
        <w:t>质量标准</w:t>
      </w:r>
    </w:p>
    <w:p>
      <w:pPr>
        <w:numPr>
          <w:ilvl w:val="0"/>
          <w:numId w:val="50"/>
        </w:numPr>
        <w:bidi w:val="0"/>
        <w:rPr>
          <w:rFonts w:hint="eastAsia"/>
          <w:color w:val="auto"/>
          <w:highlight w:val="none"/>
        </w:rPr>
      </w:pPr>
      <w:r>
        <w:rPr>
          <w:rFonts w:hint="default"/>
          <w:color w:val="auto"/>
          <w:highlight w:val="none"/>
        </w:rPr>
        <w:t>应符合现行国家和行业有关砌体工程的规范、标准。</w:t>
      </w:r>
    </w:p>
    <w:p>
      <w:pPr>
        <w:numPr>
          <w:ilvl w:val="0"/>
          <w:numId w:val="50"/>
        </w:numPr>
        <w:bidi w:val="0"/>
        <w:rPr>
          <w:rFonts w:hint="eastAsia"/>
          <w:color w:val="auto"/>
          <w:highlight w:val="none"/>
        </w:rPr>
      </w:pPr>
      <w:r>
        <w:rPr>
          <w:rFonts w:hint="default"/>
          <w:color w:val="auto"/>
          <w:highlight w:val="none"/>
        </w:rPr>
        <w:t>砌块排列：上、下皮应错缝搭砌，搭砌长度不应小于砌块长度的</w:t>
      </w:r>
      <w:r>
        <w:rPr>
          <w:rFonts w:hint="eastAsia"/>
          <w:color w:val="auto"/>
          <w:highlight w:val="none"/>
        </w:rPr>
        <w:t>1/3</w:t>
      </w:r>
      <w:r>
        <w:rPr>
          <w:rFonts w:hint="default"/>
          <w:color w:val="auto"/>
          <w:highlight w:val="none"/>
        </w:rPr>
        <w:t>，且不应小于</w:t>
      </w:r>
      <w:r>
        <w:rPr>
          <w:rFonts w:hint="default"/>
          <w:color w:val="auto"/>
          <w:highlight w:val="none"/>
          <w:lang w:val="en-US" w:eastAsia="zh-CN"/>
        </w:rPr>
        <w:t>20</w:t>
      </w:r>
      <w:r>
        <w:rPr>
          <w:rFonts w:hint="eastAsia"/>
          <w:color w:val="auto"/>
          <w:highlight w:val="none"/>
        </w:rPr>
        <w:t>0mm</w:t>
      </w:r>
      <w:r>
        <w:rPr>
          <w:rFonts w:hint="default"/>
          <w:color w:val="auto"/>
          <w:highlight w:val="none"/>
        </w:rPr>
        <w:t>。</w:t>
      </w:r>
    </w:p>
    <w:p>
      <w:pPr>
        <w:numPr>
          <w:ilvl w:val="0"/>
          <w:numId w:val="50"/>
        </w:numPr>
        <w:bidi w:val="0"/>
        <w:rPr>
          <w:rFonts w:hint="eastAsia"/>
          <w:color w:val="auto"/>
          <w:highlight w:val="none"/>
        </w:rPr>
      </w:pPr>
      <w:r>
        <w:rPr>
          <w:rFonts w:hint="default"/>
          <w:color w:val="auto"/>
          <w:highlight w:val="none"/>
        </w:rPr>
        <w:t>砌筑交接处：外墙转角及纵横墙交接处，应将砌块分皮咬槎，交错搭砌，如果不能咬槎时，按设计要求采取其它的构造措施。</w:t>
      </w:r>
    </w:p>
    <w:p>
      <w:pPr>
        <w:numPr>
          <w:ilvl w:val="0"/>
          <w:numId w:val="50"/>
        </w:numPr>
        <w:bidi w:val="0"/>
        <w:rPr>
          <w:rFonts w:hint="eastAsia"/>
          <w:color w:val="auto"/>
          <w:highlight w:val="none"/>
        </w:rPr>
      </w:pPr>
      <w:r>
        <w:rPr>
          <w:rFonts w:hint="default"/>
          <w:color w:val="auto"/>
          <w:highlight w:val="none"/>
        </w:rPr>
        <w:t>砌体垂直缝：砌体垂直缝与门窗洞口边线应避开同缝，且不得采用砖镶砌。</w:t>
      </w:r>
    </w:p>
    <w:p>
      <w:pPr>
        <w:numPr>
          <w:ilvl w:val="0"/>
          <w:numId w:val="50"/>
        </w:numPr>
        <w:bidi w:val="0"/>
        <w:rPr>
          <w:rFonts w:hint="eastAsia"/>
          <w:color w:val="auto"/>
          <w:highlight w:val="none"/>
        </w:rPr>
      </w:pPr>
      <w:r>
        <w:rPr>
          <w:rFonts w:hint="default"/>
          <w:color w:val="auto"/>
          <w:highlight w:val="none"/>
        </w:rPr>
        <w:t>灰缝：砌体水平灰缝和竖向灰缝宽度不应超过</w:t>
      </w:r>
      <w:r>
        <w:rPr>
          <w:rFonts w:hint="eastAsia"/>
          <w:color w:val="auto"/>
          <w:highlight w:val="none"/>
        </w:rPr>
        <w:t>15mm</w:t>
      </w:r>
      <w:r>
        <w:rPr>
          <w:rFonts w:hint="default"/>
          <w:color w:val="auto"/>
          <w:highlight w:val="none"/>
        </w:rPr>
        <w:t>。砌筑灰缝应饱满、无通缝、瞎缝，要求双面勾缝。</w:t>
      </w:r>
    </w:p>
    <w:p>
      <w:pPr>
        <w:pStyle w:val="5"/>
        <w:bidi w:val="0"/>
        <w:ind w:left="253"/>
        <w:rPr>
          <w:color w:val="auto"/>
          <w:highlight w:val="none"/>
        </w:rPr>
      </w:pPr>
      <w:r>
        <w:rPr>
          <w:rFonts w:hint="eastAsia"/>
          <w:color w:val="auto"/>
          <w:highlight w:val="none"/>
        </w:rPr>
        <w:t>砌筑小样图和排砖图</w:t>
      </w:r>
    </w:p>
    <w:p>
      <w:pPr>
        <w:numPr>
          <w:ilvl w:val="0"/>
          <w:numId w:val="51"/>
        </w:numPr>
        <w:bidi w:val="0"/>
        <w:rPr>
          <w:color w:val="auto"/>
          <w:highlight w:val="none"/>
        </w:rPr>
      </w:pPr>
      <w:r>
        <w:rPr>
          <w:rFonts w:hint="default"/>
          <w:color w:val="auto"/>
          <w:highlight w:val="none"/>
        </w:rPr>
        <w:t>总承包人负责对建筑图、结构图、水电图纸及装修图进行详细审查并通过图纸深化保证图纸交圈。</w:t>
      </w:r>
    </w:p>
    <w:p>
      <w:pPr>
        <w:numPr>
          <w:ilvl w:val="0"/>
          <w:numId w:val="51"/>
        </w:numPr>
        <w:bidi w:val="0"/>
        <w:rPr>
          <w:color w:val="auto"/>
          <w:highlight w:val="none"/>
        </w:rPr>
      </w:pPr>
      <w:r>
        <w:rPr>
          <w:rFonts w:hint="default"/>
          <w:color w:val="auto"/>
          <w:highlight w:val="none"/>
        </w:rPr>
        <w:t>总承包人在大面积砌筑施工之前须编制各户型砌筑小样图和排砖图，并经监理人/发包人审核后，由总承包人组织施工班组针对小样图、排砖图和砌筑各工序要求的技术交底会，并形成交底记录。</w:t>
      </w:r>
    </w:p>
    <w:p>
      <w:pPr>
        <w:numPr>
          <w:ilvl w:val="0"/>
          <w:numId w:val="51"/>
        </w:numPr>
        <w:bidi w:val="0"/>
        <w:rPr>
          <w:color w:val="auto"/>
          <w:highlight w:val="none"/>
        </w:rPr>
      </w:pPr>
      <w:r>
        <w:rPr>
          <w:rFonts w:hint="default"/>
          <w:color w:val="auto"/>
          <w:highlight w:val="none"/>
        </w:rPr>
        <w:t>砌筑小样图中包括砌筑阶段开间进深尺寸、外门窗洞口及室内各门窗洞口尺寸，窗台压顶标高等。</w:t>
      </w:r>
    </w:p>
    <w:p>
      <w:pPr>
        <w:numPr>
          <w:ilvl w:val="0"/>
          <w:numId w:val="51"/>
        </w:numPr>
        <w:bidi w:val="0"/>
        <w:rPr>
          <w:color w:val="auto"/>
          <w:highlight w:val="none"/>
        </w:rPr>
      </w:pPr>
      <w:r>
        <w:rPr>
          <w:rFonts w:hint="default"/>
          <w:color w:val="auto"/>
          <w:highlight w:val="none"/>
        </w:rPr>
        <w:t>排砖图中，明确各墙体、洞口处通过施工过程中利用灰缝宽度控制，提升砌筑墙体观感质量。</w:t>
      </w:r>
    </w:p>
    <w:p>
      <w:pPr>
        <w:numPr>
          <w:ilvl w:val="0"/>
          <w:numId w:val="51"/>
        </w:numPr>
        <w:bidi w:val="0"/>
        <w:rPr>
          <w:color w:val="auto"/>
          <w:highlight w:val="none"/>
        </w:rPr>
      </w:pPr>
      <w:r>
        <w:rPr>
          <w:rFonts w:hint="default"/>
          <w:color w:val="auto"/>
          <w:highlight w:val="none"/>
        </w:rPr>
        <w:t>砌筑小样图、排砖图必须贴置于对应户型内。</w:t>
      </w:r>
    </w:p>
    <w:p>
      <w:pPr>
        <w:numPr>
          <w:ilvl w:val="0"/>
          <w:numId w:val="51"/>
        </w:numPr>
        <w:bidi w:val="0"/>
        <w:rPr>
          <w:color w:val="auto"/>
          <w:highlight w:val="none"/>
        </w:rPr>
      </w:pPr>
      <w:r>
        <w:rPr>
          <w:rFonts w:hint="default"/>
          <w:color w:val="auto"/>
          <w:highlight w:val="none"/>
        </w:rPr>
        <w:t>门窗洞口预留混凝土块数量、间距应满足国家和地方标准要求。</w:t>
      </w:r>
    </w:p>
    <w:p>
      <w:pPr>
        <w:pStyle w:val="5"/>
        <w:bidi w:val="0"/>
        <w:ind w:left="253"/>
        <w:rPr>
          <w:color w:val="auto"/>
          <w:highlight w:val="none"/>
        </w:rPr>
      </w:pPr>
      <w:r>
        <w:rPr>
          <w:rFonts w:hint="eastAsia"/>
          <w:color w:val="auto"/>
          <w:highlight w:val="none"/>
        </w:rPr>
        <w:t>砌筑控制线</w:t>
      </w:r>
    </w:p>
    <w:p>
      <w:pPr>
        <w:bidi w:val="0"/>
        <w:rPr>
          <w:color w:val="auto"/>
          <w:highlight w:val="none"/>
        </w:rPr>
      </w:pPr>
      <w:r>
        <w:rPr>
          <w:rFonts w:hint="eastAsia"/>
          <w:color w:val="auto"/>
          <w:highlight w:val="none"/>
        </w:rPr>
        <w:t>砌筑前每个房间必须设置建筑1</w:t>
      </w:r>
      <w:r>
        <w:rPr>
          <w:color w:val="auto"/>
          <w:highlight w:val="none"/>
        </w:rPr>
        <w:t>m</w:t>
      </w:r>
      <w:r>
        <w:rPr>
          <w:rFonts w:hint="eastAsia"/>
          <w:color w:val="auto"/>
          <w:highlight w:val="none"/>
        </w:rPr>
        <w:t>控制线、砌筑边线、房间控制线、门窗洞口控制线等，总承包人须采取措施确保控制线的准确性。</w:t>
      </w:r>
    </w:p>
    <w:p>
      <w:pPr>
        <w:numPr>
          <w:ilvl w:val="1"/>
          <w:numId w:val="52"/>
        </w:numPr>
        <w:bidi w:val="0"/>
        <w:rPr>
          <w:color w:val="auto"/>
          <w:highlight w:val="none"/>
        </w:rPr>
      </w:pPr>
      <w:r>
        <w:rPr>
          <w:rFonts w:hint="eastAsia"/>
          <w:color w:val="auto"/>
          <w:highlight w:val="none"/>
        </w:rPr>
        <w:t>房间控制线：在卧室、客厅、电梯前室等每个房间地面距纵横墙体300mm处和中心点用十字交叉线标出四个角及中心点，用红色油漆标识。</w:t>
      </w:r>
    </w:p>
    <w:p>
      <w:pPr>
        <w:numPr>
          <w:ilvl w:val="1"/>
          <w:numId w:val="52"/>
        </w:numPr>
        <w:bidi w:val="0"/>
        <w:rPr>
          <w:rFonts w:hint="eastAsia"/>
          <w:color w:val="auto"/>
          <w:highlight w:val="none"/>
        </w:rPr>
      </w:pPr>
      <w:r>
        <w:rPr>
          <w:rFonts w:hint="eastAsia"/>
          <w:color w:val="auto"/>
          <w:highlight w:val="none"/>
        </w:rPr>
        <w:t>标高控制线：在墙上用墨斗弹出建筑1m线，弹线清晰并交圈，用红色油漆标识“建筑1m线”字样。</w:t>
      </w:r>
    </w:p>
    <w:p>
      <w:pPr>
        <w:numPr>
          <w:ilvl w:val="1"/>
          <w:numId w:val="52"/>
        </w:numPr>
        <w:bidi w:val="0"/>
        <w:rPr>
          <w:rFonts w:hint="eastAsia"/>
          <w:color w:val="auto"/>
          <w:highlight w:val="none"/>
        </w:rPr>
      </w:pPr>
      <w:r>
        <w:rPr>
          <w:rFonts w:hint="eastAsia"/>
          <w:color w:val="auto"/>
          <w:highlight w:val="none"/>
        </w:rPr>
        <w:t>楼层主控轴线：在地面用墨斗弹出楼层主控轴线，弹线清晰，轴线准确。</w:t>
      </w:r>
    </w:p>
    <w:p>
      <w:pPr>
        <w:pStyle w:val="5"/>
        <w:bidi w:val="0"/>
        <w:ind w:left="253"/>
        <w:rPr>
          <w:color w:val="auto"/>
          <w:highlight w:val="none"/>
        </w:rPr>
      </w:pPr>
      <w:r>
        <w:rPr>
          <w:rFonts w:hint="eastAsia"/>
          <w:color w:val="auto"/>
          <w:highlight w:val="none"/>
        </w:rPr>
        <w:t>关键控制点</w:t>
      </w:r>
    </w:p>
    <w:p>
      <w:pPr>
        <w:numPr>
          <w:ilvl w:val="1"/>
          <w:numId w:val="53"/>
        </w:numPr>
        <w:bidi w:val="0"/>
        <w:rPr>
          <w:rFonts w:hint="eastAsia"/>
          <w:color w:val="auto"/>
          <w:highlight w:val="none"/>
        </w:rPr>
      </w:pPr>
      <w:r>
        <w:rPr>
          <w:rFonts w:hint="eastAsia"/>
          <w:color w:val="auto"/>
          <w:highlight w:val="none"/>
        </w:rPr>
        <w:t>砌体材料至工地及施工作业面，应有防磕碰及防潮措施，场内转运应采用平板车运输。</w:t>
      </w:r>
    </w:p>
    <w:p>
      <w:pPr>
        <w:numPr>
          <w:ilvl w:val="1"/>
          <w:numId w:val="53"/>
        </w:numPr>
        <w:bidi w:val="0"/>
        <w:rPr>
          <w:rFonts w:hint="eastAsia"/>
          <w:color w:val="auto"/>
          <w:highlight w:val="none"/>
        </w:rPr>
      </w:pPr>
      <w:r>
        <w:rPr>
          <w:rFonts w:hint="eastAsia"/>
          <w:color w:val="auto"/>
          <w:highlight w:val="none"/>
        </w:rPr>
        <w:t>砌筑施工过程中，必须双面挂天地线和水平控制线，以保证砌筑墙体的垂直、平整、方正性、灰缝的宽度及观感质量。</w:t>
      </w:r>
    </w:p>
    <w:p>
      <w:pPr>
        <w:numPr>
          <w:ilvl w:val="1"/>
          <w:numId w:val="53"/>
        </w:numPr>
        <w:bidi w:val="0"/>
        <w:rPr>
          <w:rFonts w:hint="eastAsia"/>
          <w:color w:val="auto"/>
          <w:highlight w:val="none"/>
        </w:rPr>
      </w:pPr>
      <w:r>
        <w:rPr>
          <w:rFonts w:hint="default"/>
          <w:color w:val="auto"/>
          <w:highlight w:val="none"/>
        </w:rPr>
        <w:t>砌筑工程中不同材料交接处（包括构造柱与砌体结构间）挂设耐碱玻纤维网或镀锌钢丝网，挂网前墙体高低差部分采用水泥砂浆填补，交接处每边搭接宽度不小于</w:t>
      </w:r>
      <w:r>
        <w:rPr>
          <w:rFonts w:hint="eastAsia"/>
          <w:color w:val="auto"/>
          <w:highlight w:val="none"/>
        </w:rPr>
        <w:t>100</w:t>
      </w:r>
      <w:r>
        <w:rPr>
          <w:rFonts w:hint="default"/>
          <w:color w:val="auto"/>
          <w:highlight w:val="none"/>
        </w:rPr>
        <w:t>mm，宽度方向两侧分别固定，做到绷紧、牢固、与基层贴合密实。</w:t>
      </w:r>
    </w:p>
    <w:p>
      <w:pPr>
        <w:numPr>
          <w:ilvl w:val="1"/>
          <w:numId w:val="53"/>
        </w:numPr>
        <w:bidi w:val="0"/>
        <w:rPr>
          <w:rFonts w:hint="eastAsia"/>
          <w:color w:val="auto"/>
          <w:highlight w:val="none"/>
        </w:rPr>
      </w:pPr>
      <w:r>
        <w:rPr>
          <w:rFonts w:hint="default"/>
          <w:color w:val="auto"/>
          <w:highlight w:val="none"/>
        </w:rPr>
        <w:t>灰缝饱满，顶砖规范，按要求设置圈梁、构造柱。</w:t>
      </w:r>
    </w:p>
    <w:p>
      <w:pPr>
        <w:pStyle w:val="4"/>
        <w:bidi w:val="0"/>
        <w:rPr>
          <w:color w:val="auto"/>
          <w:highlight w:val="none"/>
        </w:rPr>
      </w:pPr>
      <w:r>
        <w:rPr>
          <w:rFonts w:hint="eastAsia"/>
          <w:color w:val="auto"/>
          <w:highlight w:val="none"/>
        </w:rPr>
        <w:t>二次结构</w:t>
      </w:r>
    </w:p>
    <w:p>
      <w:pPr>
        <w:numPr>
          <w:ilvl w:val="1"/>
          <w:numId w:val="54"/>
        </w:numPr>
        <w:bidi w:val="0"/>
        <w:rPr>
          <w:rFonts w:hint="eastAsia"/>
          <w:color w:val="auto"/>
          <w:highlight w:val="none"/>
        </w:rPr>
      </w:pPr>
      <w:r>
        <w:rPr>
          <w:rFonts w:hint="eastAsia"/>
          <w:color w:val="auto"/>
          <w:highlight w:val="none"/>
        </w:rPr>
        <w:t>质量标准</w:t>
      </w:r>
      <w:r>
        <w:rPr>
          <w:rFonts w:hint="eastAsia"/>
          <w:color w:val="auto"/>
          <w:highlight w:val="none"/>
          <w:lang w:eastAsia="zh-CN"/>
        </w:rPr>
        <w:t>：</w:t>
      </w:r>
      <w:r>
        <w:rPr>
          <w:rFonts w:hint="eastAsia"/>
          <w:color w:val="auto"/>
          <w:highlight w:val="none"/>
        </w:rPr>
        <w:t>结构定位准确、高度符合要求，且与一次结构结合密实，混凝土浇捣观感同一次结构要求。</w:t>
      </w:r>
    </w:p>
    <w:p>
      <w:pPr>
        <w:numPr>
          <w:ilvl w:val="1"/>
          <w:numId w:val="54"/>
        </w:numPr>
        <w:bidi w:val="0"/>
        <w:rPr>
          <w:rFonts w:hint="eastAsia"/>
          <w:color w:val="auto"/>
          <w:highlight w:val="none"/>
        </w:rPr>
      </w:pPr>
      <w:r>
        <w:rPr>
          <w:rFonts w:hint="eastAsia"/>
          <w:color w:val="auto"/>
          <w:highlight w:val="none"/>
        </w:rPr>
        <w:t>现场应先做好混凝土导墙尺寸控制线弹线，严格控制导墙宽度与高度，导墙凿毛边线部位采用无齿锯进行切割。</w:t>
      </w:r>
    </w:p>
    <w:p>
      <w:pPr>
        <w:numPr>
          <w:ilvl w:val="1"/>
          <w:numId w:val="54"/>
        </w:numPr>
        <w:bidi w:val="0"/>
        <w:rPr>
          <w:rFonts w:hint="eastAsia"/>
          <w:color w:val="auto"/>
          <w:highlight w:val="none"/>
        </w:rPr>
      </w:pPr>
      <w:r>
        <w:rPr>
          <w:rFonts w:hint="eastAsia"/>
          <w:color w:val="auto"/>
          <w:highlight w:val="none"/>
        </w:rPr>
        <w:t>应准备专业的凿毛工具（剔凿锤、或自制工具），去除结构浮浆面，使结合面形成规整的带状面。凿至露出粗骨料，立面剔凿应高出导墙高度约1cm。</w:t>
      </w:r>
    </w:p>
    <w:p>
      <w:pPr>
        <w:numPr>
          <w:ilvl w:val="1"/>
          <w:numId w:val="54"/>
        </w:numPr>
        <w:bidi w:val="0"/>
        <w:rPr>
          <w:rFonts w:hint="eastAsia"/>
          <w:color w:val="auto"/>
          <w:highlight w:val="none"/>
        </w:rPr>
      </w:pPr>
      <w:r>
        <w:rPr>
          <w:rFonts w:hint="eastAsia"/>
          <w:color w:val="auto"/>
          <w:highlight w:val="none"/>
        </w:rPr>
        <w:t>根据弹好的导墙控制线安装模板，保证模板的拼接严密、支撑牢固、安装位置正确，模板表面平整、光滑，表面刷好脱模剂。</w:t>
      </w:r>
    </w:p>
    <w:p>
      <w:pPr>
        <w:numPr>
          <w:ilvl w:val="1"/>
          <w:numId w:val="54"/>
        </w:numPr>
        <w:bidi w:val="0"/>
        <w:rPr>
          <w:rFonts w:hint="eastAsia"/>
          <w:color w:val="auto"/>
          <w:highlight w:val="none"/>
        </w:rPr>
      </w:pPr>
      <w:r>
        <w:rPr>
          <w:rFonts w:hint="eastAsia"/>
          <w:color w:val="auto"/>
          <w:highlight w:val="none"/>
        </w:rPr>
        <w:t>混凝土导墙浇筑时，应采用小型振动棒对混凝土振捣，必须均匀密实。</w:t>
      </w:r>
    </w:p>
    <w:p>
      <w:pPr>
        <w:numPr>
          <w:ilvl w:val="1"/>
          <w:numId w:val="54"/>
        </w:numPr>
        <w:bidi w:val="0"/>
        <w:rPr>
          <w:rFonts w:hint="eastAsia"/>
          <w:color w:val="auto"/>
          <w:highlight w:val="none"/>
        </w:rPr>
      </w:pPr>
      <w:r>
        <w:rPr>
          <w:rFonts w:hint="eastAsia"/>
          <w:color w:val="auto"/>
          <w:highlight w:val="none"/>
        </w:rPr>
        <w:t>应重视后期的养护、成品保护阶段，避免养护不到位出现开裂，或成品保护不到位人为破坏现象。</w:t>
      </w:r>
    </w:p>
    <w:p>
      <w:pPr>
        <w:pStyle w:val="4"/>
        <w:bidi w:val="0"/>
        <w:rPr>
          <w:rFonts w:hint="eastAsia"/>
          <w:color w:val="auto"/>
          <w:highlight w:val="none"/>
          <w:lang w:eastAsia="zh-CN"/>
        </w:rPr>
      </w:pPr>
      <w:r>
        <w:rPr>
          <w:rFonts w:hint="eastAsia"/>
          <w:color w:val="auto"/>
          <w:highlight w:val="none"/>
          <w:lang w:eastAsia="zh-CN"/>
        </w:rPr>
        <w:t>隔墙板施工</w:t>
      </w:r>
    </w:p>
    <w:p>
      <w:pPr>
        <w:pStyle w:val="5"/>
        <w:bidi w:val="0"/>
        <w:rPr>
          <w:color w:val="auto"/>
          <w:highlight w:val="none"/>
          <w:lang w:eastAsia="zh-CN"/>
        </w:rPr>
      </w:pPr>
      <w:r>
        <w:rPr>
          <w:rFonts w:hint="eastAsia"/>
          <w:color w:val="auto"/>
          <w:highlight w:val="none"/>
          <w:lang w:eastAsia="zh-CN"/>
        </w:rPr>
        <w:t>主材材质要求</w:t>
      </w:r>
    </w:p>
    <w:p>
      <w:pPr>
        <w:numPr>
          <w:ilvl w:val="1"/>
          <w:numId w:val="55"/>
        </w:numPr>
        <w:bidi w:val="0"/>
        <w:rPr>
          <w:rFonts w:hint="eastAsia"/>
          <w:color w:val="auto"/>
          <w:highlight w:val="none"/>
          <w:lang w:eastAsia="zh-CN"/>
        </w:rPr>
      </w:pPr>
      <w:r>
        <w:rPr>
          <w:rFonts w:hint="eastAsia"/>
          <w:color w:val="auto"/>
          <w:highlight w:val="none"/>
          <w:lang w:eastAsia="zh-CN"/>
        </w:rPr>
        <w:t>隔墙板安装应采用与隔墙板材质匹配的专用粘接砂浆进行粘接。粘接砂浆应使用电动工具搅拌均匀。粘接砂浆随拌随用，拌合后宜在2小时内用完。</w:t>
      </w:r>
    </w:p>
    <w:p>
      <w:pPr>
        <w:numPr>
          <w:ilvl w:val="1"/>
          <w:numId w:val="55"/>
        </w:numPr>
        <w:bidi w:val="0"/>
        <w:rPr>
          <w:color w:val="auto"/>
          <w:highlight w:val="none"/>
          <w:lang w:eastAsia="zh-CN"/>
        </w:rPr>
      </w:pPr>
      <w:r>
        <w:rPr>
          <w:rFonts w:hint="eastAsia"/>
          <w:color w:val="auto"/>
          <w:highlight w:val="none"/>
          <w:lang w:eastAsia="zh-CN"/>
        </w:rPr>
        <w:t>隔墙板外观质量指标、物理性能指标和尺寸允许偏差应满足国家和行业规范要求。</w:t>
      </w:r>
    </w:p>
    <w:p>
      <w:pPr>
        <w:pStyle w:val="5"/>
        <w:bidi w:val="0"/>
        <w:rPr>
          <w:color w:val="auto"/>
          <w:highlight w:val="none"/>
          <w:lang w:eastAsia="zh-CN"/>
        </w:rPr>
      </w:pPr>
      <w:r>
        <w:rPr>
          <w:rFonts w:hint="eastAsia"/>
          <w:color w:val="auto"/>
          <w:highlight w:val="none"/>
          <w:lang w:eastAsia="zh-CN"/>
        </w:rPr>
        <w:t>隔墙板安装</w:t>
      </w:r>
    </w:p>
    <w:p>
      <w:pPr>
        <w:numPr>
          <w:ilvl w:val="1"/>
          <w:numId w:val="56"/>
        </w:numPr>
        <w:bidi w:val="0"/>
        <w:rPr>
          <w:rFonts w:hint="eastAsia"/>
          <w:color w:val="auto"/>
          <w:highlight w:val="none"/>
          <w:lang w:eastAsia="zh-CN"/>
        </w:rPr>
      </w:pPr>
      <w:r>
        <w:rPr>
          <w:rFonts w:hint="default"/>
          <w:color w:val="auto"/>
          <w:highlight w:val="none"/>
          <w:lang w:eastAsia="zh-CN"/>
        </w:rPr>
        <w:t>在板的企口处应均匀刮满厚度不少于10mm的粘结材料，板缝间隙应揉挤严密，把挤出的砂浆刮平，缝隙不大于8mm。</w:t>
      </w:r>
    </w:p>
    <w:p>
      <w:pPr>
        <w:numPr>
          <w:ilvl w:val="1"/>
          <w:numId w:val="56"/>
        </w:numPr>
        <w:bidi w:val="0"/>
        <w:rPr>
          <w:rFonts w:hint="eastAsia"/>
          <w:color w:val="auto"/>
          <w:highlight w:val="none"/>
          <w:lang w:eastAsia="zh-CN"/>
        </w:rPr>
      </w:pPr>
      <w:r>
        <w:rPr>
          <w:rFonts w:hint="default"/>
          <w:color w:val="auto"/>
          <w:highlight w:val="none"/>
          <w:lang w:eastAsia="zh-CN"/>
        </w:rPr>
        <w:t>板与板之间的凹槽内应满贴网格布并采用粘接砂浆抹平；墙板阴角交接部位必须挂网格布做加强处理。</w:t>
      </w:r>
    </w:p>
    <w:p>
      <w:pPr>
        <w:numPr>
          <w:ilvl w:val="1"/>
          <w:numId w:val="56"/>
        </w:numPr>
        <w:bidi w:val="0"/>
        <w:rPr>
          <w:rFonts w:hint="eastAsia"/>
          <w:color w:val="auto"/>
          <w:highlight w:val="none"/>
          <w:lang w:eastAsia="zh-CN"/>
        </w:rPr>
      </w:pPr>
      <w:r>
        <w:rPr>
          <w:rFonts w:hint="default"/>
          <w:color w:val="auto"/>
          <w:highlight w:val="none"/>
          <w:lang w:eastAsia="zh-CN"/>
        </w:rPr>
        <w:t>为保证隔墙的使用功能，应尽量采用整板拼装。当隔墙端部尺寸不足一块标准板宽时，应按尺寸要求补板，补板宽度不宜小于200mm。</w:t>
      </w:r>
    </w:p>
    <w:p>
      <w:pPr>
        <w:numPr>
          <w:ilvl w:val="1"/>
          <w:numId w:val="56"/>
        </w:numPr>
        <w:bidi w:val="0"/>
        <w:rPr>
          <w:rFonts w:hint="eastAsia"/>
          <w:color w:val="auto"/>
          <w:highlight w:val="none"/>
          <w:lang w:eastAsia="zh-CN"/>
        </w:rPr>
      </w:pPr>
      <w:r>
        <w:rPr>
          <w:rFonts w:hint="default"/>
          <w:color w:val="auto"/>
          <w:highlight w:val="none"/>
          <w:lang w:eastAsia="zh-CN"/>
        </w:rPr>
        <w:t>在结构墙柱加上U型钢卡，采用射钉固定，钢卡竖向间距不应大于1000mm。</w:t>
      </w:r>
    </w:p>
    <w:p>
      <w:pPr>
        <w:numPr>
          <w:ilvl w:val="1"/>
          <w:numId w:val="56"/>
        </w:numPr>
        <w:bidi w:val="0"/>
        <w:rPr>
          <w:rFonts w:hint="eastAsia"/>
          <w:color w:val="auto"/>
          <w:highlight w:val="none"/>
          <w:lang w:eastAsia="zh-CN"/>
        </w:rPr>
      </w:pPr>
      <w:r>
        <w:rPr>
          <w:rFonts w:hint="default"/>
          <w:color w:val="auto"/>
          <w:highlight w:val="none"/>
          <w:lang w:eastAsia="zh-CN"/>
        </w:rPr>
        <w:t>墙板顶面与混凝土楼板顶紧，在墙板顶部加上L型钢卡，采用射钉固定，钢卡横向间距不应大于600mm；隔墙板上口孔洞采用泡沫块填塞后刮满厚度不少于10mm的粘结材料。隔墙板与板之间交接处贴网格布并采用粘接砂浆抹平。</w:t>
      </w:r>
    </w:p>
    <w:p>
      <w:pPr>
        <w:numPr>
          <w:ilvl w:val="1"/>
          <w:numId w:val="56"/>
        </w:numPr>
        <w:bidi w:val="0"/>
        <w:rPr>
          <w:rFonts w:hint="eastAsia"/>
          <w:color w:val="auto"/>
          <w:highlight w:val="none"/>
          <w:lang w:eastAsia="zh-CN"/>
        </w:rPr>
      </w:pPr>
      <w:r>
        <w:rPr>
          <w:rFonts w:hint="default"/>
          <w:color w:val="auto"/>
          <w:highlight w:val="none"/>
          <w:lang w:eastAsia="zh-CN"/>
        </w:rPr>
        <w:t>板下端离地面保持10mm～20mm空高；打入木楔的位置应选择在墙板的实心肋位置，在墙板隔墙与楼地面空隙处，用水泥砂浆填实；利用木楔调整位置，两个木楔为一组，使墙板就位，可将板垂直向上挤压、顶紧梁、板，底部应固定好；木楔应在立板养护7d后取出并用砂浆填实楔孔。</w:t>
      </w:r>
    </w:p>
    <w:p>
      <w:pPr>
        <w:numPr>
          <w:ilvl w:val="1"/>
          <w:numId w:val="56"/>
        </w:numPr>
        <w:bidi w:val="0"/>
        <w:rPr>
          <w:rFonts w:hint="eastAsia"/>
          <w:color w:val="auto"/>
          <w:highlight w:val="none"/>
          <w:lang w:eastAsia="zh-CN"/>
        </w:rPr>
      </w:pPr>
      <w:r>
        <w:rPr>
          <w:rFonts w:hint="default"/>
          <w:color w:val="auto"/>
          <w:highlight w:val="none"/>
          <w:lang w:eastAsia="zh-CN"/>
        </w:rPr>
        <w:t>为考虑后期业主门安装固定及对门头板的支撑，门边板和门头板第一孔须采用砂浆填满孔洞；门头板须搭接在门边板上，搭接距离不小于一孔的宽度，门边板与门头板交接处须贴加强网格布并采用砂浆抹平。</w:t>
      </w:r>
    </w:p>
    <w:p>
      <w:pPr>
        <w:numPr>
          <w:ilvl w:val="1"/>
          <w:numId w:val="56"/>
        </w:numPr>
        <w:bidi w:val="0"/>
        <w:rPr>
          <w:rFonts w:hint="eastAsia" w:ascii="宋体" w:hAnsi="宋体" w:eastAsia="宋体" w:cstheme="minorBidi"/>
          <w:color w:val="auto"/>
          <w:spacing w:val="0"/>
          <w:position w:val="0"/>
          <w:szCs w:val="24"/>
          <w:highlight w:val="none"/>
          <w:lang w:eastAsia="zh-CN" w:bidi="ar"/>
        </w:rPr>
      </w:pPr>
      <w:r>
        <w:rPr>
          <w:rFonts w:hint="default"/>
          <w:color w:val="auto"/>
          <w:highlight w:val="none"/>
          <w:lang w:eastAsia="zh-CN"/>
        </w:rPr>
        <w:t>当门头板与结构墙柱相接部位，在结构墙柱上须设置3mm厚L型钢制托架，对门头板进行支撑；门头板另一侧须搭接在门边板上，门头板只允许一侧与混凝土墙柱采用托架支撑固定，另一侧必须为搭接，不允许两侧均与混凝土结构平接。</w:t>
      </w:r>
      <w:r>
        <w:rPr>
          <w:rFonts w:hint="eastAsia" w:ascii="宋体" w:hAnsi="宋体" w:eastAsia="宋体" w:cstheme="minorBidi"/>
          <w:color w:val="auto"/>
          <w:spacing w:val="0"/>
          <w:position w:val="0"/>
          <w:szCs w:val="24"/>
          <w:highlight w:val="none"/>
          <w:lang w:eastAsia="zh-CN" w:bidi="ar"/>
        </w:rPr>
        <w:t xml:space="preserve"> </w:t>
      </w:r>
    </w:p>
    <w:p>
      <w:pPr>
        <w:pStyle w:val="5"/>
        <w:bidi w:val="0"/>
        <w:rPr>
          <w:color w:val="auto"/>
          <w:highlight w:val="none"/>
          <w:lang w:eastAsia="zh-CN"/>
        </w:rPr>
      </w:pPr>
      <w:r>
        <w:rPr>
          <w:rFonts w:hint="eastAsia"/>
          <w:color w:val="auto"/>
          <w:highlight w:val="none"/>
          <w:lang w:eastAsia="zh-CN"/>
        </w:rPr>
        <w:t>隔墙板水电开槽</w:t>
      </w:r>
    </w:p>
    <w:p>
      <w:pPr>
        <w:numPr>
          <w:ilvl w:val="1"/>
          <w:numId w:val="57"/>
        </w:numPr>
        <w:bidi w:val="0"/>
        <w:rPr>
          <w:color w:val="auto"/>
          <w:highlight w:val="none"/>
          <w:lang w:eastAsia="zh-CN"/>
        </w:rPr>
      </w:pPr>
      <w:r>
        <w:rPr>
          <w:rFonts w:hint="default"/>
          <w:color w:val="auto"/>
          <w:highlight w:val="none"/>
          <w:lang w:eastAsia="zh-CN"/>
        </w:rPr>
        <w:t>水管、电线尽量从吊顶内/地板上走到水电定位的上/下方，然后在墙板的上/下方开一个小口，让水电管线由墙板孔洞直接走到水电定位点，最后用切割机在水电定位点的位置开口进行水电管线安装，安装完毕后采用细石混凝土进行封堵。</w:t>
      </w:r>
    </w:p>
    <w:p>
      <w:pPr>
        <w:numPr>
          <w:ilvl w:val="1"/>
          <w:numId w:val="57"/>
        </w:numPr>
        <w:bidi w:val="0"/>
        <w:rPr>
          <w:color w:val="auto"/>
          <w:highlight w:val="none"/>
          <w:lang w:eastAsia="zh-CN"/>
        </w:rPr>
      </w:pPr>
      <w:r>
        <w:rPr>
          <w:color w:val="auto"/>
          <w:highlight w:val="none"/>
          <w:lang w:eastAsia="zh-CN"/>
        </w:rPr>
        <w:t>开</w:t>
      </w:r>
      <w:r>
        <w:rPr>
          <w:rFonts w:hint="default"/>
          <w:color w:val="auto"/>
          <w:highlight w:val="none"/>
          <w:lang w:eastAsia="zh-CN"/>
        </w:rPr>
        <w:t>槽长度不应大于墙板宽度的1/2（300mm），开槽深度不得大于40mm，不得在隔墙两侧同一部位开槽、开洞，其间距应至少错开150mm。</w:t>
      </w:r>
    </w:p>
    <w:p>
      <w:pPr>
        <w:pStyle w:val="5"/>
        <w:bidi w:val="0"/>
        <w:rPr>
          <w:color w:val="auto"/>
          <w:highlight w:val="none"/>
          <w:lang w:eastAsia="zh-CN"/>
        </w:rPr>
      </w:pPr>
      <w:r>
        <w:rPr>
          <w:rFonts w:hint="eastAsia"/>
          <w:color w:val="auto"/>
          <w:highlight w:val="none"/>
          <w:lang w:eastAsia="zh-CN"/>
        </w:rPr>
        <w:t>防开裂措施</w:t>
      </w:r>
    </w:p>
    <w:p>
      <w:pPr>
        <w:numPr>
          <w:ilvl w:val="1"/>
          <w:numId w:val="58"/>
        </w:numPr>
        <w:bidi w:val="0"/>
        <w:rPr>
          <w:color w:val="auto"/>
          <w:highlight w:val="none"/>
          <w:lang w:eastAsia="zh-CN"/>
        </w:rPr>
      </w:pPr>
      <w:r>
        <w:rPr>
          <w:rFonts w:hint="eastAsia"/>
          <w:color w:val="auto"/>
          <w:highlight w:val="none"/>
          <w:lang w:eastAsia="zh-CN"/>
        </w:rPr>
        <w:t>进场墙板须满足《GB15762-2020蒸压加气混凝土板》的规范要求后才能出厂到工地安装；</w:t>
      </w:r>
    </w:p>
    <w:p>
      <w:pPr>
        <w:numPr>
          <w:ilvl w:val="1"/>
          <w:numId w:val="58"/>
        </w:numPr>
        <w:bidi w:val="0"/>
        <w:rPr>
          <w:color w:val="auto"/>
          <w:highlight w:val="none"/>
          <w:lang w:eastAsia="zh-CN"/>
        </w:rPr>
      </w:pPr>
      <w:r>
        <w:rPr>
          <w:rFonts w:hint="eastAsia"/>
          <w:color w:val="auto"/>
          <w:highlight w:val="none"/>
          <w:lang w:eastAsia="zh-CN"/>
        </w:rPr>
        <w:t>养护期：蒸压加气混凝土板出釜后应在厂内存放</w:t>
      </w:r>
      <w:r>
        <w:rPr>
          <w:rFonts w:hint="eastAsia"/>
          <w:color w:val="auto"/>
          <w:highlight w:val="none"/>
          <w:lang w:val="en-US" w:eastAsia="zh-CN"/>
        </w:rPr>
        <w:t>7</w:t>
      </w:r>
      <w:r>
        <w:rPr>
          <w:rFonts w:hint="eastAsia"/>
          <w:color w:val="auto"/>
          <w:highlight w:val="none"/>
          <w:lang w:eastAsia="zh-CN"/>
        </w:rPr>
        <w:t>d，养护28天以上方能出厂，并保证出场强度</w:t>
      </w:r>
      <w:r>
        <w:rPr>
          <w:rFonts w:hint="eastAsia"/>
          <w:color w:val="auto"/>
          <w:highlight w:val="none"/>
          <w:lang w:val="en-US" w:eastAsia="zh-CN"/>
        </w:rPr>
        <w:t>不能低于设计强度的75%</w:t>
      </w:r>
      <w:r>
        <w:rPr>
          <w:rFonts w:hint="eastAsia"/>
          <w:color w:val="auto"/>
          <w:highlight w:val="none"/>
          <w:lang w:eastAsia="zh-CN"/>
        </w:rPr>
        <w:t>。</w:t>
      </w:r>
    </w:p>
    <w:p>
      <w:pPr>
        <w:numPr>
          <w:ilvl w:val="1"/>
          <w:numId w:val="58"/>
        </w:numPr>
        <w:bidi w:val="0"/>
        <w:rPr>
          <w:color w:val="auto"/>
          <w:highlight w:val="none"/>
          <w:lang w:eastAsia="zh-CN"/>
        </w:rPr>
      </w:pPr>
      <w:r>
        <w:rPr>
          <w:rFonts w:hint="default"/>
          <w:color w:val="auto"/>
          <w:highlight w:val="none"/>
          <w:lang w:eastAsia="zh-CN"/>
        </w:rPr>
        <w:t>板材的干密度、抗压强度、干燥收缩值应符合规范要求；</w:t>
      </w:r>
    </w:p>
    <w:p>
      <w:pPr>
        <w:numPr>
          <w:ilvl w:val="1"/>
          <w:numId w:val="58"/>
        </w:numPr>
        <w:bidi w:val="0"/>
        <w:rPr>
          <w:color w:val="auto"/>
          <w:highlight w:val="none"/>
          <w:lang w:eastAsia="zh-CN"/>
        </w:rPr>
      </w:pPr>
      <w:r>
        <w:rPr>
          <w:rFonts w:hint="default"/>
          <w:color w:val="auto"/>
          <w:highlight w:val="none"/>
          <w:lang w:eastAsia="zh-CN"/>
        </w:rPr>
        <w:t>墙板安装必须砂浆饱满，使用的砂浆必须按本方案要求；</w:t>
      </w:r>
    </w:p>
    <w:p>
      <w:pPr>
        <w:numPr>
          <w:ilvl w:val="1"/>
          <w:numId w:val="58"/>
        </w:numPr>
        <w:bidi w:val="0"/>
        <w:rPr>
          <w:color w:val="auto"/>
          <w:highlight w:val="none"/>
          <w:lang w:eastAsia="zh-CN"/>
        </w:rPr>
      </w:pPr>
      <w:r>
        <w:rPr>
          <w:rFonts w:hint="default"/>
          <w:color w:val="auto"/>
          <w:highlight w:val="none"/>
          <w:lang w:eastAsia="zh-CN"/>
        </w:rPr>
        <w:t>墙板安装完成后7天内禁止在墙板上作业和敲打，防止松动开裂；</w:t>
      </w:r>
    </w:p>
    <w:p>
      <w:pPr>
        <w:numPr>
          <w:ilvl w:val="1"/>
          <w:numId w:val="58"/>
        </w:numPr>
        <w:bidi w:val="0"/>
        <w:rPr>
          <w:color w:val="auto"/>
          <w:highlight w:val="none"/>
          <w:lang w:eastAsia="zh-CN"/>
        </w:rPr>
      </w:pPr>
      <w:r>
        <w:rPr>
          <w:rFonts w:hint="default"/>
          <w:color w:val="auto"/>
          <w:highlight w:val="none"/>
          <w:lang w:eastAsia="zh-CN"/>
        </w:rPr>
        <w:t>墙板安装时板与板直接必须使用专用砂浆进行粘接，安装完成后少需要等待28天后再使用白砂浆处理V字槽，若现场条件允许可待整栋楼安装完成之后处理V字槽；</w:t>
      </w:r>
    </w:p>
    <w:p>
      <w:pPr>
        <w:numPr>
          <w:ilvl w:val="1"/>
          <w:numId w:val="58"/>
        </w:numPr>
        <w:bidi w:val="0"/>
        <w:rPr>
          <w:color w:val="auto"/>
          <w:highlight w:val="none"/>
          <w:lang w:eastAsia="zh-CN"/>
        </w:rPr>
      </w:pPr>
      <w:r>
        <w:rPr>
          <w:rFonts w:hint="default"/>
          <w:color w:val="auto"/>
          <w:highlight w:val="none"/>
          <w:lang w:eastAsia="zh-CN"/>
        </w:rPr>
        <w:t>已安装上的墙板应防止水淋，避免湿胀干缩；</w:t>
      </w:r>
    </w:p>
    <w:p>
      <w:pPr>
        <w:numPr>
          <w:ilvl w:val="1"/>
          <w:numId w:val="58"/>
        </w:numPr>
        <w:bidi w:val="0"/>
        <w:rPr>
          <w:color w:val="auto"/>
          <w:highlight w:val="none"/>
          <w:lang w:eastAsia="zh-CN"/>
        </w:rPr>
      </w:pPr>
      <w:r>
        <w:rPr>
          <w:rFonts w:hint="default"/>
          <w:color w:val="auto"/>
          <w:highlight w:val="none"/>
          <w:lang w:eastAsia="zh-CN"/>
        </w:rPr>
        <w:t>安装时粘接的专用砂浆须饱满，灰缝控制在5mm-8mm左右；</w:t>
      </w:r>
    </w:p>
    <w:p>
      <w:pPr>
        <w:pStyle w:val="5"/>
        <w:bidi w:val="0"/>
        <w:rPr>
          <w:color w:val="auto"/>
          <w:highlight w:val="none"/>
          <w:lang w:eastAsia="zh-CN"/>
        </w:rPr>
      </w:pPr>
      <w:r>
        <w:rPr>
          <w:rFonts w:hint="eastAsia"/>
          <w:color w:val="auto"/>
          <w:highlight w:val="none"/>
          <w:lang w:eastAsia="zh-CN"/>
        </w:rPr>
        <w:t xml:space="preserve">ALC板拼缝处理： </w:t>
      </w:r>
    </w:p>
    <w:p>
      <w:pPr>
        <w:numPr>
          <w:ilvl w:val="1"/>
          <w:numId w:val="59"/>
        </w:numPr>
        <w:bidi w:val="0"/>
        <w:rPr>
          <w:rFonts w:hint="eastAsia"/>
          <w:color w:val="auto"/>
          <w:highlight w:val="none"/>
          <w:lang w:eastAsia="zh-CN"/>
        </w:rPr>
      </w:pPr>
      <w:r>
        <w:rPr>
          <w:rFonts w:hint="default"/>
          <w:color w:val="auto"/>
          <w:highlight w:val="none"/>
          <w:lang w:eastAsia="zh-CN"/>
        </w:rPr>
        <w:t xml:space="preserve">ALC墙板与墙板对接时自然靠拢，两板间缝隙不大于 5mm，墙板外侧板缝采用专用密封胶封堵后，用专用粘结剂粘结；墙板内侧及内墙板两侧拼缝采用专用嵌缝剂封堵，板面挂宽度不小于 10cm 的耐碱玻纤网格布，每边 5cm，再采用专用粘结剂粘结。 </w:t>
      </w:r>
    </w:p>
    <w:p>
      <w:pPr>
        <w:numPr>
          <w:ilvl w:val="1"/>
          <w:numId w:val="59"/>
        </w:numPr>
        <w:bidi w:val="0"/>
        <w:rPr>
          <w:rFonts w:hint="eastAsia"/>
          <w:color w:val="auto"/>
          <w:highlight w:val="none"/>
          <w:lang w:eastAsia="zh-CN"/>
        </w:rPr>
      </w:pPr>
      <w:r>
        <w:rPr>
          <w:rFonts w:hint="default"/>
          <w:color w:val="auto"/>
          <w:highlight w:val="none"/>
          <w:lang w:eastAsia="zh-CN"/>
        </w:rPr>
        <w:t xml:space="preserve">外墙板底部与基础、楼板交接部位的两侧板缝预留缝隙不大于 30cm，缝隙采用专用粘接剂塞缝；内墙板底部与基础、楼板交接部位的两侧板缝采用专用粘接剂塞缝。 </w:t>
      </w:r>
    </w:p>
    <w:p>
      <w:pPr>
        <w:numPr>
          <w:ilvl w:val="1"/>
          <w:numId w:val="59"/>
        </w:numPr>
        <w:bidi w:val="0"/>
        <w:rPr>
          <w:rFonts w:hint="eastAsia"/>
          <w:color w:val="auto"/>
          <w:highlight w:val="none"/>
          <w:lang w:eastAsia="zh-CN"/>
        </w:rPr>
      </w:pPr>
      <w:r>
        <w:rPr>
          <w:rFonts w:hint="default"/>
          <w:color w:val="auto"/>
          <w:highlight w:val="none"/>
          <w:lang w:eastAsia="zh-CN"/>
        </w:rPr>
        <w:t xml:space="preserve">外墙板与其他墙、柱梁交接部位、外墙横板的竖缝外侧墙板、转角处竖缝外侧、温度缝等缝隙留设应不大于 20mm，缝隙采用专用粘接剂塞缝。 </w:t>
      </w:r>
    </w:p>
    <w:p>
      <w:pPr>
        <w:pStyle w:val="5"/>
        <w:bidi w:val="0"/>
        <w:rPr>
          <w:color w:val="auto"/>
          <w:highlight w:val="none"/>
          <w:lang w:eastAsia="zh-CN"/>
        </w:rPr>
      </w:pPr>
      <w:r>
        <w:rPr>
          <w:rFonts w:hint="eastAsia"/>
          <w:color w:val="auto"/>
          <w:highlight w:val="none"/>
          <w:lang w:eastAsia="zh-CN"/>
        </w:rPr>
        <w:t xml:space="preserve">洞口加固措施 </w:t>
      </w:r>
    </w:p>
    <w:p>
      <w:pPr>
        <w:numPr>
          <w:ilvl w:val="1"/>
          <w:numId w:val="60"/>
        </w:numPr>
        <w:bidi w:val="0"/>
        <w:rPr>
          <w:color w:val="auto"/>
          <w:highlight w:val="none"/>
          <w:lang w:eastAsia="zh-CN"/>
        </w:rPr>
      </w:pPr>
      <w:r>
        <w:rPr>
          <w:rFonts w:hint="default"/>
          <w:color w:val="auto"/>
          <w:highlight w:val="none"/>
          <w:lang w:eastAsia="zh-CN"/>
        </w:rPr>
        <w:t xml:space="preserve">洞口宽度≤300mm 时，可直接后开洞口。 </w:t>
      </w:r>
    </w:p>
    <w:p>
      <w:pPr>
        <w:numPr>
          <w:ilvl w:val="1"/>
          <w:numId w:val="60"/>
        </w:numPr>
        <w:bidi w:val="0"/>
        <w:rPr>
          <w:color w:val="auto"/>
          <w:highlight w:val="none"/>
          <w:lang w:eastAsia="zh-CN"/>
        </w:rPr>
      </w:pPr>
      <w:r>
        <w:rPr>
          <w:rFonts w:hint="default"/>
          <w:color w:val="auto"/>
          <w:highlight w:val="none"/>
          <w:lang w:eastAsia="zh-CN"/>
        </w:rPr>
        <w:t xml:space="preserve">洞口宽度 300＜b≤600 时，可跨两板板缝后开。 </w:t>
      </w:r>
    </w:p>
    <w:p>
      <w:pPr>
        <w:numPr>
          <w:ilvl w:val="1"/>
          <w:numId w:val="60"/>
        </w:numPr>
        <w:bidi w:val="0"/>
        <w:rPr>
          <w:color w:val="auto"/>
          <w:highlight w:val="none"/>
          <w:lang w:eastAsia="zh-CN"/>
        </w:rPr>
      </w:pPr>
      <w:r>
        <w:rPr>
          <w:rFonts w:hint="default"/>
          <w:color w:val="auto"/>
          <w:highlight w:val="none"/>
          <w:lang w:eastAsia="zh-CN"/>
        </w:rPr>
        <w:t xml:space="preserve">洞口宽度＞600 时，洞口应采取加固措施，洞口各边采用 100*8 的扁钢进行加固，扁钢与墙板每间距 300mm 采用φ6 自攻螺钉连接。 </w:t>
      </w:r>
    </w:p>
    <w:p>
      <w:pPr>
        <w:pStyle w:val="5"/>
        <w:bidi w:val="0"/>
        <w:rPr>
          <w:color w:val="auto"/>
          <w:highlight w:val="none"/>
          <w:lang w:eastAsia="zh-CN"/>
        </w:rPr>
      </w:pPr>
      <w:r>
        <w:rPr>
          <w:rFonts w:hint="eastAsia"/>
          <w:color w:val="auto"/>
          <w:highlight w:val="none"/>
          <w:lang w:eastAsia="zh-CN"/>
        </w:rPr>
        <w:t>安装注意事项</w:t>
      </w:r>
    </w:p>
    <w:p>
      <w:pPr>
        <w:numPr>
          <w:ilvl w:val="1"/>
          <w:numId w:val="61"/>
        </w:numPr>
        <w:bidi w:val="0"/>
        <w:rPr>
          <w:color w:val="auto"/>
          <w:highlight w:val="none"/>
          <w:lang w:eastAsia="zh-CN"/>
        </w:rPr>
      </w:pPr>
      <w:r>
        <w:rPr>
          <w:rFonts w:hint="default"/>
          <w:color w:val="auto"/>
          <w:highlight w:val="none"/>
          <w:lang w:eastAsia="zh-CN"/>
        </w:rPr>
        <w:t>安装时按照由内向外顺序安装，先装一道内防火墙板材，再装外单面临空板材。板材安装必须严格按照排板图进行安装，按照板上标识数字安装在相应的位置上。</w:t>
      </w:r>
    </w:p>
    <w:p>
      <w:pPr>
        <w:numPr>
          <w:ilvl w:val="1"/>
          <w:numId w:val="61"/>
        </w:numPr>
        <w:bidi w:val="0"/>
        <w:rPr>
          <w:color w:val="auto"/>
          <w:highlight w:val="none"/>
          <w:lang w:eastAsia="zh-CN"/>
        </w:rPr>
      </w:pPr>
      <w:r>
        <w:rPr>
          <w:rFonts w:hint="default"/>
          <w:color w:val="auto"/>
          <w:highlight w:val="none"/>
          <w:lang w:eastAsia="zh-CN"/>
        </w:rPr>
        <w:t xml:space="preserve">用于接头和拼缝的砂浆，应采用专用胶粘剂。密封胶应采用防火密封胶。条板墙安 装时粘接剂要涂刷均匀，拼缝时挤出多余粘接剂及时处理，保证板面清洁。连接件和型钢间、型钢和型钢间均应焊接连接且满足承载力要求，焊缝除通长型材 外均为沿搭接长度满焊，焊脚高度应不小于 </w:t>
      </w:r>
      <w:r>
        <w:rPr>
          <w:color w:val="auto"/>
          <w:highlight w:val="none"/>
          <w:lang w:eastAsia="zh-CN"/>
        </w:rPr>
        <w:t>4mm</w:t>
      </w:r>
      <w:r>
        <w:rPr>
          <w:rFonts w:hint="default"/>
          <w:color w:val="auto"/>
          <w:highlight w:val="none"/>
          <w:lang w:eastAsia="zh-CN"/>
        </w:rPr>
        <w:t>。钩头螺栓与连接角钢的焊接搭接长度应≥</w:t>
      </w:r>
      <w:r>
        <w:rPr>
          <w:color w:val="auto"/>
          <w:highlight w:val="none"/>
          <w:lang w:eastAsia="zh-CN"/>
        </w:rPr>
        <w:t>25mm</w:t>
      </w:r>
      <w:r>
        <w:rPr>
          <w:rFonts w:hint="default"/>
          <w:color w:val="auto"/>
          <w:highlight w:val="none"/>
          <w:lang w:eastAsia="zh-CN"/>
        </w:rPr>
        <w:t>，钩头螺栓固定点距板端应≥</w:t>
      </w:r>
      <w:r>
        <w:rPr>
          <w:color w:val="auto"/>
          <w:highlight w:val="none"/>
          <w:lang w:eastAsia="zh-CN"/>
        </w:rPr>
        <w:t>80mm</w:t>
      </w:r>
      <w:r>
        <w:rPr>
          <w:rFonts w:hint="default"/>
          <w:color w:val="auto"/>
          <w:highlight w:val="none"/>
          <w:lang w:eastAsia="zh-CN"/>
        </w:rPr>
        <w:t>，通长角钢与结构梁连接焊缝深度</w:t>
      </w:r>
      <w:r>
        <w:rPr>
          <w:color w:val="auto"/>
          <w:highlight w:val="none"/>
          <w:lang w:eastAsia="zh-CN"/>
        </w:rPr>
        <w:t>4mm</w:t>
      </w:r>
      <w:r>
        <w:rPr>
          <w:rFonts w:hint="default"/>
          <w:color w:val="auto"/>
          <w:highlight w:val="none"/>
          <w:lang w:eastAsia="zh-CN"/>
        </w:rPr>
        <w:t xml:space="preserve">，长 </w:t>
      </w:r>
      <w:r>
        <w:rPr>
          <w:color w:val="auto"/>
          <w:highlight w:val="none"/>
          <w:lang w:eastAsia="zh-CN"/>
        </w:rPr>
        <w:t>50mm</w:t>
      </w:r>
      <w:r>
        <w:rPr>
          <w:rFonts w:hint="default"/>
          <w:color w:val="auto"/>
          <w:highlight w:val="none"/>
          <w:lang w:eastAsia="zh-CN"/>
        </w:rPr>
        <w:t xml:space="preserve">，间距 </w:t>
      </w:r>
      <w:r>
        <w:rPr>
          <w:color w:val="auto"/>
          <w:highlight w:val="none"/>
          <w:lang w:eastAsia="zh-CN"/>
        </w:rPr>
        <w:t>200mm</w:t>
      </w:r>
      <w:r>
        <w:rPr>
          <w:rFonts w:hint="default"/>
          <w:color w:val="auto"/>
          <w:highlight w:val="none"/>
          <w:lang w:eastAsia="zh-CN"/>
        </w:rPr>
        <w:t xml:space="preserve">。焊缝质量应满足规范要求。所有焊缝均应将焊渣清除干净并满 涂防锈漆。所有锚固件、专用托板等连接件，均应做防锈处理。 </w:t>
      </w:r>
    </w:p>
    <w:p>
      <w:pPr>
        <w:numPr>
          <w:ilvl w:val="1"/>
          <w:numId w:val="61"/>
        </w:numPr>
        <w:bidi w:val="0"/>
        <w:rPr>
          <w:color w:val="auto"/>
          <w:highlight w:val="none"/>
          <w:lang w:eastAsia="zh-CN"/>
        </w:rPr>
      </w:pPr>
      <w:r>
        <w:rPr>
          <w:color w:val="auto"/>
          <w:highlight w:val="none"/>
          <w:lang w:eastAsia="zh-CN"/>
        </w:rPr>
        <w:t xml:space="preserve">ALC </w:t>
      </w:r>
      <w:r>
        <w:rPr>
          <w:rFonts w:hint="default"/>
          <w:color w:val="auto"/>
          <w:highlight w:val="none"/>
          <w:lang w:eastAsia="zh-CN"/>
        </w:rPr>
        <w:t xml:space="preserve">板上开槽要求宜沿板的纵向切槽，开槽深度不大于 </w:t>
      </w:r>
      <w:r>
        <w:rPr>
          <w:color w:val="auto"/>
          <w:highlight w:val="none"/>
          <w:lang w:eastAsia="zh-CN"/>
        </w:rPr>
        <w:t>50mm</w:t>
      </w:r>
      <w:r>
        <w:rPr>
          <w:rFonts w:hint="default"/>
          <w:color w:val="auto"/>
          <w:highlight w:val="none"/>
          <w:lang w:eastAsia="zh-CN"/>
        </w:rPr>
        <w:t xml:space="preserve">，严禁横向开槽。开槽时需用专用开槽工具，禁止使用冲击钻及人工踢凿，线管埋设完毕用专用嵌缝砂浆分两层封闭，并粘贴 </w:t>
      </w:r>
      <w:r>
        <w:rPr>
          <w:color w:val="auto"/>
          <w:highlight w:val="none"/>
          <w:lang w:eastAsia="zh-CN"/>
        </w:rPr>
        <w:t xml:space="preserve">4*4 </w:t>
      </w:r>
      <w:r>
        <w:rPr>
          <w:rFonts w:hint="default"/>
          <w:color w:val="auto"/>
          <w:highlight w:val="none"/>
          <w:lang w:eastAsia="zh-CN"/>
        </w:rPr>
        <w:t xml:space="preserve">耐碱玻纤网格布。 </w:t>
      </w:r>
    </w:p>
    <w:p>
      <w:pPr>
        <w:numPr>
          <w:ilvl w:val="1"/>
          <w:numId w:val="61"/>
        </w:numPr>
        <w:bidi w:val="0"/>
        <w:rPr>
          <w:color w:val="auto"/>
          <w:highlight w:val="none"/>
          <w:lang w:eastAsia="zh-CN"/>
        </w:rPr>
      </w:pPr>
      <w:r>
        <w:rPr>
          <w:rFonts w:hint="default"/>
          <w:color w:val="auto"/>
          <w:highlight w:val="none"/>
          <w:lang w:eastAsia="zh-CN"/>
        </w:rPr>
        <w:t xml:space="preserve">开洞去角小于板宽的 </w:t>
      </w:r>
      <w:r>
        <w:rPr>
          <w:color w:val="auto"/>
          <w:highlight w:val="none"/>
          <w:lang w:eastAsia="zh-CN"/>
        </w:rPr>
        <w:t>1/3</w:t>
      </w:r>
      <w:r>
        <w:rPr>
          <w:rFonts w:hint="default"/>
          <w:color w:val="auto"/>
          <w:highlight w:val="none"/>
          <w:lang w:eastAsia="zh-CN"/>
        </w:rPr>
        <w:t xml:space="preserve">，要求必须机械切割，严禁榔头锤击，开洞时采取有效保护措施，以避免墙板破损。 </w:t>
      </w:r>
    </w:p>
    <w:p>
      <w:pPr>
        <w:numPr>
          <w:ilvl w:val="1"/>
          <w:numId w:val="61"/>
        </w:numPr>
        <w:bidi w:val="0"/>
        <w:rPr>
          <w:color w:val="auto"/>
          <w:highlight w:val="none"/>
          <w:lang w:eastAsia="zh-CN"/>
        </w:rPr>
      </w:pPr>
      <w:r>
        <w:rPr>
          <w:rFonts w:hint="default"/>
          <w:color w:val="auto"/>
          <w:highlight w:val="none"/>
          <w:lang w:eastAsia="zh-CN"/>
        </w:rPr>
        <w:t xml:space="preserve">对于施工前由于吊装运输等因素造成缺楞掉角的板应在施工前进行修补，修补完成并检验合格后才能投入使用。在施工过程中造成的板材局部破损，应先清洗破损处的粉尘，再用厂内配置好的专用修补粉进行修补，修补完应采取相关保护措施。 </w:t>
      </w:r>
    </w:p>
    <w:p>
      <w:pPr>
        <w:pStyle w:val="5"/>
        <w:bidi w:val="0"/>
        <w:rPr>
          <w:color w:val="auto"/>
          <w:highlight w:val="none"/>
          <w:lang w:eastAsia="zh-CN"/>
        </w:rPr>
      </w:pPr>
      <w:r>
        <w:rPr>
          <w:color w:val="auto"/>
          <w:highlight w:val="none"/>
          <w:lang w:eastAsia="zh-CN"/>
        </w:rPr>
        <w:t>验收标准</w:t>
      </w:r>
    </w:p>
    <w:p>
      <w:pPr>
        <w:bidi w:val="0"/>
        <w:rPr>
          <w:color w:val="auto"/>
          <w:highlight w:val="none"/>
          <w:lang w:eastAsia="zh-CN"/>
        </w:rPr>
      </w:pPr>
      <w:r>
        <w:rPr>
          <w:rFonts w:hint="default"/>
          <w:color w:val="auto"/>
          <w:highlight w:val="none"/>
          <w:lang w:eastAsia="zh-CN"/>
        </w:rPr>
        <w:t xml:space="preserve">严格执行国家施工质量验收规范，加强检验批质量评定工作。根据隐蔽工程验 收 </w:t>
      </w:r>
    </w:p>
    <w:p>
      <w:pPr>
        <w:bidi w:val="0"/>
        <w:rPr>
          <w:color w:val="auto"/>
          <w:highlight w:val="none"/>
          <w:lang w:eastAsia="zh-CN"/>
        </w:rPr>
      </w:pPr>
      <w:r>
        <w:rPr>
          <w:rFonts w:hint="default"/>
          <w:color w:val="auto"/>
          <w:highlight w:val="none"/>
          <w:lang w:eastAsia="zh-CN"/>
        </w:rPr>
        <w:t>制度，做好验收记录。每层为一个检验批，安装完毕后先自检，然后报总包验收。验收合格后，方能进行下一道工序施工。严格执行“三按”“三检”和“一控”。</w:t>
      </w:r>
    </w:p>
    <w:p>
      <w:pPr>
        <w:bidi w:val="0"/>
        <w:rPr>
          <w:color w:val="auto"/>
          <w:highlight w:val="none"/>
          <w:lang w:eastAsia="zh-CN"/>
        </w:rPr>
      </w:pPr>
      <w:r>
        <w:rPr>
          <w:rFonts w:hint="default"/>
          <w:color w:val="auto"/>
          <w:highlight w:val="none"/>
          <w:lang w:eastAsia="zh-CN"/>
        </w:rPr>
        <w:t xml:space="preserve">“三按”：严格按图纸、按规范标准、按方案施工； </w:t>
      </w:r>
    </w:p>
    <w:p>
      <w:pPr>
        <w:bidi w:val="0"/>
        <w:rPr>
          <w:color w:val="auto"/>
          <w:highlight w:val="none"/>
          <w:lang w:eastAsia="zh-CN"/>
        </w:rPr>
      </w:pPr>
      <w:r>
        <w:rPr>
          <w:rFonts w:hint="default"/>
          <w:color w:val="auto"/>
          <w:highlight w:val="none"/>
          <w:lang w:eastAsia="zh-CN"/>
        </w:rPr>
        <w:t xml:space="preserve">“三检”：自检、互检、交接检； </w:t>
      </w:r>
    </w:p>
    <w:p>
      <w:pPr>
        <w:bidi w:val="0"/>
        <w:rPr>
          <w:color w:val="auto"/>
          <w:highlight w:val="none"/>
          <w:lang w:eastAsia="zh-CN"/>
        </w:rPr>
      </w:pPr>
      <w:r>
        <w:rPr>
          <w:rFonts w:hint="default"/>
          <w:color w:val="auto"/>
          <w:highlight w:val="none"/>
          <w:lang w:eastAsia="zh-CN"/>
        </w:rPr>
        <w:t xml:space="preserve">“一控”：自控正确率，一次验收合格率。 </w:t>
      </w:r>
    </w:p>
    <w:p>
      <w:pPr>
        <w:pStyle w:val="5"/>
        <w:bidi w:val="0"/>
        <w:rPr>
          <w:color w:val="auto"/>
          <w:highlight w:val="none"/>
          <w:lang w:eastAsia="zh-CN"/>
        </w:rPr>
      </w:pPr>
      <w:r>
        <w:rPr>
          <w:rFonts w:hint="eastAsia"/>
          <w:color w:val="auto"/>
          <w:highlight w:val="none"/>
          <w:lang w:eastAsia="zh-CN"/>
        </w:rPr>
        <w:t xml:space="preserve">成品保护 </w:t>
      </w:r>
    </w:p>
    <w:p>
      <w:pPr>
        <w:numPr>
          <w:ilvl w:val="1"/>
          <w:numId w:val="62"/>
        </w:numPr>
        <w:bidi w:val="0"/>
        <w:rPr>
          <w:color w:val="auto"/>
          <w:highlight w:val="none"/>
          <w:lang w:eastAsia="zh-CN"/>
        </w:rPr>
      </w:pPr>
      <w:r>
        <w:rPr>
          <w:rFonts w:hint="default"/>
          <w:color w:val="auto"/>
          <w:highlight w:val="none"/>
          <w:lang w:eastAsia="zh-CN"/>
        </w:rPr>
        <w:t xml:space="preserve">运输时应按堆放要求装车，并采取可靠捆绑措施，运输途中避免颠簸和急转弯，防止颠簸碰坏。 </w:t>
      </w:r>
    </w:p>
    <w:p>
      <w:pPr>
        <w:numPr>
          <w:ilvl w:val="1"/>
          <w:numId w:val="62"/>
        </w:numPr>
        <w:bidi w:val="0"/>
        <w:rPr>
          <w:color w:val="auto"/>
          <w:highlight w:val="none"/>
          <w:lang w:eastAsia="zh-CN"/>
        </w:rPr>
      </w:pPr>
      <w:r>
        <w:rPr>
          <w:rFonts w:hint="default"/>
          <w:color w:val="auto"/>
          <w:highlight w:val="none"/>
          <w:lang w:eastAsia="zh-CN"/>
        </w:rPr>
        <w:t xml:space="preserve">进场后应设立单独堆放场地并做好围挡工作。堆放场地应平整坚实，不应直接堆放在场地上，条板两端下面应设置堆放垫木。堆放时垂直方向不宜超过 2 米。加气板与地面要有防潮措施。露天堆放时宜采用塑料布等覆盖措施，防止污染和雨浸湿。堆放时要有护角措施，并有标识。 </w:t>
      </w:r>
    </w:p>
    <w:p>
      <w:pPr>
        <w:numPr>
          <w:ilvl w:val="1"/>
          <w:numId w:val="62"/>
        </w:numPr>
        <w:bidi w:val="0"/>
        <w:rPr>
          <w:color w:val="auto"/>
          <w:highlight w:val="none"/>
          <w:lang w:eastAsia="zh-CN"/>
        </w:rPr>
      </w:pPr>
      <w:r>
        <w:rPr>
          <w:rFonts w:hint="default"/>
          <w:color w:val="auto"/>
          <w:highlight w:val="none"/>
          <w:lang w:eastAsia="zh-CN"/>
        </w:rPr>
        <w:t xml:space="preserve">吊运时应采用宽度≥500mm 的尼龙吊带兜板底起吊，边角需要防护避免磕碰损伤，禁止用钢丝绳或麻绳直接兜板底起吊。板材吊运时按照板号把相应位置的板运到指定的户型内，并且码放整齐。搬运时轻装轻放，平行搬运或两侧支撑平行运输，严禁单边抬起，拖地拉运或单边支撑运输。 </w:t>
      </w:r>
    </w:p>
    <w:p>
      <w:pPr>
        <w:numPr>
          <w:ilvl w:val="1"/>
          <w:numId w:val="62"/>
        </w:numPr>
        <w:bidi w:val="0"/>
        <w:rPr>
          <w:color w:val="auto"/>
          <w:highlight w:val="none"/>
          <w:lang w:eastAsia="zh-CN"/>
        </w:rPr>
      </w:pPr>
      <w:r>
        <w:rPr>
          <w:rFonts w:hint="default"/>
          <w:color w:val="auto"/>
          <w:highlight w:val="none"/>
          <w:lang w:eastAsia="zh-CN"/>
        </w:rPr>
        <w:t xml:space="preserve">安装过程中采取专用的运输和施工机具，避免板材损坏。专用提升架和小推车均做软包处理，避免板材与钢材直接接触造成损伤。 </w:t>
      </w:r>
    </w:p>
    <w:p>
      <w:pPr>
        <w:numPr>
          <w:ilvl w:val="1"/>
          <w:numId w:val="62"/>
        </w:numPr>
        <w:bidi w:val="0"/>
        <w:rPr>
          <w:color w:val="auto"/>
          <w:highlight w:val="none"/>
          <w:lang w:eastAsia="zh-CN"/>
        </w:rPr>
      </w:pPr>
      <w:r>
        <w:rPr>
          <w:rFonts w:hint="default"/>
          <w:color w:val="auto"/>
          <w:highlight w:val="none"/>
          <w:lang w:eastAsia="zh-CN"/>
        </w:rPr>
        <w:t xml:space="preserve">加气墙板安装完毕后应注意成品保护，严禁撞击与磕碰。小范围调整板材位置需制作专用工具，严防破坏板外观。所有可能损坏墙板的危险器物不得靠近墙板。加气墙板支撑件其它工种不得随意拆除。 </w:t>
      </w:r>
    </w:p>
    <w:p>
      <w:pPr>
        <w:numPr>
          <w:ilvl w:val="1"/>
          <w:numId w:val="62"/>
        </w:numPr>
        <w:bidi w:val="0"/>
        <w:rPr>
          <w:rFonts w:hint="eastAsia"/>
          <w:color w:val="auto"/>
          <w:highlight w:val="none"/>
        </w:rPr>
      </w:pPr>
      <w:r>
        <w:rPr>
          <w:rFonts w:hint="default"/>
          <w:color w:val="auto"/>
          <w:highlight w:val="none"/>
          <w:lang w:eastAsia="zh-CN"/>
        </w:rPr>
        <w:t>墙板安装完毕七天后才能进行管线等开槽工作。电线开槽需用专用工具开槽，不得直接剔凿，所有线管开槽封堵时增加网格布，分两层用专用嵌缝砂浆抹平。</w:t>
      </w:r>
      <w:r>
        <w:rPr>
          <w:color w:val="auto"/>
          <w:highlight w:val="none"/>
          <w:lang w:eastAsia="zh-CN"/>
        </w:rPr>
        <w:t xml:space="preserve"> </w:t>
      </w:r>
    </w:p>
    <w:p>
      <w:pPr>
        <w:pStyle w:val="3"/>
        <w:bidi w:val="0"/>
        <w:rPr>
          <w:color w:val="auto"/>
          <w:highlight w:val="none"/>
        </w:rPr>
      </w:pPr>
      <w:bookmarkStart w:id="768" w:name="_Toc11746"/>
      <w:bookmarkStart w:id="769" w:name="_Toc16005"/>
      <w:bookmarkStart w:id="770" w:name="_Toc8961"/>
      <w:bookmarkStart w:id="771" w:name="_Toc4693"/>
      <w:bookmarkStart w:id="772" w:name="_Toc2445"/>
      <w:bookmarkStart w:id="773" w:name="_Toc422854859"/>
      <w:bookmarkStart w:id="774" w:name="_Toc21677"/>
      <w:bookmarkStart w:id="775" w:name="_Toc13776"/>
      <w:bookmarkStart w:id="776" w:name="_Toc5294"/>
      <w:bookmarkStart w:id="777" w:name="_Toc7426"/>
      <w:bookmarkStart w:id="778" w:name="_Toc31944"/>
      <w:bookmarkStart w:id="779" w:name="_Toc169722236"/>
      <w:bookmarkStart w:id="780" w:name="_Toc27896"/>
      <w:r>
        <w:rPr>
          <w:rFonts w:hint="eastAsia"/>
          <w:color w:val="auto"/>
          <w:highlight w:val="none"/>
        </w:rPr>
        <w:t>装饰装修工程技术要求</w:t>
      </w:r>
      <w:bookmarkEnd w:id="768"/>
      <w:bookmarkEnd w:id="769"/>
      <w:bookmarkEnd w:id="770"/>
      <w:bookmarkEnd w:id="771"/>
      <w:bookmarkEnd w:id="772"/>
      <w:bookmarkEnd w:id="773"/>
      <w:bookmarkEnd w:id="774"/>
      <w:bookmarkEnd w:id="775"/>
      <w:bookmarkEnd w:id="776"/>
      <w:bookmarkEnd w:id="777"/>
      <w:bookmarkEnd w:id="778"/>
      <w:bookmarkEnd w:id="779"/>
      <w:bookmarkEnd w:id="780"/>
    </w:p>
    <w:p>
      <w:pPr>
        <w:pStyle w:val="4"/>
        <w:bidi w:val="0"/>
        <w:rPr>
          <w:color w:val="auto"/>
          <w:highlight w:val="none"/>
        </w:rPr>
      </w:pPr>
      <w:r>
        <w:rPr>
          <w:rFonts w:hint="eastAsia"/>
          <w:color w:val="auto"/>
          <w:highlight w:val="none"/>
        </w:rPr>
        <w:t>抹灰工程</w:t>
      </w:r>
    </w:p>
    <w:p>
      <w:pPr>
        <w:pStyle w:val="5"/>
        <w:bidi w:val="0"/>
        <w:ind w:left="253"/>
        <w:rPr>
          <w:color w:val="auto"/>
          <w:highlight w:val="none"/>
        </w:rPr>
      </w:pPr>
      <w:r>
        <w:rPr>
          <w:rFonts w:hint="eastAsia"/>
          <w:color w:val="auto"/>
          <w:highlight w:val="none"/>
        </w:rPr>
        <w:t xml:space="preserve"> 普通水泥砂浆抹灰</w:t>
      </w:r>
    </w:p>
    <w:p>
      <w:pPr>
        <w:numPr>
          <w:ilvl w:val="1"/>
          <w:numId w:val="63"/>
        </w:numPr>
        <w:bidi w:val="0"/>
        <w:rPr>
          <w:rFonts w:hint="eastAsia"/>
          <w:color w:val="auto"/>
          <w:highlight w:val="none"/>
          <w:lang w:eastAsia="zh-CN"/>
        </w:rPr>
      </w:pPr>
      <w:r>
        <w:rPr>
          <w:rFonts w:hint="eastAsia"/>
          <w:color w:val="auto"/>
          <w:highlight w:val="none"/>
          <w:lang w:eastAsia="zh-CN"/>
        </w:rPr>
        <w:t>抹灰找平工程不空不裂，尺寸合格，表面平整清洁，无明显抹纹，接槎平整，无空鼓开裂，批嵌细腻，无脱皮。</w:t>
      </w:r>
    </w:p>
    <w:p>
      <w:pPr>
        <w:numPr>
          <w:ilvl w:val="1"/>
          <w:numId w:val="63"/>
        </w:numPr>
        <w:bidi w:val="0"/>
        <w:rPr>
          <w:rFonts w:hint="eastAsia"/>
          <w:color w:val="auto"/>
          <w:highlight w:val="none"/>
          <w:lang w:eastAsia="zh-CN"/>
        </w:rPr>
      </w:pPr>
      <w:r>
        <w:rPr>
          <w:rFonts w:hint="eastAsia"/>
          <w:color w:val="auto"/>
          <w:highlight w:val="none"/>
          <w:lang w:eastAsia="zh-CN"/>
        </w:rPr>
        <w:t xml:space="preserve">立面垂直，阴阳角方正顺直，预留洞、槽、管道等的位置、尺寸正确、出墙口整洁、顺直。 </w:t>
      </w:r>
    </w:p>
    <w:p>
      <w:pPr>
        <w:numPr>
          <w:ilvl w:val="1"/>
          <w:numId w:val="63"/>
        </w:numPr>
        <w:bidi w:val="0"/>
        <w:rPr>
          <w:rFonts w:hint="eastAsia"/>
          <w:color w:val="auto"/>
          <w:highlight w:val="none"/>
          <w:lang w:eastAsia="zh-CN"/>
        </w:rPr>
      </w:pPr>
      <w:r>
        <w:rPr>
          <w:rFonts w:hint="eastAsia"/>
          <w:color w:val="auto"/>
          <w:highlight w:val="none"/>
          <w:lang w:eastAsia="zh-CN"/>
        </w:rPr>
        <w:t>基层墙面应清除浮浆、脱模剂、油污及模板残留物，螺杆洞封堵必须符合要求，不同界面交接位置必须进行挂网，挂网前高低差部位应用水泥砂浆填补，挂网要求采用耐碱玻璃纤维网或镀锌钢丝网。</w:t>
      </w:r>
    </w:p>
    <w:p>
      <w:pPr>
        <w:numPr>
          <w:ilvl w:val="1"/>
          <w:numId w:val="63"/>
        </w:numPr>
        <w:bidi w:val="0"/>
        <w:rPr>
          <w:rFonts w:hint="eastAsia"/>
          <w:color w:val="auto"/>
          <w:highlight w:val="none"/>
          <w:lang w:eastAsia="zh-CN"/>
        </w:rPr>
      </w:pPr>
      <w:r>
        <w:rPr>
          <w:rFonts w:hint="eastAsia"/>
          <w:color w:val="auto"/>
          <w:highlight w:val="none"/>
          <w:lang w:eastAsia="zh-CN"/>
        </w:rPr>
        <w:t>抹灰施工提前一天对墙面进行喷水湿润，甩浆施工当天再次对墙面进行洒水湿润。</w:t>
      </w:r>
    </w:p>
    <w:p>
      <w:pPr>
        <w:numPr>
          <w:ilvl w:val="1"/>
          <w:numId w:val="63"/>
        </w:numPr>
        <w:bidi w:val="0"/>
        <w:rPr>
          <w:color w:val="auto"/>
          <w:highlight w:val="none"/>
        </w:rPr>
      </w:pPr>
      <w:r>
        <w:rPr>
          <w:rFonts w:hint="eastAsia"/>
          <w:color w:val="auto"/>
          <w:highlight w:val="none"/>
          <w:lang w:eastAsia="zh-CN"/>
        </w:rPr>
        <w:t>甩浆拉毛（</w:t>
      </w:r>
      <w:r>
        <w:rPr>
          <w:rFonts w:hint="eastAsia"/>
          <w:color w:val="auto"/>
          <w:highlight w:val="none"/>
          <w:lang w:val="en-US" w:eastAsia="zh-CN"/>
        </w:rPr>
        <w:t>外墙建议使用高压水刀拉毛</w:t>
      </w:r>
      <w:r>
        <w:rPr>
          <w:rFonts w:hint="eastAsia"/>
          <w:color w:val="auto"/>
          <w:highlight w:val="none"/>
          <w:lang w:eastAsia="zh-CN"/>
        </w:rPr>
        <w:t>）</w:t>
      </w:r>
    </w:p>
    <w:p>
      <w:pPr>
        <w:numPr>
          <w:ilvl w:val="0"/>
          <w:numId w:val="64"/>
        </w:numPr>
        <w:bidi w:val="0"/>
        <w:rPr>
          <w:color w:val="auto"/>
          <w:highlight w:val="none"/>
        </w:rPr>
      </w:pPr>
      <w:r>
        <w:rPr>
          <w:rFonts w:hint="eastAsia"/>
          <w:color w:val="auto"/>
          <w:highlight w:val="none"/>
        </w:rPr>
        <w:t>浆料采用高强度粘结剂、施工用水、复合硅酸盐水泥、砂，推荐配比为胶:水:水泥:砂=1:2:4:1，各项目应根据胶水的粘结性能、墙面的光滑程度等因素，配置合适的浆料配比。</w:t>
      </w:r>
    </w:p>
    <w:p>
      <w:pPr>
        <w:numPr>
          <w:ilvl w:val="0"/>
          <w:numId w:val="64"/>
        </w:numPr>
        <w:bidi w:val="0"/>
        <w:rPr>
          <w:color w:val="auto"/>
          <w:highlight w:val="none"/>
        </w:rPr>
      </w:pPr>
      <w:r>
        <w:rPr>
          <w:rFonts w:hint="eastAsia"/>
          <w:color w:val="auto"/>
          <w:highlight w:val="none"/>
        </w:rPr>
        <w:t>甩浆面积不小于基面的95%，毛刺高度在0.5cm左右；浆料达到一定强度后，必须进行喷水养护，特别是边角部位，养护时间不低于3天。</w:t>
      </w:r>
    </w:p>
    <w:p>
      <w:pPr>
        <w:numPr>
          <w:ilvl w:val="1"/>
          <w:numId w:val="63"/>
        </w:numPr>
        <w:bidi w:val="0"/>
        <w:rPr>
          <w:color w:val="auto"/>
          <w:highlight w:val="none"/>
        </w:rPr>
      </w:pPr>
      <w:r>
        <w:rPr>
          <w:rFonts w:hint="eastAsia"/>
          <w:color w:val="auto"/>
          <w:highlight w:val="none"/>
        </w:rPr>
        <w:t>抹灰施工应分层进行，</w:t>
      </w:r>
      <w:r>
        <w:rPr>
          <w:color w:val="auto"/>
          <w:highlight w:val="none"/>
        </w:rPr>
        <w:t>第一</w:t>
      </w:r>
      <w:r>
        <w:rPr>
          <w:rFonts w:hint="eastAsia"/>
          <w:color w:val="auto"/>
          <w:highlight w:val="none"/>
        </w:rPr>
        <w:t>层</w:t>
      </w:r>
      <w:r>
        <w:rPr>
          <w:color w:val="auto"/>
          <w:highlight w:val="none"/>
        </w:rPr>
        <w:t>抹灰</w:t>
      </w:r>
      <w:r>
        <w:rPr>
          <w:rFonts w:hint="eastAsia"/>
          <w:color w:val="auto"/>
          <w:highlight w:val="none"/>
        </w:rPr>
        <w:t>前需提前两天对甩浆墙面洒水润湿，确保</w:t>
      </w:r>
      <w:r>
        <w:rPr>
          <w:color w:val="auto"/>
          <w:highlight w:val="none"/>
        </w:rPr>
        <w:t>墙面湿润，并滚涂界面剂，厚度控制在8mm</w:t>
      </w:r>
      <w:r>
        <w:rPr>
          <w:rFonts w:hint="eastAsia"/>
          <w:color w:val="auto"/>
          <w:highlight w:val="none"/>
        </w:rPr>
        <w:t>左右，</w:t>
      </w:r>
      <w:r>
        <w:rPr>
          <w:color w:val="auto"/>
          <w:highlight w:val="none"/>
        </w:rPr>
        <w:t>抹灰表面拉毛处理</w:t>
      </w:r>
      <w:r>
        <w:rPr>
          <w:rFonts w:hint="eastAsia"/>
          <w:color w:val="auto"/>
          <w:highlight w:val="none"/>
        </w:rPr>
        <w:t>；</w:t>
      </w:r>
      <w:r>
        <w:rPr>
          <w:color w:val="auto"/>
          <w:highlight w:val="none"/>
        </w:rPr>
        <w:t>第二</w:t>
      </w:r>
      <w:r>
        <w:rPr>
          <w:rFonts w:hint="eastAsia"/>
          <w:color w:val="auto"/>
          <w:highlight w:val="none"/>
        </w:rPr>
        <w:t>层</w:t>
      </w:r>
      <w:r>
        <w:rPr>
          <w:color w:val="auto"/>
          <w:highlight w:val="none"/>
        </w:rPr>
        <w:t>抹灰</w:t>
      </w:r>
      <w:r>
        <w:rPr>
          <w:rFonts w:hint="eastAsia"/>
          <w:color w:val="auto"/>
          <w:highlight w:val="none"/>
        </w:rPr>
        <w:t>应在第二天进行，宜</w:t>
      </w:r>
      <w:r>
        <w:rPr>
          <w:color w:val="auto"/>
          <w:highlight w:val="none"/>
        </w:rPr>
        <w:t>满挂</w:t>
      </w:r>
      <w:r>
        <w:rPr>
          <w:rFonts w:hint="eastAsia"/>
          <w:color w:val="auto"/>
          <w:highlight w:val="none"/>
        </w:rPr>
        <w:t>抗碱玻璃纤维网格布，</w:t>
      </w:r>
      <w:r>
        <w:rPr>
          <w:color w:val="auto"/>
          <w:highlight w:val="none"/>
        </w:rPr>
        <w:t>厚度控制在7mm</w:t>
      </w:r>
      <w:r>
        <w:rPr>
          <w:rFonts w:hint="eastAsia"/>
          <w:color w:val="auto"/>
          <w:highlight w:val="none"/>
        </w:rPr>
        <w:t>左右。为避免和减少抹灰层砂浆空鼓、收缩裂缝，面层不宜过分压光，以表面不粗糙、无明显小凹坑、砂头不外露为准。</w:t>
      </w:r>
    </w:p>
    <w:p>
      <w:pPr>
        <w:numPr>
          <w:ilvl w:val="1"/>
          <w:numId w:val="63"/>
        </w:numPr>
        <w:bidi w:val="0"/>
        <w:rPr>
          <w:color w:val="auto"/>
          <w:highlight w:val="none"/>
        </w:rPr>
      </w:pPr>
      <w:r>
        <w:rPr>
          <w:color w:val="auto"/>
          <w:highlight w:val="none"/>
        </w:rPr>
        <w:t>抹灰初凝后</w:t>
      </w:r>
      <w:r>
        <w:rPr>
          <w:rFonts w:hint="eastAsia"/>
          <w:color w:val="auto"/>
          <w:highlight w:val="none"/>
        </w:rPr>
        <w:t>的</w:t>
      </w:r>
      <w:r>
        <w:rPr>
          <w:color w:val="auto"/>
          <w:highlight w:val="none"/>
        </w:rPr>
        <w:t>养护，</w:t>
      </w:r>
      <w:r>
        <w:rPr>
          <w:rFonts w:hint="eastAsia"/>
          <w:color w:val="auto"/>
          <w:highlight w:val="none"/>
        </w:rPr>
        <w:t>首选</w:t>
      </w:r>
      <w:r>
        <w:rPr>
          <w:color w:val="auto"/>
          <w:highlight w:val="none"/>
        </w:rPr>
        <w:t>覆</w:t>
      </w:r>
      <w:r>
        <w:rPr>
          <w:rFonts w:hint="eastAsia"/>
          <w:color w:val="auto"/>
          <w:highlight w:val="none"/>
        </w:rPr>
        <w:t>膜</w:t>
      </w:r>
      <w:r>
        <w:rPr>
          <w:color w:val="auto"/>
          <w:highlight w:val="none"/>
        </w:rPr>
        <w:t>养护。覆膜</w:t>
      </w:r>
      <w:r>
        <w:rPr>
          <w:rFonts w:hint="eastAsia"/>
          <w:color w:val="auto"/>
          <w:highlight w:val="none"/>
        </w:rPr>
        <w:t>时间</w:t>
      </w:r>
      <w:r>
        <w:rPr>
          <w:color w:val="auto"/>
          <w:highlight w:val="none"/>
        </w:rPr>
        <w:t>控制在两遍抹灰完成后的12个小时左右。用胶</w:t>
      </w:r>
      <w:r>
        <w:rPr>
          <w:rFonts w:hint="eastAsia"/>
          <w:color w:val="auto"/>
          <w:highlight w:val="none"/>
        </w:rPr>
        <w:t>:</w:t>
      </w:r>
      <w:r>
        <w:rPr>
          <w:color w:val="auto"/>
          <w:highlight w:val="none"/>
        </w:rPr>
        <w:t>水=3</w:t>
      </w:r>
      <w:r>
        <w:rPr>
          <w:rFonts w:hint="eastAsia"/>
          <w:color w:val="auto"/>
          <w:highlight w:val="none"/>
        </w:rPr>
        <w:t>:</w:t>
      </w:r>
      <w:r>
        <w:rPr>
          <w:color w:val="auto"/>
          <w:highlight w:val="none"/>
        </w:rPr>
        <w:t>7的乳胶液滚涂在砂浆表面，之后将PE塑料膜</w:t>
      </w:r>
      <w:r>
        <w:rPr>
          <w:rFonts w:hint="eastAsia"/>
          <w:color w:val="auto"/>
          <w:highlight w:val="none"/>
        </w:rPr>
        <w:t>粘覆</w:t>
      </w:r>
      <w:r>
        <w:rPr>
          <w:color w:val="auto"/>
          <w:highlight w:val="none"/>
        </w:rPr>
        <w:t>其上，直至交付精装或交付。</w:t>
      </w:r>
    </w:p>
    <w:p>
      <w:pPr>
        <w:numPr>
          <w:ilvl w:val="1"/>
          <w:numId w:val="63"/>
        </w:numPr>
        <w:bidi w:val="0"/>
        <w:rPr>
          <w:color w:val="auto"/>
          <w:highlight w:val="none"/>
        </w:rPr>
      </w:pPr>
      <w:r>
        <w:rPr>
          <w:rFonts w:hint="eastAsia"/>
          <w:color w:val="auto"/>
          <w:highlight w:val="none"/>
        </w:rPr>
        <w:t>砂浆在楼层堆放时必须设垫板或使用容器，禁止现场加水及初凝后使用。</w:t>
      </w:r>
    </w:p>
    <w:p>
      <w:pPr>
        <w:numPr>
          <w:ilvl w:val="1"/>
          <w:numId w:val="63"/>
        </w:numPr>
        <w:bidi w:val="0"/>
        <w:rPr>
          <w:color w:val="auto"/>
          <w:highlight w:val="none"/>
          <w:lang w:eastAsia="zh-CN"/>
        </w:rPr>
      </w:pPr>
      <w:r>
        <w:rPr>
          <w:rFonts w:hint="eastAsia"/>
          <w:color w:val="auto"/>
          <w:highlight w:val="none"/>
          <w:lang w:eastAsia="zh-CN"/>
        </w:rPr>
        <w:t>施工要求</w:t>
      </w:r>
    </w:p>
    <w:p>
      <w:pPr>
        <w:numPr>
          <w:ilvl w:val="0"/>
          <w:numId w:val="65"/>
        </w:numPr>
        <w:bidi w:val="0"/>
        <w:rPr>
          <w:rFonts w:hint="eastAsia"/>
          <w:color w:val="auto"/>
          <w:highlight w:val="none"/>
          <w:lang w:eastAsia="zh-CN"/>
        </w:rPr>
      </w:pPr>
      <w:r>
        <w:rPr>
          <w:rFonts w:hint="eastAsia"/>
          <w:color w:val="auto"/>
          <w:highlight w:val="none"/>
          <w:lang w:eastAsia="zh-CN"/>
        </w:rPr>
        <w:t xml:space="preserve">砌体结构完成至少15天（间歇时间）； </w:t>
      </w:r>
    </w:p>
    <w:p>
      <w:pPr>
        <w:numPr>
          <w:ilvl w:val="0"/>
          <w:numId w:val="65"/>
        </w:numPr>
        <w:bidi w:val="0"/>
        <w:rPr>
          <w:rFonts w:hint="eastAsia"/>
          <w:color w:val="auto"/>
          <w:highlight w:val="none"/>
          <w:lang w:eastAsia="zh-CN"/>
        </w:rPr>
      </w:pPr>
      <w:r>
        <w:rPr>
          <w:rFonts w:hint="eastAsia"/>
          <w:color w:val="auto"/>
          <w:highlight w:val="none"/>
          <w:lang w:eastAsia="zh-CN"/>
        </w:rPr>
        <w:t xml:space="preserve">完成门窗的防水处理，并要求粘贴好保护膜； </w:t>
      </w:r>
    </w:p>
    <w:p>
      <w:pPr>
        <w:numPr>
          <w:ilvl w:val="0"/>
          <w:numId w:val="65"/>
        </w:numPr>
        <w:bidi w:val="0"/>
        <w:rPr>
          <w:rFonts w:hint="eastAsia"/>
          <w:color w:val="auto"/>
          <w:highlight w:val="none"/>
          <w:lang w:eastAsia="zh-CN"/>
        </w:rPr>
      </w:pPr>
      <w:r>
        <w:rPr>
          <w:rFonts w:hint="eastAsia"/>
          <w:color w:val="auto"/>
          <w:highlight w:val="none"/>
          <w:lang w:eastAsia="zh-CN"/>
        </w:rPr>
        <w:t xml:space="preserve">完成墙体预留水电管线安装和室内插座、开关底盒安装，及安装管线墙面填实修补工作； </w:t>
      </w:r>
    </w:p>
    <w:p>
      <w:pPr>
        <w:numPr>
          <w:ilvl w:val="0"/>
          <w:numId w:val="65"/>
        </w:numPr>
        <w:bidi w:val="0"/>
        <w:rPr>
          <w:rFonts w:hint="eastAsia"/>
          <w:color w:val="auto"/>
          <w:highlight w:val="none"/>
          <w:lang w:eastAsia="zh-CN"/>
        </w:rPr>
      </w:pPr>
      <w:r>
        <w:rPr>
          <w:rFonts w:hint="eastAsia"/>
          <w:color w:val="auto"/>
          <w:highlight w:val="none"/>
          <w:lang w:eastAsia="zh-CN"/>
        </w:rPr>
        <w:t xml:space="preserve">内外墙体各种孔洞采取相应的措施封堵完毕，包括脚手眼、穿墙螺栓孔、管道洞口等； </w:t>
      </w:r>
    </w:p>
    <w:p>
      <w:pPr>
        <w:numPr>
          <w:ilvl w:val="0"/>
          <w:numId w:val="65"/>
        </w:numPr>
        <w:bidi w:val="0"/>
        <w:rPr>
          <w:rFonts w:hint="eastAsia"/>
          <w:color w:val="auto"/>
          <w:highlight w:val="none"/>
          <w:lang w:eastAsia="zh-CN"/>
        </w:rPr>
      </w:pPr>
      <w:r>
        <w:rPr>
          <w:rFonts w:hint="eastAsia"/>
          <w:color w:val="auto"/>
          <w:highlight w:val="none"/>
          <w:lang w:eastAsia="zh-CN"/>
        </w:rPr>
        <w:t xml:space="preserve">墙体基层清理干净，包括灰尘、油渍、污垢及蜂窝、露筋、铅丝头、模板皮、浮浆等； </w:t>
      </w:r>
    </w:p>
    <w:p>
      <w:pPr>
        <w:numPr>
          <w:ilvl w:val="0"/>
          <w:numId w:val="65"/>
        </w:numPr>
        <w:bidi w:val="0"/>
        <w:rPr>
          <w:rFonts w:hint="eastAsia"/>
          <w:color w:val="auto"/>
          <w:highlight w:val="none"/>
          <w:lang w:eastAsia="zh-CN"/>
        </w:rPr>
      </w:pPr>
      <w:r>
        <w:rPr>
          <w:rFonts w:hint="eastAsia"/>
          <w:color w:val="auto"/>
          <w:highlight w:val="none"/>
          <w:lang w:eastAsia="zh-CN"/>
        </w:rPr>
        <w:t>砖墙、混凝土墙抹灰前，应在粉刷施工前喷洒1~2遍水，待其表面无水珠流淌即可进行抹灰。也可采用专用界面剂。</w:t>
      </w:r>
    </w:p>
    <w:p>
      <w:pPr>
        <w:numPr>
          <w:ilvl w:val="0"/>
          <w:numId w:val="65"/>
        </w:numPr>
        <w:bidi w:val="0"/>
        <w:rPr>
          <w:rFonts w:hint="eastAsia"/>
          <w:color w:val="auto"/>
          <w:highlight w:val="none"/>
          <w:lang w:eastAsia="zh-CN"/>
        </w:rPr>
      </w:pPr>
      <w:r>
        <w:rPr>
          <w:rFonts w:hint="eastAsia"/>
          <w:color w:val="auto"/>
          <w:highlight w:val="none"/>
          <w:lang w:eastAsia="zh-CN"/>
        </w:rPr>
        <w:t>加气混凝土砌块墙、轻质板材隔墙抹灰前，应在抹灰前2 ~3小时开始洒水，洒水次数为2 ~3次，当表面无水珠流淌即可抹灰；也可采用专用界面剂。</w:t>
      </w:r>
    </w:p>
    <w:p>
      <w:pPr>
        <w:numPr>
          <w:ilvl w:val="1"/>
          <w:numId w:val="63"/>
        </w:numPr>
        <w:bidi w:val="0"/>
        <w:rPr>
          <w:color w:val="auto"/>
          <w:highlight w:val="none"/>
          <w:lang w:eastAsia="zh-CN"/>
        </w:rPr>
      </w:pPr>
      <w:r>
        <w:rPr>
          <w:rFonts w:hint="eastAsia"/>
          <w:color w:val="auto"/>
          <w:highlight w:val="none"/>
          <w:lang w:eastAsia="zh-CN"/>
        </w:rPr>
        <w:t>抹灰层构造</w:t>
      </w:r>
    </w:p>
    <w:p>
      <w:pPr>
        <w:bidi w:val="0"/>
        <w:rPr>
          <w:color w:val="auto"/>
          <w:highlight w:val="none"/>
          <w:lang w:eastAsia="zh-CN"/>
        </w:rPr>
      </w:pPr>
      <w:r>
        <w:rPr>
          <w:rFonts w:hint="eastAsia"/>
          <w:color w:val="auto"/>
          <w:highlight w:val="none"/>
          <w:lang w:eastAsia="zh-CN"/>
        </w:rPr>
        <w:t>由建筑设计规定，不同材料基体交接处应设置耐碱涂覆网布，防止开裂。抹灰厚度小于5mm的可直接使用石膏面层粉刷砂浆。厚度为5~20mm的可先用石膏底层粉刷砂浆或石膏轻质底层粉刷砂浆打底，再用石膏面层砂浆照面。抹灰总厚度若大于35mm，要在底层抹灰中加挂钢丝网以防止开裂、掉灰。</w:t>
      </w:r>
    </w:p>
    <w:p>
      <w:pPr>
        <w:bidi w:val="0"/>
        <w:rPr>
          <w:color w:val="auto"/>
          <w:highlight w:val="none"/>
          <w:lang w:eastAsia="zh-CN"/>
        </w:rPr>
      </w:pPr>
      <w:r>
        <w:rPr>
          <w:rFonts w:hint="eastAsia"/>
          <w:color w:val="auto"/>
          <w:highlight w:val="none"/>
          <w:lang w:eastAsia="zh-CN"/>
        </w:rPr>
        <w:t>施工前，应根据设计要求和基层表面平整垂直情况，用一面墙做基准吊垂直、套方、找规矩。并经检查后再确定抹灰厚度。</w:t>
      </w:r>
    </w:p>
    <w:p>
      <w:pPr>
        <w:numPr>
          <w:ilvl w:val="1"/>
          <w:numId w:val="63"/>
        </w:numPr>
        <w:bidi w:val="0"/>
        <w:rPr>
          <w:color w:val="auto"/>
          <w:highlight w:val="none"/>
          <w:lang w:eastAsia="zh-CN"/>
        </w:rPr>
      </w:pPr>
      <w:r>
        <w:rPr>
          <w:rFonts w:hint="eastAsia"/>
          <w:color w:val="auto"/>
          <w:highlight w:val="none"/>
          <w:lang w:eastAsia="zh-CN"/>
        </w:rPr>
        <w:t>施工方法：手工抹灰或机喷砂浆施工。</w:t>
      </w:r>
    </w:p>
    <w:p>
      <w:pPr>
        <w:numPr>
          <w:ilvl w:val="0"/>
          <w:numId w:val="66"/>
        </w:numPr>
        <w:bidi w:val="0"/>
        <w:rPr>
          <w:rFonts w:hint="eastAsia"/>
          <w:color w:val="auto"/>
          <w:highlight w:val="none"/>
          <w:lang w:eastAsia="zh-CN"/>
        </w:rPr>
      </w:pPr>
      <w:r>
        <w:rPr>
          <w:rFonts w:hint="eastAsia"/>
          <w:color w:val="auto"/>
          <w:highlight w:val="none"/>
          <w:lang w:eastAsia="zh-CN"/>
        </w:rPr>
        <w:t>手工抹灰：墙面抹灰时，用灰板和抹子将粉刷砂浆抹在墙面上，用h形尺或刮板紧贴标筋刮平压实，做到墙面垂直。当抹灰厚度超过8mm时，应分层施工，每层厚度控制在8mm以内，待上一层粉刷砂浆料终凝后再抹下一层。要求抹灰层与基层之间、各抹灰层之间粘接牢固，无空鼓、无脱层。</w:t>
      </w:r>
    </w:p>
    <w:p>
      <w:pPr>
        <w:numPr>
          <w:ilvl w:val="0"/>
          <w:numId w:val="66"/>
        </w:numPr>
        <w:bidi w:val="0"/>
        <w:rPr>
          <w:rFonts w:hint="eastAsia"/>
          <w:color w:val="auto"/>
          <w:highlight w:val="none"/>
          <w:lang w:eastAsia="zh-CN"/>
        </w:rPr>
      </w:pPr>
      <w:r>
        <w:rPr>
          <w:rFonts w:hint="eastAsia"/>
          <w:color w:val="auto"/>
          <w:highlight w:val="none"/>
          <w:lang w:eastAsia="zh-CN"/>
        </w:rPr>
        <w:t>机喷砂浆：当施工中断时间大于15分钟或在喷涂工作结束后，应认真清洗混料泵、输送管、喷枪等工具。</w:t>
      </w:r>
    </w:p>
    <w:p>
      <w:pPr>
        <w:numPr>
          <w:ilvl w:val="0"/>
          <w:numId w:val="66"/>
        </w:numPr>
        <w:bidi w:val="0"/>
        <w:rPr>
          <w:rFonts w:hint="eastAsia"/>
          <w:color w:val="auto"/>
          <w:highlight w:val="none"/>
          <w:lang w:eastAsia="zh-CN"/>
        </w:rPr>
      </w:pPr>
      <w:r>
        <w:rPr>
          <w:rFonts w:hint="eastAsia"/>
          <w:color w:val="auto"/>
          <w:highlight w:val="none"/>
          <w:lang w:eastAsia="zh-CN"/>
        </w:rPr>
        <w:t>表面压光应在终凝前进行，用手指压表面不出现明显压痕时为宜。可洒水湿润，并用找平刮刀继续找平。</w:t>
      </w:r>
    </w:p>
    <w:p>
      <w:pPr>
        <w:numPr>
          <w:ilvl w:val="0"/>
          <w:numId w:val="66"/>
        </w:numPr>
        <w:bidi w:val="0"/>
        <w:rPr>
          <w:color w:val="auto"/>
          <w:highlight w:val="none"/>
        </w:rPr>
      </w:pPr>
      <w:r>
        <w:rPr>
          <w:rFonts w:hint="eastAsia"/>
          <w:color w:val="auto"/>
          <w:highlight w:val="none"/>
          <w:lang w:eastAsia="zh-CN"/>
        </w:rPr>
        <w:t>抹灰完成后，室内宜通风排湿严禁明水浸湿已抹灰墙面。</w:t>
      </w:r>
    </w:p>
    <w:p>
      <w:pPr>
        <w:pStyle w:val="5"/>
        <w:bidi w:val="0"/>
        <w:rPr>
          <w:color w:val="auto"/>
          <w:highlight w:val="none"/>
        </w:rPr>
      </w:pPr>
      <w:r>
        <w:rPr>
          <w:rFonts w:hint="eastAsia"/>
          <w:color w:val="auto"/>
          <w:highlight w:val="none"/>
        </w:rPr>
        <w:t xml:space="preserve"> 石膏砂浆抹灰</w:t>
      </w:r>
    </w:p>
    <w:p>
      <w:pPr>
        <w:pStyle w:val="6"/>
        <w:bidi w:val="0"/>
        <w:rPr>
          <w:color w:val="auto"/>
          <w:highlight w:val="none"/>
        </w:rPr>
      </w:pPr>
      <w:r>
        <w:rPr>
          <w:rFonts w:hint="eastAsia"/>
          <w:color w:val="auto"/>
          <w:highlight w:val="none"/>
        </w:rPr>
        <w:t>适用范围</w:t>
      </w:r>
    </w:p>
    <w:p>
      <w:pPr>
        <w:bidi w:val="0"/>
        <w:rPr>
          <w:color w:val="auto"/>
          <w:highlight w:val="none"/>
        </w:rPr>
      </w:pPr>
      <w:r>
        <w:rPr>
          <w:rFonts w:hint="eastAsia"/>
          <w:color w:val="auto"/>
          <w:highlight w:val="none"/>
        </w:rPr>
        <w:t>适用于建筑内墙抹灰为主的石膏粉刷砂浆抹灰工程。地下室、厨房、卫生间等湿度较大房间不得使用石膏砂浆抹灰。</w:t>
      </w:r>
    </w:p>
    <w:p>
      <w:pPr>
        <w:pStyle w:val="6"/>
        <w:bidi w:val="0"/>
        <w:rPr>
          <w:color w:val="auto"/>
          <w:highlight w:val="none"/>
        </w:rPr>
      </w:pPr>
      <w:r>
        <w:rPr>
          <w:rFonts w:hint="eastAsia"/>
          <w:color w:val="auto"/>
          <w:highlight w:val="none"/>
        </w:rPr>
        <w:t>质量标准</w:t>
      </w:r>
    </w:p>
    <w:p>
      <w:pPr>
        <w:numPr>
          <w:ilvl w:val="1"/>
          <w:numId w:val="67"/>
        </w:numPr>
        <w:bidi w:val="0"/>
        <w:rPr>
          <w:rFonts w:hint="eastAsia"/>
          <w:color w:val="auto"/>
          <w:highlight w:val="none"/>
          <w:lang w:eastAsia="zh-CN"/>
        </w:rPr>
      </w:pPr>
      <w:r>
        <w:rPr>
          <w:rFonts w:hint="eastAsia"/>
          <w:color w:val="auto"/>
          <w:highlight w:val="none"/>
          <w:lang w:eastAsia="zh-CN"/>
        </w:rPr>
        <w:t>抹灰表面应光滑、洁净、接槎平整、颜色均匀，无抹纹。</w:t>
      </w:r>
    </w:p>
    <w:p>
      <w:pPr>
        <w:numPr>
          <w:ilvl w:val="1"/>
          <w:numId w:val="67"/>
        </w:numPr>
        <w:bidi w:val="0"/>
        <w:rPr>
          <w:rFonts w:hint="eastAsia"/>
          <w:color w:val="auto"/>
          <w:highlight w:val="none"/>
          <w:lang w:eastAsia="zh-CN"/>
        </w:rPr>
      </w:pPr>
      <w:r>
        <w:rPr>
          <w:rFonts w:hint="eastAsia"/>
          <w:color w:val="auto"/>
          <w:highlight w:val="none"/>
          <w:lang w:eastAsia="zh-CN"/>
        </w:rPr>
        <w:t>抹灰层的总厚度应符合设计要求。</w:t>
      </w:r>
    </w:p>
    <w:p>
      <w:pPr>
        <w:pStyle w:val="6"/>
        <w:bidi w:val="0"/>
        <w:rPr>
          <w:color w:val="auto"/>
          <w:highlight w:val="none"/>
        </w:rPr>
      </w:pPr>
      <w:r>
        <w:rPr>
          <w:rFonts w:hint="eastAsia"/>
          <w:color w:val="auto"/>
          <w:highlight w:val="none"/>
        </w:rPr>
        <w:t>材料要求</w:t>
      </w:r>
    </w:p>
    <w:p>
      <w:pPr>
        <w:numPr>
          <w:ilvl w:val="1"/>
          <w:numId w:val="68"/>
        </w:numPr>
        <w:bidi w:val="0"/>
        <w:rPr>
          <w:rFonts w:hint="eastAsia"/>
          <w:color w:val="auto"/>
          <w:highlight w:val="none"/>
          <w:lang w:eastAsia="zh-CN"/>
        </w:rPr>
      </w:pPr>
      <w:r>
        <w:rPr>
          <w:rFonts w:hint="eastAsia"/>
          <w:color w:val="auto"/>
          <w:highlight w:val="none"/>
          <w:lang w:eastAsia="zh-CN"/>
        </w:rPr>
        <w:t>粉刷石膏各项性能（包括初凝时间、终凝时间、抗折强度、抗压强度、拉伸粘结强度、体积密度、保水率）满足JC/T517《粉刷石膏》要求。耐碱型网格布性能（包括单位面积质量、耐碱拉伸断裂强力、耐碱拉伸断裂强力保留率、断裂应变）应符合相应技术指标。</w:t>
      </w:r>
    </w:p>
    <w:p>
      <w:pPr>
        <w:numPr>
          <w:ilvl w:val="1"/>
          <w:numId w:val="68"/>
        </w:numPr>
        <w:bidi w:val="0"/>
        <w:rPr>
          <w:rFonts w:hint="eastAsia"/>
          <w:color w:val="auto"/>
          <w:highlight w:val="none"/>
          <w:lang w:eastAsia="zh-CN"/>
        </w:rPr>
      </w:pPr>
      <w:r>
        <w:rPr>
          <w:rFonts w:hint="eastAsia"/>
          <w:color w:val="auto"/>
          <w:highlight w:val="none"/>
          <w:lang w:eastAsia="zh-CN"/>
        </w:rPr>
        <w:t>袋装石膏粉刷砂浆的保质期为6个月，散装石膏粉刷砂浆必须在专用封闭式筒仓内储存，保质期为3个月。严禁使用过期的和受潮结块的石膏粉刷砂浆。在施工现场存储时应采取防雨防潮措施。</w:t>
      </w:r>
    </w:p>
    <w:p>
      <w:pPr>
        <w:numPr>
          <w:ilvl w:val="1"/>
          <w:numId w:val="68"/>
        </w:numPr>
        <w:bidi w:val="0"/>
        <w:rPr>
          <w:rFonts w:hint="eastAsia"/>
          <w:color w:val="auto"/>
          <w:highlight w:val="none"/>
          <w:lang w:eastAsia="zh-CN"/>
        </w:rPr>
      </w:pPr>
      <w:r>
        <w:rPr>
          <w:rFonts w:hint="eastAsia"/>
          <w:color w:val="auto"/>
          <w:highlight w:val="none"/>
          <w:lang w:eastAsia="zh-CN"/>
        </w:rPr>
        <w:t>钢丝网，宽度为每边100mm，镀锌钢丝网实测眼目规格为不大于10×10mm，实测钢丝直径为不小于0.7mm，使用钢钉挂网，钢钉固定间距不大于250mm。耐碱玻璃纤维网规格10×10mm。</w:t>
      </w:r>
    </w:p>
    <w:p>
      <w:pPr>
        <w:pStyle w:val="4"/>
        <w:bidi w:val="0"/>
        <w:rPr>
          <w:color w:val="auto"/>
          <w:highlight w:val="none"/>
        </w:rPr>
      </w:pPr>
      <w:r>
        <w:rPr>
          <w:rFonts w:hint="eastAsia"/>
          <w:color w:val="auto"/>
          <w:highlight w:val="none"/>
        </w:rPr>
        <w:t xml:space="preserve"> 地面工程</w:t>
      </w:r>
    </w:p>
    <w:p>
      <w:pPr>
        <w:pStyle w:val="5"/>
        <w:bidi w:val="0"/>
        <w:rPr>
          <w:color w:val="auto"/>
          <w:highlight w:val="none"/>
        </w:rPr>
      </w:pPr>
      <w:r>
        <w:rPr>
          <w:rFonts w:hint="eastAsia"/>
          <w:color w:val="auto"/>
          <w:highlight w:val="none"/>
        </w:rPr>
        <w:t>需按照地面实际情况设置分隔条，分隔条方案需报监理人/发包人审批。</w:t>
      </w:r>
    </w:p>
    <w:p>
      <w:pPr>
        <w:pStyle w:val="5"/>
        <w:bidi w:val="0"/>
        <w:rPr>
          <w:color w:val="auto"/>
          <w:highlight w:val="none"/>
        </w:rPr>
      </w:pPr>
      <w:r>
        <w:rPr>
          <w:rFonts w:hint="eastAsia"/>
          <w:color w:val="auto"/>
          <w:highlight w:val="none"/>
        </w:rPr>
        <w:t>地面施工后覆盖塑料薄膜，避免地面产生龟裂，并进行不少于7天的养护。覆膜</w:t>
      </w:r>
      <w:r>
        <w:rPr>
          <w:color w:val="auto"/>
          <w:highlight w:val="none"/>
        </w:rPr>
        <w:t>保护可直至移交精装或竣工。</w:t>
      </w:r>
    </w:p>
    <w:p>
      <w:pPr>
        <w:pStyle w:val="5"/>
        <w:bidi w:val="0"/>
        <w:rPr>
          <w:color w:val="auto"/>
          <w:highlight w:val="none"/>
        </w:rPr>
      </w:pPr>
      <w:r>
        <w:rPr>
          <w:rFonts w:hint="eastAsia"/>
          <w:color w:val="auto"/>
          <w:highlight w:val="none"/>
        </w:rPr>
        <w:t>地坪表面平整，颜色一致，清洁干净，无污染，无开裂空鼓，表面无麻面，不起砂。</w:t>
      </w:r>
    </w:p>
    <w:p>
      <w:pPr>
        <w:pStyle w:val="5"/>
        <w:bidi w:val="0"/>
        <w:rPr>
          <w:color w:val="auto"/>
          <w:highlight w:val="none"/>
        </w:rPr>
      </w:pPr>
      <w:r>
        <w:rPr>
          <w:rFonts w:hint="eastAsia"/>
          <w:color w:val="auto"/>
          <w:highlight w:val="none"/>
        </w:rPr>
        <w:t xml:space="preserve"> 地坪平整度允许偏差满足规范要求。踢脚线平整顺直，高度一致，无空鼓开裂，与墙面结合牢固，上下平整，分色清楚。</w:t>
      </w:r>
    </w:p>
    <w:p>
      <w:pPr>
        <w:pStyle w:val="4"/>
        <w:bidi w:val="0"/>
        <w:rPr>
          <w:color w:val="auto"/>
          <w:highlight w:val="none"/>
        </w:rPr>
      </w:pPr>
      <w:r>
        <w:rPr>
          <w:rFonts w:hint="eastAsia"/>
          <w:color w:val="auto"/>
          <w:highlight w:val="none"/>
        </w:rPr>
        <w:t>窗台、阳台</w:t>
      </w:r>
    </w:p>
    <w:p>
      <w:pPr>
        <w:pStyle w:val="5"/>
        <w:bidi w:val="0"/>
        <w:rPr>
          <w:color w:val="auto"/>
          <w:highlight w:val="none"/>
        </w:rPr>
      </w:pPr>
      <w:r>
        <w:rPr>
          <w:rFonts w:hint="eastAsia"/>
          <w:color w:val="auto"/>
          <w:highlight w:val="none"/>
        </w:rPr>
        <w:t>窗台横平竖直，楞角线条清晰；窗台泛水排水坡度不小于</w:t>
      </w:r>
      <w:r>
        <w:rPr>
          <w:color w:val="auto"/>
          <w:highlight w:val="none"/>
        </w:rPr>
        <w:t>6</w:t>
      </w:r>
      <w:r>
        <w:rPr>
          <w:rFonts w:hint="eastAsia"/>
          <w:color w:val="auto"/>
          <w:highlight w:val="none"/>
        </w:rPr>
        <w:t>%；窗台滴水槽顺直，</w:t>
      </w:r>
      <w:r>
        <w:rPr>
          <w:color w:val="auto"/>
          <w:highlight w:val="none"/>
        </w:rPr>
        <w:t>两</w:t>
      </w:r>
      <w:r>
        <w:rPr>
          <w:rFonts w:hint="eastAsia"/>
          <w:color w:val="auto"/>
          <w:highlight w:val="none"/>
        </w:rPr>
        <w:t>边粉刷相等，整齐一致。</w:t>
      </w:r>
    </w:p>
    <w:p>
      <w:pPr>
        <w:pStyle w:val="5"/>
        <w:bidi w:val="0"/>
        <w:rPr>
          <w:color w:val="auto"/>
          <w:highlight w:val="none"/>
        </w:rPr>
      </w:pPr>
      <w:r>
        <w:rPr>
          <w:rFonts w:hint="eastAsia"/>
          <w:color w:val="auto"/>
          <w:highlight w:val="none"/>
        </w:rPr>
        <w:t>阳台粉刷曲线和顺，阴阳角清晰明快，挂落线厚度、宽度一致，细砂批嵌均匀，纹路顺直；涂料均匀，无色差，无起皱脱皮。上下阳台进出一致，梁底水平无翘曲，上口压顶找坡方向正确。</w:t>
      </w:r>
    </w:p>
    <w:p>
      <w:pPr>
        <w:pStyle w:val="5"/>
        <w:bidi w:val="0"/>
        <w:rPr>
          <w:color w:val="auto"/>
          <w:highlight w:val="none"/>
        </w:rPr>
      </w:pPr>
      <w:r>
        <w:rPr>
          <w:rFonts w:hint="eastAsia"/>
          <w:color w:val="auto"/>
          <w:highlight w:val="none"/>
        </w:rPr>
        <w:t>阳台栏杆表面无明显划痕、无凹损和明显色差，栏杆整齐一致，位置正确，横平竖直。</w:t>
      </w:r>
    </w:p>
    <w:p>
      <w:pPr>
        <w:pStyle w:val="5"/>
        <w:bidi w:val="0"/>
        <w:rPr>
          <w:color w:val="auto"/>
          <w:highlight w:val="none"/>
        </w:rPr>
      </w:pPr>
      <w:r>
        <w:rPr>
          <w:rFonts w:hint="eastAsia"/>
          <w:color w:val="auto"/>
          <w:highlight w:val="none"/>
        </w:rPr>
        <w:t>阳台应严格按图纸放坡，不倒泛水，无积水，无渗漏。</w:t>
      </w:r>
    </w:p>
    <w:p>
      <w:pPr>
        <w:pStyle w:val="4"/>
        <w:bidi w:val="0"/>
        <w:rPr>
          <w:color w:val="auto"/>
          <w:highlight w:val="none"/>
        </w:rPr>
      </w:pPr>
      <w:r>
        <w:rPr>
          <w:rFonts w:hint="eastAsia"/>
          <w:color w:val="auto"/>
          <w:highlight w:val="none"/>
        </w:rPr>
        <w:t xml:space="preserve"> 卫生间</w:t>
      </w:r>
    </w:p>
    <w:p>
      <w:pPr>
        <w:pStyle w:val="5"/>
        <w:bidi w:val="0"/>
        <w:rPr>
          <w:color w:val="auto"/>
          <w:highlight w:val="none"/>
        </w:rPr>
      </w:pPr>
      <w:r>
        <w:rPr>
          <w:rFonts w:hint="eastAsia"/>
          <w:color w:val="auto"/>
          <w:highlight w:val="none"/>
        </w:rPr>
        <w:t>墙面细砂批嵌粗细一致，平整清洁，纹路上下顺直，无裂缝，不起壳，地坪平整。</w:t>
      </w:r>
    </w:p>
    <w:p>
      <w:pPr>
        <w:pStyle w:val="5"/>
        <w:bidi w:val="0"/>
        <w:rPr>
          <w:color w:val="auto"/>
          <w:highlight w:val="none"/>
        </w:rPr>
      </w:pPr>
      <w:r>
        <w:rPr>
          <w:rFonts w:hint="eastAsia"/>
          <w:color w:val="auto"/>
          <w:highlight w:val="none"/>
        </w:rPr>
        <w:t>卫生间地面24小时闭水试验，达到不渗不漏，地面按设计要求向地漏处找坡。</w:t>
      </w:r>
    </w:p>
    <w:p>
      <w:pPr>
        <w:pStyle w:val="4"/>
        <w:bidi w:val="0"/>
        <w:rPr>
          <w:color w:val="auto"/>
          <w:highlight w:val="none"/>
        </w:rPr>
      </w:pPr>
      <w:r>
        <w:rPr>
          <w:rFonts w:hint="eastAsia"/>
          <w:color w:val="auto"/>
          <w:highlight w:val="none"/>
        </w:rPr>
        <w:t xml:space="preserve"> 厨房排烟</w:t>
      </w:r>
      <w:r>
        <w:rPr>
          <w:color w:val="auto"/>
          <w:highlight w:val="none"/>
        </w:rPr>
        <w:t>道</w:t>
      </w:r>
    </w:p>
    <w:p>
      <w:pPr>
        <w:pStyle w:val="5"/>
        <w:bidi w:val="0"/>
        <w:rPr>
          <w:color w:val="auto"/>
          <w:highlight w:val="none"/>
        </w:rPr>
      </w:pPr>
      <w:r>
        <w:rPr>
          <w:rFonts w:hint="eastAsia"/>
          <w:color w:val="auto"/>
          <w:highlight w:val="none"/>
        </w:rPr>
        <w:t>成品排烟道在楼层处</w:t>
      </w:r>
      <w:r>
        <w:rPr>
          <w:color w:val="auto"/>
          <w:highlight w:val="none"/>
        </w:rPr>
        <w:t>采用</w:t>
      </w:r>
      <w:r>
        <w:rPr>
          <w:rFonts w:hint="eastAsia"/>
          <w:color w:val="auto"/>
          <w:highlight w:val="none"/>
        </w:rPr>
        <w:t>2根</w:t>
      </w:r>
      <w:r>
        <w:rPr>
          <w:color w:val="auto"/>
          <w:highlight w:val="none"/>
        </w:rPr>
        <w:t>直径</w:t>
      </w:r>
      <w:r>
        <w:rPr>
          <w:rFonts w:hint="eastAsia"/>
          <w:color w:val="auto"/>
          <w:highlight w:val="none"/>
        </w:rPr>
        <w:t>12</w:t>
      </w:r>
      <w:r>
        <w:rPr>
          <w:color w:val="auto"/>
          <w:highlight w:val="none"/>
        </w:rPr>
        <w:t>钢筋</w:t>
      </w:r>
      <w:r>
        <w:rPr>
          <w:rFonts w:hint="eastAsia"/>
          <w:color w:val="auto"/>
          <w:highlight w:val="none"/>
        </w:rPr>
        <w:t>每</w:t>
      </w:r>
      <w:r>
        <w:rPr>
          <w:color w:val="auto"/>
          <w:highlight w:val="none"/>
        </w:rPr>
        <w:t>三层</w:t>
      </w:r>
      <w:r>
        <w:rPr>
          <w:rFonts w:hint="eastAsia"/>
          <w:color w:val="auto"/>
          <w:highlight w:val="none"/>
        </w:rPr>
        <w:t>承</w:t>
      </w:r>
      <w:r>
        <w:rPr>
          <w:color w:val="auto"/>
          <w:highlight w:val="none"/>
        </w:rPr>
        <w:t>托</w:t>
      </w:r>
      <w:r>
        <w:rPr>
          <w:rFonts w:hint="eastAsia"/>
          <w:color w:val="auto"/>
          <w:highlight w:val="none"/>
        </w:rPr>
        <w:t>一</w:t>
      </w:r>
      <w:r>
        <w:rPr>
          <w:color w:val="auto"/>
          <w:highlight w:val="none"/>
        </w:rPr>
        <w:t>次</w:t>
      </w:r>
      <w:r>
        <w:rPr>
          <w:rFonts w:hint="eastAsia"/>
          <w:color w:val="auto"/>
          <w:highlight w:val="none"/>
        </w:rPr>
        <w:t>，烟</w:t>
      </w:r>
      <w:r>
        <w:rPr>
          <w:color w:val="auto"/>
          <w:highlight w:val="none"/>
        </w:rPr>
        <w:t>道外壁</w:t>
      </w:r>
      <w:r>
        <w:rPr>
          <w:rFonts w:hint="eastAsia"/>
          <w:color w:val="auto"/>
          <w:highlight w:val="none"/>
        </w:rPr>
        <w:t>与</w:t>
      </w:r>
      <w:r>
        <w:rPr>
          <w:color w:val="auto"/>
          <w:highlight w:val="none"/>
        </w:rPr>
        <w:t>楼板</w:t>
      </w:r>
      <w:r>
        <w:rPr>
          <w:rFonts w:hint="eastAsia"/>
          <w:color w:val="auto"/>
          <w:highlight w:val="none"/>
        </w:rPr>
        <w:t>/导墙</w:t>
      </w:r>
      <w:r>
        <w:rPr>
          <w:color w:val="auto"/>
          <w:highlight w:val="none"/>
        </w:rPr>
        <w:t>之间</w:t>
      </w:r>
      <w:r>
        <w:rPr>
          <w:rFonts w:hint="eastAsia"/>
          <w:color w:val="auto"/>
          <w:highlight w:val="none"/>
        </w:rPr>
        <w:t>用C</w:t>
      </w:r>
      <w:r>
        <w:rPr>
          <w:color w:val="auto"/>
          <w:highlight w:val="none"/>
        </w:rPr>
        <w:t>20</w:t>
      </w:r>
      <w:r>
        <w:rPr>
          <w:rFonts w:hint="eastAsia"/>
          <w:color w:val="auto"/>
          <w:highlight w:val="none"/>
        </w:rPr>
        <w:t>细</w:t>
      </w:r>
      <w:r>
        <w:rPr>
          <w:color w:val="auto"/>
          <w:highlight w:val="none"/>
        </w:rPr>
        <w:t>石混凝土封堵填实</w:t>
      </w:r>
      <w:r>
        <w:rPr>
          <w:rFonts w:hint="eastAsia"/>
          <w:color w:val="auto"/>
          <w:highlight w:val="none"/>
        </w:rPr>
        <w:t xml:space="preserve">。 </w:t>
      </w:r>
    </w:p>
    <w:p>
      <w:pPr>
        <w:pStyle w:val="5"/>
        <w:bidi w:val="0"/>
        <w:rPr>
          <w:color w:val="auto"/>
          <w:highlight w:val="none"/>
        </w:rPr>
      </w:pPr>
      <w:r>
        <w:rPr>
          <w:rFonts w:hint="eastAsia"/>
          <w:color w:val="auto"/>
          <w:highlight w:val="none"/>
        </w:rPr>
        <w:t>排烟</w:t>
      </w:r>
      <w:r>
        <w:rPr>
          <w:color w:val="auto"/>
          <w:highlight w:val="none"/>
        </w:rPr>
        <w:t>道出上人</w:t>
      </w:r>
      <w:r>
        <w:rPr>
          <w:rFonts w:hint="eastAsia"/>
          <w:color w:val="auto"/>
          <w:highlight w:val="none"/>
        </w:rPr>
        <w:t>屋</w:t>
      </w:r>
      <w:r>
        <w:rPr>
          <w:color w:val="auto"/>
          <w:highlight w:val="none"/>
        </w:rPr>
        <w:t>面高度不低于</w:t>
      </w:r>
      <w:r>
        <w:rPr>
          <w:rFonts w:hint="eastAsia"/>
          <w:color w:val="auto"/>
          <w:highlight w:val="none"/>
        </w:rPr>
        <w:t>屋</w:t>
      </w:r>
      <w:r>
        <w:rPr>
          <w:color w:val="auto"/>
          <w:highlight w:val="none"/>
        </w:rPr>
        <w:t>面</w:t>
      </w:r>
      <w:r>
        <w:rPr>
          <w:rFonts w:hint="eastAsia"/>
          <w:color w:val="auto"/>
          <w:highlight w:val="none"/>
        </w:rPr>
        <w:t>完成</w:t>
      </w:r>
      <w:r>
        <w:rPr>
          <w:color w:val="auto"/>
          <w:highlight w:val="none"/>
        </w:rPr>
        <w:t>面</w:t>
      </w:r>
      <w:r>
        <w:rPr>
          <w:rFonts w:hint="eastAsia"/>
          <w:color w:val="auto"/>
          <w:highlight w:val="none"/>
        </w:rPr>
        <w:t>2m，顶</w:t>
      </w:r>
      <w:r>
        <w:rPr>
          <w:color w:val="auto"/>
          <w:highlight w:val="none"/>
        </w:rPr>
        <w:t>部应设置成品烟道自带的防雨</w:t>
      </w:r>
      <w:r>
        <w:rPr>
          <w:rFonts w:hint="eastAsia"/>
          <w:color w:val="auto"/>
          <w:highlight w:val="none"/>
        </w:rPr>
        <w:t>、</w:t>
      </w:r>
      <w:r>
        <w:rPr>
          <w:color w:val="auto"/>
          <w:highlight w:val="none"/>
        </w:rPr>
        <w:t>防倒灌风帽</w:t>
      </w:r>
      <w:r>
        <w:rPr>
          <w:rFonts w:hint="eastAsia"/>
          <w:color w:val="auto"/>
          <w:highlight w:val="none"/>
        </w:rPr>
        <w:t>。</w:t>
      </w:r>
    </w:p>
    <w:p>
      <w:pPr>
        <w:pStyle w:val="5"/>
        <w:bidi w:val="0"/>
        <w:rPr>
          <w:color w:val="auto"/>
          <w:highlight w:val="none"/>
        </w:rPr>
      </w:pPr>
      <w:r>
        <w:rPr>
          <w:rFonts w:hint="eastAsia"/>
          <w:color w:val="auto"/>
          <w:highlight w:val="none"/>
        </w:rPr>
        <w:t>出屋面排烟道外壁采用混凝土现浇，</w:t>
      </w:r>
      <w:r>
        <w:rPr>
          <w:color w:val="auto"/>
          <w:highlight w:val="none"/>
        </w:rPr>
        <w:t>防止外</w:t>
      </w:r>
      <w:r>
        <w:rPr>
          <w:rFonts w:hint="eastAsia"/>
          <w:color w:val="auto"/>
          <w:highlight w:val="none"/>
        </w:rPr>
        <w:t>壁开裂。</w:t>
      </w:r>
    </w:p>
    <w:p>
      <w:pPr>
        <w:pStyle w:val="4"/>
        <w:bidi w:val="0"/>
        <w:rPr>
          <w:color w:val="auto"/>
          <w:highlight w:val="none"/>
        </w:rPr>
      </w:pPr>
      <w:r>
        <w:rPr>
          <w:rFonts w:hint="eastAsia"/>
          <w:color w:val="auto"/>
          <w:highlight w:val="none"/>
        </w:rPr>
        <w:t>公共部位粗装修</w:t>
      </w:r>
    </w:p>
    <w:p>
      <w:pPr>
        <w:pStyle w:val="5"/>
        <w:bidi w:val="0"/>
        <w:rPr>
          <w:color w:val="auto"/>
          <w:highlight w:val="none"/>
        </w:rPr>
      </w:pPr>
      <w:r>
        <w:rPr>
          <w:rFonts w:hint="eastAsia"/>
          <w:color w:val="auto"/>
          <w:highlight w:val="none"/>
        </w:rPr>
        <w:t>墙面平整，阴阳角方正顺直清晰。梁表面平整，梁底水平，高度宽度一致，腻子批嵌平整，无腻灰，无波纹，涂料均匀，无色差。</w:t>
      </w:r>
    </w:p>
    <w:p>
      <w:pPr>
        <w:pStyle w:val="5"/>
        <w:bidi w:val="0"/>
        <w:rPr>
          <w:color w:val="auto"/>
          <w:highlight w:val="none"/>
        </w:rPr>
      </w:pPr>
      <w:r>
        <w:rPr>
          <w:rFonts w:hint="eastAsia"/>
          <w:color w:val="auto"/>
          <w:highlight w:val="none"/>
        </w:rPr>
        <w:t>地砖铺贴平整，拼花图案清晰，色泽一致，表面清洁，不起壳，无裂缝，无碎块，掉角，缺楞，砖缝均匀顺直；楼梯踏步尺寸一致，无大小头，斜面一条线。</w:t>
      </w:r>
    </w:p>
    <w:p>
      <w:pPr>
        <w:pStyle w:val="5"/>
        <w:bidi w:val="0"/>
        <w:rPr>
          <w:color w:val="auto"/>
          <w:highlight w:val="none"/>
        </w:rPr>
      </w:pPr>
      <w:r>
        <w:rPr>
          <w:rFonts w:hint="eastAsia"/>
          <w:color w:val="auto"/>
          <w:highlight w:val="none"/>
        </w:rPr>
        <w:t>楼梯挡水线、挂落线、宽厚度一致，表面平整，颜色一致，阴阳角清晰明快不含糊。</w:t>
      </w:r>
    </w:p>
    <w:p>
      <w:pPr>
        <w:pStyle w:val="5"/>
        <w:bidi w:val="0"/>
        <w:rPr>
          <w:color w:val="auto"/>
          <w:highlight w:val="none"/>
        </w:rPr>
      </w:pPr>
      <w:r>
        <w:rPr>
          <w:rFonts w:hint="eastAsia"/>
          <w:color w:val="auto"/>
          <w:highlight w:val="none"/>
        </w:rPr>
        <w:t>楼梯栏杆、扶手：栏杆焊疤处理平整，木扶手拼接牢固，扶手背不弯曲，腻子批嵌密实，油漆表面涂刷后无锈斑、焊渣，毛刺等。</w:t>
      </w:r>
    </w:p>
    <w:p>
      <w:pPr>
        <w:pStyle w:val="3"/>
        <w:bidi w:val="0"/>
        <w:rPr>
          <w:color w:val="auto"/>
          <w:highlight w:val="none"/>
        </w:rPr>
      </w:pPr>
      <w:bookmarkStart w:id="781" w:name="_Toc20046"/>
      <w:bookmarkStart w:id="782" w:name="_Toc422854860"/>
      <w:bookmarkStart w:id="783" w:name="_Toc20164"/>
      <w:bookmarkStart w:id="784" w:name="_Toc169722237"/>
      <w:bookmarkStart w:id="785" w:name="_Toc29756"/>
      <w:bookmarkStart w:id="786" w:name="_Toc32283"/>
      <w:bookmarkStart w:id="787" w:name="_Toc6779"/>
      <w:bookmarkStart w:id="788" w:name="_Toc17697"/>
      <w:bookmarkStart w:id="789" w:name="_Toc964"/>
      <w:bookmarkStart w:id="790" w:name="_Toc13710"/>
      <w:bookmarkStart w:id="791" w:name="_Toc320"/>
      <w:bookmarkStart w:id="792" w:name="_Toc10822"/>
      <w:bookmarkStart w:id="793" w:name="_Toc7951"/>
      <w:r>
        <w:rPr>
          <w:rFonts w:hint="eastAsia"/>
          <w:color w:val="auto"/>
          <w:highlight w:val="none"/>
        </w:rPr>
        <w:t>外墙工程技术要求</w:t>
      </w:r>
      <w:bookmarkEnd w:id="781"/>
      <w:bookmarkEnd w:id="782"/>
      <w:bookmarkEnd w:id="783"/>
      <w:bookmarkEnd w:id="784"/>
      <w:bookmarkEnd w:id="785"/>
      <w:bookmarkEnd w:id="786"/>
      <w:bookmarkEnd w:id="787"/>
      <w:bookmarkEnd w:id="788"/>
      <w:bookmarkEnd w:id="789"/>
      <w:bookmarkEnd w:id="790"/>
      <w:bookmarkEnd w:id="791"/>
      <w:bookmarkEnd w:id="792"/>
      <w:bookmarkEnd w:id="793"/>
    </w:p>
    <w:p>
      <w:pPr>
        <w:pStyle w:val="4"/>
        <w:bidi w:val="0"/>
        <w:rPr>
          <w:color w:val="auto"/>
          <w:highlight w:val="none"/>
        </w:rPr>
      </w:pPr>
      <w:r>
        <w:rPr>
          <w:rFonts w:hint="eastAsia"/>
          <w:color w:val="auto"/>
          <w:highlight w:val="none"/>
        </w:rPr>
        <w:t>外墙面砖饰面返碱率为零，如发现返碱及时用清水清洗，直至不返碱为止。</w:t>
      </w:r>
    </w:p>
    <w:p>
      <w:pPr>
        <w:pStyle w:val="4"/>
        <w:bidi w:val="0"/>
        <w:rPr>
          <w:color w:val="auto"/>
          <w:highlight w:val="none"/>
        </w:rPr>
      </w:pPr>
      <w:r>
        <w:rPr>
          <w:rFonts w:hint="eastAsia"/>
          <w:color w:val="auto"/>
          <w:highlight w:val="none"/>
        </w:rPr>
        <w:t>墙面平整无空鼓开裂，大墙角、阴角挺拔通直，细砂批嵌均匀无接口，表面无明显射影和波纹，阴阳角清晰；涂料均匀，无色差，无接痕，无污染，收头清爽。</w:t>
      </w:r>
    </w:p>
    <w:p>
      <w:pPr>
        <w:pStyle w:val="4"/>
        <w:bidi w:val="0"/>
        <w:rPr>
          <w:color w:val="auto"/>
          <w:highlight w:val="none"/>
        </w:rPr>
      </w:pPr>
      <w:r>
        <w:rPr>
          <w:rFonts w:hint="eastAsia"/>
          <w:color w:val="auto"/>
          <w:highlight w:val="none"/>
        </w:rPr>
        <w:t>空调洞板：空调板挂线施工，上下垂直度≤1cm，宽度一致，洞口尺寸相同，左右上下横平竖直，洞口阴角通直清晰不含糊，洞外阳角方正顺直。</w:t>
      </w:r>
    </w:p>
    <w:p>
      <w:pPr>
        <w:pStyle w:val="4"/>
        <w:bidi w:val="0"/>
        <w:rPr>
          <w:color w:val="auto"/>
          <w:highlight w:val="none"/>
        </w:rPr>
      </w:pPr>
      <w:r>
        <w:rPr>
          <w:rFonts w:hint="eastAsia"/>
          <w:color w:val="auto"/>
          <w:highlight w:val="none"/>
        </w:rPr>
        <w:t>外墙勒脚线和明沟：表面平整，无空鼓开裂，颜色一致无污染，上口水平，厚度相同不弯曲；明沟里、中、外按档次尺寸一致，转弯处和顺，月亮弯形状统一，无积水，排水流畅；伸缩缝宽度一致，不弯曲，油膏饱满，平整均匀无外溢。</w:t>
      </w:r>
    </w:p>
    <w:p>
      <w:pPr>
        <w:pStyle w:val="4"/>
        <w:bidi w:val="0"/>
        <w:rPr>
          <w:color w:val="auto"/>
          <w:highlight w:val="none"/>
        </w:rPr>
      </w:pPr>
      <w:r>
        <w:rPr>
          <w:rFonts w:hint="eastAsia"/>
          <w:color w:val="auto"/>
          <w:highlight w:val="none"/>
        </w:rPr>
        <w:t>外立面预先排版，面砖整砖铺贴，平整度好，色泽均匀，无色差、反碱、污痕；分格线条连续、平直；勾缝密实，宽度及深度均匀一致；拉拔试验合格。</w:t>
      </w:r>
    </w:p>
    <w:p>
      <w:pPr>
        <w:pStyle w:val="4"/>
        <w:bidi w:val="0"/>
        <w:rPr>
          <w:color w:val="auto"/>
          <w:highlight w:val="none"/>
        </w:rPr>
      </w:pPr>
      <w:r>
        <w:rPr>
          <w:rFonts w:hint="eastAsia"/>
          <w:color w:val="auto"/>
          <w:highlight w:val="none"/>
        </w:rPr>
        <w:t>外墙穿墙螺栓洞封堵：使用与相应部位混凝土强度等级相同的微膨胀水泥砂浆填塞</w:t>
      </w:r>
      <w:r>
        <w:rPr>
          <w:rFonts w:hint="eastAsia"/>
          <w:color w:val="auto"/>
          <w:highlight w:val="none"/>
          <w:lang w:val="en-US" w:eastAsia="zh-CN"/>
        </w:rPr>
        <w:t>密实，</w:t>
      </w:r>
      <w:r>
        <w:rPr>
          <w:rFonts w:hint="eastAsia"/>
          <w:color w:val="auto"/>
          <w:highlight w:val="none"/>
        </w:rPr>
        <w:t>填充完成后，在外墙洞口100x100mm范围刮</w:t>
      </w:r>
      <w:r>
        <w:rPr>
          <w:color w:val="auto"/>
          <w:highlight w:val="none"/>
        </w:rPr>
        <w:t>涂</w:t>
      </w:r>
      <w:r>
        <w:rPr>
          <w:rFonts w:hint="eastAsia"/>
          <w:color w:val="auto"/>
          <w:highlight w:val="none"/>
        </w:rPr>
        <w:t>防水材料。</w:t>
      </w:r>
    </w:p>
    <w:p>
      <w:pPr>
        <w:pStyle w:val="3"/>
        <w:bidi w:val="0"/>
        <w:rPr>
          <w:color w:val="auto"/>
          <w:highlight w:val="none"/>
        </w:rPr>
      </w:pPr>
      <w:bookmarkStart w:id="794" w:name="_Toc26233"/>
      <w:bookmarkStart w:id="795" w:name="_Toc28718"/>
      <w:bookmarkStart w:id="796" w:name="_Toc21903"/>
      <w:bookmarkStart w:id="797" w:name="_Toc24084"/>
      <w:bookmarkStart w:id="798" w:name="_Toc7195"/>
      <w:bookmarkStart w:id="799" w:name="_Toc13532"/>
      <w:bookmarkStart w:id="800" w:name="_Toc32269"/>
      <w:bookmarkStart w:id="801" w:name="_Toc3413"/>
      <w:bookmarkStart w:id="802" w:name="_Toc8615"/>
      <w:bookmarkStart w:id="803" w:name="_Toc10545"/>
      <w:bookmarkStart w:id="804" w:name="_Toc23261"/>
      <w:bookmarkStart w:id="805" w:name="_Toc422854861"/>
      <w:bookmarkStart w:id="806" w:name="_Toc169722238"/>
      <w:r>
        <w:rPr>
          <w:rFonts w:hint="eastAsia"/>
          <w:color w:val="auto"/>
          <w:highlight w:val="none"/>
          <w:lang w:val="en-US" w:eastAsia="zh-CN"/>
        </w:rPr>
        <w:t>门窗工程技术要求</w:t>
      </w:r>
      <w:bookmarkEnd w:id="794"/>
      <w:bookmarkEnd w:id="795"/>
      <w:bookmarkEnd w:id="796"/>
      <w:bookmarkEnd w:id="797"/>
      <w:bookmarkEnd w:id="798"/>
      <w:bookmarkEnd w:id="799"/>
      <w:bookmarkEnd w:id="800"/>
      <w:bookmarkEnd w:id="801"/>
      <w:bookmarkEnd w:id="802"/>
      <w:bookmarkEnd w:id="803"/>
      <w:bookmarkEnd w:id="804"/>
    </w:p>
    <w:p>
      <w:pPr>
        <w:bidi w:val="0"/>
        <w:rPr>
          <w:color w:val="auto"/>
          <w:highlight w:val="none"/>
          <w:lang w:eastAsia="zh-CN"/>
        </w:rPr>
      </w:pPr>
      <w:r>
        <w:rPr>
          <w:rFonts w:hint="eastAsia"/>
          <w:color w:val="auto"/>
          <w:highlight w:val="none"/>
          <w:lang w:eastAsia="zh-CN"/>
        </w:rPr>
        <w:t>实行样板先行；门窗必须是在厂家车间生产以成品形式运抵施工现场；门窗预留洞口尺寸符合规范要求；门窗安装的固定方式及填缝符合规范；</w:t>
      </w:r>
    </w:p>
    <w:p>
      <w:pPr>
        <w:pStyle w:val="4"/>
        <w:bidi w:val="0"/>
        <w:rPr>
          <w:color w:val="auto"/>
          <w:highlight w:val="none"/>
          <w:lang w:eastAsia="zh-CN"/>
        </w:rPr>
      </w:pPr>
      <w:r>
        <w:rPr>
          <w:rFonts w:hint="eastAsia"/>
          <w:color w:val="auto"/>
          <w:highlight w:val="none"/>
          <w:lang w:eastAsia="zh-CN"/>
        </w:rPr>
        <w:t xml:space="preserve">门窗工程技术要求 </w:t>
      </w:r>
    </w:p>
    <w:p>
      <w:pPr>
        <w:bidi w:val="0"/>
        <w:rPr>
          <w:color w:val="auto"/>
          <w:highlight w:val="none"/>
          <w:lang w:eastAsia="zh-CN"/>
        </w:rPr>
      </w:pPr>
      <w:r>
        <w:rPr>
          <w:rFonts w:hint="eastAsia"/>
          <w:color w:val="auto"/>
          <w:highlight w:val="none"/>
          <w:lang w:eastAsia="zh-CN"/>
        </w:rPr>
        <w:t xml:space="preserve">（1）技术规范和标准 </w:t>
      </w:r>
    </w:p>
    <w:p>
      <w:pPr>
        <w:bidi w:val="0"/>
        <w:rPr>
          <w:color w:val="auto"/>
          <w:highlight w:val="none"/>
          <w:lang w:eastAsia="zh-CN"/>
        </w:rPr>
      </w:pPr>
      <w:r>
        <w:rPr>
          <w:rFonts w:hint="eastAsia"/>
          <w:color w:val="auto"/>
          <w:highlight w:val="none"/>
          <w:lang w:eastAsia="zh-CN"/>
        </w:rPr>
        <w:t>承包人应严格执行最新的现行国家、行业和地方相关技术规范和标准。若规范和标准内容有互相抵触时，应按较严格的条款执行。</w:t>
      </w:r>
    </w:p>
    <w:p>
      <w:pPr>
        <w:bidi w:val="0"/>
        <w:rPr>
          <w:color w:val="auto"/>
          <w:highlight w:val="none"/>
          <w:lang w:eastAsia="zh-CN"/>
        </w:rPr>
      </w:pPr>
      <w:r>
        <w:rPr>
          <w:rFonts w:hint="eastAsia"/>
          <w:color w:val="auto"/>
          <w:highlight w:val="none"/>
          <w:lang w:eastAsia="zh-CN"/>
        </w:rPr>
        <w:t xml:space="preserve">（2）材料技术要求 </w:t>
      </w:r>
    </w:p>
    <w:p>
      <w:pPr>
        <w:bidi w:val="0"/>
        <w:rPr>
          <w:color w:val="auto"/>
          <w:highlight w:val="none"/>
          <w:lang w:eastAsia="zh-CN"/>
        </w:rPr>
      </w:pPr>
      <w:r>
        <w:rPr>
          <w:rFonts w:hint="eastAsia"/>
          <w:color w:val="auto"/>
          <w:highlight w:val="none"/>
          <w:lang w:eastAsia="zh-CN"/>
        </w:rPr>
        <w:t>总则：所有材料参数物理性能以设计技术要求为准。</w:t>
      </w:r>
    </w:p>
    <w:p>
      <w:pPr>
        <w:bidi w:val="0"/>
        <w:rPr>
          <w:color w:val="auto"/>
          <w:highlight w:val="none"/>
          <w:lang w:eastAsia="zh-CN"/>
        </w:rPr>
      </w:pPr>
      <w:r>
        <w:rPr>
          <w:color w:val="auto"/>
          <w:highlight w:val="none"/>
          <w:lang w:eastAsia="zh-CN"/>
        </w:rPr>
        <w:t>1）</w:t>
      </w:r>
      <w:r>
        <w:rPr>
          <w:rFonts w:hint="eastAsia"/>
          <w:color w:val="auto"/>
          <w:highlight w:val="none"/>
          <w:lang w:eastAsia="zh-CN"/>
        </w:rPr>
        <w:t xml:space="preserve">铝合金型材 </w:t>
      </w:r>
    </w:p>
    <w:p>
      <w:pPr>
        <w:bidi w:val="0"/>
        <w:rPr>
          <w:color w:val="auto"/>
          <w:highlight w:val="none"/>
          <w:lang w:eastAsia="zh-CN"/>
        </w:rPr>
      </w:pPr>
      <w:r>
        <w:rPr>
          <w:rFonts w:hint="eastAsia"/>
          <w:color w:val="auto"/>
          <w:highlight w:val="none"/>
          <w:lang w:eastAsia="zh-CN"/>
        </w:rPr>
        <w:t xml:space="preserve">a.铝合金型材材质物理参数以设计技术要求和设计说明为准。 </w:t>
      </w:r>
    </w:p>
    <w:p>
      <w:pPr>
        <w:bidi w:val="0"/>
        <w:rPr>
          <w:color w:val="auto"/>
          <w:highlight w:val="none"/>
          <w:lang w:eastAsia="zh-CN"/>
        </w:rPr>
      </w:pPr>
      <w:r>
        <w:rPr>
          <w:rFonts w:hint="eastAsia"/>
          <w:color w:val="auto"/>
          <w:highlight w:val="none"/>
          <w:lang w:eastAsia="zh-CN"/>
        </w:rPr>
        <w:t xml:space="preserve">b.表面处理：铝合金型材可视表面以图纸描述为准，技术要求如下： </w:t>
      </w:r>
    </w:p>
    <w:p>
      <w:pPr>
        <w:bidi w:val="0"/>
        <w:rPr>
          <w:color w:val="auto"/>
          <w:highlight w:val="none"/>
          <w:lang w:eastAsia="zh-CN"/>
        </w:rPr>
      </w:pPr>
      <w:r>
        <w:rPr>
          <w:rFonts w:hint="eastAsia"/>
          <w:color w:val="auto"/>
          <w:highlight w:val="none"/>
          <w:lang w:eastAsia="zh-CN"/>
        </w:rPr>
        <w:t xml:space="preserve">b.阳极氧化：阳极氧化表面不应有任何的瑕疵、刮痕、磨损及凹痕。当阳极氧化及其养护完成后，其表面不可呈现任何斑点，污迹或条纹。阳极氧化膜厚度应不低于AA15 级的要求,材料进场时应提供膜厚检测仪进行膜厚检测。 </w:t>
      </w:r>
    </w:p>
    <w:p>
      <w:pPr>
        <w:bidi w:val="0"/>
        <w:rPr>
          <w:color w:val="auto"/>
          <w:highlight w:val="none"/>
          <w:lang w:eastAsia="zh-CN"/>
        </w:rPr>
      </w:pPr>
      <w:r>
        <w:rPr>
          <w:rFonts w:hint="eastAsia"/>
          <w:color w:val="auto"/>
          <w:highlight w:val="none"/>
          <w:lang w:eastAsia="zh-CN"/>
        </w:rPr>
        <w:t>e.氟碳喷涂：氟碳喷涂二涂平均厚度≥30μm，且局部厚度不少于25μm。三涂平均厚度≥40μm，且局部厚度不少于 35μm。氟碳树脂含量不应低于树脂总量的 70%；</w:t>
      </w:r>
    </w:p>
    <w:p>
      <w:pPr>
        <w:bidi w:val="0"/>
        <w:rPr>
          <w:color w:val="auto"/>
          <w:highlight w:val="none"/>
          <w:lang w:eastAsia="zh-CN"/>
        </w:rPr>
      </w:pPr>
      <w:r>
        <w:rPr>
          <w:rFonts w:hint="eastAsia"/>
          <w:color w:val="auto"/>
          <w:highlight w:val="none"/>
          <w:lang w:eastAsia="zh-CN"/>
        </w:rPr>
        <w:t xml:space="preserve">e.粉末喷涂：粉末喷涂一般应用于室内（设计有特殊要求的除外），粉末喷涂涂层厚度应符合局部厚度≥40μm，且＜120μm 的要求。 </w:t>
      </w:r>
    </w:p>
    <w:p>
      <w:pPr>
        <w:bidi w:val="0"/>
        <w:rPr>
          <w:rFonts w:hint="eastAsia"/>
          <w:color w:val="auto"/>
          <w:highlight w:val="none"/>
          <w:lang w:eastAsia="zh-CN"/>
        </w:rPr>
      </w:pPr>
      <w:r>
        <w:rPr>
          <w:rFonts w:hint="eastAsia"/>
          <w:color w:val="auto"/>
          <w:highlight w:val="none"/>
          <w:lang w:eastAsia="zh-CN"/>
        </w:rPr>
        <w:t xml:space="preserve">f.型材壁厚：铝合金型材壁厚以招标图纸描述为准，并符合各地相应地方标准要求。 </w:t>
      </w:r>
    </w:p>
    <w:p>
      <w:pPr>
        <w:bidi w:val="0"/>
        <w:rPr>
          <w:rFonts w:hint="default"/>
          <w:color w:val="auto"/>
          <w:highlight w:val="none"/>
          <w:lang w:val="en-US" w:eastAsia="zh-CN"/>
        </w:rPr>
      </w:pPr>
      <w:r>
        <w:rPr>
          <w:rFonts w:hint="eastAsia"/>
          <w:color w:val="auto"/>
          <w:highlight w:val="none"/>
          <w:lang w:val="en-US" w:eastAsia="zh-CN"/>
        </w:rPr>
        <w:t>以上若设计有明确要求，以设计要求为准。</w:t>
      </w:r>
    </w:p>
    <w:p>
      <w:pPr>
        <w:bidi w:val="0"/>
        <w:rPr>
          <w:color w:val="auto"/>
          <w:highlight w:val="none"/>
          <w:lang w:eastAsia="zh-CN"/>
        </w:rPr>
      </w:pPr>
      <w:r>
        <w:rPr>
          <w:color w:val="auto"/>
          <w:highlight w:val="none"/>
          <w:lang w:eastAsia="zh-CN"/>
        </w:rPr>
        <w:t>2）</w:t>
      </w:r>
      <w:r>
        <w:rPr>
          <w:rFonts w:hint="eastAsia"/>
          <w:color w:val="auto"/>
          <w:highlight w:val="none"/>
          <w:lang w:eastAsia="zh-CN"/>
        </w:rPr>
        <w:t xml:space="preserve">玻璃 </w:t>
      </w:r>
    </w:p>
    <w:p>
      <w:pPr>
        <w:bidi w:val="0"/>
        <w:rPr>
          <w:color w:val="auto"/>
          <w:highlight w:val="none"/>
          <w:lang w:eastAsia="zh-CN"/>
        </w:rPr>
      </w:pPr>
      <w:r>
        <w:rPr>
          <w:rFonts w:hint="eastAsia"/>
          <w:color w:val="auto"/>
          <w:highlight w:val="none"/>
          <w:lang w:eastAsia="zh-CN"/>
        </w:rPr>
        <w:t xml:space="preserve">具体规格及厚度详见招标图纸，玻璃品种、颜色和性能，由发包人根据需要选定。 </w:t>
      </w:r>
    </w:p>
    <w:p>
      <w:pPr>
        <w:bidi w:val="0"/>
        <w:rPr>
          <w:color w:val="auto"/>
          <w:highlight w:val="none"/>
          <w:lang w:eastAsia="zh-CN"/>
        </w:rPr>
      </w:pPr>
      <w:r>
        <w:rPr>
          <w:rFonts w:hint="eastAsia"/>
          <w:color w:val="auto"/>
          <w:highlight w:val="none"/>
          <w:lang w:eastAsia="zh-CN"/>
        </w:rPr>
        <w:t>a.玻璃参数需满足建筑整体节能要求。露点温度满足设计及规范要求。所有玻璃厚度须进行玻璃抗风压计算设计、镶嵌结构设计。对隔声、隔热、保温等要求，应进行验算。要求提供计算书及相关玻璃试验报告。</w:t>
      </w:r>
    </w:p>
    <w:p>
      <w:pPr>
        <w:bidi w:val="0"/>
        <w:rPr>
          <w:color w:val="auto"/>
          <w:highlight w:val="none"/>
          <w:lang w:eastAsia="zh-CN"/>
        </w:rPr>
      </w:pPr>
      <w:r>
        <w:rPr>
          <w:rFonts w:hint="eastAsia"/>
          <w:color w:val="auto"/>
          <w:highlight w:val="none"/>
          <w:lang w:eastAsia="zh-CN"/>
        </w:rPr>
        <w:t xml:space="preserve">b.玻璃不能出现影响到玻璃性能的缺陷。例如：气泡、波浪、污点、刮伤、 裂缝、错误染色、碎屑、杂质等，玻璃应符合如下表技术指标。 </w:t>
      </w:r>
    </w:p>
    <w:p>
      <w:pPr>
        <w:bidi w:val="0"/>
        <w:rPr>
          <w:color w:val="auto"/>
          <w:highlight w:val="none"/>
          <w:lang w:eastAsia="zh-CN"/>
        </w:rPr>
      </w:pPr>
      <w:r>
        <w:rPr>
          <w:rFonts w:hint="eastAsia"/>
          <w:color w:val="auto"/>
          <w:highlight w:val="none"/>
          <w:lang w:eastAsia="zh-CN"/>
        </w:rPr>
        <w:t xml:space="preserve">c.玻璃颜色应该和发包人确认的封样一致。 </w:t>
      </w:r>
    </w:p>
    <w:p>
      <w:pPr>
        <w:bidi w:val="0"/>
        <w:rPr>
          <w:color w:val="auto"/>
          <w:highlight w:val="none"/>
          <w:lang w:eastAsia="zh-CN"/>
        </w:rPr>
      </w:pPr>
      <w:r>
        <w:rPr>
          <w:rFonts w:hint="eastAsia"/>
          <w:color w:val="auto"/>
          <w:highlight w:val="none"/>
          <w:lang w:eastAsia="zh-CN"/>
        </w:rPr>
        <w:t xml:space="preserve">d.所有送到现场的玻璃应该附有制造商的识别标签，钢化玻璃需有3C标签，且不得出厂后添加，所有标签统一在右下角处。 </w:t>
      </w:r>
    </w:p>
    <w:p>
      <w:pPr>
        <w:bidi w:val="0"/>
        <w:rPr>
          <w:color w:val="auto"/>
          <w:highlight w:val="none"/>
          <w:lang w:eastAsia="zh-CN"/>
        </w:rPr>
      </w:pPr>
      <w:r>
        <w:rPr>
          <w:rFonts w:hint="eastAsia"/>
          <w:color w:val="auto"/>
          <w:highlight w:val="none"/>
          <w:lang w:eastAsia="zh-CN"/>
        </w:rPr>
        <w:t xml:space="preserve">e.对玻璃进行详细的热工分析，以确保玻璃受温度影响，不会发生破坏。这项分析应该考虑外墙的遮阳情况，包括外墙的装饰、相邻结构和建筑物投射、内部暗楼等等。承包人应该承担玻璃受到温度影响发生破坏时，对此玻璃进行替换所产生的一切费用。 </w:t>
      </w:r>
    </w:p>
    <w:p>
      <w:pPr>
        <w:bidi w:val="0"/>
        <w:rPr>
          <w:color w:val="auto"/>
          <w:highlight w:val="none"/>
          <w:lang w:eastAsia="zh-CN"/>
        </w:rPr>
      </w:pPr>
      <w:r>
        <w:rPr>
          <w:rFonts w:hint="eastAsia"/>
          <w:color w:val="auto"/>
          <w:highlight w:val="none"/>
          <w:lang w:eastAsia="zh-CN"/>
        </w:rPr>
        <w:t xml:space="preserve">f.夹胶玻璃 </w:t>
      </w:r>
    </w:p>
    <w:p>
      <w:pPr>
        <w:bidi w:val="0"/>
        <w:rPr>
          <w:color w:val="auto"/>
          <w:highlight w:val="none"/>
          <w:lang w:eastAsia="zh-CN"/>
        </w:rPr>
      </w:pPr>
      <w:r>
        <w:rPr>
          <w:rFonts w:hint="eastAsia"/>
          <w:color w:val="auto"/>
          <w:highlight w:val="none"/>
          <w:lang w:eastAsia="zh-CN"/>
        </w:rPr>
        <w:t xml:space="preserve">①夹胶玻璃必须采用干法加工合成 </w:t>
      </w:r>
    </w:p>
    <w:p>
      <w:pPr>
        <w:bidi w:val="0"/>
        <w:rPr>
          <w:color w:val="auto"/>
          <w:highlight w:val="none"/>
          <w:lang w:eastAsia="zh-CN"/>
        </w:rPr>
      </w:pPr>
      <w:r>
        <w:rPr>
          <w:rFonts w:hint="eastAsia"/>
          <w:color w:val="auto"/>
          <w:highlight w:val="none"/>
          <w:lang w:eastAsia="zh-CN"/>
        </w:rPr>
        <w:t xml:space="preserve">②当夹胶玻璃采用 PVB 胶片且有裸露边时，其自由边必须做封边处理。 </w:t>
      </w:r>
    </w:p>
    <w:p>
      <w:pPr>
        <w:bidi w:val="0"/>
        <w:rPr>
          <w:color w:val="auto"/>
          <w:highlight w:val="none"/>
          <w:lang w:eastAsia="zh-CN"/>
        </w:rPr>
      </w:pPr>
      <w:r>
        <w:rPr>
          <w:rFonts w:hint="eastAsia"/>
          <w:color w:val="auto"/>
          <w:highlight w:val="none"/>
          <w:lang w:eastAsia="zh-CN"/>
        </w:rPr>
        <w:t xml:space="preserve">③提供由 PVB 制造商出具的原产地证明及合格加工商证明。 </w:t>
      </w:r>
    </w:p>
    <w:p>
      <w:pPr>
        <w:bidi w:val="0"/>
        <w:rPr>
          <w:color w:val="auto"/>
          <w:highlight w:val="none"/>
          <w:lang w:eastAsia="zh-CN"/>
        </w:rPr>
      </w:pPr>
      <w:r>
        <w:rPr>
          <w:rFonts w:hint="eastAsia"/>
          <w:color w:val="auto"/>
          <w:highlight w:val="none"/>
          <w:lang w:eastAsia="zh-CN"/>
        </w:rPr>
        <w:t xml:space="preserve">④栏杆玻璃：所有外露部位需要精磨边，玻璃面板支承孔边与板边的距离不宜小于 70mm。 </w:t>
      </w:r>
    </w:p>
    <w:p>
      <w:pPr>
        <w:bidi w:val="0"/>
        <w:rPr>
          <w:color w:val="auto"/>
          <w:highlight w:val="none"/>
          <w:lang w:eastAsia="zh-CN"/>
        </w:rPr>
      </w:pPr>
      <w:r>
        <w:rPr>
          <w:rFonts w:hint="eastAsia"/>
          <w:color w:val="auto"/>
          <w:highlight w:val="none"/>
          <w:lang w:eastAsia="zh-CN"/>
        </w:rPr>
        <w:t xml:space="preserve">g.中空玻璃 </w:t>
      </w:r>
    </w:p>
    <w:p>
      <w:pPr>
        <w:bidi w:val="0"/>
        <w:rPr>
          <w:color w:val="auto"/>
          <w:highlight w:val="none"/>
          <w:lang w:eastAsia="zh-CN"/>
        </w:rPr>
      </w:pPr>
      <w:r>
        <w:rPr>
          <w:rFonts w:hint="eastAsia"/>
          <w:color w:val="auto"/>
          <w:highlight w:val="none"/>
          <w:lang w:eastAsia="zh-CN"/>
        </w:rPr>
        <w:t xml:space="preserve">①LOW-E 玻璃在中空组装前，需要将玻璃边缘的镀膜去除，去除范围从边缘至第一道密封，不得与丁基胶接触，以防止水气破坏镀膜。第一道密封胶为丁基胶，连续粘接到玻璃上，胶的最小宽度为 3mm。第二道密封胶为结构密封胶，连续粘接到两片玻璃上，胶应该完全盖住间隔条，且施打连续饱满、表面平整不得有任何间隙，间隔条要求连续折弯。 </w:t>
      </w:r>
    </w:p>
    <w:p>
      <w:pPr>
        <w:bidi w:val="0"/>
        <w:rPr>
          <w:color w:val="auto"/>
          <w:highlight w:val="none"/>
          <w:lang w:eastAsia="zh-CN"/>
        </w:rPr>
      </w:pPr>
      <w:r>
        <w:rPr>
          <w:rFonts w:hint="eastAsia"/>
          <w:color w:val="auto"/>
          <w:highlight w:val="none"/>
          <w:lang w:eastAsia="zh-CN"/>
        </w:rPr>
        <w:t xml:space="preserve">②中空玻璃的单片玻璃厚度相差不宜大于 3mm。 </w:t>
      </w:r>
    </w:p>
    <w:p>
      <w:pPr>
        <w:bidi w:val="0"/>
        <w:rPr>
          <w:color w:val="auto"/>
          <w:highlight w:val="none"/>
          <w:lang w:eastAsia="zh-CN"/>
        </w:rPr>
      </w:pPr>
      <w:r>
        <w:rPr>
          <w:rFonts w:hint="eastAsia"/>
          <w:color w:val="auto"/>
          <w:highlight w:val="none"/>
          <w:lang w:eastAsia="zh-CN"/>
        </w:rPr>
        <w:t>③中空玻璃合片必须采用立式中空玻璃合成流水线生产。</w:t>
      </w:r>
    </w:p>
    <w:p>
      <w:pPr>
        <w:bidi w:val="0"/>
        <w:rPr>
          <w:color w:val="auto"/>
          <w:highlight w:val="none"/>
          <w:lang w:eastAsia="zh-CN"/>
        </w:rPr>
      </w:pPr>
      <w:r>
        <w:rPr>
          <w:rFonts w:hint="eastAsia"/>
          <w:color w:val="auto"/>
          <w:highlight w:val="none"/>
          <w:lang w:eastAsia="zh-CN"/>
        </w:rPr>
        <w:t xml:space="preserve">④弯曲度：防火玻璃的弓形弯曲度不应超过 0.3%，波形弯曲度不应超过 0.2% </w:t>
      </w:r>
    </w:p>
    <w:p>
      <w:pPr>
        <w:bidi w:val="0"/>
        <w:rPr>
          <w:color w:val="auto"/>
          <w:highlight w:val="none"/>
          <w:lang w:eastAsia="zh-CN"/>
        </w:rPr>
      </w:pPr>
      <w:r>
        <w:rPr>
          <w:rFonts w:hint="eastAsia"/>
          <w:color w:val="auto"/>
          <w:highlight w:val="none"/>
          <w:lang w:eastAsia="zh-CN"/>
        </w:rPr>
        <w:t xml:space="preserve">h.所有玻璃均进行磨边和倒棱磨边处理，倒棱宽度不宜小于 1.0mm，玻璃边外露采用精磨边。 </w:t>
      </w:r>
    </w:p>
    <w:p>
      <w:pPr>
        <w:bidi w:val="0"/>
        <w:rPr>
          <w:color w:val="auto"/>
          <w:highlight w:val="none"/>
          <w:lang w:eastAsia="zh-CN"/>
        </w:rPr>
      </w:pPr>
      <w:r>
        <w:rPr>
          <w:rFonts w:hint="eastAsia"/>
          <w:color w:val="auto"/>
          <w:highlight w:val="none"/>
          <w:lang w:eastAsia="zh-CN"/>
        </w:rPr>
        <w:t xml:space="preserve">i.项目开始移交小业主之后 2 年之内玻璃若发生自爆，由承包人负责免费更换，且由此造成的一切经济损失由承包人负责。 </w:t>
      </w:r>
    </w:p>
    <w:p>
      <w:pPr>
        <w:bidi w:val="0"/>
        <w:rPr>
          <w:color w:val="auto"/>
          <w:highlight w:val="none"/>
          <w:lang w:eastAsia="zh-CN"/>
        </w:rPr>
      </w:pPr>
      <w:r>
        <w:rPr>
          <w:rFonts w:hint="eastAsia"/>
          <w:color w:val="auto"/>
          <w:highlight w:val="none"/>
          <w:lang w:eastAsia="zh-CN"/>
        </w:rPr>
        <w:t xml:space="preserve">3）材质：以设计技术要求和设计说明为准。 </w:t>
      </w:r>
    </w:p>
    <w:p>
      <w:pPr>
        <w:bidi w:val="0"/>
        <w:rPr>
          <w:color w:val="auto"/>
          <w:highlight w:val="none"/>
          <w:lang w:eastAsia="zh-CN"/>
        </w:rPr>
      </w:pPr>
      <w:r>
        <w:rPr>
          <w:rFonts w:hint="eastAsia"/>
          <w:color w:val="auto"/>
          <w:highlight w:val="none"/>
          <w:lang w:eastAsia="zh-CN"/>
        </w:rPr>
        <w:t xml:space="preserve">a.非可视位置表面处理：除图纸特殊说明外，所有钢材表面热浸镀锌处理， </w:t>
      </w:r>
    </w:p>
    <w:p>
      <w:pPr>
        <w:bidi w:val="0"/>
        <w:rPr>
          <w:color w:val="auto"/>
          <w:highlight w:val="none"/>
          <w:lang w:eastAsia="zh-CN"/>
        </w:rPr>
      </w:pPr>
      <w:r>
        <w:rPr>
          <w:rFonts w:hint="eastAsia"/>
          <w:color w:val="auto"/>
          <w:highlight w:val="none"/>
          <w:lang w:eastAsia="zh-CN"/>
        </w:rPr>
        <w:t xml:space="preserve">b.钢材厚度≥6 毫米时镀锌层平均厚度不小于 85μm 局部膜厚不小于 70μm；3 毫米≤钢材厚度＜6 毫米时，镀锌层平均厚度不小于 70μm 局部膜厚不小于 55μm。 </w:t>
      </w:r>
    </w:p>
    <w:p>
      <w:pPr>
        <w:bidi w:val="0"/>
        <w:rPr>
          <w:color w:val="auto"/>
          <w:highlight w:val="none"/>
          <w:lang w:eastAsia="zh-CN"/>
        </w:rPr>
      </w:pPr>
      <w:r>
        <w:rPr>
          <w:rFonts w:hint="eastAsia"/>
          <w:color w:val="auto"/>
          <w:highlight w:val="none"/>
          <w:lang w:eastAsia="zh-CN"/>
        </w:rPr>
        <w:t xml:space="preserve">c.可见位置表面处理：常温氟碳三涂表面处理，三涂层结构（富锌底漆、环氧树脂漆、氟碳面漆）,总涂层厚度不小于 150µm 并符合相关标准。所有外露钢材的除锈、防腐做法：喷砂除锈 Sa2.5 级，且需满足设计及规范要 求,无机富锌底漆 2*40μm，环氧云铁中间漆 2*60μm，氟碳面漆 2*30μm，涂层干膜总厚度 260μm，表面处理质保年限不少于 15 年。防腐底漆、封闭漆、中间漆、面漆应相容，漆间附着力好，应采用同一系列的产品进行配套。 </w:t>
      </w:r>
    </w:p>
    <w:p>
      <w:pPr>
        <w:bidi w:val="0"/>
        <w:rPr>
          <w:color w:val="auto"/>
          <w:highlight w:val="none"/>
          <w:lang w:eastAsia="zh-CN"/>
        </w:rPr>
      </w:pPr>
      <w:r>
        <w:rPr>
          <w:rFonts w:hint="eastAsia"/>
          <w:color w:val="auto"/>
          <w:highlight w:val="none"/>
          <w:lang w:eastAsia="zh-CN"/>
        </w:rPr>
        <w:t xml:space="preserve">d.钢结构制作中的管材、板材和型材选用国产优质产品。钢材应选用新材或没有锈痕的钢材。所有钢材应有品质保证资料，并且进行抽样检验，合格后方可使用。 </w:t>
      </w:r>
    </w:p>
    <w:p>
      <w:pPr>
        <w:bidi w:val="0"/>
        <w:rPr>
          <w:color w:val="auto"/>
          <w:highlight w:val="none"/>
          <w:lang w:eastAsia="zh-CN"/>
        </w:rPr>
      </w:pPr>
      <w:r>
        <w:rPr>
          <w:rFonts w:hint="eastAsia"/>
          <w:color w:val="auto"/>
          <w:highlight w:val="none"/>
          <w:lang w:eastAsia="zh-CN"/>
        </w:rPr>
        <w:t xml:space="preserve">f.钢材的连接如采用焊接，节点图中未注明的均采用角焊缝满焊，焊高为型钢壁厚较薄一方的壁厚，采用 E43 焊条，焊缝等级为三级。 </w:t>
      </w:r>
    </w:p>
    <w:p>
      <w:pPr>
        <w:pStyle w:val="4"/>
        <w:bidi w:val="0"/>
        <w:rPr>
          <w:color w:val="auto"/>
          <w:highlight w:val="none"/>
          <w:lang w:eastAsia="zh-CN"/>
        </w:rPr>
      </w:pPr>
      <w:r>
        <w:rPr>
          <w:rFonts w:hint="eastAsia"/>
          <w:color w:val="auto"/>
          <w:highlight w:val="none"/>
          <w:lang w:eastAsia="zh-CN"/>
        </w:rPr>
        <w:t xml:space="preserve">门、窗用五金件 </w:t>
      </w:r>
    </w:p>
    <w:p>
      <w:pPr>
        <w:bidi w:val="0"/>
        <w:rPr>
          <w:color w:val="auto"/>
          <w:highlight w:val="none"/>
          <w:lang w:eastAsia="zh-CN"/>
        </w:rPr>
      </w:pPr>
      <w:r>
        <w:rPr>
          <w:rFonts w:hint="eastAsia"/>
          <w:color w:val="auto"/>
          <w:highlight w:val="none"/>
          <w:lang w:eastAsia="zh-CN"/>
        </w:rPr>
        <w:t xml:space="preserve">（1）共性标准 </w:t>
      </w:r>
    </w:p>
    <w:p>
      <w:pPr>
        <w:bidi w:val="0"/>
        <w:rPr>
          <w:color w:val="auto"/>
          <w:highlight w:val="none"/>
          <w:lang w:eastAsia="zh-CN"/>
        </w:rPr>
      </w:pPr>
      <w:r>
        <w:rPr>
          <w:color w:val="auto"/>
          <w:highlight w:val="none"/>
          <w:lang w:eastAsia="zh-CN"/>
        </w:rPr>
        <w:t>a.</w:t>
      </w:r>
      <w:r>
        <w:rPr>
          <w:rFonts w:hint="eastAsia"/>
          <w:color w:val="auto"/>
          <w:highlight w:val="none"/>
          <w:lang w:eastAsia="zh-CN"/>
        </w:rPr>
        <w:t xml:space="preserve">窗使用的五金件中，涉及不锈钢材质部分均应为 SUS304 或以上的不锈钢材料，所有可见的五金件饰面应与窗框一致（建筑师特殊要求除外）。 </w:t>
      </w:r>
    </w:p>
    <w:p>
      <w:pPr>
        <w:bidi w:val="0"/>
        <w:rPr>
          <w:color w:val="auto"/>
          <w:highlight w:val="none"/>
          <w:lang w:eastAsia="zh-CN"/>
        </w:rPr>
      </w:pPr>
      <w:r>
        <w:rPr>
          <w:color w:val="auto"/>
          <w:highlight w:val="none"/>
          <w:lang w:eastAsia="zh-CN"/>
        </w:rPr>
        <w:t>b.</w:t>
      </w:r>
      <w:r>
        <w:rPr>
          <w:rFonts w:hint="eastAsia"/>
          <w:color w:val="auto"/>
          <w:highlight w:val="none"/>
          <w:lang w:eastAsia="zh-CN"/>
        </w:rPr>
        <w:t xml:space="preserve">涂层色泽均匀一致，不应有气泡、流挂、脱落、堆漆、桔皮等缺陷。 </w:t>
      </w:r>
    </w:p>
    <w:p>
      <w:pPr>
        <w:bidi w:val="0"/>
        <w:rPr>
          <w:color w:val="auto"/>
          <w:highlight w:val="none"/>
          <w:lang w:eastAsia="zh-CN"/>
        </w:rPr>
      </w:pPr>
      <w:r>
        <w:rPr>
          <w:color w:val="auto"/>
          <w:highlight w:val="none"/>
          <w:lang w:eastAsia="zh-CN"/>
        </w:rPr>
        <w:t>c.</w:t>
      </w:r>
      <w:r>
        <w:rPr>
          <w:rFonts w:hint="eastAsia"/>
          <w:color w:val="auto"/>
          <w:highlight w:val="none"/>
          <w:lang w:eastAsia="zh-CN"/>
        </w:rPr>
        <w:t xml:space="preserve">氧化层、镀层表面应均匀，不应有泛黄、露底、烧焦等缺陷。 </w:t>
      </w:r>
    </w:p>
    <w:p>
      <w:pPr>
        <w:bidi w:val="0"/>
        <w:rPr>
          <w:color w:val="auto"/>
          <w:highlight w:val="none"/>
          <w:lang w:eastAsia="zh-CN"/>
        </w:rPr>
      </w:pPr>
      <w:r>
        <w:rPr>
          <w:rFonts w:hint="eastAsia"/>
          <w:color w:val="auto"/>
          <w:highlight w:val="none"/>
          <w:lang w:eastAsia="zh-CN"/>
        </w:rPr>
        <w:t xml:space="preserve">（2）门窗锁系统的技术标准 </w:t>
      </w:r>
    </w:p>
    <w:p>
      <w:pPr>
        <w:bidi w:val="0"/>
        <w:rPr>
          <w:color w:val="auto"/>
          <w:highlight w:val="none"/>
          <w:lang w:eastAsia="zh-CN"/>
        </w:rPr>
      </w:pPr>
      <w:r>
        <w:rPr>
          <w:color w:val="auto"/>
          <w:highlight w:val="none"/>
          <w:lang w:eastAsia="zh-CN"/>
        </w:rPr>
        <w:t>a.</w:t>
      </w:r>
      <w:r>
        <w:rPr>
          <w:rFonts w:hint="eastAsia"/>
          <w:color w:val="auto"/>
          <w:highlight w:val="none"/>
          <w:lang w:eastAsia="zh-CN"/>
        </w:rPr>
        <w:t xml:space="preserve">门窗的锁系统应采用多点锁系统，严禁使用旋压执手。 </w:t>
      </w:r>
    </w:p>
    <w:p>
      <w:pPr>
        <w:bidi w:val="0"/>
        <w:rPr>
          <w:color w:val="auto"/>
          <w:highlight w:val="none"/>
          <w:lang w:eastAsia="zh-CN"/>
        </w:rPr>
      </w:pPr>
      <w:r>
        <w:rPr>
          <w:color w:val="auto"/>
          <w:highlight w:val="none"/>
          <w:lang w:eastAsia="zh-CN"/>
        </w:rPr>
        <w:t>b.</w:t>
      </w:r>
      <w:r>
        <w:rPr>
          <w:rFonts w:hint="eastAsia"/>
          <w:color w:val="auto"/>
          <w:highlight w:val="none"/>
          <w:lang w:eastAsia="zh-CN"/>
        </w:rPr>
        <w:t xml:space="preserve">多点锁：可调式锁座，锌基合金铸件，锁点为不锈钢。 </w:t>
      </w:r>
    </w:p>
    <w:p>
      <w:pPr>
        <w:bidi w:val="0"/>
        <w:rPr>
          <w:color w:val="auto"/>
          <w:highlight w:val="none"/>
          <w:lang w:eastAsia="zh-CN"/>
        </w:rPr>
      </w:pPr>
      <w:r>
        <w:rPr>
          <w:color w:val="auto"/>
          <w:highlight w:val="none"/>
          <w:lang w:eastAsia="zh-CN"/>
        </w:rPr>
        <w:t>c.</w:t>
      </w:r>
      <w:r>
        <w:rPr>
          <w:rFonts w:hint="eastAsia"/>
          <w:color w:val="auto"/>
          <w:highlight w:val="none"/>
          <w:lang w:eastAsia="zh-CN"/>
        </w:rPr>
        <w:t xml:space="preserve">锁点数量不得少于两个，具体数量和位置需要经过结构计算确定。 </w:t>
      </w:r>
    </w:p>
    <w:p>
      <w:pPr>
        <w:bidi w:val="0"/>
        <w:rPr>
          <w:color w:val="auto"/>
          <w:highlight w:val="none"/>
          <w:lang w:eastAsia="zh-CN"/>
        </w:rPr>
      </w:pPr>
      <w:r>
        <w:rPr>
          <w:color w:val="auto"/>
          <w:highlight w:val="none"/>
          <w:lang w:eastAsia="zh-CN"/>
        </w:rPr>
        <w:t>d.</w:t>
      </w:r>
      <w:r>
        <w:rPr>
          <w:rFonts w:hint="eastAsia"/>
          <w:color w:val="auto"/>
          <w:highlight w:val="none"/>
          <w:lang w:eastAsia="zh-CN"/>
        </w:rPr>
        <w:t xml:space="preserve">门窗的锁系统应全部嵌入门或窗框内，位置隐蔽。 </w:t>
      </w:r>
    </w:p>
    <w:p>
      <w:pPr>
        <w:bidi w:val="0"/>
        <w:rPr>
          <w:color w:val="auto"/>
          <w:highlight w:val="none"/>
          <w:lang w:eastAsia="zh-CN"/>
        </w:rPr>
      </w:pPr>
      <w:r>
        <w:rPr>
          <w:color w:val="auto"/>
          <w:highlight w:val="none"/>
          <w:lang w:eastAsia="zh-CN"/>
        </w:rPr>
        <w:t>e.</w:t>
      </w:r>
      <w:r>
        <w:rPr>
          <w:rFonts w:hint="eastAsia"/>
          <w:color w:val="auto"/>
          <w:highlight w:val="none"/>
          <w:lang w:eastAsia="zh-CN"/>
        </w:rPr>
        <w:t xml:space="preserve">执手打开时不得影响门窗向外推拉。 </w:t>
      </w:r>
    </w:p>
    <w:p>
      <w:pPr>
        <w:bidi w:val="0"/>
        <w:rPr>
          <w:color w:val="auto"/>
          <w:highlight w:val="none"/>
          <w:lang w:eastAsia="zh-CN"/>
        </w:rPr>
      </w:pPr>
      <w:r>
        <w:rPr>
          <w:rFonts w:hint="eastAsia"/>
          <w:color w:val="auto"/>
          <w:highlight w:val="none"/>
          <w:lang w:eastAsia="zh-CN"/>
        </w:rPr>
        <w:t xml:space="preserve">（3）铰链及限位器 </w:t>
      </w:r>
    </w:p>
    <w:p>
      <w:pPr>
        <w:bidi w:val="0"/>
        <w:rPr>
          <w:color w:val="auto"/>
          <w:highlight w:val="none"/>
          <w:lang w:eastAsia="zh-CN"/>
        </w:rPr>
      </w:pPr>
      <w:r>
        <w:rPr>
          <w:color w:val="auto"/>
          <w:highlight w:val="none"/>
          <w:lang w:eastAsia="zh-CN"/>
        </w:rPr>
        <w:t>a.</w:t>
      </w:r>
      <w:r>
        <w:rPr>
          <w:rFonts w:hint="eastAsia"/>
          <w:color w:val="auto"/>
          <w:highlight w:val="none"/>
          <w:lang w:eastAsia="zh-CN"/>
        </w:rPr>
        <w:t xml:space="preserve"> 开启窗应可以用手全部打开至开启窗的整个横断面处于全部打开的位置。 </w:t>
      </w:r>
    </w:p>
    <w:p>
      <w:pPr>
        <w:bidi w:val="0"/>
        <w:rPr>
          <w:color w:val="auto"/>
          <w:highlight w:val="none"/>
          <w:lang w:eastAsia="zh-CN"/>
        </w:rPr>
      </w:pPr>
      <w:r>
        <w:rPr>
          <w:color w:val="auto"/>
          <w:highlight w:val="none"/>
          <w:lang w:eastAsia="zh-CN"/>
        </w:rPr>
        <w:t>b.</w:t>
      </w:r>
      <w:r>
        <w:rPr>
          <w:rFonts w:hint="eastAsia"/>
          <w:color w:val="auto"/>
          <w:highlight w:val="none"/>
          <w:lang w:eastAsia="zh-CN"/>
        </w:rPr>
        <w:t xml:space="preserve"> 门窗的铰链应经过挤压和冲压加工而成，铰链应灵活自如，但应确保配合平滑，以防止门窗关上或打开时产生震动。 </w:t>
      </w:r>
    </w:p>
    <w:p>
      <w:pPr>
        <w:bidi w:val="0"/>
        <w:rPr>
          <w:color w:val="auto"/>
          <w:highlight w:val="none"/>
          <w:lang w:eastAsia="zh-CN"/>
        </w:rPr>
      </w:pPr>
      <w:r>
        <w:rPr>
          <w:rFonts w:hint="eastAsia"/>
          <w:color w:val="auto"/>
          <w:highlight w:val="none"/>
          <w:lang w:eastAsia="zh-CN"/>
        </w:rPr>
        <w:t xml:space="preserve">（4）锚固件、紧固件、连接件 </w:t>
      </w:r>
    </w:p>
    <w:p>
      <w:pPr>
        <w:bidi w:val="0"/>
        <w:rPr>
          <w:color w:val="auto"/>
          <w:highlight w:val="none"/>
          <w:lang w:eastAsia="zh-CN"/>
        </w:rPr>
      </w:pPr>
      <w:r>
        <w:rPr>
          <w:rFonts w:hint="eastAsia"/>
          <w:color w:val="auto"/>
          <w:highlight w:val="none"/>
          <w:lang w:eastAsia="zh-CN"/>
        </w:rPr>
        <w:t xml:space="preserve">1）锚固件：采用碳素结构钢或不锈钢制品。 </w:t>
      </w:r>
    </w:p>
    <w:p>
      <w:pPr>
        <w:bidi w:val="0"/>
        <w:rPr>
          <w:color w:val="auto"/>
          <w:highlight w:val="none"/>
          <w:lang w:eastAsia="zh-CN"/>
        </w:rPr>
      </w:pPr>
      <w:r>
        <w:rPr>
          <w:color w:val="auto"/>
          <w:highlight w:val="none"/>
          <w:lang w:eastAsia="zh-CN"/>
        </w:rPr>
        <w:t>2</w:t>
      </w:r>
      <w:r>
        <w:rPr>
          <w:rFonts w:hint="eastAsia"/>
          <w:color w:val="auto"/>
          <w:highlight w:val="none"/>
          <w:lang w:eastAsia="zh-CN"/>
        </w:rPr>
        <w:t xml:space="preserve">）防腐隔离垫片：采用 1mm 橡胶垫片或采用 1mm 聚四氟乙烯。 </w:t>
      </w:r>
    </w:p>
    <w:p>
      <w:pPr>
        <w:bidi w:val="0"/>
        <w:rPr>
          <w:color w:val="auto"/>
          <w:highlight w:val="none"/>
          <w:lang w:eastAsia="zh-CN"/>
        </w:rPr>
      </w:pPr>
      <w:r>
        <w:rPr>
          <w:rFonts w:hint="eastAsia"/>
          <w:color w:val="auto"/>
          <w:highlight w:val="none"/>
          <w:lang w:eastAsia="zh-CN"/>
        </w:rPr>
        <w:t xml:space="preserve">（5）垫块及密封胶条 </w:t>
      </w:r>
    </w:p>
    <w:p>
      <w:pPr>
        <w:bidi w:val="0"/>
        <w:rPr>
          <w:color w:val="auto"/>
          <w:highlight w:val="none"/>
          <w:lang w:eastAsia="zh-CN"/>
        </w:rPr>
      </w:pPr>
      <w:r>
        <w:rPr>
          <w:color w:val="auto"/>
          <w:highlight w:val="none"/>
          <w:lang w:eastAsia="zh-CN"/>
        </w:rPr>
        <w:t>1</w:t>
      </w:r>
      <w:r>
        <w:rPr>
          <w:rFonts w:hint="eastAsia"/>
          <w:color w:val="auto"/>
          <w:highlight w:val="none"/>
          <w:lang w:eastAsia="zh-CN"/>
        </w:rPr>
        <w:t xml:space="preserve">）密封/防水胶条： </w:t>
      </w:r>
    </w:p>
    <w:p>
      <w:pPr>
        <w:bidi w:val="0"/>
        <w:rPr>
          <w:color w:val="auto"/>
          <w:highlight w:val="none"/>
          <w:lang w:eastAsia="zh-CN"/>
        </w:rPr>
      </w:pPr>
      <w:r>
        <w:rPr>
          <w:rFonts w:hint="eastAsia"/>
          <w:color w:val="auto"/>
          <w:highlight w:val="none"/>
          <w:lang w:eastAsia="zh-CN"/>
        </w:rPr>
        <w:t xml:space="preserve">选用优质三元乙丙胶条、氯丁橡胶、硅橡胶。扇与框之间密封胶条宜采用 O 型胶条，并符合现行标准规定。 </w:t>
      </w:r>
    </w:p>
    <w:p>
      <w:pPr>
        <w:bidi w:val="0"/>
        <w:rPr>
          <w:color w:val="auto"/>
          <w:highlight w:val="none"/>
          <w:lang w:eastAsia="zh-CN"/>
        </w:rPr>
      </w:pPr>
      <w:r>
        <w:rPr>
          <w:rFonts w:hint="eastAsia"/>
          <w:color w:val="auto"/>
          <w:highlight w:val="none"/>
          <w:lang w:eastAsia="zh-CN"/>
        </w:rPr>
        <w:t xml:space="preserve">玻璃垫块： </w:t>
      </w:r>
    </w:p>
    <w:p>
      <w:pPr>
        <w:bidi w:val="0"/>
        <w:rPr>
          <w:color w:val="auto"/>
          <w:highlight w:val="none"/>
          <w:lang w:eastAsia="zh-CN"/>
        </w:rPr>
      </w:pPr>
      <w:r>
        <w:rPr>
          <w:rFonts w:hint="eastAsia"/>
          <w:color w:val="auto"/>
          <w:highlight w:val="none"/>
          <w:lang w:eastAsia="zh-CN"/>
        </w:rPr>
        <w:t xml:space="preserve">材质为合成橡胶，邵氏硬度 85±5，颜色为黑色，垫块的邵氏硬度与应用相结合。气密性胶条应该在工厂进行组角。所有胶条、垫块与密封胶的相容性必须经试验证明。 </w:t>
      </w:r>
    </w:p>
    <w:p>
      <w:pPr>
        <w:pStyle w:val="4"/>
        <w:bidi w:val="0"/>
        <w:rPr>
          <w:color w:val="auto"/>
          <w:highlight w:val="none"/>
          <w:lang w:eastAsia="zh-CN"/>
        </w:rPr>
      </w:pPr>
      <w:r>
        <w:rPr>
          <w:rFonts w:hint="eastAsia"/>
          <w:color w:val="auto"/>
          <w:highlight w:val="none"/>
          <w:lang w:eastAsia="zh-CN"/>
        </w:rPr>
        <w:t xml:space="preserve">防雷专项技术要求 </w:t>
      </w:r>
    </w:p>
    <w:p>
      <w:pPr>
        <w:bidi w:val="0"/>
        <w:rPr>
          <w:color w:val="auto"/>
          <w:highlight w:val="none"/>
          <w:lang w:eastAsia="zh-CN"/>
        </w:rPr>
      </w:pPr>
      <w:r>
        <w:rPr>
          <w:color w:val="auto"/>
          <w:highlight w:val="none"/>
          <w:lang w:eastAsia="zh-CN"/>
        </w:rPr>
        <w:t>(1)</w:t>
      </w:r>
      <w:r>
        <w:rPr>
          <w:rFonts w:hint="eastAsia"/>
          <w:color w:val="auto"/>
          <w:highlight w:val="none"/>
          <w:lang w:eastAsia="zh-CN"/>
        </w:rPr>
        <w:t xml:space="preserve">样板先行 </w:t>
      </w:r>
    </w:p>
    <w:p>
      <w:pPr>
        <w:bidi w:val="0"/>
        <w:rPr>
          <w:color w:val="auto"/>
          <w:highlight w:val="none"/>
          <w:lang w:eastAsia="zh-CN"/>
        </w:rPr>
      </w:pPr>
      <w:r>
        <w:rPr>
          <w:rFonts w:hint="eastAsia"/>
          <w:color w:val="auto"/>
          <w:highlight w:val="none"/>
          <w:lang w:eastAsia="zh-CN"/>
        </w:rPr>
        <w:t xml:space="preserve">在大面积外窗施工前，应选择有代表性的外窗、阳台门及栏杆百叶，按照外门窗的防雷深化设计节点，在现场先做样板，经防雷测试合格后，方可大面积施工。 </w:t>
      </w:r>
    </w:p>
    <w:p>
      <w:pPr>
        <w:bidi w:val="0"/>
        <w:rPr>
          <w:color w:val="auto"/>
          <w:highlight w:val="none"/>
          <w:lang w:eastAsia="zh-CN"/>
        </w:rPr>
      </w:pPr>
      <w:r>
        <w:rPr>
          <w:color w:val="auto"/>
          <w:highlight w:val="none"/>
          <w:lang w:eastAsia="zh-CN"/>
        </w:rPr>
        <w:t>(2)</w:t>
      </w:r>
      <w:r>
        <w:rPr>
          <w:rFonts w:hint="eastAsia"/>
          <w:color w:val="auto"/>
          <w:highlight w:val="none"/>
          <w:lang w:eastAsia="zh-CN"/>
        </w:rPr>
        <w:t xml:space="preserve">工艺及技术要求 </w:t>
      </w:r>
    </w:p>
    <w:p>
      <w:pPr>
        <w:bidi w:val="0"/>
        <w:rPr>
          <w:color w:val="auto"/>
          <w:highlight w:val="none"/>
          <w:lang w:eastAsia="zh-CN"/>
        </w:rPr>
      </w:pPr>
      <w:r>
        <w:rPr>
          <w:rFonts w:hint="eastAsia"/>
          <w:color w:val="auto"/>
          <w:highlight w:val="none"/>
          <w:lang w:eastAsia="zh-CN"/>
        </w:rPr>
        <w:t xml:space="preserve">建筑外窗的防雷设置，应符合下列规定： </w:t>
      </w:r>
    </w:p>
    <w:p>
      <w:pPr>
        <w:bidi w:val="0"/>
        <w:rPr>
          <w:color w:val="auto"/>
          <w:highlight w:val="none"/>
          <w:lang w:eastAsia="zh-CN"/>
        </w:rPr>
      </w:pPr>
      <w:r>
        <w:rPr>
          <w:color w:val="auto"/>
          <w:highlight w:val="none"/>
          <w:lang w:eastAsia="zh-CN"/>
        </w:rPr>
        <w:t>1)</w:t>
      </w:r>
      <w:r>
        <w:rPr>
          <w:rFonts w:hint="eastAsia"/>
          <w:color w:val="auto"/>
          <w:highlight w:val="none"/>
          <w:lang w:eastAsia="zh-CN"/>
        </w:rPr>
        <w:t xml:space="preserve">防雷连接导体采用热浸镀锌处理的直径不小于 8mm 圆钢或截面积不小于48mm2 厚度不小于 4mm 的扁钢等截面面积扁钢，也可采用专门铜制防雷带（需设计确定截面要求）。 </w:t>
      </w:r>
    </w:p>
    <w:p>
      <w:pPr>
        <w:bidi w:val="0"/>
        <w:rPr>
          <w:color w:val="auto"/>
          <w:highlight w:val="none"/>
          <w:lang w:eastAsia="zh-CN"/>
        </w:rPr>
      </w:pPr>
      <w:r>
        <w:rPr>
          <w:color w:val="auto"/>
          <w:highlight w:val="none"/>
          <w:lang w:eastAsia="zh-CN"/>
        </w:rPr>
        <w:t>2)</w:t>
      </w:r>
      <w:r>
        <w:rPr>
          <w:rFonts w:hint="eastAsia"/>
          <w:color w:val="auto"/>
          <w:highlight w:val="none"/>
          <w:lang w:eastAsia="zh-CN"/>
        </w:rPr>
        <w:t xml:space="preserve">窗外框与防雷连接件连接处，应先将其非导电的表面处理层除去，再与防雷连接件连接。 </w:t>
      </w:r>
    </w:p>
    <w:p>
      <w:pPr>
        <w:bidi w:val="0"/>
        <w:rPr>
          <w:color w:val="auto"/>
          <w:highlight w:val="none"/>
          <w:lang w:eastAsia="zh-CN"/>
        </w:rPr>
      </w:pPr>
      <w:r>
        <w:rPr>
          <w:color w:val="auto"/>
          <w:highlight w:val="none"/>
          <w:lang w:eastAsia="zh-CN"/>
        </w:rPr>
        <w:t>3)</w:t>
      </w:r>
      <w:r>
        <w:rPr>
          <w:rFonts w:hint="eastAsia"/>
          <w:color w:val="auto"/>
          <w:highlight w:val="none"/>
          <w:lang w:eastAsia="zh-CN"/>
        </w:rPr>
        <w:t xml:space="preserve">连接防雷圆钢或钢带应与主体防雷装置焊接连接，焊接长度不小100mm， </w:t>
      </w:r>
    </w:p>
    <w:p>
      <w:pPr>
        <w:bidi w:val="0"/>
        <w:rPr>
          <w:color w:val="auto"/>
          <w:highlight w:val="none"/>
          <w:lang w:eastAsia="zh-CN"/>
        </w:rPr>
      </w:pPr>
      <w:r>
        <w:rPr>
          <w:rFonts w:hint="eastAsia"/>
          <w:color w:val="auto"/>
          <w:highlight w:val="none"/>
          <w:lang w:eastAsia="zh-CN"/>
        </w:rPr>
        <w:t xml:space="preserve">做防锈处理。 </w:t>
      </w:r>
    </w:p>
    <w:p>
      <w:pPr>
        <w:bidi w:val="0"/>
        <w:rPr>
          <w:color w:val="auto"/>
          <w:highlight w:val="none"/>
          <w:lang w:eastAsia="zh-CN"/>
        </w:rPr>
      </w:pPr>
      <w:r>
        <w:rPr>
          <w:color w:val="auto"/>
          <w:highlight w:val="none"/>
          <w:lang w:eastAsia="zh-CN"/>
        </w:rPr>
        <w:t>4)</w:t>
      </w:r>
      <w:r>
        <w:rPr>
          <w:rFonts w:hint="eastAsia"/>
          <w:color w:val="auto"/>
          <w:highlight w:val="none"/>
          <w:lang w:eastAsia="zh-CN"/>
        </w:rPr>
        <w:t xml:space="preserve">各接地点接地电阻的测试值应符合设计要求，并保证通过当地防雷检测机构的验收。 </w:t>
      </w:r>
    </w:p>
    <w:p>
      <w:pPr>
        <w:pStyle w:val="4"/>
        <w:bidi w:val="0"/>
        <w:rPr>
          <w:color w:val="auto"/>
          <w:highlight w:val="none"/>
          <w:lang w:eastAsia="zh-CN"/>
        </w:rPr>
      </w:pPr>
      <w:r>
        <w:rPr>
          <w:rFonts w:hint="eastAsia"/>
          <w:color w:val="auto"/>
          <w:highlight w:val="none"/>
          <w:lang w:eastAsia="zh-CN"/>
        </w:rPr>
        <w:t>防</w:t>
      </w:r>
      <w:r>
        <w:rPr>
          <w:rFonts w:hint="eastAsia"/>
          <w:color w:val="auto"/>
          <w:highlight w:val="none"/>
          <w:lang w:val="en-US" w:eastAsia="zh-CN"/>
        </w:rPr>
        <w:t>渗漏</w:t>
      </w:r>
      <w:r>
        <w:rPr>
          <w:rFonts w:hint="eastAsia"/>
          <w:color w:val="auto"/>
          <w:highlight w:val="none"/>
          <w:lang w:eastAsia="zh-CN"/>
        </w:rPr>
        <w:t xml:space="preserve">专项技术要求 </w:t>
      </w:r>
    </w:p>
    <w:p>
      <w:pPr>
        <w:bidi w:val="0"/>
        <w:rPr>
          <w:color w:val="auto"/>
          <w:highlight w:val="none"/>
          <w:lang w:eastAsia="zh-CN"/>
        </w:rPr>
      </w:pPr>
      <w:r>
        <w:rPr>
          <w:rFonts w:hint="eastAsia"/>
          <w:color w:val="auto"/>
          <w:highlight w:val="none"/>
          <w:lang w:eastAsia="zh-CN"/>
        </w:rPr>
        <w:t xml:space="preserve">在大面积外窗施工前，应选择有代表性的外窗，按照外窗深化设计节点，在现场先做样板，并进行淋水试验。经淋水试验合格后，方可大面积施工。则应对造成渗漏的设计、施工原因进行深入分析，优化设计节点、施工工艺，避免出现大面积渗漏。 </w:t>
      </w:r>
    </w:p>
    <w:p>
      <w:pPr>
        <w:bidi w:val="0"/>
        <w:rPr>
          <w:color w:val="auto"/>
          <w:highlight w:val="none"/>
          <w:lang w:eastAsia="zh-CN"/>
        </w:rPr>
      </w:pPr>
      <w:r>
        <w:rPr>
          <w:rFonts w:hint="eastAsia"/>
          <w:color w:val="auto"/>
          <w:highlight w:val="none"/>
          <w:lang w:eastAsia="zh-CN"/>
        </w:rPr>
        <w:t xml:space="preserve">淋水要求所有外门窗安装完成后承包人均应做至少两次淋水试验。外门窗淋水试验要求如下： </w:t>
      </w:r>
    </w:p>
    <w:p>
      <w:pPr>
        <w:bidi w:val="0"/>
        <w:rPr>
          <w:color w:val="auto"/>
          <w:highlight w:val="none"/>
          <w:lang w:eastAsia="zh-CN"/>
        </w:rPr>
      </w:pPr>
      <w:r>
        <w:rPr>
          <w:rFonts w:hint="eastAsia"/>
          <w:color w:val="auto"/>
          <w:highlight w:val="none"/>
          <w:lang w:eastAsia="zh-CN"/>
        </w:rPr>
        <w:t>1）第一次淋水试验应在窗框安装完毕，塞缝和防水完成，用水管淋水检查塞缝有无渗漏，如发现渗漏，承包方应及时返工维修。 淋水持续时间不应少于30min。</w:t>
      </w:r>
    </w:p>
    <w:p>
      <w:pPr>
        <w:bidi w:val="0"/>
        <w:rPr>
          <w:color w:val="auto"/>
          <w:highlight w:val="none"/>
          <w:lang w:eastAsia="zh-CN"/>
        </w:rPr>
      </w:pPr>
      <w:r>
        <w:rPr>
          <w:color w:val="auto"/>
          <w:highlight w:val="none"/>
          <w:lang w:eastAsia="zh-CN"/>
        </w:rPr>
        <w:t>2</w:t>
      </w:r>
      <w:r>
        <w:rPr>
          <w:rFonts w:hint="eastAsia"/>
          <w:color w:val="auto"/>
          <w:highlight w:val="none"/>
          <w:lang w:eastAsia="zh-CN"/>
        </w:rPr>
        <w:t xml:space="preserve">）第二次淋水试验应在门窗所有玻璃窗扇安装完成之后，依据规范对窗体进行淋水试验，喷淋时间应持续5min。 </w:t>
      </w:r>
    </w:p>
    <w:p>
      <w:pPr>
        <w:pStyle w:val="4"/>
        <w:bidi w:val="0"/>
        <w:rPr>
          <w:color w:val="auto"/>
          <w:highlight w:val="none"/>
          <w:lang w:eastAsia="zh-CN"/>
        </w:rPr>
      </w:pPr>
      <w:r>
        <w:rPr>
          <w:rFonts w:hint="eastAsia"/>
          <w:color w:val="auto"/>
          <w:highlight w:val="none"/>
          <w:lang w:eastAsia="zh-CN"/>
        </w:rPr>
        <w:t xml:space="preserve">门窗制作技术要求 </w:t>
      </w:r>
    </w:p>
    <w:p>
      <w:pPr>
        <w:bidi w:val="0"/>
        <w:rPr>
          <w:color w:val="auto"/>
          <w:highlight w:val="none"/>
          <w:lang w:eastAsia="zh-CN"/>
        </w:rPr>
      </w:pPr>
      <w:r>
        <w:rPr>
          <w:rFonts w:hint="eastAsia"/>
          <w:color w:val="auto"/>
          <w:highlight w:val="none"/>
          <w:lang w:eastAsia="zh-CN"/>
        </w:rPr>
        <w:t xml:space="preserve">总则：所有门窗构件在加工制作前，应对照建筑、结构施工图及现场实物进行核对，并对现有洞口、埋件进行精心测量，调整偏差。加工质量必须符合现行质量验收规范，观感质量良好，办理检验批验收。 </w:t>
      </w:r>
    </w:p>
    <w:p>
      <w:pPr>
        <w:bidi w:val="0"/>
        <w:rPr>
          <w:color w:val="auto"/>
          <w:highlight w:val="none"/>
          <w:lang w:eastAsia="zh-CN"/>
        </w:rPr>
      </w:pPr>
      <w:r>
        <w:rPr>
          <w:rFonts w:hint="eastAsia"/>
          <w:color w:val="auto"/>
          <w:highlight w:val="none"/>
          <w:lang w:eastAsia="zh-CN"/>
        </w:rPr>
        <w:t>（1）铝合金门窗加工</w:t>
      </w:r>
    </w:p>
    <w:p>
      <w:pPr>
        <w:bidi w:val="0"/>
        <w:rPr>
          <w:color w:val="auto"/>
          <w:highlight w:val="none"/>
          <w:lang w:eastAsia="zh-CN"/>
        </w:rPr>
      </w:pPr>
      <w:r>
        <w:rPr>
          <w:color w:val="auto"/>
          <w:highlight w:val="none"/>
          <w:lang w:eastAsia="zh-CN"/>
        </w:rPr>
        <w:t>1)</w:t>
      </w:r>
      <w:r>
        <w:rPr>
          <w:rFonts w:hint="eastAsia"/>
          <w:color w:val="auto"/>
          <w:highlight w:val="none"/>
          <w:lang w:eastAsia="zh-CN"/>
        </w:rPr>
        <w:t xml:space="preserve"> 门窗应根据现场洞口实测实量尺寸统一进行调整后再加工制作，不得照搬 建筑图纸上的尺寸。 </w:t>
      </w:r>
    </w:p>
    <w:p>
      <w:pPr>
        <w:bidi w:val="0"/>
        <w:rPr>
          <w:color w:val="auto"/>
          <w:highlight w:val="none"/>
          <w:lang w:eastAsia="zh-CN"/>
        </w:rPr>
      </w:pPr>
      <w:r>
        <w:rPr>
          <w:color w:val="auto"/>
          <w:highlight w:val="none"/>
          <w:lang w:eastAsia="zh-CN"/>
        </w:rPr>
        <w:t>2)</w:t>
      </w:r>
      <w:r>
        <w:rPr>
          <w:rFonts w:hint="eastAsia"/>
          <w:color w:val="auto"/>
          <w:highlight w:val="none"/>
          <w:lang w:eastAsia="zh-CN"/>
        </w:rPr>
        <w:t xml:space="preserve"> 门窗框应拼缝严密平整。在工厂内拼装时其接榫拼缝处、螺钉孔、工艺孔等处应有密封措施。 </w:t>
      </w:r>
    </w:p>
    <w:p>
      <w:pPr>
        <w:bidi w:val="0"/>
        <w:rPr>
          <w:rFonts w:hint="default"/>
          <w:color w:val="auto"/>
          <w:highlight w:val="none"/>
          <w:lang w:val="en-US" w:eastAsia="zh-CN"/>
        </w:rPr>
      </w:pPr>
      <w:r>
        <w:rPr>
          <w:color w:val="auto"/>
          <w:highlight w:val="none"/>
          <w:lang w:eastAsia="zh-CN"/>
        </w:rPr>
        <w:t>3)</w:t>
      </w:r>
      <w:r>
        <w:rPr>
          <w:rFonts w:hint="eastAsia"/>
          <w:color w:val="auto"/>
          <w:highlight w:val="none"/>
          <w:lang w:eastAsia="zh-CN"/>
        </w:rPr>
        <w:t xml:space="preserve"> 五金配件应满足整樘门窗承载能力的要求，其反复启闭性能应满足门窗反复启闭性能要求。</w:t>
      </w:r>
      <w:r>
        <w:rPr>
          <w:rFonts w:hint="eastAsia"/>
          <w:color w:val="auto"/>
          <w:highlight w:val="none"/>
          <w:lang w:val="en-US" w:eastAsia="zh-CN"/>
        </w:rPr>
        <w:t>门窗五金配件需单独进行材料看样定板，在门窗大面进场前需完成设计、施工样板确认及封样。</w:t>
      </w:r>
    </w:p>
    <w:p>
      <w:pPr>
        <w:bidi w:val="0"/>
        <w:rPr>
          <w:color w:val="auto"/>
          <w:highlight w:val="none"/>
          <w:lang w:eastAsia="zh-CN"/>
        </w:rPr>
      </w:pPr>
      <w:r>
        <w:rPr>
          <w:color w:val="auto"/>
          <w:highlight w:val="none"/>
          <w:lang w:eastAsia="zh-CN"/>
        </w:rPr>
        <w:t>4)</w:t>
      </w:r>
      <w:r>
        <w:rPr>
          <w:rFonts w:hint="eastAsia"/>
          <w:color w:val="auto"/>
          <w:highlight w:val="none"/>
          <w:lang w:eastAsia="zh-CN"/>
        </w:rPr>
        <w:t xml:space="preserve"> 承重（承载）五金件（合页、风撑等）与门窗连接采用盘头机制螺钉，其余部位可使用盘头自攻钉。</w:t>
      </w:r>
      <w:r>
        <w:rPr>
          <w:rFonts w:hint="eastAsia"/>
          <w:color w:val="auto"/>
          <w:highlight w:val="none"/>
          <w:lang w:val="en-US" w:eastAsia="zh-CN"/>
        </w:rPr>
        <w:t>不锈钢</w:t>
      </w:r>
      <w:r>
        <w:rPr>
          <w:rFonts w:hint="eastAsia"/>
          <w:color w:val="auto"/>
          <w:highlight w:val="none"/>
          <w:lang w:eastAsia="zh-CN"/>
        </w:rPr>
        <w:t xml:space="preserve">材质要求均为304不锈钢，不应采用铝及铝合金抽芯铆钉做门窗受力联接用紧固件。 </w:t>
      </w:r>
    </w:p>
    <w:p>
      <w:pPr>
        <w:bidi w:val="0"/>
        <w:rPr>
          <w:color w:val="auto"/>
          <w:highlight w:val="none"/>
          <w:lang w:eastAsia="zh-CN"/>
        </w:rPr>
      </w:pPr>
      <w:r>
        <w:rPr>
          <w:color w:val="auto"/>
          <w:highlight w:val="none"/>
          <w:lang w:eastAsia="zh-CN"/>
        </w:rPr>
        <w:t>5)</w:t>
      </w:r>
      <w:r>
        <w:rPr>
          <w:rFonts w:hint="eastAsia"/>
          <w:color w:val="auto"/>
          <w:highlight w:val="none"/>
          <w:lang w:eastAsia="zh-CN"/>
        </w:rPr>
        <w:t xml:space="preserve"> 框底应设置排水孔，排水孔应在工厂加工，禁止现场开设。 </w:t>
      </w:r>
    </w:p>
    <w:p>
      <w:pPr>
        <w:bidi w:val="0"/>
        <w:rPr>
          <w:color w:val="auto"/>
          <w:highlight w:val="none"/>
          <w:lang w:eastAsia="zh-CN"/>
        </w:rPr>
      </w:pPr>
      <w:r>
        <w:rPr>
          <w:color w:val="auto"/>
          <w:highlight w:val="none"/>
          <w:lang w:eastAsia="zh-CN"/>
        </w:rPr>
        <w:t>6)</w:t>
      </w:r>
      <w:r>
        <w:rPr>
          <w:rFonts w:hint="eastAsia"/>
          <w:color w:val="auto"/>
          <w:highlight w:val="none"/>
          <w:lang w:eastAsia="zh-CN"/>
        </w:rPr>
        <w:t xml:space="preserve"> 窗开启扇四周密封胶条安装应连续。 </w:t>
      </w:r>
    </w:p>
    <w:p>
      <w:pPr>
        <w:bidi w:val="0"/>
        <w:rPr>
          <w:color w:val="auto"/>
          <w:highlight w:val="none"/>
          <w:lang w:eastAsia="zh-CN"/>
        </w:rPr>
      </w:pPr>
      <w:r>
        <w:rPr>
          <w:color w:val="auto"/>
          <w:highlight w:val="none"/>
          <w:lang w:eastAsia="zh-CN"/>
        </w:rPr>
        <w:t>7)</w:t>
      </w:r>
      <w:r>
        <w:rPr>
          <w:rFonts w:hint="eastAsia"/>
          <w:color w:val="auto"/>
          <w:highlight w:val="none"/>
          <w:lang w:eastAsia="zh-CN"/>
        </w:rPr>
        <w:t xml:space="preserve"> 玻璃与窗框密封胶施打应确保密实、连续、饱满。用于固定五金件的螺钉 应带胶拧紧。 </w:t>
      </w:r>
    </w:p>
    <w:p>
      <w:pPr>
        <w:bidi w:val="0"/>
        <w:rPr>
          <w:color w:val="auto"/>
          <w:highlight w:val="none"/>
          <w:lang w:eastAsia="zh-CN"/>
        </w:rPr>
      </w:pPr>
      <w:r>
        <w:rPr>
          <w:color w:val="auto"/>
          <w:highlight w:val="none"/>
          <w:lang w:eastAsia="zh-CN"/>
        </w:rPr>
        <w:t>8)</w:t>
      </w:r>
      <w:r>
        <w:rPr>
          <w:rFonts w:hint="eastAsia"/>
          <w:color w:val="auto"/>
          <w:highlight w:val="none"/>
          <w:lang w:eastAsia="zh-CN"/>
        </w:rPr>
        <w:t xml:space="preserve"> 门窗装配后应保证玻璃与镶嵌槽间隙，并在主要部位装有减震垫块，使其能缓冲启闭等力的冲击。密封条与玻璃、玻璃槽口的接触应紧密平整。密封胶与玻璃、玻璃槽口和边缘应粘结牢固、接缝平齐。带密封条的玻璃压条，其密封条必须与玻璃全部贴紧，压条与型材之间应无明显缝隙，压条接缝应不大于 0.5mm。玻璃下部不能直接坐落于金属面上，应用厚度为 3mm的合成橡胶垫块将玻璃垫起，使玻璃以柔性和弹性与金属框相接触。玻璃的安装方向应正确。中空玻璃内外表面均应洁净，玻璃中空层内不得有灰尘和水蒸气。 </w:t>
      </w:r>
    </w:p>
    <w:p>
      <w:pPr>
        <w:bidi w:val="0"/>
        <w:rPr>
          <w:color w:val="auto"/>
          <w:highlight w:val="none"/>
          <w:lang w:eastAsia="zh-CN"/>
        </w:rPr>
      </w:pPr>
      <w:r>
        <w:rPr>
          <w:color w:val="auto"/>
          <w:highlight w:val="none"/>
          <w:lang w:eastAsia="zh-CN"/>
        </w:rPr>
        <w:t>9)</w:t>
      </w:r>
      <w:r>
        <w:rPr>
          <w:rFonts w:hint="eastAsia"/>
          <w:color w:val="auto"/>
          <w:highlight w:val="none"/>
          <w:lang w:eastAsia="zh-CN"/>
        </w:rPr>
        <w:t xml:space="preserve"> 门窗所有拼接位置需有组角片和组角胶。 </w:t>
      </w:r>
    </w:p>
    <w:p>
      <w:pPr>
        <w:bidi w:val="0"/>
        <w:rPr>
          <w:color w:val="auto"/>
          <w:highlight w:val="none"/>
          <w:lang w:eastAsia="zh-CN"/>
        </w:rPr>
      </w:pPr>
      <w:r>
        <w:rPr>
          <w:color w:val="auto"/>
          <w:highlight w:val="none"/>
          <w:lang w:eastAsia="zh-CN"/>
        </w:rPr>
        <w:t>10)</w:t>
      </w:r>
      <w:r>
        <w:rPr>
          <w:rFonts w:hint="eastAsia"/>
          <w:color w:val="auto"/>
          <w:highlight w:val="none"/>
          <w:lang w:eastAsia="zh-CN"/>
        </w:rPr>
        <w:t xml:space="preserve"> 铝合金门窗加工过程注胶要求 </w:t>
      </w:r>
    </w:p>
    <w:p>
      <w:pPr>
        <w:bidi w:val="0"/>
        <w:rPr>
          <w:color w:val="auto"/>
          <w:highlight w:val="none"/>
          <w:lang w:eastAsia="zh-CN"/>
        </w:rPr>
      </w:pPr>
      <w:r>
        <w:rPr>
          <w:color w:val="auto"/>
          <w:highlight w:val="none"/>
          <w:lang w:eastAsia="zh-CN"/>
        </w:rPr>
        <w:t>a.</w:t>
      </w:r>
      <w:r>
        <w:rPr>
          <w:rFonts w:hint="eastAsia"/>
          <w:color w:val="auto"/>
          <w:highlight w:val="none"/>
          <w:lang w:eastAsia="zh-CN"/>
        </w:rPr>
        <w:t xml:space="preserve">门窗扇应保证合理的胶缝间隙（5mm-8mm），注胶作业应在洁净工作间进行， 注胶前要清洁型材和玻璃与硅胶的结合面，注胶及养护应在温度适宜的环境中作业，保证密封胶与玻璃、铝材有良好粘结。 </w:t>
      </w:r>
    </w:p>
    <w:p>
      <w:pPr>
        <w:bidi w:val="0"/>
        <w:rPr>
          <w:color w:val="auto"/>
          <w:highlight w:val="none"/>
          <w:lang w:eastAsia="zh-CN"/>
        </w:rPr>
      </w:pPr>
      <w:r>
        <w:rPr>
          <w:color w:val="auto"/>
          <w:highlight w:val="none"/>
          <w:lang w:eastAsia="zh-CN"/>
        </w:rPr>
        <w:t>b.</w:t>
      </w:r>
      <w:r>
        <w:rPr>
          <w:rFonts w:hint="eastAsia"/>
          <w:color w:val="auto"/>
          <w:highlight w:val="none"/>
          <w:lang w:eastAsia="zh-CN"/>
        </w:rPr>
        <w:t xml:space="preserve">榫接方式时在榫头部位应涂密封胶。 </w:t>
      </w:r>
    </w:p>
    <w:p>
      <w:pPr>
        <w:bidi w:val="0"/>
        <w:rPr>
          <w:color w:val="auto"/>
          <w:highlight w:val="none"/>
          <w:lang w:eastAsia="zh-CN"/>
        </w:rPr>
      </w:pPr>
      <w:r>
        <w:rPr>
          <w:color w:val="auto"/>
          <w:highlight w:val="none"/>
          <w:lang w:eastAsia="zh-CN"/>
        </w:rPr>
        <w:t>c.</w:t>
      </w:r>
      <w:r>
        <w:rPr>
          <w:rFonts w:hint="eastAsia"/>
          <w:color w:val="auto"/>
          <w:highlight w:val="none"/>
          <w:lang w:eastAsia="zh-CN"/>
        </w:rPr>
        <w:t xml:space="preserve">推拉窗与推拉门的固定玻璃扣板应先涂胶再组装。 </w:t>
      </w:r>
    </w:p>
    <w:p>
      <w:pPr>
        <w:bidi w:val="0"/>
        <w:rPr>
          <w:color w:val="auto"/>
          <w:highlight w:val="none"/>
          <w:lang w:eastAsia="zh-CN"/>
        </w:rPr>
      </w:pPr>
      <w:r>
        <w:rPr>
          <w:color w:val="auto"/>
          <w:highlight w:val="none"/>
          <w:lang w:eastAsia="zh-CN"/>
        </w:rPr>
        <w:t>d.</w:t>
      </w:r>
      <w:r>
        <w:rPr>
          <w:rFonts w:hint="eastAsia"/>
          <w:color w:val="auto"/>
          <w:highlight w:val="none"/>
          <w:lang w:eastAsia="zh-CN"/>
        </w:rPr>
        <w:t>推拉窗和推拉门框料四角横竖连接部位应加防水垫片。</w:t>
      </w:r>
    </w:p>
    <w:p>
      <w:pPr>
        <w:bidi w:val="0"/>
        <w:rPr>
          <w:color w:val="auto"/>
          <w:highlight w:val="none"/>
          <w:lang w:eastAsia="zh-CN"/>
        </w:rPr>
      </w:pPr>
      <w:r>
        <w:rPr>
          <w:color w:val="auto"/>
          <w:highlight w:val="none"/>
          <w:lang w:eastAsia="zh-CN"/>
        </w:rPr>
        <w:t xml:space="preserve">11) </w:t>
      </w:r>
      <w:r>
        <w:rPr>
          <w:rFonts w:hint="eastAsia"/>
          <w:color w:val="auto"/>
          <w:highlight w:val="none"/>
          <w:lang w:eastAsia="zh-CN"/>
        </w:rPr>
        <w:t xml:space="preserve">铝合金门窗构件加工必须有加工图和保证门窗达到设计性能的工艺和技术要求，构件加工除应符合设计要求外，还应符合下列基本要求： </w:t>
      </w:r>
    </w:p>
    <w:p>
      <w:pPr>
        <w:bidi w:val="0"/>
        <w:rPr>
          <w:color w:val="auto"/>
          <w:highlight w:val="none"/>
          <w:lang w:eastAsia="zh-CN"/>
        </w:rPr>
      </w:pPr>
      <w:r>
        <w:rPr>
          <w:color w:val="auto"/>
          <w:highlight w:val="none"/>
          <w:lang w:eastAsia="zh-CN"/>
        </w:rPr>
        <w:t>a.</w:t>
      </w:r>
      <w:r>
        <w:rPr>
          <w:rFonts w:hint="eastAsia"/>
          <w:color w:val="auto"/>
          <w:highlight w:val="none"/>
          <w:lang w:eastAsia="zh-CN"/>
        </w:rPr>
        <w:t xml:space="preserve">下料之前应对其型号、表面质量与颜色等进行检查。 </w:t>
      </w:r>
    </w:p>
    <w:p>
      <w:pPr>
        <w:bidi w:val="0"/>
        <w:rPr>
          <w:color w:val="auto"/>
          <w:highlight w:val="none"/>
          <w:lang w:eastAsia="zh-CN"/>
        </w:rPr>
      </w:pPr>
      <w:r>
        <w:rPr>
          <w:color w:val="auto"/>
          <w:highlight w:val="none"/>
          <w:lang w:eastAsia="zh-CN"/>
        </w:rPr>
        <w:t>b.</w:t>
      </w:r>
      <w:r>
        <w:rPr>
          <w:rFonts w:hint="eastAsia"/>
          <w:color w:val="auto"/>
          <w:highlight w:val="none"/>
          <w:lang w:eastAsia="zh-CN"/>
        </w:rPr>
        <w:t xml:space="preserve">下料尺寸长度允许偏差为±0.5mm，端头斜度允许偏差为±15′。 </w:t>
      </w:r>
    </w:p>
    <w:p>
      <w:pPr>
        <w:bidi w:val="0"/>
        <w:rPr>
          <w:color w:val="auto"/>
          <w:highlight w:val="none"/>
          <w:lang w:eastAsia="zh-CN"/>
        </w:rPr>
      </w:pPr>
      <w:r>
        <w:rPr>
          <w:color w:val="auto"/>
          <w:highlight w:val="none"/>
          <w:lang w:eastAsia="zh-CN"/>
        </w:rPr>
        <w:t>c.</w:t>
      </w:r>
      <w:r>
        <w:rPr>
          <w:rFonts w:hint="eastAsia"/>
          <w:color w:val="auto"/>
          <w:highlight w:val="none"/>
          <w:lang w:eastAsia="zh-CN"/>
        </w:rPr>
        <w:t xml:space="preserve">截料端不应有明显加工变形，毛刺不大于 0.2mm。 </w:t>
      </w:r>
    </w:p>
    <w:p>
      <w:pPr>
        <w:bidi w:val="0"/>
        <w:rPr>
          <w:color w:val="auto"/>
          <w:highlight w:val="none"/>
          <w:lang w:eastAsia="zh-CN"/>
        </w:rPr>
      </w:pPr>
      <w:r>
        <w:rPr>
          <w:color w:val="auto"/>
          <w:highlight w:val="none"/>
          <w:lang w:eastAsia="zh-CN"/>
        </w:rPr>
        <w:t>d.</w:t>
      </w:r>
      <w:r>
        <w:rPr>
          <w:rFonts w:hint="eastAsia"/>
          <w:color w:val="auto"/>
          <w:highlight w:val="none"/>
          <w:lang w:eastAsia="zh-CN"/>
        </w:rPr>
        <w:t xml:space="preserve">孔位允许偏差±0.5mm，孔距允许偏差±0.5mm，累计偏差不大于±1.0mm。 </w:t>
      </w:r>
    </w:p>
    <w:p>
      <w:pPr>
        <w:bidi w:val="0"/>
        <w:rPr>
          <w:color w:val="auto"/>
          <w:highlight w:val="none"/>
          <w:lang w:eastAsia="zh-CN"/>
        </w:rPr>
      </w:pPr>
      <w:r>
        <w:rPr>
          <w:color w:val="auto"/>
          <w:highlight w:val="none"/>
          <w:lang w:eastAsia="zh-CN"/>
        </w:rPr>
        <w:t>e.</w:t>
      </w:r>
      <w:r>
        <w:rPr>
          <w:rFonts w:hint="eastAsia"/>
          <w:color w:val="auto"/>
          <w:highlight w:val="none"/>
          <w:lang w:eastAsia="zh-CN"/>
        </w:rPr>
        <w:t>如设计要求增加钢衬，则钢衬材料必须按照相关规范进行送检，其表面处理方式为热浸镀锌。</w:t>
      </w:r>
    </w:p>
    <w:p>
      <w:pPr>
        <w:bidi w:val="0"/>
        <w:rPr>
          <w:color w:val="auto"/>
          <w:highlight w:val="none"/>
          <w:lang w:eastAsia="zh-CN"/>
        </w:rPr>
      </w:pPr>
      <w:r>
        <w:rPr>
          <w:color w:val="auto"/>
          <w:highlight w:val="none"/>
          <w:lang w:eastAsia="zh-CN"/>
        </w:rPr>
        <w:t>f.</w:t>
      </w:r>
      <w:r>
        <w:rPr>
          <w:rFonts w:hint="eastAsia"/>
          <w:color w:val="auto"/>
          <w:highlight w:val="none"/>
          <w:lang w:eastAsia="zh-CN"/>
        </w:rPr>
        <w:t xml:space="preserve">当发包人需要时，须予以配合提供加工图。 </w:t>
      </w:r>
    </w:p>
    <w:p>
      <w:pPr>
        <w:bidi w:val="0"/>
        <w:rPr>
          <w:color w:val="auto"/>
          <w:highlight w:val="none"/>
          <w:lang w:eastAsia="zh-CN"/>
        </w:rPr>
      </w:pPr>
      <w:r>
        <w:rPr>
          <w:color w:val="auto"/>
          <w:highlight w:val="none"/>
          <w:lang w:eastAsia="zh-CN"/>
        </w:rPr>
        <w:t>12)</w:t>
      </w:r>
      <w:r>
        <w:rPr>
          <w:rFonts w:hint="eastAsia"/>
          <w:color w:val="auto"/>
          <w:highlight w:val="none"/>
          <w:lang w:eastAsia="zh-CN"/>
        </w:rPr>
        <w:t xml:space="preserve">铝合金构件中槽、豁、榫的加工应符合下列要求： </w:t>
      </w:r>
    </w:p>
    <w:p>
      <w:pPr>
        <w:bidi w:val="0"/>
        <w:rPr>
          <w:color w:val="auto"/>
          <w:highlight w:val="none"/>
          <w:lang w:eastAsia="zh-CN"/>
        </w:rPr>
      </w:pPr>
      <w:r>
        <w:rPr>
          <w:color w:val="auto"/>
          <w:highlight w:val="none"/>
          <w:lang w:eastAsia="zh-CN"/>
        </w:rPr>
        <w:t>a.</w:t>
      </w:r>
      <w:r>
        <w:rPr>
          <w:rFonts w:hint="eastAsia"/>
          <w:color w:val="auto"/>
          <w:highlight w:val="none"/>
          <w:lang w:eastAsia="zh-CN"/>
        </w:rPr>
        <w:t xml:space="preserve">构件铣槽尺寸允许偏差应符合下表的要求。 </w:t>
      </w:r>
    </w:p>
    <w:p>
      <w:pPr>
        <w:bidi w:val="0"/>
        <w:rPr>
          <w:color w:val="auto"/>
          <w:highlight w:val="none"/>
          <w:lang w:eastAsia="zh-CN"/>
        </w:rPr>
      </w:pPr>
      <w:r>
        <w:rPr>
          <w:color w:val="auto"/>
          <w:highlight w:val="none"/>
          <w:lang w:eastAsia="zh-CN"/>
        </w:rPr>
        <w:t>b.</w:t>
      </w:r>
      <w:r>
        <w:rPr>
          <w:rFonts w:hint="eastAsia"/>
          <w:color w:val="auto"/>
          <w:highlight w:val="none"/>
          <w:lang w:eastAsia="zh-CN"/>
        </w:rPr>
        <w:t xml:space="preserve">排水孔槽偏差参考槽口加工。排水孔尺寸大小要满足排水要求，同时排水孔不得内外直通。 </w:t>
      </w:r>
    </w:p>
    <w:p>
      <w:pPr>
        <w:bidi w:val="0"/>
        <w:rPr>
          <w:color w:val="auto"/>
          <w:highlight w:val="none"/>
          <w:lang w:eastAsia="zh-CN"/>
        </w:rPr>
      </w:pPr>
      <w:r>
        <w:rPr>
          <w:color w:val="auto"/>
          <w:highlight w:val="none"/>
          <w:lang w:eastAsia="zh-CN"/>
        </w:rPr>
        <w:t>12</w:t>
      </w:r>
      <w:r>
        <w:rPr>
          <w:rFonts w:hint="eastAsia"/>
          <w:color w:val="auto"/>
          <w:highlight w:val="none"/>
          <w:lang w:eastAsia="zh-CN"/>
        </w:rPr>
        <w:t xml:space="preserve">）构件连接必须牢固可靠，组装后各连接处应对角紧密、接口平整。 </w:t>
      </w:r>
    </w:p>
    <w:p>
      <w:pPr>
        <w:bidi w:val="0"/>
        <w:rPr>
          <w:color w:val="auto"/>
          <w:highlight w:val="none"/>
          <w:lang w:eastAsia="zh-CN"/>
        </w:rPr>
      </w:pPr>
      <w:r>
        <w:rPr>
          <w:color w:val="auto"/>
          <w:highlight w:val="none"/>
          <w:lang w:eastAsia="zh-CN"/>
        </w:rPr>
        <w:t>a.</w:t>
      </w:r>
      <w:r>
        <w:rPr>
          <w:rFonts w:hint="eastAsia"/>
          <w:color w:val="auto"/>
          <w:highlight w:val="none"/>
          <w:lang w:eastAsia="zh-CN"/>
        </w:rPr>
        <w:t xml:space="preserve">采用 45°组角时应采用铝角码在组角机上组角。 </w:t>
      </w:r>
    </w:p>
    <w:p>
      <w:pPr>
        <w:bidi w:val="0"/>
        <w:rPr>
          <w:color w:val="auto"/>
          <w:highlight w:val="none"/>
          <w:lang w:eastAsia="zh-CN"/>
        </w:rPr>
      </w:pPr>
      <w:r>
        <w:rPr>
          <w:color w:val="auto"/>
          <w:highlight w:val="none"/>
          <w:lang w:eastAsia="zh-CN"/>
        </w:rPr>
        <w:t>b.</w:t>
      </w:r>
      <w:r>
        <w:rPr>
          <w:rFonts w:hint="eastAsia"/>
          <w:color w:val="auto"/>
          <w:highlight w:val="none"/>
          <w:lang w:eastAsia="zh-CN"/>
        </w:rPr>
        <w:t xml:space="preserve">采用 90°组框时应在铝材背面设置加强衬板。 </w:t>
      </w:r>
    </w:p>
    <w:p>
      <w:pPr>
        <w:bidi w:val="0"/>
        <w:rPr>
          <w:color w:val="auto"/>
          <w:highlight w:val="none"/>
          <w:lang w:eastAsia="zh-CN"/>
        </w:rPr>
      </w:pPr>
      <w:r>
        <w:rPr>
          <w:color w:val="auto"/>
          <w:highlight w:val="none"/>
          <w:lang w:eastAsia="zh-CN"/>
        </w:rPr>
        <w:t>c.</w:t>
      </w:r>
      <w:r>
        <w:rPr>
          <w:rFonts w:hint="eastAsia"/>
          <w:color w:val="auto"/>
          <w:highlight w:val="none"/>
          <w:lang w:eastAsia="zh-CN"/>
        </w:rPr>
        <w:t xml:space="preserve">组装中挺时应采用专用铝构件或锌铝构件连接。 </w:t>
      </w:r>
    </w:p>
    <w:p>
      <w:pPr>
        <w:bidi w:val="0"/>
        <w:rPr>
          <w:color w:val="auto"/>
          <w:highlight w:val="none"/>
          <w:lang w:eastAsia="zh-CN"/>
        </w:rPr>
      </w:pPr>
      <w:r>
        <w:rPr>
          <w:color w:val="auto"/>
          <w:highlight w:val="none"/>
          <w:lang w:eastAsia="zh-CN"/>
        </w:rPr>
        <w:t>d.</w:t>
      </w:r>
      <w:r>
        <w:rPr>
          <w:rFonts w:hint="eastAsia"/>
          <w:color w:val="auto"/>
          <w:highlight w:val="none"/>
          <w:lang w:eastAsia="zh-CN"/>
        </w:rPr>
        <w:t>采用自攻螺丝连接时应有丝槽，同时满足铝合金型材截面的厚度不宜小于螺距的 2.5 倍。</w:t>
      </w:r>
    </w:p>
    <w:p>
      <w:pPr>
        <w:bidi w:val="0"/>
        <w:rPr>
          <w:color w:val="auto"/>
          <w:highlight w:val="none"/>
          <w:lang w:eastAsia="zh-CN"/>
        </w:rPr>
      </w:pPr>
      <w:r>
        <w:rPr>
          <w:rFonts w:hint="eastAsia"/>
          <w:color w:val="auto"/>
          <w:highlight w:val="none"/>
          <w:lang w:eastAsia="zh-CN"/>
        </w:rPr>
        <w:t xml:space="preserve">（2）耐火窗 </w:t>
      </w:r>
    </w:p>
    <w:p>
      <w:pPr>
        <w:bidi w:val="0"/>
        <w:rPr>
          <w:color w:val="auto"/>
          <w:highlight w:val="none"/>
          <w:lang w:eastAsia="zh-CN"/>
        </w:rPr>
      </w:pPr>
      <w:r>
        <w:rPr>
          <w:rFonts w:hint="eastAsia"/>
          <w:color w:val="auto"/>
          <w:highlight w:val="none"/>
          <w:lang w:eastAsia="zh-CN"/>
        </w:rPr>
        <w:t xml:space="preserve">1）要求设置可开启外窗并且耐火完整性不小于1.00h，该窗为非隔热防火窗，必须满足相关规范及设计标准要求。 </w:t>
      </w:r>
    </w:p>
    <w:p>
      <w:pPr>
        <w:bidi w:val="0"/>
        <w:rPr>
          <w:color w:val="auto"/>
          <w:highlight w:val="none"/>
          <w:lang w:eastAsia="zh-CN"/>
        </w:rPr>
      </w:pPr>
      <w:r>
        <w:rPr>
          <w:color w:val="auto"/>
          <w:highlight w:val="none"/>
          <w:lang w:eastAsia="zh-CN"/>
        </w:rPr>
        <w:t>2</w:t>
      </w:r>
      <w:r>
        <w:rPr>
          <w:rFonts w:hint="eastAsia"/>
          <w:color w:val="auto"/>
          <w:highlight w:val="none"/>
          <w:lang w:eastAsia="zh-CN"/>
        </w:rPr>
        <w:t>）门窗加工应在工厂进行，除玻璃压线可以现场局部修整外，其他构件均不得在施工现场制作。</w:t>
      </w:r>
    </w:p>
    <w:p>
      <w:pPr>
        <w:bidi w:val="0"/>
        <w:rPr>
          <w:color w:val="auto"/>
          <w:highlight w:val="none"/>
          <w:lang w:eastAsia="zh-CN"/>
        </w:rPr>
      </w:pPr>
      <w:r>
        <w:rPr>
          <w:color w:val="auto"/>
          <w:highlight w:val="none"/>
          <w:lang w:eastAsia="zh-CN"/>
        </w:rPr>
        <w:t>3</w:t>
      </w:r>
      <w:r>
        <w:rPr>
          <w:rFonts w:hint="eastAsia"/>
          <w:color w:val="auto"/>
          <w:highlight w:val="none"/>
          <w:lang w:eastAsia="zh-CN"/>
        </w:rPr>
        <w:t xml:space="preserve">）所有构件在加工制作前，应对照建筑、结构施工图、门窗设计图进行核对，并对已完成结构进行复测，调整偏差。若需按实测结果调整门窗设计大样图尺寸，需经发包人确认后方可加工制作。 </w:t>
      </w:r>
    </w:p>
    <w:p>
      <w:pPr>
        <w:bidi w:val="0"/>
        <w:rPr>
          <w:color w:val="auto"/>
          <w:highlight w:val="none"/>
          <w:lang w:eastAsia="zh-CN"/>
        </w:rPr>
      </w:pPr>
      <w:r>
        <w:rPr>
          <w:color w:val="auto"/>
          <w:highlight w:val="none"/>
          <w:lang w:eastAsia="zh-CN"/>
        </w:rPr>
        <w:t>4</w:t>
      </w:r>
      <w:r>
        <w:rPr>
          <w:rFonts w:hint="eastAsia"/>
          <w:color w:val="auto"/>
          <w:highlight w:val="none"/>
          <w:lang w:eastAsia="zh-CN"/>
        </w:rPr>
        <w:t xml:space="preserve">）所有进厂的原材料必须有合格证和检测报告，并按照规范要求进行报验工作。 </w:t>
      </w:r>
    </w:p>
    <w:p>
      <w:pPr>
        <w:bidi w:val="0"/>
        <w:rPr>
          <w:color w:val="auto"/>
          <w:highlight w:val="none"/>
          <w:lang w:eastAsia="zh-CN"/>
        </w:rPr>
      </w:pPr>
      <w:r>
        <w:rPr>
          <w:color w:val="auto"/>
          <w:highlight w:val="none"/>
          <w:lang w:eastAsia="zh-CN"/>
        </w:rPr>
        <w:t>5</w:t>
      </w:r>
      <w:r>
        <w:rPr>
          <w:rFonts w:hint="eastAsia"/>
          <w:color w:val="auto"/>
          <w:highlight w:val="none"/>
          <w:lang w:eastAsia="zh-CN"/>
        </w:rPr>
        <w:t xml:space="preserve">）所有构件连接处缝隙应进行可靠的密封处理，可采用专用密封组件或密封胶进行密封。同时各组件及构件应当进行防腐处理。 </w:t>
      </w:r>
    </w:p>
    <w:p>
      <w:pPr>
        <w:bidi w:val="0"/>
        <w:rPr>
          <w:color w:val="auto"/>
          <w:highlight w:val="none"/>
          <w:lang w:eastAsia="zh-CN"/>
        </w:rPr>
      </w:pPr>
      <w:r>
        <w:rPr>
          <w:rFonts w:hint="eastAsia"/>
          <w:color w:val="auto"/>
          <w:highlight w:val="none"/>
          <w:lang w:eastAsia="zh-CN"/>
        </w:rPr>
        <w:t xml:space="preserve">6）密封胶条与密封毛条的安装应满足下列要求： </w:t>
      </w:r>
    </w:p>
    <w:p>
      <w:pPr>
        <w:bidi w:val="0"/>
        <w:rPr>
          <w:color w:val="auto"/>
          <w:highlight w:val="none"/>
          <w:lang w:eastAsia="zh-CN"/>
        </w:rPr>
      </w:pPr>
      <w:r>
        <w:rPr>
          <w:rFonts w:hint="eastAsia"/>
          <w:color w:val="auto"/>
          <w:highlight w:val="none"/>
          <w:lang w:eastAsia="zh-CN"/>
        </w:rPr>
        <w:t xml:space="preserve">a.密封胶条与密封毛条的断面形状及规格尺寸应与铝合金型材断面相匹配。 </w:t>
      </w:r>
    </w:p>
    <w:p>
      <w:pPr>
        <w:bidi w:val="0"/>
        <w:rPr>
          <w:color w:val="auto"/>
          <w:highlight w:val="none"/>
          <w:lang w:eastAsia="zh-CN"/>
        </w:rPr>
      </w:pPr>
      <w:r>
        <w:rPr>
          <w:rFonts w:hint="eastAsia"/>
          <w:color w:val="auto"/>
          <w:highlight w:val="none"/>
          <w:lang w:eastAsia="zh-CN"/>
        </w:rPr>
        <w:t xml:space="preserve">b.密封胶条嵌装应平整，其长度宜比边框内槽口长 1.5%～3%。 </w:t>
      </w:r>
    </w:p>
    <w:p>
      <w:pPr>
        <w:bidi w:val="0"/>
        <w:rPr>
          <w:color w:val="auto"/>
          <w:highlight w:val="none"/>
          <w:lang w:eastAsia="zh-CN"/>
        </w:rPr>
      </w:pPr>
      <w:r>
        <w:rPr>
          <w:rFonts w:hint="eastAsia"/>
          <w:color w:val="auto"/>
          <w:highlight w:val="none"/>
          <w:lang w:eastAsia="zh-CN"/>
        </w:rPr>
        <w:t xml:space="preserve">c.密封胶条与密封毛条装配后应平整、严密、牢固，不得有脱槽、断裂等现象。 </w:t>
      </w:r>
    </w:p>
    <w:p>
      <w:pPr>
        <w:bidi w:val="0"/>
        <w:rPr>
          <w:color w:val="auto"/>
          <w:highlight w:val="none"/>
          <w:lang w:eastAsia="zh-CN"/>
        </w:rPr>
      </w:pPr>
      <w:r>
        <w:rPr>
          <w:rFonts w:hint="eastAsia"/>
          <w:color w:val="auto"/>
          <w:highlight w:val="none"/>
          <w:lang w:eastAsia="zh-CN"/>
        </w:rPr>
        <w:t xml:space="preserve">d.密封胶条与密封毛条单边必须整根嵌装，不得拼接，接口宜位于转角处。 </w:t>
      </w:r>
    </w:p>
    <w:p>
      <w:pPr>
        <w:bidi w:val="0"/>
        <w:rPr>
          <w:color w:val="auto"/>
          <w:highlight w:val="none"/>
          <w:lang w:eastAsia="zh-CN"/>
        </w:rPr>
      </w:pPr>
      <w:r>
        <w:rPr>
          <w:rFonts w:hint="eastAsia"/>
          <w:color w:val="auto"/>
          <w:highlight w:val="none"/>
          <w:lang w:eastAsia="zh-CN"/>
        </w:rPr>
        <w:t xml:space="preserve">e.密封胶条转角部位接口处必须密封处理。 </w:t>
      </w:r>
    </w:p>
    <w:p>
      <w:pPr>
        <w:bidi w:val="0"/>
        <w:rPr>
          <w:color w:val="auto"/>
          <w:highlight w:val="none"/>
          <w:lang w:eastAsia="zh-CN"/>
        </w:rPr>
      </w:pPr>
      <w:r>
        <w:rPr>
          <w:rFonts w:hint="eastAsia"/>
          <w:color w:val="auto"/>
          <w:highlight w:val="none"/>
          <w:lang w:eastAsia="zh-CN"/>
        </w:rPr>
        <w:t xml:space="preserve">f.不得使用未经试验合格的胶结材料，不得使用未经认可的胶结材料，不得使用过期产品。 </w:t>
      </w:r>
    </w:p>
    <w:p>
      <w:pPr>
        <w:bidi w:val="0"/>
        <w:rPr>
          <w:color w:val="auto"/>
          <w:highlight w:val="none"/>
          <w:lang w:eastAsia="zh-CN"/>
        </w:rPr>
      </w:pPr>
      <w:r>
        <w:rPr>
          <w:rFonts w:hint="eastAsia"/>
          <w:color w:val="auto"/>
          <w:highlight w:val="none"/>
          <w:lang w:eastAsia="zh-CN"/>
        </w:rPr>
        <w:t xml:space="preserve">g.加工质量必须符合现行质量验收规范，观感质量良好，办理检验批验收。 </w:t>
      </w:r>
    </w:p>
    <w:p>
      <w:pPr>
        <w:bidi w:val="0"/>
        <w:rPr>
          <w:color w:val="auto"/>
          <w:highlight w:val="none"/>
          <w:lang w:eastAsia="zh-CN"/>
        </w:rPr>
      </w:pPr>
      <w:r>
        <w:rPr>
          <w:rFonts w:hint="eastAsia"/>
          <w:color w:val="auto"/>
          <w:highlight w:val="none"/>
          <w:lang w:eastAsia="zh-CN"/>
        </w:rPr>
        <w:t xml:space="preserve">（3）包装应符合下列规定： </w:t>
      </w:r>
    </w:p>
    <w:p>
      <w:pPr>
        <w:bidi w:val="0"/>
        <w:rPr>
          <w:color w:val="auto"/>
          <w:highlight w:val="none"/>
          <w:lang w:eastAsia="zh-CN"/>
        </w:rPr>
      </w:pPr>
      <w:r>
        <w:rPr>
          <w:rFonts w:hint="eastAsia"/>
          <w:color w:val="auto"/>
          <w:highlight w:val="none"/>
          <w:lang w:eastAsia="zh-CN"/>
        </w:rPr>
        <w:t xml:space="preserve">1) 应根据门窗型材、玻璃和附件的表面处理情况，采取合适的无腐蚀作用材 </w:t>
      </w:r>
    </w:p>
    <w:p>
      <w:pPr>
        <w:bidi w:val="0"/>
        <w:rPr>
          <w:color w:val="auto"/>
          <w:highlight w:val="none"/>
          <w:lang w:eastAsia="zh-CN"/>
        </w:rPr>
      </w:pPr>
      <w:r>
        <w:rPr>
          <w:rFonts w:hint="eastAsia"/>
          <w:color w:val="auto"/>
          <w:highlight w:val="none"/>
          <w:lang w:eastAsia="zh-CN"/>
        </w:rPr>
        <w:t xml:space="preserve">料包装。 </w:t>
      </w:r>
    </w:p>
    <w:p>
      <w:pPr>
        <w:bidi w:val="0"/>
        <w:rPr>
          <w:color w:val="auto"/>
          <w:highlight w:val="none"/>
          <w:lang w:eastAsia="zh-CN"/>
        </w:rPr>
      </w:pPr>
      <w:r>
        <w:rPr>
          <w:rFonts w:hint="eastAsia"/>
          <w:color w:val="auto"/>
          <w:highlight w:val="none"/>
          <w:lang w:eastAsia="zh-CN"/>
        </w:rPr>
        <w:t xml:space="preserve">2) 包装箱应有足够的承载能力，确保运输中不受损坏。 </w:t>
      </w:r>
    </w:p>
    <w:p>
      <w:pPr>
        <w:bidi w:val="0"/>
        <w:rPr>
          <w:color w:val="auto"/>
          <w:highlight w:val="none"/>
          <w:lang w:eastAsia="zh-CN"/>
        </w:rPr>
      </w:pPr>
      <w:r>
        <w:rPr>
          <w:rFonts w:hint="eastAsia"/>
          <w:color w:val="auto"/>
          <w:highlight w:val="none"/>
          <w:lang w:eastAsia="zh-CN"/>
        </w:rPr>
        <w:t xml:space="preserve">3) 包装箱内的各类部件，避免发生碰撞、窜动，以免运输过程中发生损坏。 </w:t>
      </w:r>
    </w:p>
    <w:p>
      <w:pPr>
        <w:bidi w:val="0"/>
        <w:rPr>
          <w:color w:val="auto"/>
          <w:highlight w:val="none"/>
          <w:lang w:eastAsia="zh-CN"/>
        </w:rPr>
      </w:pPr>
      <w:r>
        <w:rPr>
          <w:rFonts w:hint="eastAsia"/>
          <w:color w:val="auto"/>
          <w:highlight w:val="none"/>
          <w:lang w:eastAsia="zh-CN"/>
        </w:rPr>
        <w:t xml:space="preserve">（4）每樘出厂检验或交货批应有相应的产品合格证书及检测报告。 </w:t>
      </w:r>
    </w:p>
    <w:p>
      <w:pPr>
        <w:bidi w:val="0"/>
        <w:rPr>
          <w:color w:val="auto"/>
          <w:highlight w:val="none"/>
          <w:lang w:eastAsia="zh-CN"/>
        </w:rPr>
      </w:pPr>
      <w:r>
        <w:rPr>
          <w:rFonts w:hint="eastAsia"/>
          <w:color w:val="auto"/>
          <w:highlight w:val="none"/>
          <w:lang w:eastAsia="zh-CN"/>
        </w:rPr>
        <w:t xml:space="preserve">（5）运输应符合下列规定： </w:t>
      </w:r>
    </w:p>
    <w:p>
      <w:pPr>
        <w:bidi w:val="0"/>
        <w:rPr>
          <w:color w:val="auto"/>
          <w:highlight w:val="none"/>
          <w:lang w:eastAsia="zh-CN"/>
        </w:rPr>
      </w:pPr>
      <w:r>
        <w:rPr>
          <w:rFonts w:hint="eastAsia"/>
          <w:color w:val="auto"/>
          <w:highlight w:val="none"/>
          <w:lang w:eastAsia="zh-CN"/>
        </w:rPr>
        <w:t xml:space="preserve">1) 运输工具应有防雨措施，并保持清洁无污染。 </w:t>
      </w:r>
    </w:p>
    <w:p>
      <w:pPr>
        <w:bidi w:val="0"/>
        <w:rPr>
          <w:color w:val="auto"/>
          <w:highlight w:val="none"/>
          <w:lang w:eastAsia="zh-CN"/>
        </w:rPr>
      </w:pPr>
      <w:r>
        <w:rPr>
          <w:rFonts w:hint="eastAsia"/>
          <w:color w:val="auto"/>
          <w:highlight w:val="none"/>
          <w:lang w:eastAsia="zh-CN"/>
        </w:rPr>
        <w:t xml:space="preserve">2) 搬运过程中应轻拿轻放，严禁摔、扔、撞击。吊运点应选择窗框外沿，其 </w:t>
      </w:r>
    </w:p>
    <w:p>
      <w:pPr>
        <w:bidi w:val="0"/>
        <w:rPr>
          <w:color w:val="auto"/>
          <w:highlight w:val="none"/>
          <w:lang w:eastAsia="zh-CN"/>
        </w:rPr>
      </w:pPr>
      <w:r>
        <w:rPr>
          <w:rFonts w:hint="eastAsia"/>
          <w:color w:val="auto"/>
          <w:highlight w:val="none"/>
          <w:lang w:eastAsia="zh-CN"/>
        </w:rPr>
        <w:t xml:space="preserve">表面应用软质材料隔开，不得在框扇内插入抬杠起吊。 </w:t>
      </w:r>
    </w:p>
    <w:p>
      <w:pPr>
        <w:bidi w:val="0"/>
        <w:rPr>
          <w:color w:val="auto"/>
          <w:highlight w:val="none"/>
          <w:lang w:eastAsia="zh-CN"/>
        </w:rPr>
      </w:pPr>
      <w:r>
        <w:rPr>
          <w:rFonts w:hint="eastAsia"/>
          <w:color w:val="auto"/>
          <w:highlight w:val="none"/>
          <w:lang w:eastAsia="zh-CN"/>
        </w:rPr>
        <w:t xml:space="preserve">3) 运输时应竖直排放并可靠固定，门窗与门窗之间应用无腐蚀作用的软质材 </w:t>
      </w:r>
    </w:p>
    <w:p>
      <w:pPr>
        <w:bidi w:val="0"/>
        <w:rPr>
          <w:color w:val="auto"/>
          <w:highlight w:val="none"/>
          <w:lang w:eastAsia="zh-CN"/>
        </w:rPr>
      </w:pPr>
      <w:r>
        <w:rPr>
          <w:rFonts w:hint="eastAsia"/>
          <w:color w:val="auto"/>
          <w:highlight w:val="none"/>
          <w:lang w:eastAsia="zh-CN"/>
        </w:rPr>
        <w:t xml:space="preserve">料隔开，特别应注意避免五金配件凸出部位与门窗的其他部位接触，以免损坏。 </w:t>
      </w:r>
    </w:p>
    <w:p>
      <w:pPr>
        <w:pStyle w:val="4"/>
        <w:bidi w:val="0"/>
        <w:rPr>
          <w:color w:val="auto"/>
          <w:highlight w:val="none"/>
          <w:lang w:eastAsia="zh-CN"/>
        </w:rPr>
      </w:pPr>
      <w:r>
        <w:rPr>
          <w:rFonts w:hint="eastAsia"/>
          <w:color w:val="auto"/>
          <w:highlight w:val="none"/>
          <w:lang w:eastAsia="zh-CN"/>
        </w:rPr>
        <w:t xml:space="preserve">门窗安装技术要求 </w:t>
      </w:r>
    </w:p>
    <w:p>
      <w:pPr>
        <w:bidi w:val="0"/>
        <w:rPr>
          <w:color w:val="auto"/>
          <w:highlight w:val="none"/>
          <w:lang w:eastAsia="zh-CN"/>
        </w:rPr>
      </w:pPr>
      <w:r>
        <w:rPr>
          <w:rFonts w:hint="eastAsia"/>
          <w:color w:val="auto"/>
          <w:highlight w:val="none"/>
          <w:lang w:eastAsia="zh-CN"/>
        </w:rPr>
        <w:t xml:space="preserve">（1）塞缝要求 </w:t>
      </w:r>
    </w:p>
    <w:p>
      <w:pPr>
        <w:bidi w:val="0"/>
        <w:rPr>
          <w:color w:val="auto"/>
          <w:highlight w:val="none"/>
          <w:lang w:eastAsia="zh-CN"/>
        </w:rPr>
      </w:pPr>
      <w:r>
        <w:rPr>
          <w:color w:val="auto"/>
          <w:highlight w:val="none"/>
          <w:lang w:eastAsia="zh-CN"/>
        </w:rPr>
        <w:t xml:space="preserve">1) </w:t>
      </w:r>
      <w:r>
        <w:rPr>
          <w:rFonts w:hint="eastAsia"/>
          <w:color w:val="auto"/>
          <w:highlight w:val="none"/>
          <w:lang w:eastAsia="zh-CN"/>
        </w:rPr>
        <w:t xml:space="preserve">结合施工图纸及现场施工情况，出具相关的塞缝及防渗漏专项施工方案。 </w:t>
      </w:r>
    </w:p>
    <w:p>
      <w:pPr>
        <w:bidi w:val="0"/>
        <w:rPr>
          <w:color w:val="auto"/>
          <w:highlight w:val="none"/>
          <w:lang w:eastAsia="zh-CN"/>
        </w:rPr>
      </w:pPr>
      <w:r>
        <w:rPr>
          <w:color w:val="auto"/>
          <w:highlight w:val="none"/>
          <w:lang w:eastAsia="zh-CN"/>
        </w:rPr>
        <w:t>2）</w:t>
      </w:r>
      <w:r>
        <w:rPr>
          <w:rFonts w:hint="eastAsia"/>
          <w:color w:val="auto"/>
          <w:highlight w:val="none"/>
          <w:lang w:eastAsia="zh-CN"/>
        </w:rPr>
        <w:t xml:space="preserve">安装前，应清除洞口周围松动的砂浆、浮渣及浮灰。 </w:t>
      </w:r>
    </w:p>
    <w:p>
      <w:pPr>
        <w:bidi w:val="0"/>
        <w:rPr>
          <w:rFonts w:hint="eastAsia"/>
          <w:color w:val="auto"/>
          <w:highlight w:val="none"/>
          <w:lang w:eastAsia="zh-CN"/>
        </w:rPr>
      </w:pPr>
      <w:r>
        <w:rPr>
          <w:color w:val="auto"/>
          <w:highlight w:val="none"/>
          <w:lang w:eastAsia="zh-CN"/>
        </w:rPr>
        <w:t xml:space="preserve">3) </w:t>
      </w:r>
      <w:r>
        <w:rPr>
          <w:rFonts w:hint="eastAsia"/>
          <w:color w:val="auto"/>
          <w:highlight w:val="none"/>
          <w:lang w:eastAsia="zh-CN"/>
        </w:rPr>
        <w:t xml:space="preserve">塞缝材料要求：外窗应采用干硬性防水砂浆塞缝。干硬性防水砂浆按水泥：砂子＝1:2~1:3 配制，掺入 4%水泥用量的防水粉和防开裂纤维材料，加水量以砂浆手捏成团、落地开花为宜。 </w:t>
      </w:r>
    </w:p>
    <w:p>
      <w:pPr>
        <w:bidi w:val="0"/>
        <w:rPr>
          <w:rFonts w:hint="eastAsia"/>
          <w:color w:val="auto"/>
          <w:highlight w:val="none"/>
          <w:lang w:eastAsia="zh-CN"/>
        </w:rPr>
      </w:pPr>
      <w:r>
        <w:rPr>
          <w:rFonts w:hint="eastAsia"/>
          <w:color w:val="auto"/>
          <w:highlight w:val="none"/>
          <w:lang w:eastAsia="zh-CN"/>
        </w:rPr>
        <w:t>水泥强度等级不应低于32.5级，不得使用过期或受潮结块水泥；砂宜采用中砂，粒径3mm以下，含泥量不得大于1%，硫化物和硫酸盐含量不得大于1%；水应采用不含有害物质的洁净水；聚合物乳液的外观质量要求无颗粒、异物和凝固物；外加剂的技术性能应符合国家或行业标准一等品及以上的质量要求</w:t>
      </w:r>
    </w:p>
    <w:p>
      <w:pPr>
        <w:bidi w:val="0"/>
        <w:rPr>
          <w:color w:val="auto"/>
          <w:highlight w:val="none"/>
          <w:lang w:eastAsia="zh-CN"/>
        </w:rPr>
      </w:pPr>
      <w:r>
        <w:rPr>
          <w:color w:val="auto"/>
          <w:highlight w:val="none"/>
          <w:lang w:eastAsia="zh-CN"/>
        </w:rPr>
        <w:t xml:space="preserve">4) </w:t>
      </w:r>
      <w:r>
        <w:rPr>
          <w:rFonts w:hint="eastAsia"/>
          <w:color w:val="auto"/>
          <w:highlight w:val="none"/>
          <w:lang w:eastAsia="zh-CN"/>
        </w:rPr>
        <w:t xml:space="preserve"> 塞缝做法要求：对门窗框与墙体缝隙或钢副框与墙体缝隙，四周均采用干硬性防水砂浆塞缝。</w:t>
      </w:r>
    </w:p>
    <w:p>
      <w:pPr>
        <w:bidi w:val="0"/>
        <w:rPr>
          <w:color w:val="auto"/>
          <w:highlight w:val="none"/>
          <w:lang w:eastAsia="zh-CN"/>
        </w:rPr>
      </w:pPr>
      <w:r>
        <w:rPr>
          <w:color w:val="auto"/>
          <w:highlight w:val="none"/>
          <w:lang w:eastAsia="zh-CN"/>
        </w:rPr>
        <w:t xml:space="preserve">5) </w:t>
      </w:r>
      <w:r>
        <w:rPr>
          <w:rFonts w:hint="eastAsia"/>
          <w:color w:val="auto"/>
          <w:highlight w:val="none"/>
          <w:lang w:eastAsia="zh-CN"/>
        </w:rPr>
        <w:t xml:space="preserve">塞缝前清理要求：门窗框与墙体间干硬性防水砂浆塞缝前，应取出窗框临时固定木楔，清扫干净，并将墙体淋湿。 </w:t>
      </w:r>
    </w:p>
    <w:p>
      <w:pPr>
        <w:bidi w:val="0"/>
        <w:rPr>
          <w:color w:val="auto"/>
          <w:highlight w:val="none"/>
          <w:lang w:eastAsia="zh-CN"/>
        </w:rPr>
      </w:pPr>
      <w:r>
        <w:rPr>
          <w:color w:val="auto"/>
          <w:highlight w:val="none"/>
          <w:lang w:eastAsia="zh-CN"/>
        </w:rPr>
        <w:t xml:space="preserve">6) </w:t>
      </w:r>
      <w:r>
        <w:rPr>
          <w:rFonts w:hint="eastAsia"/>
          <w:color w:val="auto"/>
          <w:highlight w:val="none"/>
          <w:lang w:eastAsia="zh-CN"/>
        </w:rPr>
        <w:t xml:space="preserve">防水砂浆养护要求：在防水砂浆终凝后，应连续浇水养护不少于 3 天。 </w:t>
      </w:r>
    </w:p>
    <w:p>
      <w:pPr>
        <w:bidi w:val="0"/>
        <w:rPr>
          <w:color w:val="auto"/>
          <w:highlight w:val="none"/>
          <w:lang w:eastAsia="zh-CN"/>
        </w:rPr>
      </w:pPr>
      <w:r>
        <w:rPr>
          <w:color w:val="auto"/>
          <w:highlight w:val="none"/>
          <w:lang w:eastAsia="zh-CN"/>
        </w:rPr>
        <w:t xml:space="preserve">7) </w:t>
      </w:r>
      <w:r>
        <w:rPr>
          <w:rFonts w:hint="eastAsia"/>
          <w:color w:val="auto"/>
          <w:highlight w:val="none"/>
          <w:lang w:eastAsia="zh-CN"/>
        </w:rPr>
        <w:t xml:space="preserve">塞缝监管要求：应加强窗框四周塞缝的监控管理，如专人负责管理、专人施工、严格控制防水砂浆配合比、样板先行、加强技术交底、严格进行淋水试验等。 </w:t>
      </w:r>
    </w:p>
    <w:p>
      <w:pPr>
        <w:bidi w:val="0"/>
        <w:rPr>
          <w:color w:val="auto"/>
          <w:highlight w:val="none"/>
          <w:lang w:eastAsia="zh-CN"/>
        </w:rPr>
      </w:pPr>
      <w:r>
        <w:rPr>
          <w:color w:val="auto"/>
          <w:highlight w:val="none"/>
          <w:lang w:eastAsia="zh-CN"/>
        </w:rPr>
        <w:t>8)</w:t>
      </w:r>
      <w:r>
        <w:rPr>
          <w:rFonts w:hint="eastAsia"/>
          <w:color w:val="auto"/>
          <w:highlight w:val="none"/>
          <w:lang w:eastAsia="zh-CN"/>
        </w:rPr>
        <w:t xml:space="preserve"> 防水加强层：在塞缝养护完成后，应刷JS 防水涂料，总厚度大于 1.5mm，防水涂料接窗框5mm，涂刷范围外翻立面墙体</w:t>
      </w:r>
      <w:r>
        <w:rPr>
          <w:rFonts w:hint="eastAsia"/>
          <w:color w:val="auto"/>
          <w:highlight w:val="none"/>
          <w:lang w:val="en-US" w:eastAsia="zh-CN"/>
        </w:rPr>
        <w:t>100mm</w:t>
      </w:r>
      <w:r>
        <w:rPr>
          <w:rFonts w:hint="eastAsia"/>
          <w:color w:val="auto"/>
          <w:highlight w:val="none"/>
          <w:lang w:eastAsia="zh-CN"/>
        </w:rPr>
        <w:t>，费用包含在门窗工程内，不另行计算。</w:t>
      </w:r>
    </w:p>
    <w:p>
      <w:pPr>
        <w:bidi w:val="0"/>
        <w:rPr>
          <w:color w:val="auto"/>
          <w:highlight w:val="none"/>
          <w:lang w:eastAsia="zh-CN"/>
        </w:rPr>
      </w:pPr>
      <w:r>
        <w:rPr>
          <w:color w:val="auto"/>
          <w:highlight w:val="none"/>
          <w:lang w:eastAsia="zh-CN"/>
        </w:rPr>
        <w:t xml:space="preserve">9) </w:t>
      </w:r>
      <w:r>
        <w:rPr>
          <w:rFonts w:hint="eastAsia"/>
          <w:color w:val="auto"/>
          <w:highlight w:val="none"/>
          <w:lang w:eastAsia="zh-CN"/>
        </w:rPr>
        <w:t xml:space="preserve">密封胶施工：土建外装饰面层与窗框交接面应预留不小于6mm×6mm 的密封胶槽。预留胶槽打胶时，基层应干燥以避免胶干后收缩使装饰面层开裂而导致渗水。应确保胶缝密实、连续、饱满，胶缝宽度以 15mm 左右为宜。同时，为达到胶缝的美观精致，窗框及外饰面上可粘贴美纹纸。密封胶应选取用中性硅酮密封胶。严禁将密封胶施打在涂料面层上。 </w:t>
      </w:r>
    </w:p>
    <w:p>
      <w:pPr>
        <w:bidi w:val="0"/>
        <w:rPr>
          <w:color w:val="auto"/>
          <w:highlight w:val="none"/>
          <w:lang w:eastAsia="zh-CN"/>
        </w:rPr>
      </w:pPr>
      <w:r>
        <w:rPr>
          <w:rFonts w:hint="eastAsia"/>
          <w:color w:val="auto"/>
          <w:highlight w:val="none"/>
          <w:lang w:eastAsia="zh-CN"/>
        </w:rPr>
        <w:t xml:space="preserve">（2）门窗安装技术要求： </w:t>
      </w:r>
    </w:p>
    <w:p>
      <w:pPr>
        <w:bidi w:val="0"/>
        <w:rPr>
          <w:color w:val="auto"/>
          <w:highlight w:val="none"/>
          <w:lang w:eastAsia="zh-CN"/>
        </w:rPr>
      </w:pPr>
      <w:r>
        <w:rPr>
          <w:color w:val="auto"/>
          <w:highlight w:val="none"/>
          <w:lang w:eastAsia="zh-CN"/>
        </w:rPr>
        <w:t xml:space="preserve">1) </w:t>
      </w:r>
      <w:r>
        <w:rPr>
          <w:rFonts w:hint="eastAsia"/>
          <w:color w:val="auto"/>
          <w:highlight w:val="none"/>
          <w:lang w:eastAsia="zh-CN"/>
        </w:rPr>
        <w:t xml:space="preserve">非副框法门窗框安装要求： </w:t>
      </w:r>
    </w:p>
    <w:p>
      <w:pPr>
        <w:bidi w:val="0"/>
        <w:rPr>
          <w:color w:val="auto"/>
          <w:highlight w:val="none"/>
          <w:lang w:eastAsia="zh-CN"/>
        </w:rPr>
      </w:pPr>
      <w:r>
        <w:rPr>
          <w:color w:val="auto"/>
          <w:highlight w:val="none"/>
          <w:lang w:eastAsia="zh-CN"/>
        </w:rPr>
        <w:t>a.</w:t>
      </w:r>
      <w:r>
        <w:rPr>
          <w:rFonts w:hint="eastAsia"/>
          <w:color w:val="auto"/>
          <w:highlight w:val="none"/>
          <w:lang w:eastAsia="zh-CN"/>
        </w:rPr>
        <w:t xml:space="preserve">铝合金门窗接触墙体的框面，必须认真做好防腐处理：一般在安装前应刷沥青酚醛表漆二度，并防止堵塞物划伤防腐面层。 </w:t>
      </w:r>
    </w:p>
    <w:p>
      <w:pPr>
        <w:bidi w:val="0"/>
        <w:rPr>
          <w:color w:val="auto"/>
          <w:highlight w:val="none"/>
          <w:lang w:eastAsia="zh-CN"/>
        </w:rPr>
      </w:pPr>
      <w:r>
        <w:rPr>
          <w:color w:val="auto"/>
          <w:highlight w:val="none"/>
          <w:lang w:eastAsia="zh-CN"/>
        </w:rPr>
        <w:t>b.</w:t>
      </w:r>
      <w:r>
        <w:rPr>
          <w:rFonts w:hint="eastAsia"/>
          <w:color w:val="auto"/>
          <w:highlight w:val="none"/>
          <w:lang w:eastAsia="zh-CN"/>
        </w:rPr>
        <w:t xml:space="preserve">当门窗框与墙体间采用固定片固定时，固定片应内高外低；固定片要求为： </w:t>
      </w:r>
    </w:p>
    <w:p>
      <w:pPr>
        <w:bidi w:val="0"/>
        <w:rPr>
          <w:color w:val="auto"/>
          <w:highlight w:val="none"/>
          <w:lang w:eastAsia="zh-CN"/>
        </w:rPr>
      </w:pPr>
      <w:r>
        <w:rPr>
          <w:rFonts w:hint="eastAsia"/>
          <w:color w:val="auto"/>
          <w:highlight w:val="none"/>
          <w:lang w:eastAsia="zh-CN"/>
        </w:rPr>
        <w:t xml:space="preserve">厚度不少于1.5㎜、宽度不少于20㎜的镀锌钢片，材质为 Q235。固定片间距需满足规范要求，固定片应固定在预制混凝土块上，固定片应距离中横框、中竖框、窗角位置不大于 150mm,不得将固定片直接固定在中横框、中竖框、窗角的挡头上。门窗框牢固固定在砼结构或砖结构或其他结构上，严禁将固定片固定在不能承受荷载的砌体结构上。固定片与窗框连接应采用自攻螺钉固定，不得仅靠卡紧方式固定。钉孔内应注硅酮密封胶，以保证连接处密封。紧固件端头及拼樘料与门窗框间的缝隙应采用密封胶密封。 </w:t>
      </w:r>
    </w:p>
    <w:p>
      <w:pPr>
        <w:pStyle w:val="3"/>
        <w:bidi w:val="0"/>
        <w:rPr>
          <w:color w:val="auto"/>
          <w:highlight w:val="none"/>
        </w:rPr>
      </w:pPr>
      <w:bookmarkStart w:id="807" w:name="_Toc27142"/>
      <w:bookmarkStart w:id="808" w:name="_Toc11253"/>
      <w:bookmarkStart w:id="809" w:name="_Toc4136"/>
      <w:bookmarkStart w:id="810" w:name="_Toc14649"/>
      <w:bookmarkStart w:id="811" w:name="_Toc15702"/>
      <w:bookmarkStart w:id="812" w:name="_Toc11868"/>
      <w:bookmarkStart w:id="813" w:name="_Toc17151"/>
      <w:bookmarkStart w:id="814" w:name="_Toc32703"/>
      <w:bookmarkStart w:id="815" w:name="_Toc14858"/>
      <w:bookmarkStart w:id="816" w:name="_Toc15304"/>
      <w:bookmarkStart w:id="817" w:name="_Toc800"/>
      <w:r>
        <w:rPr>
          <w:rFonts w:hint="eastAsia"/>
          <w:color w:val="auto"/>
          <w:highlight w:val="none"/>
        </w:rPr>
        <w:t>屋面工程技术要求</w:t>
      </w:r>
      <w:bookmarkEnd w:id="805"/>
      <w:bookmarkEnd w:id="806"/>
      <w:bookmarkEnd w:id="807"/>
      <w:bookmarkEnd w:id="808"/>
      <w:bookmarkEnd w:id="809"/>
      <w:bookmarkEnd w:id="810"/>
      <w:bookmarkEnd w:id="811"/>
      <w:bookmarkEnd w:id="812"/>
      <w:bookmarkEnd w:id="813"/>
      <w:bookmarkEnd w:id="814"/>
      <w:bookmarkEnd w:id="815"/>
      <w:bookmarkEnd w:id="816"/>
      <w:bookmarkEnd w:id="817"/>
    </w:p>
    <w:p>
      <w:pPr>
        <w:pStyle w:val="4"/>
        <w:bidi w:val="0"/>
        <w:rPr>
          <w:color w:val="auto"/>
          <w:highlight w:val="none"/>
        </w:rPr>
      </w:pPr>
      <w:r>
        <w:rPr>
          <w:rFonts w:hint="eastAsia"/>
          <w:color w:val="auto"/>
          <w:highlight w:val="none"/>
        </w:rPr>
        <w:t>光棚、屋面栏杆油漆均匀，无流坠起皱，无锈斑，焊缝饱满，无漏焊、脱焊现象。</w:t>
      </w:r>
    </w:p>
    <w:p>
      <w:pPr>
        <w:pStyle w:val="4"/>
        <w:bidi w:val="0"/>
        <w:rPr>
          <w:color w:val="auto"/>
          <w:highlight w:val="none"/>
        </w:rPr>
      </w:pPr>
      <w:r>
        <w:rPr>
          <w:rFonts w:hint="eastAsia"/>
          <w:color w:val="auto"/>
          <w:highlight w:val="none"/>
        </w:rPr>
        <w:t>飘板、柱表面光滑平整，线角顺直，涂料均匀无色差。</w:t>
      </w:r>
    </w:p>
    <w:p>
      <w:pPr>
        <w:pStyle w:val="4"/>
        <w:bidi w:val="0"/>
        <w:rPr>
          <w:color w:val="auto"/>
          <w:highlight w:val="none"/>
        </w:rPr>
      </w:pPr>
      <w:r>
        <w:rPr>
          <w:rFonts w:hint="eastAsia"/>
          <w:color w:val="auto"/>
          <w:highlight w:val="none"/>
        </w:rPr>
        <w:t>屋面地坪找坡准确，天沟部位防水卷材铺贴密实，无孔洞，裂口，裂缝。天沟排水通畅，无明显积水。整个屋面24小时蓄水无渗漏。</w:t>
      </w:r>
    </w:p>
    <w:p>
      <w:pPr>
        <w:pStyle w:val="4"/>
        <w:bidi w:val="0"/>
        <w:rPr>
          <w:color w:val="auto"/>
          <w:highlight w:val="none"/>
        </w:rPr>
      </w:pPr>
      <w:r>
        <w:rPr>
          <w:rFonts w:hint="eastAsia"/>
          <w:color w:val="auto"/>
          <w:highlight w:val="none"/>
        </w:rPr>
        <w:t>屋面施工前总承包人需对屋面防水节点进行深化设计，经监理人/发包人确认后方可进行施工。</w:t>
      </w:r>
    </w:p>
    <w:p>
      <w:pPr>
        <w:pStyle w:val="4"/>
        <w:bidi w:val="0"/>
        <w:rPr>
          <w:color w:val="auto"/>
          <w:highlight w:val="none"/>
        </w:rPr>
      </w:pPr>
      <w:r>
        <w:rPr>
          <w:rFonts w:hint="eastAsia"/>
          <w:color w:val="auto"/>
          <w:highlight w:val="none"/>
        </w:rPr>
        <w:t>屋面工程预先排版，分格整齐，管线支架、排气口、雨水口、柱脚、女儿墙等细部处理精细。</w:t>
      </w:r>
    </w:p>
    <w:p>
      <w:pPr>
        <w:pStyle w:val="3"/>
        <w:bidi w:val="0"/>
        <w:rPr>
          <w:color w:val="auto"/>
          <w:highlight w:val="none"/>
        </w:rPr>
      </w:pPr>
      <w:bookmarkStart w:id="818" w:name="_Toc3382"/>
      <w:bookmarkStart w:id="819" w:name="_Toc13805"/>
      <w:bookmarkStart w:id="820" w:name="_Toc7041"/>
      <w:bookmarkStart w:id="821" w:name="_Toc29828"/>
      <w:bookmarkStart w:id="822" w:name="_Toc10774"/>
      <w:bookmarkStart w:id="823" w:name="_Toc12217"/>
      <w:bookmarkStart w:id="824" w:name="_Toc169722239"/>
      <w:bookmarkStart w:id="825" w:name="_Toc14865"/>
      <w:bookmarkStart w:id="826" w:name="_Toc422854862"/>
      <w:bookmarkStart w:id="827" w:name="_Toc7088"/>
      <w:bookmarkStart w:id="828" w:name="_Toc31130"/>
      <w:bookmarkStart w:id="829" w:name="_Toc28322"/>
      <w:bookmarkStart w:id="830" w:name="_Toc29231"/>
      <w:r>
        <w:rPr>
          <w:rFonts w:hint="eastAsia"/>
          <w:color w:val="auto"/>
          <w:highlight w:val="none"/>
        </w:rPr>
        <w:t>防渗漏专项工程技术要求</w:t>
      </w:r>
      <w:bookmarkEnd w:id="818"/>
      <w:bookmarkEnd w:id="819"/>
      <w:bookmarkEnd w:id="820"/>
      <w:bookmarkEnd w:id="821"/>
      <w:bookmarkEnd w:id="822"/>
      <w:bookmarkEnd w:id="823"/>
      <w:bookmarkEnd w:id="824"/>
      <w:bookmarkEnd w:id="825"/>
      <w:bookmarkEnd w:id="826"/>
      <w:bookmarkEnd w:id="827"/>
      <w:bookmarkEnd w:id="828"/>
      <w:bookmarkEnd w:id="829"/>
      <w:bookmarkEnd w:id="830"/>
    </w:p>
    <w:p>
      <w:pPr>
        <w:bidi w:val="0"/>
        <w:rPr>
          <w:color w:val="auto"/>
          <w:highlight w:val="none"/>
        </w:rPr>
      </w:pPr>
      <w:r>
        <w:rPr>
          <w:rFonts w:hint="eastAsia"/>
          <w:color w:val="auto"/>
          <w:highlight w:val="none"/>
        </w:rPr>
        <w:t>总承包人对自行承建工程涉及的渗漏问题负责，做好防渗漏专项策划及深化设计，精心施工防水工程，确保防渗漏效果。</w:t>
      </w:r>
    </w:p>
    <w:p>
      <w:pPr>
        <w:bidi w:val="0"/>
        <w:rPr>
          <w:color w:val="auto"/>
          <w:highlight w:val="none"/>
        </w:rPr>
      </w:pPr>
      <w:r>
        <w:rPr>
          <w:rFonts w:hint="eastAsia"/>
          <w:color w:val="auto"/>
          <w:highlight w:val="none"/>
        </w:rPr>
        <w:t>防渗漏的所有节点及构造做法均需满足技术标准化要求。</w:t>
      </w:r>
    </w:p>
    <w:p>
      <w:pPr>
        <w:bidi w:val="0"/>
        <w:rPr>
          <w:color w:val="auto"/>
          <w:highlight w:val="none"/>
        </w:rPr>
      </w:pPr>
      <w:r>
        <w:rPr>
          <w:rFonts w:hint="eastAsia"/>
          <w:color w:val="auto"/>
          <w:highlight w:val="none"/>
        </w:rPr>
        <w:t>屋面、地</w:t>
      </w:r>
      <w:r>
        <w:rPr>
          <w:color w:val="auto"/>
          <w:highlight w:val="none"/>
        </w:rPr>
        <w:t>下室</w:t>
      </w:r>
      <w:r>
        <w:rPr>
          <w:rFonts w:hint="eastAsia"/>
          <w:color w:val="auto"/>
          <w:highlight w:val="none"/>
        </w:rPr>
        <w:t>底</w:t>
      </w:r>
      <w:r>
        <w:rPr>
          <w:color w:val="auto"/>
          <w:highlight w:val="none"/>
        </w:rPr>
        <w:t>板</w:t>
      </w:r>
      <w:r>
        <w:rPr>
          <w:rFonts w:hint="eastAsia"/>
          <w:color w:val="auto"/>
          <w:highlight w:val="none"/>
        </w:rPr>
        <w:t>（</w:t>
      </w:r>
      <w:r>
        <w:rPr>
          <w:color w:val="auto"/>
          <w:highlight w:val="none"/>
        </w:rPr>
        <w:t>若有）、</w:t>
      </w:r>
      <w:r>
        <w:rPr>
          <w:rFonts w:hint="eastAsia"/>
          <w:color w:val="auto"/>
          <w:highlight w:val="none"/>
        </w:rPr>
        <w:t>地下室顶板</w:t>
      </w:r>
      <w:r>
        <w:rPr>
          <w:color w:val="auto"/>
          <w:highlight w:val="none"/>
        </w:rPr>
        <w:t>/</w:t>
      </w:r>
      <w:r>
        <w:rPr>
          <w:rFonts w:hint="eastAsia"/>
          <w:color w:val="auto"/>
          <w:highlight w:val="none"/>
        </w:rPr>
        <w:t>侧墙、卫生间、阳台</w:t>
      </w:r>
      <w:r>
        <w:rPr>
          <w:color w:val="auto"/>
          <w:highlight w:val="none"/>
        </w:rPr>
        <w:t>、</w:t>
      </w:r>
      <w:r>
        <w:rPr>
          <w:rFonts w:hint="eastAsia"/>
          <w:color w:val="auto"/>
          <w:highlight w:val="none"/>
        </w:rPr>
        <w:t>消防水池、游泳池等部位必须在结构完成堵漏并经试水合格后才能开展防水施工。</w:t>
      </w:r>
    </w:p>
    <w:p>
      <w:pPr>
        <w:pStyle w:val="4"/>
        <w:bidi w:val="0"/>
        <w:rPr>
          <w:color w:val="auto"/>
          <w:highlight w:val="none"/>
        </w:rPr>
      </w:pPr>
      <w:r>
        <w:rPr>
          <w:rFonts w:hint="eastAsia"/>
          <w:color w:val="auto"/>
          <w:highlight w:val="none"/>
        </w:rPr>
        <w:t>地下室防渗漏</w:t>
      </w:r>
    </w:p>
    <w:p>
      <w:pPr>
        <w:pStyle w:val="5"/>
        <w:bidi w:val="0"/>
        <w:rPr>
          <w:color w:val="auto"/>
          <w:highlight w:val="none"/>
          <w:lang w:eastAsia="zh-CN"/>
        </w:rPr>
      </w:pPr>
      <w:r>
        <w:rPr>
          <w:rFonts w:hint="eastAsia"/>
          <w:color w:val="auto"/>
          <w:highlight w:val="none"/>
          <w:lang w:eastAsia="zh-CN"/>
        </w:rPr>
        <w:t>防渗漏原则</w:t>
      </w:r>
    </w:p>
    <w:p>
      <w:pPr>
        <w:bidi w:val="0"/>
        <w:rPr>
          <w:rFonts w:hint="eastAsia"/>
          <w:color w:val="auto"/>
          <w:highlight w:val="none"/>
          <w:lang w:eastAsia="zh-CN"/>
        </w:rPr>
      </w:pPr>
      <w:r>
        <w:rPr>
          <w:rFonts w:hint="eastAsia"/>
          <w:color w:val="auto"/>
          <w:highlight w:val="none"/>
          <w:lang w:eastAsia="zh-CN"/>
        </w:rPr>
        <w:t>应有完善可靠的防水设计，多道设防。坚持结构自防水为主，立足于密实的混凝土达到相关规范要求防水年限的目标。应重点关注细部节点的防水深化设计</w:t>
      </w:r>
      <w:r>
        <w:rPr>
          <w:color w:val="auto"/>
          <w:highlight w:val="none"/>
          <w:lang w:eastAsia="zh-CN"/>
        </w:rPr>
        <w:t>,</w:t>
      </w:r>
      <w:r>
        <w:rPr>
          <w:rFonts w:hint="eastAsia"/>
          <w:color w:val="auto"/>
          <w:highlight w:val="none"/>
          <w:lang w:eastAsia="zh-CN"/>
        </w:rPr>
        <w:t>在施工图的基础上，对底板基坑部位、外墙出入口部位、顶板标高变化复杂部位进行深化设计。</w:t>
      </w:r>
    </w:p>
    <w:p>
      <w:pPr>
        <w:pStyle w:val="5"/>
        <w:bidi w:val="0"/>
        <w:rPr>
          <w:rFonts w:hint="eastAsia"/>
          <w:color w:val="auto"/>
          <w:highlight w:val="none"/>
          <w:lang w:val="en-US" w:eastAsia="zh-CN"/>
        </w:rPr>
      </w:pPr>
      <w:r>
        <w:rPr>
          <w:rFonts w:hint="eastAsia"/>
          <w:color w:val="auto"/>
          <w:highlight w:val="none"/>
          <w:lang w:val="en-US" w:eastAsia="zh-CN"/>
        </w:rPr>
        <w:t>技术要求</w:t>
      </w:r>
    </w:p>
    <w:p>
      <w:pPr>
        <w:bidi w:val="0"/>
        <w:rPr>
          <w:rFonts w:hint="eastAsia"/>
          <w:color w:val="auto"/>
          <w:highlight w:val="none"/>
          <w:lang w:eastAsia="zh-CN"/>
        </w:rPr>
      </w:pPr>
      <w:r>
        <w:rPr>
          <w:rFonts w:hint="eastAsia"/>
          <w:color w:val="auto"/>
          <w:highlight w:val="none"/>
          <w:lang w:val="en-US" w:eastAsia="zh-CN"/>
        </w:rPr>
        <w:t xml:space="preserve">1）保证混凝土浇筑振捣密实，振捣棒振捣间距控制在500mm，每点振捣15~20s，地下室外墙分层浇筑，底板大体积混凝土斜向分层浇筑，每层振捣时，振捣棒下插至下一层内部150mm，振捣棒按振捣深度做刻度标记，保证每层混凝土结合效果；地下室外墙混凝土浇筑前，在外墙模板上口顶部使用油漆标记对拉止水螺杆位置，振捣时避开螺杆位置，避免止水螺杆脱落。 </w:t>
      </w:r>
    </w:p>
    <w:p>
      <w:pPr>
        <w:bidi w:val="0"/>
        <w:rPr>
          <w:rFonts w:hint="eastAsia"/>
          <w:color w:val="auto"/>
          <w:highlight w:val="none"/>
          <w:lang w:eastAsia="zh-CN"/>
        </w:rPr>
      </w:pPr>
      <w:r>
        <w:rPr>
          <w:rFonts w:hint="eastAsia"/>
          <w:color w:val="auto"/>
          <w:highlight w:val="none"/>
          <w:lang w:val="en-US" w:eastAsia="zh-CN"/>
        </w:rPr>
        <w:t xml:space="preserve">2）不得为施工方便或节省工期，取消沉降后浇带、温度后浇带；或将沉降后浇带改为温度后浇带施工，避免超长混凝土墙板收缩裂缝渗漏，或影响结构安全。按跳仓法施工除外。 </w:t>
      </w:r>
    </w:p>
    <w:p>
      <w:pPr>
        <w:bidi w:val="0"/>
        <w:rPr>
          <w:rFonts w:hint="eastAsia"/>
          <w:color w:val="auto"/>
          <w:highlight w:val="none"/>
          <w:lang w:eastAsia="zh-CN"/>
        </w:rPr>
      </w:pPr>
      <w:r>
        <w:rPr>
          <w:rFonts w:hint="eastAsia"/>
          <w:color w:val="auto"/>
          <w:highlight w:val="none"/>
          <w:lang w:val="en-US" w:eastAsia="zh-CN"/>
        </w:rPr>
        <w:t xml:space="preserve">3）地下室顶板不得堆放重物，不可避免时，必须经过严格验算，出具专项方案，并严格按方案执行。 </w:t>
      </w:r>
    </w:p>
    <w:p>
      <w:pPr>
        <w:bidi w:val="0"/>
        <w:rPr>
          <w:rFonts w:hint="eastAsia"/>
          <w:color w:val="auto"/>
          <w:highlight w:val="none"/>
          <w:lang w:val="en-US" w:eastAsia="zh-CN"/>
        </w:rPr>
      </w:pPr>
      <w:r>
        <w:rPr>
          <w:rFonts w:hint="eastAsia"/>
          <w:color w:val="auto"/>
          <w:highlight w:val="none"/>
          <w:lang w:val="en-US" w:eastAsia="zh-CN"/>
        </w:rPr>
        <w:t xml:space="preserve">4）地下室外墙、出地下室顶板构筑物，在混凝土浇筑时一次性浇筑高度不小于300mm的导墙（人防墙不小于500mm），避免将施工缝留置于薄弱部位。 </w:t>
      </w:r>
    </w:p>
    <w:p>
      <w:pPr>
        <w:bidi w:val="0"/>
        <w:rPr>
          <w:rFonts w:hint="eastAsia"/>
          <w:color w:val="auto"/>
          <w:highlight w:val="none"/>
          <w:lang w:val="en-US" w:eastAsia="zh-CN"/>
        </w:rPr>
      </w:pPr>
      <w:r>
        <w:rPr>
          <w:rFonts w:hint="eastAsia"/>
          <w:color w:val="auto"/>
          <w:highlight w:val="none"/>
          <w:lang w:val="en-US" w:eastAsia="zh-CN"/>
        </w:rPr>
        <w:t>5）防水混凝土施工缝、后浇带全部预埋不小于300mm宽（或按设计宽度）的钢板止水带，外露1/2宽度，其中转角处使用阴阳角、 十字或丁字型预制成品钢板止水带，现场只做平直段对接焊接，搭接长度不小于100mm，双面满焊，平直段钢板止水带也应在后台加工厂尽量焊接一定长度，再安装就位，避免由于现场工作面狭窄影响焊接质量。</w:t>
      </w:r>
    </w:p>
    <w:p>
      <w:pPr>
        <w:bidi w:val="0"/>
        <w:rPr>
          <w:rFonts w:hint="eastAsia"/>
          <w:color w:val="auto"/>
          <w:highlight w:val="none"/>
          <w:lang w:eastAsia="zh-CN"/>
        </w:rPr>
      </w:pPr>
      <w:r>
        <w:rPr>
          <w:rFonts w:hint="eastAsia"/>
          <w:color w:val="auto"/>
          <w:highlight w:val="none"/>
          <w:lang w:val="en-US" w:eastAsia="zh-CN"/>
        </w:rPr>
        <w:t>6）防水混凝土终凝后，养护不少于14天。</w:t>
      </w:r>
    </w:p>
    <w:p>
      <w:pPr>
        <w:pStyle w:val="5"/>
        <w:bidi w:val="0"/>
        <w:rPr>
          <w:color w:val="auto"/>
          <w:highlight w:val="none"/>
          <w:lang w:eastAsia="zh-CN"/>
        </w:rPr>
      </w:pPr>
      <w:r>
        <w:rPr>
          <w:rFonts w:hint="eastAsia"/>
          <w:color w:val="auto"/>
          <w:highlight w:val="none"/>
          <w:lang w:eastAsia="zh-CN"/>
        </w:rPr>
        <w:t>施工要求</w:t>
      </w:r>
    </w:p>
    <w:p>
      <w:pPr>
        <w:bidi w:val="0"/>
        <w:rPr>
          <w:color w:val="auto"/>
          <w:highlight w:val="none"/>
          <w:lang w:eastAsia="zh-CN"/>
        </w:rPr>
      </w:pPr>
      <w:r>
        <w:rPr>
          <w:rFonts w:hint="eastAsia"/>
          <w:color w:val="auto"/>
          <w:highlight w:val="none"/>
          <w:lang w:val="en-US" w:eastAsia="zh-CN"/>
        </w:rPr>
        <w:t>1）</w:t>
      </w:r>
      <w:r>
        <w:rPr>
          <w:rFonts w:hint="eastAsia"/>
          <w:color w:val="auto"/>
          <w:highlight w:val="none"/>
          <w:lang w:eastAsia="zh-CN"/>
        </w:rPr>
        <w:t>混凝土基层应洁净、平整，不得有空鼓、松动、起砂和脱皮现象，如有任何缺陷，应修补平整，修补工作包含堵漏、注浆等。</w:t>
      </w:r>
    </w:p>
    <w:p>
      <w:pPr>
        <w:bidi w:val="0"/>
        <w:rPr>
          <w:color w:val="auto"/>
          <w:highlight w:val="none"/>
          <w:lang w:eastAsia="zh-CN"/>
        </w:rPr>
      </w:pPr>
      <w:r>
        <w:rPr>
          <w:rFonts w:hint="eastAsia"/>
          <w:color w:val="auto"/>
          <w:highlight w:val="none"/>
          <w:lang w:val="en-US" w:eastAsia="zh-CN"/>
        </w:rPr>
        <w:t>2）</w:t>
      </w:r>
      <w:r>
        <w:rPr>
          <w:rFonts w:hint="eastAsia"/>
          <w:color w:val="auto"/>
          <w:highlight w:val="none"/>
          <w:lang w:eastAsia="zh-CN"/>
        </w:rPr>
        <w:t>所有出顶板、屋面的管道管井、墙体与墙体、墙体与地面、墙体与顶板相交的阴角处应使用水泥砂浆抹成半径不小于</w:t>
      </w:r>
      <w:r>
        <w:rPr>
          <w:color w:val="auto"/>
          <w:highlight w:val="none"/>
          <w:lang w:eastAsia="zh-CN"/>
        </w:rPr>
        <w:t>50mm</w:t>
      </w:r>
      <w:r>
        <w:rPr>
          <w:rFonts w:hint="eastAsia"/>
          <w:color w:val="auto"/>
          <w:highlight w:val="none"/>
          <w:lang w:eastAsia="zh-CN"/>
        </w:rPr>
        <w:t>的圆角。</w:t>
      </w:r>
    </w:p>
    <w:p>
      <w:pPr>
        <w:bidi w:val="0"/>
        <w:rPr>
          <w:color w:val="auto"/>
          <w:highlight w:val="none"/>
          <w:lang w:eastAsia="zh-CN"/>
        </w:rPr>
      </w:pPr>
      <w:r>
        <w:rPr>
          <w:rFonts w:hint="eastAsia"/>
          <w:color w:val="auto"/>
          <w:highlight w:val="none"/>
          <w:lang w:val="en-US" w:eastAsia="zh-CN"/>
        </w:rPr>
        <w:t>3）</w:t>
      </w:r>
      <w:r>
        <w:rPr>
          <w:rFonts w:hint="eastAsia"/>
          <w:color w:val="auto"/>
          <w:highlight w:val="none"/>
          <w:lang w:eastAsia="zh-CN"/>
        </w:rPr>
        <w:t>铺贴卷材防水层的搭接缝应粘牢，密封严密，不得有皱折、翘边、起泡等缺陷；防水卷材搭接部位应满粘，搭接宽度长边不小于</w:t>
      </w:r>
      <w:r>
        <w:rPr>
          <w:color w:val="auto"/>
          <w:highlight w:val="none"/>
          <w:lang w:eastAsia="zh-CN"/>
        </w:rPr>
        <w:t>80mm</w:t>
      </w:r>
      <w:r>
        <w:rPr>
          <w:rFonts w:hint="eastAsia"/>
          <w:color w:val="auto"/>
          <w:highlight w:val="none"/>
          <w:lang w:eastAsia="zh-CN"/>
        </w:rPr>
        <w:t>，短边不小于</w:t>
      </w:r>
      <w:r>
        <w:rPr>
          <w:color w:val="auto"/>
          <w:highlight w:val="none"/>
          <w:lang w:eastAsia="zh-CN"/>
        </w:rPr>
        <w:t>100mm</w:t>
      </w:r>
      <w:r>
        <w:rPr>
          <w:rFonts w:hint="eastAsia"/>
          <w:color w:val="auto"/>
          <w:highlight w:val="none"/>
          <w:lang w:eastAsia="zh-CN"/>
        </w:rPr>
        <w:t>；上下两层卷材和相邻两幅卷材接缝应错开</w:t>
      </w:r>
      <w:r>
        <w:rPr>
          <w:color w:val="auto"/>
          <w:highlight w:val="none"/>
          <w:lang w:eastAsia="zh-CN"/>
        </w:rPr>
        <w:t>1/3</w:t>
      </w:r>
      <w:r>
        <w:rPr>
          <w:rFonts w:hint="eastAsia"/>
          <w:color w:val="auto"/>
          <w:highlight w:val="none"/>
          <w:lang w:eastAsia="zh-CN"/>
        </w:rPr>
        <w:t>～</w:t>
      </w:r>
      <w:r>
        <w:rPr>
          <w:color w:val="auto"/>
          <w:highlight w:val="none"/>
          <w:lang w:eastAsia="zh-CN"/>
        </w:rPr>
        <w:t>1/2</w:t>
      </w:r>
      <w:r>
        <w:rPr>
          <w:rFonts w:hint="eastAsia"/>
          <w:color w:val="auto"/>
          <w:highlight w:val="none"/>
          <w:lang w:eastAsia="zh-CN"/>
        </w:rPr>
        <w:t>幅宽且两层卷材不得相互垂直铺贴。</w:t>
      </w:r>
      <w:r>
        <w:rPr>
          <w:color w:val="auto"/>
          <w:highlight w:val="none"/>
          <w:lang w:eastAsia="zh-CN"/>
        </w:rPr>
        <w:t xml:space="preserve"> </w:t>
      </w:r>
    </w:p>
    <w:p>
      <w:pPr>
        <w:bidi w:val="0"/>
        <w:rPr>
          <w:color w:val="auto"/>
          <w:highlight w:val="none"/>
          <w:lang w:eastAsia="zh-CN"/>
        </w:rPr>
      </w:pPr>
      <w:r>
        <w:rPr>
          <w:rFonts w:hint="eastAsia"/>
          <w:color w:val="auto"/>
          <w:highlight w:val="none"/>
          <w:lang w:val="en-US" w:eastAsia="zh-CN"/>
        </w:rPr>
        <w:t>4）</w:t>
      </w:r>
      <w:r>
        <w:rPr>
          <w:rFonts w:hint="eastAsia"/>
          <w:color w:val="auto"/>
          <w:highlight w:val="none"/>
          <w:lang w:eastAsia="zh-CN"/>
        </w:rPr>
        <w:t>采用预铺反粘的防水卷材，搭接部位不得采用钉子固定，集水井、电梯井等结构降板立面与平面交接处设置附加卷材。</w:t>
      </w:r>
    </w:p>
    <w:p>
      <w:pPr>
        <w:bidi w:val="0"/>
        <w:rPr>
          <w:color w:val="auto"/>
          <w:highlight w:val="none"/>
          <w:lang w:eastAsia="zh-CN"/>
        </w:rPr>
      </w:pPr>
      <w:r>
        <w:rPr>
          <w:rFonts w:hint="eastAsia"/>
          <w:color w:val="auto"/>
          <w:highlight w:val="none"/>
          <w:lang w:val="en-US" w:eastAsia="zh-CN"/>
        </w:rPr>
        <w:t>5）</w:t>
      </w:r>
      <w:r>
        <w:rPr>
          <w:rFonts w:hint="eastAsia"/>
          <w:color w:val="auto"/>
          <w:highlight w:val="none"/>
          <w:lang w:eastAsia="zh-CN"/>
        </w:rPr>
        <w:t>底板防水层施工完成后，应及时施工保护层，以免防水层的损坏。</w:t>
      </w:r>
    </w:p>
    <w:p>
      <w:pPr>
        <w:bidi w:val="0"/>
        <w:rPr>
          <w:color w:val="auto"/>
          <w:highlight w:val="none"/>
          <w:lang w:eastAsia="zh-CN"/>
        </w:rPr>
      </w:pPr>
      <w:r>
        <w:rPr>
          <w:rFonts w:hint="eastAsia"/>
          <w:color w:val="auto"/>
          <w:highlight w:val="none"/>
          <w:lang w:val="en-US" w:eastAsia="zh-CN"/>
        </w:rPr>
        <w:t>6）</w:t>
      </w:r>
      <w:r>
        <w:rPr>
          <w:rFonts w:hint="eastAsia"/>
          <w:color w:val="auto"/>
          <w:highlight w:val="none"/>
          <w:lang w:eastAsia="zh-CN"/>
        </w:rPr>
        <w:t>杜绝防水层对水的吸附和毛细渗漏；防止不均匀沉降而拉裂防水层；防水层做至可能渗漏范围以外；防水卷材应接缝严密，形成封闭的整体。</w:t>
      </w:r>
    </w:p>
    <w:p>
      <w:pPr>
        <w:bidi w:val="0"/>
        <w:rPr>
          <w:color w:val="auto"/>
          <w:highlight w:val="none"/>
          <w:lang w:eastAsia="zh-CN"/>
        </w:rPr>
      </w:pPr>
      <w:r>
        <w:rPr>
          <w:rFonts w:hint="eastAsia"/>
          <w:color w:val="auto"/>
          <w:highlight w:val="none"/>
          <w:lang w:val="en-US" w:eastAsia="zh-CN"/>
        </w:rPr>
        <w:t>7）</w:t>
      </w:r>
      <w:r>
        <w:rPr>
          <w:rFonts w:hint="eastAsia"/>
          <w:color w:val="auto"/>
          <w:highlight w:val="none"/>
          <w:lang w:eastAsia="zh-CN"/>
        </w:rPr>
        <w:t>底板防水施工完成后，承包方应派专人在现场协助监督，防止土建施工工具等尖锐物损坏防水层。一旦发现防水层被破坏，应及时修补，杜绝隐患。</w:t>
      </w:r>
    </w:p>
    <w:p>
      <w:pPr>
        <w:bidi w:val="0"/>
        <w:rPr>
          <w:color w:val="auto"/>
          <w:highlight w:val="none"/>
          <w:lang w:eastAsia="zh-CN"/>
        </w:rPr>
      </w:pPr>
      <w:r>
        <w:rPr>
          <w:rFonts w:hint="eastAsia"/>
          <w:color w:val="auto"/>
          <w:highlight w:val="none"/>
          <w:lang w:val="en-US" w:eastAsia="zh-CN"/>
        </w:rPr>
        <w:t>8）</w:t>
      </w:r>
      <w:r>
        <w:rPr>
          <w:rFonts w:hint="eastAsia"/>
          <w:color w:val="auto"/>
          <w:highlight w:val="none"/>
          <w:lang w:eastAsia="zh-CN"/>
        </w:rPr>
        <w:t>立墙甩出的预留接头。用砂浆粘合并砌两层砖予以保护。立面防水施工结束后，应及时回填、严防架子管、施工工具等抛落造成防水层损坏。</w:t>
      </w:r>
    </w:p>
    <w:p>
      <w:pPr>
        <w:bidi w:val="0"/>
        <w:rPr>
          <w:color w:val="auto"/>
          <w:highlight w:val="none"/>
          <w:lang w:eastAsia="zh-CN"/>
        </w:rPr>
      </w:pPr>
      <w:r>
        <w:rPr>
          <w:rFonts w:hint="eastAsia"/>
          <w:color w:val="auto"/>
          <w:highlight w:val="none"/>
          <w:lang w:val="en-US" w:eastAsia="zh-CN"/>
        </w:rPr>
        <w:t>9）</w:t>
      </w:r>
      <w:r>
        <w:rPr>
          <w:rFonts w:hint="eastAsia"/>
          <w:color w:val="auto"/>
          <w:highlight w:val="none"/>
          <w:lang w:eastAsia="zh-CN"/>
        </w:rPr>
        <w:t>施工过程中质检员应随时、有序的进行质量检查，如发现有破损、扎坏的地方要及时组织人员进行正确、可靠的修补，避免隐患的产生。</w:t>
      </w:r>
    </w:p>
    <w:p>
      <w:pPr>
        <w:bidi w:val="0"/>
        <w:rPr>
          <w:color w:val="auto"/>
          <w:highlight w:val="none"/>
          <w:lang w:eastAsia="zh-CN"/>
        </w:rPr>
      </w:pPr>
      <w:r>
        <w:rPr>
          <w:rFonts w:hint="eastAsia"/>
          <w:color w:val="auto"/>
          <w:highlight w:val="none"/>
          <w:lang w:val="en-US" w:eastAsia="zh-CN"/>
        </w:rPr>
        <w:t>10）</w:t>
      </w:r>
      <w:r>
        <w:rPr>
          <w:rFonts w:hint="eastAsia"/>
          <w:color w:val="auto"/>
          <w:highlight w:val="none"/>
          <w:lang w:eastAsia="zh-CN"/>
        </w:rPr>
        <w:t>若采用预铺反粘型防水卷材时，须注意成品保护，钢筋等杂物不得直接堆放于防水面上，应考虑设置保护垫，以免损坏防水成品。</w:t>
      </w:r>
    </w:p>
    <w:p>
      <w:pPr>
        <w:bidi w:val="0"/>
        <w:rPr>
          <w:rFonts w:hint="eastAsia"/>
          <w:color w:val="auto"/>
          <w:highlight w:val="none"/>
          <w:lang w:eastAsia="zh-CN"/>
        </w:rPr>
      </w:pPr>
      <w:r>
        <w:rPr>
          <w:rFonts w:hint="eastAsia"/>
          <w:color w:val="auto"/>
          <w:highlight w:val="none"/>
          <w:lang w:val="en-US" w:eastAsia="zh-CN"/>
        </w:rPr>
        <w:t>11）</w:t>
      </w:r>
      <w:r>
        <w:rPr>
          <w:rFonts w:hint="eastAsia"/>
          <w:color w:val="auto"/>
          <w:highlight w:val="none"/>
          <w:lang w:eastAsia="zh-CN"/>
        </w:rPr>
        <w:t>后浇带止水钢板必须满足图纸规格标准，搭接长度不得小于5cm且必须双面满焊，转角部位必须使用成品止水钢板，</w:t>
      </w:r>
      <w:r>
        <w:rPr>
          <w:rFonts w:hint="eastAsia"/>
          <w:color w:val="auto"/>
          <w:highlight w:val="none"/>
          <w:lang w:val="en-US" w:eastAsia="zh-CN"/>
        </w:rPr>
        <w:t>成品止水钢板需经监理验收通过后方可进场、使用</w:t>
      </w:r>
      <w:r>
        <w:rPr>
          <w:rFonts w:hint="eastAsia"/>
          <w:color w:val="auto"/>
          <w:highlight w:val="none"/>
          <w:lang w:eastAsia="zh-CN"/>
        </w:rPr>
        <w:t>。</w:t>
      </w:r>
    </w:p>
    <w:p>
      <w:pPr>
        <w:pStyle w:val="5"/>
        <w:bidi w:val="0"/>
        <w:rPr>
          <w:rFonts w:hint="default"/>
          <w:color w:val="auto"/>
          <w:highlight w:val="none"/>
          <w:lang w:val="en-US" w:eastAsia="zh-CN"/>
        </w:rPr>
      </w:pPr>
      <w:r>
        <w:rPr>
          <w:rFonts w:hint="eastAsia"/>
          <w:color w:val="auto"/>
          <w:highlight w:val="none"/>
          <w:lang w:val="en-US" w:eastAsia="zh-CN"/>
        </w:rPr>
        <w:t>防水保护要求</w:t>
      </w:r>
    </w:p>
    <w:p>
      <w:pPr>
        <w:bidi w:val="0"/>
        <w:rPr>
          <w:rFonts w:hint="eastAsia"/>
          <w:color w:val="auto"/>
          <w:highlight w:val="none"/>
          <w:lang w:val="en-US" w:eastAsia="zh-CN"/>
        </w:rPr>
      </w:pPr>
      <w:r>
        <w:rPr>
          <w:rFonts w:hint="eastAsia"/>
          <w:color w:val="auto"/>
          <w:highlight w:val="none"/>
          <w:lang w:val="en-US" w:eastAsia="zh-CN"/>
        </w:rPr>
        <w:t xml:space="preserve">1）防水层施工完成，并且隐蔽验收合格后，应尽快浇筑防水保护层，或砌筑保护墙。 </w:t>
      </w:r>
    </w:p>
    <w:p>
      <w:pPr>
        <w:bidi w:val="0"/>
        <w:rPr>
          <w:rFonts w:hint="eastAsia"/>
          <w:color w:val="auto"/>
          <w:highlight w:val="none"/>
          <w:lang w:val="en-US" w:eastAsia="zh-CN"/>
        </w:rPr>
      </w:pPr>
      <w:r>
        <w:rPr>
          <w:rFonts w:hint="eastAsia"/>
          <w:color w:val="auto"/>
          <w:highlight w:val="none"/>
          <w:lang w:val="en-US" w:eastAsia="zh-CN"/>
        </w:rPr>
        <w:t xml:space="preserve">2）地下室底板、侧墙、顶板防水保护层/保护墙完成后，防水甩茬部分应使用低标号砂浆抹面保护，待下段防水层施工时，进行凿除、清理、搭接。 </w:t>
      </w:r>
    </w:p>
    <w:p>
      <w:pPr>
        <w:bidi w:val="0"/>
        <w:rPr>
          <w:rFonts w:hint="eastAsia"/>
          <w:color w:val="auto"/>
          <w:highlight w:val="none"/>
          <w:lang w:val="en-US" w:eastAsia="zh-CN"/>
        </w:rPr>
      </w:pPr>
      <w:r>
        <w:rPr>
          <w:rFonts w:hint="eastAsia"/>
          <w:color w:val="auto"/>
          <w:highlight w:val="none"/>
          <w:lang w:val="en-US" w:eastAsia="zh-CN"/>
        </w:rPr>
        <w:t>3）地下室底板放大角处，砖胎膜顶部防水层，应使用无钉模板覆盖保护，模板上部压砖，底板混凝土浇筑完成后，将该部位防水层内翻铺贴，将接茬甩在地下室外墙导墙处并做好保护，立即浇筑放大角顶面防水保护层，防水保护层完成后，进行放大角上部的肥槽外架搭设，防止该部位防水接茬预留时间过长被破坏。</w:t>
      </w:r>
    </w:p>
    <w:p>
      <w:pPr>
        <w:pStyle w:val="4"/>
        <w:bidi w:val="0"/>
        <w:rPr>
          <w:color w:val="auto"/>
          <w:highlight w:val="none"/>
        </w:rPr>
      </w:pPr>
      <w:r>
        <w:rPr>
          <w:rFonts w:hint="eastAsia"/>
          <w:color w:val="auto"/>
          <w:highlight w:val="none"/>
        </w:rPr>
        <w:t>外墙防渗漏</w:t>
      </w:r>
    </w:p>
    <w:p>
      <w:pPr>
        <w:pStyle w:val="5"/>
        <w:bidi w:val="0"/>
        <w:rPr>
          <w:color w:val="auto"/>
          <w:highlight w:val="none"/>
        </w:rPr>
      </w:pPr>
      <w:r>
        <w:rPr>
          <w:rFonts w:hint="eastAsia"/>
          <w:color w:val="auto"/>
          <w:highlight w:val="none"/>
        </w:rPr>
        <w:t>砌筑外墙满挂耐碱玻纤网</w:t>
      </w:r>
      <w:r>
        <w:rPr>
          <w:color w:val="auto"/>
          <w:highlight w:val="none"/>
        </w:rPr>
        <w:t>/</w:t>
      </w:r>
      <w:r>
        <w:rPr>
          <w:rFonts w:hint="eastAsia"/>
          <w:color w:val="auto"/>
          <w:highlight w:val="none"/>
        </w:rPr>
        <w:t>镀锌钢丝网做抗裂增强处理，以避免受温度影响收缩不均而产生开裂。</w:t>
      </w:r>
    </w:p>
    <w:p>
      <w:pPr>
        <w:pStyle w:val="5"/>
        <w:bidi w:val="0"/>
        <w:rPr>
          <w:color w:val="auto"/>
          <w:highlight w:val="none"/>
        </w:rPr>
      </w:pPr>
      <w:r>
        <w:rPr>
          <w:rFonts w:hint="eastAsia"/>
          <w:color w:val="auto"/>
          <w:highlight w:val="none"/>
        </w:rPr>
        <w:t>对砌筑外墙，抹灰层面层应有防止开裂措施。</w:t>
      </w:r>
    </w:p>
    <w:p>
      <w:pPr>
        <w:pStyle w:val="5"/>
        <w:bidi w:val="0"/>
        <w:rPr>
          <w:color w:val="auto"/>
          <w:highlight w:val="none"/>
        </w:rPr>
      </w:pPr>
      <w:r>
        <w:rPr>
          <w:rFonts w:hint="eastAsia"/>
          <w:color w:val="auto"/>
          <w:highlight w:val="none"/>
        </w:rPr>
        <w:t>外墙</w:t>
      </w:r>
      <w:r>
        <w:rPr>
          <w:color w:val="auto"/>
          <w:highlight w:val="none"/>
        </w:rPr>
        <w:t>整体</w:t>
      </w:r>
      <w:r>
        <w:rPr>
          <w:rFonts w:hint="eastAsia"/>
          <w:color w:val="auto"/>
          <w:highlight w:val="none"/>
        </w:rPr>
        <w:t>淋水试验统一由总承包人负责，结构漏水由总承包人承担责任，窗体及塞缝处漏水由门窗</w:t>
      </w:r>
      <w:r>
        <w:rPr>
          <w:rFonts w:hint="eastAsia"/>
          <w:color w:val="auto"/>
          <w:highlight w:val="none"/>
          <w:lang w:eastAsia="zh-CN"/>
        </w:rPr>
        <w:t>专业承包</w:t>
      </w:r>
      <w:r>
        <w:rPr>
          <w:rFonts w:hint="eastAsia"/>
          <w:color w:val="auto"/>
          <w:highlight w:val="none"/>
        </w:rPr>
        <w:t>人承担责任。</w:t>
      </w:r>
    </w:p>
    <w:p>
      <w:pPr>
        <w:pStyle w:val="5"/>
        <w:bidi w:val="0"/>
        <w:rPr>
          <w:color w:val="auto"/>
          <w:highlight w:val="none"/>
          <w:lang w:eastAsia="zh-CN"/>
        </w:rPr>
      </w:pPr>
      <w:r>
        <w:rPr>
          <w:rFonts w:hint="eastAsia"/>
          <w:color w:val="auto"/>
          <w:highlight w:val="none"/>
          <w:lang w:eastAsia="zh-CN"/>
        </w:rPr>
        <w:t xml:space="preserve">  外墙脚手孔及洞眼应用细石混凝土分层塞实，并在洞口四周</w:t>
      </w:r>
      <w:r>
        <w:rPr>
          <w:color w:val="auto"/>
          <w:highlight w:val="none"/>
          <w:lang w:eastAsia="zh-CN"/>
        </w:rPr>
        <w:t>100</w:t>
      </w:r>
      <w:r>
        <w:rPr>
          <w:rFonts w:hint="eastAsia"/>
          <w:color w:val="auto"/>
          <w:highlight w:val="none"/>
          <w:lang w:eastAsia="zh-CN"/>
        </w:rPr>
        <w:t>×</w:t>
      </w:r>
      <w:r>
        <w:rPr>
          <w:color w:val="auto"/>
          <w:highlight w:val="none"/>
          <w:lang w:eastAsia="zh-CN"/>
        </w:rPr>
        <w:t>100</w:t>
      </w:r>
      <w:r>
        <w:rPr>
          <w:rFonts w:hint="eastAsia"/>
          <w:color w:val="auto"/>
          <w:highlight w:val="none"/>
          <w:lang w:eastAsia="zh-CN"/>
        </w:rPr>
        <w:t>范围刮涂刷防水增强层。螺杆眼需采用微膨胀水泥砂浆进行封堵，外涂刷圆饼状防水涂料增强。费用不另行计取。</w:t>
      </w:r>
      <w:r>
        <w:rPr>
          <w:color w:val="auto"/>
          <w:highlight w:val="none"/>
          <w:lang w:eastAsia="zh-CN"/>
        </w:rPr>
        <w:t xml:space="preserve"> </w:t>
      </w:r>
    </w:p>
    <w:p>
      <w:pPr>
        <w:pStyle w:val="26"/>
        <w:bidi w:val="0"/>
        <w:rPr>
          <w:color w:val="auto"/>
          <w:highlight w:val="none"/>
          <w:lang w:eastAsia="zh-CN"/>
        </w:rPr>
      </w:pPr>
      <w:r>
        <w:rPr>
          <w:color w:val="auto"/>
          <w:highlight w:val="none"/>
          <w:lang w:eastAsia="zh-CN"/>
        </w:rPr>
        <w:drawing>
          <wp:inline distT="0" distB="0" distL="114300" distR="114300">
            <wp:extent cx="2354580" cy="1765300"/>
            <wp:effectExtent l="0" t="0" r="7620" b="6350"/>
            <wp:docPr id="243" name="图片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图片 243"/>
                    <pic:cNvPicPr>
                      <a:picLocks noChangeAspect="1"/>
                    </pic:cNvPicPr>
                  </pic:nvPicPr>
                  <pic:blipFill>
                    <a:blip r:embed="rId126"/>
                    <a:stretch>
                      <a:fillRect/>
                    </a:stretch>
                  </pic:blipFill>
                  <pic:spPr>
                    <a:xfrm>
                      <a:off x="0" y="0"/>
                      <a:ext cx="2354580" cy="1765300"/>
                    </a:xfrm>
                    <a:prstGeom prst="rect">
                      <a:avLst/>
                    </a:prstGeom>
                  </pic:spPr>
                </pic:pic>
              </a:graphicData>
            </a:graphic>
          </wp:inline>
        </w:drawing>
      </w:r>
      <w:r>
        <w:rPr>
          <w:color w:val="auto"/>
          <w:highlight w:val="none"/>
        </w:rPr>
        <w:drawing>
          <wp:inline distT="0" distB="0" distL="114300" distR="114300">
            <wp:extent cx="2387600" cy="1819910"/>
            <wp:effectExtent l="0" t="0" r="3175" b="889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127"/>
                    <a:stretch>
                      <a:fillRect/>
                    </a:stretch>
                  </pic:blipFill>
                  <pic:spPr>
                    <a:xfrm>
                      <a:off x="0" y="0"/>
                      <a:ext cx="2387600" cy="1819910"/>
                    </a:xfrm>
                    <a:prstGeom prst="rect">
                      <a:avLst/>
                    </a:prstGeom>
                    <a:noFill/>
                    <a:ln>
                      <a:noFill/>
                    </a:ln>
                  </pic:spPr>
                </pic:pic>
              </a:graphicData>
            </a:graphic>
          </wp:inline>
        </w:drawing>
      </w:r>
    </w:p>
    <w:p>
      <w:pPr>
        <w:pStyle w:val="26"/>
        <w:bidi w:val="0"/>
        <w:rPr>
          <w:color w:val="auto"/>
          <w:highlight w:val="none"/>
          <w:lang w:eastAsia="zh-CN"/>
        </w:rPr>
      </w:pPr>
      <w:r>
        <w:rPr>
          <w:color w:val="auto"/>
          <w:highlight w:val="none"/>
          <w:lang w:eastAsia="zh-CN"/>
        </w:rPr>
        <w:t>螺杆洞封堵示意</w:t>
      </w:r>
    </w:p>
    <w:p>
      <w:pPr>
        <w:bidi w:val="0"/>
        <w:rPr>
          <w:color w:val="auto"/>
          <w:highlight w:val="none"/>
        </w:rPr>
      </w:pPr>
    </w:p>
    <w:p>
      <w:pPr>
        <w:pStyle w:val="4"/>
        <w:bidi w:val="0"/>
        <w:rPr>
          <w:color w:val="auto"/>
          <w:highlight w:val="none"/>
        </w:rPr>
      </w:pPr>
      <w:r>
        <w:rPr>
          <w:rFonts w:hint="eastAsia"/>
          <w:color w:val="auto"/>
          <w:highlight w:val="none"/>
        </w:rPr>
        <w:t>外门窗防渗漏</w:t>
      </w:r>
    </w:p>
    <w:p>
      <w:pPr>
        <w:bidi w:val="0"/>
        <w:rPr>
          <w:color w:val="auto"/>
          <w:highlight w:val="none"/>
        </w:rPr>
      </w:pPr>
      <w:r>
        <w:rPr>
          <w:rFonts w:hint="eastAsia"/>
          <w:color w:val="auto"/>
          <w:highlight w:val="none"/>
        </w:rPr>
        <w:t>外门窗防渗漏深化设计、门窗安装、塞缝、防水由</w:t>
      </w:r>
      <w:r>
        <w:rPr>
          <w:rFonts w:hint="eastAsia"/>
          <w:color w:val="auto"/>
          <w:highlight w:val="none"/>
          <w:lang w:eastAsia="zh-CN"/>
        </w:rPr>
        <w:t>专业承包</w:t>
      </w:r>
      <w:r>
        <w:rPr>
          <w:rFonts w:hint="eastAsia"/>
          <w:color w:val="auto"/>
          <w:highlight w:val="none"/>
        </w:rPr>
        <w:t>人负责。总承包人自行承建工程与外门窗防渗漏专项工程有关的完成标准主要体现在以下方面：</w:t>
      </w:r>
    </w:p>
    <w:p>
      <w:pPr>
        <w:pStyle w:val="5"/>
        <w:bidi w:val="0"/>
        <w:ind w:left="253"/>
        <w:rPr>
          <w:color w:val="auto"/>
          <w:highlight w:val="none"/>
        </w:rPr>
      </w:pPr>
      <w:r>
        <w:rPr>
          <w:color w:val="auto"/>
          <w:highlight w:val="none"/>
        </w:rPr>
        <w:t>门窗安装弹线定位</w:t>
      </w:r>
    </w:p>
    <w:p>
      <w:pPr>
        <w:bidi w:val="0"/>
        <w:rPr>
          <w:color w:val="auto"/>
          <w:highlight w:val="none"/>
        </w:rPr>
      </w:pPr>
      <w:r>
        <w:rPr>
          <w:rFonts w:hint="eastAsia"/>
          <w:color w:val="auto"/>
          <w:highlight w:val="none"/>
        </w:rPr>
        <w:t>在门窗框或副框安装前，总承包人应为门窗安装提供三线（水平线、垂直线和进出线）基准，由门窗安装单位逐个复测洞口尺寸及偏差，对需要进行处理的门窗洞口应做好记录和标识。</w:t>
      </w:r>
    </w:p>
    <w:p>
      <w:pPr>
        <w:pStyle w:val="5"/>
        <w:bidi w:val="0"/>
        <w:ind w:left="253"/>
        <w:rPr>
          <w:color w:val="auto"/>
          <w:highlight w:val="none"/>
        </w:rPr>
      </w:pPr>
      <w:r>
        <w:rPr>
          <w:color w:val="auto"/>
          <w:highlight w:val="none"/>
        </w:rPr>
        <w:t>门窗洞口偏差处理</w:t>
      </w:r>
    </w:p>
    <w:tbl>
      <w:tblPr>
        <w:tblStyle w:val="21"/>
        <w:tblW w:w="4999" w:type="pct"/>
        <w:jc w:val="right"/>
        <w:tblLayout w:type="autofit"/>
        <w:tblCellMar>
          <w:top w:w="0" w:type="dxa"/>
          <w:left w:w="108" w:type="dxa"/>
          <w:bottom w:w="0" w:type="dxa"/>
          <w:right w:w="108" w:type="dxa"/>
        </w:tblCellMar>
      </w:tblPr>
      <w:tblGrid>
        <w:gridCol w:w="3222"/>
        <w:gridCol w:w="6073"/>
      </w:tblGrid>
      <w:tr>
        <w:tblPrEx>
          <w:tblCellMar>
            <w:top w:w="0" w:type="dxa"/>
            <w:left w:w="108" w:type="dxa"/>
            <w:bottom w:w="0" w:type="dxa"/>
            <w:right w:w="108" w:type="dxa"/>
          </w:tblCellMar>
        </w:tblPrEx>
        <w:trPr>
          <w:trHeight w:val="317" w:hRule="atLeast"/>
          <w:jc w:val="right"/>
        </w:trPr>
        <w:tc>
          <w:tcPr>
            <w:tcW w:w="173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12"/>
              <w:bidi w:val="0"/>
              <w:rPr>
                <w:b/>
                <w:bCs/>
                <w:color w:val="auto"/>
                <w:highlight w:val="none"/>
              </w:rPr>
            </w:pPr>
            <w:r>
              <w:rPr>
                <w:rFonts w:hint="eastAsia"/>
                <w:b/>
                <w:bCs/>
                <w:color w:val="auto"/>
                <w:highlight w:val="none"/>
              </w:rPr>
              <w:t>门窗框（或副框）与洞口间缝隙偏差值δ（</w:t>
            </w:r>
            <w:r>
              <w:rPr>
                <w:b/>
                <w:bCs/>
                <w:color w:val="auto"/>
                <w:highlight w:val="none"/>
              </w:rPr>
              <w:t>mm</w:t>
            </w:r>
            <w:r>
              <w:rPr>
                <w:rFonts w:hint="eastAsia"/>
                <w:b/>
                <w:bCs/>
                <w:color w:val="auto"/>
                <w:highlight w:val="none"/>
              </w:rPr>
              <w:t>）</w:t>
            </w:r>
          </w:p>
        </w:tc>
        <w:tc>
          <w:tcPr>
            <w:tcW w:w="3266" w:type="pct"/>
            <w:tcBorders>
              <w:top w:val="single" w:color="auto" w:sz="4" w:space="0"/>
              <w:left w:val="nil"/>
              <w:bottom w:val="single" w:color="auto" w:sz="4" w:space="0"/>
              <w:right w:val="single" w:color="auto" w:sz="4" w:space="0"/>
            </w:tcBorders>
            <w:shd w:val="clear" w:color="auto" w:fill="auto"/>
            <w:vAlign w:val="center"/>
          </w:tcPr>
          <w:p>
            <w:pPr>
              <w:pStyle w:val="12"/>
              <w:bidi w:val="0"/>
              <w:rPr>
                <w:b/>
                <w:bCs/>
                <w:color w:val="auto"/>
                <w:highlight w:val="none"/>
              </w:rPr>
            </w:pPr>
            <w:r>
              <w:rPr>
                <w:rFonts w:hint="eastAsia"/>
                <w:b/>
                <w:bCs/>
                <w:color w:val="auto"/>
                <w:highlight w:val="none"/>
              </w:rPr>
              <w:t>处理方式</w:t>
            </w:r>
          </w:p>
        </w:tc>
      </w:tr>
      <w:tr>
        <w:tblPrEx>
          <w:tblCellMar>
            <w:top w:w="0" w:type="dxa"/>
            <w:left w:w="108" w:type="dxa"/>
            <w:bottom w:w="0" w:type="dxa"/>
            <w:right w:w="108" w:type="dxa"/>
          </w:tblCellMar>
        </w:tblPrEx>
        <w:trPr>
          <w:trHeight w:val="708" w:hRule="atLeast"/>
          <w:jc w:val="right"/>
        </w:trPr>
        <w:tc>
          <w:tcPr>
            <w:tcW w:w="1733" w:type="pct"/>
            <w:tcBorders>
              <w:top w:val="nil"/>
              <w:left w:val="single" w:color="auto" w:sz="4" w:space="0"/>
              <w:bottom w:val="single" w:color="auto" w:sz="4" w:space="0"/>
              <w:right w:val="single" w:color="auto" w:sz="4" w:space="0"/>
            </w:tcBorders>
            <w:shd w:val="clear" w:color="auto" w:fill="auto"/>
            <w:vAlign w:val="center"/>
          </w:tcPr>
          <w:p>
            <w:pPr>
              <w:pStyle w:val="12"/>
              <w:bidi w:val="0"/>
              <w:rPr>
                <w:color w:val="auto"/>
                <w:highlight w:val="none"/>
              </w:rPr>
            </w:pPr>
            <w:r>
              <w:rPr>
                <w:rFonts w:hint="eastAsia"/>
                <w:color w:val="auto"/>
                <w:highlight w:val="none"/>
              </w:rPr>
              <w:t>δ≥</w:t>
            </w:r>
            <w:r>
              <w:rPr>
                <w:color w:val="auto"/>
                <w:highlight w:val="none"/>
              </w:rPr>
              <w:t>50</w:t>
            </w:r>
          </w:p>
        </w:tc>
        <w:tc>
          <w:tcPr>
            <w:tcW w:w="3266" w:type="pct"/>
            <w:tcBorders>
              <w:top w:val="nil"/>
              <w:left w:val="nil"/>
              <w:bottom w:val="single" w:color="auto" w:sz="4" w:space="0"/>
              <w:right w:val="single" w:color="auto" w:sz="4" w:space="0"/>
            </w:tcBorders>
            <w:shd w:val="clear" w:color="auto" w:fill="auto"/>
            <w:vAlign w:val="center"/>
          </w:tcPr>
          <w:p>
            <w:pPr>
              <w:pStyle w:val="12"/>
              <w:bidi w:val="0"/>
              <w:rPr>
                <w:color w:val="auto"/>
                <w:highlight w:val="none"/>
              </w:rPr>
            </w:pPr>
            <w:r>
              <w:rPr>
                <w:rFonts w:hint="eastAsia"/>
                <w:color w:val="auto"/>
                <w:highlight w:val="none"/>
              </w:rPr>
              <w:t>配筋并浇筑</w:t>
            </w:r>
            <w:r>
              <w:rPr>
                <w:color w:val="auto"/>
                <w:highlight w:val="none"/>
              </w:rPr>
              <w:t>C20</w:t>
            </w:r>
            <w:r>
              <w:rPr>
                <w:rFonts w:hint="eastAsia"/>
                <w:color w:val="auto"/>
                <w:highlight w:val="none"/>
              </w:rPr>
              <w:t>细石混凝土，内配</w:t>
            </w:r>
            <w:r>
              <w:rPr>
                <w:color w:val="auto"/>
                <w:highlight w:val="none"/>
              </w:rPr>
              <w:t>2</w:t>
            </w:r>
            <w:r>
              <w:rPr>
                <w:rFonts w:hint="eastAsia"/>
                <w:color w:val="auto"/>
                <w:highlight w:val="none"/>
              </w:rPr>
              <w:t>φ</w:t>
            </w:r>
            <w:r>
              <w:rPr>
                <w:color w:val="auto"/>
                <w:highlight w:val="none"/>
              </w:rPr>
              <w:t>10</w:t>
            </w:r>
            <w:r>
              <w:rPr>
                <w:rFonts w:hint="eastAsia"/>
                <w:color w:val="auto"/>
                <w:highlight w:val="none"/>
              </w:rPr>
              <w:t>通长钢筋和φ</w:t>
            </w:r>
            <w:r>
              <w:rPr>
                <w:color w:val="auto"/>
                <w:highlight w:val="none"/>
              </w:rPr>
              <w:t>6@250U</w:t>
            </w:r>
            <w:r>
              <w:rPr>
                <w:rFonts w:hint="eastAsia"/>
                <w:color w:val="auto"/>
                <w:highlight w:val="none"/>
              </w:rPr>
              <w:t>型箍筋，与原有墙体可靠连接</w:t>
            </w:r>
          </w:p>
        </w:tc>
      </w:tr>
      <w:tr>
        <w:tblPrEx>
          <w:tblCellMar>
            <w:top w:w="0" w:type="dxa"/>
            <w:left w:w="108" w:type="dxa"/>
            <w:bottom w:w="0" w:type="dxa"/>
            <w:right w:w="108" w:type="dxa"/>
          </w:tblCellMar>
        </w:tblPrEx>
        <w:trPr>
          <w:trHeight w:val="364" w:hRule="atLeast"/>
          <w:jc w:val="right"/>
        </w:trPr>
        <w:tc>
          <w:tcPr>
            <w:tcW w:w="1733" w:type="pct"/>
            <w:tcBorders>
              <w:top w:val="nil"/>
              <w:left w:val="single" w:color="auto" w:sz="4" w:space="0"/>
              <w:bottom w:val="single" w:color="auto" w:sz="4" w:space="0"/>
              <w:right w:val="single" w:color="auto" w:sz="4" w:space="0"/>
            </w:tcBorders>
            <w:shd w:val="clear" w:color="auto" w:fill="auto"/>
            <w:vAlign w:val="center"/>
          </w:tcPr>
          <w:p>
            <w:pPr>
              <w:pStyle w:val="12"/>
              <w:bidi w:val="0"/>
              <w:rPr>
                <w:color w:val="auto"/>
                <w:highlight w:val="none"/>
              </w:rPr>
            </w:pPr>
            <w:r>
              <w:rPr>
                <w:color w:val="auto"/>
                <w:highlight w:val="none"/>
              </w:rPr>
              <w:t>50</w:t>
            </w:r>
            <w:r>
              <w:rPr>
                <w:rFonts w:hint="eastAsia"/>
                <w:color w:val="auto"/>
                <w:highlight w:val="none"/>
              </w:rPr>
              <w:t>≥δ＞</w:t>
            </w:r>
            <w:r>
              <w:rPr>
                <w:color w:val="auto"/>
                <w:highlight w:val="none"/>
              </w:rPr>
              <w:t>25</w:t>
            </w:r>
          </w:p>
        </w:tc>
        <w:tc>
          <w:tcPr>
            <w:tcW w:w="3266" w:type="pct"/>
            <w:tcBorders>
              <w:top w:val="nil"/>
              <w:left w:val="nil"/>
              <w:bottom w:val="single" w:color="auto" w:sz="4" w:space="0"/>
              <w:right w:val="single" w:color="auto" w:sz="4" w:space="0"/>
            </w:tcBorders>
            <w:shd w:val="clear" w:color="auto" w:fill="auto"/>
            <w:vAlign w:val="center"/>
          </w:tcPr>
          <w:p>
            <w:pPr>
              <w:pStyle w:val="12"/>
              <w:bidi w:val="0"/>
              <w:rPr>
                <w:color w:val="auto"/>
                <w:highlight w:val="none"/>
              </w:rPr>
            </w:pPr>
            <w:r>
              <w:rPr>
                <w:rFonts w:hint="eastAsia"/>
                <w:color w:val="auto"/>
                <w:highlight w:val="none"/>
              </w:rPr>
              <w:t>挂双层镀锌钢丝网，采用防水砂浆抹灰</w:t>
            </w:r>
          </w:p>
        </w:tc>
      </w:tr>
      <w:tr>
        <w:tblPrEx>
          <w:tblCellMar>
            <w:top w:w="0" w:type="dxa"/>
            <w:left w:w="108" w:type="dxa"/>
            <w:bottom w:w="0" w:type="dxa"/>
            <w:right w:w="108" w:type="dxa"/>
          </w:tblCellMar>
        </w:tblPrEx>
        <w:trPr>
          <w:trHeight w:val="364" w:hRule="atLeast"/>
          <w:jc w:val="right"/>
        </w:trPr>
        <w:tc>
          <w:tcPr>
            <w:tcW w:w="1733" w:type="pct"/>
            <w:tcBorders>
              <w:top w:val="nil"/>
              <w:left w:val="single" w:color="auto" w:sz="4" w:space="0"/>
              <w:bottom w:val="single" w:color="auto" w:sz="4" w:space="0"/>
              <w:right w:val="single" w:color="auto" w:sz="4" w:space="0"/>
            </w:tcBorders>
            <w:shd w:val="clear" w:color="auto" w:fill="auto"/>
            <w:vAlign w:val="center"/>
          </w:tcPr>
          <w:p>
            <w:pPr>
              <w:pStyle w:val="12"/>
              <w:bidi w:val="0"/>
              <w:rPr>
                <w:color w:val="auto"/>
                <w:highlight w:val="none"/>
              </w:rPr>
            </w:pPr>
            <w:r>
              <w:rPr>
                <w:color w:val="auto"/>
                <w:highlight w:val="none"/>
              </w:rPr>
              <w:t>25</w:t>
            </w:r>
            <w:r>
              <w:rPr>
                <w:rFonts w:hint="eastAsia"/>
                <w:color w:val="auto"/>
                <w:highlight w:val="none"/>
              </w:rPr>
              <w:t>＞δ＞</w:t>
            </w:r>
            <w:r>
              <w:rPr>
                <w:color w:val="auto"/>
                <w:highlight w:val="none"/>
              </w:rPr>
              <w:t>5</w:t>
            </w:r>
          </w:p>
        </w:tc>
        <w:tc>
          <w:tcPr>
            <w:tcW w:w="3266" w:type="pct"/>
            <w:tcBorders>
              <w:top w:val="nil"/>
              <w:left w:val="nil"/>
              <w:bottom w:val="single" w:color="auto" w:sz="4" w:space="0"/>
              <w:right w:val="single" w:color="auto" w:sz="4" w:space="0"/>
            </w:tcBorders>
            <w:shd w:val="clear" w:color="auto" w:fill="auto"/>
            <w:vAlign w:val="center"/>
          </w:tcPr>
          <w:p>
            <w:pPr>
              <w:pStyle w:val="12"/>
              <w:bidi w:val="0"/>
              <w:rPr>
                <w:color w:val="auto"/>
                <w:highlight w:val="none"/>
              </w:rPr>
            </w:pPr>
            <w:r>
              <w:rPr>
                <w:rFonts w:hint="eastAsia"/>
                <w:color w:val="auto"/>
                <w:highlight w:val="none"/>
              </w:rPr>
              <w:t>挂单层镀锌钢丝网，采用防水砂浆抹灰</w:t>
            </w:r>
          </w:p>
        </w:tc>
      </w:tr>
      <w:tr>
        <w:tblPrEx>
          <w:tblCellMar>
            <w:top w:w="0" w:type="dxa"/>
            <w:left w:w="108" w:type="dxa"/>
            <w:bottom w:w="0" w:type="dxa"/>
            <w:right w:w="108" w:type="dxa"/>
          </w:tblCellMar>
        </w:tblPrEx>
        <w:trPr>
          <w:trHeight w:val="364" w:hRule="atLeast"/>
          <w:jc w:val="right"/>
        </w:trPr>
        <w:tc>
          <w:tcPr>
            <w:tcW w:w="1733" w:type="pct"/>
            <w:tcBorders>
              <w:top w:val="nil"/>
              <w:left w:val="single" w:color="auto" w:sz="4" w:space="0"/>
              <w:bottom w:val="single" w:color="auto" w:sz="4" w:space="0"/>
              <w:right w:val="single" w:color="auto" w:sz="4" w:space="0"/>
            </w:tcBorders>
            <w:shd w:val="clear" w:color="auto" w:fill="auto"/>
            <w:vAlign w:val="center"/>
          </w:tcPr>
          <w:p>
            <w:pPr>
              <w:pStyle w:val="12"/>
              <w:bidi w:val="0"/>
              <w:rPr>
                <w:color w:val="auto"/>
                <w:highlight w:val="none"/>
              </w:rPr>
            </w:pPr>
            <w:r>
              <w:rPr>
                <w:color w:val="auto"/>
                <w:highlight w:val="none"/>
              </w:rPr>
              <w:t>5</w:t>
            </w:r>
            <w:r>
              <w:rPr>
                <w:rFonts w:hint="eastAsia"/>
                <w:color w:val="auto"/>
                <w:highlight w:val="none"/>
              </w:rPr>
              <w:t>＞δ＞</w:t>
            </w:r>
            <w:r>
              <w:rPr>
                <w:color w:val="auto"/>
                <w:highlight w:val="none"/>
              </w:rPr>
              <w:t>-5</w:t>
            </w:r>
          </w:p>
        </w:tc>
        <w:tc>
          <w:tcPr>
            <w:tcW w:w="3266" w:type="pct"/>
            <w:tcBorders>
              <w:top w:val="nil"/>
              <w:left w:val="nil"/>
              <w:bottom w:val="single" w:color="auto" w:sz="4" w:space="0"/>
              <w:right w:val="single" w:color="auto" w:sz="4" w:space="0"/>
            </w:tcBorders>
            <w:shd w:val="clear" w:color="auto" w:fill="auto"/>
            <w:vAlign w:val="center"/>
          </w:tcPr>
          <w:p>
            <w:pPr>
              <w:pStyle w:val="12"/>
              <w:bidi w:val="0"/>
              <w:rPr>
                <w:color w:val="auto"/>
                <w:highlight w:val="none"/>
              </w:rPr>
            </w:pPr>
            <w:r>
              <w:rPr>
                <w:rFonts w:hint="eastAsia"/>
                <w:color w:val="auto"/>
                <w:highlight w:val="none"/>
              </w:rPr>
              <w:t>不做处理，但应保证塞缝密实</w:t>
            </w:r>
          </w:p>
        </w:tc>
      </w:tr>
      <w:tr>
        <w:tblPrEx>
          <w:tblCellMar>
            <w:top w:w="0" w:type="dxa"/>
            <w:left w:w="108" w:type="dxa"/>
            <w:bottom w:w="0" w:type="dxa"/>
            <w:right w:w="108" w:type="dxa"/>
          </w:tblCellMar>
        </w:tblPrEx>
        <w:trPr>
          <w:trHeight w:val="437" w:hRule="atLeast"/>
          <w:jc w:val="right"/>
        </w:trPr>
        <w:tc>
          <w:tcPr>
            <w:tcW w:w="1733" w:type="pct"/>
            <w:tcBorders>
              <w:top w:val="nil"/>
              <w:left w:val="single" w:color="auto" w:sz="4" w:space="0"/>
              <w:bottom w:val="single" w:color="auto" w:sz="4" w:space="0"/>
              <w:right w:val="single" w:color="auto" w:sz="4" w:space="0"/>
            </w:tcBorders>
            <w:shd w:val="clear" w:color="auto" w:fill="auto"/>
            <w:vAlign w:val="center"/>
          </w:tcPr>
          <w:p>
            <w:pPr>
              <w:pStyle w:val="12"/>
              <w:bidi w:val="0"/>
              <w:rPr>
                <w:color w:val="auto"/>
                <w:highlight w:val="none"/>
              </w:rPr>
            </w:pPr>
            <w:r>
              <w:rPr>
                <w:color w:val="auto"/>
                <w:highlight w:val="none"/>
              </w:rPr>
              <w:t>-5</w:t>
            </w:r>
            <w:r>
              <w:rPr>
                <w:rFonts w:hint="eastAsia"/>
                <w:color w:val="auto"/>
                <w:highlight w:val="none"/>
              </w:rPr>
              <w:t>＞δ≥</w:t>
            </w:r>
            <w:r>
              <w:rPr>
                <w:color w:val="auto"/>
                <w:highlight w:val="none"/>
              </w:rPr>
              <w:t>-10</w:t>
            </w:r>
          </w:p>
        </w:tc>
        <w:tc>
          <w:tcPr>
            <w:tcW w:w="3266" w:type="pct"/>
            <w:tcBorders>
              <w:top w:val="nil"/>
              <w:left w:val="nil"/>
              <w:bottom w:val="single" w:color="auto" w:sz="4" w:space="0"/>
              <w:right w:val="single" w:color="auto" w:sz="4" w:space="0"/>
            </w:tcBorders>
            <w:shd w:val="clear" w:color="auto" w:fill="auto"/>
            <w:vAlign w:val="center"/>
          </w:tcPr>
          <w:p>
            <w:pPr>
              <w:pStyle w:val="12"/>
              <w:bidi w:val="0"/>
              <w:rPr>
                <w:color w:val="auto"/>
                <w:highlight w:val="none"/>
              </w:rPr>
            </w:pPr>
            <w:r>
              <w:rPr>
                <w:rFonts w:hint="eastAsia"/>
                <w:color w:val="auto"/>
                <w:highlight w:val="none"/>
              </w:rPr>
              <w:t>剔凿并用防水砂浆粉刷平整</w:t>
            </w:r>
          </w:p>
        </w:tc>
      </w:tr>
      <w:tr>
        <w:tblPrEx>
          <w:tblCellMar>
            <w:top w:w="0" w:type="dxa"/>
            <w:left w:w="108" w:type="dxa"/>
            <w:bottom w:w="0" w:type="dxa"/>
            <w:right w:w="108" w:type="dxa"/>
          </w:tblCellMar>
        </w:tblPrEx>
        <w:trPr>
          <w:trHeight w:val="364" w:hRule="atLeast"/>
          <w:jc w:val="right"/>
        </w:trPr>
        <w:tc>
          <w:tcPr>
            <w:tcW w:w="173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12"/>
              <w:bidi w:val="0"/>
              <w:rPr>
                <w:color w:val="auto"/>
                <w:highlight w:val="none"/>
              </w:rPr>
            </w:pPr>
            <w:r>
              <w:rPr>
                <w:color w:val="auto"/>
                <w:highlight w:val="none"/>
              </w:rPr>
              <w:t>-10</w:t>
            </w:r>
            <w:r>
              <w:rPr>
                <w:rFonts w:hint="eastAsia"/>
                <w:color w:val="auto"/>
                <w:highlight w:val="none"/>
              </w:rPr>
              <w:t>＞δ</w:t>
            </w:r>
          </w:p>
        </w:tc>
        <w:tc>
          <w:tcPr>
            <w:tcW w:w="3266" w:type="pct"/>
            <w:tcBorders>
              <w:top w:val="single" w:color="auto" w:sz="4" w:space="0"/>
              <w:left w:val="nil"/>
              <w:bottom w:val="single" w:color="auto" w:sz="4" w:space="0"/>
              <w:right w:val="single" w:color="auto" w:sz="4" w:space="0"/>
            </w:tcBorders>
            <w:shd w:val="clear" w:color="auto" w:fill="auto"/>
            <w:vAlign w:val="center"/>
          </w:tcPr>
          <w:p>
            <w:pPr>
              <w:pStyle w:val="12"/>
              <w:bidi w:val="0"/>
              <w:rPr>
                <w:color w:val="auto"/>
                <w:highlight w:val="none"/>
              </w:rPr>
            </w:pPr>
            <w:r>
              <w:rPr>
                <w:rFonts w:hint="eastAsia"/>
                <w:color w:val="auto"/>
                <w:highlight w:val="none"/>
              </w:rPr>
              <w:t>剔凿并用防水砂浆粉刷平整</w:t>
            </w:r>
          </w:p>
        </w:tc>
      </w:tr>
    </w:tbl>
    <w:p>
      <w:pPr>
        <w:pStyle w:val="5"/>
        <w:bidi w:val="0"/>
        <w:ind w:left="253"/>
        <w:rPr>
          <w:color w:val="auto"/>
          <w:highlight w:val="none"/>
        </w:rPr>
      </w:pPr>
      <w:r>
        <w:rPr>
          <w:rFonts w:hint="eastAsia"/>
          <w:color w:val="auto"/>
          <w:highlight w:val="none"/>
        </w:rPr>
        <w:t>窗楣窗台</w:t>
      </w:r>
    </w:p>
    <w:p>
      <w:pPr>
        <w:bidi w:val="0"/>
        <w:rPr>
          <w:color w:val="auto"/>
          <w:highlight w:val="none"/>
        </w:rPr>
      </w:pPr>
      <w:r>
        <w:rPr>
          <w:rFonts w:hint="eastAsia"/>
          <w:color w:val="auto"/>
          <w:highlight w:val="none"/>
        </w:rPr>
        <w:t>窗楣滴水线槽设置：窗楣应合理设置滴水线槽；当窗楣采用鹰嘴做法时，应注意控制鹰嘴坡度，避免出现倒泛水现象；当外饰面为面砖时，宜使用在工厂加工的成品砖做鹰嘴。</w:t>
      </w:r>
    </w:p>
    <w:p>
      <w:pPr>
        <w:bidi w:val="0"/>
        <w:rPr>
          <w:color w:val="auto"/>
          <w:highlight w:val="none"/>
        </w:rPr>
      </w:pPr>
      <w:r>
        <w:rPr>
          <w:rFonts w:hint="eastAsia"/>
          <w:color w:val="auto"/>
          <w:highlight w:val="none"/>
        </w:rPr>
        <w:t>窗台坡度：窗台抹</w:t>
      </w:r>
      <w:r>
        <w:rPr>
          <w:color w:val="auto"/>
          <w:highlight w:val="none"/>
        </w:rPr>
        <w:t>完灰</w:t>
      </w:r>
      <w:r>
        <w:rPr>
          <w:rFonts w:hint="eastAsia"/>
          <w:color w:val="auto"/>
          <w:highlight w:val="none"/>
        </w:rPr>
        <w:t>坡度应不小于</w:t>
      </w:r>
      <w:r>
        <w:rPr>
          <w:color w:val="auto"/>
          <w:highlight w:val="none"/>
        </w:rPr>
        <w:t>6</w:t>
      </w:r>
      <w:r>
        <w:rPr>
          <w:rFonts w:hint="eastAsia"/>
          <w:color w:val="auto"/>
          <w:highlight w:val="none"/>
        </w:rPr>
        <w:t>%，以利于快速排水。</w:t>
      </w:r>
    </w:p>
    <w:p>
      <w:pPr>
        <w:bidi w:val="0"/>
        <w:rPr>
          <w:rFonts w:hint="eastAsia"/>
          <w:color w:val="auto"/>
          <w:highlight w:val="none"/>
        </w:rPr>
      </w:pPr>
      <w:r>
        <w:rPr>
          <w:rFonts w:hint="eastAsia"/>
          <w:color w:val="auto"/>
          <w:highlight w:val="none"/>
        </w:rPr>
        <w:t>现浇窗台压顶：若为砖砌体窗洞口，窗台应设计混凝土压顶，以确保窗台上的雨水不渗入下部墙体内。现浇混凝土压顶宽同墙厚，高度≥100mm，每边入墙内≥200mm（不足200mm通长设置）。</w:t>
      </w:r>
    </w:p>
    <w:p>
      <w:pPr>
        <w:bidi w:val="0"/>
        <w:rPr>
          <w:rFonts w:hint="eastAsia"/>
          <w:color w:val="auto"/>
          <w:highlight w:val="none"/>
        </w:rPr>
      </w:pPr>
      <w:r>
        <w:rPr>
          <w:rFonts w:hint="eastAsia"/>
          <w:color w:val="auto"/>
          <w:highlight w:val="none"/>
        </w:rPr>
        <w:t>窗边结构应设置外窗企口尺寸、固定片压槽尺寸及设置间距、窗上檐滴水线或鹰嘴、窗台排水坡度等构造，如为铝模项目应在铝模深化阶段考虑。</w:t>
      </w:r>
    </w:p>
    <w:p>
      <w:pPr>
        <w:pStyle w:val="4"/>
        <w:bidi w:val="0"/>
        <w:rPr>
          <w:color w:val="auto"/>
          <w:highlight w:val="none"/>
        </w:rPr>
      </w:pPr>
      <w:r>
        <w:rPr>
          <w:rFonts w:hint="eastAsia"/>
          <w:color w:val="auto"/>
          <w:highlight w:val="none"/>
        </w:rPr>
        <w:t>楼地面防渗漏</w:t>
      </w:r>
    </w:p>
    <w:p>
      <w:pPr>
        <w:pStyle w:val="5"/>
        <w:bidi w:val="0"/>
        <w:ind w:left="253"/>
        <w:rPr>
          <w:color w:val="auto"/>
          <w:highlight w:val="none"/>
        </w:rPr>
      </w:pPr>
      <w:r>
        <w:rPr>
          <w:rFonts w:hint="eastAsia"/>
          <w:color w:val="auto"/>
          <w:highlight w:val="none"/>
        </w:rPr>
        <w:t xml:space="preserve"> </w:t>
      </w:r>
      <w:r>
        <w:rPr>
          <w:color w:val="auto"/>
          <w:highlight w:val="none"/>
        </w:rPr>
        <w:t>卫生间</w:t>
      </w:r>
      <w:r>
        <w:rPr>
          <w:rFonts w:hint="eastAsia"/>
          <w:color w:val="auto"/>
          <w:highlight w:val="none"/>
        </w:rPr>
        <w:t>防渗漏要求</w:t>
      </w:r>
    </w:p>
    <w:p>
      <w:pPr>
        <w:numPr>
          <w:ilvl w:val="1"/>
          <w:numId w:val="69"/>
        </w:numPr>
        <w:bidi w:val="0"/>
        <w:rPr>
          <w:color w:val="auto"/>
          <w:highlight w:val="none"/>
        </w:rPr>
      </w:pPr>
      <w:r>
        <w:rPr>
          <w:rFonts w:hint="eastAsia"/>
          <w:color w:val="auto"/>
          <w:highlight w:val="none"/>
        </w:rPr>
        <w:t>基层处理</w:t>
      </w:r>
      <w:r>
        <w:rPr>
          <w:color w:val="auto"/>
          <w:highlight w:val="none"/>
        </w:rPr>
        <w:t>：</w:t>
      </w:r>
      <w:r>
        <w:rPr>
          <w:rFonts w:hint="eastAsia"/>
          <w:color w:val="auto"/>
          <w:highlight w:val="none"/>
        </w:rPr>
        <w:t>总承包人负责完成管根</w:t>
      </w:r>
      <w:r>
        <w:rPr>
          <w:color w:val="auto"/>
          <w:highlight w:val="none"/>
        </w:rPr>
        <w:t>周围预留</w:t>
      </w:r>
      <w:r>
        <w:rPr>
          <w:rFonts w:hint="eastAsia"/>
          <w:color w:val="auto"/>
          <w:highlight w:val="none"/>
        </w:rPr>
        <w:t>20</w:t>
      </w:r>
      <w:r>
        <w:rPr>
          <w:color w:val="auto"/>
          <w:highlight w:val="none"/>
        </w:rPr>
        <w:t>mm</w:t>
      </w:r>
      <w:r>
        <w:rPr>
          <w:rFonts w:hint="eastAsia"/>
          <w:color w:val="auto"/>
          <w:highlight w:val="none"/>
        </w:rPr>
        <w:t>深凹</w:t>
      </w:r>
      <w:r>
        <w:rPr>
          <w:color w:val="auto"/>
          <w:highlight w:val="none"/>
        </w:rPr>
        <w:t>槽</w:t>
      </w:r>
      <w:r>
        <w:rPr>
          <w:rFonts w:hint="eastAsia"/>
          <w:color w:val="auto"/>
          <w:highlight w:val="none"/>
        </w:rPr>
        <w:t>、基层</w:t>
      </w:r>
      <w:r>
        <w:rPr>
          <w:color w:val="auto"/>
          <w:highlight w:val="none"/>
        </w:rPr>
        <w:t>清</w:t>
      </w:r>
      <w:r>
        <w:rPr>
          <w:rFonts w:hint="eastAsia"/>
          <w:color w:val="auto"/>
          <w:highlight w:val="none"/>
        </w:rPr>
        <w:t>理、缺陷修补、打磨平整，修补后基层应无空鼓、开裂情况发生（包括堵</w:t>
      </w:r>
      <w:r>
        <w:rPr>
          <w:color w:val="auto"/>
          <w:highlight w:val="none"/>
        </w:rPr>
        <w:t>漏、注浆等</w:t>
      </w:r>
      <w:r>
        <w:rPr>
          <w:rFonts w:hint="eastAsia"/>
          <w:color w:val="auto"/>
          <w:highlight w:val="none"/>
        </w:rPr>
        <w:t>）等</w:t>
      </w:r>
      <w:r>
        <w:rPr>
          <w:color w:val="auto"/>
          <w:highlight w:val="none"/>
        </w:rPr>
        <w:t>工作</w:t>
      </w:r>
      <w:r>
        <w:rPr>
          <w:rFonts w:hint="eastAsia"/>
          <w:color w:val="auto"/>
          <w:highlight w:val="none"/>
        </w:rPr>
        <w:t>，基层含水率应小于9%。</w:t>
      </w:r>
    </w:p>
    <w:p>
      <w:pPr>
        <w:numPr>
          <w:ilvl w:val="1"/>
          <w:numId w:val="69"/>
        </w:numPr>
        <w:bidi w:val="0"/>
        <w:rPr>
          <w:color w:val="auto"/>
          <w:highlight w:val="none"/>
        </w:rPr>
      </w:pPr>
      <w:r>
        <w:rPr>
          <w:rFonts w:hint="eastAsia"/>
          <w:color w:val="auto"/>
          <w:highlight w:val="none"/>
        </w:rPr>
        <w:t>防水施工</w:t>
      </w:r>
    </w:p>
    <w:p>
      <w:pPr>
        <w:numPr>
          <w:ilvl w:val="0"/>
          <w:numId w:val="70"/>
        </w:numPr>
        <w:bidi w:val="0"/>
        <w:ind w:left="900" w:leftChars="0"/>
        <w:rPr>
          <w:color w:val="auto"/>
          <w:highlight w:val="none"/>
        </w:rPr>
      </w:pPr>
      <w:r>
        <w:rPr>
          <w:rFonts w:hint="eastAsia"/>
          <w:color w:val="auto"/>
          <w:highlight w:val="none"/>
        </w:rPr>
        <w:t>阴角</w:t>
      </w:r>
      <w:r>
        <w:rPr>
          <w:color w:val="auto"/>
          <w:highlight w:val="none"/>
        </w:rPr>
        <w:t>部位采用聚合物水泥砂</w:t>
      </w:r>
      <w:r>
        <w:rPr>
          <w:rFonts w:hint="eastAsia"/>
          <w:color w:val="auto"/>
          <w:highlight w:val="none"/>
        </w:rPr>
        <w:t>浆</w:t>
      </w:r>
      <w:r>
        <w:rPr>
          <w:color w:val="auto"/>
          <w:highlight w:val="none"/>
        </w:rPr>
        <w:t>抹成</w:t>
      </w:r>
      <w:r>
        <w:rPr>
          <w:rFonts w:hint="eastAsia"/>
          <w:color w:val="auto"/>
          <w:highlight w:val="none"/>
        </w:rPr>
        <w:t>圆弧角</w:t>
      </w:r>
      <w:r>
        <w:rPr>
          <w:color w:val="auto"/>
          <w:highlight w:val="none"/>
        </w:rPr>
        <w:t>。</w:t>
      </w:r>
    </w:p>
    <w:p>
      <w:pPr>
        <w:numPr>
          <w:ilvl w:val="0"/>
          <w:numId w:val="70"/>
        </w:numPr>
        <w:bidi w:val="0"/>
        <w:ind w:left="900" w:leftChars="0"/>
        <w:rPr>
          <w:color w:val="auto"/>
          <w:highlight w:val="none"/>
        </w:rPr>
      </w:pPr>
      <w:r>
        <w:rPr>
          <w:rFonts w:hint="eastAsia"/>
          <w:color w:val="auto"/>
          <w:highlight w:val="none"/>
        </w:rPr>
        <w:t>管周、管井、地漏、烟风道、墙角处采用金汤水不漏刚性封堵，管道周边直径300mm范围内涂刷一道1.5厚单组份聚氨酯防水层，内加玻璃纤维布；阴角部位：涂刷1.5厚的单组份聚氨酯涂膜，两边长各150mm，内加玻璃纤维布。</w:t>
      </w:r>
    </w:p>
    <w:p>
      <w:pPr>
        <w:numPr>
          <w:ilvl w:val="0"/>
          <w:numId w:val="70"/>
        </w:numPr>
        <w:bidi w:val="0"/>
        <w:ind w:left="900" w:leftChars="0"/>
        <w:rPr>
          <w:color w:val="auto"/>
          <w:highlight w:val="none"/>
        </w:rPr>
      </w:pPr>
      <w:r>
        <w:rPr>
          <w:rFonts w:hint="eastAsia"/>
          <w:color w:val="auto"/>
          <w:highlight w:val="none"/>
        </w:rPr>
        <w:t>防水层应与基层粘结牢固、涂刷均匀，无流淌、皱折、鼓泡等缺陷。</w:t>
      </w:r>
    </w:p>
    <w:p>
      <w:pPr>
        <w:numPr>
          <w:ilvl w:val="0"/>
          <w:numId w:val="70"/>
        </w:numPr>
        <w:bidi w:val="0"/>
        <w:ind w:left="900" w:leftChars="0"/>
        <w:rPr>
          <w:color w:val="auto"/>
          <w:highlight w:val="none"/>
        </w:rPr>
      </w:pPr>
      <w:r>
        <w:rPr>
          <w:rFonts w:hint="eastAsia"/>
          <w:color w:val="auto"/>
          <w:highlight w:val="none"/>
        </w:rPr>
        <w:t>防水层厚度、</w:t>
      </w:r>
      <w:r>
        <w:rPr>
          <w:color w:val="auto"/>
          <w:highlight w:val="none"/>
        </w:rPr>
        <w:t>上返高度等</w:t>
      </w:r>
      <w:r>
        <w:rPr>
          <w:rFonts w:hint="eastAsia"/>
          <w:color w:val="auto"/>
          <w:highlight w:val="none"/>
        </w:rPr>
        <w:t>应符合设计图纸要求。</w:t>
      </w:r>
    </w:p>
    <w:p>
      <w:pPr>
        <w:numPr>
          <w:ilvl w:val="1"/>
          <w:numId w:val="69"/>
        </w:numPr>
        <w:bidi w:val="0"/>
        <w:rPr>
          <w:color w:val="auto"/>
          <w:highlight w:val="none"/>
        </w:rPr>
      </w:pPr>
      <w:r>
        <w:rPr>
          <w:rFonts w:hint="eastAsia"/>
          <w:color w:val="auto"/>
          <w:highlight w:val="none"/>
        </w:rPr>
        <w:t>穿楼板管洞封堵</w:t>
      </w:r>
    </w:p>
    <w:p>
      <w:pPr>
        <w:numPr>
          <w:ilvl w:val="0"/>
          <w:numId w:val="71"/>
        </w:numPr>
        <w:bidi w:val="0"/>
        <w:ind w:left="900" w:leftChars="0"/>
        <w:rPr>
          <w:color w:val="auto"/>
          <w:highlight w:val="none"/>
        </w:rPr>
      </w:pPr>
      <w:r>
        <w:rPr>
          <w:rFonts w:hint="eastAsia"/>
          <w:color w:val="auto"/>
          <w:highlight w:val="none"/>
        </w:rPr>
        <w:t>浇筑混凝土前，洞口周边应凿毛，用清水冲洗干净并涂刷加胶水泥浆作粘结层，保证后浇混凝土密实。</w:t>
      </w:r>
    </w:p>
    <w:p>
      <w:pPr>
        <w:numPr>
          <w:ilvl w:val="0"/>
          <w:numId w:val="71"/>
        </w:numPr>
        <w:bidi w:val="0"/>
        <w:ind w:left="900" w:leftChars="0"/>
        <w:rPr>
          <w:color w:val="auto"/>
          <w:highlight w:val="none"/>
        </w:rPr>
      </w:pPr>
      <w:r>
        <w:rPr>
          <w:rFonts w:hint="eastAsia"/>
          <w:color w:val="auto"/>
          <w:highlight w:val="none"/>
        </w:rPr>
        <w:t>模板及支撑系统应牢固，宜采用底部顶撑方式，不得穿铁丝。</w:t>
      </w:r>
    </w:p>
    <w:p>
      <w:pPr>
        <w:numPr>
          <w:ilvl w:val="1"/>
          <w:numId w:val="69"/>
        </w:numPr>
        <w:bidi w:val="0"/>
        <w:rPr>
          <w:color w:val="auto"/>
          <w:highlight w:val="none"/>
        </w:rPr>
      </w:pPr>
      <w:r>
        <w:rPr>
          <w:rFonts w:hint="eastAsia"/>
          <w:color w:val="auto"/>
          <w:highlight w:val="none"/>
        </w:rPr>
        <w:t>合理安排施工工序：机电管道和设备安装完成后，再进行防水层施工，防止施工工序倒置而造成防水层的破坏。</w:t>
      </w:r>
    </w:p>
    <w:p>
      <w:pPr>
        <w:numPr>
          <w:ilvl w:val="1"/>
          <w:numId w:val="69"/>
        </w:numPr>
        <w:bidi w:val="0"/>
        <w:rPr>
          <w:color w:val="auto"/>
          <w:highlight w:val="none"/>
        </w:rPr>
      </w:pPr>
      <w:r>
        <w:rPr>
          <w:rFonts w:hint="eastAsia"/>
          <w:color w:val="auto"/>
          <w:highlight w:val="none"/>
        </w:rPr>
        <w:t>排水坡度：施工完成后，饰面层排水坡度和坡向应满足设计要求，不得有倒泛水和积水现象。管道及地漏安装完成后，应及时封闭端部以免后期施工造成堵塞。</w:t>
      </w:r>
    </w:p>
    <w:p>
      <w:pPr>
        <w:numPr>
          <w:ilvl w:val="1"/>
          <w:numId w:val="69"/>
        </w:numPr>
        <w:bidi w:val="0"/>
        <w:rPr>
          <w:color w:val="auto"/>
          <w:highlight w:val="none"/>
        </w:rPr>
      </w:pPr>
      <w:r>
        <w:rPr>
          <w:rFonts w:hint="eastAsia"/>
          <w:color w:val="auto"/>
          <w:highlight w:val="none"/>
        </w:rPr>
        <w:t>蓄水试验：所有卫生间均应进行蓄水试验。结构洞口封堵完成后应做一次蓄水试验，蓄水时间不小于6小时；防水完成后，防水单位应再做一次蓄水试验，蓄水时间不小于24小时。蓄水面应比楼板与导墙相接处高出20mm以上。</w:t>
      </w:r>
    </w:p>
    <w:p>
      <w:pPr>
        <w:pStyle w:val="5"/>
        <w:bidi w:val="0"/>
        <w:ind w:left="253"/>
        <w:rPr>
          <w:color w:val="auto"/>
          <w:highlight w:val="none"/>
        </w:rPr>
      </w:pPr>
      <w:bookmarkStart w:id="831" w:name="_Toc333252130"/>
      <w:r>
        <w:rPr>
          <w:rFonts w:hint="eastAsia"/>
          <w:color w:val="auto"/>
          <w:highlight w:val="none"/>
        </w:rPr>
        <w:t xml:space="preserve"> </w:t>
      </w:r>
      <w:r>
        <w:rPr>
          <w:color w:val="auto"/>
          <w:highlight w:val="none"/>
        </w:rPr>
        <w:t>厨房</w:t>
      </w:r>
      <w:bookmarkEnd w:id="831"/>
      <w:r>
        <w:rPr>
          <w:rFonts w:hint="eastAsia"/>
          <w:color w:val="auto"/>
          <w:highlight w:val="none"/>
        </w:rPr>
        <w:t>防渗漏要求</w:t>
      </w:r>
    </w:p>
    <w:p>
      <w:pPr>
        <w:numPr>
          <w:ilvl w:val="1"/>
          <w:numId w:val="72"/>
        </w:numPr>
        <w:bidi w:val="0"/>
        <w:rPr>
          <w:color w:val="auto"/>
          <w:highlight w:val="none"/>
        </w:rPr>
      </w:pPr>
      <w:r>
        <w:rPr>
          <w:rFonts w:hint="eastAsia"/>
          <w:color w:val="auto"/>
          <w:highlight w:val="none"/>
        </w:rPr>
        <w:t>导墙设置：厨房间周边应设置混凝土导墙，混凝土导墙上返高度不小于结构完成面300mm；</w:t>
      </w:r>
    </w:p>
    <w:p>
      <w:pPr>
        <w:numPr>
          <w:ilvl w:val="1"/>
          <w:numId w:val="72"/>
        </w:numPr>
        <w:bidi w:val="0"/>
        <w:rPr>
          <w:color w:val="auto"/>
          <w:highlight w:val="none"/>
        </w:rPr>
      </w:pPr>
      <w:r>
        <w:rPr>
          <w:rFonts w:hint="eastAsia"/>
          <w:color w:val="auto"/>
          <w:highlight w:val="none"/>
        </w:rPr>
        <w:t>烟道：反坎设置应符合设计图纸要求。</w:t>
      </w:r>
    </w:p>
    <w:p>
      <w:pPr>
        <w:pStyle w:val="5"/>
        <w:bidi w:val="0"/>
        <w:ind w:left="253"/>
        <w:rPr>
          <w:color w:val="auto"/>
          <w:highlight w:val="none"/>
        </w:rPr>
      </w:pPr>
      <w:bookmarkStart w:id="832" w:name="_Toc333252131"/>
      <w:r>
        <w:rPr>
          <w:rFonts w:hint="eastAsia"/>
          <w:color w:val="auto"/>
          <w:highlight w:val="none"/>
        </w:rPr>
        <w:t xml:space="preserve"> </w:t>
      </w:r>
      <w:r>
        <w:rPr>
          <w:color w:val="auto"/>
          <w:highlight w:val="none"/>
        </w:rPr>
        <w:t>阳台及空中花园</w:t>
      </w:r>
      <w:bookmarkEnd w:id="832"/>
      <w:r>
        <w:rPr>
          <w:rFonts w:hint="eastAsia"/>
          <w:color w:val="auto"/>
          <w:highlight w:val="none"/>
        </w:rPr>
        <w:t>防渗漏深化设计</w:t>
      </w:r>
    </w:p>
    <w:p>
      <w:pPr>
        <w:numPr>
          <w:ilvl w:val="1"/>
          <w:numId w:val="73"/>
        </w:numPr>
        <w:bidi w:val="0"/>
        <w:rPr>
          <w:color w:val="auto"/>
          <w:highlight w:val="none"/>
        </w:rPr>
      </w:pPr>
      <w:r>
        <w:rPr>
          <w:rFonts w:hint="eastAsia"/>
          <w:color w:val="auto"/>
          <w:highlight w:val="none"/>
        </w:rPr>
        <w:t>结构降板：阳台及空中花园应设置结构降板，结构降板高度应充分考虑</w:t>
      </w:r>
      <w:r>
        <w:rPr>
          <w:color w:val="auto"/>
          <w:highlight w:val="none"/>
        </w:rPr>
        <w:t>阳台</w:t>
      </w:r>
      <w:r>
        <w:rPr>
          <w:rFonts w:hint="eastAsia"/>
          <w:color w:val="auto"/>
          <w:highlight w:val="none"/>
        </w:rPr>
        <w:t>面积</w:t>
      </w:r>
      <w:r>
        <w:rPr>
          <w:color w:val="auto"/>
          <w:highlight w:val="none"/>
        </w:rPr>
        <w:t>大小</w:t>
      </w:r>
      <w:r>
        <w:rPr>
          <w:rFonts w:hint="eastAsia"/>
          <w:color w:val="auto"/>
          <w:highlight w:val="none"/>
        </w:rPr>
        <w:t>、装修面层厚度、</w:t>
      </w:r>
      <w:r>
        <w:rPr>
          <w:color w:val="auto"/>
          <w:highlight w:val="none"/>
        </w:rPr>
        <w:t>阳台朝向等因素</w:t>
      </w:r>
      <w:r>
        <w:rPr>
          <w:rFonts w:hint="eastAsia"/>
          <w:color w:val="auto"/>
          <w:highlight w:val="none"/>
        </w:rPr>
        <w:t>。</w:t>
      </w:r>
    </w:p>
    <w:p>
      <w:pPr>
        <w:numPr>
          <w:ilvl w:val="1"/>
          <w:numId w:val="73"/>
        </w:numPr>
        <w:bidi w:val="0"/>
        <w:rPr>
          <w:color w:val="auto"/>
          <w:highlight w:val="none"/>
        </w:rPr>
      </w:pPr>
      <w:r>
        <w:rPr>
          <w:rFonts w:hint="eastAsia"/>
          <w:color w:val="auto"/>
          <w:highlight w:val="none"/>
        </w:rPr>
        <w:t>结构梁预留缺口：有水管、线管从地面出阳台时，应考虑在门口处结构梁上预留缺口，避免管线安装时打凿破坏防水层。</w:t>
      </w:r>
    </w:p>
    <w:p>
      <w:pPr>
        <w:numPr>
          <w:ilvl w:val="1"/>
          <w:numId w:val="73"/>
        </w:numPr>
        <w:bidi w:val="0"/>
        <w:rPr>
          <w:color w:val="auto"/>
          <w:highlight w:val="none"/>
        </w:rPr>
      </w:pPr>
      <w:r>
        <w:rPr>
          <w:rFonts w:hint="eastAsia"/>
          <w:color w:val="auto"/>
          <w:highlight w:val="none"/>
        </w:rPr>
        <w:t>混凝土导墙设置：与阳台相连的砌筑外墙下部应设置混凝土导墙，导墙高度不小于室内结构</w:t>
      </w:r>
      <w:r>
        <w:rPr>
          <w:color w:val="auto"/>
          <w:highlight w:val="none"/>
        </w:rPr>
        <w:t>面</w:t>
      </w:r>
      <w:r>
        <w:rPr>
          <w:rFonts w:hint="eastAsia"/>
          <w:color w:val="auto"/>
          <w:highlight w:val="none"/>
        </w:rPr>
        <w:t>300mm。</w:t>
      </w:r>
    </w:p>
    <w:p>
      <w:pPr>
        <w:numPr>
          <w:ilvl w:val="1"/>
          <w:numId w:val="73"/>
        </w:numPr>
        <w:bidi w:val="0"/>
        <w:rPr>
          <w:color w:val="auto"/>
          <w:highlight w:val="none"/>
        </w:rPr>
      </w:pPr>
      <w:r>
        <w:rPr>
          <w:rFonts w:hint="eastAsia"/>
          <w:color w:val="auto"/>
          <w:highlight w:val="none"/>
        </w:rPr>
        <w:t>阳台挡坎：阳台栏杆（板）下部应设置高度不小于1</w:t>
      </w:r>
      <w:r>
        <w:rPr>
          <w:color w:val="auto"/>
          <w:highlight w:val="none"/>
        </w:rPr>
        <w:t>5</w:t>
      </w:r>
      <w:r>
        <w:rPr>
          <w:rFonts w:hint="eastAsia"/>
          <w:color w:val="auto"/>
          <w:highlight w:val="none"/>
        </w:rPr>
        <w:t>0mm（阳台结构</w:t>
      </w:r>
      <w:r>
        <w:rPr>
          <w:color w:val="auto"/>
          <w:highlight w:val="none"/>
        </w:rPr>
        <w:t>面以上</w:t>
      </w:r>
      <w:r>
        <w:rPr>
          <w:rFonts w:hint="eastAsia"/>
          <w:color w:val="auto"/>
          <w:highlight w:val="none"/>
        </w:rPr>
        <w:t>）的混凝土挡坎，而不应采用砌体后砌。</w:t>
      </w:r>
    </w:p>
    <w:p>
      <w:pPr>
        <w:numPr>
          <w:ilvl w:val="1"/>
          <w:numId w:val="73"/>
        </w:numPr>
        <w:bidi w:val="0"/>
        <w:rPr>
          <w:color w:val="auto"/>
          <w:highlight w:val="none"/>
        </w:rPr>
      </w:pPr>
      <w:r>
        <w:rPr>
          <w:rFonts w:hint="eastAsia"/>
          <w:color w:val="auto"/>
          <w:highlight w:val="none"/>
        </w:rPr>
        <w:t>防水层设计：阳台及空中花园楼板面宜设计防水层。若阳台、空中花园不做整体防水层且为砌筑外墙，应在阳台、空中花园与外墙交接部位设置防水层，水平方向300mm宽，上返300mm高。</w:t>
      </w:r>
    </w:p>
    <w:p>
      <w:pPr>
        <w:numPr>
          <w:ilvl w:val="1"/>
          <w:numId w:val="73"/>
        </w:numPr>
        <w:bidi w:val="0"/>
        <w:rPr>
          <w:color w:val="auto"/>
          <w:highlight w:val="none"/>
        </w:rPr>
      </w:pPr>
      <w:r>
        <w:rPr>
          <w:rFonts w:hint="eastAsia"/>
          <w:color w:val="auto"/>
          <w:highlight w:val="none"/>
        </w:rPr>
        <w:t>找坡设计：阳台、空中花园地面应进行双向找坡设计，坡向地漏或排水口，坡度不小于</w:t>
      </w:r>
      <w:r>
        <w:rPr>
          <w:color w:val="auto"/>
          <w:highlight w:val="none"/>
        </w:rPr>
        <w:t>1</w:t>
      </w:r>
      <w:r>
        <w:rPr>
          <w:rFonts w:hint="eastAsia"/>
          <w:color w:val="auto"/>
          <w:highlight w:val="none"/>
        </w:rPr>
        <w:t>%。</w:t>
      </w:r>
    </w:p>
    <w:p>
      <w:pPr>
        <w:numPr>
          <w:ilvl w:val="1"/>
          <w:numId w:val="73"/>
        </w:numPr>
        <w:bidi w:val="0"/>
        <w:rPr>
          <w:color w:val="auto"/>
          <w:highlight w:val="none"/>
        </w:rPr>
      </w:pPr>
      <w:r>
        <w:rPr>
          <w:rFonts w:hint="eastAsia"/>
          <w:color w:val="auto"/>
          <w:highlight w:val="none"/>
        </w:rPr>
        <w:t>地漏设置：阳台地漏应设置在远离室内的一侧，且地漏尽量设置为外露，便于清理。地漏弯头如包在吊顶或幕墙内时，应预留检修口。</w:t>
      </w:r>
    </w:p>
    <w:p>
      <w:pPr>
        <w:numPr>
          <w:ilvl w:val="1"/>
          <w:numId w:val="73"/>
        </w:numPr>
        <w:bidi w:val="0"/>
        <w:rPr>
          <w:color w:val="auto"/>
          <w:highlight w:val="none"/>
        </w:rPr>
      </w:pPr>
      <w:r>
        <w:rPr>
          <w:rFonts w:hint="eastAsia"/>
          <w:color w:val="auto"/>
          <w:highlight w:val="none"/>
        </w:rPr>
        <w:t>门框下口：阳台和空中花园的外门框下口无结构挡水坎设计时，门框下口应考虑采用干硬性防水砂浆塞缝，慎用防水铝片、防水胶皮等与混凝土结构贴合度不好的防水设计方案。</w:t>
      </w:r>
    </w:p>
    <w:p>
      <w:pPr>
        <w:pStyle w:val="5"/>
        <w:bidi w:val="0"/>
        <w:ind w:left="253"/>
        <w:rPr>
          <w:color w:val="auto"/>
          <w:highlight w:val="none"/>
        </w:rPr>
      </w:pPr>
      <w:r>
        <w:rPr>
          <w:rFonts w:hint="eastAsia"/>
          <w:color w:val="auto"/>
          <w:highlight w:val="none"/>
        </w:rPr>
        <w:t xml:space="preserve"> </w:t>
      </w:r>
      <w:r>
        <w:rPr>
          <w:color w:val="auto"/>
          <w:highlight w:val="none"/>
        </w:rPr>
        <w:t>阳台及空中花园</w:t>
      </w:r>
      <w:r>
        <w:rPr>
          <w:rFonts w:hint="eastAsia"/>
          <w:color w:val="auto"/>
          <w:highlight w:val="none"/>
        </w:rPr>
        <w:t>防渗漏要求</w:t>
      </w:r>
    </w:p>
    <w:p>
      <w:pPr>
        <w:numPr>
          <w:ilvl w:val="1"/>
          <w:numId w:val="74"/>
        </w:numPr>
        <w:bidi w:val="0"/>
        <w:rPr>
          <w:color w:val="auto"/>
          <w:highlight w:val="none"/>
        </w:rPr>
      </w:pPr>
      <w:r>
        <w:rPr>
          <w:rFonts w:hint="eastAsia"/>
          <w:color w:val="auto"/>
          <w:highlight w:val="none"/>
        </w:rPr>
        <w:t>阳台门塞缝：门框四周</w:t>
      </w:r>
      <w:r>
        <w:rPr>
          <w:color w:val="auto"/>
          <w:highlight w:val="none"/>
        </w:rPr>
        <w:t>应</w:t>
      </w:r>
      <w:r>
        <w:rPr>
          <w:rFonts w:hint="eastAsia"/>
          <w:color w:val="auto"/>
          <w:highlight w:val="none"/>
        </w:rPr>
        <w:t>用干硬</w:t>
      </w:r>
      <w:r>
        <w:rPr>
          <w:color w:val="auto"/>
          <w:highlight w:val="none"/>
        </w:rPr>
        <w:t>性防水</w:t>
      </w:r>
      <w:r>
        <w:rPr>
          <w:rFonts w:hint="eastAsia"/>
          <w:color w:val="auto"/>
          <w:highlight w:val="none"/>
        </w:rPr>
        <w:t>砂</w:t>
      </w:r>
      <w:r>
        <w:rPr>
          <w:color w:val="auto"/>
          <w:highlight w:val="none"/>
        </w:rPr>
        <w:t>浆</w:t>
      </w:r>
      <w:r>
        <w:rPr>
          <w:rFonts w:hint="eastAsia"/>
          <w:color w:val="auto"/>
          <w:highlight w:val="none"/>
        </w:rPr>
        <w:t>塞缝，再施工室内找平层。</w:t>
      </w:r>
    </w:p>
    <w:p>
      <w:pPr>
        <w:numPr>
          <w:ilvl w:val="1"/>
          <w:numId w:val="74"/>
        </w:numPr>
        <w:bidi w:val="0"/>
        <w:rPr>
          <w:color w:val="auto"/>
          <w:highlight w:val="none"/>
        </w:rPr>
      </w:pPr>
      <w:r>
        <w:rPr>
          <w:rFonts w:hint="eastAsia"/>
          <w:color w:val="auto"/>
          <w:highlight w:val="none"/>
        </w:rPr>
        <w:t>蓄水试验：所有的阳台、空中花园均应在结构洞口封堵完成后做一次蓄水试验，蓄水时间不小于6小时。防水层施工完成后防水单位再做一次蓄水试验，蓄水时间不小于24小时。</w:t>
      </w:r>
    </w:p>
    <w:p>
      <w:pPr>
        <w:pStyle w:val="4"/>
        <w:bidi w:val="0"/>
        <w:rPr>
          <w:color w:val="auto"/>
          <w:highlight w:val="none"/>
        </w:rPr>
      </w:pPr>
      <w:r>
        <w:rPr>
          <w:rFonts w:hint="eastAsia"/>
          <w:color w:val="auto"/>
          <w:highlight w:val="none"/>
        </w:rPr>
        <w:t>屋面防渗漏</w:t>
      </w:r>
    </w:p>
    <w:p>
      <w:pPr>
        <w:pStyle w:val="5"/>
        <w:bidi w:val="0"/>
        <w:rPr>
          <w:color w:val="auto"/>
          <w:highlight w:val="none"/>
        </w:rPr>
      </w:pPr>
      <w:r>
        <w:rPr>
          <w:rFonts w:hint="eastAsia"/>
          <w:color w:val="auto"/>
          <w:highlight w:val="none"/>
        </w:rPr>
        <w:t xml:space="preserve"> 屋面防水总体原则</w:t>
      </w:r>
    </w:p>
    <w:p>
      <w:pPr>
        <w:bidi w:val="0"/>
        <w:rPr>
          <w:color w:val="auto"/>
          <w:highlight w:val="none"/>
        </w:rPr>
      </w:pPr>
      <w:r>
        <w:rPr>
          <w:rFonts w:hint="eastAsia"/>
          <w:color w:val="auto"/>
          <w:highlight w:val="none"/>
        </w:rPr>
        <w:t>屋面防水宜防排结合，坡屋面排重于防，平屋面防重于排。</w:t>
      </w:r>
    </w:p>
    <w:p>
      <w:pPr>
        <w:pStyle w:val="5"/>
        <w:bidi w:val="0"/>
        <w:rPr>
          <w:color w:val="auto"/>
          <w:highlight w:val="none"/>
        </w:rPr>
      </w:pPr>
      <w:r>
        <w:rPr>
          <w:rFonts w:hint="eastAsia"/>
          <w:color w:val="auto"/>
          <w:highlight w:val="none"/>
        </w:rPr>
        <w:t xml:space="preserve"> 设计要求</w:t>
      </w:r>
    </w:p>
    <w:p>
      <w:pPr>
        <w:numPr>
          <w:ilvl w:val="1"/>
          <w:numId w:val="75"/>
        </w:numPr>
        <w:spacing w:before="120" w:beforeLines="50" w:after="120" w:afterLines="50"/>
        <w:ind w:left="425" w:leftChars="177" w:hanging="426"/>
        <w:rPr>
          <w:rFonts w:eastAsia="宋体"/>
          <w:bCs/>
          <w:color w:val="auto"/>
          <w:highlight w:val="none"/>
        </w:rPr>
      </w:pPr>
      <w:r>
        <w:rPr>
          <w:rFonts w:hint="eastAsia" w:eastAsia="宋体"/>
          <w:bCs/>
          <w:color w:val="auto"/>
          <w:highlight w:val="none"/>
        </w:rPr>
        <w:t>混凝土导墙：所有出屋面竖向结构（女儿墙、烟道、机房、梯间、风口等）位置砌筑墙体下须设置不低于建筑完成面（找坡后）300mm的混凝土导墙，且与平面结构（天窗、雨棚）交接处均应加混凝土泛水以便于防水卷材施工。</w:t>
      </w:r>
    </w:p>
    <w:p>
      <w:pPr>
        <w:numPr>
          <w:ilvl w:val="1"/>
          <w:numId w:val="75"/>
        </w:numPr>
        <w:spacing w:before="120" w:beforeLines="50" w:after="120" w:afterLines="50"/>
        <w:ind w:left="425" w:leftChars="177" w:hanging="426"/>
        <w:rPr>
          <w:rFonts w:eastAsia="宋体"/>
          <w:bCs/>
          <w:color w:val="auto"/>
          <w:highlight w:val="none"/>
        </w:rPr>
      </w:pPr>
      <w:r>
        <w:rPr>
          <w:rFonts w:hint="eastAsia" w:eastAsia="宋体"/>
          <w:bCs/>
          <w:color w:val="auto"/>
          <w:highlight w:val="none"/>
        </w:rPr>
        <w:t>平屋面找坡：采用建筑找坡时，不宜采用珍珠岩或陶粒混凝土。找坡层应保证坡向正确，坡度及最薄处厚度满足</w:t>
      </w:r>
      <w:r>
        <w:rPr>
          <w:rFonts w:eastAsia="宋体"/>
          <w:bCs/>
          <w:color w:val="auto"/>
          <w:highlight w:val="none"/>
        </w:rPr>
        <w:t>设计要</w:t>
      </w:r>
      <w:r>
        <w:rPr>
          <w:rFonts w:hint="eastAsia" w:eastAsia="宋体"/>
          <w:bCs/>
          <w:color w:val="auto"/>
          <w:highlight w:val="none"/>
        </w:rPr>
        <w:t>求。</w:t>
      </w:r>
    </w:p>
    <w:p>
      <w:pPr>
        <w:numPr>
          <w:ilvl w:val="1"/>
          <w:numId w:val="75"/>
        </w:numPr>
        <w:spacing w:before="120" w:beforeLines="50" w:after="120" w:afterLines="50"/>
        <w:ind w:left="425" w:leftChars="177" w:hanging="426"/>
        <w:rPr>
          <w:rFonts w:eastAsia="宋体"/>
          <w:bCs/>
          <w:color w:val="auto"/>
          <w:highlight w:val="none"/>
        </w:rPr>
      </w:pPr>
      <w:r>
        <w:rPr>
          <w:rFonts w:hint="eastAsia" w:eastAsia="宋体"/>
          <w:bCs/>
          <w:color w:val="auto"/>
          <w:highlight w:val="none"/>
        </w:rPr>
        <w:t>防水层：女儿墙周边防水卷材上返高度应保证设计要求。</w:t>
      </w:r>
    </w:p>
    <w:p>
      <w:pPr>
        <w:numPr>
          <w:ilvl w:val="1"/>
          <w:numId w:val="75"/>
        </w:numPr>
        <w:spacing w:before="120" w:beforeLines="50" w:after="120" w:afterLines="50"/>
        <w:ind w:left="425" w:leftChars="177" w:hanging="426"/>
        <w:rPr>
          <w:rFonts w:eastAsia="宋体"/>
          <w:bCs/>
          <w:color w:val="auto"/>
          <w:highlight w:val="none"/>
        </w:rPr>
      </w:pPr>
      <w:r>
        <w:rPr>
          <w:rFonts w:hint="eastAsia" w:eastAsia="宋体"/>
          <w:bCs/>
          <w:color w:val="auto"/>
          <w:highlight w:val="none"/>
        </w:rPr>
        <w:t>屋面建筑排水：合理确定排水坡度及排水方向，避免局部积水；应绘制屋面有组织排水深化设计图。</w:t>
      </w:r>
    </w:p>
    <w:p>
      <w:pPr>
        <w:pStyle w:val="5"/>
        <w:bidi w:val="0"/>
        <w:rPr>
          <w:color w:val="auto"/>
          <w:highlight w:val="none"/>
        </w:rPr>
      </w:pPr>
      <w:r>
        <w:rPr>
          <w:rFonts w:hint="eastAsia"/>
          <w:color w:val="auto"/>
          <w:highlight w:val="none"/>
        </w:rPr>
        <w:t xml:space="preserve"> 屋面防渗漏施工要求</w:t>
      </w:r>
    </w:p>
    <w:p>
      <w:pPr>
        <w:numPr>
          <w:ilvl w:val="1"/>
          <w:numId w:val="76"/>
        </w:numPr>
        <w:spacing w:before="120" w:beforeLines="50" w:after="120" w:afterLines="50"/>
        <w:ind w:left="425" w:leftChars="177" w:hanging="426"/>
        <w:rPr>
          <w:color w:val="auto"/>
          <w:highlight w:val="none"/>
        </w:rPr>
      </w:pPr>
      <w:r>
        <w:rPr>
          <w:rFonts w:hint="eastAsia"/>
          <w:color w:val="auto"/>
          <w:highlight w:val="none"/>
        </w:rPr>
        <w:t>混凝土结构</w:t>
      </w:r>
    </w:p>
    <w:p>
      <w:pPr>
        <w:numPr>
          <w:ilvl w:val="0"/>
          <w:numId w:val="77"/>
        </w:numPr>
        <w:bidi w:val="0"/>
        <w:ind w:left="900" w:leftChars="0"/>
        <w:rPr>
          <w:color w:val="auto"/>
          <w:highlight w:val="none"/>
        </w:rPr>
      </w:pPr>
      <w:r>
        <w:rPr>
          <w:rFonts w:hint="eastAsia"/>
          <w:color w:val="auto"/>
          <w:highlight w:val="none"/>
        </w:rPr>
        <w:t>屋面混凝土结构应浇捣密实、压实收光，以保证结构自防水效果。</w:t>
      </w:r>
    </w:p>
    <w:p>
      <w:pPr>
        <w:numPr>
          <w:ilvl w:val="0"/>
          <w:numId w:val="77"/>
        </w:numPr>
        <w:bidi w:val="0"/>
        <w:ind w:left="900" w:leftChars="0"/>
        <w:rPr>
          <w:color w:val="auto"/>
          <w:highlight w:val="none"/>
        </w:rPr>
      </w:pPr>
      <w:r>
        <w:rPr>
          <w:rFonts w:hint="eastAsia"/>
          <w:color w:val="auto"/>
          <w:highlight w:val="none"/>
        </w:rPr>
        <w:t>混凝土导墙及混凝土结构女儿墙宜与屋面结构板一次性浇筑完成。</w:t>
      </w:r>
    </w:p>
    <w:p>
      <w:pPr>
        <w:numPr>
          <w:ilvl w:val="0"/>
          <w:numId w:val="77"/>
        </w:numPr>
        <w:bidi w:val="0"/>
        <w:ind w:left="900" w:leftChars="0"/>
        <w:rPr>
          <w:color w:val="auto"/>
          <w:highlight w:val="none"/>
        </w:rPr>
      </w:pPr>
      <w:r>
        <w:rPr>
          <w:rFonts w:hint="eastAsia"/>
          <w:color w:val="auto"/>
          <w:highlight w:val="none"/>
        </w:rPr>
        <w:t>控制好混凝土结构找坡的坡向和坡度，保证最小找坡坡度不低于设计限值。</w:t>
      </w:r>
    </w:p>
    <w:p>
      <w:pPr>
        <w:numPr>
          <w:ilvl w:val="1"/>
          <w:numId w:val="76"/>
        </w:numPr>
        <w:spacing w:before="120" w:beforeLines="50" w:after="120" w:afterLines="50"/>
        <w:ind w:left="425" w:leftChars="177" w:hanging="426"/>
        <w:rPr>
          <w:rFonts w:hint="eastAsia" w:ascii="宋体" w:hAnsi="宋体" w:eastAsia="宋体"/>
          <w:color w:val="auto"/>
          <w:highlight w:val="none"/>
        </w:rPr>
      </w:pPr>
      <w:r>
        <w:rPr>
          <w:rFonts w:hint="eastAsia" w:ascii="宋体" w:hAnsi="宋体" w:eastAsia="宋体"/>
          <w:color w:val="auto"/>
          <w:highlight w:val="none"/>
        </w:rPr>
        <w:t>基层处理</w:t>
      </w:r>
    </w:p>
    <w:p>
      <w:pPr>
        <w:numPr>
          <w:ilvl w:val="1"/>
          <w:numId w:val="76"/>
        </w:numPr>
        <w:spacing w:before="120" w:beforeLines="50" w:after="120" w:afterLines="50"/>
        <w:ind w:left="425" w:leftChars="177" w:hanging="426"/>
        <w:rPr>
          <w:rFonts w:hint="eastAsia" w:ascii="宋体" w:hAnsi="宋体" w:eastAsia="宋体"/>
          <w:color w:val="auto"/>
          <w:highlight w:val="none"/>
        </w:rPr>
      </w:pPr>
      <w:r>
        <w:rPr>
          <w:rFonts w:hint="eastAsia" w:ascii="宋体" w:hAnsi="宋体" w:eastAsia="宋体"/>
          <w:color w:val="auto"/>
          <w:highlight w:val="none"/>
        </w:rPr>
        <w:t>在防水层施工前，对基层需进行处理，保证基层平整、无坑洼、无突出物。</w:t>
      </w:r>
    </w:p>
    <w:p>
      <w:pPr>
        <w:numPr>
          <w:ilvl w:val="1"/>
          <w:numId w:val="76"/>
        </w:numPr>
        <w:spacing w:before="120" w:beforeLines="50" w:after="120" w:afterLines="50"/>
        <w:ind w:left="425" w:leftChars="177" w:hanging="426"/>
        <w:rPr>
          <w:rFonts w:hint="eastAsia" w:ascii="宋体" w:hAnsi="宋体" w:eastAsia="宋体"/>
          <w:color w:val="auto"/>
          <w:highlight w:val="none"/>
        </w:rPr>
      </w:pPr>
      <w:r>
        <w:rPr>
          <w:rFonts w:hint="eastAsia" w:ascii="宋体" w:hAnsi="宋体" w:eastAsia="宋体"/>
          <w:color w:val="auto"/>
          <w:highlight w:val="none"/>
        </w:rPr>
        <w:t>在管道根部、与平面交接的阴阳角部位应做成均匀一致、光滑平整的圆角，圆弧半径不小于50mm，并应在阴角部位设置防水附加层。</w:t>
      </w:r>
    </w:p>
    <w:p>
      <w:pPr>
        <w:numPr>
          <w:ilvl w:val="1"/>
          <w:numId w:val="76"/>
        </w:numPr>
        <w:spacing w:before="120" w:beforeLines="50" w:after="120" w:afterLines="50"/>
        <w:ind w:left="425" w:leftChars="177" w:hanging="426"/>
        <w:rPr>
          <w:rFonts w:hint="eastAsia" w:ascii="宋体" w:hAnsi="宋体" w:eastAsia="宋体"/>
          <w:color w:val="auto"/>
          <w:highlight w:val="none"/>
        </w:rPr>
      </w:pPr>
      <w:r>
        <w:rPr>
          <w:rFonts w:hint="eastAsia" w:ascii="宋体" w:hAnsi="宋体" w:eastAsia="宋体"/>
          <w:color w:val="auto"/>
          <w:highlight w:val="none"/>
        </w:rPr>
        <w:t>防水施工</w:t>
      </w:r>
    </w:p>
    <w:p>
      <w:pPr>
        <w:numPr>
          <w:ilvl w:val="0"/>
          <w:numId w:val="78"/>
        </w:numPr>
        <w:bidi w:val="0"/>
        <w:ind w:left="900" w:leftChars="0"/>
        <w:rPr>
          <w:color w:val="auto"/>
          <w:highlight w:val="none"/>
        </w:rPr>
      </w:pPr>
      <w:r>
        <w:rPr>
          <w:rFonts w:hint="eastAsia"/>
          <w:color w:val="auto"/>
          <w:highlight w:val="none"/>
        </w:rPr>
        <w:t>屋面防水尽量整体施工，对搭设有外架的屋面尽量在外架拆除后进行防水施工，或将外架进行改造以保证防水施工的一体化。</w:t>
      </w:r>
    </w:p>
    <w:p>
      <w:pPr>
        <w:numPr>
          <w:ilvl w:val="0"/>
          <w:numId w:val="78"/>
        </w:numPr>
        <w:bidi w:val="0"/>
        <w:ind w:left="900" w:leftChars="0"/>
        <w:rPr>
          <w:color w:val="auto"/>
          <w:highlight w:val="none"/>
        </w:rPr>
      </w:pPr>
      <w:r>
        <w:rPr>
          <w:rFonts w:hint="eastAsia"/>
          <w:color w:val="auto"/>
          <w:highlight w:val="none"/>
        </w:rPr>
        <w:t>应注重对防水层的成品保护。防水层验收合格后，应设专人负责成品保护工作。</w:t>
      </w:r>
    </w:p>
    <w:p>
      <w:pPr>
        <w:numPr>
          <w:ilvl w:val="1"/>
          <w:numId w:val="76"/>
        </w:numPr>
        <w:spacing w:before="120" w:beforeLines="50" w:after="120" w:afterLines="50"/>
        <w:ind w:left="425" w:leftChars="177" w:hanging="426"/>
        <w:rPr>
          <w:rFonts w:eastAsia="宋体"/>
          <w:bCs/>
          <w:color w:val="auto"/>
          <w:highlight w:val="none"/>
        </w:rPr>
      </w:pPr>
      <w:r>
        <w:rPr>
          <w:rFonts w:hint="eastAsia" w:eastAsia="宋体"/>
          <w:bCs/>
          <w:color w:val="auto"/>
          <w:highlight w:val="none"/>
        </w:rPr>
        <w:t>刚性保护层</w:t>
      </w:r>
    </w:p>
    <w:p>
      <w:pPr>
        <w:bidi w:val="0"/>
        <w:rPr>
          <w:color w:val="auto"/>
          <w:highlight w:val="none"/>
        </w:rPr>
      </w:pPr>
      <w:r>
        <w:rPr>
          <w:rFonts w:hint="eastAsia"/>
          <w:color w:val="auto"/>
          <w:highlight w:val="none"/>
        </w:rPr>
        <w:t>刚性保护层应在常温下养护不少于7天，不应有空鼓、松动、起砂、麻面、裂缝等缺陷。</w:t>
      </w:r>
    </w:p>
    <w:p>
      <w:pPr>
        <w:pStyle w:val="5"/>
        <w:bidi w:val="0"/>
        <w:rPr>
          <w:color w:val="auto"/>
          <w:highlight w:val="none"/>
        </w:rPr>
      </w:pPr>
      <w:r>
        <w:rPr>
          <w:rFonts w:hint="eastAsia"/>
          <w:color w:val="auto"/>
          <w:highlight w:val="none"/>
        </w:rPr>
        <w:t xml:space="preserve"> 淋蓄水试验</w:t>
      </w:r>
    </w:p>
    <w:p>
      <w:pPr>
        <w:numPr>
          <w:ilvl w:val="1"/>
          <w:numId w:val="79"/>
        </w:numPr>
        <w:bidi w:val="0"/>
        <w:rPr>
          <w:color w:val="auto"/>
          <w:highlight w:val="none"/>
        </w:rPr>
      </w:pPr>
      <w:r>
        <w:rPr>
          <w:rFonts w:hint="eastAsia"/>
          <w:color w:val="auto"/>
          <w:highlight w:val="none"/>
        </w:rPr>
        <w:t>在施工屋面防水层前，平屋面应做结构闭水试验，斜屋面应做结构淋水试验，以检验屋面结构板及出屋面管道封堵处结构有无渗漏。结构板及管道封堵处有渗漏时应进行结构处理，确保结构无渗漏后方可进行防水层施工。</w:t>
      </w:r>
    </w:p>
    <w:p>
      <w:pPr>
        <w:numPr>
          <w:ilvl w:val="1"/>
          <w:numId w:val="79"/>
        </w:numPr>
        <w:bidi w:val="0"/>
        <w:rPr>
          <w:color w:val="auto"/>
          <w:highlight w:val="none"/>
        </w:rPr>
      </w:pPr>
      <w:r>
        <w:rPr>
          <w:rFonts w:hint="eastAsia"/>
          <w:color w:val="auto"/>
          <w:highlight w:val="none"/>
        </w:rPr>
        <w:t>屋面防水层施工完成后，平屋面应做24小时蓄水试验，斜屋面应做30分钟的淋水试验。</w:t>
      </w:r>
    </w:p>
    <w:p>
      <w:pPr>
        <w:pStyle w:val="3"/>
        <w:bidi w:val="0"/>
        <w:rPr>
          <w:color w:val="auto"/>
          <w:highlight w:val="none"/>
        </w:rPr>
      </w:pPr>
      <w:bookmarkStart w:id="833" w:name="_Toc27353"/>
      <w:bookmarkStart w:id="834" w:name="_Toc169722240"/>
      <w:bookmarkStart w:id="835" w:name="_Toc19501"/>
      <w:bookmarkStart w:id="836" w:name="_Toc28754"/>
      <w:bookmarkStart w:id="837" w:name="_Toc21473"/>
      <w:bookmarkStart w:id="838" w:name="_Toc508"/>
      <w:bookmarkStart w:id="839" w:name="_Toc10094"/>
      <w:bookmarkStart w:id="840" w:name="_Toc8930"/>
      <w:bookmarkStart w:id="841" w:name="_Toc14581"/>
      <w:bookmarkStart w:id="842" w:name="_Toc10615"/>
      <w:bookmarkStart w:id="843" w:name="_Toc28061"/>
      <w:bookmarkStart w:id="844" w:name="_Toc8576"/>
      <w:r>
        <w:rPr>
          <w:rFonts w:hint="eastAsia"/>
          <w:color w:val="auto"/>
          <w:highlight w:val="none"/>
        </w:rPr>
        <w:t>高精砌块砌筑施工技术要求</w:t>
      </w:r>
      <w:bookmarkEnd w:id="833"/>
      <w:bookmarkEnd w:id="834"/>
      <w:bookmarkEnd w:id="835"/>
      <w:bookmarkEnd w:id="836"/>
      <w:r>
        <w:rPr>
          <w:rFonts w:hint="eastAsia"/>
          <w:color w:val="auto"/>
          <w:highlight w:val="none"/>
          <w:lang w:eastAsia="zh-CN"/>
        </w:rPr>
        <w:t>（</w:t>
      </w:r>
      <w:r>
        <w:rPr>
          <w:rFonts w:hint="eastAsia"/>
          <w:color w:val="auto"/>
          <w:highlight w:val="none"/>
          <w:lang w:val="en-US" w:eastAsia="zh-CN"/>
        </w:rPr>
        <w:t>如有</w:t>
      </w:r>
      <w:r>
        <w:rPr>
          <w:rFonts w:hint="eastAsia"/>
          <w:color w:val="auto"/>
          <w:highlight w:val="none"/>
          <w:lang w:eastAsia="zh-CN"/>
        </w:rPr>
        <w:t>）</w:t>
      </w:r>
      <w:bookmarkEnd w:id="837"/>
      <w:bookmarkEnd w:id="838"/>
      <w:bookmarkEnd w:id="839"/>
      <w:bookmarkEnd w:id="840"/>
      <w:bookmarkEnd w:id="841"/>
      <w:bookmarkEnd w:id="842"/>
      <w:bookmarkEnd w:id="843"/>
      <w:bookmarkEnd w:id="844"/>
    </w:p>
    <w:p>
      <w:pPr>
        <w:pStyle w:val="4"/>
        <w:bidi w:val="0"/>
        <w:rPr>
          <w:color w:val="auto"/>
          <w:highlight w:val="none"/>
        </w:rPr>
      </w:pPr>
      <w:r>
        <w:rPr>
          <w:color w:val="auto"/>
          <w:highlight w:val="none"/>
        </w:rPr>
        <w:t>专用粘结剂</w:t>
      </w:r>
    </w:p>
    <w:p>
      <w:pPr>
        <w:pStyle w:val="5"/>
        <w:bidi w:val="0"/>
        <w:rPr>
          <w:color w:val="auto"/>
          <w:highlight w:val="none"/>
        </w:rPr>
      </w:pPr>
      <w:r>
        <w:rPr>
          <w:color w:val="auto"/>
          <w:highlight w:val="none"/>
        </w:rPr>
        <w:t>砌筑砂浆采用专用粘结剂，对砌块进行干法施工,灰缝厚度3~5mm且饱满。粘结剂应使用电动工具搅拌均匀</w:t>
      </w:r>
      <w:r>
        <w:rPr>
          <w:rFonts w:hint="eastAsia"/>
          <w:color w:val="auto"/>
          <w:highlight w:val="none"/>
        </w:rPr>
        <w:t>。</w:t>
      </w:r>
    </w:p>
    <w:p>
      <w:pPr>
        <w:pStyle w:val="5"/>
        <w:bidi w:val="0"/>
        <w:rPr>
          <w:color w:val="auto"/>
          <w:highlight w:val="none"/>
        </w:rPr>
      </w:pPr>
      <w:r>
        <w:rPr>
          <w:color w:val="auto"/>
          <w:highlight w:val="none"/>
        </w:rPr>
        <w:t>随拌随用，拌合后宜在1</w:t>
      </w:r>
      <w:r>
        <w:rPr>
          <w:rFonts w:hint="eastAsia"/>
          <w:color w:val="auto"/>
          <w:highlight w:val="none"/>
        </w:rPr>
        <w:t>小时</w:t>
      </w:r>
      <w:r>
        <w:rPr>
          <w:color w:val="auto"/>
          <w:highlight w:val="none"/>
        </w:rPr>
        <w:t>内用完为限。使用粘结剂施工，不浇水湿润砌块</w:t>
      </w:r>
      <w:r>
        <w:rPr>
          <w:rFonts w:hint="eastAsia"/>
          <w:color w:val="auto"/>
          <w:highlight w:val="none"/>
        </w:rPr>
        <w:t>。</w:t>
      </w:r>
    </w:p>
    <w:p>
      <w:pPr>
        <w:pStyle w:val="4"/>
        <w:bidi w:val="0"/>
        <w:rPr>
          <w:color w:val="auto"/>
          <w:highlight w:val="none"/>
        </w:rPr>
      </w:pPr>
      <w:r>
        <w:rPr>
          <w:color w:val="auto"/>
          <w:highlight w:val="none"/>
        </w:rPr>
        <w:t>专用砌块</w:t>
      </w:r>
    </w:p>
    <w:p>
      <w:pPr>
        <w:pStyle w:val="5"/>
        <w:bidi w:val="0"/>
        <w:rPr>
          <w:color w:val="auto"/>
          <w:highlight w:val="none"/>
        </w:rPr>
      </w:pPr>
      <w:r>
        <w:rPr>
          <w:color w:val="auto"/>
          <w:highlight w:val="none"/>
        </w:rPr>
        <w:t>砌块应集中堆放</w:t>
      </w:r>
      <w:r>
        <w:rPr>
          <w:rFonts w:hint="eastAsia"/>
          <w:color w:val="auto"/>
          <w:highlight w:val="none"/>
        </w:rPr>
        <w:t>，</w:t>
      </w:r>
      <w:r>
        <w:rPr>
          <w:color w:val="auto"/>
          <w:highlight w:val="none"/>
        </w:rPr>
        <w:t>上方采用搭棚的方式，棚的外檐超出砌块外边至少1m，有效防雨；下方采用方木+模板铺平台，平台高出周边至少10cm，并能有效排水。</w:t>
      </w:r>
    </w:p>
    <w:p>
      <w:pPr>
        <w:pStyle w:val="5"/>
        <w:bidi w:val="0"/>
        <w:rPr>
          <w:color w:val="auto"/>
          <w:highlight w:val="none"/>
        </w:rPr>
      </w:pPr>
      <w:r>
        <w:rPr>
          <w:color w:val="auto"/>
          <w:highlight w:val="none"/>
        </w:rPr>
        <w:t>砌块集中切割</w:t>
      </w:r>
      <w:r>
        <w:rPr>
          <w:rFonts w:hint="eastAsia"/>
          <w:color w:val="auto"/>
          <w:highlight w:val="none"/>
        </w:rPr>
        <w:t>加工</w:t>
      </w:r>
      <w:r>
        <w:rPr>
          <w:color w:val="auto"/>
          <w:highlight w:val="none"/>
        </w:rPr>
        <w:t>，对砌块采用湿法切割</w:t>
      </w:r>
      <w:r>
        <w:rPr>
          <w:rFonts w:hint="eastAsia"/>
          <w:color w:val="auto"/>
          <w:highlight w:val="none"/>
        </w:rPr>
        <w:t>。</w:t>
      </w:r>
    </w:p>
    <w:p>
      <w:pPr>
        <w:pStyle w:val="5"/>
        <w:bidi w:val="0"/>
        <w:rPr>
          <w:color w:val="auto"/>
          <w:highlight w:val="none"/>
        </w:rPr>
      </w:pPr>
      <w:r>
        <w:rPr>
          <w:color w:val="auto"/>
          <w:highlight w:val="none"/>
        </w:rPr>
        <w:t>必须专门制作方正实用的运输小车或手动、电动小型叉车，以有效控制破损率，严禁采用翻斗车。</w:t>
      </w:r>
    </w:p>
    <w:p>
      <w:pPr>
        <w:pStyle w:val="4"/>
        <w:bidi w:val="0"/>
        <w:rPr>
          <w:color w:val="auto"/>
          <w:highlight w:val="none"/>
        </w:rPr>
      </w:pPr>
      <w:r>
        <w:rPr>
          <w:color w:val="auto"/>
          <w:highlight w:val="none"/>
        </w:rPr>
        <w:t>砌筑排版图</w:t>
      </w:r>
    </w:p>
    <w:p>
      <w:pPr>
        <w:pStyle w:val="5"/>
        <w:bidi w:val="0"/>
        <w:rPr>
          <w:color w:val="auto"/>
          <w:highlight w:val="none"/>
        </w:rPr>
      </w:pPr>
      <w:r>
        <w:rPr>
          <w:color w:val="auto"/>
          <w:highlight w:val="none"/>
        </w:rPr>
        <w:t>排砖图应考虑底砖模数、砌块模数、窗台标高、顶砖位置。应在每片墙体的两端柱上标注皮数控制线、窗台标高</w:t>
      </w:r>
      <w:r>
        <w:rPr>
          <w:rFonts w:hint="eastAsia"/>
          <w:color w:val="auto"/>
          <w:highlight w:val="none"/>
        </w:rPr>
        <w:t>。</w:t>
      </w:r>
    </w:p>
    <w:p>
      <w:pPr>
        <w:pStyle w:val="5"/>
        <w:bidi w:val="0"/>
        <w:rPr>
          <w:color w:val="auto"/>
          <w:highlight w:val="none"/>
        </w:rPr>
      </w:pPr>
      <w:r>
        <w:rPr>
          <w:color w:val="auto"/>
          <w:highlight w:val="none"/>
        </w:rPr>
        <w:t>绘制墙体水电定位控制图，须将电箱/电盒（图中可表示机电点位位置，要求、标准等）、水电管线的定位表达清楚</w:t>
      </w:r>
      <w:r>
        <w:rPr>
          <w:rFonts w:hint="eastAsia"/>
          <w:color w:val="auto"/>
          <w:highlight w:val="none"/>
        </w:rPr>
        <w:t>。</w:t>
      </w:r>
    </w:p>
    <w:p>
      <w:pPr>
        <w:pStyle w:val="5"/>
        <w:bidi w:val="0"/>
        <w:rPr>
          <w:color w:val="auto"/>
          <w:highlight w:val="none"/>
        </w:rPr>
      </w:pPr>
      <w:r>
        <w:rPr>
          <w:color w:val="auto"/>
          <w:highlight w:val="none"/>
        </w:rPr>
        <w:t>砌筑户型图、必须贴置于对应户型内，排砖图贴于砖墙端部。</w:t>
      </w:r>
    </w:p>
    <w:p>
      <w:pPr>
        <w:pStyle w:val="4"/>
        <w:bidi w:val="0"/>
        <w:rPr>
          <w:color w:val="auto"/>
          <w:highlight w:val="none"/>
        </w:rPr>
      </w:pPr>
      <w:r>
        <w:rPr>
          <w:color w:val="auto"/>
          <w:highlight w:val="none"/>
        </w:rPr>
        <w:t>砌筑控制线</w:t>
      </w:r>
    </w:p>
    <w:p>
      <w:pPr>
        <w:pStyle w:val="5"/>
        <w:bidi w:val="0"/>
        <w:rPr>
          <w:color w:val="auto"/>
          <w:highlight w:val="none"/>
        </w:rPr>
      </w:pPr>
      <w:r>
        <w:rPr>
          <w:color w:val="auto"/>
          <w:highlight w:val="none"/>
        </w:rPr>
        <w:t>应弹砌筑双控制线</w:t>
      </w:r>
      <w:r>
        <w:rPr>
          <w:rFonts w:hint="eastAsia"/>
          <w:color w:val="auto"/>
          <w:highlight w:val="none"/>
        </w:rPr>
        <w:t>。</w:t>
      </w:r>
    </w:p>
    <w:p>
      <w:pPr>
        <w:pStyle w:val="5"/>
        <w:bidi w:val="0"/>
        <w:rPr>
          <w:color w:val="auto"/>
          <w:highlight w:val="none"/>
        </w:rPr>
      </w:pPr>
      <w:r>
        <w:rPr>
          <w:color w:val="auto"/>
          <w:highlight w:val="none"/>
        </w:rPr>
        <w:t>管道井、烟道也须设置双控线。成品烟道和水电预留孔，在结构施工阶段，须放线定位</w:t>
      </w:r>
      <w:r>
        <w:rPr>
          <w:rFonts w:hint="eastAsia"/>
          <w:color w:val="auto"/>
          <w:highlight w:val="none"/>
        </w:rPr>
        <w:t>。</w:t>
      </w:r>
    </w:p>
    <w:p>
      <w:pPr>
        <w:pStyle w:val="5"/>
        <w:bidi w:val="0"/>
        <w:rPr>
          <w:color w:val="auto"/>
          <w:highlight w:val="none"/>
        </w:rPr>
      </w:pPr>
      <w:r>
        <w:rPr>
          <w:color w:val="auto"/>
          <w:highlight w:val="none"/>
        </w:rPr>
        <w:t>通过将控制线引到梁、墙、地面进行洞口定位</w:t>
      </w:r>
      <w:r>
        <w:rPr>
          <w:rFonts w:hint="eastAsia"/>
          <w:color w:val="auto"/>
          <w:highlight w:val="none"/>
        </w:rPr>
        <w:t>。</w:t>
      </w:r>
    </w:p>
    <w:p>
      <w:pPr>
        <w:pStyle w:val="5"/>
        <w:bidi w:val="0"/>
        <w:rPr>
          <w:color w:val="auto"/>
          <w:highlight w:val="none"/>
        </w:rPr>
      </w:pPr>
      <w:r>
        <w:rPr>
          <w:color w:val="auto"/>
          <w:highlight w:val="none"/>
        </w:rPr>
        <w:t>砌筑施工过程中，必须双面挂天地线和水平控制线，以保证砌筑墙体的垂直、平整、方正性、灰缝的宽度及观感质量。</w:t>
      </w:r>
    </w:p>
    <w:p>
      <w:pPr>
        <w:pStyle w:val="4"/>
        <w:bidi w:val="0"/>
        <w:rPr>
          <w:color w:val="auto"/>
          <w:highlight w:val="none"/>
        </w:rPr>
      </w:pPr>
      <w:r>
        <w:rPr>
          <w:color w:val="auto"/>
          <w:highlight w:val="none"/>
        </w:rPr>
        <w:t>砌筑</w:t>
      </w:r>
    </w:p>
    <w:p>
      <w:pPr>
        <w:pStyle w:val="5"/>
        <w:bidi w:val="0"/>
        <w:rPr>
          <w:color w:val="auto"/>
          <w:highlight w:val="none"/>
        </w:rPr>
      </w:pPr>
      <w:r>
        <w:rPr>
          <w:color w:val="auto"/>
          <w:highlight w:val="none"/>
        </w:rPr>
        <w:t>施工前应设置皮数杆，皮数杆应垂直、牢固、标高一致</w:t>
      </w:r>
      <w:r>
        <w:rPr>
          <w:rFonts w:hint="eastAsia"/>
          <w:color w:val="auto"/>
          <w:highlight w:val="none"/>
        </w:rPr>
        <w:t>。</w:t>
      </w:r>
    </w:p>
    <w:p>
      <w:pPr>
        <w:pStyle w:val="5"/>
        <w:bidi w:val="0"/>
        <w:rPr>
          <w:color w:val="auto"/>
          <w:highlight w:val="none"/>
        </w:rPr>
      </w:pPr>
      <w:r>
        <w:rPr>
          <w:color w:val="auto"/>
          <w:highlight w:val="none"/>
        </w:rPr>
        <w:t>砌块施工应严格按施工规范的要求进行错缝搭砌，上墙的砌块不应任意移动或撞击</w:t>
      </w:r>
      <w:r>
        <w:rPr>
          <w:rFonts w:hint="eastAsia"/>
          <w:color w:val="auto"/>
          <w:highlight w:val="none"/>
        </w:rPr>
        <w:t>。</w:t>
      </w:r>
    </w:p>
    <w:p>
      <w:pPr>
        <w:pStyle w:val="5"/>
        <w:bidi w:val="0"/>
        <w:rPr>
          <w:color w:val="auto"/>
          <w:highlight w:val="none"/>
        </w:rPr>
      </w:pPr>
      <w:r>
        <w:rPr>
          <w:color w:val="auto"/>
          <w:highlight w:val="none"/>
        </w:rPr>
        <w:t>填充墙砌至接近梁底、板底时，应留</w:t>
      </w:r>
      <w:r>
        <w:rPr>
          <w:rFonts w:hint="eastAsia"/>
          <w:color w:val="auto"/>
          <w:highlight w:val="none"/>
        </w:rPr>
        <w:t>小于5</w:t>
      </w:r>
      <w:r>
        <w:rPr>
          <w:color w:val="auto"/>
          <w:highlight w:val="none"/>
        </w:rPr>
        <w:t>0mm的空隙，待填充墙砌筑完并至少间隔14天后，再嵌缝将其挤紧。</w:t>
      </w:r>
    </w:p>
    <w:p>
      <w:pPr>
        <w:pStyle w:val="4"/>
        <w:bidi w:val="0"/>
        <w:rPr>
          <w:color w:val="auto"/>
          <w:highlight w:val="none"/>
        </w:rPr>
      </w:pPr>
      <w:r>
        <w:rPr>
          <w:color w:val="auto"/>
          <w:highlight w:val="none"/>
        </w:rPr>
        <w:t>导墙</w:t>
      </w:r>
    </w:p>
    <w:p>
      <w:pPr>
        <w:pStyle w:val="5"/>
        <w:bidi w:val="0"/>
        <w:rPr>
          <w:color w:val="auto"/>
          <w:highlight w:val="none"/>
        </w:rPr>
      </w:pPr>
      <w:r>
        <w:rPr>
          <w:rFonts w:hint="eastAsia"/>
          <w:color w:val="auto"/>
          <w:highlight w:val="none"/>
        </w:rPr>
        <w:t>厨房、卫生间、阳台及其他用水的房间周边设置不小于</w:t>
      </w:r>
      <w:r>
        <w:rPr>
          <w:color w:val="auto"/>
          <w:highlight w:val="none"/>
        </w:rPr>
        <w:t>200</w:t>
      </w:r>
      <w:r>
        <w:rPr>
          <w:rFonts w:hint="eastAsia"/>
          <w:color w:val="auto"/>
          <w:highlight w:val="none"/>
        </w:rPr>
        <w:t>mm</w:t>
      </w:r>
      <w:r>
        <w:rPr>
          <w:color w:val="auto"/>
          <w:highlight w:val="none"/>
        </w:rPr>
        <w:t>高的混凝土导墙，外墙外挑结构（雨棚、外墙腰线、空调板）上部上口处设置高度不小于200mm的反坎导墙</w:t>
      </w:r>
      <w:r>
        <w:rPr>
          <w:rFonts w:hint="eastAsia"/>
          <w:color w:val="auto"/>
          <w:highlight w:val="none"/>
        </w:rPr>
        <w:t>。</w:t>
      </w:r>
    </w:p>
    <w:p>
      <w:pPr>
        <w:pStyle w:val="4"/>
        <w:bidi w:val="0"/>
        <w:rPr>
          <w:color w:val="auto"/>
          <w:highlight w:val="none"/>
        </w:rPr>
      </w:pPr>
      <w:r>
        <w:rPr>
          <w:color w:val="auto"/>
          <w:highlight w:val="none"/>
        </w:rPr>
        <w:t>拉结</w:t>
      </w:r>
    </w:p>
    <w:p>
      <w:pPr>
        <w:pStyle w:val="5"/>
        <w:bidi w:val="0"/>
        <w:rPr>
          <w:color w:val="auto"/>
          <w:highlight w:val="none"/>
        </w:rPr>
      </w:pPr>
      <w:r>
        <w:rPr>
          <w:color w:val="auto"/>
          <w:highlight w:val="none"/>
        </w:rPr>
        <w:t>加气混凝土砌块填充墙与柱墙之间以</w:t>
      </w:r>
      <w:r>
        <w:rPr>
          <w:rFonts w:hint="eastAsia"/>
          <w:color w:val="auto"/>
          <w:highlight w:val="none"/>
        </w:rPr>
        <w:t>拉结片或</w:t>
      </w:r>
      <w:r>
        <w:rPr>
          <w:color w:val="auto"/>
          <w:highlight w:val="none"/>
        </w:rPr>
        <w:t>φ6.5拉结筋连接，</w:t>
      </w:r>
      <w:r>
        <w:rPr>
          <w:rFonts w:hint="eastAsia"/>
          <w:color w:val="auto"/>
          <w:highlight w:val="none"/>
        </w:rPr>
        <w:t>拉结片或</w:t>
      </w:r>
      <w:r>
        <w:rPr>
          <w:color w:val="auto"/>
          <w:highlight w:val="none"/>
        </w:rPr>
        <w:t>拉结筋埋于砌体的水平灰缝中。</w:t>
      </w:r>
    </w:p>
    <w:p>
      <w:pPr>
        <w:pStyle w:val="5"/>
        <w:bidi w:val="0"/>
        <w:rPr>
          <w:color w:val="auto"/>
          <w:highlight w:val="none"/>
        </w:rPr>
      </w:pPr>
      <w:r>
        <w:rPr>
          <w:color w:val="auto"/>
          <w:highlight w:val="none"/>
        </w:rPr>
        <w:t>埋设在墙体内的水平拉结筋应预先在砌块的水平灰缝面开设凹槽（槽宽、深度比钢筋大15～20mm），置入钢筋后，应用粘结剂填实至槽的上口平。</w:t>
      </w:r>
    </w:p>
    <w:p>
      <w:pPr>
        <w:pStyle w:val="5"/>
        <w:bidi w:val="0"/>
        <w:rPr>
          <w:color w:val="auto"/>
          <w:highlight w:val="none"/>
        </w:rPr>
      </w:pPr>
      <w:r>
        <w:rPr>
          <w:rFonts w:hint="eastAsia"/>
          <w:color w:val="auto"/>
          <w:highlight w:val="none"/>
        </w:rPr>
        <w:t>拉结片、</w:t>
      </w:r>
      <w:r>
        <w:rPr>
          <w:color w:val="auto"/>
          <w:highlight w:val="none"/>
        </w:rPr>
        <w:t>拉结筋须按排砖图，进行确定位置</w:t>
      </w:r>
      <w:r>
        <w:rPr>
          <w:rFonts w:hint="eastAsia"/>
          <w:color w:val="auto"/>
          <w:highlight w:val="none"/>
        </w:rPr>
        <w:t>。</w:t>
      </w:r>
    </w:p>
    <w:p>
      <w:pPr>
        <w:pStyle w:val="3"/>
        <w:bidi w:val="0"/>
        <w:rPr>
          <w:color w:val="auto"/>
          <w:highlight w:val="none"/>
        </w:rPr>
      </w:pPr>
      <w:bookmarkStart w:id="845" w:name="_Toc23316"/>
      <w:bookmarkStart w:id="846" w:name="_Toc21688"/>
      <w:bookmarkStart w:id="847" w:name="_Toc169722244"/>
      <w:bookmarkStart w:id="848" w:name="_Toc2523"/>
      <w:bookmarkStart w:id="849" w:name="_Toc29254"/>
      <w:bookmarkStart w:id="850" w:name="_Toc2099"/>
      <w:bookmarkStart w:id="851" w:name="_Toc16698"/>
      <w:bookmarkStart w:id="852" w:name="_Toc13473"/>
      <w:bookmarkStart w:id="853" w:name="_Toc30482"/>
      <w:bookmarkStart w:id="854" w:name="_Toc6912"/>
      <w:bookmarkStart w:id="855" w:name="_Toc25754"/>
      <w:bookmarkStart w:id="856" w:name="_Toc1359"/>
      <w:r>
        <w:rPr>
          <w:rFonts w:hint="eastAsia"/>
          <w:color w:val="auto"/>
          <w:highlight w:val="none"/>
        </w:rPr>
        <w:t>装配式工程技术要求</w:t>
      </w:r>
      <w:bookmarkEnd w:id="845"/>
      <w:bookmarkEnd w:id="846"/>
      <w:bookmarkEnd w:id="847"/>
      <w:bookmarkEnd w:id="848"/>
      <w:bookmarkEnd w:id="849"/>
      <w:bookmarkEnd w:id="850"/>
      <w:bookmarkEnd w:id="851"/>
      <w:bookmarkEnd w:id="852"/>
      <w:bookmarkEnd w:id="853"/>
      <w:bookmarkEnd w:id="854"/>
      <w:bookmarkEnd w:id="855"/>
      <w:bookmarkEnd w:id="856"/>
    </w:p>
    <w:p>
      <w:pPr>
        <w:bidi w:val="0"/>
        <w:rPr>
          <w:color w:val="auto"/>
          <w:highlight w:val="none"/>
          <w:lang w:eastAsia="zh-CN"/>
        </w:rPr>
      </w:pPr>
      <w:bookmarkStart w:id="857" w:name="_Toc520244692"/>
      <w:bookmarkEnd w:id="857"/>
      <w:bookmarkStart w:id="858" w:name="_Toc520244652"/>
      <w:bookmarkEnd w:id="858"/>
      <w:bookmarkStart w:id="859" w:name="_Toc520244669"/>
      <w:bookmarkEnd w:id="859"/>
      <w:bookmarkStart w:id="860" w:name="_Toc520245299"/>
      <w:bookmarkEnd w:id="860"/>
      <w:bookmarkStart w:id="861" w:name="_Toc520244693"/>
      <w:bookmarkEnd w:id="861"/>
      <w:bookmarkStart w:id="862" w:name="_Toc520244650"/>
      <w:bookmarkEnd w:id="862"/>
      <w:bookmarkStart w:id="863" w:name="_Toc520244680"/>
      <w:bookmarkEnd w:id="863"/>
      <w:bookmarkStart w:id="864" w:name="_Toc520245298"/>
      <w:bookmarkEnd w:id="864"/>
      <w:bookmarkStart w:id="865" w:name="_Toc520244675"/>
      <w:bookmarkEnd w:id="865"/>
      <w:bookmarkStart w:id="866" w:name="_Toc520244651"/>
      <w:bookmarkEnd w:id="866"/>
      <w:bookmarkStart w:id="867" w:name="_Toc520245275"/>
      <w:bookmarkEnd w:id="867"/>
      <w:bookmarkStart w:id="868" w:name="_Toc520245277"/>
      <w:bookmarkEnd w:id="868"/>
      <w:bookmarkStart w:id="869" w:name="_Toc520245303"/>
      <w:bookmarkEnd w:id="869"/>
      <w:bookmarkStart w:id="870" w:name="_Toc520244649"/>
      <w:bookmarkEnd w:id="870"/>
      <w:bookmarkStart w:id="871" w:name="_Toc520244690"/>
      <w:bookmarkEnd w:id="871"/>
      <w:bookmarkStart w:id="872" w:name="_Toc520244671"/>
      <w:bookmarkEnd w:id="872"/>
      <w:bookmarkStart w:id="873" w:name="_Toc520244695"/>
      <w:bookmarkEnd w:id="873"/>
      <w:bookmarkStart w:id="874" w:name="_Toc520245309"/>
      <w:bookmarkEnd w:id="874"/>
      <w:bookmarkStart w:id="875" w:name="_Toc520244679"/>
      <w:bookmarkEnd w:id="875"/>
      <w:bookmarkStart w:id="876" w:name="_Toc520244668"/>
      <w:bookmarkEnd w:id="876"/>
      <w:bookmarkStart w:id="877" w:name="_Toc520245305"/>
      <w:bookmarkEnd w:id="877"/>
      <w:bookmarkStart w:id="878" w:name="_Toc520244684"/>
      <w:bookmarkEnd w:id="878"/>
      <w:bookmarkStart w:id="879" w:name="_Toc520245323"/>
      <w:bookmarkEnd w:id="879"/>
      <w:bookmarkStart w:id="880" w:name="_Toc520244691"/>
      <w:bookmarkEnd w:id="880"/>
      <w:bookmarkStart w:id="881" w:name="_Toc520244676"/>
      <w:bookmarkEnd w:id="881"/>
      <w:bookmarkStart w:id="882" w:name="_Toc520244660"/>
      <w:bookmarkEnd w:id="882"/>
      <w:bookmarkStart w:id="883" w:name="_Toc520245304"/>
      <w:bookmarkEnd w:id="883"/>
      <w:bookmarkStart w:id="884" w:name="_Toc520245276"/>
      <w:bookmarkEnd w:id="884"/>
      <w:bookmarkStart w:id="885" w:name="_Toc520245288"/>
      <w:bookmarkEnd w:id="885"/>
      <w:bookmarkStart w:id="886" w:name="_Toc520245310"/>
      <w:bookmarkEnd w:id="886"/>
      <w:bookmarkStart w:id="887" w:name="_Toc520244681"/>
      <w:bookmarkEnd w:id="887"/>
      <w:bookmarkStart w:id="888" w:name="_Toc520244727"/>
      <w:bookmarkEnd w:id="888"/>
      <w:bookmarkStart w:id="889" w:name="_Toc520245278"/>
      <w:bookmarkEnd w:id="889"/>
      <w:bookmarkStart w:id="890" w:name="_Toc520244688"/>
      <w:bookmarkEnd w:id="890"/>
      <w:bookmarkStart w:id="891" w:name="_Toc520245319"/>
      <w:bookmarkEnd w:id="891"/>
      <w:bookmarkStart w:id="892" w:name="_Toc520245312"/>
      <w:bookmarkEnd w:id="892"/>
      <w:bookmarkStart w:id="893" w:name="_Toc520245320"/>
      <w:bookmarkEnd w:id="893"/>
      <w:bookmarkStart w:id="894" w:name="_Toc520244657"/>
      <w:bookmarkEnd w:id="894"/>
      <w:bookmarkStart w:id="895" w:name="_Toc520244661"/>
      <w:bookmarkEnd w:id="895"/>
      <w:bookmarkStart w:id="896" w:name="_Toc520244685"/>
      <w:bookmarkEnd w:id="896"/>
      <w:bookmarkStart w:id="897" w:name="_Toc520244655"/>
      <w:bookmarkEnd w:id="897"/>
      <w:bookmarkStart w:id="898" w:name="_Toc520245321"/>
      <w:bookmarkEnd w:id="898"/>
      <w:bookmarkStart w:id="899" w:name="_Toc520245291"/>
      <w:bookmarkEnd w:id="899"/>
      <w:bookmarkStart w:id="900" w:name="_Toc520245311"/>
      <w:bookmarkEnd w:id="900"/>
      <w:bookmarkStart w:id="901" w:name="_Toc520245301"/>
      <w:bookmarkEnd w:id="901"/>
      <w:bookmarkStart w:id="902" w:name="_Toc520245314"/>
      <w:bookmarkEnd w:id="902"/>
      <w:bookmarkStart w:id="903" w:name="_Toc520244687"/>
      <w:bookmarkEnd w:id="903"/>
      <w:bookmarkStart w:id="904" w:name="_Toc520245315"/>
      <w:bookmarkEnd w:id="904"/>
      <w:bookmarkStart w:id="905" w:name="_Toc520244667"/>
      <w:bookmarkEnd w:id="905"/>
      <w:bookmarkStart w:id="906" w:name="_Toc520245282"/>
      <w:bookmarkEnd w:id="906"/>
      <w:bookmarkStart w:id="907" w:name="_Toc520245289"/>
      <w:bookmarkEnd w:id="907"/>
      <w:bookmarkStart w:id="908" w:name="_Toc520245287"/>
      <w:bookmarkEnd w:id="908"/>
      <w:bookmarkStart w:id="909" w:name="_Toc520245355"/>
      <w:bookmarkEnd w:id="909"/>
      <w:bookmarkStart w:id="910" w:name="_Toc520244663"/>
      <w:bookmarkEnd w:id="910"/>
      <w:bookmarkStart w:id="911" w:name="_Toc520245279"/>
      <w:bookmarkEnd w:id="911"/>
      <w:bookmarkStart w:id="912" w:name="_Toc520244677"/>
      <w:bookmarkEnd w:id="912"/>
      <w:bookmarkStart w:id="913" w:name="_Toc520244682"/>
      <w:bookmarkEnd w:id="913"/>
      <w:bookmarkStart w:id="914" w:name="_Toc520245297"/>
      <w:bookmarkEnd w:id="914"/>
      <w:bookmarkStart w:id="915" w:name="_Toc520244653"/>
      <w:bookmarkEnd w:id="915"/>
      <w:bookmarkStart w:id="916" w:name="_Toc520245281"/>
      <w:bookmarkEnd w:id="916"/>
      <w:bookmarkStart w:id="917" w:name="_Toc520244670"/>
      <w:bookmarkEnd w:id="917"/>
      <w:bookmarkStart w:id="918" w:name="_Toc520244666"/>
      <w:bookmarkEnd w:id="918"/>
      <w:bookmarkStart w:id="919" w:name="_Toc520244665"/>
      <w:bookmarkEnd w:id="919"/>
      <w:bookmarkStart w:id="920" w:name="_Toc520245294"/>
      <w:bookmarkEnd w:id="920"/>
      <w:bookmarkStart w:id="921" w:name="_Toc520245308"/>
      <w:bookmarkEnd w:id="921"/>
      <w:bookmarkStart w:id="922" w:name="_Toc520245296"/>
      <w:bookmarkEnd w:id="922"/>
      <w:bookmarkStart w:id="923" w:name="_Toc520244654"/>
      <w:bookmarkEnd w:id="923"/>
      <w:bookmarkStart w:id="924" w:name="_Toc520245283"/>
      <w:bookmarkEnd w:id="924"/>
      <w:bookmarkStart w:id="925" w:name="_Toc520245292"/>
      <w:bookmarkEnd w:id="925"/>
      <w:bookmarkStart w:id="926" w:name="_Toc520244673"/>
      <w:bookmarkEnd w:id="926"/>
      <w:bookmarkStart w:id="927" w:name="_Toc520244648"/>
      <w:bookmarkEnd w:id="927"/>
      <w:bookmarkStart w:id="928" w:name="_Toc520245293"/>
      <w:bookmarkEnd w:id="928"/>
      <w:bookmarkStart w:id="929" w:name="_Toc520245313"/>
      <w:bookmarkEnd w:id="929"/>
      <w:bookmarkStart w:id="930" w:name="_Toc520244672"/>
      <w:bookmarkEnd w:id="930"/>
      <w:bookmarkStart w:id="931" w:name="_Toc520245307"/>
      <w:bookmarkEnd w:id="931"/>
      <w:bookmarkStart w:id="932" w:name="_Toc520245280"/>
      <w:bookmarkEnd w:id="932"/>
      <w:bookmarkStart w:id="933" w:name="_Toc520244664"/>
      <w:bookmarkEnd w:id="933"/>
      <w:bookmarkStart w:id="934" w:name="_Toc520245318"/>
      <w:bookmarkEnd w:id="934"/>
      <w:bookmarkStart w:id="935" w:name="_Toc520244674"/>
      <w:bookmarkEnd w:id="935"/>
      <w:bookmarkStart w:id="936" w:name="_Toc520244683"/>
      <w:bookmarkEnd w:id="936"/>
      <w:bookmarkStart w:id="937" w:name="_Toc520245295"/>
      <w:bookmarkEnd w:id="937"/>
      <w:bookmarkStart w:id="938" w:name="_Toc520244734"/>
      <w:bookmarkEnd w:id="938"/>
      <w:bookmarkStart w:id="939" w:name="_Toc520245302"/>
      <w:bookmarkEnd w:id="939"/>
      <w:bookmarkStart w:id="940" w:name="_Toc520245306"/>
      <w:bookmarkEnd w:id="940"/>
      <w:bookmarkStart w:id="941" w:name="_Toc520245300"/>
      <w:bookmarkEnd w:id="941"/>
      <w:bookmarkStart w:id="942" w:name="_Toc520244678"/>
      <w:bookmarkEnd w:id="942"/>
      <w:bookmarkStart w:id="943" w:name="_Toc520245362"/>
      <w:bookmarkEnd w:id="943"/>
      <w:bookmarkStart w:id="944" w:name="_Toc520245285"/>
      <w:bookmarkEnd w:id="944"/>
      <w:bookmarkStart w:id="945" w:name="_Toc520245322"/>
      <w:bookmarkEnd w:id="945"/>
      <w:bookmarkStart w:id="946" w:name="_Toc520244694"/>
      <w:bookmarkEnd w:id="946"/>
      <w:bookmarkStart w:id="947" w:name="_Toc520244697"/>
      <w:bookmarkEnd w:id="947"/>
      <w:bookmarkStart w:id="948" w:name="_Toc520245316"/>
      <w:bookmarkEnd w:id="948"/>
      <w:bookmarkStart w:id="949" w:name="_Toc520244647"/>
      <w:bookmarkEnd w:id="949"/>
      <w:bookmarkStart w:id="950" w:name="_Toc520244656"/>
      <w:bookmarkEnd w:id="950"/>
      <w:bookmarkStart w:id="951" w:name="_Toc520245284"/>
      <w:bookmarkEnd w:id="951"/>
      <w:bookmarkStart w:id="952" w:name="_Toc520244659"/>
      <w:bookmarkEnd w:id="952"/>
      <w:bookmarkStart w:id="953" w:name="_Toc520244686"/>
      <w:bookmarkEnd w:id="953"/>
      <w:bookmarkStart w:id="954" w:name="_Toc520245325"/>
      <w:bookmarkEnd w:id="954"/>
      <w:bookmarkStart w:id="955" w:name="_Toc422854863"/>
      <w:bookmarkStart w:id="956" w:name="_Toc169722245"/>
      <w:r>
        <w:rPr>
          <w:rFonts w:hint="eastAsia"/>
          <w:color w:val="auto"/>
          <w:highlight w:val="none"/>
          <w:lang w:eastAsia="zh-CN"/>
        </w:rPr>
        <w:t>现场考察 PC 构件加工厂，并通过加工样板，确定工艺水平是否合符要求；按监理人确认的图纸预埋配件；按监理人确认的加工图制作构配件；按监理人批准的吊装方案安装 PC 构件。总承包方须委派专人驻场装配式构件生产厂，进行全程隐蔽检查，并报驻场监理验收。以下是装配式工程技术质量要求：</w:t>
      </w:r>
    </w:p>
    <w:p>
      <w:pPr>
        <w:pStyle w:val="4"/>
        <w:bidi w:val="0"/>
        <w:rPr>
          <w:color w:val="auto"/>
          <w:highlight w:val="none"/>
          <w:lang w:eastAsia="zh-CN"/>
        </w:rPr>
      </w:pPr>
      <w:r>
        <w:rPr>
          <w:rFonts w:hint="eastAsia"/>
          <w:color w:val="auto"/>
          <w:highlight w:val="none"/>
          <w:lang w:eastAsia="zh-CN"/>
        </w:rPr>
        <w:t>装配式构件要求</w:t>
      </w:r>
    </w:p>
    <w:p>
      <w:pPr>
        <w:bidi w:val="0"/>
        <w:rPr>
          <w:color w:val="auto"/>
          <w:highlight w:val="none"/>
          <w:lang w:eastAsia="zh-CN"/>
        </w:rPr>
      </w:pPr>
      <w:r>
        <w:rPr>
          <w:rFonts w:hint="eastAsia"/>
          <w:color w:val="auto"/>
          <w:highlight w:val="none"/>
          <w:lang w:eastAsia="zh-CN"/>
        </w:rPr>
        <w:t xml:space="preserve">（1）预制混凝土构件生产过程中各分项工程（隐蔽工程）应检查记录和验收合格单。所有验收合格单必须签字齐全、日期准确。 </w:t>
      </w:r>
    </w:p>
    <w:p>
      <w:pPr>
        <w:bidi w:val="0"/>
        <w:rPr>
          <w:color w:val="auto"/>
          <w:highlight w:val="none"/>
          <w:lang w:eastAsia="zh-CN"/>
        </w:rPr>
      </w:pPr>
      <w:r>
        <w:rPr>
          <w:rFonts w:hint="eastAsia"/>
          <w:color w:val="auto"/>
          <w:highlight w:val="none"/>
          <w:lang w:eastAsia="zh-CN"/>
        </w:rPr>
        <w:t xml:space="preserve">（2）预制混凝土构件应在明显部位标明工程名称、生产单位、构件型号、生产日期和质量验收标志，并确保该标志在施工现场组装前不得消失或难以识别。  </w:t>
      </w:r>
    </w:p>
    <w:p>
      <w:pPr>
        <w:bidi w:val="0"/>
        <w:rPr>
          <w:color w:val="auto"/>
          <w:highlight w:val="none"/>
          <w:lang w:eastAsia="zh-CN"/>
        </w:rPr>
      </w:pPr>
      <w:r>
        <w:rPr>
          <w:rFonts w:hint="eastAsia"/>
          <w:color w:val="auto"/>
          <w:highlight w:val="none"/>
          <w:lang w:eastAsia="zh-CN"/>
        </w:rPr>
        <w:t>（3）预制混凝土构件的外观质量不应有明显缺陷。出现明显缺陷应作退场处理。</w:t>
      </w:r>
    </w:p>
    <w:p>
      <w:pPr>
        <w:bidi w:val="0"/>
        <w:rPr>
          <w:color w:val="auto"/>
          <w:highlight w:val="none"/>
          <w:lang w:eastAsia="zh-CN"/>
        </w:rPr>
      </w:pPr>
      <w:r>
        <w:rPr>
          <w:rFonts w:hint="eastAsia"/>
          <w:color w:val="auto"/>
          <w:highlight w:val="none"/>
          <w:lang w:eastAsia="zh-CN"/>
        </w:rPr>
        <w:t xml:space="preserve">（4）预制混凝土构件不应有影响结构性能和安装、使用功能的尺寸偏差。对超过尺寸允许偏差且影响结构性能和安装、使用功能的部位，应按技术处理方案进行处理，并重新检查验收。 </w:t>
      </w:r>
    </w:p>
    <w:p>
      <w:pPr>
        <w:bidi w:val="0"/>
        <w:rPr>
          <w:color w:val="auto"/>
          <w:highlight w:val="none"/>
          <w:lang w:eastAsia="zh-CN"/>
        </w:rPr>
      </w:pPr>
      <w:r>
        <w:rPr>
          <w:rFonts w:hint="eastAsia"/>
          <w:color w:val="auto"/>
          <w:highlight w:val="none"/>
          <w:lang w:eastAsia="zh-CN"/>
        </w:rPr>
        <w:t>（5）预制混凝土构件上的预埋件、插筋和预留孔洞的规格、位置和数量应符合标准图或 设计的要求。在钢筋及预埋件安装完后，应进行自检，根据图纸逐一检查，符合要求后项目质检人员进行复检，合格后报监理人，经专业监理工程师现场审核，书面同意方可进行混凝土浇筑。</w:t>
      </w:r>
    </w:p>
    <w:p>
      <w:pPr>
        <w:bidi w:val="0"/>
        <w:rPr>
          <w:color w:val="auto"/>
          <w:highlight w:val="none"/>
          <w:lang w:eastAsia="zh-CN"/>
        </w:rPr>
      </w:pPr>
      <w:r>
        <w:rPr>
          <w:rFonts w:hint="eastAsia"/>
          <w:color w:val="auto"/>
          <w:highlight w:val="none"/>
          <w:lang w:eastAsia="zh-CN"/>
        </w:rPr>
        <w:t>（6） 预制构件相关预留钢筋、吊钩、洞口、线槽等需一次预留到位，严禁进场后开槽、开洞。</w:t>
      </w:r>
    </w:p>
    <w:p>
      <w:pPr>
        <w:pStyle w:val="4"/>
        <w:bidi w:val="0"/>
        <w:rPr>
          <w:color w:val="auto"/>
          <w:highlight w:val="none"/>
          <w:lang w:eastAsia="zh-CN"/>
        </w:rPr>
      </w:pPr>
      <w:r>
        <w:rPr>
          <w:rFonts w:hint="eastAsia"/>
          <w:color w:val="auto"/>
          <w:highlight w:val="none"/>
          <w:lang w:eastAsia="zh-CN"/>
        </w:rPr>
        <w:t xml:space="preserve">构件运输、堆放、成品保护要求 </w:t>
      </w:r>
    </w:p>
    <w:p>
      <w:pPr>
        <w:bidi w:val="0"/>
        <w:rPr>
          <w:color w:val="auto"/>
          <w:highlight w:val="none"/>
          <w:lang w:eastAsia="zh-CN"/>
        </w:rPr>
      </w:pPr>
      <w:r>
        <w:rPr>
          <w:rFonts w:hint="eastAsia"/>
          <w:color w:val="auto"/>
          <w:highlight w:val="none"/>
          <w:lang w:eastAsia="zh-CN"/>
        </w:rPr>
        <w:t xml:space="preserve">（1）构件的装卸基本要求 </w:t>
      </w:r>
    </w:p>
    <w:p>
      <w:pPr>
        <w:bidi w:val="0"/>
        <w:ind w:leftChars="200"/>
        <w:rPr>
          <w:color w:val="auto"/>
          <w:highlight w:val="none"/>
          <w:lang w:eastAsia="zh-CN"/>
        </w:rPr>
      </w:pPr>
      <w:r>
        <w:rPr>
          <w:color w:val="auto"/>
          <w:highlight w:val="none"/>
          <w:lang w:eastAsia="zh-CN"/>
        </w:rPr>
        <w:t>1）</w:t>
      </w:r>
      <w:r>
        <w:rPr>
          <w:rFonts w:hint="eastAsia"/>
          <w:color w:val="auto"/>
          <w:highlight w:val="none"/>
          <w:lang w:eastAsia="zh-CN"/>
        </w:rPr>
        <w:t xml:space="preserve">构件起吊时应拆除与相邻构件的连接，并将相邻构件支撑牢固。 </w:t>
      </w:r>
    </w:p>
    <w:p>
      <w:pPr>
        <w:bidi w:val="0"/>
        <w:ind w:leftChars="200"/>
        <w:rPr>
          <w:color w:val="auto"/>
          <w:highlight w:val="none"/>
          <w:lang w:eastAsia="zh-CN"/>
        </w:rPr>
      </w:pPr>
      <w:r>
        <w:rPr>
          <w:color w:val="auto"/>
          <w:highlight w:val="none"/>
          <w:lang w:eastAsia="zh-CN"/>
        </w:rPr>
        <w:t>2）</w:t>
      </w:r>
      <w:r>
        <w:rPr>
          <w:rFonts w:hint="eastAsia"/>
          <w:color w:val="auto"/>
          <w:highlight w:val="none"/>
          <w:lang w:eastAsia="zh-CN"/>
        </w:rPr>
        <w:t xml:space="preserve">外墙板采用竖直立放运输为宜，应使用专用支架运输，支架应与车身连接牢固。墙板饰面层应朝外，构件与支架应连接牢固。 </w:t>
      </w:r>
    </w:p>
    <w:p>
      <w:pPr>
        <w:bidi w:val="0"/>
        <w:ind w:leftChars="200"/>
        <w:rPr>
          <w:color w:val="auto"/>
          <w:highlight w:val="none"/>
          <w:lang w:eastAsia="zh-CN"/>
        </w:rPr>
      </w:pPr>
      <w:r>
        <w:rPr>
          <w:color w:val="auto"/>
          <w:highlight w:val="none"/>
          <w:lang w:eastAsia="zh-CN"/>
        </w:rPr>
        <w:t>3）</w:t>
      </w:r>
      <w:r>
        <w:rPr>
          <w:rFonts w:hint="eastAsia"/>
          <w:color w:val="auto"/>
          <w:highlight w:val="none"/>
          <w:lang w:eastAsia="zh-CN"/>
        </w:rPr>
        <w:t xml:space="preserve">楼梯、阳台、楼板、短柱、预制梁等小型预制构件以平运为主，装车时支点搁置要正确。 </w:t>
      </w:r>
    </w:p>
    <w:p>
      <w:pPr>
        <w:bidi w:val="0"/>
        <w:ind w:leftChars="200"/>
        <w:rPr>
          <w:color w:val="auto"/>
          <w:highlight w:val="none"/>
          <w:lang w:eastAsia="zh-CN"/>
        </w:rPr>
      </w:pPr>
      <w:r>
        <w:rPr>
          <w:color w:val="auto"/>
          <w:highlight w:val="none"/>
          <w:lang w:eastAsia="zh-CN"/>
        </w:rPr>
        <w:t>4）</w:t>
      </w:r>
      <w:r>
        <w:rPr>
          <w:rFonts w:hint="eastAsia"/>
          <w:color w:val="auto"/>
          <w:highlight w:val="none"/>
          <w:lang w:eastAsia="zh-CN"/>
        </w:rPr>
        <w:t xml:space="preserve">根据构件形状及构件重心位置分布，合理设定预制构件吊点位置。预埋吊具通常选用预埋吊钩（环）或可拆卸的埋置式接驳器。 </w:t>
      </w:r>
    </w:p>
    <w:p>
      <w:pPr>
        <w:bidi w:val="0"/>
        <w:ind w:leftChars="200"/>
        <w:rPr>
          <w:color w:val="auto"/>
          <w:highlight w:val="none"/>
          <w:lang w:eastAsia="zh-CN"/>
        </w:rPr>
      </w:pPr>
      <w:r>
        <w:rPr>
          <w:color w:val="auto"/>
          <w:highlight w:val="none"/>
          <w:lang w:eastAsia="zh-CN"/>
        </w:rPr>
        <w:t>5）</w:t>
      </w:r>
      <w:r>
        <w:rPr>
          <w:rFonts w:hint="eastAsia"/>
          <w:color w:val="auto"/>
          <w:highlight w:val="none"/>
          <w:lang w:eastAsia="zh-CN"/>
        </w:rPr>
        <w:t xml:space="preserve">构件装车时吊点和起吊方法，应按设计要求和施工方案确定。吊点的位置还应符合下列规定：两点起吊的构件，吊点位置应高于构件的重心；细长的和薄型的构件起吊，可采用多吊点或特制起吊工具，吊点和起吊方法按设计要求进行；变截面的构件起吊时，应做到平起平放，否则截面面积小的一端应先起升。 </w:t>
      </w:r>
    </w:p>
    <w:p>
      <w:pPr>
        <w:bidi w:val="0"/>
        <w:ind w:leftChars="200"/>
        <w:rPr>
          <w:color w:val="auto"/>
          <w:highlight w:val="none"/>
          <w:lang w:eastAsia="zh-CN"/>
        </w:rPr>
      </w:pPr>
      <w:r>
        <w:rPr>
          <w:color w:val="auto"/>
          <w:highlight w:val="none"/>
          <w:lang w:eastAsia="zh-CN"/>
        </w:rPr>
        <w:t>6）</w:t>
      </w:r>
      <w:r>
        <w:rPr>
          <w:rFonts w:hint="eastAsia"/>
          <w:color w:val="auto"/>
          <w:highlight w:val="none"/>
          <w:lang w:eastAsia="zh-CN"/>
        </w:rPr>
        <w:t xml:space="preserve">运输构件的搁置点：一般等截面构件在长度 1/5 处，板的搁置点在距端部200~300mm处。其它构件视受力情况确定，搁置点宜靠近节点处。 </w:t>
      </w:r>
    </w:p>
    <w:p>
      <w:pPr>
        <w:bidi w:val="0"/>
        <w:ind w:leftChars="200"/>
        <w:rPr>
          <w:color w:val="auto"/>
          <w:highlight w:val="none"/>
          <w:lang w:eastAsia="zh-CN"/>
        </w:rPr>
      </w:pPr>
      <w:r>
        <w:rPr>
          <w:color w:val="auto"/>
          <w:highlight w:val="none"/>
          <w:lang w:eastAsia="zh-CN"/>
        </w:rPr>
        <w:t>7）</w:t>
      </w:r>
      <w:r>
        <w:rPr>
          <w:rFonts w:hint="eastAsia"/>
          <w:color w:val="auto"/>
          <w:highlight w:val="none"/>
          <w:lang w:eastAsia="zh-CN"/>
        </w:rPr>
        <w:t xml:space="preserve">构件起吊时需保持水平，慢速起吊并注意观察。下落时平缓，落架时应防止摇摆碰撞，损伤构件棱角或表面瓷砖。 </w:t>
      </w:r>
    </w:p>
    <w:p>
      <w:pPr>
        <w:bidi w:val="0"/>
        <w:ind w:leftChars="200"/>
        <w:rPr>
          <w:color w:val="auto"/>
          <w:highlight w:val="none"/>
          <w:lang w:eastAsia="zh-CN"/>
        </w:rPr>
      </w:pPr>
      <w:r>
        <w:rPr>
          <w:color w:val="auto"/>
          <w:highlight w:val="none"/>
          <w:lang w:eastAsia="zh-CN"/>
        </w:rPr>
        <w:t>8）</w:t>
      </w:r>
      <w:r>
        <w:rPr>
          <w:rFonts w:hint="eastAsia"/>
          <w:color w:val="auto"/>
          <w:highlight w:val="none"/>
          <w:lang w:eastAsia="zh-CN"/>
        </w:rPr>
        <w:t xml:space="preserve">采用平运叠放方式运输时，构件之间应采用垫木，并在同一条垂直线上，且厚度相等。有吊环的构件叠放时，垫木的厚度应高于吊环的高度，且支点垫木上下对齐。 </w:t>
      </w:r>
    </w:p>
    <w:p>
      <w:pPr>
        <w:bidi w:val="0"/>
        <w:ind w:leftChars="200"/>
        <w:rPr>
          <w:color w:val="auto"/>
          <w:highlight w:val="none"/>
          <w:lang w:eastAsia="zh-CN"/>
        </w:rPr>
      </w:pPr>
      <w:r>
        <w:rPr>
          <w:color w:val="auto"/>
          <w:highlight w:val="none"/>
          <w:lang w:eastAsia="zh-CN"/>
        </w:rPr>
        <w:t>9）</w:t>
      </w:r>
      <w:r>
        <w:rPr>
          <w:rFonts w:hint="eastAsia"/>
          <w:color w:val="auto"/>
          <w:highlight w:val="none"/>
          <w:lang w:eastAsia="zh-CN"/>
        </w:rPr>
        <w:t>构件与车身、构件与构件之间应设有板条、草袋等隔离体，避免运输时构件滑动、碰撞。</w:t>
      </w:r>
      <w:r>
        <w:rPr>
          <w:color w:val="auto"/>
          <w:highlight w:val="none"/>
          <w:lang w:eastAsia="zh-CN"/>
        </w:rPr>
        <w:t xml:space="preserve"> </w:t>
      </w:r>
    </w:p>
    <w:p>
      <w:pPr>
        <w:bidi w:val="0"/>
        <w:rPr>
          <w:color w:val="auto"/>
          <w:highlight w:val="none"/>
          <w:lang w:eastAsia="zh-CN"/>
        </w:rPr>
      </w:pPr>
      <w:r>
        <w:rPr>
          <w:rFonts w:hint="eastAsia"/>
          <w:color w:val="auto"/>
          <w:highlight w:val="none"/>
          <w:lang w:eastAsia="zh-CN"/>
        </w:rPr>
        <w:t xml:space="preserve">（2）构件的运输基本要求 </w:t>
      </w:r>
    </w:p>
    <w:p>
      <w:pPr>
        <w:bidi w:val="0"/>
        <w:ind w:leftChars="200"/>
        <w:rPr>
          <w:color w:val="auto"/>
          <w:highlight w:val="none"/>
          <w:lang w:eastAsia="zh-CN"/>
        </w:rPr>
      </w:pPr>
      <w:r>
        <w:rPr>
          <w:rFonts w:hint="eastAsia"/>
          <w:color w:val="auto"/>
          <w:highlight w:val="none"/>
          <w:lang w:eastAsia="zh-CN"/>
        </w:rPr>
        <w:t xml:space="preserve">1）运输构件时，应采取防止构件移动、倾倒、变形等的固定措施；运输构件时，应采取防止构件损坏的措施，对构件边角部或链锁接触处的混凝土，宜设置保护衬垫。 </w:t>
      </w:r>
    </w:p>
    <w:p>
      <w:pPr>
        <w:bidi w:val="0"/>
        <w:ind w:leftChars="200"/>
        <w:rPr>
          <w:color w:val="auto"/>
          <w:highlight w:val="none"/>
          <w:lang w:eastAsia="zh-CN"/>
        </w:rPr>
      </w:pPr>
      <w:r>
        <w:rPr>
          <w:rFonts w:hint="eastAsia"/>
          <w:color w:val="auto"/>
          <w:highlight w:val="none"/>
          <w:lang w:eastAsia="zh-CN"/>
        </w:rPr>
        <w:t xml:space="preserve">2）预制构件的混凝土强度应符合设计要求。当设计无具体要求时，出厂运输、装配时预制构件的混凝土同条件立方体抗压强度不应小于混凝土强度等级值的75%。 </w:t>
      </w:r>
    </w:p>
    <w:p>
      <w:pPr>
        <w:bidi w:val="0"/>
        <w:rPr>
          <w:color w:val="auto"/>
          <w:highlight w:val="none"/>
          <w:lang w:eastAsia="zh-CN"/>
        </w:rPr>
      </w:pPr>
      <w:r>
        <w:rPr>
          <w:rFonts w:hint="eastAsia"/>
          <w:color w:val="auto"/>
          <w:highlight w:val="none"/>
          <w:lang w:eastAsia="zh-CN"/>
        </w:rPr>
        <w:t xml:space="preserve">（3）构件堆放基本要求 </w:t>
      </w:r>
    </w:p>
    <w:p>
      <w:pPr>
        <w:bidi w:val="0"/>
        <w:ind w:leftChars="200"/>
        <w:rPr>
          <w:color w:val="auto"/>
          <w:highlight w:val="none"/>
          <w:lang w:eastAsia="zh-CN"/>
        </w:rPr>
      </w:pPr>
      <w:r>
        <w:rPr>
          <w:rFonts w:hint="eastAsia"/>
          <w:color w:val="auto"/>
          <w:highlight w:val="none"/>
          <w:lang w:eastAsia="zh-CN"/>
        </w:rPr>
        <w:t xml:space="preserve">1）预制构件由运输车辆卸载后堆放于预制构件专用堆场，堆场大小须满足使用要求，原则上不小于200㎡。并按照指定顺序进行归类堆放。 </w:t>
      </w:r>
    </w:p>
    <w:p>
      <w:pPr>
        <w:bidi w:val="0"/>
        <w:ind w:leftChars="200"/>
        <w:rPr>
          <w:color w:val="auto"/>
          <w:highlight w:val="none"/>
          <w:lang w:eastAsia="zh-CN"/>
        </w:rPr>
      </w:pPr>
      <w:r>
        <w:rPr>
          <w:rFonts w:hint="eastAsia"/>
          <w:color w:val="auto"/>
          <w:highlight w:val="none"/>
          <w:lang w:eastAsia="zh-CN"/>
        </w:rPr>
        <w:t xml:space="preserve">2）根据要求结合实际情况，需对车行道路及构件堆场涉及范围内的地库顶板进行加固（若无地下室需对堆场进行硬化），多层地下室需层层加固将力传递至地库底板。 </w:t>
      </w:r>
    </w:p>
    <w:p>
      <w:pPr>
        <w:bidi w:val="0"/>
        <w:ind w:leftChars="200"/>
        <w:rPr>
          <w:color w:val="auto"/>
          <w:highlight w:val="none"/>
          <w:lang w:eastAsia="zh-CN"/>
        </w:rPr>
      </w:pPr>
      <w:r>
        <w:rPr>
          <w:rFonts w:hint="eastAsia"/>
          <w:color w:val="auto"/>
          <w:highlight w:val="none"/>
          <w:lang w:eastAsia="zh-CN"/>
        </w:rPr>
        <w:t xml:space="preserve">3）预制构件运送到施工现场后，应按品种、所用部位分别设置堆场，应按规格型号、吊装顺序依次堆放，先吊装的构件应堆放在外侧或上层，并将有编号或有标志的一面朝向通道一侧，方便吊装。现场驳放堆场位置应尽可能在塔吊回转半径范围内并考虑到吊装方向，避免吊装时转向和再次搬运，堆垛之间宜设置通道。 </w:t>
      </w:r>
    </w:p>
    <w:p>
      <w:pPr>
        <w:bidi w:val="0"/>
        <w:ind w:leftChars="200"/>
        <w:rPr>
          <w:color w:val="auto"/>
          <w:highlight w:val="none"/>
          <w:lang w:eastAsia="zh-CN"/>
        </w:rPr>
      </w:pPr>
      <w:r>
        <w:rPr>
          <w:rFonts w:hint="eastAsia"/>
          <w:color w:val="auto"/>
          <w:highlight w:val="none"/>
          <w:lang w:eastAsia="zh-CN"/>
        </w:rPr>
        <w:t xml:space="preserve">4)）预制墙板宜采用堆放架插放或靠放,堆放架应具有足够的承载力和刚度，并需支垫稳固，宜将相邻堆放架连成整体；预制墙板外饰面不宜作为支撑面（外饰面朝外）,对连接止水条、高低口、墙体转角等薄弱部位应采用定型保护垫块或专用式附套件 加强保护。 </w:t>
      </w:r>
    </w:p>
    <w:p>
      <w:pPr>
        <w:bidi w:val="0"/>
        <w:ind w:leftChars="200"/>
        <w:rPr>
          <w:color w:val="auto"/>
          <w:highlight w:val="none"/>
          <w:lang w:eastAsia="zh-CN"/>
        </w:rPr>
      </w:pPr>
      <w:r>
        <w:rPr>
          <w:rFonts w:hint="eastAsia"/>
          <w:color w:val="auto"/>
          <w:highlight w:val="none"/>
          <w:lang w:eastAsia="zh-CN"/>
        </w:rPr>
        <w:t>5）预制叠合板、柱、梁宜采用叠放方式，层与层之间应垫平、垫实，底层及层间应设 置支垫,支垫应平整且应上下对齐，最下一面一层支垫应通长设置，支垫地基应坚实。</w:t>
      </w:r>
    </w:p>
    <w:p>
      <w:pPr>
        <w:bidi w:val="0"/>
        <w:ind w:leftChars="200"/>
        <w:rPr>
          <w:color w:val="auto"/>
          <w:highlight w:val="none"/>
          <w:lang w:eastAsia="zh-CN"/>
        </w:rPr>
      </w:pPr>
      <w:r>
        <w:rPr>
          <w:rFonts w:hint="eastAsia"/>
          <w:color w:val="auto"/>
          <w:highlight w:val="none"/>
          <w:lang w:val="en-US" w:eastAsia="zh-CN"/>
        </w:rPr>
        <w:t>6）</w:t>
      </w:r>
      <w:r>
        <w:rPr>
          <w:rFonts w:hint="eastAsia"/>
          <w:color w:val="auto"/>
          <w:highlight w:val="none"/>
          <w:lang w:eastAsia="zh-CN"/>
        </w:rPr>
        <w:t xml:space="preserve">预制叠合板叠放层数不应大于 6 层，预制柱、梁叠放层数不应大于 2 层。构件不得直接放置于地面上。 </w:t>
      </w:r>
    </w:p>
    <w:p>
      <w:pPr>
        <w:bidi w:val="0"/>
        <w:ind w:leftChars="200"/>
        <w:rPr>
          <w:color w:val="auto"/>
          <w:highlight w:val="none"/>
          <w:lang w:eastAsia="zh-CN"/>
        </w:rPr>
      </w:pPr>
      <w:r>
        <w:rPr>
          <w:rFonts w:hint="eastAsia"/>
          <w:color w:val="auto"/>
          <w:highlight w:val="none"/>
          <w:lang w:val="en-US" w:eastAsia="zh-CN"/>
        </w:rPr>
        <w:t>7</w:t>
      </w:r>
      <w:r>
        <w:rPr>
          <w:rFonts w:hint="eastAsia"/>
          <w:color w:val="auto"/>
          <w:highlight w:val="none"/>
          <w:lang w:eastAsia="zh-CN"/>
        </w:rPr>
        <w:t xml:space="preserve">）对侧向刚度差、重心较高、支承面较窄的构件，需立放就位，除两端垫垫木外，还应搭设支架或用支撑将其临时固定，支撑件本身应坚固，支撑后不得左右摆动和松动。 </w:t>
      </w:r>
    </w:p>
    <w:p>
      <w:pPr>
        <w:bidi w:val="0"/>
        <w:ind w:leftChars="200"/>
        <w:rPr>
          <w:color w:val="auto"/>
          <w:highlight w:val="none"/>
          <w:lang w:eastAsia="zh-CN"/>
        </w:rPr>
      </w:pPr>
      <w:r>
        <w:rPr>
          <w:rFonts w:hint="eastAsia"/>
          <w:color w:val="auto"/>
          <w:highlight w:val="none"/>
          <w:lang w:val="en-US" w:eastAsia="zh-CN"/>
        </w:rPr>
        <w:t>8</w:t>
      </w:r>
      <w:r>
        <w:rPr>
          <w:rFonts w:hint="eastAsia"/>
          <w:color w:val="auto"/>
          <w:highlight w:val="none"/>
          <w:lang w:eastAsia="zh-CN"/>
        </w:rPr>
        <w:t xml:space="preserve">）采用靠放架立放的构件，必须对称靠放和吊运，其倾斜角度应保持大于 80°，构件上部宜用木块隔开。靠放架宜用金属材料制作，使用前要认真检查和验收，靠放架的高度应为构件的三分之二以上。 </w:t>
      </w:r>
    </w:p>
    <w:p>
      <w:pPr>
        <w:bidi w:val="0"/>
        <w:rPr>
          <w:color w:val="auto"/>
          <w:highlight w:val="none"/>
          <w:lang w:eastAsia="zh-CN"/>
        </w:rPr>
      </w:pPr>
      <w:r>
        <w:rPr>
          <w:rFonts w:hint="eastAsia"/>
          <w:color w:val="auto"/>
          <w:highlight w:val="none"/>
          <w:lang w:eastAsia="zh-CN"/>
        </w:rPr>
        <w:t xml:space="preserve">（4）构件成品保护 </w:t>
      </w:r>
    </w:p>
    <w:p>
      <w:pPr>
        <w:bidi w:val="0"/>
        <w:ind w:leftChars="200"/>
        <w:rPr>
          <w:color w:val="auto"/>
          <w:highlight w:val="none"/>
          <w:lang w:eastAsia="zh-CN"/>
        </w:rPr>
      </w:pPr>
      <w:r>
        <w:rPr>
          <w:rFonts w:hint="eastAsia"/>
          <w:color w:val="auto"/>
          <w:highlight w:val="none"/>
          <w:lang w:eastAsia="zh-CN"/>
        </w:rPr>
        <w:t xml:space="preserve">1) 预制构件在运输、堆放、安装施工过程中及装配后，应做好成品保护。 </w:t>
      </w:r>
    </w:p>
    <w:p>
      <w:pPr>
        <w:bidi w:val="0"/>
        <w:ind w:leftChars="200"/>
        <w:rPr>
          <w:color w:val="auto"/>
          <w:highlight w:val="none"/>
          <w:lang w:eastAsia="zh-CN"/>
        </w:rPr>
      </w:pPr>
      <w:r>
        <w:rPr>
          <w:rFonts w:hint="eastAsia"/>
          <w:color w:val="auto"/>
          <w:highlight w:val="none"/>
          <w:lang w:eastAsia="zh-CN"/>
        </w:rPr>
        <w:t xml:space="preserve">2) 预制构件在运输过程中，宜在构件与刚性搁置点处，填塞柔性垫片。 </w:t>
      </w:r>
    </w:p>
    <w:p>
      <w:pPr>
        <w:bidi w:val="0"/>
        <w:ind w:leftChars="200"/>
        <w:rPr>
          <w:color w:val="auto"/>
          <w:highlight w:val="none"/>
          <w:lang w:eastAsia="zh-CN"/>
        </w:rPr>
      </w:pPr>
      <w:r>
        <w:rPr>
          <w:rFonts w:hint="eastAsia"/>
          <w:color w:val="auto"/>
          <w:highlight w:val="none"/>
          <w:lang w:eastAsia="zh-CN"/>
        </w:rPr>
        <w:t xml:space="preserve">3) 预制外墙板饰面砖、石材、涂刷表面可采用贴膜或用其它专业材料保护 </w:t>
      </w:r>
    </w:p>
    <w:p>
      <w:pPr>
        <w:bidi w:val="0"/>
        <w:ind w:leftChars="200"/>
        <w:rPr>
          <w:color w:val="auto"/>
          <w:highlight w:val="none"/>
          <w:lang w:eastAsia="zh-CN"/>
        </w:rPr>
      </w:pPr>
      <w:r>
        <w:rPr>
          <w:rFonts w:hint="eastAsia"/>
          <w:color w:val="auto"/>
          <w:highlight w:val="none"/>
          <w:lang w:eastAsia="zh-CN"/>
        </w:rPr>
        <w:t xml:space="preserve">4) 预制构件暴露在空气中的预埋铁件应涂抹防锈漆，防止产生锈蚀。预埋螺栓孔应用海绵棒进行填塞，防止混凝土浇捣时将其堵塞。 </w:t>
      </w:r>
    </w:p>
    <w:p>
      <w:pPr>
        <w:bidi w:val="0"/>
        <w:ind w:leftChars="200"/>
        <w:rPr>
          <w:color w:val="auto"/>
          <w:highlight w:val="none"/>
          <w:lang w:eastAsia="zh-CN"/>
        </w:rPr>
      </w:pPr>
      <w:r>
        <w:rPr>
          <w:rFonts w:hint="eastAsia"/>
          <w:color w:val="auto"/>
          <w:highlight w:val="none"/>
          <w:lang w:eastAsia="zh-CN"/>
        </w:rPr>
        <w:t xml:space="preserve">5) 预制楼梯安装后，踏步口宜铺设木条或其他覆盖形式保护。 </w:t>
      </w:r>
    </w:p>
    <w:p>
      <w:pPr>
        <w:bidi w:val="0"/>
        <w:ind w:leftChars="200"/>
        <w:rPr>
          <w:color w:val="auto"/>
          <w:highlight w:val="none"/>
          <w:lang w:eastAsia="zh-CN"/>
        </w:rPr>
      </w:pPr>
      <w:r>
        <w:rPr>
          <w:rFonts w:hint="eastAsia"/>
          <w:color w:val="auto"/>
          <w:highlight w:val="none"/>
          <w:lang w:eastAsia="zh-CN"/>
        </w:rPr>
        <w:t>6) 预制外墙板安装完毕后，门、窗框应用槽型木框等材料进行保护。</w:t>
      </w:r>
    </w:p>
    <w:p>
      <w:pPr>
        <w:pStyle w:val="4"/>
        <w:bidi w:val="0"/>
        <w:rPr>
          <w:color w:val="auto"/>
          <w:highlight w:val="none"/>
          <w:lang w:eastAsia="zh-CN"/>
        </w:rPr>
      </w:pPr>
      <w:r>
        <w:rPr>
          <w:color w:val="auto"/>
          <w:highlight w:val="none"/>
          <w:lang w:eastAsia="zh-CN"/>
        </w:rPr>
        <w:t>装配式施工基本</w:t>
      </w:r>
      <w:r>
        <w:rPr>
          <w:rFonts w:hint="eastAsia"/>
          <w:color w:val="auto"/>
          <w:highlight w:val="none"/>
          <w:lang w:eastAsia="zh-CN"/>
        </w:rPr>
        <w:t xml:space="preserve">要求 </w:t>
      </w:r>
    </w:p>
    <w:p>
      <w:pPr>
        <w:bidi w:val="0"/>
        <w:rPr>
          <w:color w:val="auto"/>
          <w:highlight w:val="none"/>
          <w:lang w:eastAsia="zh-CN"/>
        </w:rPr>
      </w:pPr>
      <w:r>
        <w:rPr>
          <w:rFonts w:hint="eastAsia"/>
          <w:color w:val="auto"/>
          <w:highlight w:val="none"/>
          <w:lang w:eastAsia="zh-CN"/>
        </w:rPr>
        <w:t>（1）要求总承包人须具有专职的装配式技术管理人员。要求有专职安全管理人员，并应具备至少有一个装配式结构工程吊装管理经验。要求总承包人拟用具有装配式结构施工经验的</w:t>
      </w:r>
      <w:r>
        <w:rPr>
          <w:rFonts w:hint="eastAsia"/>
          <w:color w:val="auto"/>
          <w:highlight w:val="none"/>
          <w:lang w:eastAsia="zh-CN"/>
        </w:rPr>
        <w:t>劳务分包</w:t>
      </w:r>
      <w:r>
        <w:rPr>
          <w:rFonts w:hint="eastAsia"/>
          <w:color w:val="auto"/>
          <w:highlight w:val="none"/>
          <w:lang w:eastAsia="zh-CN"/>
        </w:rPr>
        <w:t xml:space="preserve">资源及装配式结构吊装安装的稳定劳动资源。 </w:t>
      </w:r>
    </w:p>
    <w:p>
      <w:pPr>
        <w:bidi w:val="0"/>
        <w:rPr>
          <w:color w:val="auto"/>
          <w:highlight w:val="none"/>
          <w:lang w:eastAsia="zh-CN"/>
        </w:rPr>
      </w:pPr>
      <w:r>
        <w:rPr>
          <w:rFonts w:hint="eastAsia"/>
          <w:color w:val="auto"/>
          <w:highlight w:val="none"/>
          <w:lang w:eastAsia="zh-CN"/>
        </w:rPr>
        <w:t xml:space="preserve">（2）预制混凝土构件应按施工方案中规定的顺序进行吊装，并满足下列要求： </w:t>
      </w:r>
    </w:p>
    <w:p>
      <w:pPr>
        <w:bidi w:val="0"/>
        <w:ind w:leftChars="200"/>
        <w:rPr>
          <w:color w:val="auto"/>
          <w:highlight w:val="none"/>
          <w:lang w:eastAsia="zh-CN"/>
        </w:rPr>
      </w:pPr>
      <w:r>
        <w:rPr>
          <w:color w:val="auto"/>
          <w:highlight w:val="none"/>
          <w:lang w:eastAsia="zh-CN"/>
        </w:rPr>
        <w:t>1</w:t>
      </w:r>
      <w:r>
        <w:rPr>
          <w:rFonts w:hint="eastAsia"/>
          <w:color w:val="auto"/>
          <w:highlight w:val="none"/>
          <w:lang w:eastAsia="zh-CN"/>
        </w:rPr>
        <w:t xml:space="preserve">) 选定的塔吊型号须着重考虑构件最大吊装重量。吊装前应确认预制混凝土构件标识； </w:t>
      </w:r>
    </w:p>
    <w:p>
      <w:pPr>
        <w:bidi w:val="0"/>
        <w:ind w:leftChars="200"/>
        <w:rPr>
          <w:color w:val="auto"/>
          <w:highlight w:val="none"/>
          <w:lang w:eastAsia="zh-CN"/>
        </w:rPr>
      </w:pPr>
      <w:r>
        <w:rPr>
          <w:color w:val="auto"/>
          <w:highlight w:val="none"/>
          <w:lang w:eastAsia="zh-CN"/>
        </w:rPr>
        <w:t>2</w:t>
      </w:r>
      <w:r>
        <w:rPr>
          <w:rFonts w:hint="eastAsia"/>
          <w:color w:val="auto"/>
          <w:highlight w:val="none"/>
          <w:lang w:eastAsia="zh-CN"/>
        </w:rPr>
        <w:t xml:space="preserve">) 吊装绳索与预制混凝土构件的平面夹角不应小于45°，当小于45°时，应经过验算或采用专用起吊架； </w:t>
      </w:r>
    </w:p>
    <w:p>
      <w:pPr>
        <w:bidi w:val="0"/>
        <w:ind w:leftChars="200"/>
        <w:rPr>
          <w:color w:val="auto"/>
          <w:highlight w:val="none"/>
          <w:lang w:eastAsia="zh-CN"/>
        </w:rPr>
      </w:pPr>
      <w:r>
        <w:rPr>
          <w:color w:val="auto"/>
          <w:highlight w:val="none"/>
          <w:lang w:eastAsia="zh-CN"/>
        </w:rPr>
        <w:t>3</w:t>
      </w:r>
      <w:r>
        <w:rPr>
          <w:rFonts w:hint="eastAsia"/>
          <w:color w:val="auto"/>
          <w:highlight w:val="none"/>
          <w:lang w:eastAsia="zh-CN"/>
        </w:rPr>
        <w:t xml:space="preserve">) 吊装应采用“垂直”或“水平”就位方法。就位后，应设置临时支撑，用专用索具（撑杆）对预制混凝土构件进行调整； </w:t>
      </w:r>
    </w:p>
    <w:p>
      <w:pPr>
        <w:bidi w:val="0"/>
        <w:ind w:leftChars="200"/>
        <w:rPr>
          <w:color w:val="auto"/>
          <w:highlight w:val="none"/>
          <w:lang w:eastAsia="zh-CN"/>
        </w:rPr>
      </w:pPr>
      <w:r>
        <w:rPr>
          <w:color w:val="auto"/>
          <w:highlight w:val="none"/>
          <w:lang w:eastAsia="zh-CN"/>
        </w:rPr>
        <w:t>4</w:t>
      </w:r>
      <w:r>
        <w:rPr>
          <w:rFonts w:hint="eastAsia"/>
          <w:color w:val="auto"/>
          <w:highlight w:val="none"/>
          <w:lang w:eastAsia="zh-CN"/>
        </w:rPr>
        <w:t xml:space="preserve">) 当起吊楼板等构件时，应采取避免混凝土构件变形及倾覆的措施。 </w:t>
      </w:r>
    </w:p>
    <w:p>
      <w:pPr>
        <w:bidi w:val="0"/>
        <w:rPr>
          <w:color w:val="auto"/>
          <w:highlight w:val="none"/>
          <w:lang w:eastAsia="zh-CN"/>
        </w:rPr>
      </w:pPr>
      <w:r>
        <w:rPr>
          <w:rFonts w:hint="eastAsia"/>
          <w:color w:val="auto"/>
          <w:highlight w:val="none"/>
          <w:lang w:eastAsia="zh-CN"/>
        </w:rPr>
        <w:t xml:space="preserve">（3）预制混凝土结构采用套管灌浆连接或浆锚搭接时，应制定专项施工方案，灌浆应由经过培训合格的专业人员按要求进行操作。 </w:t>
      </w:r>
    </w:p>
    <w:p>
      <w:pPr>
        <w:bidi w:val="0"/>
        <w:rPr>
          <w:color w:val="auto"/>
          <w:highlight w:val="none"/>
          <w:lang w:eastAsia="zh-CN"/>
        </w:rPr>
      </w:pPr>
      <w:r>
        <w:rPr>
          <w:rFonts w:hint="eastAsia"/>
          <w:color w:val="auto"/>
          <w:highlight w:val="none"/>
          <w:lang w:eastAsia="zh-CN"/>
        </w:rPr>
        <w:t xml:space="preserve">（4）预制混凝土结构连接部位的钢筋连接和预留缝灌浆，应满足设计要求和下列规定： </w:t>
      </w:r>
    </w:p>
    <w:p>
      <w:pPr>
        <w:bidi w:val="0"/>
        <w:ind w:leftChars="200"/>
        <w:rPr>
          <w:color w:val="auto"/>
          <w:highlight w:val="none"/>
          <w:lang w:eastAsia="zh-CN"/>
        </w:rPr>
      </w:pPr>
      <w:r>
        <w:rPr>
          <w:color w:val="auto"/>
          <w:highlight w:val="none"/>
          <w:lang w:eastAsia="zh-CN"/>
        </w:rPr>
        <w:t>1</w:t>
      </w:r>
      <w:r>
        <w:rPr>
          <w:rFonts w:hint="eastAsia"/>
          <w:color w:val="auto"/>
          <w:highlight w:val="none"/>
          <w:lang w:eastAsia="zh-CN"/>
        </w:rPr>
        <w:t xml:space="preserve">) 在进行灌浆前，对预留缝、套管、灌浆料的排出口里面杂物进行清理； </w:t>
      </w:r>
    </w:p>
    <w:p>
      <w:pPr>
        <w:bidi w:val="0"/>
        <w:ind w:leftChars="200"/>
        <w:rPr>
          <w:color w:val="auto"/>
          <w:highlight w:val="none"/>
          <w:lang w:eastAsia="zh-CN"/>
        </w:rPr>
      </w:pPr>
      <w:r>
        <w:rPr>
          <w:color w:val="auto"/>
          <w:highlight w:val="none"/>
          <w:lang w:eastAsia="zh-CN"/>
        </w:rPr>
        <w:t>2</w:t>
      </w:r>
      <w:r>
        <w:rPr>
          <w:rFonts w:hint="eastAsia"/>
          <w:color w:val="auto"/>
          <w:highlight w:val="none"/>
          <w:lang w:eastAsia="zh-CN"/>
        </w:rPr>
        <w:t xml:space="preserve">) 柱脚周围的连接部位，预置 2~3cm 预留缝，应采用模板或密封材料密封后再注入灌浆料。 </w:t>
      </w:r>
    </w:p>
    <w:p>
      <w:pPr>
        <w:bidi w:val="0"/>
        <w:rPr>
          <w:color w:val="auto"/>
          <w:highlight w:val="none"/>
          <w:lang w:eastAsia="zh-CN"/>
        </w:rPr>
      </w:pPr>
      <w:r>
        <w:rPr>
          <w:rFonts w:hint="eastAsia"/>
          <w:color w:val="auto"/>
          <w:highlight w:val="none"/>
          <w:lang w:eastAsia="zh-CN"/>
        </w:rPr>
        <w:t xml:space="preserve">（5）叠合构件施工应满足下列要求： </w:t>
      </w:r>
    </w:p>
    <w:p>
      <w:pPr>
        <w:bidi w:val="0"/>
        <w:ind w:leftChars="200"/>
        <w:rPr>
          <w:color w:val="auto"/>
          <w:highlight w:val="none"/>
          <w:lang w:eastAsia="zh-CN"/>
        </w:rPr>
      </w:pPr>
      <w:r>
        <w:rPr>
          <w:color w:val="auto"/>
          <w:highlight w:val="none"/>
          <w:lang w:eastAsia="zh-CN"/>
        </w:rPr>
        <w:t>1</w:t>
      </w:r>
      <w:r>
        <w:rPr>
          <w:rFonts w:hint="eastAsia"/>
          <w:color w:val="auto"/>
          <w:highlight w:val="none"/>
          <w:lang w:eastAsia="zh-CN"/>
        </w:rPr>
        <w:t xml:space="preserve">) 后浇混凝土施工前，应按设计要求检查结合面粗糙度和钢筋位置，并调整外露 钢筋； </w:t>
      </w:r>
    </w:p>
    <w:p>
      <w:pPr>
        <w:bidi w:val="0"/>
        <w:ind w:leftChars="200"/>
        <w:rPr>
          <w:color w:val="auto"/>
          <w:highlight w:val="none"/>
          <w:lang w:eastAsia="zh-CN"/>
        </w:rPr>
      </w:pPr>
      <w:r>
        <w:rPr>
          <w:color w:val="auto"/>
          <w:highlight w:val="none"/>
          <w:lang w:eastAsia="zh-CN"/>
        </w:rPr>
        <w:t>2</w:t>
      </w:r>
      <w:r>
        <w:rPr>
          <w:rFonts w:hint="eastAsia"/>
          <w:color w:val="auto"/>
          <w:highlight w:val="none"/>
          <w:lang w:eastAsia="zh-CN"/>
        </w:rPr>
        <w:t xml:space="preserve">) 叠合构件的施工支撑应按施工方案设置，支撑系统应保证施工荷载作用下的承载力与变形。 </w:t>
      </w:r>
    </w:p>
    <w:p>
      <w:pPr>
        <w:bidi w:val="0"/>
        <w:rPr>
          <w:color w:val="auto"/>
          <w:highlight w:val="none"/>
          <w:lang w:eastAsia="zh-CN"/>
        </w:rPr>
      </w:pPr>
      <w:r>
        <w:rPr>
          <w:rFonts w:hint="eastAsia"/>
          <w:color w:val="auto"/>
          <w:highlight w:val="none"/>
          <w:lang w:eastAsia="zh-CN"/>
        </w:rPr>
        <w:t xml:space="preserve">（6）预制构件、操作架、围档在吊升阶段，应在吊装区域下方用设置安全警示区域，安排专人监护。吊运预制构件时，构件下方禁止站人，应待吊物降落至离地 1m 以内方准靠近，就位固定牢固后方可脱钩。 遇到雨、雪、雾天气，或者风力大于 6 级时，不得吊装预制构件。 </w:t>
      </w:r>
    </w:p>
    <w:p>
      <w:pPr>
        <w:bidi w:val="0"/>
        <w:rPr>
          <w:color w:val="auto"/>
          <w:highlight w:val="none"/>
          <w:lang w:eastAsia="zh-CN"/>
        </w:rPr>
      </w:pPr>
      <w:r>
        <w:rPr>
          <w:rFonts w:hint="eastAsia"/>
          <w:color w:val="auto"/>
          <w:highlight w:val="none"/>
          <w:lang w:eastAsia="zh-CN"/>
        </w:rPr>
        <w:t xml:space="preserve">（7）灌浆方案具体要求灌浆前应先进行工艺试验，监理人见证下合格后方可进行现场实际操作。灌浆应采用机械压力灌浆施工，合理分仓灌浆，保证灌浆连接锚固达到质量验收标准。灌浆过程应连续，不得中断。灌浆施工时，环境温度不应低于 5℃。灌浆料拌合物应在制备后 30min用完，并按规定留置试块。 </w:t>
      </w:r>
    </w:p>
    <w:p>
      <w:pPr>
        <w:pStyle w:val="4"/>
        <w:bidi w:val="0"/>
        <w:rPr>
          <w:color w:val="auto"/>
          <w:highlight w:val="none"/>
          <w:lang w:eastAsia="zh-CN"/>
        </w:rPr>
      </w:pPr>
      <w:r>
        <w:rPr>
          <w:rFonts w:hint="eastAsia"/>
          <w:color w:val="auto"/>
          <w:highlight w:val="none"/>
          <w:lang w:eastAsia="zh-CN"/>
        </w:rPr>
        <w:t xml:space="preserve">模板架体支撑要求 </w:t>
      </w:r>
    </w:p>
    <w:p>
      <w:pPr>
        <w:bidi w:val="0"/>
        <w:rPr>
          <w:color w:val="auto"/>
          <w:highlight w:val="none"/>
          <w:lang w:eastAsia="zh-CN"/>
        </w:rPr>
      </w:pPr>
      <w:r>
        <w:rPr>
          <w:rFonts w:hint="eastAsia"/>
          <w:color w:val="auto"/>
          <w:highlight w:val="none"/>
          <w:lang w:eastAsia="zh-CN"/>
        </w:rPr>
        <w:t xml:space="preserve">模板架体支撑宜采用装配式结构专业支撑调节工具，并经过受力计算，同时考虑现浇结构与预制节点处理加固方式，确保模板架体安全及施工成型质量。每个预制构件的临时支撑不宜少于 2 道，对预制柱、墙板的上部斜撑，其支撑点距离底部的距离不宜小于高度的 2/3，且不应小于高度的 1/2。 </w:t>
      </w:r>
    </w:p>
    <w:p>
      <w:pPr>
        <w:pStyle w:val="3"/>
        <w:bidi w:val="0"/>
        <w:rPr>
          <w:color w:val="auto"/>
          <w:highlight w:val="none"/>
        </w:rPr>
      </w:pPr>
      <w:bookmarkStart w:id="957" w:name="_Toc11144"/>
      <w:bookmarkStart w:id="958" w:name="_Toc7664"/>
      <w:bookmarkStart w:id="959" w:name="_Toc6648"/>
      <w:bookmarkStart w:id="960" w:name="_Toc31759"/>
      <w:bookmarkStart w:id="961" w:name="_Toc27103"/>
      <w:bookmarkStart w:id="962" w:name="_Toc30460"/>
      <w:bookmarkStart w:id="963" w:name="_Toc1556"/>
      <w:bookmarkStart w:id="964" w:name="_Toc11388"/>
      <w:bookmarkStart w:id="965" w:name="_Toc7028"/>
      <w:bookmarkStart w:id="966" w:name="_Toc13363"/>
      <w:bookmarkStart w:id="967" w:name="_Toc25223"/>
      <w:r>
        <w:rPr>
          <w:rFonts w:hint="eastAsia"/>
          <w:color w:val="auto"/>
          <w:highlight w:val="none"/>
        </w:rPr>
        <w:t>机电工程技术要求</w:t>
      </w:r>
      <w:bookmarkEnd w:id="955"/>
      <w:bookmarkEnd w:id="956"/>
      <w:bookmarkEnd w:id="957"/>
      <w:bookmarkEnd w:id="958"/>
      <w:bookmarkEnd w:id="959"/>
      <w:bookmarkEnd w:id="960"/>
      <w:bookmarkEnd w:id="961"/>
      <w:bookmarkEnd w:id="962"/>
      <w:bookmarkEnd w:id="963"/>
      <w:bookmarkEnd w:id="964"/>
      <w:bookmarkEnd w:id="965"/>
      <w:bookmarkEnd w:id="966"/>
      <w:bookmarkEnd w:id="967"/>
    </w:p>
    <w:p>
      <w:pPr>
        <w:pStyle w:val="4"/>
        <w:bidi w:val="0"/>
        <w:rPr>
          <w:color w:val="auto"/>
          <w:highlight w:val="none"/>
        </w:rPr>
      </w:pPr>
      <w:r>
        <w:rPr>
          <w:rFonts w:hint="eastAsia"/>
          <w:color w:val="auto"/>
          <w:highlight w:val="none"/>
        </w:rPr>
        <w:t>预留预埋工程</w:t>
      </w:r>
    </w:p>
    <w:p>
      <w:pPr>
        <w:pStyle w:val="5"/>
        <w:bidi w:val="0"/>
        <w:ind w:left="253"/>
        <w:rPr>
          <w:color w:val="auto"/>
          <w:highlight w:val="none"/>
        </w:rPr>
      </w:pPr>
      <w:r>
        <w:rPr>
          <w:rFonts w:hint="eastAsia"/>
          <w:color w:val="auto"/>
          <w:highlight w:val="none"/>
        </w:rPr>
        <w:t>结构预留孔洞要求</w:t>
      </w:r>
    </w:p>
    <w:p>
      <w:pPr>
        <w:numPr>
          <w:ilvl w:val="1"/>
          <w:numId w:val="80"/>
        </w:numPr>
        <w:bidi w:val="0"/>
        <w:rPr>
          <w:color w:val="auto"/>
          <w:highlight w:val="none"/>
        </w:rPr>
      </w:pPr>
      <w:r>
        <w:rPr>
          <w:rFonts w:hint="eastAsia"/>
          <w:color w:val="auto"/>
          <w:highlight w:val="none"/>
        </w:rPr>
        <w:t>总承包人需根据图纸要求绘制相应结构留洞及套管综合图以及洞口、套管检查表供施工和检查使用，洞口、套管检查表宜采用消项管理。</w:t>
      </w:r>
    </w:p>
    <w:p>
      <w:pPr>
        <w:numPr>
          <w:ilvl w:val="1"/>
          <w:numId w:val="80"/>
        </w:numPr>
        <w:bidi w:val="0"/>
        <w:rPr>
          <w:color w:val="auto"/>
          <w:highlight w:val="none"/>
        </w:rPr>
      </w:pPr>
      <w:r>
        <w:rPr>
          <w:rFonts w:hint="eastAsia"/>
          <w:color w:val="auto"/>
          <w:highlight w:val="none"/>
        </w:rPr>
        <w:t>总承包人应组织给排水、消防、暖通、电气等专业技术人员熟悉图纸，对本专业管路和金属线槽、桥架等的走向形成立体的认识；审核预留洞有无冲突，发现问题应及时通过监理人</w:t>
      </w:r>
      <w:r>
        <w:rPr>
          <w:color w:val="auto"/>
          <w:highlight w:val="none"/>
        </w:rPr>
        <w:t>/发包人解决。</w:t>
      </w:r>
    </w:p>
    <w:p>
      <w:pPr>
        <w:numPr>
          <w:ilvl w:val="1"/>
          <w:numId w:val="80"/>
        </w:numPr>
        <w:bidi w:val="0"/>
        <w:rPr>
          <w:color w:val="auto"/>
          <w:highlight w:val="none"/>
        </w:rPr>
      </w:pPr>
      <w:r>
        <w:rPr>
          <w:rFonts w:hint="eastAsia"/>
          <w:color w:val="auto"/>
          <w:highlight w:val="none"/>
        </w:rPr>
        <w:t>结构预留孔、洞、槽和预埋件</w:t>
      </w:r>
    </w:p>
    <w:p>
      <w:pPr>
        <w:numPr>
          <w:ilvl w:val="0"/>
          <w:numId w:val="81"/>
        </w:numPr>
        <w:bidi w:val="0"/>
        <w:ind w:left="900" w:leftChars="0"/>
        <w:rPr>
          <w:color w:val="auto"/>
          <w:highlight w:val="none"/>
        </w:rPr>
      </w:pPr>
      <w:r>
        <w:rPr>
          <w:rFonts w:hint="eastAsia"/>
          <w:color w:val="auto"/>
          <w:highlight w:val="none"/>
        </w:rPr>
        <w:t>当管道穿墙壁、楼板及嵌墙暗敷时，应与土建施工配合预留孔、槽。</w:t>
      </w:r>
    </w:p>
    <w:p>
      <w:pPr>
        <w:numPr>
          <w:ilvl w:val="0"/>
          <w:numId w:val="81"/>
        </w:numPr>
        <w:bidi w:val="0"/>
        <w:ind w:left="900" w:leftChars="0"/>
        <w:rPr>
          <w:color w:val="auto"/>
          <w:highlight w:val="none"/>
        </w:rPr>
      </w:pPr>
      <w:r>
        <w:rPr>
          <w:rFonts w:hint="eastAsia"/>
          <w:color w:val="auto"/>
          <w:highlight w:val="none"/>
        </w:rPr>
        <w:t>在混凝土楼板、梁、墙上预留孔、洞、槽和预埋件时，应有专人按设计图纸将管道及设备的位置、标高尺寸测定，标好孔洞的部位，将预制好的模盒、预埋铁件在绑扎钢筋前按标记固定牢，盒内堵塞，并经监理人</w:t>
      </w:r>
      <w:r>
        <w:rPr>
          <w:color w:val="auto"/>
          <w:highlight w:val="none"/>
        </w:rPr>
        <w:t>/发包人验收合格后才可浇注混凝土。在混凝土浇筑过程中应有专人配合校对，看管模盒、埋件，以免移位。</w:t>
      </w:r>
    </w:p>
    <w:p>
      <w:pPr>
        <w:numPr>
          <w:ilvl w:val="0"/>
          <w:numId w:val="81"/>
        </w:numPr>
        <w:bidi w:val="0"/>
        <w:ind w:left="900" w:leftChars="0"/>
        <w:rPr>
          <w:color w:val="auto"/>
          <w:highlight w:val="none"/>
        </w:rPr>
      </w:pPr>
      <w:r>
        <w:rPr>
          <w:rFonts w:hint="eastAsia"/>
          <w:color w:val="auto"/>
          <w:highlight w:val="none"/>
        </w:rPr>
        <w:t>预制墙（楼）板需要剔孔洞时，必须在装修或抹灰前剔凿，孔洞直径与管外径的间隙不得超过</w:t>
      </w:r>
      <w:r>
        <w:rPr>
          <w:color w:val="auto"/>
          <w:highlight w:val="none"/>
        </w:rPr>
        <w:t>30mm。遇有剔混凝土空心楼板肋或断钢筋时，必须预先征得监理人/发包人的同意并采取相应的补救措施后，方可进行。</w:t>
      </w:r>
    </w:p>
    <w:p>
      <w:pPr>
        <w:numPr>
          <w:ilvl w:val="0"/>
          <w:numId w:val="81"/>
        </w:numPr>
        <w:bidi w:val="0"/>
        <w:ind w:left="900" w:leftChars="0"/>
        <w:rPr>
          <w:color w:val="auto"/>
          <w:highlight w:val="none"/>
        </w:rPr>
      </w:pPr>
      <w:r>
        <w:rPr>
          <w:rFonts w:hint="eastAsia"/>
          <w:color w:val="auto"/>
          <w:highlight w:val="none"/>
        </w:rPr>
        <w:t>在配合施工中，机电专业人员必须随工程进度密切配合土建专业作好预留预埋工作。</w:t>
      </w:r>
    </w:p>
    <w:p>
      <w:pPr>
        <w:numPr>
          <w:ilvl w:val="0"/>
          <w:numId w:val="81"/>
        </w:numPr>
        <w:bidi w:val="0"/>
        <w:ind w:left="900" w:leftChars="0"/>
        <w:rPr>
          <w:color w:val="auto"/>
          <w:highlight w:val="none"/>
        </w:rPr>
      </w:pPr>
      <w:r>
        <w:rPr>
          <w:rFonts w:hint="eastAsia"/>
          <w:color w:val="auto"/>
          <w:highlight w:val="none"/>
        </w:rPr>
        <w:t>为了避免遗漏和错留，在核对间距、尺寸和位置无误后，报监理人验收。</w:t>
      </w:r>
    </w:p>
    <w:p>
      <w:pPr>
        <w:pStyle w:val="5"/>
        <w:bidi w:val="0"/>
        <w:ind w:left="253"/>
        <w:rPr>
          <w:color w:val="auto"/>
          <w:highlight w:val="none"/>
        </w:rPr>
      </w:pPr>
      <w:r>
        <w:rPr>
          <w:rFonts w:hint="eastAsia"/>
          <w:color w:val="auto"/>
          <w:highlight w:val="none"/>
        </w:rPr>
        <w:t>预留预埋套管的要求</w:t>
      </w:r>
    </w:p>
    <w:p>
      <w:pPr>
        <w:numPr>
          <w:ilvl w:val="1"/>
          <w:numId w:val="82"/>
        </w:numPr>
        <w:bidi w:val="0"/>
        <w:rPr>
          <w:color w:val="auto"/>
          <w:highlight w:val="none"/>
        </w:rPr>
      </w:pPr>
      <w:r>
        <w:rPr>
          <w:rFonts w:hint="eastAsia"/>
          <w:color w:val="auto"/>
          <w:highlight w:val="none"/>
        </w:rPr>
        <w:t>套管设置</w:t>
      </w:r>
    </w:p>
    <w:p>
      <w:pPr>
        <w:spacing w:before="120" w:beforeLines="50" w:afterLines="50"/>
        <w:ind w:left="850" w:leftChars="354"/>
        <w:rPr>
          <w:rFonts w:asciiTheme="minorEastAsia" w:hAnsiTheme="minorEastAsia"/>
          <w:bCs/>
          <w:color w:val="auto"/>
          <w:highlight w:val="none"/>
        </w:rPr>
      </w:pPr>
      <w:r>
        <w:rPr>
          <w:rFonts w:hint="eastAsia" w:asciiTheme="minorEastAsia" w:hAnsiTheme="minorEastAsia"/>
          <w:bCs/>
          <w:color w:val="auto"/>
          <w:highlight w:val="none"/>
        </w:rPr>
        <w:t>管道穿过楼板、梁、建筑外墙及隔墙、基础等处时，必须设置套管。安装在墙壁上的套管端头应与饰面相平，套管与管道之间填实。管道穿地下室、地下构筑物外墙、卫生间沉箱、屋面、外墙及其它管线穿越防水层时，应采用刚性防水套管。</w:t>
      </w:r>
    </w:p>
    <w:p>
      <w:pPr>
        <w:numPr>
          <w:ilvl w:val="1"/>
          <w:numId w:val="82"/>
        </w:numPr>
        <w:bidi w:val="0"/>
        <w:rPr>
          <w:color w:val="auto"/>
          <w:highlight w:val="none"/>
        </w:rPr>
      </w:pPr>
      <w:r>
        <w:rPr>
          <w:rFonts w:hint="eastAsia"/>
          <w:color w:val="auto"/>
          <w:highlight w:val="none"/>
        </w:rPr>
        <w:t>套管安装</w:t>
      </w:r>
    </w:p>
    <w:p>
      <w:pPr>
        <w:spacing w:before="120" w:beforeLines="50" w:afterLines="50"/>
        <w:ind w:left="850" w:leftChars="354" w:firstLine="5"/>
        <w:rPr>
          <w:rFonts w:asciiTheme="minorEastAsia" w:hAnsiTheme="minorEastAsia"/>
          <w:bCs/>
          <w:color w:val="auto"/>
          <w:highlight w:val="none"/>
        </w:rPr>
      </w:pPr>
      <w:r>
        <w:rPr>
          <w:rFonts w:hint="eastAsia" w:asciiTheme="minorEastAsia" w:hAnsiTheme="minorEastAsia"/>
          <w:bCs/>
          <w:color w:val="auto"/>
          <w:highlight w:val="none"/>
        </w:rPr>
        <w:t>根据所穿构筑物的厚度及管径尺寸确定套管规格、长度，翼环及钢套管加工完成后刷防锈漆做防腐处理。套管安装时，必须随混凝土施工一次性浇固于墙（壁）内。楼板、隔墙和墙内的穿管孔隙在安完管道后进行堵塞封堵。预埋上下层套管时，中心线需垂直，套管不能直接和主筋焊接，应采取附加筋形式。</w:t>
      </w:r>
    </w:p>
    <w:p>
      <w:pPr>
        <w:numPr>
          <w:ilvl w:val="1"/>
          <w:numId w:val="82"/>
        </w:numPr>
        <w:bidi w:val="0"/>
        <w:rPr>
          <w:color w:val="auto"/>
          <w:highlight w:val="none"/>
        </w:rPr>
      </w:pPr>
      <w:r>
        <w:rPr>
          <w:rFonts w:hint="eastAsia"/>
          <w:color w:val="auto"/>
          <w:highlight w:val="none"/>
        </w:rPr>
        <w:t>人防套管的预留预埋</w:t>
      </w:r>
    </w:p>
    <w:p>
      <w:pPr>
        <w:numPr>
          <w:ilvl w:val="0"/>
          <w:numId w:val="83"/>
        </w:numPr>
        <w:bidi w:val="0"/>
        <w:ind w:left="900" w:leftChars="0"/>
        <w:rPr>
          <w:color w:val="auto"/>
          <w:highlight w:val="none"/>
        </w:rPr>
      </w:pPr>
      <w:r>
        <w:rPr>
          <w:rFonts w:hint="eastAsia"/>
          <w:color w:val="auto"/>
          <w:highlight w:val="none"/>
        </w:rPr>
        <w:t>给水管、压力排水管、电缆电线等密闭穿墙短管，应按设计要求制作。当设计无要求时，应采用壁厚大于</w:t>
      </w:r>
      <w:r>
        <w:rPr>
          <w:color w:val="auto"/>
          <w:highlight w:val="none"/>
        </w:rPr>
        <w:t>3mm的短管。</w:t>
      </w:r>
    </w:p>
    <w:p>
      <w:pPr>
        <w:numPr>
          <w:ilvl w:val="0"/>
          <w:numId w:val="83"/>
        </w:numPr>
        <w:bidi w:val="0"/>
        <w:ind w:left="900" w:leftChars="0"/>
        <w:rPr>
          <w:color w:val="auto"/>
          <w:highlight w:val="none"/>
        </w:rPr>
      </w:pPr>
      <w:r>
        <w:rPr>
          <w:rFonts w:hint="eastAsia"/>
          <w:color w:val="auto"/>
          <w:highlight w:val="none"/>
        </w:rPr>
        <w:t>通风管的密闭穿墙短管、密闭翼环的制作及安装应符合设计文件及人防规范要求”</w:t>
      </w:r>
    </w:p>
    <w:p>
      <w:pPr>
        <w:pStyle w:val="5"/>
        <w:bidi w:val="0"/>
        <w:ind w:left="253"/>
        <w:rPr>
          <w:color w:val="auto"/>
          <w:highlight w:val="none"/>
        </w:rPr>
      </w:pPr>
      <w:r>
        <w:rPr>
          <w:rFonts w:hint="eastAsia"/>
          <w:color w:val="auto"/>
          <w:highlight w:val="none"/>
        </w:rPr>
        <w:t>电气导管、线盒预留预埋（包括剪力墙、现浇顶板、砌体）</w:t>
      </w:r>
    </w:p>
    <w:p>
      <w:pPr>
        <w:numPr>
          <w:ilvl w:val="1"/>
          <w:numId w:val="84"/>
        </w:numPr>
        <w:bidi w:val="0"/>
        <w:rPr>
          <w:color w:val="auto"/>
          <w:highlight w:val="none"/>
        </w:rPr>
      </w:pPr>
      <w:r>
        <w:rPr>
          <w:rFonts w:hint="eastAsia"/>
          <w:color w:val="auto"/>
          <w:highlight w:val="none"/>
        </w:rPr>
        <w:t>材料准备的要求</w:t>
      </w:r>
    </w:p>
    <w:p>
      <w:pPr>
        <w:numPr>
          <w:ilvl w:val="0"/>
          <w:numId w:val="85"/>
        </w:numPr>
        <w:bidi w:val="0"/>
        <w:ind w:left="900" w:leftChars="0"/>
        <w:rPr>
          <w:color w:val="auto"/>
          <w:highlight w:val="none"/>
        </w:rPr>
      </w:pPr>
      <w:r>
        <w:rPr>
          <w:color w:val="auto"/>
          <w:highlight w:val="none"/>
        </w:rPr>
        <w:t>PVC盒的表面一定要光滑，材质要好。钢制接线盒外观应干净，无脏污，无划伤，无毛刺锐边。</w:t>
      </w:r>
    </w:p>
    <w:p>
      <w:pPr>
        <w:numPr>
          <w:ilvl w:val="0"/>
          <w:numId w:val="85"/>
        </w:numPr>
        <w:bidi w:val="0"/>
        <w:ind w:left="900" w:leftChars="0"/>
        <w:rPr>
          <w:color w:val="auto"/>
          <w:highlight w:val="none"/>
        </w:rPr>
      </w:pPr>
      <w:r>
        <w:rPr>
          <w:rFonts w:hint="eastAsia"/>
          <w:color w:val="auto"/>
          <w:highlight w:val="none"/>
        </w:rPr>
        <w:t>管件表面内壁一定要光滑，不应有裂痕，毛刺。厚度符合规范要求。</w:t>
      </w:r>
    </w:p>
    <w:p>
      <w:pPr>
        <w:numPr>
          <w:ilvl w:val="0"/>
          <w:numId w:val="85"/>
        </w:numPr>
        <w:bidi w:val="0"/>
        <w:ind w:left="900" w:leftChars="0"/>
        <w:rPr>
          <w:color w:val="auto"/>
          <w:highlight w:val="none"/>
        </w:rPr>
      </w:pPr>
      <w:r>
        <w:rPr>
          <w:rFonts w:hint="eastAsia"/>
          <w:color w:val="auto"/>
          <w:highlight w:val="none"/>
        </w:rPr>
        <w:t>钢管直接头，厚度要符合验收质量标准，表面光滑，无毛刺，镀锌层完好。</w:t>
      </w:r>
    </w:p>
    <w:p>
      <w:pPr>
        <w:numPr>
          <w:ilvl w:val="0"/>
          <w:numId w:val="85"/>
        </w:numPr>
        <w:bidi w:val="0"/>
        <w:ind w:left="900" w:leftChars="0"/>
        <w:rPr>
          <w:color w:val="auto"/>
          <w:highlight w:val="none"/>
        </w:rPr>
      </w:pPr>
      <w:r>
        <w:rPr>
          <w:rFonts w:hint="eastAsia"/>
          <w:color w:val="auto"/>
          <w:highlight w:val="none"/>
        </w:rPr>
        <w:t>接地线为软芯铜导线，接地管卡配套。</w:t>
      </w:r>
    </w:p>
    <w:p>
      <w:pPr>
        <w:numPr>
          <w:ilvl w:val="1"/>
          <w:numId w:val="84"/>
        </w:numPr>
        <w:bidi w:val="0"/>
        <w:rPr>
          <w:color w:val="auto"/>
          <w:highlight w:val="none"/>
        </w:rPr>
      </w:pPr>
      <w:r>
        <w:rPr>
          <w:rFonts w:hint="eastAsia"/>
          <w:color w:val="auto"/>
          <w:highlight w:val="none"/>
        </w:rPr>
        <w:t>确定管、盒位置</w:t>
      </w:r>
    </w:p>
    <w:p>
      <w:pPr>
        <w:numPr>
          <w:ilvl w:val="0"/>
          <w:numId w:val="86"/>
        </w:numPr>
        <w:bidi w:val="0"/>
        <w:ind w:left="900" w:leftChars="0"/>
        <w:rPr>
          <w:color w:val="auto"/>
          <w:highlight w:val="none"/>
        </w:rPr>
      </w:pPr>
      <w:r>
        <w:rPr>
          <w:rFonts w:hint="eastAsia"/>
          <w:color w:val="auto"/>
          <w:highlight w:val="none"/>
        </w:rPr>
        <w:t>顶板类在模板上画出线盒位置线。</w:t>
      </w:r>
    </w:p>
    <w:p>
      <w:pPr>
        <w:numPr>
          <w:ilvl w:val="0"/>
          <w:numId w:val="86"/>
        </w:numPr>
        <w:bidi w:val="0"/>
        <w:ind w:left="900" w:leftChars="0"/>
        <w:rPr>
          <w:color w:val="auto"/>
          <w:highlight w:val="none"/>
        </w:rPr>
      </w:pPr>
      <w:r>
        <w:rPr>
          <w:rFonts w:hint="eastAsia"/>
          <w:color w:val="auto"/>
          <w:highlight w:val="none"/>
        </w:rPr>
        <w:t>墙面类用盒尺和水平仪确定线盒位置并在钢筋上标记（定位时考虑保护层厚度和建筑做法）。</w:t>
      </w:r>
    </w:p>
    <w:p>
      <w:pPr>
        <w:numPr>
          <w:ilvl w:val="1"/>
          <w:numId w:val="84"/>
        </w:numPr>
        <w:bidi w:val="0"/>
        <w:rPr>
          <w:color w:val="auto"/>
          <w:highlight w:val="none"/>
        </w:rPr>
      </w:pPr>
      <w:r>
        <w:rPr>
          <w:rFonts w:hint="eastAsia"/>
          <w:color w:val="auto"/>
          <w:highlight w:val="none"/>
        </w:rPr>
        <w:t>固定线盒</w:t>
      </w:r>
    </w:p>
    <w:p>
      <w:pPr>
        <w:numPr>
          <w:ilvl w:val="0"/>
          <w:numId w:val="87"/>
        </w:numPr>
        <w:bidi w:val="0"/>
        <w:ind w:left="900" w:leftChars="0"/>
        <w:rPr>
          <w:color w:val="auto"/>
          <w:highlight w:val="none"/>
        </w:rPr>
      </w:pPr>
      <w:r>
        <w:rPr>
          <w:rFonts w:hint="eastAsia"/>
          <w:color w:val="auto"/>
          <w:highlight w:val="none"/>
        </w:rPr>
        <w:t>固定线盒时须在堵盒前首先堵好管口。</w:t>
      </w:r>
    </w:p>
    <w:p>
      <w:pPr>
        <w:numPr>
          <w:ilvl w:val="0"/>
          <w:numId w:val="87"/>
        </w:numPr>
        <w:bidi w:val="0"/>
        <w:ind w:left="900" w:leftChars="0"/>
        <w:rPr>
          <w:color w:val="auto"/>
          <w:highlight w:val="none"/>
        </w:rPr>
      </w:pPr>
      <w:r>
        <w:rPr>
          <w:rFonts w:hint="eastAsia"/>
          <w:color w:val="auto"/>
          <w:highlight w:val="none"/>
        </w:rPr>
        <w:t>为防止混凝土浇筑时线盒偏位，底盒绑扎时应加背筋。</w:t>
      </w:r>
    </w:p>
    <w:p>
      <w:pPr>
        <w:numPr>
          <w:ilvl w:val="0"/>
          <w:numId w:val="87"/>
        </w:numPr>
        <w:bidi w:val="0"/>
        <w:ind w:left="900" w:leftChars="0"/>
        <w:rPr>
          <w:color w:val="auto"/>
          <w:highlight w:val="none"/>
        </w:rPr>
      </w:pPr>
      <w:r>
        <w:rPr>
          <w:rFonts w:hint="eastAsia"/>
          <w:color w:val="auto"/>
          <w:highlight w:val="none"/>
        </w:rPr>
        <w:t>灯盒应该安装在房间或功能分区的中心。</w:t>
      </w:r>
    </w:p>
    <w:p>
      <w:pPr>
        <w:numPr>
          <w:ilvl w:val="0"/>
          <w:numId w:val="87"/>
        </w:numPr>
        <w:bidi w:val="0"/>
        <w:ind w:left="900" w:leftChars="0"/>
        <w:rPr>
          <w:color w:val="auto"/>
          <w:highlight w:val="none"/>
        </w:rPr>
      </w:pPr>
      <w:r>
        <w:rPr>
          <w:rFonts w:hint="eastAsia"/>
          <w:color w:val="auto"/>
          <w:highlight w:val="none"/>
        </w:rPr>
        <w:t>同一室内的底盒标高差≤</w:t>
      </w:r>
      <w:r>
        <w:rPr>
          <w:color w:val="auto"/>
          <w:highlight w:val="none"/>
        </w:rPr>
        <w:t>3mm</w:t>
      </w:r>
      <w:r>
        <w:rPr>
          <w:rFonts w:hint="eastAsia"/>
          <w:color w:val="auto"/>
          <w:highlight w:val="none"/>
        </w:rPr>
        <w:t>，并排插座开关面板高度差≤</w:t>
      </w:r>
      <w:r>
        <w:rPr>
          <w:color w:val="auto"/>
          <w:highlight w:val="none"/>
        </w:rPr>
        <w:t>1mm。</w:t>
      </w:r>
    </w:p>
    <w:p>
      <w:pPr>
        <w:numPr>
          <w:ilvl w:val="0"/>
          <w:numId w:val="87"/>
        </w:numPr>
        <w:bidi w:val="0"/>
        <w:ind w:left="900" w:leftChars="0"/>
        <w:rPr>
          <w:color w:val="auto"/>
          <w:highlight w:val="none"/>
        </w:rPr>
      </w:pPr>
      <w:r>
        <w:rPr>
          <w:rFonts w:hint="eastAsia"/>
          <w:color w:val="auto"/>
          <w:highlight w:val="none"/>
        </w:rPr>
        <w:t>固定钢筋不小于</w:t>
      </w:r>
      <w:r>
        <w:rPr>
          <w:color w:val="auto"/>
          <w:highlight w:val="none"/>
        </w:rPr>
        <w:t>ф8。</w:t>
      </w:r>
    </w:p>
    <w:p>
      <w:pPr>
        <w:numPr>
          <w:ilvl w:val="1"/>
          <w:numId w:val="84"/>
        </w:numPr>
        <w:bidi w:val="0"/>
        <w:rPr>
          <w:color w:val="auto"/>
          <w:highlight w:val="none"/>
        </w:rPr>
      </w:pPr>
      <w:r>
        <w:rPr>
          <w:rFonts w:hint="eastAsia"/>
          <w:color w:val="auto"/>
          <w:highlight w:val="none"/>
        </w:rPr>
        <w:t>敷设管路</w:t>
      </w:r>
    </w:p>
    <w:p>
      <w:pPr>
        <w:numPr>
          <w:ilvl w:val="0"/>
          <w:numId w:val="88"/>
        </w:numPr>
        <w:bidi w:val="0"/>
        <w:ind w:left="900" w:leftChars="0"/>
        <w:rPr>
          <w:color w:val="auto"/>
          <w:highlight w:val="none"/>
        </w:rPr>
      </w:pPr>
      <w:r>
        <w:rPr>
          <w:rFonts w:hint="eastAsia"/>
          <w:color w:val="auto"/>
          <w:highlight w:val="none"/>
        </w:rPr>
        <w:t>管路必须敷设在钢筋网内侧和上下层钢筋之间</w:t>
      </w:r>
      <w:r>
        <w:rPr>
          <w:color w:val="auto"/>
          <w:highlight w:val="none"/>
        </w:rPr>
        <w:t>,与钢筋绑扎固定。管路宜沿最近的路线敷设并尽量减少弯曲和交叉。</w:t>
      </w:r>
    </w:p>
    <w:p>
      <w:pPr>
        <w:numPr>
          <w:ilvl w:val="0"/>
          <w:numId w:val="88"/>
        </w:numPr>
        <w:bidi w:val="0"/>
        <w:ind w:left="900" w:leftChars="0"/>
        <w:rPr>
          <w:color w:val="auto"/>
          <w:highlight w:val="none"/>
        </w:rPr>
      </w:pPr>
      <w:r>
        <w:rPr>
          <w:rFonts w:hint="eastAsia"/>
          <w:color w:val="auto"/>
          <w:highlight w:val="none"/>
        </w:rPr>
        <w:t>布管完成后，用扎丝绑扎在钢筋的底板筋上。</w:t>
      </w:r>
    </w:p>
    <w:p>
      <w:pPr>
        <w:numPr>
          <w:ilvl w:val="0"/>
          <w:numId w:val="88"/>
        </w:numPr>
        <w:bidi w:val="0"/>
        <w:ind w:left="900" w:leftChars="0"/>
        <w:rPr>
          <w:color w:val="auto"/>
          <w:highlight w:val="none"/>
        </w:rPr>
      </w:pPr>
      <w:r>
        <w:rPr>
          <w:rFonts w:hint="eastAsia"/>
          <w:color w:val="auto"/>
          <w:highlight w:val="none"/>
        </w:rPr>
        <w:t>管口必须封堵严密。</w:t>
      </w:r>
    </w:p>
    <w:p>
      <w:pPr>
        <w:numPr>
          <w:ilvl w:val="0"/>
          <w:numId w:val="88"/>
        </w:numPr>
        <w:bidi w:val="0"/>
        <w:ind w:left="900" w:leftChars="0"/>
        <w:rPr>
          <w:color w:val="auto"/>
          <w:highlight w:val="none"/>
        </w:rPr>
      </w:pPr>
      <w:r>
        <w:rPr>
          <w:rFonts w:hint="eastAsia"/>
          <w:color w:val="auto"/>
          <w:highlight w:val="none"/>
        </w:rPr>
        <w:t>向上的管路在引出位置应用钢筋固定</w:t>
      </w:r>
      <w:r>
        <w:rPr>
          <w:color w:val="auto"/>
          <w:highlight w:val="none"/>
        </w:rPr>
        <w:t>,用以固定位置和保护管路不受外力损伤折断。</w:t>
      </w:r>
    </w:p>
    <w:p>
      <w:pPr>
        <w:numPr>
          <w:ilvl w:val="0"/>
          <w:numId w:val="88"/>
        </w:numPr>
        <w:bidi w:val="0"/>
        <w:ind w:left="900" w:leftChars="0"/>
        <w:rPr>
          <w:color w:val="auto"/>
          <w:highlight w:val="none"/>
        </w:rPr>
      </w:pPr>
      <w:r>
        <w:rPr>
          <w:rFonts w:hint="eastAsia"/>
          <w:color w:val="auto"/>
          <w:highlight w:val="none"/>
        </w:rPr>
        <w:t>弯曲半径不小于管外径的六倍，且弯曲后无裂缝或显著的凹瘪现象。</w:t>
      </w:r>
    </w:p>
    <w:p>
      <w:pPr>
        <w:numPr>
          <w:ilvl w:val="0"/>
          <w:numId w:val="88"/>
        </w:numPr>
        <w:bidi w:val="0"/>
        <w:ind w:left="900" w:leftChars="0"/>
        <w:rPr>
          <w:color w:val="auto"/>
          <w:highlight w:val="none"/>
        </w:rPr>
      </w:pPr>
      <w:r>
        <w:rPr>
          <w:rFonts w:hint="eastAsia"/>
          <w:color w:val="auto"/>
          <w:highlight w:val="none"/>
        </w:rPr>
        <w:t>离表面的净距不小于</w:t>
      </w:r>
      <w:r>
        <w:rPr>
          <w:color w:val="auto"/>
          <w:highlight w:val="none"/>
        </w:rPr>
        <w:t>15mm，并列的管子间应留有间隙。</w:t>
      </w:r>
    </w:p>
    <w:p>
      <w:pPr>
        <w:numPr>
          <w:ilvl w:val="0"/>
          <w:numId w:val="88"/>
        </w:numPr>
        <w:bidi w:val="0"/>
        <w:ind w:left="900" w:leftChars="0"/>
        <w:rPr>
          <w:color w:val="auto"/>
          <w:highlight w:val="none"/>
        </w:rPr>
      </w:pPr>
      <w:r>
        <w:rPr>
          <w:rFonts w:hint="eastAsia"/>
          <w:color w:val="auto"/>
          <w:highlight w:val="none"/>
        </w:rPr>
        <w:t>混凝土结构内电管暗敷出梁、楼面偏差≤</w:t>
      </w:r>
      <w:r>
        <w:rPr>
          <w:color w:val="auto"/>
          <w:highlight w:val="none"/>
        </w:rPr>
        <w:t>30mm。</w:t>
      </w:r>
    </w:p>
    <w:p>
      <w:pPr>
        <w:numPr>
          <w:ilvl w:val="0"/>
          <w:numId w:val="88"/>
        </w:numPr>
        <w:bidi w:val="0"/>
        <w:ind w:left="900" w:leftChars="0"/>
        <w:rPr>
          <w:color w:val="auto"/>
          <w:highlight w:val="none"/>
        </w:rPr>
      </w:pPr>
      <w:r>
        <w:rPr>
          <w:rFonts w:hint="eastAsia"/>
          <w:color w:val="auto"/>
          <w:highlight w:val="none"/>
        </w:rPr>
        <w:t>绑扎点距离应≤</w:t>
      </w:r>
      <w:r>
        <w:rPr>
          <w:color w:val="auto"/>
          <w:highlight w:val="none"/>
        </w:rPr>
        <w:t>500mm，管的直接处与绑扎点间距应≤15mm。管与盒的接头处与绑扎点间距应≤10mm。</w:t>
      </w:r>
    </w:p>
    <w:p>
      <w:pPr>
        <w:numPr>
          <w:ilvl w:val="1"/>
          <w:numId w:val="84"/>
        </w:numPr>
        <w:bidi w:val="0"/>
        <w:rPr>
          <w:color w:val="auto"/>
          <w:highlight w:val="none"/>
        </w:rPr>
      </w:pPr>
      <w:r>
        <w:rPr>
          <w:rFonts w:hint="eastAsia"/>
          <w:color w:val="auto"/>
          <w:highlight w:val="none"/>
        </w:rPr>
        <w:t>管路连接、切断、弯曲</w:t>
      </w:r>
    </w:p>
    <w:p>
      <w:pPr>
        <w:numPr>
          <w:ilvl w:val="0"/>
          <w:numId w:val="89"/>
        </w:numPr>
        <w:bidi w:val="0"/>
        <w:ind w:left="900" w:leftChars="0"/>
        <w:rPr>
          <w:color w:val="auto"/>
          <w:highlight w:val="none"/>
        </w:rPr>
      </w:pPr>
      <w:r>
        <w:rPr>
          <w:rFonts w:hint="eastAsia"/>
          <w:color w:val="auto"/>
          <w:highlight w:val="none"/>
        </w:rPr>
        <w:t>管路与管路的连接：使用与管路配套的套管和专用粘接剂。</w:t>
      </w:r>
    </w:p>
    <w:p>
      <w:pPr>
        <w:numPr>
          <w:ilvl w:val="0"/>
          <w:numId w:val="89"/>
        </w:numPr>
        <w:bidi w:val="0"/>
        <w:ind w:left="900" w:leftChars="0"/>
        <w:rPr>
          <w:color w:val="auto"/>
          <w:highlight w:val="none"/>
        </w:rPr>
      </w:pPr>
      <w:r>
        <w:rPr>
          <w:rFonts w:hint="eastAsia"/>
          <w:color w:val="auto"/>
          <w:highlight w:val="none"/>
        </w:rPr>
        <w:t>管路与箱盒的连接：使用配套的盒接头和胶粘剂，并用配套的锁母固定。</w:t>
      </w:r>
    </w:p>
    <w:p>
      <w:pPr>
        <w:numPr>
          <w:ilvl w:val="0"/>
          <w:numId w:val="89"/>
        </w:numPr>
        <w:bidi w:val="0"/>
        <w:ind w:left="900" w:leftChars="0"/>
        <w:rPr>
          <w:color w:val="auto"/>
          <w:highlight w:val="none"/>
        </w:rPr>
      </w:pPr>
      <w:r>
        <w:rPr>
          <w:rFonts w:hint="eastAsia"/>
          <w:color w:val="auto"/>
          <w:highlight w:val="none"/>
        </w:rPr>
        <w:t>管路切断的过程中不能使切断的管口发生变形，钢管则必须用钢锉把管口内外的毛刺修整平齐，不能出现斜口。</w:t>
      </w:r>
    </w:p>
    <w:p>
      <w:pPr>
        <w:numPr>
          <w:ilvl w:val="0"/>
          <w:numId w:val="89"/>
        </w:numPr>
        <w:bidi w:val="0"/>
        <w:ind w:left="900" w:leftChars="0"/>
        <w:rPr>
          <w:color w:val="auto"/>
          <w:highlight w:val="none"/>
        </w:rPr>
      </w:pPr>
      <w:r>
        <w:rPr>
          <w:rFonts w:hint="eastAsia"/>
          <w:color w:val="auto"/>
          <w:highlight w:val="none"/>
        </w:rPr>
        <w:t>直径在</w:t>
      </w:r>
      <w:r>
        <w:rPr>
          <w:color w:val="auto"/>
          <w:highlight w:val="none"/>
        </w:rPr>
        <w:t>32mm以下的管路，使用配套的弯管弹簧，直径在32mm以上的管路使用热煨法。</w:t>
      </w:r>
    </w:p>
    <w:p>
      <w:pPr>
        <w:numPr>
          <w:ilvl w:val="0"/>
          <w:numId w:val="89"/>
        </w:numPr>
        <w:bidi w:val="0"/>
        <w:ind w:left="900" w:leftChars="0"/>
        <w:rPr>
          <w:color w:val="auto"/>
          <w:highlight w:val="none"/>
        </w:rPr>
      </w:pPr>
      <w:r>
        <w:rPr>
          <w:rFonts w:hint="eastAsia"/>
          <w:color w:val="auto"/>
          <w:highlight w:val="none"/>
        </w:rPr>
        <w:t>管口锉光滑、平整，接头应牢固紧密。</w:t>
      </w:r>
    </w:p>
    <w:p>
      <w:pPr>
        <w:numPr>
          <w:ilvl w:val="0"/>
          <w:numId w:val="89"/>
        </w:numPr>
        <w:bidi w:val="0"/>
        <w:ind w:left="900" w:leftChars="0"/>
        <w:rPr>
          <w:color w:val="auto"/>
          <w:highlight w:val="none"/>
        </w:rPr>
      </w:pPr>
      <w:r>
        <w:rPr>
          <w:rFonts w:hint="eastAsia"/>
          <w:color w:val="auto"/>
          <w:highlight w:val="none"/>
        </w:rPr>
        <w:t>弯曲半径不小于管外径的</w:t>
      </w:r>
      <w:r>
        <w:rPr>
          <w:color w:val="auto"/>
          <w:highlight w:val="none"/>
        </w:rPr>
        <w:t>6倍，且弯曲后无裂缝或显著的凹瘪现象。</w:t>
      </w:r>
    </w:p>
    <w:p>
      <w:pPr>
        <w:numPr>
          <w:ilvl w:val="0"/>
          <w:numId w:val="89"/>
        </w:numPr>
        <w:bidi w:val="0"/>
        <w:ind w:left="900" w:leftChars="0"/>
        <w:rPr>
          <w:color w:val="auto"/>
          <w:highlight w:val="none"/>
        </w:rPr>
      </w:pPr>
      <w:r>
        <w:rPr>
          <w:rFonts w:hint="eastAsia"/>
          <w:color w:val="auto"/>
          <w:highlight w:val="none"/>
        </w:rPr>
        <w:t>管路切断处切口平顺、无毛刺。</w:t>
      </w:r>
    </w:p>
    <w:p>
      <w:pPr>
        <w:numPr>
          <w:ilvl w:val="0"/>
          <w:numId w:val="89"/>
        </w:numPr>
        <w:bidi w:val="0"/>
        <w:ind w:left="900" w:leftChars="0"/>
        <w:rPr>
          <w:color w:val="auto"/>
          <w:highlight w:val="none"/>
        </w:rPr>
      </w:pPr>
      <w:r>
        <w:rPr>
          <w:rFonts w:hint="eastAsia"/>
          <w:color w:val="auto"/>
          <w:highlight w:val="none"/>
        </w:rPr>
        <w:t>镀锌钢管连接处胶带缠绕圈数不少于</w:t>
      </w:r>
      <w:r>
        <w:rPr>
          <w:color w:val="auto"/>
          <w:highlight w:val="none"/>
        </w:rPr>
        <w:t>4圈。</w:t>
      </w:r>
    </w:p>
    <w:p>
      <w:pPr>
        <w:numPr>
          <w:ilvl w:val="1"/>
          <w:numId w:val="84"/>
        </w:numPr>
        <w:bidi w:val="0"/>
        <w:rPr>
          <w:color w:val="auto"/>
          <w:highlight w:val="none"/>
        </w:rPr>
      </w:pPr>
      <w:r>
        <w:rPr>
          <w:rFonts w:hint="eastAsia"/>
          <w:color w:val="auto"/>
          <w:highlight w:val="none"/>
        </w:rPr>
        <w:t>跨接地线</w:t>
      </w:r>
    </w:p>
    <w:p>
      <w:pPr>
        <w:numPr>
          <w:ilvl w:val="0"/>
          <w:numId w:val="90"/>
        </w:numPr>
        <w:bidi w:val="0"/>
        <w:ind w:left="900" w:leftChars="0"/>
        <w:rPr>
          <w:color w:val="auto"/>
          <w:highlight w:val="none"/>
        </w:rPr>
      </w:pPr>
      <w:r>
        <w:rPr>
          <w:rFonts w:hint="eastAsia"/>
          <w:color w:val="auto"/>
          <w:highlight w:val="none"/>
        </w:rPr>
        <w:t>镀锌的钢导管、可挠性导管和金属线槽不得熔焊跨接接地线，以专用接地线卡跨接的两卡间连线为铜芯软导线。</w:t>
      </w:r>
    </w:p>
    <w:p>
      <w:pPr>
        <w:numPr>
          <w:ilvl w:val="0"/>
          <w:numId w:val="90"/>
        </w:numPr>
        <w:bidi w:val="0"/>
        <w:ind w:left="900" w:leftChars="0"/>
        <w:rPr>
          <w:color w:val="auto"/>
          <w:highlight w:val="none"/>
        </w:rPr>
      </w:pPr>
      <w:r>
        <w:rPr>
          <w:rFonts w:hint="eastAsia"/>
          <w:color w:val="auto"/>
          <w:highlight w:val="none"/>
        </w:rPr>
        <w:t>导线截面积不小于</w:t>
      </w:r>
      <w:r>
        <w:rPr>
          <w:color w:val="auto"/>
          <w:highlight w:val="none"/>
        </w:rPr>
        <w:t>4mm</w:t>
      </w:r>
      <w:r>
        <w:rPr>
          <w:rFonts w:hint="eastAsia"/>
          <w:color w:val="auto"/>
          <w:highlight w:val="none"/>
        </w:rPr>
        <w:t>²。</w:t>
      </w:r>
    </w:p>
    <w:p>
      <w:pPr>
        <w:numPr>
          <w:ilvl w:val="0"/>
          <w:numId w:val="90"/>
        </w:numPr>
        <w:bidi w:val="0"/>
        <w:ind w:left="900" w:leftChars="0"/>
        <w:rPr>
          <w:color w:val="auto"/>
          <w:highlight w:val="none"/>
        </w:rPr>
      </w:pPr>
      <w:r>
        <w:rPr>
          <w:rFonts w:hint="eastAsia"/>
          <w:color w:val="auto"/>
          <w:highlight w:val="none"/>
        </w:rPr>
        <w:t>使用与镀锌钢管配套的专业接地线卡。</w:t>
      </w:r>
    </w:p>
    <w:p>
      <w:pPr>
        <w:numPr>
          <w:ilvl w:val="1"/>
          <w:numId w:val="84"/>
        </w:numPr>
        <w:bidi w:val="0"/>
        <w:rPr>
          <w:color w:val="auto"/>
          <w:highlight w:val="none"/>
        </w:rPr>
      </w:pPr>
      <w:r>
        <w:rPr>
          <w:rFonts w:hint="eastAsia"/>
          <w:color w:val="auto"/>
          <w:highlight w:val="none"/>
        </w:rPr>
        <w:t>线管内应施工完成铝丝</w:t>
      </w:r>
      <w:r>
        <w:rPr>
          <w:color w:val="auto"/>
          <w:highlight w:val="none"/>
        </w:rPr>
        <w:t>/</w:t>
      </w:r>
      <w:r>
        <w:rPr>
          <w:rFonts w:hint="eastAsia"/>
          <w:color w:val="auto"/>
          <w:highlight w:val="none"/>
        </w:rPr>
        <w:t>钢丝</w:t>
      </w:r>
      <w:r>
        <w:rPr>
          <w:color w:val="auto"/>
          <w:highlight w:val="none"/>
        </w:rPr>
        <w:t>/尼龙绳等导线穿线工作。</w:t>
      </w:r>
    </w:p>
    <w:p>
      <w:pPr>
        <w:pStyle w:val="5"/>
        <w:bidi w:val="0"/>
        <w:ind w:left="253"/>
        <w:rPr>
          <w:color w:val="auto"/>
          <w:highlight w:val="none"/>
        </w:rPr>
      </w:pPr>
      <w:r>
        <w:rPr>
          <w:rFonts w:hint="eastAsia"/>
          <w:color w:val="auto"/>
          <w:highlight w:val="none"/>
        </w:rPr>
        <w:t>多媒体箱、配电箱预制件</w:t>
      </w:r>
    </w:p>
    <w:p>
      <w:pPr>
        <w:numPr>
          <w:ilvl w:val="1"/>
          <w:numId w:val="91"/>
        </w:numPr>
        <w:spacing w:before="120" w:beforeLines="50" w:afterLines="50"/>
        <w:ind w:left="425" w:leftChars="177" w:hanging="423"/>
        <w:rPr>
          <w:rFonts w:hint="eastAsia" w:asciiTheme="minorEastAsia" w:hAnsiTheme="minorEastAsia"/>
          <w:bCs/>
          <w:color w:val="auto"/>
          <w:highlight w:val="none"/>
        </w:rPr>
      </w:pPr>
      <w:r>
        <w:rPr>
          <w:rFonts w:hint="eastAsia" w:asciiTheme="minorEastAsia" w:hAnsiTheme="minorEastAsia"/>
          <w:bCs/>
          <w:color w:val="auto"/>
          <w:highlight w:val="none"/>
        </w:rPr>
        <w:t>制作模具</w:t>
      </w:r>
      <w:r>
        <w:rPr>
          <w:rFonts w:hint="eastAsia" w:asciiTheme="minorEastAsia" w:hAnsiTheme="minorEastAsia"/>
          <w:bCs/>
          <w:color w:val="auto"/>
          <w:highlight w:val="none"/>
          <w:lang w:eastAsia="zh-CN"/>
        </w:rPr>
        <w:t>：</w:t>
      </w:r>
      <w:r>
        <w:rPr>
          <w:rFonts w:hint="eastAsia" w:asciiTheme="minorEastAsia" w:hAnsiTheme="minorEastAsia"/>
          <w:bCs/>
          <w:color w:val="auto"/>
          <w:highlight w:val="none"/>
        </w:rPr>
        <w:t>根据电箱箱体尺寸、安装标高以及安装墙面砌筑砖匹数排版设计开模；定型模具应固定牢固，拆卸方便，采用钢模或木模都可，建议使用钢模；预制块不应太重，以施工人员能顺利搬运为宜，过大过高应设置成2块组合（内部配筋加强）；预制块凹槽净宽度宜为箱体宽度＋50mm（每边留20-30mm塞缝），凹槽深度为箱体底盒＋10mm；预制块厚度与砌块同；预制块开口尺寸超过300mm或上部有斜顶砖处，其上部宜加2根钢筋带，托住上部砌块（钢筋位置需注意避开电线管开槽深度）。</w:t>
      </w:r>
    </w:p>
    <w:p>
      <w:pPr>
        <w:numPr>
          <w:ilvl w:val="1"/>
          <w:numId w:val="91"/>
        </w:numPr>
        <w:spacing w:before="120" w:beforeLines="50" w:afterLines="50"/>
        <w:ind w:left="425" w:leftChars="177" w:hanging="423"/>
        <w:rPr>
          <w:rFonts w:asciiTheme="minorEastAsia" w:hAnsiTheme="minorEastAsia"/>
          <w:bCs/>
          <w:color w:val="auto"/>
          <w:highlight w:val="none"/>
        </w:rPr>
      </w:pPr>
      <w:r>
        <w:rPr>
          <w:rFonts w:hint="eastAsia" w:asciiTheme="minorEastAsia" w:hAnsiTheme="minorEastAsia"/>
          <w:bCs/>
          <w:color w:val="auto"/>
          <w:highlight w:val="none"/>
        </w:rPr>
        <w:t>墙体砌筑预制块安装：墙面砌筑时在电箱安装位将预制块预留墙体内。</w:t>
      </w:r>
    </w:p>
    <w:p>
      <w:pPr>
        <w:numPr>
          <w:ilvl w:val="1"/>
          <w:numId w:val="91"/>
        </w:numPr>
        <w:spacing w:before="120" w:beforeLines="50" w:afterLines="50"/>
        <w:ind w:left="425" w:leftChars="177" w:hanging="423"/>
        <w:rPr>
          <w:rFonts w:asciiTheme="minorEastAsia" w:hAnsiTheme="minorEastAsia"/>
          <w:bCs/>
          <w:color w:val="auto"/>
          <w:highlight w:val="none"/>
        </w:rPr>
      </w:pPr>
      <w:r>
        <w:rPr>
          <w:rFonts w:hint="eastAsia" w:asciiTheme="minorEastAsia" w:hAnsiTheme="minorEastAsia"/>
          <w:bCs/>
          <w:color w:val="auto"/>
          <w:highlight w:val="none"/>
        </w:rPr>
        <w:t>安装电箱底盒：砌筑完成粉刷灰饼验收后，使用砂浆在预制块洞口处固定电箱底盒（电箱上下应将电线管洞预先开好）。</w:t>
      </w:r>
    </w:p>
    <w:p>
      <w:pPr>
        <w:numPr>
          <w:ilvl w:val="1"/>
          <w:numId w:val="91"/>
        </w:numPr>
        <w:spacing w:before="120" w:beforeLines="50" w:afterLines="50"/>
        <w:ind w:left="425" w:leftChars="177" w:hanging="423"/>
        <w:rPr>
          <w:rFonts w:asciiTheme="minorEastAsia" w:hAnsiTheme="minorEastAsia"/>
          <w:bCs/>
          <w:color w:val="auto"/>
          <w:highlight w:val="none"/>
        </w:rPr>
      </w:pPr>
      <w:r>
        <w:rPr>
          <w:rFonts w:hint="eastAsia" w:asciiTheme="minorEastAsia" w:hAnsiTheme="minorEastAsia"/>
          <w:bCs/>
          <w:color w:val="auto"/>
          <w:highlight w:val="none"/>
        </w:rPr>
        <w:t>电箱底盒保护：线盒周边使用砂浆倒</w:t>
      </w:r>
      <w:r>
        <w:rPr>
          <w:rFonts w:asciiTheme="minorEastAsia" w:hAnsiTheme="minorEastAsia"/>
          <w:bCs/>
          <w:color w:val="auto"/>
          <w:highlight w:val="none"/>
        </w:rPr>
        <w:t>45°坡口，箱体配管穿引线，下方管口堵口，箱体洞口用硬纸板(或塑料板)封闭。</w:t>
      </w:r>
    </w:p>
    <w:p>
      <w:pPr>
        <w:numPr>
          <w:ilvl w:val="0"/>
          <w:numId w:val="92"/>
        </w:numPr>
        <w:spacing w:before="120" w:beforeLines="50" w:after="120"/>
        <w:rPr>
          <w:rFonts w:asciiTheme="minorEastAsia" w:hAnsiTheme="minorEastAsia"/>
          <w:color w:val="auto"/>
          <w:highlight w:val="none"/>
        </w:rPr>
      </w:pPr>
      <w:r>
        <w:rPr>
          <w:rFonts w:hint="eastAsia" w:asciiTheme="minorEastAsia" w:hAnsiTheme="minorEastAsia"/>
          <w:color w:val="auto"/>
          <w:highlight w:val="none"/>
        </w:rPr>
        <w:t>砌体墙面、混凝土</w:t>
      </w:r>
      <w:r>
        <w:rPr>
          <w:rFonts w:asciiTheme="minorEastAsia" w:hAnsiTheme="minorEastAsia"/>
          <w:color w:val="auto"/>
          <w:highlight w:val="none"/>
        </w:rPr>
        <w:t>墙面</w:t>
      </w:r>
      <w:r>
        <w:rPr>
          <w:rFonts w:hint="eastAsia" w:asciiTheme="minorEastAsia" w:hAnsiTheme="minorEastAsia"/>
          <w:color w:val="auto"/>
          <w:highlight w:val="none"/>
        </w:rPr>
        <w:t>管线暗埋、后开槽与</w:t>
      </w:r>
      <w:r>
        <w:rPr>
          <w:rFonts w:asciiTheme="minorEastAsia" w:hAnsiTheme="minorEastAsia"/>
          <w:color w:val="auto"/>
          <w:highlight w:val="none"/>
        </w:rPr>
        <w:t>混凝土留洞技术措施及</w:t>
      </w:r>
      <w:r>
        <w:rPr>
          <w:rFonts w:hint="eastAsia" w:asciiTheme="minorEastAsia" w:hAnsiTheme="minorEastAsia"/>
          <w:color w:val="auto"/>
          <w:highlight w:val="none"/>
        </w:rPr>
        <w:t>注意事项</w:t>
      </w:r>
    </w:p>
    <w:p>
      <w:pPr>
        <w:numPr>
          <w:ilvl w:val="1"/>
          <w:numId w:val="93"/>
        </w:numPr>
        <w:bidi w:val="0"/>
        <w:rPr>
          <w:rFonts w:hint="eastAsia"/>
          <w:color w:val="auto"/>
          <w:highlight w:val="none"/>
        </w:rPr>
      </w:pPr>
      <w:r>
        <w:rPr>
          <w:rFonts w:hint="eastAsia"/>
          <w:color w:val="auto"/>
          <w:highlight w:val="none"/>
        </w:rPr>
        <w:t>线管管槽定位：根据精装图纸，确定线盒及配管位置、放线、画线；</w:t>
      </w:r>
    </w:p>
    <w:p>
      <w:pPr>
        <w:numPr>
          <w:ilvl w:val="1"/>
          <w:numId w:val="93"/>
        </w:numPr>
        <w:bidi w:val="0"/>
        <w:rPr>
          <w:color w:val="auto"/>
          <w:highlight w:val="none"/>
        </w:rPr>
      </w:pPr>
      <w:r>
        <w:rPr>
          <w:rFonts w:hint="eastAsia"/>
          <w:color w:val="auto"/>
          <w:highlight w:val="none"/>
        </w:rPr>
        <w:t>切槽：使用多片切槽机切槽，用凿子剔出管槽里多余的砖渣</w:t>
      </w:r>
      <w:r>
        <w:rPr>
          <w:color w:val="auto"/>
          <w:highlight w:val="none"/>
        </w:rPr>
        <w:t>,</w:t>
      </w:r>
      <w:r>
        <w:rPr>
          <w:rFonts w:hint="eastAsia"/>
          <w:color w:val="auto"/>
          <w:highlight w:val="none"/>
        </w:rPr>
        <w:t>管槽宽度比管的外径大</w:t>
      </w:r>
      <w:r>
        <w:rPr>
          <w:color w:val="auto"/>
          <w:highlight w:val="none"/>
        </w:rPr>
        <w:t>10mm，槽深为D+15mm。墙面水平开槽的长度不得大于50cm；</w:t>
      </w:r>
    </w:p>
    <w:p>
      <w:pPr>
        <w:numPr>
          <w:ilvl w:val="1"/>
          <w:numId w:val="93"/>
        </w:numPr>
        <w:bidi w:val="0"/>
        <w:rPr>
          <w:color w:val="auto"/>
          <w:highlight w:val="none"/>
        </w:rPr>
      </w:pPr>
      <w:r>
        <w:rPr>
          <w:rFonts w:hint="eastAsia"/>
          <w:color w:val="auto"/>
          <w:highlight w:val="none"/>
        </w:rPr>
        <w:t>敷设线管及固定线管：放入槽后，每隔</w:t>
      </w:r>
      <w:r>
        <w:rPr>
          <w:color w:val="auto"/>
          <w:highlight w:val="none"/>
        </w:rPr>
        <w:t>0.5m</w:t>
      </w:r>
      <w:r>
        <w:rPr>
          <w:rFonts w:hint="eastAsia"/>
          <w:color w:val="auto"/>
          <w:highlight w:val="none"/>
        </w:rPr>
        <w:t>须用铁钉固定。首先用水浇湿管槽，再用高一标号水泥砂浆修补（砂浆强度等级不低于</w:t>
      </w:r>
      <w:r>
        <w:rPr>
          <w:color w:val="auto"/>
          <w:highlight w:val="none"/>
        </w:rPr>
        <w:t>M10，两</w:t>
      </w:r>
      <w:r>
        <w:rPr>
          <w:rFonts w:hint="eastAsia"/>
          <w:color w:val="auto"/>
          <w:highlight w:val="none"/>
        </w:rPr>
        <w:t>根管槽以下）；三根配管以上用细石混凝土补槽，并挂玻纤网（玻纤网宽度超过管道两边不小于</w:t>
      </w:r>
      <w:r>
        <w:rPr>
          <w:color w:val="auto"/>
          <w:highlight w:val="none"/>
        </w:rPr>
        <w:t xml:space="preserve">10cm）；最后由土建统一面层抹灰,并排管间距h≥15mm，D为线管直径。 </w:t>
      </w:r>
    </w:p>
    <w:p>
      <w:pPr>
        <w:spacing w:before="120" w:beforeLines="50" w:after="120" w:afterLines="50"/>
        <w:jc w:val="center"/>
        <w:rPr>
          <w:rFonts w:asciiTheme="minorEastAsia" w:hAnsiTheme="minorEastAsia"/>
          <w:color w:val="auto"/>
          <w:highlight w:val="none"/>
        </w:rPr>
      </w:pPr>
      <w:r>
        <w:rPr>
          <w:color w:val="auto"/>
          <w:highlight w:val="none"/>
        </w:rPr>
        <w:drawing>
          <wp:inline distT="0" distB="0" distL="0" distR="0">
            <wp:extent cx="4032885" cy="1884680"/>
            <wp:effectExtent l="0" t="0" r="5715" b="127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128">
                      <a:extLst>
                        <a:ext uri="{28A0092B-C50C-407E-A947-70E740481C1C}">
                          <a14:useLocalDpi xmlns:a14="http://schemas.microsoft.com/office/drawing/2010/main" val="0"/>
                        </a:ext>
                      </a:extLst>
                    </a:blip>
                    <a:srcRect t="9040" b="8898"/>
                    <a:stretch>
                      <a:fillRect/>
                    </a:stretch>
                  </pic:blipFill>
                  <pic:spPr>
                    <a:xfrm>
                      <a:off x="0" y="0"/>
                      <a:ext cx="4035533" cy="1885913"/>
                    </a:xfrm>
                    <a:prstGeom prst="rect">
                      <a:avLst/>
                    </a:prstGeom>
                    <a:noFill/>
                    <a:ln>
                      <a:noFill/>
                    </a:ln>
                  </pic:spPr>
                </pic:pic>
              </a:graphicData>
            </a:graphic>
          </wp:inline>
        </w:drawing>
      </w:r>
    </w:p>
    <w:p>
      <w:pPr>
        <w:numPr>
          <w:ilvl w:val="1"/>
          <w:numId w:val="93"/>
        </w:numPr>
        <w:bidi w:val="0"/>
        <w:rPr>
          <w:color w:val="auto"/>
          <w:highlight w:val="none"/>
        </w:rPr>
      </w:pPr>
      <w:r>
        <w:rPr>
          <w:rFonts w:hint="eastAsia"/>
          <w:color w:val="auto"/>
          <w:highlight w:val="none"/>
        </w:rPr>
        <w:t>注意事项</w:t>
      </w:r>
    </w:p>
    <w:p>
      <w:pPr>
        <w:numPr>
          <w:ilvl w:val="0"/>
          <w:numId w:val="94"/>
        </w:numPr>
        <w:bidi w:val="0"/>
        <w:ind w:left="900" w:leftChars="0"/>
        <w:rPr>
          <w:color w:val="auto"/>
          <w:highlight w:val="none"/>
        </w:rPr>
      </w:pPr>
      <w:r>
        <w:rPr>
          <w:rFonts w:hint="eastAsia"/>
          <w:color w:val="auto"/>
          <w:highlight w:val="none"/>
        </w:rPr>
        <w:t>禁止现场抹灰墙面存在后开槽：在土建施工阶段加强与土建、精装修施工图纸复核，将精装修点位预留到位；</w:t>
      </w:r>
      <w:r>
        <w:rPr>
          <w:color w:val="auto"/>
          <w:highlight w:val="none"/>
        </w:rPr>
        <w:t>加强现场施工工序的控制</w:t>
      </w:r>
      <w:r>
        <w:rPr>
          <w:rFonts w:hint="eastAsia"/>
          <w:color w:val="auto"/>
          <w:highlight w:val="none"/>
        </w:rPr>
        <w:t>，</w:t>
      </w:r>
      <w:r>
        <w:rPr>
          <w:color w:val="auto"/>
          <w:highlight w:val="none"/>
        </w:rPr>
        <w:t>管线开槽</w:t>
      </w:r>
      <w:r>
        <w:rPr>
          <w:rFonts w:hint="eastAsia"/>
          <w:color w:val="auto"/>
          <w:highlight w:val="none"/>
        </w:rPr>
        <w:t>、</w:t>
      </w:r>
      <w:r>
        <w:rPr>
          <w:color w:val="auto"/>
          <w:highlight w:val="none"/>
        </w:rPr>
        <w:t>封堵应在砌筑阶段施工完成</w:t>
      </w:r>
      <w:r>
        <w:rPr>
          <w:rFonts w:hint="eastAsia"/>
          <w:color w:val="auto"/>
          <w:highlight w:val="none"/>
        </w:rPr>
        <w:t>。</w:t>
      </w:r>
    </w:p>
    <w:p>
      <w:pPr>
        <w:numPr>
          <w:ilvl w:val="0"/>
          <w:numId w:val="94"/>
        </w:numPr>
        <w:bidi w:val="0"/>
        <w:ind w:left="900" w:leftChars="0"/>
        <w:rPr>
          <w:color w:val="auto"/>
          <w:highlight w:val="none"/>
        </w:rPr>
      </w:pPr>
      <w:r>
        <w:rPr>
          <w:rFonts w:hint="eastAsia"/>
          <w:color w:val="auto"/>
          <w:highlight w:val="none"/>
        </w:rPr>
        <w:t>禁止混凝土墙面管线暗埋后开槽：</w:t>
      </w:r>
      <w:r>
        <w:rPr>
          <w:color w:val="auto"/>
          <w:highlight w:val="none"/>
        </w:rPr>
        <w:t>在</w:t>
      </w:r>
      <w:r>
        <w:rPr>
          <w:rFonts w:hint="eastAsia"/>
          <w:color w:val="auto"/>
          <w:highlight w:val="none"/>
        </w:rPr>
        <w:t>结构施工阶段</w:t>
      </w:r>
      <w:r>
        <w:rPr>
          <w:color w:val="auto"/>
          <w:highlight w:val="none"/>
        </w:rPr>
        <w:t>，加强施工前的图纸会审</w:t>
      </w:r>
      <w:r>
        <w:rPr>
          <w:rFonts w:hint="eastAsia"/>
          <w:color w:val="auto"/>
          <w:highlight w:val="none"/>
        </w:rPr>
        <w:t>，</w:t>
      </w:r>
      <w:r>
        <w:rPr>
          <w:color w:val="auto"/>
          <w:highlight w:val="none"/>
        </w:rPr>
        <w:t>复核水电点位</w:t>
      </w:r>
      <w:r>
        <w:rPr>
          <w:rFonts w:hint="eastAsia"/>
          <w:color w:val="auto"/>
          <w:highlight w:val="none"/>
        </w:rPr>
        <w:t>，将水电点位定位准确，合理布置管线，</w:t>
      </w:r>
      <w:r>
        <w:rPr>
          <w:color w:val="auto"/>
          <w:highlight w:val="none"/>
        </w:rPr>
        <w:t>预留管槽</w:t>
      </w:r>
      <w:r>
        <w:rPr>
          <w:rFonts w:hint="eastAsia"/>
          <w:color w:val="auto"/>
          <w:highlight w:val="none"/>
        </w:rPr>
        <w:t>，</w:t>
      </w:r>
      <w:r>
        <w:rPr>
          <w:color w:val="auto"/>
          <w:highlight w:val="none"/>
        </w:rPr>
        <w:t>避免结构后开槽</w:t>
      </w:r>
      <w:r>
        <w:rPr>
          <w:rFonts w:hint="eastAsia"/>
          <w:color w:val="auto"/>
          <w:highlight w:val="none"/>
        </w:rPr>
        <w:t>。</w:t>
      </w:r>
    </w:p>
    <w:p>
      <w:pPr>
        <w:numPr>
          <w:ilvl w:val="0"/>
          <w:numId w:val="94"/>
        </w:numPr>
        <w:bidi w:val="0"/>
        <w:ind w:left="900" w:leftChars="0"/>
        <w:rPr>
          <w:color w:val="auto"/>
          <w:highlight w:val="none"/>
        </w:rPr>
      </w:pPr>
      <w:r>
        <w:rPr>
          <w:rFonts w:hint="eastAsia"/>
          <w:color w:val="auto"/>
          <w:highlight w:val="none"/>
        </w:rPr>
        <w:t>混凝土留洞：加强施工前的图纸会审，</w:t>
      </w:r>
      <w:r>
        <w:rPr>
          <w:color w:val="auto"/>
          <w:highlight w:val="none"/>
        </w:rPr>
        <w:t>复核机电施工点位</w:t>
      </w:r>
      <w:r>
        <w:rPr>
          <w:rFonts w:hint="eastAsia"/>
          <w:color w:val="auto"/>
          <w:highlight w:val="none"/>
        </w:rPr>
        <w:t>，将预留孔洞定位准确，避免结构后开洞、扩孔破坏钢筋，保证结构安全。</w:t>
      </w:r>
    </w:p>
    <w:p>
      <w:pPr>
        <w:pStyle w:val="4"/>
        <w:bidi w:val="0"/>
        <w:rPr>
          <w:color w:val="auto"/>
          <w:highlight w:val="none"/>
        </w:rPr>
      </w:pPr>
      <w:r>
        <w:rPr>
          <w:rFonts w:hint="eastAsia"/>
          <w:color w:val="auto"/>
          <w:highlight w:val="none"/>
        </w:rPr>
        <w:t>给排水工程</w:t>
      </w:r>
    </w:p>
    <w:p>
      <w:pPr>
        <w:bidi w:val="0"/>
        <w:rPr>
          <w:color w:val="auto"/>
          <w:highlight w:val="none"/>
        </w:rPr>
      </w:pPr>
      <w:r>
        <w:rPr>
          <w:color w:val="auto"/>
          <w:highlight w:val="none"/>
        </w:rPr>
        <w:t>套管比立管大2个管号，套管间隙10～20mm为宜，套管高出装饰面层20～30mm，多水房间时应为50mm，穿屋面应为1000mm。套管安装前内外刷防锈漆。调整套管与管道的同心度，套管与板底平齐，管道安装就位后，用沥青油膏或膨胀水泥砂浆嵌缝。</w:t>
      </w:r>
    </w:p>
    <w:p>
      <w:pPr>
        <w:pStyle w:val="5"/>
        <w:bidi w:val="0"/>
        <w:rPr>
          <w:color w:val="auto"/>
          <w:highlight w:val="none"/>
        </w:rPr>
      </w:pPr>
      <w:r>
        <w:rPr>
          <w:rFonts w:hint="eastAsia"/>
          <w:color w:val="auto"/>
          <w:highlight w:val="none"/>
        </w:rPr>
        <w:t>给水系统</w:t>
      </w:r>
      <w:r>
        <w:rPr>
          <w:color w:val="auto"/>
          <w:highlight w:val="none"/>
        </w:rPr>
        <w:t>–</w:t>
      </w:r>
      <w:r>
        <w:rPr>
          <w:rFonts w:hint="eastAsia"/>
          <w:color w:val="auto"/>
          <w:highlight w:val="none"/>
        </w:rPr>
        <w:t>衬塑钢管安装</w:t>
      </w:r>
    </w:p>
    <w:p>
      <w:pPr>
        <w:bidi w:val="0"/>
        <w:rPr>
          <w:color w:val="auto"/>
          <w:highlight w:val="none"/>
        </w:rPr>
      </w:pPr>
      <w:r>
        <w:rPr>
          <w:rFonts w:hint="eastAsia"/>
          <w:color w:val="auto"/>
          <w:highlight w:val="none"/>
        </w:rPr>
        <w:t>总承包人需审核施工图纸及其它技术文件是否齐全，图纸深度是否满足施工要求；管道布置空间与建筑物及其它专业管道是否有交叉和矛盾，与设备、阀件相连接的口径、方位、坐标、标高是否相符；检查土建施工预留槽洞、套管位置是否正确。</w:t>
      </w:r>
    </w:p>
    <w:p>
      <w:pPr>
        <w:numPr>
          <w:ilvl w:val="1"/>
          <w:numId w:val="95"/>
        </w:numPr>
        <w:bidi w:val="0"/>
        <w:rPr>
          <w:rFonts w:hint="eastAsia"/>
          <w:color w:val="auto"/>
          <w:highlight w:val="none"/>
        </w:rPr>
      </w:pPr>
      <w:r>
        <w:rPr>
          <w:rFonts w:hint="eastAsia"/>
          <w:color w:val="auto"/>
          <w:highlight w:val="none"/>
        </w:rPr>
        <w:t>管材切割：应使用电动带锯、高速电动圆锯机等垂直切割，严防切管衬层变形、损坏。</w:t>
      </w:r>
    </w:p>
    <w:p>
      <w:pPr>
        <w:numPr>
          <w:ilvl w:val="1"/>
          <w:numId w:val="95"/>
        </w:numPr>
        <w:bidi w:val="0"/>
        <w:rPr>
          <w:color w:val="auto"/>
          <w:highlight w:val="none"/>
        </w:rPr>
      </w:pPr>
      <w:r>
        <w:rPr>
          <w:rFonts w:hint="eastAsia"/>
          <w:color w:val="auto"/>
          <w:highlight w:val="none"/>
        </w:rPr>
        <w:t>加工管螺纹：准备加工螺纹的管段，外圆必须正常（不椭圆、无损伤），使用套丝机或手工管子铰板加工螺纹。加工螺纹后，要用螺纹规鉴定是否标准。</w:t>
      </w:r>
    </w:p>
    <w:p>
      <w:pPr>
        <w:numPr>
          <w:ilvl w:val="1"/>
          <w:numId w:val="95"/>
        </w:numPr>
        <w:bidi w:val="0"/>
        <w:rPr>
          <w:color w:val="auto"/>
          <w:highlight w:val="none"/>
        </w:rPr>
      </w:pPr>
      <w:r>
        <w:rPr>
          <w:rFonts w:hint="eastAsia"/>
          <w:color w:val="auto"/>
          <w:highlight w:val="none"/>
        </w:rPr>
        <w:t>里衬倒斜角：为了容易导入管件中的芯子夹层，用刮刀切去衬层厚度的一半；倒角处必须保留衬层厚度的</w:t>
      </w:r>
      <w:r>
        <w:rPr>
          <w:color w:val="auto"/>
          <w:highlight w:val="none"/>
        </w:rPr>
        <w:t>1/2。</w:t>
      </w:r>
    </w:p>
    <w:p>
      <w:pPr>
        <w:numPr>
          <w:ilvl w:val="1"/>
          <w:numId w:val="95"/>
        </w:numPr>
        <w:bidi w:val="0"/>
        <w:rPr>
          <w:color w:val="auto"/>
          <w:highlight w:val="none"/>
        </w:rPr>
      </w:pPr>
      <w:r>
        <w:rPr>
          <w:rFonts w:hint="eastAsia"/>
          <w:color w:val="auto"/>
          <w:highlight w:val="none"/>
        </w:rPr>
        <w:t>管道安装：用虎头钳子夹紧管子，装上管件，用手拧紧。</w:t>
      </w:r>
    </w:p>
    <w:p>
      <w:pPr>
        <w:numPr>
          <w:ilvl w:val="1"/>
          <w:numId w:val="95"/>
        </w:numPr>
        <w:bidi w:val="0"/>
        <w:rPr>
          <w:color w:val="auto"/>
          <w:highlight w:val="none"/>
        </w:rPr>
      </w:pPr>
      <w:r>
        <w:rPr>
          <w:rFonts w:hint="eastAsia"/>
          <w:color w:val="auto"/>
          <w:highlight w:val="none"/>
        </w:rPr>
        <w:t>管道支吊架安装：所有管道支吊架应为钢制，制作完成后进行防锈刷漆处理。在阀门及大口径管道上需支撑的配</w:t>
      </w:r>
      <w:r>
        <w:rPr>
          <w:color w:val="auto"/>
          <w:highlight w:val="none"/>
        </w:rPr>
        <w:t>/附件位置均应增设支吊架，以防止管道受力过大。</w:t>
      </w:r>
    </w:p>
    <w:p>
      <w:pPr>
        <w:pStyle w:val="5"/>
        <w:bidi w:val="0"/>
        <w:ind w:left="253"/>
        <w:rPr>
          <w:color w:val="auto"/>
          <w:highlight w:val="none"/>
        </w:rPr>
      </w:pPr>
      <w:r>
        <w:rPr>
          <w:rFonts w:hint="eastAsia"/>
          <w:color w:val="auto"/>
          <w:highlight w:val="none"/>
        </w:rPr>
        <w:t>给水系统</w:t>
      </w:r>
      <w:r>
        <w:rPr>
          <w:color w:val="auto"/>
          <w:highlight w:val="none"/>
        </w:rPr>
        <w:t>–PPR管道安装</w:t>
      </w:r>
    </w:p>
    <w:p>
      <w:pPr>
        <w:numPr>
          <w:ilvl w:val="1"/>
          <w:numId w:val="96"/>
        </w:numPr>
        <w:bidi w:val="0"/>
        <w:rPr>
          <w:color w:val="auto"/>
          <w:highlight w:val="none"/>
        </w:rPr>
      </w:pPr>
      <w:r>
        <w:rPr>
          <w:rFonts w:hint="eastAsia"/>
          <w:color w:val="auto"/>
          <w:highlight w:val="none"/>
        </w:rPr>
        <w:t>材料验收</w:t>
      </w:r>
    </w:p>
    <w:p>
      <w:pPr>
        <w:numPr>
          <w:ilvl w:val="0"/>
          <w:numId w:val="97"/>
        </w:numPr>
        <w:bidi w:val="0"/>
        <w:ind w:left="900" w:leftChars="0"/>
        <w:rPr>
          <w:color w:val="auto"/>
          <w:highlight w:val="none"/>
        </w:rPr>
      </w:pPr>
      <w:r>
        <w:rPr>
          <w:rFonts w:hint="eastAsia"/>
          <w:color w:val="auto"/>
          <w:highlight w:val="none"/>
        </w:rPr>
        <w:t>压力等级、外径、壁厚符合设计文件及规范要求，合格证等质量证明文件齐全。</w:t>
      </w:r>
    </w:p>
    <w:p>
      <w:pPr>
        <w:numPr>
          <w:ilvl w:val="0"/>
          <w:numId w:val="97"/>
        </w:numPr>
        <w:bidi w:val="0"/>
        <w:ind w:left="900" w:leftChars="0"/>
        <w:rPr>
          <w:color w:val="auto"/>
          <w:highlight w:val="none"/>
        </w:rPr>
      </w:pPr>
      <w:r>
        <w:rPr>
          <w:rFonts w:hint="eastAsia"/>
          <w:color w:val="auto"/>
          <w:highlight w:val="none"/>
        </w:rPr>
        <w:t>管材和管件的内外壁应光滑平整，无气泡、裂纹、脱皮和明显的痕纹、凹陷，色泽应基本一致。</w:t>
      </w:r>
    </w:p>
    <w:p>
      <w:pPr>
        <w:numPr>
          <w:ilvl w:val="0"/>
          <w:numId w:val="97"/>
        </w:numPr>
        <w:bidi w:val="0"/>
        <w:ind w:left="900" w:leftChars="0"/>
        <w:rPr>
          <w:color w:val="auto"/>
          <w:highlight w:val="none"/>
        </w:rPr>
      </w:pPr>
      <w:r>
        <w:rPr>
          <w:rFonts w:hint="eastAsia"/>
          <w:color w:val="auto"/>
          <w:highlight w:val="none"/>
        </w:rPr>
        <w:t>管材的断面应垂直于管材的轴线。管件应完整、无缺损、无变形。</w:t>
      </w:r>
    </w:p>
    <w:p>
      <w:pPr>
        <w:numPr>
          <w:ilvl w:val="0"/>
          <w:numId w:val="97"/>
        </w:numPr>
        <w:bidi w:val="0"/>
        <w:ind w:left="900" w:leftChars="0"/>
        <w:rPr>
          <w:color w:val="auto"/>
          <w:highlight w:val="none"/>
        </w:rPr>
      </w:pPr>
      <w:r>
        <w:rPr>
          <w:rFonts w:hint="eastAsia"/>
          <w:color w:val="auto"/>
          <w:highlight w:val="none"/>
        </w:rPr>
        <w:t>搬运管材和管件时，应小心轻放，避免油污，严禁剧烈撞击，与尖锐物触碰和抛、摔、拖。</w:t>
      </w:r>
    </w:p>
    <w:p>
      <w:pPr>
        <w:numPr>
          <w:ilvl w:val="0"/>
          <w:numId w:val="97"/>
        </w:numPr>
        <w:bidi w:val="0"/>
        <w:ind w:left="900" w:leftChars="0"/>
        <w:rPr>
          <w:color w:val="auto"/>
          <w:highlight w:val="none"/>
        </w:rPr>
      </w:pPr>
      <w:r>
        <w:rPr>
          <w:rFonts w:hint="eastAsia"/>
          <w:color w:val="auto"/>
          <w:highlight w:val="none"/>
        </w:rPr>
        <w:t>现场设置材料架，具有遮阳措施，管件和管材按标签平整堆放，堆放高度不可高于</w:t>
      </w:r>
      <w:r>
        <w:rPr>
          <w:color w:val="auto"/>
          <w:highlight w:val="none"/>
        </w:rPr>
        <w:t>1.5m。</w:t>
      </w:r>
    </w:p>
    <w:p>
      <w:pPr>
        <w:numPr>
          <w:ilvl w:val="0"/>
          <w:numId w:val="97"/>
        </w:numPr>
        <w:bidi w:val="0"/>
        <w:ind w:left="900" w:leftChars="0"/>
        <w:rPr>
          <w:color w:val="auto"/>
          <w:highlight w:val="none"/>
        </w:rPr>
      </w:pPr>
      <w:r>
        <w:rPr>
          <w:rFonts w:hint="eastAsia"/>
          <w:color w:val="auto"/>
          <w:highlight w:val="none"/>
        </w:rPr>
        <w:t>支吊架施工</w:t>
      </w:r>
    </w:p>
    <w:p>
      <w:pPr>
        <w:numPr>
          <w:ilvl w:val="0"/>
          <w:numId w:val="97"/>
        </w:numPr>
        <w:bidi w:val="0"/>
        <w:ind w:left="900" w:leftChars="0"/>
        <w:rPr>
          <w:color w:val="auto"/>
          <w:highlight w:val="none"/>
        </w:rPr>
      </w:pPr>
      <w:r>
        <w:rPr>
          <w:rFonts w:hint="eastAsia"/>
          <w:color w:val="auto"/>
          <w:highlight w:val="none"/>
        </w:rPr>
        <w:t>支架间距、型材规格符合相关规范、图集要求。</w:t>
      </w:r>
    </w:p>
    <w:p>
      <w:pPr>
        <w:numPr>
          <w:ilvl w:val="0"/>
          <w:numId w:val="97"/>
        </w:numPr>
        <w:bidi w:val="0"/>
        <w:ind w:left="900" w:leftChars="0"/>
        <w:rPr>
          <w:color w:val="auto"/>
          <w:highlight w:val="none"/>
        </w:rPr>
      </w:pPr>
      <w:r>
        <w:rPr>
          <w:rFonts w:hint="eastAsia"/>
          <w:color w:val="auto"/>
          <w:highlight w:val="none"/>
        </w:rPr>
        <w:t>分支管采用专用管卡。</w:t>
      </w:r>
    </w:p>
    <w:p>
      <w:pPr>
        <w:numPr>
          <w:ilvl w:val="0"/>
          <w:numId w:val="97"/>
        </w:numPr>
        <w:bidi w:val="0"/>
        <w:ind w:left="900" w:leftChars="0"/>
        <w:rPr>
          <w:color w:val="auto"/>
          <w:highlight w:val="none"/>
        </w:rPr>
      </w:pPr>
      <w:r>
        <w:rPr>
          <w:rFonts w:hint="eastAsia"/>
          <w:color w:val="auto"/>
          <w:highlight w:val="none"/>
        </w:rPr>
        <w:t>主干管（联合管道）采用型钢支架，支吊架除锈、刷漆；交付时支吊架漆面光洁、无锈蚀，型钢支吊架倒角。</w:t>
      </w:r>
    </w:p>
    <w:p>
      <w:pPr>
        <w:numPr>
          <w:ilvl w:val="0"/>
          <w:numId w:val="97"/>
        </w:numPr>
        <w:bidi w:val="0"/>
        <w:ind w:left="900" w:leftChars="0"/>
        <w:rPr>
          <w:color w:val="auto"/>
          <w:highlight w:val="none"/>
        </w:rPr>
      </w:pPr>
      <w:r>
        <w:rPr>
          <w:rFonts w:hint="eastAsia"/>
          <w:color w:val="auto"/>
          <w:highlight w:val="none"/>
        </w:rPr>
        <w:t>采用金属管卡时，需加设橡胶垫片。</w:t>
      </w:r>
    </w:p>
    <w:p>
      <w:pPr>
        <w:numPr>
          <w:ilvl w:val="1"/>
          <w:numId w:val="96"/>
        </w:numPr>
        <w:bidi w:val="0"/>
        <w:rPr>
          <w:color w:val="auto"/>
          <w:highlight w:val="none"/>
        </w:rPr>
      </w:pPr>
      <w:r>
        <w:rPr>
          <w:rFonts w:hint="eastAsia"/>
          <w:color w:val="auto"/>
          <w:highlight w:val="none"/>
        </w:rPr>
        <w:t>管道及管件安装</w:t>
      </w:r>
    </w:p>
    <w:p>
      <w:pPr>
        <w:numPr>
          <w:ilvl w:val="0"/>
          <w:numId w:val="98"/>
        </w:numPr>
        <w:bidi w:val="0"/>
        <w:ind w:left="900" w:leftChars="0"/>
        <w:rPr>
          <w:color w:val="auto"/>
          <w:highlight w:val="none"/>
        </w:rPr>
      </w:pPr>
      <w:r>
        <w:rPr>
          <w:rFonts w:hint="eastAsia"/>
          <w:color w:val="auto"/>
          <w:highlight w:val="none"/>
        </w:rPr>
        <w:t>管道不得穿越电气设备间、风道、电梯井、排水设施。</w:t>
      </w:r>
    </w:p>
    <w:p>
      <w:pPr>
        <w:numPr>
          <w:ilvl w:val="0"/>
          <w:numId w:val="98"/>
        </w:numPr>
        <w:bidi w:val="0"/>
        <w:ind w:left="900" w:leftChars="0"/>
        <w:rPr>
          <w:color w:val="auto"/>
          <w:highlight w:val="none"/>
        </w:rPr>
      </w:pPr>
      <w:r>
        <w:rPr>
          <w:rFonts w:hint="eastAsia"/>
          <w:color w:val="auto"/>
          <w:highlight w:val="none"/>
        </w:rPr>
        <w:t>横干管与墙、地沟净距≥</w:t>
      </w:r>
      <w:r>
        <w:rPr>
          <w:color w:val="auto"/>
          <w:highlight w:val="none"/>
        </w:rPr>
        <w:t>100mm，与梁、柱≥50mm（无接头）。</w:t>
      </w:r>
    </w:p>
    <w:p>
      <w:pPr>
        <w:numPr>
          <w:ilvl w:val="0"/>
          <w:numId w:val="98"/>
        </w:numPr>
        <w:bidi w:val="0"/>
        <w:ind w:left="900" w:leftChars="0"/>
        <w:rPr>
          <w:color w:val="auto"/>
          <w:highlight w:val="none"/>
        </w:rPr>
      </w:pPr>
      <w:r>
        <w:rPr>
          <w:rFonts w:hint="eastAsia"/>
          <w:color w:val="auto"/>
          <w:highlight w:val="none"/>
        </w:rPr>
        <w:t>立管管中心距柱≥</w:t>
      </w:r>
      <w:r>
        <w:rPr>
          <w:color w:val="auto"/>
          <w:highlight w:val="none"/>
        </w:rPr>
        <w:t>50mm，根据管径大小距墙面25mm～60mm。</w:t>
      </w:r>
    </w:p>
    <w:p>
      <w:pPr>
        <w:numPr>
          <w:ilvl w:val="0"/>
          <w:numId w:val="98"/>
        </w:numPr>
        <w:bidi w:val="0"/>
        <w:ind w:left="900" w:leftChars="0"/>
        <w:rPr>
          <w:color w:val="auto"/>
          <w:highlight w:val="none"/>
        </w:rPr>
      </w:pPr>
      <w:r>
        <w:rPr>
          <w:rFonts w:hint="eastAsia"/>
          <w:color w:val="auto"/>
          <w:highlight w:val="none"/>
        </w:rPr>
        <w:t>管道平行安装时，冷水管位于热水管下方，连接器具时，冷水管位于热水管右侧。</w:t>
      </w:r>
    </w:p>
    <w:p>
      <w:pPr>
        <w:numPr>
          <w:ilvl w:val="0"/>
          <w:numId w:val="98"/>
        </w:numPr>
        <w:bidi w:val="0"/>
        <w:ind w:left="900" w:leftChars="0"/>
        <w:rPr>
          <w:color w:val="auto"/>
          <w:highlight w:val="none"/>
        </w:rPr>
      </w:pPr>
      <w:r>
        <w:rPr>
          <w:rFonts w:hint="eastAsia"/>
          <w:color w:val="auto"/>
          <w:highlight w:val="none"/>
        </w:rPr>
        <w:t>管井内管道安装前，应深化图纸，保证安装及检修要求，合理排布。</w:t>
      </w:r>
    </w:p>
    <w:p>
      <w:pPr>
        <w:numPr>
          <w:ilvl w:val="0"/>
          <w:numId w:val="98"/>
        </w:numPr>
        <w:bidi w:val="0"/>
        <w:ind w:left="900" w:leftChars="0"/>
        <w:rPr>
          <w:color w:val="auto"/>
          <w:highlight w:val="none"/>
        </w:rPr>
      </w:pPr>
      <w:r>
        <w:rPr>
          <w:rFonts w:hint="eastAsia"/>
          <w:color w:val="auto"/>
          <w:highlight w:val="none"/>
        </w:rPr>
        <w:t>与金属管连接时，采用丝扣或法兰连接。</w:t>
      </w:r>
    </w:p>
    <w:p>
      <w:pPr>
        <w:numPr>
          <w:ilvl w:val="0"/>
          <w:numId w:val="98"/>
        </w:numPr>
        <w:bidi w:val="0"/>
        <w:ind w:left="900" w:leftChars="0"/>
        <w:rPr>
          <w:color w:val="auto"/>
          <w:highlight w:val="none"/>
        </w:rPr>
      </w:pPr>
      <w:r>
        <w:rPr>
          <w:rFonts w:hint="eastAsia"/>
          <w:color w:val="auto"/>
          <w:highlight w:val="none"/>
        </w:rPr>
        <w:t>给水引入管应有≥</w:t>
      </w:r>
      <w:r>
        <w:rPr>
          <w:color w:val="auto"/>
          <w:highlight w:val="none"/>
        </w:rPr>
        <w:t>0.3%的坡度坡向室外。</w:t>
      </w:r>
    </w:p>
    <w:p>
      <w:pPr>
        <w:numPr>
          <w:ilvl w:val="0"/>
          <w:numId w:val="98"/>
        </w:numPr>
        <w:bidi w:val="0"/>
        <w:ind w:left="900" w:leftChars="0"/>
        <w:rPr>
          <w:color w:val="auto"/>
          <w:highlight w:val="none"/>
        </w:rPr>
      </w:pPr>
      <w:r>
        <w:rPr>
          <w:rFonts w:hint="eastAsia"/>
          <w:color w:val="auto"/>
          <w:highlight w:val="none"/>
        </w:rPr>
        <w:t>热熔时，量出热熔深度，并做好标记，环境温度＜</w:t>
      </w:r>
      <w:r>
        <w:rPr>
          <w:color w:val="auto"/>
          <w:highlight w:val="none"/>
        </w:rPr>
        <w:t>5℃时，加热时间延长50%。</w:t>
      </w:r>
    </w:p>
    <w:p>
      <w:pPr>
        <w:numPr>
          <w:ilvl w:val="0"/>
          <w:numId w:val="98"/>
        </w:numPr>
        <w:bidi w:val="0"/>
        <w:ind w:left="900" w:leftChars="0"/>
        <w:rPr>
          <w:color w:val="auto"/>
          <w:highlight w:val="none"/>
        </w:rPr>
      </w:pPr>
      <w:r>
        <w:rPr>
          <w:rFonts w:hint="eastAsia"/>
          <w:color w:val="auto"/>
          <w:highlight w:val="none"/>
        </w:rPr>
        <w:t>法兰盘压力等级相同，法兰垂直于管轴线，表面相互平行，橡胶垫无毒、抗老化；螺栓规格相同，方向一致，螺栓应露出螺母</w:t>
      </w:r>
      <w:r>
        <w:rPr>
          <w:color w:val="auto"/>
          <w:highlight w:val="none"/>
        </w:rPr>
        <w:t>2～3扣丝。</w:t>
      </w:r>
    </w:p>
    <w:p>
      <w:pPr>
        <w:numPr>
          <w:ilvl w:val="1"/>
          <w:numId w:val="96"/>
        </w:numPr>
        <w:bidi w:val="0"/>
        <w:rPr>
          <w:color w:val="auto"/>
          <w:highlight w:val="none"/>
        </w:rPr>
      </w:pPr>
      <w:r>
        <w:rPr>
          <w:rFonts w:hint="eastAsia"/>
          <w:color w:val="auto"/>
          <w:highlight w:val="none"/>
        </w:rPr>
        <w:t>管道试压及冲洗</w:t>
      </w:r>
    </w:p>
    <w:p>
      <w:pPr>
        <w:numPr>
          <w:ilvl w:val="0"/>
          <w:numId w:val="99"/>
        </w:numPr>
        <w:bidi w:val="0"/>
        <w:ind w:left="758" w:leftChars="0"/>
        <w:rPr>
          <w:color w:val="auto"/>
          <w:highlight w:val="none"/>
        </w:rPr>
      </w:pPr>
      <w:r>
        <w:rPr>
          <w:rFonts w:hint="eastAsia"/>
          <w:color w:val="auto"/>
          <w:highlight w:val="none"/>
        </w:rPr>
        <w:t>压力试压前，系统管道中阀门位于开启状态，水表采用短支管替代。</w:t>
      </w:r>
    </w:p>
    <w:p>
      <w:pPr>
        <w:numPr>
          <w:ilvl w:val="0"/>
          <w:numId w:val="99"/>
        </w:numPr>
        <w:bidi w:val="0"/>
        <w:ind w:left="758" w:leftChars="0"/>
        <w:rPr>
          <w:color w:val="auto"/>
          <w:highlight w:val="none"/>
        </w:rPr>
      </w:pPr>
      <w:r>
        <w:rPr>
          <w:rFonts w:hint="eastAsia"/>
          <w:color w:val="auto"/>
          <w:highlight w:val="none"/>
        </w:rPr>
        <w:t>热连接的管道，水压试验的时间应在连接完成</w:t>
      </w:r>
      <w:r>
        <w:rPr>
          <w:color w:val="auto"/>
          <w:highlight w:val="none"/>
        </w:rPr>
        <w:t>24h后进行。</w:t>
      </w:r>
    </w:p>
    <w:p>
      <w:pPr>
        <w:numPr>
          <w:ilvl w:val="0"/>
          <w:numId w:val="99"/>
        </w:numPr>
        <w:bidi w:val="0"/>
        <w:ind w:left="758" w:leftChars="0"/>
        <w:rPr>
          <w:color w:val="auto"/>
          <w:highlight w:val="none"/>
        </w:rPr>
      </w:pPr>
      <w:r>
        <w:rPr>
          <w:rFonts w:hint="eastAsia"/>
          <w:color w:val="auto"/>
          <w:highlight w:val="none"/>
        </w:rPr>
        <w:t>水压试验前，试压管道应固定，但接头部位应明露。</w:t>
      </w:r>
    </w:p>
    <w:p>
      <w:pPr>
        <w:numPr>
          <w:ilvl w:val="0"/>
          <w:numId w:val="99"/>
        </w:numPr>
        <w:bidi w:val="0"/>
        <w:ind w:left="758" w:leftChars="0"/>
        <w:rPr>
          <w:color w:val="auto"/>
          <w:highlight w:val="none"/>
        </w:rPr>
      </w:pPr>
      <w:r>
        <w:rPr>
          <w:rFonts w:hint="eastAsia"/>
          <w:color w:val="auto"/>
          <w:highlight w:val="none"/>
        </w:rPr>
        <w:t>管道压力试验合格后，管道余水应采用有组织排放。</w:t>
      </w:r>
    </w:p>
    <w:p>
      <w:pPr>
        <w:numPr>
          <w:ilvl w:val="0"/>
          <w:numId w:val="99"/>
        </w:numPr>
        <w:bidi w:val="0"/>
        <w:ind w:left="758" w:leftChars="0"/>
        <w:rPr>
          <w:color w:val="auto"/>
          <w:highlight w:val="none"/>
        </w:rPr>
      </w:pPr>
      <w:r>
        <w:rPr>
          <w:rFonts w:hint="eastAsia"/>
          <w:color w:val="auto"/>
          <w:highlight w:val="none"/>
        </w:rPr>
        <w:t>在竣工验收前进行冲洗、消毒，冲洗水采用生活饮用水，流速≥</w:t>
      </w:r>
      <w:r>
        <w:rPr>
          <w:color w:val="auto"/>
          <w:highlight w:val="none"/>
        </w:rPr>
        <w:t>1.0m/s。</w:t>
      </w:r>
    </w:p>
    <w:p>
      <w:pPr>
        <w:numPr>
          <w:ilvl w:val="0"/>
          <w:numId w:val="99"/>
        </w:numPr>
        <w:bidi w:val="0"/>
        <w:ind w:left="758" w:leftChars="0"/>
        <w:rPr>
          <w:rFonts w:asciiTheme="minorEastAsia" w:hAnsiTheme="minorEastAsia"/>
          <w:color w:val="auto"/>
          <w:highlight w:val="none"/>
        </w:rPr>
      </w:pPr>
      <w:r>
        <w:rPr>
          <w:rFonts w:hint="eastAsia"/>
          <w:color w:val="auto"/>
          <w:highlight w:val="none"/>
        </w:rPr>
        <w:t>管道的各配水点、受力点以及穿墙支管节点处，使用专用墙装弯头及管</w:t>
      </w:r>
      <w:r>
        <w:rPr>
          <w:rFonts w:hint="eastAsia" w:asciiTheme="minorEastAsia" w:hAnsiTheme="minorEastAsia"/>
          <w:color w:val="auto"/>
          <w:highlight w:val="none"/>
        </w:rPr>
        <w:t>卡固定。</w:t>
      </w:r>
    </w:p>
    <w:p>
      <w:pPr>
        <w:numPr>
          <w:ilvl w:val="1"/>
          <w:numId w:val="96"/>
        </w:numPr>
        <w:bidi w:val="0"/>
        <w:rPr>
          <w:color w:val="auto"/>
          <w:highlight w:val="none"/>
        </w:rPr>
      </w:pPr>
      <w:r>
        <w:rPr>
          <w:rFonts w:hint="eastAsia"/>
          <w:color w:val="auto"/>
          <w:highlight w:val="none"/>
        </w:rPr>
        <w:t>给水</w:t>
      </w:r>
      <w:r>
        <w:rPr>
          <w:color w:val="auto"/>
          <w:highlight w:val="none"/>
        </w:rPr>
        <w:t>PPR</w:t>
      </w:r>
      <w:r>
        <w:rPr>
          <w:rFonts w:hint="eastAsia"/>
          <w:color w:val="auto"/>
          <w:highlight w:val="none"/>
        </w:rPr>
        <w:t>的补偿措施：</w:t>
      </w:r>
    </w:p>
    <w:p>
      <w:pPr>
        <w:bidi w:val="0"/>
        <w:rPr>
          <w:color w:val="auto"/>
          <w:highlight w:val="none"/>
        </w:rPr>
      </w:pPr>
      <w:r>
        <w:rPr>
          <w:rFonts w:hint="eastAsia"/>
          <w:color w:val="auto"/>
          <w:highlight w:val="none"/>
        </w:rPr>
        <w:t>当条件具备时，横管或立管充分利用建筑空间，以Ω形管道作变形补偿，条件不具备时应设置补偿器。</w:t>
      </w:r>
    </w:p>
    <w:p>
      <w:pPr>
        <w:pStyle w:val="5"/>
        <w:bidi w:val="0"/>
        <w:ind w:left="253"/>
        <w:rPr>
          <w:color w:val="auto"/>
          <w:highlight w:val="none"/>
        </w:rPr>
      </w:pPr>
      <w:r>
        <w:rPr>
          <w:rFonts w:hint="eastAsia"/>
          <w:color w:val="auto"/>
          <w:highlight w:val="none"/>
        </w:rPr>
        <w:t>给水系统</w:t>
      </w:r>
      <w:r>
        <w:rPr>
          <w:color w:val="auto"/>
          <w:highlight w:val="none"/>
        </w:rPr>
        <w:t>–不锈钢管安装</w:t>
      </w:r>
    </w:p>
    <w:p>
      <w:pPr>
        <w:numPr>
          <w:ilvl w:val="1"/>
          <w:numId w:val="100"/>
        </w:numPr>
        <w:bidi w:val="0"/>
        <w:rPr>
          <w:color w:val="auto"/>
          <w:highlight w:val="none"/>
        </w:rPr>
      </w:pPr>
      <w:r>
        <w:rPr>
          <w:rFonts w:hint="eastAsia"/>
          <w:color w:val="auto"/>
          <w:highlight w:val="none"/>
        </w:rPr>
        <w:t>管道不得浇注在钢筋混凝土结构层中。</w:t>
      </w:r>
    </w:p>
    <w:p>
      <w:pPr>
        <w:numPr>
          <w:ilvl w:val="1"/>
          <w:numId w:val="100"/>
        </w:numPr>
        <w:bidi w:val="0"/>
        <w:rPr>
          <w:color w:val="auto"/>
          <w:highlight w:val="none"/>
        </w:rPr>
      </w:pPr>
      <w:r>
        <w:rPr>
          <w:rFonts w:hint="eastAsia"/>
          <w:color w:val="auto"/>
          <w:highlight w:val="none"/>
        </w:rPr>
        <w:t>不锈钢管材和管件不宜与水泥、水泥砂浆、混凝土直接接触。为防止氯化物对管道腐蚀，可在管外套塑料膜或缠绕防腐胶带保护。</w:t>
      </w:r>
    </w:p>
    <w:p>
      <w:pPr>
        <w:numPr>
          <w:ilvl w:val="1"/>
          <w:numId w:val="100"/>
        </w:numPr>
        <w:bidi w:val="0"/>
        <w:rPr>
          <w:color w:val="auto"/>
          <w:highlight w:val="none"/>
        </w:rPr>
      </w:pPr>
      <w:r>
        <w:rPr>
          <w:rFonts w:hint="eastAsia"/>
          <w:color w:val="auto"/>
          <w:highlight w:val="none"/>
        </w:rPr>
        <w:t>埋地宜选用覆塑不锈钢管，可避免土壤对管外壁的酸碱腐蚀和硬质杂物对管材表面的损伤。亦可采用其他包扎材料作防腐措施，如外缠两层聚乙烯带，包扎两层沥青漆（或环氧树脂）玻璃纤维塑胶布防腐。</w:t>
      </w:r>
    </w:p>
    <w:p>
      <w:pPr>
        <w:numPr>
          <w:ilvl w:val="1"/>
          <w:numId w:val="100"/>
        </w:numPr>
        <w:bidi w:val="0"/>
        <w:rPr>
          <w:color w:val="auto"/>
          <w:highlight w:val="none"/>
        </w:rPr>
      </w:pPr>
      <w:r>
        <w:rPr>
          <w:rFonts w:hint="eastAsia"/>
          <w:color w:val="auto"/>
          <w:highlight w:val="none"/>
        </w:rPr>
        <w:t>室内不锈钢管宜距楼底面、墙面净距离</w:t>
      </w:r>
      <w:r>
        <w:rPr>
          <w:color w:val="auto"/>
          <w:highlight w:val="none"/>
        </w:rPr>
        <w:t>10～15mm明敷，结合装饰成暗敷，即敷设在顶棚内、吊顶内、装饰板内。</w:t>
      </w:r>
    </w:p>
    <w:p>
      <w:pPr>
        <w:numPr>
          <w:ilvl w:val="1"/>
          <w:numId w:val="100"/>
        </w:numPr>
        <w:bidi w:val="0"/>
        <w:rPr>
          <w:color w:val="auto"/>
          <w:highlight w:val="none"/>
        </w:rPr>
      </w:pPr>
      <w:r>
        <w:rPr>
          <w:rFonts w:hint="eastAsia"/>
          <w:color w:val="auto"/>
          <w:highlight w:val="none"/>
        </w:rPr>
        <w:t>嵌墙敷设的不锈钢管，管线应水平或垂直布置在预留或开槽的凹槽内，槽内不锈钢管应采用管卡固定。在管线转折处，应预留</w:t>
      </w:r>
      <w:r>
        <w:rPr>
          <w:color w:val="auto"/>
          <w:highlight w:val="none"/>
        </w:rPr>
        <w:t>5～10mm净空，补偿管路因热胀冷缩引起的伸缩变化值。</w:t>
      </w:r>
    </w:p>
    <w:p>
      <w:pPr>
        <w:numPr>
          <w:ilvl w:val="1"/>
          <w:numId w:val="100"/>
        </w:numPr>
        <w:bidi w:val="0"/>
        <w:rPr>
          <w:color w:val="auto"/>
          <w:highlight w:val="none"/>
        </w:rPr>
      </w:pPr>
      <w:r>
        <w:rPr>
          <w:rFonts w:hint="eastAsia"/>
          <w:color w:val="auto"/>
          <w:highlight w:val="none"/>
        </w:rPr>
        <w:t>明装不锈钢管，其外壁距装饰墙面的距离：公称直径</w:t>
      </w:r>
      <w:r>
        <w:rPr>
          <w:color w:val="auto"/>
          <w:highlight w:val="none"/>
        </w:rPr>
        <w:t>10～25mm时应小于30mm；公称直径32～50mm时宜小于40mm。明装立管应靠近用水器具的墙角、柱旁或管道井内。</w:t>
      </w:r>
    </w:p>
    <w:p>
      <w:pPr>
        <w:numPr>
          <w:ilvl w:val="1"/>
          <w:numId w:val="100"/>
        </w:numPr>
        <w:bidi w:val="0"/>
        <w:rPr>
          <w:color w:val="auto"/>
          <w:highlight w:val="none"/>
        </w:rPr>
      </w:pPr>
      <w:r>
        <w:rPr>
          <w:rFonts w:hint="eastAsia"/>
          <w:color w:val="auto"/>
          <w:highlight w:val="none"/>
        </w:rPr>
        <w:t>不锈钢管不宜穿越建筑物的沉降缝、伸缩缝和变形缝。当不可避免时，应采取防止管道被破坏的技术措施。</w:t>
      </w:r>
    </w:p>
    <w:p>
      <w:pPr>
        <w:numPr>
          <w:ilvl w:val="1"/>
          <w:numId w:val="100"/>
        </w:numPr>
        <w:bidi w:val="0"/>
        <w:rPr>
          <w:color w:val="auto"/>
          <w:highlight w:val="none"/>
        </w:rPr>
      </w:pPr>
      <w:r>
        <w:rPr>
          <w:rFonts w:hint="eastAsia"/>
          <w:color w:val="auto"/>
          <w:highlight w:val="none"/>
        </w:rPr>
        <w:t>管道不得敷设在配电间、强弱电管道井、烟道、风道内和排水沟内，管道不宜穿越卧式、储藏室、橱窗、壁柜等处。</w:t>
      </w:r>
    </w:p>
    <w:p>
      <w:pPr>
        <w:numPr>
          <w:ilvl w:val="1"/>
          <w:numId w:val="100"/>
        </w:numPr>
        <w:bidi w:val="0"/>
        <w:rPr>
          <w:color w:val="auto"/>
          <w:highlight w:val="none"/>
        </w:rPr>
      </w:pPr>
      <w:r>
        <w:rPr>
          <w:rFonts w:hint="eastAsia"/>
          <w:color w:val="auto"/>
          <w:highlight w:val="none"/>
        </w:rPr>
        <w:t>敷设水平干管宜具有</w:t>
      </w:r>
      <w:r>
        <w:rPr>
          <w:color w:val="auto"/>
          <w:highlight w:val="none"/>
        </w:rPr>
        <w:t>0</w:t>
      </w:r>
      <w:r>
        <w:rPr>
          <w:rFonts w:hint="eastAsia"/>
          <w:color w:val="auto"/>
          <w:highlight w:val="none"/>
        </w:rPr>
        <w:t>.</w:t>
      </w:r>
      <w:r>
        <w:rPr>
          <w:color w:val="auto"/>
          <w:highlight w:val="none"/>
        </w:rPr>
        <w:t>2</w:t>
      </w:r>
      <w:r>
        <w:rPr>
          <w:rFonts w:hint="eastAsia"/>
          <w:color w:val="auto"/>
          <w:highlight w:val="none"/>
        </w:rPr>
        <w:t>%</w:t>
      </w:r>
      <w:r>
        <w:rPr>
          <w:color w:val="auto"/>
          <w:highlight w:val="none"/>
        </w:rPr>
        <w:t>～0</w:t>
      </w:r>
      <w:r>
        <w:rPr>
          <w:rFonts w:hint="eastAsia"/>
          <w:color w:val="auto"/>
          <w:highlight w:val="none"/>
        </w:rPr>
        <w:t>.</w:t>
      </w:r>
      <w:r>
        <w:rPr>
          <w:color w:val="auto"/>
          <w:highlight w:val="none"/>
        </w:rPr>
        <w:t>3</w:t>
      </w:r>
      <w:r>
        <w:rPr>
          <w:rFonts w:hint="eastAsia"/>
          <w:color w:val="auto"/>
          <w:highlight w:val="none"/>
        </w:rPr>
        <w:t>%</w:t>
      </w:r>
      <w:r>
        <w:rPr>
          <w:color w:val="auto"/>
          <w:highlight w:val="none"/>
        </w:rPr>
        <w:t>的坡度，坡向泄水装置。在引入管、折角进户管件、支管接出和仪表接口处，应采用螺纹转换接头或法兰连接。</w:t>
      </w:r>
    </w:p>
    <w:p>
      <w:pPr>
        <w:numPr>
          <w:ilvl w:val="1"/>
          <w:numId w:val="100"/>
        </w:numPr>
        <w:bidi w:val="0"/>
        <w:rPr>
          <w:color w:val="auto"/>
          <w:highlight w:val="none"/>
        </w:rPr>
      </w:pPr>
      <w:r>
        <w:rPr>
          <w:rFonts w:hint="eastAsia"/>
          <w:color w:val="auto"/>
          <w:highlight w:val="none"/>
        </w:rPr>
        <w:t>不锈钢管</w:t>
      </w:r>
      <w:r>
        <w:rPr>
          <w:color w:val="auto"/>
          <w:highlight w:val="none"/>
        </w:rPr>
        <w:t>应作防结露和保温处理。</w:t>
      </w:r>
    </w:p>
    <w:p>
      <w:pPr>
        <w:numPr>
          <w:ilvl w:val="1"/>
          <w:numId w:val="100"/>
        </w:numPr>
        <w:bidi w:val="0"/>
        <w:rPr>
          <w:color w:val="auto"/>
          <w:highlight w:val="none"/>
        </w:rPr>
      </w:pPr>
      <w:r>
        <w:rPr>
          <w:rFonts w:hint="eastAsia"/>
          <w:color w:val="auto"/>
          <w:highlight w:val="none"/>
        </w:rPr>
        <w:t>薄壁不锈钢管安装注意事项</w:t>
      </w:r>
    </w:p>
    <w:p>
      <w:pPr>
        <w:numPr>
          <w:ilvl w:val="0"/>
          <w:numId w:val="101"/>
        </w:numPr>
        <w:bidi w:val="0"/>
        <w:ind w:left="758" w:leftChars="0"/>
        <w:rPr>
          <w:color w:val="auto"/>
          <w:highlight w:val="none"/>
        </w:rPr>
      </w:pPr>
      <w:r>
        <w:rPr>
          <w:rFonts w:hint="eastAsia"/>
          <w:color w:val="auto"/>
          <w:highlight w:val="none"/>
        </w:rPr>
        <w:t>不锈钢材料吊运，不能与其他金属直接接触，应加垫木板或橡胶板等非金属材料。</w:t>
      </w:r>
    </w:p>
    <w:p>
      <w:pPr>
        <w:numPr>
          <w:ilvl w:val="0"/>
          <w:numId w:val="101"/>
        </w:numPr>
        <w:bidi w:val="0"/>
        <w:ind w:left="758" w:leftChars="0"/>
        <w:rPr>
          <w:color w:val="auto"/>
          <w:highlight w:val="none"/>
        </w:rPr>
      </w:pPr>
      <w:r>
        <w:rPr>
          <w:rFonts w:hint="eastAsia"/>
          <w:color w:val="auto"/>
          <w:highlight w:val="none"/>
        </w:rPr>
        <w:t>管子切割不允许用普通砂轮片切割，应采用不锈钢专用砂轮片或等离子切割。</w:t>
      </w:r>
    </w:p>
    <w:p>
      <w:pPr>
        <w:numPr>
          <w:ilvl w:val="0"/>
          <w:numId w:val="101"/>
        </w:numPr>
        <w:bidi w:val="0"/>
        <w:ind w:left="758" w:leftChars="0"/>
        <w:rPr>
          <w:color w:val="auto"/>
          <w:highlight w:val="none"/>
        </w:rPr>
      </w:pPr>
      <w:r>
        <w:rPr>
          <w:rFonts w:hint="eastAsia"/>
          <w:color w:val="auto"/>
          <w:highlight w:val="none"/>
        </w:rPr>
        <w:t>不锈钢管材及管件定位焊时焊缝内侧应进行充氩保护。</w:t>
      </w:r>
    </w:p>
    <w:p>
      <w:pPr>
        <w:numPr>
          <w:ilvl w:val="0"/>
          <w:numId w:val="101"/>
        </w:numPr>
        <w:bidi w:val="0"/>
        <w:ind w:left="758" w:leftChars="0"/>
        <w:rPr>
          <w:color w:val="auto"/>
          <w:highlight w:val="none"/>
        </w:rPr>
      </w:pPr>
      <w:r>
        <w:rPr>
          <w:rFonts w:hint="eastAsia"/>
          <w:color w:val="auto"/>
          <w:highlight w:val="none"/>
        </w:rPr>
        <w:t>起弧与收弧：起弧采用回焊法，收弧应填满弧坑，起弧必须在坡口内完成</w:t>
      </w:r>
      <w:r>
        <w:rPr>
          <w:color w:val="auto"/>
          <w:highlight w:val="none"/>
        </w:rPr>
        <w:t>,禁止在管道、管件母材表面打弧与起弧。若起弧与收弧处发现气孔、裂纹应及时处理。</w:t>
      </w:r>
    </w:p>
    <w:p>
      <w:pPr>
        <w:numPr>
          <w:ilvl w:val="0"/>
          <w:numId w:val="101"/>
        </w:numPr>
        <w:bidi w:val="0"/>
        <w:ind w:left="758" w:leftChars="0"/>
        <w:rPr>
          <w:color w:val="auto"/>
          <w:highlight w:val="none"/>
        </w:rPr>
      </w:pPr>
      <w:r>
        <w:rPr>
          <w:rFonts w:hint="eastAsia"/>
          <w:color w:val="auto"/>
          <w:highlight w:val="none"/>
        </w:rPr>
        <w:t>不锈钢管道、管件以及不锈钢管道、管件与非不锈钢材质管道、管件的连接，焊接的对接接头打底焊接前管内及空腔内应充满氩气保护，才能进行钨极氩弧焊。</w:t>
      </w:r>
    </w:p>
    <w:p>
      <w:pPr>
        <w:numPr>
          <w:ilvl w:val="0"/>
          <w:numId w:val="101"/>
        </w:numPr>
        <w:bidi w:val="0"/>
        <w:ind w:left="758" w:leftChars="0"/>
        <w:rPr>
          <w:color w:val="auto"/>
          <w:highlight w:val="none"/>
        </w:rPr>
      </w:pPr>
      <w:r>
        <w:rPr>
          <w:rFonts w:hint="eastAsia"/>
          <w:color w:val="auto"/>
          <w:highlight w:val="none"/>
        </w:rPr>
        <w:t>多道多层焊的起弧、收弧处应相互错开。</w:t>
      </w:r>
    </w:p>
    <w:p>
      <w:pPr>
        <w:numPr>
          <w:ilvl w:val="0"/>
          <w:numId w:val="101"/>
        </w:numPr>
        <w:bidi w:val="0"/>
        <w:ind w:left="758" w:leftChars="0"/>
        <w:rPr>
          <w:color w:val="auto"/>
          <w:highlight w:val="none"/>
        </w:rPr>
      </w:pPr>
      <w:r>
        <w:rPr>
          <w:rFonts w:hint="eastAsia"/>
          <w:color w:val="auto"/>
          <w:highlight w:val="none"/>
        </w:rPr>
        <w:t>不锈钢材料连续焊接时，其层间温度不超过</w:t>
      </w:r>
      <w:r>
        <w:rPr>
          <w:color w:val="auto"/>
          <w:highlight w:val="none"/>
        </w:rPr>
        <w:t>60℃。</w:t>
      </w:r>
    </w:p>
    <w:p>
      <w:pPr>
        <w:numPr>
          <w:ilvl w:val="0"/>
          <w:numId w:val="101"/>
        </w:numPr>
        <w:bidi w:val="0"/>
        <w:ind w:left="758" w:leftChars="0"/>
        <w:rPr>
          <w:color w:val="auto"/>
          <w:highlight w:val="none"/>
        </w:rPr>
      </w:pPr>
      <w:r>
        <w:rPr>
          <w:rFonts w:hint="eastAsia"/>
          <w:color w:val="auto"/>
          <w:highlight w:val="none"/>
        </w:rPr>
        <w:t>管道连接的焊口焊接前后要进行酸洗和钝化处理。</w:t>
      </w:r>
    </w:p>
    <w:p>
      <w:pPr>
        <w:pStyle w:val="5"/>
        <w:bidi w:val="0"/>
        <w:rPr>
          <w:color w:val="auto"/>
          <w:highlight w:val="none"/>
        </w:rPr>
      </w:pPr>
      <w:r>
        <w:rPr>
          <w:rFonts w:hint="eastAsia"/>
          <w:color w:val="auto"/>
          <w:highlight w:val="none"/>
        </w:rPr>
        <w:t>给水系统</w:t>
      </w:r>
      <w:r>
        <w:rPr>
          <w:color w:val="auto"/>
          <w:highlight w:val="none"/>
        </w:rPr>
        <w:t>–</w:t>
      </w:r>
      <w:r>
        <w:rPr>
          <w:rFonts w:hint="eastAsia"/>
          <w:color w:val="auto"/>
          <w:highlight w:val="none"/>
        </w:rPr>
        <w:t>铜管安装</w:t>
      </w:r>
    </w:p>
    <w:p>
      <w:pPr>
        <w:numPr>
          <w:ilvl w:val="1"/>
          <w:numId w:val="102"/>
        </w:numPr>
        <w:bidi w:val="0"/>
        <w:rPr>
          <w:color w:val="auto"/>
          <w:highlight w:val="none"/>
        </w:rPr>
      </w:pPr>
      <w:r>
        <w:rPr>
          <w:rFonts w:hint="eastAsia"/>
          <w:color w:val="auto"/>
          <w:highlight w:val="none"/>
        </w:rPr>
        <w:t>给水系统使用的铜管，管材规格按设计</w:t>
      </w:r>
      <w:r>
        <w:rPr>
          <w:color w:val="auto"/>
          <w:highlight w:val="none"/>
        </w:rPr>
        <w:t>要求</w:t>
      </w:r>
      <w:r>
        <w:rPr>
          <w:rFonts w:hint="eastAsia"/>
          <w:color w:val="auto"/>
          <w:highlight w:val="none"/>
        </w:rPr>
        <w:t>确定。</w:t>
      </w:r>
    </w:p>
    <w:p>
      <w:pPr>
        <w:numPr>
          <w:ilvl w:val="1"/>
          <w:numId w:val="102"/>
        </w:numPr>
        <w:bidi w:val="0"/>
        <w:rPr>
          <w:color w:val="auto"/>
          <w:highlight w:val="none"/>
        </w:rPr>
      </w:pPr>
      <w:r>
        <w:rPr>
          <w:rFonts w:hint="eastAsia"/>
          <w:color w:val="auto"/>
          <w:highlight w:val="none"/>
        </w:rPr>
        <w:t>建筑给水铜管管系统宜采用铜制管件，铜管与钢制设备连接时，应采用铜合金配件。</w:t>
      </w:r>
    </w:p>
    <w:p>
      <w:pPr>
        <w:numPr>
          <w:ilvl w:val="1"/>
          <w:numId w:val="102"/>
        </w:numPr>
        <w:bidi w:val="0"/>
        <w:rPr>
          <w:color w:val="auto"/>
          <w:highlight w:val="none"/>
        </w:rPr>
      </w:pPr>
      <w:r>
        <w:rPr>
          <w:rFonts w:hint="eastAsia"/>
          <w:color w:val="auto"/>
          <w:highlight w:val="none"/>
        </w:rPr>
        <w:t>铜管可敷设在管沟内。埋地铜管宜有防腐措施。</w:t>
      </w:r>
    </w:p>
    <w:p>
      <w:pPr>
        <w:numPr>
          <w:ilvl w:val="1"/>
          <w:numId w:val="102"/>
        </w:numPr>
        <w:bidi w:val="0"/>
        <w:rPr>
          <w:color w:val="auto"/>
          <w:highlight w:val="none"/>
        </w:rPr>
      </w:pPr>
      <w:r>
        <w:rPr>
          <w:rFonts w:hint="eastAsia"/>
          <w:color w:val="auto"/>
          <w:highlight w:val="none"/>
        </w:rPr>
        <w:t>建筑给水支管宜敷设在吊顶、地面垫层或墙壁内。高层建筑给水立管宜敷设在管道井内。管道不得浇注在钢筋混凝土内。</w:t>
      </w:r>
    </w:p>
    <w:p>
      <w:pPr>
        <w:numPr>
          <w:ilvl w:val="1"/>
          <w:numId w:val="102"/>
        </w:numPr>
        <w:bidi w:val="0"/>
        <w:rPr>
          <w:color w:val="auto"/>
          <w:highlight w:val="none"/>
        </w:rPr>
      </w:pPr>
      <w:r>
        <w:rPr>
          <w:rFonts w:hint="eastAsia"/>
          <w:color w:val="auto"/>
          <w:highlight w:val="none"/>
        </w:rPr>
        <w:t>引入管穿过地下室外墙或地下构筑物墙壁时，应预留孔洞或敷设套管，并应考虑建筑物沉降等不利因素。管道不得穿建筑物的沉降缝、伸缩缝。如必须穿越时，应设置管道伸缩和剪切变形的补偿装置。</w:t>
      </w:r>
    </w:p>
    <w:p>
      <w:pPr>
        <w:numPr>
          <w:ilvl w:val="1"/>
          <w:numId w:val="102"/>
        </w:numPr>
        <w:bidi w:val="0"/>
        <w:rPr>
          <w:color w:val="auto"/>
          <w:highlight w:val="none"/>
        </w:rPr>
      </w:pPr>
      <w:r>
        <w:rPr>
          <w:rFonts w:hint="eastAsia"/>
          <w:color w:val="auto"/>
          <w:highlight w:val="none"/>
        </w:rPr>
        <w:t>管道穿越楼板、承重墙时，应设钢制套管。穿楼板套管上端应高出室内地坪</w:t>
      </w:r>
      <w:r>
        <w:rPr>
          <w:color w:val="auto"/>
          <w:highlight w:val="none"/>
        </w:rPr>
        <w:t>50mm，下端应与楼板底齐平。穿越承重墙时套管应与两墙面平齐。管道穿越地下防水墙、顶板时，应设防水套管。</w:t>
      </w:r>
    </w:p>
    <w:p>
      <w:pPr>
        <w:numPr>
          <w:ilvl w:val="1"/>
          <w:numId w:val="102"/>
        </w:numPr>
        <w:bidi w:val="0"/>
        <w:rPr>
          <w:color w:val="auto"/>
          <w:highlight w:val="none"/>
        </w:rPr>
      </w:pPr>
      <w:r>
        <w:rPr>
          <w:rFonts w:hint="eastAsia"/>
          <w:color w:val="auto"/>
          <w:highlight w:val="none"/>
        </w:rPr>
        <w:t>敷设在垫层或墙槽内的铜管可采用覆塑铜管，外径不宜大于</w:t>
      </w:r>
      <w:r>
        <w:rPr>
          <w:color w:val="auto"/>
          <w:highlight w:val="none"/>
        </w:rPr>
        <w:t>28mm,管线宜水平或垂直布置在预留或开凿的凹槽内，槽内铜管应设置管卡固定。</w:t>
      </w:r>
    </w:p>
    <w:p>
      <w:pPr>
        <w:numPr>
          <w:ilvl w:val="1"/>
          <w:numId w:val="102"/>
        </w:numPr>
        <w:bidi w:val="0"/>
        <w:rPr>
          <w:color w:val="auto"/>
          <w:highlight w:val="none"/>
        </w:rPr>
      </w:pPr>
      <w:r>
        <w:rPr>
          <w:rFonts w:hint="eastAsia"/>
          <w:color w:val="auto"/>
          <w:highlight w:val="none"/>
        </w:rPr>
        <w:t>管道不得敷设在卧室，贮藏室及烟道和风道内。</w:t>
      </w:r>
    </w:p>
    <w:p>
      <w:pPr>
        <w:numPr>
          <w:ilvl w:val="1"/>
          <w:numId w:val="102"/>
        </w:numPr>
        <w:bidi w:val="0"/>
        <w:rPr>
          <w:color w:val="auto"/>
          <w:highlight w:val="none"/>
        </w:rPr>
      </w:pPr>
      <w:r>
        <w:rPr>
          <w:rFonts w:hint="eastAsia"/>
          <w:color w:val="auto"/>
          <w:highlight w:val="none"/>
        </w:rPr>
        <w:t>横管敷设宜不小于</w:t>
      </w:r>
      <w:r>
        <w:rPr>
          <w:color w:val="auto"/>
          <w:highlight w:val="none"/>
        </w:rPr>
        <w:t>0</w:t>
      </w:r>
      <w:r>
        <w:rPr>
          <w:rFonts w:hint="eastAsia"/>
          <w:color w:val="auto"/>
          <w:highlight w:val="none"/>
        </w:rPr>
        <w:t>.</w:t>
      </w:r>
      <w:r>
        <w:rPr>
          <w:color w:val="auto"/>
          <w:highlight w:val="none"/>
        </w:rPr>
        <w:t>2</w:t>
      </w:r>
      <w:r>
        <w:rPr>
          <w:rFonts w:hint="eastAsia"/>
          <w:color w:val="auto"/>
          <w:highlight w:val="none"/>
        </w:rPr>
        <w:t>%</w:t>
      </w:r>
      <w:r>
        <w:rPr>
          <w:color w:val="auto"/>
          <w:highlight w:val="none"/>
        </w:rPr>
        <w:t>～0</w:t>
      </w:r>
      <w:r>
        <w:rPr>
          <w:rFonts w:hint="eastAsia"/>
          <w:color w:val="auto"/>
          <w:highlight w:val="none"/>
        </w:rPr>
        <w:t>.</w:t>
      </w:r>
      <w:r>
        <w:rPr>
          <w:color w:val="auto"/>
          <w:highlight w:val="none"/>
        </w:rPr>
        <w:t>5</w:t>
      </w:r>
      <w:r>
        <w:rPr>
          <w:rFonts w:hint="eastAsia"/>
          <w:color w:val="auto"/>
          <w:highlight w:val="none"/>
        </w:rPr>
        <w:t>%</w:t>
      </w:r>
      <w:r>
        <w:rPr>
          <w:color w:val="auto"/>
          <w:highlight w:val="none"/>
        </w:rPr>
        <w:t>的放空坡度。</w:t>
      </w:r>
    </w:p>
    <w:p>
      <w:pPr>
        <w:numPr>
          <w:ilvl w:val="1"/>
          <w:numId w:val="102"/>
        </w:numPr>
        <w:bidi w:val="0"/>
        <w:rPr>
          <w:color w:val="auto"/>
          <w:highlight w:val="none"/>
        </w:rPr>
      </w:pPr>
      <w:r>
        <w:rPr>
          <w:rFonts w:hint="eastAsia"/>
          <w:color w:val="auto"/>
          <w:highlight w:val="none"/>
        </w:rPr>
        <w:t>铜管的连接方式应符合以下规定：</w:t>
      </w:r>
    </w:p>
    <w:p>
      <w:pPr>
        <w:numPr>
          <w:ilvl w:val="0"/>
          <w:numId w:val="103"/>
        </w:numPr>
        <w:bidi w:val="0"/>
        <w:ind w:left="758" w:leftChars="0"/>
        <w:rPr>
          <w:color w:val="auto"/>
          <w:highlight w:val="none"/>
        </w:rPr>
      </w:pPr>
      <w:r>
        <w:rPr>
          <w:rFonts w:hint="eastAsia"/>
          <w:color w:val="auto"/>
          <w:highlight w:val="none"/>
        </w:rPr>
        <w:t>引入管、支管接出及水表接口处应采用便于检修拆卸的连接件。</w:t>
      </w:r>
    </w:p>
    <w:p>
      <w:pPr>
        <w:numPr>
          <w:ilvl w:val="0"/>
          <w:numId w:val="103"/>
        </w:numPr>
        <w:bidi w:val="0"/>
        <w:ind w:left="758" w:leftChars="0"/>
        <w:rPr>
          <w:color w:val="auto"/>
          <w:highlight w:val="none"/>
        </w:rPr>
      </w:pPr>
      <w:r>
        <w:rPr>
          <w:rFonts w:hint="eastAsia"/>
          <w:color w:val="auto"/>
          <w:highlight w:val="none"/>
        </w:rPr>
        <w:t>埋地、敷设在垫层或墙槽内的铜管采用硬钎焊接。</w:t>
      </w:r>
    </w:p>
    <w:p>
      <w:pPr>
        <w:numPr>
          <w:ilvl w:val="0"/>
          <w:numId w:val="103"/>
        </w:numPr>
        <w:bidi w:val="0"/>
        <w:ind w:left="758" w:leftChars="0"/>
        <w:rPr>
          <w:color w:val="auto"/>
          <w:highlight w:val="none"/>
        </w:rPr>
      </w:pPr>
      <w:r>
        <w:rPr>
          <w:rFonts w:hint="eastAsia"/>
          <w:color w:val="auto"/>
          <w:highlight w:val="none"/>
        </w:rPr>
        <w:t>外径小于</w:t>
      </w:r>
      <w:r>
        <w:rPr>
          <w:color w:val="auto"/>
          <w:highlight w:val="none"/>
        </w:rPr>
        <w:t>28mm的明支管可采用软钎焊接、机械式连接(卡套、冷压接)。</w:t>
      </w:r>
    </w:p>
    <w:p>
      <w:pPr>
        <w:numPr>
          <w:ilvl w:val="0"/>
          <w:numId w:val="103"/>
        </w:numPr>
        <w:bidi w:val="0"/>
        <w:ind w:left="758" w:leftChars="0"/>
        <w:rPr>
          <w:color w:val="auto"/>
          <w:highlight w:val="none"/>
        </w:rPr>
      </w:pPr>
      <w:r>
        <w:rPr>
          <w:rFonts w:hint="eastAsia"/>
          <w:color w:val="auto"/>
          <w:highlight w:val="none"/>
        </w:rPr>
        <w:t>铜管与供水设备连接时，宜采用带螺纹端口连接或法兰连接。</w:t>
      </w:r>
    </w:p>
    <w:p>
      <w:pPr>
        <w:numPr>
          <w:ilvl w:val="0"/>
          <w:numId w:val="103"/>
        </w:numPr>
        <w:bidi w:val="0"/>
        <w:ind w:left="758" w:leftChars="0"/>
        <w:rPr>
          <w:color w:val="auto"/>
          <w:highlight w:val="none"/>
        </w:rPr>
      </w:pPr>
      <w:r>
        <w:rPr>
          <w:rFonts w:hint="eastAsia"/>
          <w:color w:val="auto"/>
          <w:highlight w:val="none"/>
        </w:rPr>
        <w:t>当热水铜管直线管段超过</w:t>
      </w:r>
      <w:r>
        <w:rPr>
          <w:color w:val="auto"/>
          <w:highlight w:val="none"/>
        </w:rPr>
        <w:t>10m时，应有管道热伸长的措施。管道伸缩量宜根据实际温差进行计算。</w:t>
      </w:r>
    </w:p>
    <w:p>
      <w:pPr>
        <w:numPr>
          <w:ilvl w:val="0"/>
          <w:numId w:val="103"/>
        </w:numPr>
        <w:bidi w:val="0"/>
        <w:ind w:left="758" w:leftChars="0"/>
        <w:rPr>
          <w:color w:val="auto"/>
          <w:highlight w:val="none"/>
        </w:rPr>
      </w:pPr>
      <w:r>
        <w:rPr>
          <w:rFonts w:hint="eastAsia"/>
          <w:color w:val="auto"/>
          <w:highlight w:val="none"/>
        </w:rPr>
        <w:t>连接水箱等设备进出口处的铜管，应做局部加强处理。</w:t>
      </w:r>
    </w:p>
    <w:p>
      <w:pPr>
        <w:numPr>
          <w:ilvl w:val="0"/>
          <w:numId w:val="103"/>
        </w:numPr>
        <w:bidi w:val="0"/>
        <w:ind w:left="758" w:leftChars="0"/>
        <w:rPr>
          <w:color w:val="auto"/>
          <w:highlight w:val="none"/>
        </w:rPr>
      </w:pPr>
      <w:r>
        <w:rPr>
          <w:rFonts w:hint="eastAsia"/>
          <w:color w:val="auto"/>
          <w:highlight w:val="none"/>
        </w:rPr>
        <w:t>室内明装给水铜管应做防结露处理，热水铜管应做保温处理。</w:t>
      </w:r>
    </w:p>
    <w:p>
      <w:pPr>
        <w:numPr>
          <w:ilvl w:val="0"/>
          <w:numId w:val="103"/>
        </w:numPr>
        <w:bidi w:val="0"/>
        <w:ind w:left="758" w:leftChars="0"/>
        <w:rPr>
          <w:color w:val="auto"/>
          <w:highlight w:val="none"/>
        </w:rPr>
      </w:pPr>
      <w:r>
        <w:rPr>
          <w:rFonts w:hint="eastAsia"/>
          <w:color w:val="auto"/>
          <w:highlight w:val="none"/>
        </w:rPr>
        <w:t>铜管焊接不得使用含铅钎料、含氨焊剂。</w:t>
      </w:r>
    </w:p>
    <w:p>
      <w:pPr>
        <w:numPr>
          <w:ilvl w:val="1"/>
          <w:numId w:val="102"/>
        </w:numPr>
        <w:bidi w:val="0"/>
        <w:rPr>
          <w:color w:val="auto"/>
          <w:highlight w:val="none"/>
        </w:rPr>
      </w:pPr>
      <w:r>
        <w:rPr>
          <w:rFonts w:hint="eastAsia"/>
          <w:color w:val="auto"/>
          <w:highlight w:val="none"/>
        </w:rPr>
        <w:t>管道安装施工的注意事项</w:t>
      </w:r>
    </w:p>
    <w:p>
      <w:pPr>
        <w:numPr>
          <w:ilvl w:val="0"/>
          <w:numId w:val="104"/>
        </w:numPr>
        <w:bidi w:val="0"/>
        <w:ind w:left="758" w:leftChars="0"/>
        <w:rPr>
          <w:color w:val="auto"/>
          <w:highlight w:val="none"/>
        </w:rPr>
      </w:pPr>
      <w:r>
        <w:rPr>
          <w:rFonts w:hint="eastAsia"/>
          <w:color w:val="auto"/>
          <w:highlight w:val="none"/>
        </w:rPr>
        <w:t>施工过程中应防止与酸、碱等对铜管有腐蚀按设计要求核对无误。</w:t>
      </w:r>
    </w:p>
    <w:p>
      <w:pPr>
        <w:numPr>
          <w:ilvl w:val="0"/>
          <w:numId w:val="104"/>
        </w:numPr>
        <w:bidi w:val="0"/>
        <w:ind w:left="758" w:leftChars="0"/>
        <w:rPr>
          <w:color w:val="auto"/>
          <w:highlight w:val="none"/>
        </w:rPr>
      </w:pPr>
      <w:r>
        <w:rPr>
          <w:rFonts w:hint="eastAsia"/>
          <w:color w:val="auto"/>
          <w:highlight w:val="none"/>
        </w:rPr>
        <w:t>管道在安装前应检查其外观和管口，有明显伤痕的管道不得使用，变形管口应用专用工具整圆。受污染的管材、管件内外污垢及杂物应清理干净。</w:t>
      </w:r>
    </w:p>
    <w:p>
      <w:pPr>
        <w:numPr>
          <w:ilvl w:val="0"/>
          <w:numId w:val="104"/>
        </w:numPr>
        <w:bidi w:val="0"/>
        <w:ind w:left="758" w:leftChars="0"/>
        <w:rPr>
          <w:color w:val="auto"/>
          <w:highlight w:val="none"/>
        </w:rPr>
      </w:pPr>
      <w:r>
        <w:rPr>
          <w:rFonts w:hint="eastAsia"/>
          <w:color w:val="auto"/>
          <w:highlight w:val="none"/>
        </w:rPr>
        <w:t>弯曲的管道调直时，外径小于等于</w:t>
      </w:r>
      <w:r>
        <w:rPr>
          <w:color w:val="auto"/>
          <w:highlight w:val="none"/>
        </w:rPr>
        <w:t>108mm管道可采用冷调法，外径大于108mm的管道可采用热调法。调直后不应有凹陷、破损现象。采用胀口或翻边连接的管子，施工前应每批抽1%</w:t>
      </w:r>
      <w:r>
        <w:rPr>
          <w:rFonts w:hint="eastAsia"/>
          <w:color w:val="auto"/>
          <w:highlight w:val="none"/>
        </w:rPr>
        <w:t>且不少于两根进行胀口或翻边试验。如有裂纹，需要退火、试验处理，应重做试验。如仍有裂纹，则该批管子须逐根退火、试验，不合格的不得使用。</w:t>
      </w:r>
    </w:p>
    <w:p>
      <w:pPr>
        <w:pStyle w:val="5"/>
        <w:bidi w:val="0"/>
        <w:rPr>
          <w:color w:val="auto"/>
          <w:highlight w:val="none"/>
        </w:rPr>
      </w:pPr>
      <w:r>
        <w:rPr>
          <w:rFonts w:hint="eastAsia"/>
          <w:color w:val="auto"/>
          <w:highlight w:val="none"/>
        </w:rPr>
        <w:t>排水系统</w:t>
      </w:r>
      <w:r>
        <w:rPr>
          <w:color w:val="auto"/>
          <w:highlight w:val="none"/>
        </w:rPr>
        <w:t>–UPVC安装</w:t>
      </w:r>
    </w:p>
    <w:p>
      <w:pPr>
        <w:numPr>
          <w:ilvl w:val="1"/>
          <w:numId w:val="105"/>
        </w:numPr>
        <w:bidi w:val="0"/>
        <w:rPr>
          <w:color w:val="auto"/>
          <w:highlight w:val="none"/>
        </w:rPr>
      </w:pPr>
      <w:r>
        <w:rPr>
          <w:rFonts w:hint="eastAsia"/>
          <w:color w:val="auto"/>
          <w:highlight w:val="none"/>
        </w:rPr>
        <w:t>预留洞</w:t>
      </w:r>
    </w:p>
    <w:p>
      <w:pPr>
        <w:bidi w:val="0"/>
        <w:rPr>
          <w:color w:val="auto"/>
          <w:highlight w:val="none"/>
        </w:rPr>
      </w:pPr>
      <w:r>
        <w:rPr>
          <w:rFonts w:hint="eastAsia"/>
          <w:color w:val="auto"/>
          <w:highlight w:val="none"/>
        </w:rPr>
        <w:t>预留洞或套管尺寸比待安装的排水管管径大两号，标准层预留洞距墙尺寸统一，预留洞用的钢管应固定牢固。</w:t>
      </w:r>
    </w:p>
    <w:p>
      <w:pPr>
        <w:bidi w:val="0"/>
        <w:rPr>
          <w:color w:val="auto"/>
          <w:highlight w:val="none"/>
        </w:rPr>
      </w:pPr>
      <w:r>
        <w:rPr>
          <w:rFonts w:hint="eastAsia"/>
          <w:color w:val="auto"/>
          <w:highlight w:val="none"/>
        </w:rPr>
        <w:t>如</w:t>
      </w:r>
      <w:r>
        <w:rPr>
          <w:color w:val="auto"/>
          <w:highlight w:val="none"/>
        </w:rPr>
        <w:t>采用积水处理器</w:t>
      </w:r>
      <w:r>
        <w:rPr>
          <w:rFonts w:hint="eastAsia"/>
          <w:color w:val="auto"/>
          <w:highlight w:val="none"/>
        </w:rPr>
        <w:t>、</w:t>
      </w:r>
      <w:r>
        <w:rPr>
          <w:color w:val="auto"/>
          <w:highlight w:val="none"/>
        </w:rPr>
        <w:t>止水节等成品预埋件，则应根据设计要求</w:t>
      </w:r>
      <w:r>
        <w:rPr>
          <w:rFonts w:hint="eastAsia"/>
          <w:color w:val="auto"/>
          <w:highlight w:val="none"/>
        </w:rPr>
        <w:t>及</w:t>
      </w:r>
      <w:r>
        <w:rPr>
          <w:color w:val="auto"/>
          <w:highlight w:val="none"/>
        </w:rPr>
        <w:t>产品安装要求预埋。</w:t>
      </w:r>
    </w:p>
    <w:p>
      <w:pPr>
        <w:numPr>
          <w:ilvl w:val="1"/>
          <w:numId w:val="105"/>
        </w:numPr>
        <w:bidi w:val="0"/>
        <w:rPr>
          <w:color w:val="auto"/>
          <w:highlight w:val="none"/>
        </w:rPr>
      </w:pPr>
      <w:r>
        <w:rPr>
          <w:rFonts w:hint="eastAsia"/>
          <w:color w:val="auto"/>
          <w:highlight w:val="none"/>
        </w:rPr>
        <w:t>立管安装</w:t>
      </w:r>
    </w:p>
    <w:p>
      <w:pPr>
        <w:bidi w:val="0"/>
        <w:rPr>
          <w:color w:val="auto"/>
          <w:highlight w:val="none"/>
        </w:rPr>
      </w:pPr>
      <w:r>
        <w:rPr>
          <w:rFonts w:hint="eastAsia"/>
          <w:color w:val="auto"/>
          <w:highlight w:val="none"/>
        </w:rPr>
        <w:t>立管垂直度允许偏差</w:t>
      </w:r>
      <w:r>
        <w:rPr>
          <w:color w:val="auto"/>
          <w:highlight w:val="none"/>
        </w:rPr>
        <w:t>3mm/m，全长（5m以上）≤15mm。检查口距地高度统一，朝向便于检修。</w:t>
      </w:r>
    </w:p>
    <w:p>
      <w:pPr>
        <w:bidi w:val="0"/>
        <w:rPr>
          <w:color w:val="auto"/>
          <w:highlight w:val="none"/>
        </w:rPr>
      </w:pPr>
      <w:r>
        <w:rPr>
          <w:rFonts w:hint="eastAsia"/>
          <w:color w:val="auto"/>
          <w:highlight w:val="none"/>
        </w:rPr>
        <w:t>阻火圈：高层建筑内公称外径大于或等于</w:t>
      </w:r>
      <w:r>
        <w:rPr>
          <w:color w:val="auto"/>
          <w:highlight w:val="none"/>
        </w:rPr>
        <w:t>110mm的明设排水立管，在穿越楼层处应采取设置阻火圈或防火套管等防止火灾贯穿的措施。</w:t>
      </w:r>
    </w:p>
    <w:p>
      <w:pPr>
        <w:bidi w:val="0"/>
        <w:rPr>
          <w:color w:val="auto"/>
          <w:highlight w:val="none"/>
        </w:rPr>
      </w:pPr>
      <w:r>
        <w:rPr>
          <w:rFonts w:hint="eastAsia"/>
          <w:color w:val="auto"/>
          <w:highlight w:val="none"/>
        </w:rPr>
        <w:t>立管伸缩节：当层高≤</w:t>
      </w:r>
      <w:r>
        <w:rPr>
          <w:color w:val="auto"/>
          <w:highlight w:val="none"/>
        </w:rPr>
        <w:t>4m时，立管上应每层设置一个伸缩节；当层高&gt;4m时，根据设计计算设置伸缩节；楼层内有横管接入的，汇合管件设置在楼板上部靠近地坪时，应在汇合管件上方设伸缩节；汇合管件设置在楼板下部时，在汇合管件下部设伸缩节；伸缩节的承口方向应迎水流方向。</w:t>
      </w:r>
    </w:p>
    <w:p>
      <w:pPr>
        <w:numPr>
          <w:ilvl w:val="1"/>
          <w:numId w:val="105"/>
        </w:numPr>
        <w:bidi w:val="0"/>
        <w:rPr>
          <w:color w:val="auto"/>
          <w:highlight w:val="none"/>
        </w:rPr>
      </w:pPr>
      <w:r>
        <w:rPr>
          <w:rFonts w:hint="eastAsia"/>
          <w:color w:val="auto"/>
          <w:highlight w:val="none"/>
        </w:rPr>
        <w:t>水平支管安装</w:t>
      </w:r>
    </w:p>
    <w:p>
      <w:pPr>
        <w:numPr>
          <w:ilvl w:val="0"/>
          <w:numId w:val="106"/>
        </w:numPr>
        <w:bidi w:val="0"/>
        <w:ind w:left="758" w:leftChars="0"/>
        <w:rPr>
          <w:color w:val="auto"/>
          <w:highlight w:val="none"/>
        </w:rPr>
      </w:pPr>
      <w:r>
        <w:rPr>
          <w:rFonts w:hint="eastAsia"/>
          <w:color w:val="auto"/>
          <w:highlight w:val="none"/>
        </w:rPr>
        <w:t>坡度和吊架间距满足规范要求。</w:t>
      </w:r>
    </w:p>
    <w:p>
      <w:pPr>
        <w:numPr>
          <w:ilvl w:val="0"/>
          <w:numId w:val="106"/>
        </w:numPr>
        <w:bidi w:val="0"/>
        <w:ind w:left="758" w:leftChars="0"/>
        <w:rPr>
          <w:color w:val="auto"/>
          <w:highlight w:val="none"/>
        </w:rPr>
      </w:pPr>
      <w:r>
        <w:rPr>
          <w:color w:val="auto"/>
          <w:highlight w:val="none"/>
        </w:rPr>
        <w:t>采用金属卡或吊架时，金属管卡与管道之间应采用塑料带或橡胶等软物隔垫</w:t>
      </w:r>
      <w:r>
        <w:rPr>
          <w:rFonts w:hint="eastAsia"/>
          <w:color w:val="auto"/>
          <w:highlight w:val="none"/>
        </w:rPr>
        <w:t>。</w:t>
      </w:r>
    </w:p>
    <w:p>
      <w:pPr>
        <w:numPr>
          <w:ilvl w:val="0"/>
          <w:numId w:val="106"/>
        </w:numPr>
        <w:bidi w:val="0"/>
        <w:ind w:left="758" w:leftChars="0"/>
        <w:rPr>
          <w:color w:val="auto"/>
          <w:highlight w:val="none"/>
        </w:rPr>
      </w:pPr>
      <w:r>
        <w:rPr>
          <w:rFonts w:hint="eastAsia"/>
          <w:color w:val="auto"/>
          <w:highlight w:val="none"/>
        </w:rPr>
        <w:t>横管伸缩节：横支管、横干管无汇合管道接入，且与立管相连管段的长度大于</w:t>
      </w:r>
      <w:r>
        <w:rPr>
          <w:color w:val="auto"/>
          <w:highlight w:val="none"/>
        </w:rPr>
        <w:t>2.2m时，在靠近汇合管件的横管侧设置伸缩节；横管上伸缩节间距不宜超过4m，超过4m时，应根据设计计算设置伸缩节；伸缩节的承口方向应迎水流方向。</w:t>
      </w:r>
    </w:p>
    <w:p>
      <w:pPr>
        <w:numPr>
          <w:ilvl w:val="0"/>
          <w:numId w:val="106"/>
        </w:numPr>
        <w:bidi w:val="0"/>
        <w:ind w:left="758" w:leftChars="0"/>
        <w:rPr>
          <w:color w:val="auto"/>
          <w:highlight w:val="none"/>
        </w:rPr>
      </w:pPr>
      <w:r>
        <w:rPr>
          <w:rFonts w:hint="eastAsia"/>
          <w:color w:val="auto"/>
          <w:highlight w:val="none"/>
        </w:rPr>
        <w:t>管道变径：当水平支管由上游小管汇入下游大管时，应采用偏心补心，顶平连接。</w:t>
      </w:r>
    </w:p>
    <w:p>
      <w:pPr>
        <w:numPr>
          <w:ilvl w:val="0"/>
          <w:numId w:val="106"/>
        </w:numPr>
        <w:bidi w:val="0"/>
        <w:ind w:left="758" w:leftChars="0"/>
        <w:rPr>
          <w:color w:val="auto"/>
          <w:highlight w:val="none"/>
        </w:rPr>
      </w:pPr>
      <w:r>
        <w:rPr>
          <w:rFonts w:hint="eastAsia"/>
          <w:color w:val="auto"/>
          <w:highlight w:val="none"/>
        </w:rPr>
        <w:t>水平管道末端转换：</w:t>
      </w:r>
      <w:r>
        <w:rPr>
          <w:color w:val="auto"/>
          <w:highlight w:val="none"/>
        </w:rPr>
        <w:t>UPVC水平排水支管与柔性排水铸铁立管应采用卡箍橡胶圈接口</w:t>
      </w:r>
      <w:r>
        <w:rPr>
          <w:rFonts w:hint="eastAsia"/>
          <w:color w:val="auto"/>
          <w:highlight w:val="none"/>
        </w:rPr>
        <w:t>。</w:t>
      </w:r>
    </w:p>
    <w:p>
      <w:pPr>
        <w:numPr>
          <w:ilvl w:val="1"/>
          <w:numId w:val="105"/>
        </w:numPr>
        <w:bidi w:val="0"/>
        <w:rPr>
          <w:color w:val="auto"/>
          <w:highlight w:val="none"/>
        </w:rPr>
      </w:pPr>
      <w:r>
        <w:rPr>
          <w:rFonts w:hint="eastAsia"/>
          <w:color w:val="auto"/>
          <w:highlight w:val="none"/>
        </w:rPr>
        <w:t>成品保护</w:t>
      </w:r>
    </w:p>
    <w:p>
      <w:pPr>
        <w:bidi w:val="0"/>
        <w:rPr>
          <w:color w:val="auto"/>
          <w:highlight w:val="none"/>
        </w:rPr>
      </w:pPr>
      <w:r>
        <w:rPr>
          <w:rFonts w:hint="eastAsia"/>
          <w:color w:val="auto"/>
          <w:highlight w:val="none"/>
        </w:rPr>
        <w:t>对已施工完的</w:t>
      </w:r>
      <w:r>
        <w:rPr>
          <w:color w:val="auto"/>
          <w:highlight w:val="none"/>
        </w:rPr>
        <w:t>UPVC排水管做有效的成品保护：所有预留管口封闭严密，管道应采用塑料布等材料包裹。对同层排水预埋件，在</w:t>
      </w:r>
      <w:r>
        <w:rPr>
          <w:rFonts w:hint="eastAsia"/>
          <w:color w:val="auto"/>
          <w:highlight w:val="none"/>
        </w:rPr>
        <w:t>现浇楼板完成后须将产品保护盖上的多余水泥浆清理干净，保证盖中心排水孔洞的通畅。</w:t>
      </w:r>
    </w:p>
    <w:p>
      <w:pPr>
        <w:pStyle w:val="5"/>
        <w:bidi w:val="0"/>
        <w:rPr>
          <w:color w:val="auto"/>
          <w:highlight w:val="none"/>
        </w:rPr>
      </w:pPr>
      <w:r>
        <w:rPr>
          <w:rFonts w:hint="eastAsia"/>
          <w:color w:val="auto"/>
          <w:highlight w:val="none"/>
        </w:rPr>
        <w:t>排水系统</w:t>
      </w:r>
      <w:r>
        <w:rPr>
          <w:color w:val="auto"/>
          <w:highlight w:val="none"/>
        </w:rPr>
        <w:t>–铸铁管安装</w:t>
      </w:r>
    </w:p>
    <w:p>
      <w:pPr>
        <w:numPr>
          <w:ilvl w:val="1"/>
          <w:numId w:val="107"/>
        </w:numPr>
        <w:bidi w:val="0"/>
        <w:rPr>
          <w:color w:val="auto"/>
          <w:highlight w:val="none"/>
        </w:rPr>
      </w:pPr>
      <w:r>
        <w:rPr>
          <w:rFonts w:hint="eastAsia"/>
          <w:color w:val="auto"/>
          <w:highlight w:val="none"/>
        </w:rPr>
        <w:t>柔性机制铸铁管承插连接：</w:t>
      </w:r>
    </w:p>
    <w:p>
      <w:pPr>
        <w:numPr>
          <w:ilvl w:val="0"/>
          <w:numId w:val="108"/>
        </w:numPr>
        <w:bidi w:val="0"/>
        <w:ind w:left="758" w:leftChars="0"/>
        <w:rPr>
          <w:color w:val="auto"/>
          <w:highlight w:val="none"/>
        </w:rPr>
      </w:pPr>
      <w:r>
        <w:rPr>
          <w:rFonts w:hint="eastAsia"/>
          <w:color w:val="auto"/>
          <w:highlight w:val="none"/>
        </w:rPr>
        <w:t>承口、插口及法兰压盖工作面上不得有泥沙及制作毛刺。</w:t>
      </w:r>
    </w:p>
    <w:p>
      <w:pPr>
        <w:numPr>
          <w:ilvl w:val="0"/>
          <w:numId w:val="108"/>
        </w:numPr>
        <w:bidi w:val="0"/>
        <w:ind w:left="758" w:leftChars="0"/>
        <w:rPr>
          <w:color w:val="auto"/>
          <w:highlight w:val="none"/>
        </w:rPr>
      </w:pPr>
      <w:r>
        <w:rPr>
          <w:rFonts w:hint="eastAsia"/>
          <w:color w:val="auto"/>
          <w:highlight w:val="none"/>
        </w:rPr>
        <w:t>安装所在的平面应与管的轴线垂直。</w:t>
      </w:r>
    </w:p>
    <w:p>
      <w:pPr>
        <w:numPr>
          <w:ilvl w:val="0"/>
          <w:numId w:val="108"/>
        </w:numPr>
        <w:bidi w:val="0"/>
        <w:ind w:left="758" w:leftChars="0"/>
        <w:rPr>
          <w:color w:val="auto"/>
          <w:highlight w:val="none"/>
        </w:rPr>
      </w:pPr>
      <w:r>
        <w:rPr>
          <w:rFonts w:hint="eastAsia"/>
          <w:color w:val="auto"/>
          <w:highlight w:val="none"/>
        </w:rPr>
        <w:t>胶圈边缘与上、下端对齐。</w:t>
      </w:r>
    </w:p>
    <w:p>
      <w:pPr>
        <w:numPr>
          <w:ilvl w:val="0"/>
          <w:numId w:val="108"/>
        </w:numPr>
        <w:bidi w:val="0"/>
        <w:ind w:left="758" w:leftChars="0"/>
        <w:rPr>
          <w:color w:val="auto"/>
          <w:highlight w:val="none"/>
        </w:rPr>
      </w:pPr>
      <w:r>
        <w:rPr>
          <w:rFonts w:hint="eastAsia"/>
          <w:color w:val="auto"/>
          <w:highlight w:val="none"/>
        </w:rPr>
        <w:t>插口端插入承口内，为保持橡胶圈在承口深度四周相同，在插进中要保证插入管的轴线与承口管的轴线在同一直线上。</w:t>
      </w:r>
    </w:p>
    <w:p>
      <w:pPr>
        <w:numPr>
          <w:ilvl w:val="0"/>
          <w:numId w:val="108"/>
        </w:numPr>
        <w:bidi w:val="0"/>
        <w:ind w:left="758" w:leftChars="0"/>
        <w:rPr>
          <w:color w:val="auto"/>
          <w:highlight w:val="none"/>
        </w:rPr>
      </w:pPr>
      <w:r>
        <w:rPr>
          <w:rFonts w:hint="eastAsia"/>
          <w:color w:val="auto"/>
          <w:highlight w:val="none"/>
        </w:rPr>
        <w:t>拧紧螺栓时，要使密封圈均匀受力，不得一次拧紧，应逐个逐次拧紧到位。</w:t>
      </w:r>
    </w:p>
    <w:p>
      <w:pPr>
        <w:numPr>
          <w:ilvl w:val="0"/>
          <w:numId w:val="108"/>
        </w:numPr>
        <w:bidi w:val="0"/>
        <w:ind w:left="758" w:leftChars="0"/>
        <w:rPr>
          <w:color w:val="auto"/>
          <w:highlight w:val="none"/>
        </w:rPr>
      </w:pPr>
      <w:r>
        <w:rPr>
          <w:rFonts w:hint="eastAsia"/>
          <w:color w:val="auto"/>
          <w:highlight w:val="none"/>
        </w:rPr>
        <w:t>安装立管时，每个接口处，要用管箍固定在建筑物上。</w:t>
      </w:r>
    </w:p>
    <w:p>
      <w:pPr>
        <w:numPr>
          <w:ilvl w:val="1"/>
          <w:numId w:val="107"/>
        </w:numPr>
        <w:bidi w:val="0"/>
        <w:rPr>
          <w:color w:val="auto"/>
          <w:highlight w:val="none"/>
        </w:rPr>
      </w:pPr>
      <w:r>
        <w:rPr>
          <w:rFonts w:hint="eastAsia"/>
          <w:color w:val="auto"/>
          <w:highlight w:val="none"/>
        </w:rPr>
        <w:t>卡箍连接</w:t>
      </w:r>
    </w:p>
    <w:p>
      <w:pPr>
        <w:numPr>
          <w:ilvl w:val="0"/>
          <w:numId w:val="109"/>
        </w:numPr>
        <w:bidi w:val="0"/>
        <w:ind w:left="758" w:leftChars="0"/>
        <w:rPr>
          <w:color w:val="auto"/>
          <w:highlight w:val="none"/>
        </w:rPr>
      </w:pPr>
      <w:r>
        <w:rPr>
          <w:rFonts w:hint="eastAsia"/>
          <w:color w:val="auto"/>
          <w:highlight w:val="none"/>
        </w:rPr>
        <w:t>沟槽式卡箍连接：管接头与管体相连，确保管体和管件之间不会轴向脱开，在密封圈的包裹下确保接头处无渗漏。</w:t>
      </w:r>
    </w:p>
    <w:p>
      <w:pPr>
        <w:numPr>
          <w:ilvl w:val="0"/>
          <w:numId w:val="109"/>
        </w:numPr>
        <w:bidi w:val="0"/>
        <w:ind w:left="758" w:leftChars="0"/>
        <w:rPr>
          <w:color w:val="auto"/>
          <w:highlight w:val="none"/>
        </w:rPr>
      </w:pPr>
      <w:r>
        <w:rPr>
          <w:rFonts w:hint="eastAsia"/>
          <w:color w:val="auto"/>
          <w:highlight w:val="none"/>
        </w:rPr>
        <w:t>柔性机制铸铁管卡箍连接：排水坡度符合设计要求。管道断口平整、光滑、无毛刺、台阶、裂缝。橡胶密封圈应均匀平整地套在相连接的两管道上，相连接管道平直度应符合规范要求。</w:t>
      </w:r>
    </w:p>
    <w:p>
      <w:pPr>
        <w:numPr>
          <w:ilvl w:val="0"/>
          <w:numId w:val="109"/>
        </w:numPr>
        <w:bidi w:val="0"/>
        <w:ind w:left="758" w:leftChars="0"/>
        <w:rPr>
          <w:color w:val="auto"/>
          <w:highlight w:val="none"/>
        </w:rPr>
      </w:pPr>
      <w:r>
        <w:rPr>
          <w:rFonts w:hint="eastAsia"/>
          <w:color w:val="auto"/>
          <w:highlight w:val="none"/>
        </w:rPr>
        <w:t>加强卡箍：柔性机制铸铁排水干管和立管使用加强卡箍连接。</w:t>
      </w:r>
    </w:p>
    <w:p>
      <w:pPr>
        <w:numPr>
          <w:ilvl w:val="1"/>
          <w:numId w:val="107"/>
        </w:numPr>
        <w:bidi w:val="0"/>
        <w:rPr>
          <w:color w:val="auto"/>
          <w:highlight w:val="none"/>
        </w:rPr>
      </w:pPr>
      <w:r>
        <w:rPr>
          <w:rFonts w:hint="eastAsia"/>
          <w:color w:val="auto"/>
          <w:highlight w:val="none"/>
        </w:rPr>
        <w:t>排水立管应每层设置支架固定，支架间距不宜大于</w:t>
      </w:r>
      <w:r>
        <w:rPr>
          <w:color w:val="auto"/>
          <w:highlight w:val="none"/>
        </w:rPr>
        <w:t>1.5</w:t>
      </w:r>
      <w:r>
        <w:rPr>
          <w:rFonts w:hint="eastAsia"/>
          <w:color w:val="auto"/>
          <w:highlight w:val="none"/>
        </w:rPr>
        <w:t>m，层高小于或等于</w:t>
      </w:r>
      <w:r>
        <w:rPr>
          <w:color w:val="auto"/>
          <w:highlight w:val="none"/>
        </w:rPr>
        <w:t>3</w:t>
      </w:r>
      <w:r>
        <w:rPr>
          <w:rFonts w:hint="eastAsia"/>
          <w:color w:val="auto"/>
          <w:highlight w:val="none"/>
        </w:rPr>
        <w:t>m时，可只设一个支架。</w:t>
      </w:r>
    </w:p>
    <w:p>
      <w:pPr>
        <w:numPr>
          <w:ilvl w:val="1"/>
          <w:numId w:val="107"/>
        </w:numPr>
        <w:bidi w:val="0"/>
        <w:rPr>
          <w:color w:val="auto"/>
          <w:highlight w:val="none"/>
        </w:rPr>
      </w:pPr>
      <w:r>
        <w:rPr>
          <w:rFonts w:hint="eastAsia"/>
          <w:color w:val="auto"/>
          <w:highlight w:val="none"/>
        </w:rPr>
        <w:t>铸铁管水平管段按规范要求增加清扫口。</w:t>
      </w:r>
    </w:p>
    <w:p>
      <w:pPr>
        <w:pStyle w:val="5"/>
        <w:bidi w:val="0"/>
        <w:rPr>
          <w:color w:val="auto"/>
          <w:highlight w:val="none"/>
        </w:rPr>
      </w:pPr>
      <w:r>
        <w:rPr>
          <w:rFonts w:hint="eastAsia"/>
          <w:color w:val="auto"/>
          <w:highlight w:val="none"/>
        </w:rPr>
        <w:t>排水系统</w:t>
      </w:r>
      <w:r>
        <w:rPr>
          <w:color w:val="auto"/>
          <w:highlight w:val="none"/>
        </w:rPr>
        <w:t>–</w:t>
      </w:r>
      <w:r>
        <w:rPr>
          <w:rFonts w:hint="eastAsia"/>
          <w:color w:val="auto"/>
          <w:highlight w:val="none"/>
        </w:rPr>
        <w:t>镀锌钢管</w:t>
      </w:r>
      <w:r>
        <w:rPr>
          <w:color w:val="auto"/>
          <w:highlight w:val="none"/>
        </w:rPr>
        <w:t>安装</w:t>
      </w:r>
      <w:r>
        <w:rPr>
          <w:rFonts w:hint="eastAsia"/>
          <w:color w:val="auto"/>
          <w:highlight w:val="none"/>
        </w:rPr>
        <w:t>（雨水系统</w:t>
      </w:r>
      <w:r>
        <w:rPr>
          <w:color w:val="auto"/>
          <w:highlight w:val="none"/>
        </w:rPr>
        <w:t>）</w:t>
      </w:r>
    </w:p>
    <w:p>
      <w:pPr>
        <w:numPr>
          <w:ilvl w:val="1"/>
          <w:numId w:val="110"/>
        </w:numPr>
        <w:bidi w:val="0"/>
        <w:rPr>
          <w:color w:val="auto"/>
          <w:highlight w:val="none"/>
        </w:rPr>
      </w:pPr>
      <w:r>
        <w:rPr>
          <w:rFonts w:hint="eastAsia"/>
          <w:color w:val="auto"/>
          <w:highlight w:val="none"/>
        </w:rPr>
        <w:t>锌钢管应符合现行国家标准《低压流体输送用焊接钢管》（GB/T3091）的有关规定。</w:t>
      </w:r>
    </w:p>
    <w:p>
      <w:pPr>
        <w:numPr>
          <w:ilvl w:val="1"/>
          <w:numId w:val="110"/>
        </w:numPr>
        <w:bidi w:val="0"/>
        <w:rPr>
          <w:color w:val="auto"/>
          <w:highlight w:val="none"/>
        </w:rPr>
      </w:pPr>
      <w:r>
        <w:rPr>
          <w:rFonts w:hint="eastAsia"/>
          <w:color w:val="auto"/>
          <w:highlight w:val="none"/>
        </w:rPr>
        <w:t>管材、管件的材质、规格、管径应符合设计要求，并应有质量合格证明文件。</w:t>
      </w:r>
    </w:p>
    <w:p>
      <w:pPr>
        <w:numPr>
          <w:ilvl w:val="1"/>
          <w:numId w:val="110"/>
        </w:numPr>
        <w:bidi w:val="0"/>
        <w:rPr>
          <w:color w:val="auto"/>
          <w:highlight w:val="none"/>
        </w:rPr>
      </w:pPr>
      <w:r>
        <w:rPr>
          <w:rFonts w:hint="eastAsia"/>
          <w:color w:val="auto"/>
          <w:highlight w:val="none"/>
        </w:rPr>
        <w:t>管材、管件等材料的表面应完好无损，钢管和管件表面应无裂纹、夹渣、重皮等缺陷。</w:t>
      </w:r>
    </w:p>
    <w:p>
      <w:pPr>
        <w:numPr>
          <w:ilvl w:val="1"/>
          <w:numId w:val="110"/>
        </w:numPr>
        <w:bidi w:val="0"/>
        <w:rPr>
          <w:color w:val="auto"/>
          <w:highlight w:val="none"/>
        </w:rPr>
      </w:pPr>
      <w:r>
        <w:rPr>
          <w:rFonts w:hint="eastAsia"/>
          <w:color w:val="auto"/>
          <w:highlight w:val="none"/>
        </w:rPr>
        <w:t>管道切割应采用机械切割，切口表面应平整，并应与管道中心线垂直。</w:t>
      </w:r>
    </w:p>
    <w:p>
      <w:pPr>
        <w:numPr>
          <w:ilvl w:val="1"/>
          <w:numId w:val="110"/>
        </w:numPr>
        <w:bidi w:val="0"/>
        <w:rPr>
          <w:color w:val="auto"/>
          <w:highlight w:val="none"/>
        </w:rPr>
      </w:pPr>
      <w:r>
        <w:rPr>
          <w:rFonts w:hint="eastAsia"/>
          <w:color w:val="auto"/>
          <w:highlight w:val="none"/>
        </w:rPr>
        <w:t>管道的连接应符合设计要求及国家现行有关标准规定，采用螺纹、法兰或沟槽连接件等方式。</w:t>
      </w:r>
    </w:p>
    <w:p>
      <w:pPr>
        <w:numPr>
          <w:ilvl w:val="1"/>
          <w:numId w:val="110"/>
        </w:numPr>
        <w:bidi w:val="0"/>
        <w:rPr>
          <w:color w:val="auto"/>
          <w:highlight w:val="none"/>
        </w:rPr>
      </w:pPr>
      <w:r>
        <w:rPr>
          <w:rFonts w:hint="eastAsia"/>
          <w:color w:val="auto"/>
          <w:highlight w:val="none"/>
        </w:rPr>
        <w:t>当采用法兰连接时，法兰应垂直于管道中心线，两个法兰的表面应相互平行，紧固螺纹部分应做防腐处理。</w:t>
      </w:r>
    </w:p>
    <w:p>
      <w:pPr>
        <w:numPr>
          <w:ilvl w:val="1"/>
          <w:numId w:val="110"/>
        </w:numPr>
        <w:bidi w:val="0"/>
        <w:rPr>
          <w:color w:val="auto"/>
          <w:highlight w:val="none"/>
        </w:rPr>
      </w:pPr>
      <w:r>
        <w:rPr>
          <w:rFonts w:hint="eastAsia"/>
          <w:color w:val="auto"/>
          <w:highlight w:val="none"/>
        </w:rPr>
        <w:t>管道支、吊架应固定在承重结构上，位置应正确，埋设应牢固。</w:t>
      </w:r>
    </w:p>
    <w:p>
      <w:pPr>
        <w:numPr>
          <w:ilvl w:val="1"/>
          <w:numId w:val="110"/>
        </w:numPr>
        <w:bidi w:val="0"/>
        <w:rPr>
          <w:color w:val="auto"/>
          <w:highlight w:val="none"/>
        </w:rPr>
      </w:pPr>
      <w:r>
        <w:rPr>
          <w:rFonts w:hint="eastAsia"/>
          <w:color w:val="auto"/>
          <w:highlight w:val="none"/>
        </w:rPr>
        <w:t>管道金属固定件的内、外层应采取防腐处理措施。</w:t>
      </w:r>
    </w:p>
    <w:p>
      <w:pPr>
        <w:numPr>
          <w:ilvl w:val="1"/>
          <w:numId w:val="110"/>
        </w:numPr>
        <w:bidi w:val="0"/>
        <w:rPr>
          <w:color w:val="auto"/>
          <w:highlight w:val="none"/>
        </w:rPr>
      </w:pPr>
      <w:r>
        <w:rPr>
          <w:rFonts w:hint="eastAsia"/>
          <w:color w:val="auto"/>
          <w:highlight w:val="none"/>
        </w:rPr>
        <w:t>管道穿过墙壁及楼板时，应设置套管。</w:t>
      </w:r>
    </w:p>
    <w:p>
      <w:pPr>
        <w:pStyle w:val="5"/>
        <w:bidi w:val="0"/>
        <w:rPr>
          <w:color w:val="auto"/>
          <w:highlight w:val="none"/>
        </w:rPr>
      </w:pPr>
      <w:r>
        <w:rPr>
          <w:color w:val="auto"/>
          <w:highlight w:val="none"/>
        </w:rPr>
        <w:t>同层排水立管集水器安装</w:t>
      </w:r>
    </w:p>
    <w:p>
      <w:pPr>
        <w:numPr>
          <w:ilvl w:val="1"/>
          <w:numId w:val="111"/>
        </w:numPr>
        <w:bidi w:val="0"/>
        <w:rPr>
          <w:color w:val="auto"/>
          <w:highlight w:val="none"/>
        </w:rPr>
      </w:pPr>
      <w:r>
        <w:rPr>
          <w:color w:val="auto"/>
          <w:highlight w:val="none"/>
        </w:rPr>
        <w:t>用混凝土将沉降地面同集水器找平，以防水保护圈为最低点做泻水坡，确保集水器最低，以便渗水尽快流走。</w:t>
      </w:r>
    </w:p>
    <w:p>
      <w:pPr>
        <w:numPr>
          <w:ilvl w:val="1"/>
          <w:numId w:val="111"/>
        </w:numPr>
        <w:bidi w:val="0"/>
        <w:rPr>
          <w:color w:val="auto"/>
          <w:highlight w:val="none"/>
        </w:rPr>
      </w:pPr>
      <w:r>
        <w:rPr>
          <w:color w:val="auto"/>
          <w:highlight w:val="none"/>
        </w:rPr>
        <w:t>防水工序符合建筑施工相关规范，防水材料应做到防水保护圈上，蓄水验收正常后，将防水保护圈除去。</w:t>
      </w:r>
    </w:p>
    <w:p>
      <w:pPr>
        <w:numPr>
          <w:ilvl w:val="1"/>
          <w:numId w:val="111"/>
        </w:numPr>
        <w:bidi w:val="0"/>
        <w:rPr>
          <w:color w:val="auto"/>
          <w:highlight w:val="none"/>
        </w:rPr>
      </w:pPr>
      <w:r>
        <w:rPr>
          <w:color w:val="auto"/>
          <w:highlight w:val="none"/>
        </w:rPr>
        <w:t>在排水孔的周围堆放直径大于20mm的砾石覆盖(堆放高于50mm为宜），确定具有一定厚度再回填炉渣。</w:t>
      </w:r>
    </w:p>
    <w:p>
      <w:pPr>
        <w:pStyle w:val="5"/>
        <w:bidi w:val="0"/>
        <w:rPr>
          <w:color w:val="auto"/>
          <w:highlight w:val="none"/>
        </w:rPr>
      </w:pPr>
      <w:r>
        <w:rPr>
          <w:color w:val="auto"/>
          <w:highlight w:val="none"/>
        </w:rPr>
        <w:t>预埋式地漏安装</w:t>
      </w:r>
    </w:p>
    <w:p>
      <w:pPr>
        <w:numPr>
          <w:ilvl w:val="1"/>
          <w:numId w:val="112"/>
        </w:numPr>
        <w:bidi w:val="0"/>
        <w:rPr>
          <w:color w:val="auto"/>
          <w:highlight w:val="none"/>
        </w:rPr>
      </w:pPr>
      <w:r>
        <w:rPr>
          <w:color w:val="auto"/>
          <w:highlight w:val="none"/>
        </w:rPr>
        <w:t>按照图纸，确定排水管道离墙尺寸，确定预留PVC地漏的位置。根据位移情况适当调整地漏的位置，控制好上下层地漏的垂直度。</w:t>
      </w:r>
    </w:p>
    <w:p>
      <w:pPr>
        <w:numPr>
          <w:ilvl w:val="1"/>
          <w:numId w:val="112"/>
        </w:numPr>
        <w:bidi w:val="0"/>
        <w:rPr>
          <w:color w:val="auto"/>
          <w:highlight w:val="none"/>
        </w:rPr>
      </w:pPr>
      <w:r>
        <w:rPr>
          <w:color w:val="auto"/>
          <w:highlight w:val="none"/>
        </w:rPr>
        <w:t>固定PVC地漏：用铁锤和钢钉将止水节固定在模板上。</w:t>
      </w:r>
    </w:p>
    <w:p>
      <w:pPr>
        <w:numPr>
          <w:ilvl w:val="1"/>
          <w:numId w:val="112"/>
        </w:numPr>
        <w:bidi w:val="0"/>
        <w:rPr>
          <w:color w:val="auto"/>
          <w:highlight w:val="none"/>
        </w:rPr>
      </w:pPr>
      <w:r>
        <w:rPr>
          <w:color w:val="auto"/>
          <w:highlight w:val="none"/>
        </w:rPr>
        <w:t>排水管安装时将地漏内壁及承口清理干净，将立管及支管的插口外壁清理干净；将胶粘剂分别涂于承口内壁及插口外壁，胶粘剂涂刷应快速均匀。</w:t>
      </w:r>
    </w:p>
    <w:p>
      <w:pPr>
        <w:pStyle w:val="5"/>
        <w:bidi w:val="0"/>
        <w:rPr>
          <w:color w:val="auto"/>
          <w:highlight w:val="none"/>
        </w:rPr>
      </w:pPr>
      <w:r>
        <w:rPr>
          <w:color w:val="auto"/>
          <w:highlight w:val="none"/>
        </w:rPr>
        <w:t>虹吸雨水斗安装</w:t>
      </w:r>
    </w:p>
    <w:p>
      <w:pPr>
        <w:numPr>
          <w:ilvl w:val="1"/>
          <w:numId w:val="113"/>
        </w:numPr>
        <w:bidi w:val="0"/>
        <w:rPr>
          <w:color w:val="auto"/>
          <w:highlight w:val="none"/>
        </w:rPr>
      </w:pPr>
      <w:r>
        <w:rPr>
          <w:color w:val="auto"/>
          <w:highlight w:val="none"/>
        </w:rPr>
        <w:t>雨水斗的进水口应水平安装，其高度应保证天沟内的雨水能通过雨水斗排净。</w:t>
      </w:r>
    </w:p>
    <w:p>
      <w:pPr>
        <w:numPr>
          <w:ilvl w:val="1"/>
          <w:numId w:val="113"/>
        </w:numPr>
        <w:bidi w:val="0"/>
        <w:rPr>
          <w:color w:val="auto"/>
          <w:highlight w:val="none"/>
        </w:rPr>
      </w:pPr>
      <w:r>
        <w:rPr>
          <w:color w:val="auto"/>
          <w:highlight w:val="none"/>
        </w:rPr>
        <w:t>雨水斗安装时，应在屋面防水施工完成、确认雨水管道畅通、清除流入短管内的密封膏后，再安装整流器、导流罩等部件。</w:t>
      </w:r>
    </w:p>
    <w:p>
      <w:pPr>
        <w:numPr>
          <w:ilvl w:val="1"/>
          <w:numId w:val="113"/>
        </w:numPr>
        <w:bidi w:val="0"/>
        <w:rPr>
          <w:color w:val="auto"/>
          <w:highlight w:val="none"/>
        </w:rPr>
      </w:pPr>
      <w:r>
        <w:rPr>
          <w:color w:val="auto"/>
          <w:highlight w:val="none"/>
        </w:rPr>
        <w:t>雨水斗安装后，其边缘与屋面相连处应严密不漏。</w:t>
      </w:r>
    </w:p>
    <w:p>
      <w:pPr>
        <w:pStyle w:val="5"/>
        <w:bidi w:val="0"/>
        <w:rPr>
          <w:color w:val="auto"/>
          <w:highlight w:val="none"/>
        </w:rPr>
      </w:pPr>
      <w:r>
        <w:rPr>
          <w:color w:val="auto"/>
          <w:highlight w:val="none"/>
        </w:rPr>
        <w:t>预埋止水节安装</w:t>
      </w:r>
    </w:p>
    <w:p>
      <w:pPr>
        <w:numPr>
          <w:ilvl w:val="1"/>
          <w:numId w:val="114"/>
        </w:numPr>
        <w:bidi w:val="0"/>
        <w:rPr>
          <w:color w:val="auto"/>
          <w:highlight w:val="none"/>
        </w:rPr>
      </w:pPr>
      <w:r>
        <w:rPr>
          <w:color w:val="auto"/>
          <w:highlight w:val="none"/>
        </w:rPr>
        <w:t>按照图纸，确定排水管道离墙尺寸，确定预留PVC止水节的位置。根据位移情况适当调整止水节的位置，控制好上下层止水节的垂直度。</w:t>
      </w:r>
    </w:p>
    <w:p>
      <w:pPr>
        <w:numPr>
          <w:ilvl w:val="1"/>
          <w:numId w:val="114"/>
        </w:numPr>
        <w:bidi w:val="0"/>
        <w:rPr>
          <w:color w:val="auto"/>
          <w:highlight w:val="none"/>
        </w:rPr>
      </w:pPr>
      <w:r>
        <w:rPr>
          <w:color w:val="auto"/>
          <w:highlight w:val="none"/>
        </w:rPr>
        <w:t>固定PVC止水节：用铁锤和钢钉将止水节固定在模板上。</w:t>
      </w:r>
    </w:p>
    <w:p>
      <w:pPr>
        <w:numPr>
          <w:ilvl w:val="1"/>
          <w:numId w:val="114"/>
        </w:numPr>
        <w:bidi w:val="0"/>
        <w:rPr>
          <w:color w:val="auto"/>
          <w:highlight w:val="none"/>
        </w:rPr>
      </w:pPr>
      <w:r>
        <w:rPr>
          <w:color w:val="auto"/>
          <w:highlight w:val="none"/>
        </w:rPr>
        <w:t>排水管安装时将止水节内壁及承口清理干净，将立管及支管的插口外壁清理干净；将胶粘剂分别涂于承口内壁及插口外壁，胶粘剂涂刷应快速均匀。</w:t>
      </w:r>
    </w:p>
    <w:p>
      <w:pPr>
        <w:pStyle w:val="5"/>
        <w:bidi w:val="0"/>
        <w:rPr>
          <w:color w:val="auto"/>
          <w:highlight w:val="none"/>
        </w:rPr>
      </w:pPr>
      <w:r>
        <w:rPr>
          <w:color w:val="auto"/>
          <w:highlight w:val="none"/>
        </w:rPr>
        <w:t>水平管道支架安装</w:t>
      </w:r>
    </w:p>
    <w:p>
      <w:pPr>
        <w:numPr>
          <w:ilvl w:val="1"/>
          <w:numId w:val="115"/>
        </w:numPr>
        <w:bidi w:val="0"/>
        <w:rPr>
          <w:color w:val="auto"/>
          <w:highlight w:val="none"/>
        </w:rPr>
      </w:pPr>
      <w:r>
        <w:rPr>
          <w:color w:val="auto"/>
          <w:highlight w:val="none"/>
        </w:rPr>
        <w:t>支架安装应平整、牢固，与管子接触紧密。</w:t>
      </w:r>
    </w:p>
    <w:p>
      <w:pPr>
        <w:numPr>
          <w:ilvl w:val="1"/>
          <w:numId w:val="115"/>
        </w:numPr>
        <w:bidi w:val="0"/>
        <w:rPr>
          <w:color w:val="auto"/>
          <w:highlight w:val="none"/>
        </w:rPr>
      </w:pPr>
      <w:r>
        <w:rPr>
          <w:color w:val="auto"/>
          <w:highlight w:val="none"/>
        </w:rPr>
        <w:t>支、托、吊架上不允许有管道焊缝、管件。</w:t>
      </w:r>
    </w:p>
    <w:p>
      <w:pPr>
        <w:numPr>
          <w:ilvl w:val="1"/>
          <w:numId w:val="115"/>
        </w:numPr>
        <w:bidi w:val="0"/>
        <w:rPr>
          <w:color w:val="auto"/>
          <w:highlight w:val="none"/>
        </w:rPr>
      </w:pPr>
      <w:r>
        <w:rPr>
          <w:color w:val="auto"/>
          <w:highlight w:val="none"/>
        </w:rPr>
        <w:t>支架标高应正确，对有坡度要求的管道，支架的标高应满足坡度要求。</w:t>
      </w:r>
    </w:p>
    <w:p>
      <w:pPr>
        <w:numPr>
          <w:ilvl w:val="1"/>
          <w:numId w:val="115"/>
        </w:numPr>
        <w:bidi w:val="0"/>
        <w:rPr>
          <w:color w:val="auto"/>
          <w:highlight w:val="none"/>
        </w:rPr>
      </w:pPr>
      <w:r>
        <w:rPr>
          <w:color w:val="auto"/>
          <w:highlight w:val="none"/>
        </w:rPr>
        <w:t>支架间距及材质必须符合相关规范要求。</w:t>
      </w:r>
    </w:p>
    <w:p>
      <w:pPr>
        <w:pStyle w:val="5"/>
        <w:bidi w:val="0"/>
        <w:rPr>
          <w:color w:val="auto"/>
          <w:highlight w:val="none"/>
        </w:rPr>
      </w:pPr>
      <w:r>
        <w:rPr>
          <w:color w:val="auto"/>
          <w:highlight w:val="none"/>
        </w:rPr>
        <w:t>垂直管道支架安装</w:t>
      </w:r>
    </w:p>
    <w:p>
      <w:pPr>
        <w:numPr>
          <w:ilvl w:val="1"/>
          <w:numId w:val="116"/>
        </w:numPr>
        <w:bidi w:val="0"/>
        <w:rPr>
          <w:color w:val="auto"/>
          <w:highlight w:val="none"/>
        </w:rPr>
      </w:pPr>
      <w:r>
        <w:rPr>
          <w:color w:val="auto"/>
          <w:highlight w:val="none"/>
        </w:rPr>
        <w:t>管道安装时必须按不同管径和要求设置管卡或吊架，位置应准确，管卡与管道接触应紧密，不得损伤管道表面。</w:t>
      </w:r>
    </w:p>
    <w:p>
      <w:pPr>
        <w:numPr>
          <w:ilvl w:val="1"/>
          <w:numId w:val="116"/>
        </w:numPr>
        <w:bidi w:val="0"/>
        <w:rPr>
          <w:color w:val="auto"/>
          <w:highlight w:val="none"/>
        </w:rPr>
      </w:pPr>
      <w:r>
        <w:rPr>
          <w:color w:val="auto"/>
          <w:highlight w:val="none"/>
        </w:rPr>
        <w:t>采用金属卡或吊架时，金属管卡与管道之间应采用塑料带或橡胶等软物隔垫。</w:t>
      </w:r>
    </w:p>
    <w:p>
      <w:pPr>
        <w:numPr>
          <w:ilvl w:val="1"/>
          <w:numId w:val="116"/>
        </w:numPr>
        <w:bidi w:val="0"/>
        <w:rPr>
          <w:color w:val="auto"/>
          <w:highlight w:val="none"/>
        </w:rPr>
      </w:pPr>
      <w:r>
        <w:rPr>
          <w:color w:val="auto"/>
          <w:highlight w:val="none"/>
        </w:rPr>
        <w:t>支架间距及材质必须符合相关规范要求。</w:t>
      </w:r>
    </w:p>
    <w:p>
      <w:pPr>
        <w:pStyle w:val="5"/>
        <w:bidi w:val="0"/>
        <w:rPr>
          <w:color w:val="auto"/>
          <w:highlight w:val="none"/>
        </w:rPr>
      </w:pPr>
      <w:r>
        <w:rPr>
          <w:rFonts w:hint="eastAsia"/>
          <w:color w:val="auto"/>
          <w:highlight w:val="none"/>
        </w:rPr>
        <w:t>对总承包人</w:t>
      </w:r>
      <w:r>
        <w:rPr>
          <w:color w:val="auto"/>
          <w:highlight w:val="none"/>
        </w:rPr>
        <w:t>综合支吊架的深化及安装要求</w:t>
      </w:r>
    </w:p>
    <w:p>
      <w:pPr>
        <w:numPr>
          <w:ilvl w:val="1"/>
          <w:numId w:val="117"/>
        </w:numPr>
        <w:bidi w:val="0"/>
        <w:rPr>
          <w:color w:val="auto"/>
          <w:highlight w:val="none"/>
        </w:rPr>
      </w:pPr>
      <w:r>
        <w:rPr>
          <w:rFonts w:hint="eastAsia"/>
          <w:color w:val="auto"/>
          <w:highlight w:val="none"/>
        </w:rPr>
        <w:t>综合</w:t>
      </w:r>
      <w:r>
        <w:rPr>
          <w:color w:val="auto"/>
          <w:highlight w:val="none"/>
        </w:rPr>
        <w:t>支吊架的</w:t>
      </w:r>
      <w:r>
        <w:rPr>
          <w:rFonts w:hint="eastAsia"/>
          <w:color w:val="auto"/>
          <w:highlight w:val="none"/>
        </w:rPr>
        <w:t>设计</w:t>
      </w:r>
      <w:r>
        <w:rPr>
          <w:color w:val="auto"/>
          <w:highlight w:val="none"/>
        </w:rPr>
        <w:t>范围为：</w:t>
      </w:r>
      <w:r>
        <w:rPr>
          <w:rFonts w:hint="eastAsia"/>
          <w:color w:val="auto"/>
          <w:highlight w:val="none"/>
        </w:rPr>
        <w:t>地下室机电管线集中区域（空调通风、给排水、消防、桥架等）由总承包人负责管线综合深化和联合支吊架的深化，并负责供应和安装施工。综合支吊架深化设计</w:t>
      </w:r>
      <w:r>
        <w:rPr>
          <w:color w:val="auto"/>
          <w:highlight w:val="none"/>
        </w:rPr>
        <w:t>后需满足以下要求：</w:t>
      </w:r>
    </w:p>
    <w:p>
      <w:pPr>
        <w:numPr>
          <w:ilvl w:val="0"/>
          <w:numId w:val="118"/>
        </w:numPr>
        <w:bidi w:val="0"/>
        <w:ind w:left="758" w:leftChars="0"/>
        <w:rPr>
          <w:color w:val="auto"/>
          <w:highlight w:val="none"/>
        </w:rPr>
      </w:pPr>
      <w:r>
        <w:rPr>
          <w:rFonts w:hint="eastAsia"/>
          <w:color w:val="auto"/>
          <w:highlight w:val="none"/>
        </w:rPr>
        <w:t>满足设计净高，检修要求。</w:t>
      </w:r>
    </w:p>
    <w:p>
      <w:pPr>
        <w:numPr>
          <w:ilvl w:val="0"/>
          <w:numId w:val="118"/>
        </w:numPr>
        <w:bidi w:val="0"/>
        <w:ind w:left="758" w:leftChars="0"/>
        <w:rPr>
          <w:color w:val="auto"/>
          <w:highlight w:val="none"/>
        </w:rPr>
      </w:pPr>
      <w:r>
        <w:rPr>
          <w:rFonts w:hint="eastAsia"/>
          <w:color w:val="auto"/>
          <w:highlight w:val="none"/>
        </w:rPr>
        <w:t>梁板结构地下室最不利机电综合占用层高尽可能不应大于</w:t>
      </w:r>
      <w:r>
        <w:rPr>
          <w:color w:val="auto"/>
          <w:highlight w:val="none"/>
        </w:rPr>
        <w:t>600mm；大板结构地下室最不利机电综合占用层高不应大于750mm。</w:t>
      </w:r>
    </w:p>
    <w:p>
      <w:pPr>
        <w:numPr>
          <w:ilvl w:val="0"/>
          <w:numId w:val="118"/>
        </w:numPr>
        <w:bidi w:val="0"/>
        <w:ind w:left="758" w:leftChars="0"/>
        <w:rPr>
          <w:color w:val="auto"/>
          <w:highlight w:val="none"/>
        </w:rPr>
      </w:pPr>
      <w:r>
        <w:rPr>
          <w:rFonts w:hint="eastAsia"/>
          <w:color w:val="auto"/>
          <w:highlight w:val="none"/>
        </w:rPr>
        <w:t>机电末端</w:t>
      </w:r>
      <w:r>
        <w:rPr>
          <w:color w:val="auto"/>
          <w:highlight w:val="none"/>
        </w:rPr>
        <w:t>成排成线，满足美观要求。</w:t>
      </w:r>
    </w:p>
    <w:p>
      <w:pPr>
        <w:numPr>
          <w:ilvl w:val="1"/>
          <w:numId w:val="117"/>
        </w:numPr>
        <w:bidi w:val="0"/>
        <w:rPr>
          <w:color w:val="auto"/>
          <w:highlight w:val="none"/>
        </w:rPr>
      </w:pPr>
      <w:r>
        <w:rPr>
          <w:rFonts w:hint="eastAsia"/>
          <w:color w:val="auto"/>
          <w:highlight w:val="none"/>
        </w:rPr>
        <w:t>抗震支吊架设计涉及多种复杂荷载形式的计算和配件的选用计算，必须由制造商的技术人员完成抗震支架的深化设计并指导安装。</w:t>
      </w:r>
    </w:p>
    <w:p>
      <w:pPr>
        <w:numPr>
          <w:ilvl w:val="1"/>
          <w:numId w:val="117"/>
        </w:numPr>
        <w:bidi w:val="0"/>
        <w:rPr>
          <w:color w:val="auto"/>
          <w:highlight w:val="none"/>
        </w:rPr>
      </w:pPr>
      <w:r>
        <w:rPr>
          <w:rFonts w:hint="eastAsia"/>
          <w:color w:val="auto"/>
          <w:highlight w:val="none"/>
        </w:rPr>
        <w:t>抗震支吊架</w:t>
      </w:r>
      <w:r>
        <w:rPr>
          <w:color w:val="auto"/>
          <w:highlight w:val="none"/>
        </w:rPr>
        <w:t>的设计必须满足《</w:t>
      </w:r>
      <w:r>
        <w:rPr>
          <w:rFonts w:hint="eastAsia"/>
          <w:color w:val="auto"/>
          <w:highlight w:val="none"/>
        </w:rPr>
        <w:t>建筑</w:t>
      </w:r>
      <w:r>
        <w:rPr>
          <w:color w:val="auto"/>
          <w:highlight w:val="none"/>
        </w:rPr>
        <w:t>机电抗震设计规范》</w:t>
      </w:r>
      <w:r>
        <w:rPr>
          <w:rFonts w:hint="eastAsia"/>
          <w:color w:val="auto"/>
          <w:highlight w:val="none"/>
        </w:rPr>
        <w:t>（GB50981）的</w:t>
      </w:r>
      <w:r>
        <w:rPr>
          <w:color w:val="auto"/>
          <w:highlight w:val="none"/>
        </w:rPr>
        <w:t>要求</w:t>
      </w:r>
      <w:r>
        <w:rPr>
          <w:rFonts w:hint="eastAsia"/>
          <w:color w:val="auto"/>
          <w:highlight w:val="none"/>
        </w:rPr>
        <w:t>，</w:t>
      </w:r>
      <w:r>
        <w:rPr>
          <w:color w:val="auto"/>
          <w:highlight w:val="none"/>
        </w:rPr>
        <w:t>选用的产品必须满足</w:t>
      </w:r>
      <w:r>
        <w:rPr>
          <w:rFonts w:hint="eastAsia"/>
          <w:color w:val="auto"/>
          <w:highlight w:val="none"/>
        </w:rPr>
        <w:t>《建筑机电设备</w:t>
      </w:r>
      <w:r>
        <w:rPr>
          <w:color w:val="auto"/>
          <w:highlight w:val="none"/>
        </w:rPr>
        <w:t>抗震</w:t>
      </w:r>
      <w:r>
        <w:rPr>
          <w:rFonts w:hint="eastAsia"/>
          <w:color w:val="auto"/>
          <w:highlight w:val="none"/>
        </w:rPr>
        <w:t>支吊架通用技术条件》（</w:t>
      </w:r>
      <w:r>
        <w:rPr>
          <w:color w:val="auto"/>
          <w:highlight w:val="none"/>
        </w:rPr>
        <w:t>CJ/T476</w:t>
      </w:r>
      <w:r>
        <w:rPr>
          <w:rFonts w:hint="eastAsia"/>
          <w:color w:val="auto"/>
          <w:highlight w:val="none"/>
        </w:rPr>
        <w:t>）的</w:t>
      </w:r>
      <w:r>
        <w:rPr>
          <w:color w:val="auto"/>
          <w:highlight w:val="none"/>
        </w:rPr>
        <w:t>要求</w:t>
      </w:r>
      <w:r>
        <w:rPr>
          <w:rFonts w:hint="eastAsia"/>
          <w:color w:val="auto"/>
          <w:highlight w:val="none"/>
        </w:rPr>
        <w:t>；抗震</w:t>
      </w:r>
      <w:r>
        <w:rPr>
          <w:color w:val="auto"/>
          <w:highlight w:val="none"/>
        </w:rPr>
        <w:t>支吊架的施工必须满足</w:t>
      </w:r>
      <w:r>
        <w:rPr>
          <w:rFonts w:hint="eastAsia"/>
          <w:color w:val="auto"/>
          <w:highlight w:val="none"/>
        </w:rPr>
        <w:t>《抗震</w:t>
      </w:r>
      <w:r>
        <w:rPr>
          <w:color w:val="auto"/>
          <w:highlight w:val="none"/>
        </w:rPr>
        <w:t>支吊架安装及验收规程</w:t>
      </w:r>
      <w:r>
        <w:rPr>
          <w:rFonts w:hint="eastAsia"/>
          <w:color w:val="auto"/>
          <w:highlight w:val="none"/>
        </w:rPr>
        <w:t>》（CECS420）的</w:t>
      </w:r>
      <w:r>
        <w:rPr>
          <w:color w:val="auto"/>
          <w:highlight w:val="none"/>
        </w:rPr>
        <w:t>要求</w:t>
      </w:r>
      <w:r>
        <w:rPr>
          <w:rFonts w:hint="eastAsia"/>
          <w:color w:val="auto"/>
          <w:highlight w:val="none"/>
        </w:rPr>
        <w:t>。</w:t>
      </w:r>
    </w:p>
    <w:p>
      <w:pPr>
        <w:numPr>
          <w:ilvl w:val="1"/>
          <w:numId w:val="117"/>
        </w:numPr>
        <w:bidi w:val="0"/>
        <w:rPr>
          <w:color w:val="auto"/>
          <w:highlight w:val="none"/>
        </w:rPr>
      </w:pPr>
      <w:r>
        <w:rPr>
          <w:rFonts w:hint="eastAsia"/>
          <w:color w:val="auto"/>
          <w:highlight w:val="none"/>
        </w:rPr>
        <w:t>综合支吊架的深化设计图应由总承包人联合有</w:t>
      </w:r>
      <w:r>
        <w:rPr>
          <w:color w:val="auto"/>
          <w:highlight w:val="none"/>
        </w:rPr>
        <w:t>相应资质及能力的深化设计单位共同完成</w:t>
      </w:r>
      <w:r>
        <w:rPr>
          <w:rFonts w:hint="eastAsia"/>
          <w:color w:val="auto"/>
          <w:highlight w:val="none"/>
        </w:rPr>
        <w:t>，深化</w:t>
      </w:r>
      <w:r>
        <w:rPr>
          <w:color w:val="auto"/>
          <w:highlight w:val="none"/>
        </w:rPr>
        <w:t>设计成</w:t>
      </w:r>
      <w:r>
        <w:rPr>
          <w:rFonts w:hint="eastAsia"/>
          <w:color w:val="auto"/>
          <w:highlight w:val="none"/>
        </w:rPr>
        <w:t>果报监理人</w:t>
      </w:r>
      <w:r>
        <w:rPr>
          <w:color w:val="auto"/>
          <w:highlight w:val="none"/>
        </w:rPr>
        <w:t>/发包人批准后方可实施。</w:t>
      </w:r>
    </w:p>
    <w:p>
      <w:pPr>
        <w:numPr>
          <w:ilvl w:val="1"/>
          <w:numId w:val="117"/>
        </w:numPr>
        <w:bidi w:val="0"/>
        <w:rPr>
          <w:color w:val="auto"/>
          <w:highlight w:val="none"/>
        </w:rPr>
      </w:pPr>
      <w:r>
        <w:rPr>
          <w:rFonts w:hint="eastAsia"/>
          <w:color w:val="auto"/>
          <w:highlight w:val="none"/>
        </w:rPr>
        <w:t>选用</w:t>
      </w:r>
      <w:r>
        <w:rPr>
          <w:color w:val="auto"/>
          <w:highlight w:val="none"/>
        </w:rPr>
        <w:t>的</w:t>
      </w:r>
      <w:r>
        <w:rPr>
          <w:rFonts w:hint="eastAsia"/>
          <w:color w:val="auto"/>
          <w:highlight w:val="none"/>
        </w:rPr>
        <w:t>抗震</w:t>
      </w:r>
      <w:r>
        <w:rPr>
          <w:color w:val="auto"/>
          <w:highlight w:val="none"/>
        </w:rPr>
        <w:t>支吊架</w:t>
      </w:r>
      <w:r>
        <w:rPr>
          <w:rFonts w:hint="eastAsia"/>
          <w:color w:val="auto"/>
          <w:highlight w:val="none"/>
        </w:rPr>
        <w:t>产品</w:t>
      </w:r>
      <w:r>
        <w:rPr>
          <w:color w:val="auto"/>
          <w:highlight w:val="none"/>
        </w:rPr>
        <w:t>必须满足以下要求：</w:t>
      </w:r>
    </w:p>
    <w:p>
      <w:pPr>
        <w:numPr>
          <w:ilvl w:val="0"/>
          <w:numId w:val="119"/>
        </w:numPr>
        <w:bidi w:val="0"/>
        <w:ind w:left="758" w:leftChars="0"/>
        <w:rPr>
          <w:color w:val="auto"/>
          <w:highlight w:val="none"/>
        </w:rPr>
      </w:pPr>
      <w:r>
        <w:rPr>
          <w:rFonts w:hint="eastAsia"/>
          <w:color w:val="auto"/>
          <w:highlight w:val="none"/>
        </w:rPr>
        <w:t>抗震支吊架系统应依据《建筑机电设备抗震支吊架通用技术条件》（</w:t>
      </w:r>
      <w:r>
        <w:rPr>
          <w:color w:val="auto"/>
          <w:highlight w:val="none"/>
        </w:rPr>
        <w:t>CJ/T 476</w:t>
      </w:r>
      <w:r>
        <w:rPr>
          <w:rFonts w:hint="eastAsia"/>
          <w:color w:val="auto"/>
          <w:highlight w:val="none"/>
        </w:rPr>
        <w:t>）进行测试，并提供国家级检测机构的检测报告。</w:t>
      </w:r>
    </w:p>
    <w:p>
      <w:pPr>
        <w:numPr>
          <w:ilvl w:val="0"/>
          <w:numId w:val="119"/>
        </w:numPr>
        <w:bidi w:val="0"/>
        <w:ind w:left="758" w:leftChars="0"/>
        <w:rPr>
          <w:color w:val="auto"/>
          <w:highlight w:val="none"/>
        </w:rPr>
      </w:pPr>
      <w:r>
        <w:rPr>
          <w:rFonts w:hint="eastAsia"/>
          <w:color w:val="auto"/>
          <w:highlight w:val="none"/>
        </w:rPr>
        <w:t>抗震支架系统的斜向支撑</w:t>
      </w:r>
      <w:r>
        <w:rPr>
          <w:color w:val="auto"/>
          <w:highlight w:val="none"/>
        </w:rPr>
        <w:t>C</w:t>
      </w:r>
      <w:r>
        <w:rPr>
          <w:rFonts w:hint="eastAsia"/>
          <w:color w:val="auto"/>
          <w:highlight w:val="none"/>
        </w:rPr>
        <w:t>型槽钢应使用冷弯薄壁成品支架槽钢</w:t>
      </w:r>
      <w:r>
        <w:rPr>
          <w:color w:val="auto"/>
          <w:highlight w:val="none"/>
        </w:rPr>
        <w:t>,</w:t>
      </w:r>
      <w:r>
        <w:rPr>
          <w:rFonts w:hint="eastAsia"/>
          <w:color w:val="auto"/>
          <w:highlight w:val="none"/>
        </w:rPr>
        <w:t>其壁厚不小于</w:t>
      </w:r>
      <w:r>
        <w:rPr>
          <w:color w:val="auto"/>
          <w:highlight w:val="none"/>
        </w:rPr>
        <w:t>2.5mm</w:t>
      </w:r>
      <w:r>
        <w:rPr>
          <w:rFonts w:hint="eastAsia"/>
          <w:color w:val="auto"/>
          <w:highlight w:val="none"/>
        </w:rPr>
        <w:t>。</w:t>
      </w:r>
    </w:p>
    <w:p>
      <w:pPr>
        <w:numPr>
          <w:ilvl w:val="0"/>
          <w:numId w:val="119"/>
        </w:numPr>
        <w:bidi w:val="0"/>
        <w:ind w:left="758" w:leftChars="0"/>
        <w:rPr>
          <w:color w:val="auto"/>
          <w:highlight w:val="none"/>
        </w:rPr>
      </w:pPr>
      <w:r>
        <w:rPr>
          <w:rFonts w:hint="eastAsia"/>
          <w:color w:val="auto"/>
          <w:highlight w:val="none"/>
        </w:rPr>
        <w:t>抗震支吊系统使用的</w:t>
      </w:r>
      <w:r>
        <w:rPr>
          <w:color w:val="auto"/>
          <w:highlight w:val="none"/>
        </w:rPr>
        <w:t>C</w:t>
      </w:r>
      <w:r>
        <w:rPr>
          <w:rFonts w:hint="eastAsia"/>
          <w:color w:val="auto"/>
          <w:highlight w:val="none"/>
        </w:rPr>
        <w:t>型槽钢采用热浸镀锌，其镀锌层厚度必须≥</w:t>
      </w:r>
      <w:r>
        <w:rPr>
          <w:color w:val="auto"/>
          <w:highlight w:val="none"/>
        </w:rPr>
        <w:t>55</w:t>
      </w:r>
      <w:r>
        <w:rPr>
          <w:rFonts w:hint="eastAsia"/>
          <w:color w:val="auto"/>
          <w:highlight w:val="none"/>
        </w:rPr>
        <w:t>微米，并提供相关镀锌层厚度测试报告。</w:t>
      </w:r>
    </w:p>
    <w:p>
      <w:pPr>
        <w:numPr>
          <w:ilvl w:val="0"/>
          <w:numId w:val="119"/>
        </w:numPr>
        <w:bidi w:val="0"/>
        <w:ind w:left="758" w:leftChars="0"/>
        <w:rPr>
          <w:color w:val="auto"/>
          <w:highlight w:val="none"/>
        </w:rPr>
      </w:pPr>
      <w:r>
        <w:rPr>
          <w:rFonts w:hint="eastAsia"/>
          <w:color w:val="auto"/>
          <w:highlight w:val="none"/>
        </w:rPr>
        <w:t>如果门型抗震支架系统由于受力计算要求需要使用双面拼接</w:t>
      </w:r>
      <w:r>
        <w:rPr>
          <w:color w:val="auto"/>
          <w:highlight w:val="none"/>
        </w:rPr>
        <w:t>C</w:t>
      </w:r>
      <w:r>
        <w:rPr>
          <w:rFonts w:hint="eastAsia"/>
          <w:color w:val="auto"/>
          <w:highlight w:val="none"/>
        </w:rPr>
        <w:t>型槽钢时，为确保双面槽钢的整体受力性能，要求其拼接工艺应采用背孔冲压连接及一体激光焊接工艺，不得使用点焊连接。</w:t>
      </w:r>
    </w:p>
    <w:p>
      <w:pPr>
        <w:numPr>
          <w:ilvl w:val="0"/>
          <w:numId w:val="119"/>
        </w:numPr>
        <w:bidi w:val="0"/>
        <w:ind w:left="758" w:leftChars="0"/>
        <w:rPr>
          <w:color w:val="auto"/>
          <w:highlight w:val="none"/>
        </w:rPr>
      </w:pPr>
      <w:r>
        <w:rPr>
          <w:rFonts w:hint="eastAsia"/>
          <w:color w:val="auto"/>
          <w:highlight w:val="none"/>
        </w:rPr>
        <w:t>抗震支架使用的</w:t>
      </w:r>
      <w:r>
        <w:rPr>
          <w:color w:val="auto"/>
          <w:highlight w:val="none"/>
        </w:rPr>
        <w:t>C</w:t>
      </w:r>
      <w:r>
        <w:rPr>
          <w:rFonts w:hint="eastAsia"/>
          <w:color w:val="auto"/>
          <w:highlight w:val="none"/>
        </w:rPr>
        <w:t>型槽钢其卷边内沿必须带有深度不小于</w:t>
      </w:r>
      <w:r>
        <w:rPr>
          <w:color w:val="auto"/>
          <w:highlight w:val="none"/>
        </w:rPr>
        <w:t>1.0mm</w:t>
      </w:r>
      <w:r>
        <w:rPr>
          <w:rFonts w:hint="eastAsia"/>
          <w:color w:val="auto"/>
          <w:highlight w:val="none"/>
        </w:rPr>
        <w:t>的齿牙，同时与之配合的连接扣件也应带有相同深度的齿坑，以保证咬合连接模式在遇到较大水平荷载的时，连接能实现延性破坏。</w:t>
      </w:r>
    </w:p>
    <w:p>
      <w:pPr>
        <w:numPr>
          <w:ilvl w:val="0"/>
          <w:numId w:val="119"/>
        </w:numPr>
        <w:bidi w:val="0"/>
        <w:ind w:left="758" w:leftChars="0"/>
        <w:rPr>
          <w:color w:val="auto"/>
          <w:highlight w:val="none"/>
        </w:rPr>
      </w:pPr>
      <w:r>
        <w:rPr>
          <w:rFonts w:hint="eastAsia"/>
          <w:color w:val="auto"/>
          <w:highlight w:val="none"/>
        </w:rPr>
        <w:t>配套安装金属管道的管卡内需配惰性橡胶内衬垫，以达到绝缘，减振，降噪的效果。</w:t>
      </w:r>
    </w:p>
    <w:p>
      <w:pPr>
        <w:numPr>
          <w:ilvl w:val="0"/>
          <w:numId w:val="119"/>
        </w:numPr>
        <w:bidi w:val="0"/>
        <w:ind w:left="758" w:leftChars="0"/>
        <w:rPr>
          <w:color w:val="auto"/>
          <w:highlight w:val="none"/>
        </w:rPr>
      </w:pPr>
      <w:r>
        <w:rPr>
          <w:rFonts w:hint="eastAsia"/>
          <w:color w:val="auto"/>
          <w:highlight w:val="none"/>
        </w:rPr>
        <w:t>抗震支架系统采用应采用具有机械锁键效应的后扩底锚栓，必须符合国家标准《混凝土结构后锚固技术规程》（</w:t>
      </w:r>
      <w:r>
        <w:rPr>
          <w:color w:val="auto"/>
          <w:highlight w:val="none"/>
        </w:rPr>
        <w:t>JGJ145</w:t>
      </w:r>
      <w:r>
        <w:rPr>
          <w:rFonts w:hint="eastAsia"/>
          <w:color w:val="auto"/>
          <w:highlight w:val="none"/>
        </w:rPr>
        <w:t>），并提供国内权威机构的测试报告。</w:t>
      </w:r>
      <w:r>
        <w:rPr>
          <w:color w:val="auto"/>
          <w:highlight w:val="none"/>
        </w:rPr>
        <w:t xml:space="preserve"> </w:t>
      </w:r>
    </w:p>
    <w:p>
      <w:pPr>
        <w:pStyle w:val="4"/>
        <w:bidi w:val="0"/>
        <w:rPr>
          <w:color w:val="auto"/>
          <w:highlight w:val="none"/>
        </w:rPr>
      </w:pPr>
      <w:r>
        <w:rPr>
          <w:rFonts w:hint="eastAsia"/>
          <w:color w:val="auto"/>
          <w:highlight w:val="none"/>
        </w:rPr>
        <w:t>电气工程</w:t>
      </w:r>
    </w:p>
    <w:p>
      <w:pPr>
        <w:pStyle w:val="5"/>
        <w:bidi w:val="0"/>
        <w:rPr>
          <w:color w:val="auto"/>
          <w:highlight w:val="none"/>
        </w:rPr>
      </w:pPr>
      <w:r>
        <w:rPr>
          <w:rFonts w:hint="eastAsia"/>
          <w:color w:val="auto"/>
          <w:highlight w:val="none"/>
        </w:rPr>
        <w:t>防雷与接地</w:t>
      </w:r>
    </w:p>
    <w:p>
      <w:pPr>
        <w:numPr>
          <w:ilvl w:val="1"/>
          <w:numId w:val="120"/>
        </w:numPr>
        <w:bidi w:val="0"/>
        <w:rPr>
          <w:color w:val="auto"/>
          <w:highlight w:val="none"/>
        </w:rPr>
      </w:pPr>
      <w:r>
        <w:rPr>
          <w:rFonts w:hint="eastAsia"/>
          <w:color w:val="auto"/>
          <w:highlight w:val="none"/>
        </w:rPr>
        <w:t>接地装置</w:t>
      </w:r>
    </w:p>
    <w:p>
      <w:pPr>
        <w:numPr>
          <w:ilvl w:val="0"/>
          <w:numId w:val="121"/>
        </w:numPr>
        <w:bidi w:val="0"/>
        <w:ind w:left="758" w:leftChars="0"/>
        <w:rPr>
          <w:color w:val="auto"/>
          <w:highlight w:val="none"/>
        </w:rPr>
      </w:pPr>
      <w:r>
        <w:rPr>
          <w:rFonts w:hint="eastAsia"/>
          <w:color w:val="auto"/>
          <w:highlight w:val="none"/>
        </w:rPr>
        <w:t>人工接地体应选用角钢或圆钢，长度不小于</w:t>
      </w:r>
      <w:r>
        <w:rPr>
          <w:color w:val="auto"/>
          <w:highlight w:val="none"/>
        </w:rPr>
        <w:t>2.5m</w:t>
      </w:r>
      <w:r>
        <w:rPr>
          <w:rFonts w:hint="eastAsia"/>
          <w:color w:val="auto"/>
          <w:highlight w:val="none"/>
        </w:rPr>
        <w:t>，相互之间间距不应小于</w:t>
      </w:r>
      <w:r>
        <w:rPr>
          <w:color w:val="auto"/>
          <w:highlight w:val="none"/>
        </w:rPr>
        <w:t xml:space="preserve"> 5m</w:t>
      </w:r>
      <w:r>
        <w:rPr>
          <w:rFonts w:hint="eastAsia"/>
          <w:color w:val="auto"/>
          <w:highlight w:val="none"/>
        </w:rPr>
        <w:t>，其顶部应作成尖角；埋设时应挖深为</w:t>
      </w:r>
      <w:r>
        <w:rPr>
          <w:color w:val="auto"/>
          <w:highlight w:val="none"/>
        </w:rPr>
        <w:t>0.8</w:t>
      </w:r>
      <w:r>
        <w:rPr>
          <w:rFonts w:hint="eastAsia"/>
          <w:color w:val="auto"/>
          <w:highlight w:val="none"/>
        </w:rPr>
        <w:t>~</w:t>
      </w:r>
      <w:r>
        <w:rPr>
          <w:color w:val="auto"/>
          <w:highlight w:val="none"/>
        </w:rPr>
        <w:t>1m</w:t>
      </w:r>
      <w:r>
        <w:rPr>
          <w:rFonts w:hint="eastAsia"/>
          <w:color w:val="auto"/>
          <w:highlight w:val="none"/>
        </w:rPr>
        <w:t>，宽为</w:t>
      </w:r>
      <w:r>
        <w:rPr>
          <w:color w:val="auto"/>
          <w:highlight w:val="none"/>
        </w:rPr>
        <w:t>0.5m</w:t>
      </w:r>
      <w:r>
        <w:rPr>
          <w:rFonts w:hint="eastAsia"/>
          <w:color w:val="auto"/>
          <w:highlight w:val="none"/>
        </w:rPr>
        <w:t>的沟，沟上宽下窄，打桩时，应采取措施，防止接地角钢或圆钢打劈。接地体应垂直设置，避免打偏，其顶部离地高度为</w:t>
      </w:r>
      <w:r>
        <w:rPr>
          <w:color w:val="auto"/>
          <w:highlight w:val="none"/>
        </w:rPr>
        <w:t>600mm</w:t>
      </w:r>
      <w:r>
        <w:rPr>
          <w:rFonts w:hint="eastAsia"/>
          <w:color w:val="auto"/>
          <w:highlight w:val="none"/>
        </w:rPr>
        <w:t>；接地体之间用镀锌扁钢焊接连接，扁钢应侧放，与接地体连接的位置距接地体顶部</w:t>
      </w:r>
      <w:r>
        <w:rPr>
          <w:color w:val="auto"/>
          <w:highlight w:val="none"/>
        </w:rPr>
        <w:t>100mm</w:t>
      </w:r>
      <w:r>
        <w:rPr>
          <w:rFonts w:hint="eastAsia"/>
          <w:color w:val="auto"/>
          <w:highlight w:val="none"/>
        </w:rPr>
        <w:t>，焊接达到上条要求，并留有足够长的连接长度；接地体埋设位置距建筑物不宜小于</w:t>
      </w:r>
      <w:r>
        <w:rPr>
          <w:color w:val="auto"/>
          <w:highlight w:val="none"/>
        </w:rPr>
        <w:t>1.5m</w:t>
      </w:r>
      <w:r>
        <w:rPr>
          <w:rFonts w:hint="eastAsia"/>
          <w:color w:val="auto"/>
          <w:highlight w:val="none"/>
        </w:rPr>
        <w:t>，遇有垃圾灰渣等时，应换土并分层夯实；当接地装置必须埋设在建筑物出人口或人行道小于</w:t>
      </w:r>
      <w:r>
        <w:rPr>
          <w:color w:val="auto"/>
          <w:highlight w:val="none"/>
        </w:rPr>
        <w:t>3m</w:t>
      </w:r>
      <w:r>
        <w:rPr>
          <w:rFonts w:hint="eastAsia"/>
          <w:color w:val="auto"/>
          <w:highlight w:val="none"/>
        </w:rPr>
        <w:t>时，应采用均压带做法或接地装置上敷设</w:t>
      </w:r>
      <w:r>
        <w:rPr>
          <w:color w:val="auto"/>
          <w:highlight w:val="none"/>
        </w:rPr>
        <w:t xml:space="preserve"> 50</w:t>
      </w:r>
      <w:r>
        <w:rPr>
          <w:rFonts w:hint="eastAsia"/>
          <w:color w:val="auto"/>
          <w:highlight w:val="none"/>
        </w:rPr>
        <w:t>~</w:t>
      </w:r>
      <w:r>
        <w:rPr>
          <w:color w:val="auto"/>
          <w:highlight w:val="none"/>
        </w:rPr>
        <w:t>90mm</w:t>
      </w:r>
      <w:r>
        <w:rPr>
          <w:rFonts w:hint="eastAsia"/>
          <w:color w:val="auto"/>
          <w:highlight w:val="none"/>
        </w:rPr>
        <w:t>沥青层，其宽度应超过接地装置</w:t>
      </w:r>
      <w:r>
        <w:rPr>
          <w:color w:val="auto"/>
          <w:highlight w:val="none"/>
        </w:rPr>
        <w:t>2</w:t>
      </w:r>
      <w:r>
        <w:rPr>
          <w:rFonts w:hint="eastAsia"/>
          <w:color w:val="auto"/>
          <w:highlight w:val="none"/>
        </w:rPr>
        <w:t>m。</w:t>
      </w:r>
    </w:p>
    <w:p>
      <w:pPr>
        <w:numPr>
          <w:ilvl w:val="0"/>
          <w:numId w:val="121"/>
        </w:numPr>
        <w:bidi w:val="0"/>
        <w:ind w:left="758" w:leftChars="0"/>
        <w:rPr>
          <w:color w:val="auto"/>
          <w:highlight w:val="none"/>
        </w:rPr>
      </w:pPr>
      <w:r>
        <w:rPr>
          <w:rFonts w:hint="eastAsia"/>
          <w:color w:val="auto"/>
          <w:highlight w:val="none"/>
        </w:rPr>
        <w:t>自然接地体利用无防水底板钢筋或深基础做接地体，应按设计要求，将底板钢筋搭接焊好；将柱内两根相临或对角的钢筋与底板钢筋绑扎或搭接焊好，并将柱内主筋用色标作好标记。</w:t>
      </w:r>
    </w:p>
    <w:p>
      <w:pPr>
        <w:numPr>
          <w:ilvl w:val="1"/>
          <w:numId w:val="120"/>
        </w:numPr>
        <w:bidi w:val="0"/>
        <w:rPr>
          <w:color w:val="auto"/>
          <w:highlight w:val="none"/>
        </w:rPr>
      </w:pPr>
      <w:r>
        <w:rPr>
          <w:rFonts w:hint="eastAsia"/>
          <w:color w:val="auto"/>
          <w:highlight w:val="none"/>
        </w:rPr>
        <w:t>接地干线安装</w:t>
      </w:r>
    </w:p>
    <w:p>
      <w:pPr>
        <w:numPr>
          <w:ilvl w:val="0"/>
          <w:numId w:val="122"/>
        </w:numPr>
        <w:bidi w:val="0"/>
        <w:ind w:left="758" w:leftChars="0"/>
        <w:rPr>
          <w:color w:val="auto"/>
          <w:highlight w:val="none"/>
        </w:rPr>
      </w:pPr>
      <w:r>
        <w:rPr>
          <w:rFonts w:hint="eastAsia"/>
          <w:color w:val="auto"/>
          <w:highlight w:val="none"/>
        </w:rPr>
        <w:t>室外接地干线一般敷设在沟内，回填土应压实但不需打夯，末端露出地面</w:t>
      </w:r>
      <w:r>
        <w:rPr>
          <w:color w:val="auto"/>
          <w:highlight w:val="none"/>
        </w:rPr>
        <w:t xml:space="preserve"> 500mm</w:t>
      </w:r>
      <w:r>
        <w:rPr>
          <w:rFonts w:hint="eastAsia"/>
          <w:color w:val="auto"/>
          <w:highlight w:val="none"/>
        </w:rPr>
        <w:t>，以便接引线；</w:t>
      </w:r>
    </w:p>
    <w:p>
      <w:pPr>
        <w:numPr>
          <w:ilvl w:val="0"/>
          <w:numId w:val="122"/>
        </w:numPr>
        <w:bidi w:val="0"/>
        <w:ind w:left="758" w:leftChars="0"/>
        <w:rPr>
          <w:color w:val="auto"/>
          <w:highlight w:val="none"/>
        </w:rPr>
      </w:pPr>
      <w:r>
        <w:rPr>
          <w:rFonts w:hint="eastAsia"/>
          <w:color w:val="auto"/>
          <w:highlight w:val="none"/>
        </w:rPr>
        <w:t>室内接地干线多为明敷设，但部分设备连接的支线需经地面也可埋在混凝土内；</w:t>
      </w:r>
    </w:p>
    <w:p>
      <w:pPr>
        <w:numPr>
          <w:ilvl w:val="0"/>
          <w:numId w:val="122"/>
        </w:numPr>
        <w:bidi w:val="0"/>
        <w:ind w:left="758" w:leftChars="0"/>
        <w:rPr>
          <w:color w:val="auto"/>
          <w:highlight w:val="none"/>
        </w:rPr>
      </w:pPr>
      <w:r>
        <w:rPr>
          <w:rFonts w:hint="eastAsia"/>
          <w:color w:val="auto"/>
          <w:highlight w:val="none"/>
        </w:rPr>
        <w:t>明敷设接地线不应妨碍设备的拆除与检修；</w:t>
      </w:r>
    </w:p>
    <w:p>
      <w:pPr>
        <w:numPr>
          <w:ilvl w:val="0"/>
          <w:numId w:val="122"/>
        </w:numPr>
        <w:bidi w:val="0"/>
        <w:ind w:left="758" w:leftChars="0"/>
        <w:rPr>
          <w:color w:val="auto"/>
          <w:highlight w:val="none"/>
        </w:rPr>
      </w:pPr>
      <w:r>
        <w:rPr>
          <w:rFonts w:hint="eastAsia"/>
          <w:color w:val="auto"/>
          <w:highlight w:val="none"/>
        </w:rPr>
        <w:t>接地线应水平或垂直敷设，也可沿建筑物表面平行敷设，不应有高低起伏及弯曲情况；</w:t>
      </w:r>
    </w:p>
    <w:p>
      <w:pPr>
        <w:numPr>
          <w:ilvl w:val="0"/>
          <w:numId w:val="122"/>
        </w:numPr>
        <w:bidi w:val="0"/>
        <w:ind w:left="758" w:leftChars="0"/>
        <w:rPr>
          <w:color w:val="auto"/>
          <w:highlight w:val="none"/>
        </w:rPr>
      </w:pPr>
      <w:r>
        <w:rPr>
          <w:rFonts w:hint="eastAsia"/>
          <w:color w:val="auto"/>
          <w:highlight w:val="none"/>
        </w:rPr>
        <w:t>接地线沿建筑物墙壁敷设时，接地干线距地面应不小于</w:t>
      </w:r>
      <w:r>
        <w:rPr>
          <w:color w:val="auto"/>
          <w:highlight w:val="none"/>
        </w:rPr>
        <w:t>200mm</w:t>
      </w:r>
      <w:r>
        <w:rPr>
          <w:rFonts w:hint="eastAsia"/>
          <w:color w:val="auto"/>
          <w:highlight w:val="none"/>
        </w:rPr>
        <w:t>，距墙面不小于</w:t>
      </w:r>
      <w:r>
        <w:rPr>
          <w:color w:val="auto"/>
          <w:highlight w:val="none"/>
        </w:rPr>
        <w:t>10m</w:t>
      </w:r>
      <w:r>
        <w:rPr>
          <w:rFonts w:hint="eastAsia"/>
          <w:color w:val="auto"/>
          <w:highlight w:val="none"/>
        </w:rPr>
        <w:t>m，支持件间的水平直线距离一般为</w:t>
      </w:r>
      <w:r>
        <w:rPr>
          <w:color w:val="auto"/>
          <w:highlight w:val="none"/>
        </w:rPr>
        <w:t>1m</w:t>
      </w:r>
      <w:r>
        <w:rPr>
          <w:rFonts w:hint="eastAsia"/>
          <w:color w:val="auto"/>
          <w:highlight w:val="none"/>
        </w:rPr>
        <w:t>，垂直部分为</w:t>
      </w:r>
      <w:r>
        <w:rPr>
          <w:color w:val="auto"/>
          <w:highlight w:val="none"/>
        </w:rPr>
        <w:t>1.5m</w:t>
      </w:r>
      <w:r>
        <w:rPr>
          <w:rFonts w:hint="eastAsia"/>
          <w:color w:val="auto"/>
          <w:highlight w:val="none"/>
        </w:rPr>
        <w:t>，转弯部分为</w:t>
      </w:r>
      <w:r>
        <w:rPr>
          <w:color w:val="auto"/>
          <w:highlight w:val="none"/>
        </w:rPr>
        <w:t>0.5m</w:t>
      </w:r>
      <w:r>
        <w:rPr>
          <w:rFonts w:hint="eastAsia"/>
          <w:color w:val="auto"/>
          <w:highlight w:val="none"/>
        </w:rPr>
        <w:t>；</w:t>
      </w:r>
    </w:p>
    <w:p>
      <w:pPr>
        <w:numPr>
          <w:ilvl w:val="0"/>
          <w:numId w:val="122"/>
        </w:numPr>
        <w:bidi w:val="0"/>
        <w:ind w:left="758" w:leftChars="0"/>
        <w:rPr>
          <w:color w:val="auto"/>
          <w:highlight w:val="none"/>
        </w:rPr>
      </w:pPr>
      <w:r>
        <w:rPr>
          <w:rFonts w:hint="eastAsia"/>
          <w:color w:val="auto"/>
          <w:highlight w:val="none"/>
        </w:rPr>
        <w:t>接地干线敷设应平直，水平度及垂直度允许偏差</w:t>
      </w:r>
      <w:r>
        <w:rPr>
          <w:color w:val="auto"/>
          <w:highlight w:val="none"/>
        </w:rPr>
        <w:t>2/1000</w:t>
      </w:r>
      <w:r>
        <w:rPr>
          <w:rFonts w:hint="eastAsia"/>
          <w:color w:val="auto"/>
          <w:highlight w:val="none"/>
        </w:rPr>
        <w:t>，但全长避免超过</w:t>
      </w:r>
      <w:r>
        <w:rPr>
          <w:color w:val="auto"/>
          <w:highlight w:val="none"/>
        </w:rPr>
        <w:t xml:space="preserve"> 10m</w:t>
      </w:r>
      <w:r>
        <w:rPr>
          <w:rFonts w:hint="eastAsia"/>
          <w:color w:val="auto"/>
          <w:highlight w:val="none"/>
        </w:rPr>
        <w:t>；转角处接地干线弯曲半径避免小于扁钢宽度的２倍；</w:t>
      </w:r>
    </w:p>
    <w:p>
      <w:pPr>
        <w:numPr>
          <w:ilvl w:val="0"/>
          <w:numId w:val="122"/>
        </w:numPr>
        <w:bidi w:val="0"/>
        <w:ind w:left="758" w:leftChars="0"/>
        <w:rPr>
          <w:color w:val="auto"/>
          <w:highlight w:val="none"/>
        </w:rPr>
      </w:pPr>
      <w:r>
        <w:rPr>
          <w:rFonts w:hint="eastAsia"/>
          <w:color w:val="auto"/>
          <w:highlight w:val="none"/>
        </w:rPr>
        <w:t>明敷设的接地线应表面刷黑漆，油漆应均匀无遗漏，但接地卡子及接地端子等处避免刷油。如因建筑物设计刷其他颜色，则应在连接处及分支处刷以各宽为</w:t>
      </w:r>
      <w:r>
        <w:rPr>
          <w:color w:val="auto"/>
          <w:highlight w:val="none"/>
        </w:rPr>
        <w:t>150mm</w:t>
      </w:r>
      <w:r>
        <w:rPr>
          <w:rFonts w:hint="eastAsia"/>
          <w:color w:val="auto"/>
          <w:highlight w:val="none"/>
        </w:rPr>
        <w:t>的两条黑带，其间距</w:t>
      </w:r>
      <w:r>
        <w:rPr>
          <w:color w:val="auto"/>
          <w:highlight w:val="none"/>
        </w:rPr>
        <w:t>150mm</w:t>
      </w:r>
      <w:r>
        <w:rPr>
          <w:rFonts w:hint="eastAsia"/>
          <w:color w:val="auto"/>
          <w:highlight w:val="none"/>
        </w:rPr>
        <w:t>；</w:t>
      </w:r>
    </w:p>
    <w:p>
      <w:pPr>
        <w:numPr>
          <w:ilvl w:val="0"/>
          <w:numId w:val="122"/>
        </w:numPr>
        <w:bidi w:val="0"/>
        <w:ind w:left="758" w:leftChars="0"/>
        <w:rPr>
          <w:color w:val="auto"/>
          <w:highlight w:val="none"/>
        </w:rPr>
      </w:pPr>
      <w:r>
        <w:rPr>
          <w:rFonts w:hint="eastAsia"/>
          <w:color w:val="auto"/>
          <w:highlight w:val="none"/>
        </w:rPr>
        <w:t>穿墙时，应套管保护，跨越伸缩缝，应做偎管补偿；</w:t>
      </w:r>
    </w:p>
    <w:p>
      <w:pPr>
        <w:numPr>
          <w:ilvl w:val="0"/>
          <w:numId w:val="122"/>
        </w:numPr>
        <w:bidi w:val="0"/>
        <w:ind w:left="758" w:leftChars="0"/>
        <w:rPr>
          <w:color w:val="auto"/>
          <w:highlight w:val="none"/>
        </w:rPr>
      </w:pPr>
      <w:r>
        <w:rPr>
          <w:rFonts w:hint="eastAsia"/>
          <w:color w:val="auto"/>
          <w:highlight w:val="none"/>
        </w:rPr>
        <w:t>接地线引向建筑物人口处，应标以黑色接地标志。</w:t>
      </w:r>
    </w:p>
    <w:p>
      <w:pPr>
        <w:numPr>
          <w:ilvl w:val="1"/>
          <w:numId w:val="120"/>
        </w:numPr>
        <w:bidi w:val="0"/>
        <w:rPr>
          <w:color w:val="auto"/>
          <w:highlight w:val="none"/>
        </w:rPr>
      </w:pPr>
      <w:r>
        <w:rPr>
          <w:rFonts w:hint="eastAsia"/>
          <w:color w:val="auto"/>
          <w:highlight w:val="none"/>
        </w:rPr>
        <w:t>引下线安装</w:t>
      </w:r>
    </w:p>
    <w:p>
      <w:pPr>
        <w:numPr>
          <w:ilvl w:val="0"/>
          <w:numId w:val="123"/>
        </w:numPr>
        <w:bidi w:val="0"/>
        <w:ind w:left="758" w:leftChars="0"/>
        <w:rPr>
          <w:color w:val="auto"/>
          <w:highlight w:val="none"/>
        </w:rPr>
      </w:pPr>
      <w:r>
        <w:rPr>
          <w:rFonts w:hint="eastAsia"/>
          <w:color w:val="auto"/>
          <w:highlight w:val="none"/>
        </w:rPr>
        <w:t>当利用建筑物主筋做引下线时，主筋截面积避免小于</w:t>
      </w:r>
      <w:r>
        <w:rPr>
          <w:color w:val="auto"/>
          <w:highlight w:val="none"/>
        </w:rPr>
        <w:t>90mm2</w:t>
      </w:r>
      <w:r>
        <w:rPr>
          <w:rFonts w:hint="eastAsia"/>
          <w:color w:val="auto"/>
          <w:highlight w:val="none"/>
        </w:rPr>
        <w:t>，每条引下线避免少于２根主筋。</w:t>
      </w:r>
    </w:p>
    <w:p>
      <w:pPr>
        <w:numPr>
          <w:ilvl w:val="0"/>
          <w:numId w:val="123"/>
        </w:numPr>
        <w:bidi w:val="0"/>
        <w:ind w:left="758" w:leftChars="0"/>
        <w:rPr>
          <w:color w:val="auto"/>
          <w:highlight w:val="none"/>
        </w:rPr>
      </w:pPr>
      <w:r>
        <w:rPr>
          <w:rFonts w:hint="eastAsia"/>
          <w:color w:val="auto"/>
          <w:highlight w:val="none"/>
        </w:rPr>
        <w:t>主筋搭接处接接地线的要求焊接，当主筋采用压力埋弧焊、对焊、冷挤压时其接头处可不跨接。</w:t>
      </w:r>
    </w:p>
    <w:p>
      <w:pPr>
        <w:numPr>
          <w:ilvl w:val="0"/>
          <w:numId w:val="123"/>
        </w:numPr>
        <w:bidi w:val="0"/>
        <w:ind w:left="758" w:leftChars="0"/>
        <w:rPr>
          <w:color w:val="auto"/>
          <w:highlight w:val="none"/>
        </w:rPr>
      </w:pPr>
      <w:r>
        <w:rPr>
          <w:rFonts w:hint="eastAsia"/>
          <w:color w:val="auto"/>
          <w:highlight w:val="none"/>
        </w:rPr>
        <w:t>引下线扁钢避免小于</w:t>
      </w:r>
      <w:r>
        <w:rPr>
          <w:color w:val="auto"/>
          <w:highlight w:val="none"/>
        </w:rPr>
        <w:t>25x4mm</w:t>
      </w:r>
      <w:r>
        <w:rPr>
          <w:rFonts w:hint="eastAsia"/>
          <w:color w:val="auto"/>
          <w:highlight w:val="none"/>
        </w:rPr>
        <w:t>，圆钢直径避免小于</w:t>
      </w:r>
      <w:r>
        <w:rPr>
          <w:color w:val="auto"/>
          <w:highlight w:val="none"/>
        </w:rPr>
        <w:t>12mm</w:t>
      </w:r>
      <w:r>
        <w:rPr>
          <w:rFonts w:hint="eastAsia"/>
          <w:color w:val="auto"/>
          <w:highlight w:val="none"/>
        </w:rPr>
        <w:t>。</w:t>
      </w:r>
      <w:r>
        <w:rPr>
          <w:color w:val="auto"/>
          <w:highlight w:val="none"/>
        </w:rPr>
        <w:t xml:space="preserve"> </w:t>
      </w:r>
    </w:p>
    <w:p>
      <w:pPr>
        <w:numPr>
          <w:ilvl w:val="0"/>
          <w:numId w:val="123"/>
        </w:numPr>
        <w:bidi w:val="0"/>
        <w:ind w:left="758" w:leftChars="0"/>
        <w:rPr>
          <w:color w:val="auto"/>
          <w:highlight w:val="none"/>
        </w:rPr>
      </w:pPr>
      <w:r>
        <w:rPr>
          <w:rFonts w:hint="eastAsia"/>
          <w:color w:val="auto"/>
          <w:highlight w:val="none"/>
        </w:rPr>
        <w:t>现浇混凝土墙内暗敷引下线时不做防腐处理，焊接应满足规范要求。</w:t>
      </w:r>
    </w:p>
    <w:p>
      <w:pPr>
        <w:numPr>
          <w:ilvl w:val="0"/>
          <w:numId w:val="123"/>
        </w:numPr>
        <w:bidi w:val="0"/>
        <w:ind w:left="758" w:leftChars="0"/>
        <w:rPr>
          <w:color w:val="auto"/>
          <w:highlight w:val="none"/>
        </w:rPr>
      </w:pPr>
      <w:r>
        <w:rPr>
          <w:rFonts w:hint="eastAsia"/>
          <w:color w:val="auto"/>
          <w:highlight w:val="none"/>
        </w:rPr>
        <w:t>明装引下线应躲开建筑物的人口和行人较易接触到的地点，以免发生危险。</w:t>
      </w:r>
    </w:p>
    <w:p>
      <w:pPr>
        <w:numPr>
          <w:ilvl w:val="0"/>
          <w:numId w:val="123"/>
        </w:numPr>
        <w:bidi w:val="0"/>
        <w:ind w:left="758" w:leftChars="0"/>
        <w:rPr>
          <w:color w:val="auto"/>
          <w:highlight w:val="none"/>
        </w:rPr>
      </w:pPr>
      <w:r>
        <w:rPr>
          <w:rFonts w:hint="eastAsia"/>
          <w:color w:val="auto"/>
          <w:highlight w:val="none"/>
        </w:rPr>
        <w:t>每栋建筑物至少有２根引下线（投影小于</w:t>
      </w:r>
      <w:r>
        <w:rPr>
          <w:color w:val="auto"/>
          <w:highlight w:val="none"/>
        </w:rPr>
        <w:t>50m2</w:t>
      </w:r>
      <w:r>
        <w:rPr>
          <w:rFonts w:hint="eastAsia"/>
          <w:color w:val="auto"/>
          <w:highlight w:val="none"/>
        </w:rPr>
        <w:t>的建筑物例外），防雷引下线最好为对称位置，间距不应大于</w:t>
      </w:r>
      <w:r>
        <w:rPr>
          <w:color w:val="auto"/>
          <w:highlight w:val="none"/>
        </w:rPr>
        <w:t>20m</w:t>
      </w:r>
      <w:r>
        <w:rPr>
          <w:rFonts w:hint="eastAsia"/>
          <w:color w:val="auto"/>
          <w:highlight w:val="none"/>
        </w:rPr>
        <w:t>，当大于</w:t>
      </w:r>
      <w:r>
        <w:rPr>
          <w:color w:val="auto"/>
          <w:highlight w:val="none"/>
        </w:rPr>
        <w:t>20m</w:t>
      </w:r>
      <w:r>
        <w:rPr>
          <w:rFonts w:hint="eastAsia"/>
          <w:color w:val="auto"/>
          <w:highlight w:val="none"/>
        </w:rPr>
        <w:t>时应在中间多引一根引下线。</w:t>
      </w:r>
    </w:p>
    <w:p>
      <w:pPr>
        <w:numPr>
          <w:ilvl w:val="0"/>
          <w:numId w:val="123"/>
        </w:numPr>
        <w:bidi w:val="0"/>
        <w:ind w:left="758" w:leftChars="0"/>
        <w:rPr>
          <w:color w:val="auto"/>
          <w:highlight w:val="none"/>
        </w:rPr>
      </w:pPr>
      <w:r>
        <w:rPr>
          <w:rFonts w:hint="eastAsia"/>
          <w:color w:val="auto"/>
          <w:highlight w:val="none"/>
        </w:rPr>
        <w:t>柱内主筋应用不小于Φ</w:t>
      </w:r>
      <w:r>
        <w:rPr>
          <w:color w:val="auto"/>
          <w:highlight w:val="none"/>
        </w:rPr>
        <w:t>12</w:t>
      </w:r>
      <w:r>
        <w:rPr>
          <w:rFonts w:hint="eastAsia"/>
          <w:color w:val="auto"/>
          <w:highlight w:val="none"/>
        </w:rPr>
        <w:t>镀锌圆钢与屋顶避雷网焊接。</w:t>
      </w:r>
    </w:p>
    <w:p>
      <w:pPr>
        <w:numPr>
          <w:ilvl w:val="0"/>
          <w:numId w:val="123"/>
        </w:numPr>
        <w:bidi w:val="0"/>
        <w:ind w:left="758" w:leftChars="0"/>
        <w:rPr>
          <w:color w:val="auto"/>
          <w:highlight w:val="none"/>
        </w:rPr>
      </w:pPr>
      <w:r>
        <w:rPr>
          <w:rFonts w:hint="eastAsia"/>
          <w:color w:val="auto"/>
          <w:highlight w:val="none"/>
        </w:rPr>
        <w:t>引下线的垂直允许偏差为</w:t>
      </w:r>
      <w:r>
        <w:rPr>
          <w:color w:val="auto"/>
          <w:highlight w:val="none"/>
        </w:rPr>
        <w:t xml:space="preserve"> 2/1000</w:t>
      </w:r>
      <w:r>
        <w:rPr>
          <w:rFonts w:hint="eastAsia"/>
          <w:color w:val="auto"/>
          <w:highlight w:val="none"/>
        </w:rPr>
        <w:t>。引下线必须调直敷设，弯曲处不应小于</w:t>
      </w:r>
      <w:r>
        <w:rPr>
          <w:color w:val="auto"/>
          <w:highlight w:val="none"/>
        </w:rPr>
        <w:t>90</w:t>
      </w:r>
      <w:r>
        <w:rPr>
          <w:rFonts w:hint="eastAsia"/>
          <w:color w:val="auto"/>
          <w:highlight w:val="none"/>
        </w:rPr>
        <w:t>°，并避免弯成死角。引下线除设计要求，镀锌扁钢避免小于</w:t>
      </w:r>
      <w:r>
        <w:rPr>
          <w:color w:val="auto"/>
          <w:highlight w:val="none"/>
        </w:rPr>
        <w:t>48mm2</w:t>
      </w:r>
      <w:r>
        <w:rPr>
          <w:rFonts w:hint="eastAsia"/>
          <w:color w:val="auto"/>
          <w:highlight w:val="none"/>
        </w:rPr>
        <w:t>，镀锌圆钢直径不小于12</w:t>
      </w:r>
      <w:r>
        <w:rPr>
          <w:color w:val="auto"/>
          <w:highlight w:val="none"/>
        </w:rPr>
        <w:t>mm</w:t>
      </w:r>
      <w:r>
        <w:rPr>
          <w:rFonts w:hint="eastAsia"/>
          <w:color w:val="auto"/>
          <w:highlight w:val="none"/>
        </w:rPr>
        <w:t>。</w:t>
      </w:r>
    </w:p>
    <w:p>
      <w:pPr>
        <w:numPr>
          <w:ilvl w:val="0"/>
          <w:numId w:val="123"/>
        </w:numPr>
        <w:bidi w:val="0"/>
        <w:ind w:left="758" w:leftChars="0"/>
        <w:rPr>
          <w:color w:val="auto"/>
          <w:highlight w:val="none"/>
        </w:rPr>
      </w:pPr>
      <w:r>
        <w:rPr>
          <w:rFonts w:hint="eastAsia"/>
          <w:color w:val="auto"/>
          <w:highlight w:val="none"/>
        </w:rPr>
        <w:t>将接地线地面以上</w:t>
      </w:r>
      <w:r>
        <w:rPr>
          <w:color w:val="auto"/>
          <w:highlight w:val="none"/>
        </w:rPr>
        <w:t>2m</w:t>
      </w:r>
      <w:r>
        <w:rPr>
          <w:rFonts w:hint="eastAsia"/>
          <w:color w:val="auto"/>
          <w:highlight w:val="none"/>
        </w:rPr>
        <w:t>段套上保护管，保护管避免用金属管，用镀锌角钢拼装，以免形成涡流，阻碍雷电流顺利通过。</w:t>
      </w:r>
    </w:p>
    <w:p>
      <w:pPr>
        <w:numPr>
          <w:ilvl w:val="0"/>
          <w:numId w:val="123"/>
        </w:numPr>
        <w:bidi w:val="0"/>
        <w:ind w:left="758" w:leftChars="0"/>
        <w:rPr>
          <w:color w:val="auto"/>
          <w:highlight w:val="none"/>
        </w:rPr>
      </w:pPr>
      <w:r>
        <w:rPr>
          <w:rFonts w:hint="eastAsia"/>
          <w:color w:val="auto"/>
          <w:highlight w:val="none"/>
        </w:rPr>
        <w:t>防雷引下线，接地体需要装设断接卡子或测试的部位、数量按图施工，无要求时按以下规定设置：建筑物、构筑物只有一组接地体时，可不做断接卡子，但要设置测试点；建筑物、构筑物采用多组接地体时，每组接地体均要设置断接卡子；断接卡子或接地点设置的部位应不影响建筑物外观，应便于测试，暗设时距地高度为</w:t>
      </w:r>
      <w:r>
        <w:rPr>
          <w:color w:val="auto"/>
          <w:highlight w:val="none"/>
        </w:rPr>
        <w:t>0.5m</w:t>
      </w:r>
      <w:r>
        <w:rPr>
          <w:rFonts w:hint="eastAsia"/>
          <w:color w:val="auto"/>
          <w:highlight w:val="none"/>
        </w:rPr>
        <w:t>，明设时距地高度为</w:t>
      </w:r>
      <w:r>
        <w:rPr>
          <w:color w:val="auto"/>
          <w:highlight w:val="none"/>
        </w:rPr>
        <w:t>1.8m</w:t>
      </w:r>
      <w:r>
        <w:rPr>
          <w:rFonts w:hint="eastAsia"/>
          <w:color w:val="auto"/>
          <w:highlight w:val="none"/>
        </w:rPr>
        <w:t>。</w:t>
      </w:r>
    </w:p>
    <w:p>
      <w:pPr>
        <w:numPr>
          <w:ilvl w:val="1"/>
          <w:numId w:val="120"/>
        </w:numPr>
        <w:bidi w:val="0"/>
        <w:rPr>
          <w:color w:val="auto"/>
          <w:highlight w:val="none"/>
        </w:rPr>
      </w:pPr>
      <w:r>
        <w:rPr>
          <w:rFonts w:hint="eastAsia"/>
          <w:color w:val="auto"/>
          <w:highlight w:val="none"/>
        </w:rPr>
        <w:t>避雷网安装</w:t>
      </w:r>
    </w:p>
    <w:p>
      <w:pPr>
        <w:numPr>
          <w:ilvl w:val="1"/>
          <w:numId w:val="124"/>
        </w:numPr>
        <w:bidi w:val="0"/>
        <w:rPr>
          <w:color w:val="auto"/>
          <w:highlight w:val="none"/>
        </w:rPr>
      </w:pPr>
      <w:r>
        <w:rPr>
          <w:rFonts w:hint="eastAsia" w:asciiTheme="minorEastAsia" w:hAnsiTheme="minorEastAsia" w:eastAsiaTheme="minorEastAsia"/>
          <w:color w:val="auto"/>
          <w:szCs w:val="24"/>
          <w:highlight w:val="none"/>
        </w:rPr>
        <w:t>避雷网应平直牢固，不应有变形扭曲现象，距离建筑物表面距离应一致，平</w:t>
      </w:r>
      <w:r>
        <w:rPr>
          <w:rFonts w:hint="eastAsia"/>
          <w:color w:val="auto"/>
          <w:highlight w:val="none"/>
        </w:rPr>
        <w:t>直度每</w:t>
      </w:r>
      <w:r>
        <w:rPr>
          <w:color w:val="auto"/>
          <w:highlight w:val="none"/>
        </w:rPr>
        <w:t>2m</w:t>
      </w:r>
      <w:r>
        <w:rPr>
          <w:rFonts w:hint="eastAsia"/>
          <w:color w:val="auto"/>
          <w:highlight w:val="none"/>
        </w:rPr>
        <w:t>检查允许偏差</w:t>
      </w:r>
      <w:r>
        <w:rPr>
          <w:color w:val="auto"/>
          <w:highlight w:val="none"/>
        </w:rPr>
        <w:t>2/1000</w:t>
      </w:r>
      <w:r>
        <w:rPr>
          <w:rFonts w:hint="eastAsia"/>
          <w:color w:val="auto"/>
          <w:highlight w:val="none"/>
        </w:rPr>
        <w:t>，但全长避免超过</w:t>
      </w:r>
      <w:r>
        <w:rPr>
          <w:color w:val="auto"/>
          <w:highlight w:val="none"/>
        </w:rPr>
        <w:t>8mm</w:t>
      </w:r>
      <w:r>
        <w:rPr>
          <w:rFonts w:hint="eastAsia"/>
          <w:color w:val="auto"/>
          <w:highlight w:val="none"/>
        </w:rPr>
        <w:t>；</w:t>
      </w:r>
    </w:p>
    <w:p>
      <w:pPr>
        <w:numPr>
          <w:ilvl w:val="1"/>
          <w:numId w:val="124"/>
        </w:numPr>
        <w:bidi w:val="0"/>
        <w:rPr>
          <w:color w:val="auto"/>
          <w:highlight w:val="none"/>
        </w:rPr>
      </w:pPr>
      <w:r>
        <w:rPr>
          <w:rFonts w:hint="eastAsia"/>
          <w:color w:val="auto"/>
          <w:highlight w:val="none"/>
        </w:rPr>
        <w:t>避雷线弯曲处避免小于</w:t>
      </w:r>
      <w:r>
        <w:rPr>
          <w:color w:val="auto"/>
          <w:highlight w:val="none"/>
        </w:rPr>
        <w:t>90</w:t>
      </w:r>
      <w:r>
        <w:rPr>
          <w:rFonts w:hint="eastAsia"/>
          <w:color w:val="auto"/>
          <w:highlight w:val="none"/>
        </w:rPr>
        <w:t>°，弯曲半径避免小于圆钢直径</w:t>
      </w:r>
      <w:r>
        <w:rPr>
          <w:color w:val="auto"/>
          <w:highlight w:val="none"/>
        </w:rPr>
        <w:t>10</w:t>
      </w:r>
      <w:r>
        <w:rPr>
          <w:rFonts w:hint="eastAsia"/>
          <w:color w:val="auto"/>
          <w:highlight w:val="none"/>
        </w:rPr>
        <w:t>倍；</w:t>
      </w:r>
    </w:p>
    <w:p>
      <w:pPr>
        <w:numPr>
          <w:ilvl w:val="1"/>
          <w:numId w:val="124"/>
        </w:numPr>
        <w:bidi w:val="0"/>
        <w:rPr>
          <w:color w:val="auto"/>
          <w:highlight w:val="none"/>
        </w:rPr>
      </w:pPr>
      <w:r>
        <w:rPr>
          <w:rFonts w:hint="eastAsia"/>
          <w:color w:val="auto"/>
          <w:highlight w:val="none"/>
        </w:rPr>
        <w:t>主筋搭接处接接地线的要求焊接，当主筋采用压力埋弧焊、对焊、冷挤压时其接头处可不跨接；</w:t>
      </w:r>
    </w:p>
    <w:p>
      <w:pPr>
        <w:numPr>
          <w:ilvl w:val="1"/>
          <w:numId w:val="124"/>
        </w:numPr>
        <w:bidi w:val="0"/>
        <w:rPr>
          <w:color w:val="auto"/>
          <w:highlight w:val="none"/>
        </w:rPr>
      </w:pPr>
      <w:r>
        <w:rPr>
          <w:rFonts w:hint="eastAsia"/>
          <w:color w:val="auto"/>
          <w:highlight w:val="none"/>
        </w:rPr>
        <w:t>现浇混凝土墙内暗敷引下线时不做防腐处理，焊接应满足规范要求；</w:t>
      </w:r>
    </w:p>
    <w:p>
      <w:pPr>
        <w:numPr>
          <w:ilvl w:val="1"/>
          <w:numId w:val="124"/>
        </w:numPr>
        <w:bidi w:val="0"/>
        <w:rPr>
          <w:color w:val="auto"/>
          <w:highlight w:val="none"/>
        </w:rPr>
      </w:pPr>
      <w:r>
        <w:rPr>
          <w:rFonts w:hint="eastAsia"/>
          <w:color w:val="auto"/>
          <w:highlight w:val="none"/>
        </w:rPr>
        <w:t>柱内主筋应用不小于Φ</w:t>
      </w:r>
      <w:r>
        <w:rPr>
          <w:color w:val="auto"/>
          <w:highlight w:val="none"/>
        </w:rPr>
        <w:t>12</w:t>
      </w:r>
      <w:r>
        <w:rPr>
          <w:rFonts w:hint="eastAsia"/>
          <w:color w:val="auto"/>
          <w:highlight w:val="none"/>
        </w:rPr>
        <w:t>镀锌圆钢与屋顶避雷网焊接。</w:t>
      </w:r>
    </w:p>
    <w:p>
      <w:pPr>
        <w:numPr>
          <w:ilvl w:val="1"/>
          <w:numId w:val="120"/>
        </w:numPr>
        <w:bidi w:val="0"/>
        <w:rPr>
          <w:color w:val="auto"/>
          <w:highlight w:val="none"/>
        </w:rPr>
      </w:pPr>
      <w:r>
        <w:rPr>
          <w:rFonts w:hint="eastAsia"/>
          <w:color w:val="auto"/>
          <w:highlight w:val="none"/>
        </w:rPr>
        <w:t>接闪器</w:t>
      </w:r>
    </w:p>
    <w:p>
      <w:pPr>
        <w:numPr>
          <w:ilvl w:val="0"/>
          <w:numId w:val="125"/>
        </w:numPr>
        <w:bidi w:val="0"/>
        <w:rPr>
          <w:color w:val="auto"/>
          <w:highlight w:val="none"/>
        </w:rPr>
      </w:pPr>
      <w:r>
        <w:rPr>
          <w:rFonts w:hint="eastAsia" w:asciiTheme="minorEastAsia" w:hAnsiTheme="minorEastAsia"/>
          <w:color w:val="auto"/>
          <w:highlight w:val="none"/>
        </w:rPr>
        <w:t>避雷针、避雷带等必须与顶部外露的其它金属物体连成一个整体的电气通路</w:t>
      </w:r>
      <w:r>
        <w:rPr>
          <w:rFonts w:hint="eastAsia"/>
          <w:color w:val="auto"/>
          <w:highlight w:val="none"/>
        </w:rPr>
        <w:t>，且与避雷引下线连接可靠，严禁串联连接，支持件安装位置正确。采用螺栓固定的应采取双螺帽等防松措施，利用结构圈梁里的主筋或腰筋与预先准备好的约</w:t>
      </w:r>
      <w:r>
        <w:rPr>
          <w:color w:val="auto"/>
          <w:highlight w:val="none"/>
        </w:rPr>
        <w:t>20cm的连接钢筋头焊接成一体。</w:t>
      </w:r>
    </w:p>
    <w:p>
      <w:pPr>
        <w:numPr>
          <w:ilvl w:val="0"/>
          <w:numId w:val="125"/>
        </w:numPr>
        <w:bidi w:val="0"/>
        <w:rPr>
          <w:color w:val="auto"/>
          <w:highlight w:val="none"/>
        </w:rPr>
      </w:pPr>
      <w:r>
        <w:rPr>
          <w:rFonts w:hint="eastAsia"/>
          <w:color w:val="auto"/>
          <w:highlight w:val="none"/>
        </w:rPr>
        <w:t>避雷网和避雷带宜采用镀锌圆钢或扁钢，应优先选用圆钢，其直径不应小于</w:t>
      </w:r>
      <w:r>
        <w:rPr>
          <w:color w:val="auto"/>
          <w:highlight w:val="none"/>
        </w:rPr>
        <w:t>10mm，扁钢宽度不应小12mm，厚度不应小于4mm。</w:t>
      </w:r>
    </w:p>
    <w:p>
      <w:pPr>
        <w:numPr>
          <w:ilvl w:val="0"/>
          <w:numId w:val="125"/>
        </w:numPr>
        <w:bidi w:val="0"/>
        <w:rPr>
          <w:color w:val="auto"/>
          <w:highlight w:val="none"/>
        </w:rPr>
      </w:pPr>
      <w:r>
        <w:rPr>
          <w:rFonts w:hint="eastAsia"/>
          <w:color w:val="auto"/>
          <w:highlight w:val="none"/>
        </w:rPr>
        <w:t>接闪器转角、建筑物变形缝处应做补偿机制。</w:t>
      </w:r>
    </w:p>
    <w:p>
      <w:pPr>
        <w:pStyle w:val="5"/>
        <w:bidi w:val="0"/>
        <w:rPr>
          <w:color w:val="auto"/>
          <w:highlight w:val="none"/>
        </w:rPr>
      </w:pPr>
      <w:r>
        <w:rPr>
          <w:rFonts w:hint="eastAsia"/>
          <w:color w:val="auto"/>
          <w:highlight w:val="none"/>
        </w:rPr>
        <w:t>电缆桥架安装</w:t>
      </w:r>
    </w:p>
    <w:p>
      <w:pPr>
        <w:numPr>
          <w:ilvl w:val="1"/>
          <w:numId w:val="126"/>
        </w:numPr>
        <w:bidi w:val="0"/>
        <w:rPr>
          <w:color w:val="auto"/>
          <w:highlight w:val="none"/>
        </w:rPr>
      </w:pPr>
      <w:r>
        <w:rPr>
          <w:rFonts w:hint="eastAsia"/>
          <w:color w:val="auto"/>
          <w:highlight w:val="none"/>
        </w:rPr>
        <w:t>材料要求</w:t>
      </w:r>
    </w:p>
    <w:p>
      <w:pPr>
        <w:numPr>
          <w:ilvl w:val="1"/>
          <w:numId w:val="127"/>
        </w:numPr>
        <w:bidi w:val="0"/>
        <w:rPr>
          <w:color w:val="auto"/>
          <w:highlight w:val="none"/>
        </w:rPr>
      </w:pPr>
      <w:r>
        <w:rPr>
          <w:rFonts w:hint="eastAsia"/>
          <w:color w:val="auto"/>
          <w:highlight w:val="none"/>
        </w:rPr>
        <w:t>金属线槽分镀锌和不镀锌制品，其规格、型号应满足设计规范要求。线槽内外应光滑平整，无棱刺，不应有扭曲、翘边等变形现象。有产品质量认证和检测报告。</w:t>
      </w:r>
    </w:p>
    <w:p>
      <w:pPr>
        <w:numPr>
          <w:ilvl w:val="1"/>
          <w:numId w:val="127"/>
        </w:numPr>
        <w:bidi w:val="0"/>
        <w:rPr>
          <w:color w:val="auto"/>
          <w:highlight w:val="none"/>
        </w:rPr>
      </w:pPr>
      <w:r>
        <w:rPr>
          <w:rFonts w:hint="eastAsia"/>
          <w:color w:val="auto"/>
          <w:highlight w:val="none"/>
        </w:rPr>
        <w:t>对镀锌制品，要采用配套的镀锌配件，镀锌层表面应光滑均匀、致密、不起皮、无气泡、无局部未镀和局部锈蚀现象和划伤等缺陷，避免有影响安装的锌瘤。</w:t>
      </w:r>
    </w:p>
    <w:p>
      <w:pPr>
        <w:numPr>
          <w:ilvl w:val="1"/>
          <w:numId w:val="127"/>
        </w:numPr>
        <w:bidi w:val="0"/>
        <w:rPr>
          <w:color w:val="auto"/>
          <w:highlight w:val="none"/>
        </w:rPr>
      </w:pPr>
      <w:r>
        <w:rPr>
          <w:rFonts w:hint="eastAsia"/>
          <w:color w:val="auto"/>
          <w:highlight w:val="none"/>
        </w:rPr>
        <w:t>对非镀锌制品，漆层应坚固，无锈蚀现象，在每段上应焊接接地螺丝。</w:t>
      </w:r>
    </w:p>
    <w:p>
      <w:pPr>
        <w:numPr>
          <w:ilvl w:val="1"/>
          <w:numId w:val="127"/>
        </w:numPr>
        <w:bidi w:val="0"/>
        <w:rPr>
          <w:color w:val="auto"/>
          <w:highlight w:val="none"/>
        </w:rPr>
      </w:pPr>
      <w:r>
        <w:rPr>
          <w:rFonts w:hint="eastAsia"/>
          <w:color w:val="auto"/>
          <w:highlight w:val="none"/>
        </w:rPr>
        <w:t>支、吊架的结构应满足刚度、强度及稳定性的要求。</w:t>
      </w:r>
    </w:p>
    <w:p>
      <w:pPr>
        <w:numPr>
          <w:ilvl w:val="1"/>
          <w:numId w:val="127"/>
        </w:numPr>
        <w:bidi w:val="0"/>
        <w:rPr>
          <w:color w:val="auto"/>
          <w:highlight w:val="none"/>
        </w:rPr>
      </w:pPr>
      <w:r>
        <w:rPr>
          <w:rFonts w:hint="eastAsia"/>
          <w:color w:val="auto"/>
          <w:highlight w:val="none"/>
        </w:rPr>
        <w:t>焊缝的机械性能避免低于本体材料的机械性能，焊缝表面均匀，避免有漏焊、裂纹、夹渣、烧穿等缺陷。</w:t>
      </w:r>
    </w:p>
    <w:p>
      <w:pPr>
        <w:numPr>
          <w:ilvl w:val="1"/>
          <w:numId w:val="127"/>
        </w:numPr>
        <w:bidi w:val="0"/>
        <w:rPr>
          <w:color w:val="auto"/>
          <w:highlight w:val="none"/>
        </w:rPr>
      </w:pPr>
      <w:r>
        <w:rPr>
          <w:rFonts w:hint="eastAsia"/>
          <w:color w:val="auto"/>
          <w:highlight w:val="none"/>
        </w:rPr>
        <w:t>热浸锌桥架在现场切割后，桥架切口需在现场做热浸锌处理后方可安装。</w:t>
      </w:r>
    </w:p>
    <w:p>
      <w:pPr>
        <w:numPr>
          <w:ilvl w:val="1"/>
          <w:numId w:val="126"/>
        </w:numPr>
        <w:bidi w:val="0"/>
        <w:rPr>
          <w:color w:val="auto"/>
          <w:highlight w:val="none"/>
        </w:rPr>
      </w:pPr>
      <w:r>
        <w:rPr>
          <w:rFonts w:hint="eastAsia"/>
          <w:color w:val="auto"/>
          <w:highlight w:val="none"/>
        </w:rPr>
        <w:t>桥架敷设</w:t>
      </w:r>
    </w:p>
    <w:p>
      <w:pPr>
        <w:numPr>
          <w:ilvl w:val="1"/>
          <w:numId w:val="128"/>
        </w:numPr>
        <w:bidi w:val="0"/>
        <w:rPr>
          <w:color w:val="auto"/>
          <w:highlight w:val="none"/>
        </w:rPr>
      </w:pPr>
      <w:r>
        <w:rPr>
          <w:rFonts w:hint="eastAsia"/>
          <w:color w:val="auto"/>
          <w:highlight w:val="none"/>
        </w:rPr>
        <w:t>依据配电箱、柜、电气器具，空间管道等确定敷设的位置走向，弹线定位，并确定支吊架的固定位置；在竖井、机房内要考虑垂直干线与分支干线的连接方式。</w:t>
      </w:r>
    </w:p>
    <w:p>
      <w:pPr>
        <w:numPr>
          <w:ilvl w:val="1"/>
          <w:numId w:val="128"/>
        </w:numPr>
        <w:bidi w:val="0"/>
        <w:rPr>
          <w:color w:val="auto"/>
          <w:highlight w:val="none"/>
        </w:rPr>
      </w:pPr>
      <w:r>
        <w:rPr>
          <w:rFonts w:hint="eastAsia"/>
          <w:color w:val="auto"/>
          <w:highlight w:val="none"/>
        </w:rPr>
        <w:t>应保证桥架安装横平竖直，在有坡度的建筑物上应保证与建筑物表面相同的坡度。</w:t>
      </w:r>
    </w:p>
    <w:p>
      <w:pPr>
        <w:numPr>
          <w:ilvl w:val="1"/>
          <w:numId w:val="128"/>
        </w:numPr>
        <w:bidi w:val="0"/>
        <w:rPr>
          <w:color w:val="auto"/>
          <w:highlight w:val="none"/>
        </w:rPr>
      </w:pPr>
      <w:r>
        <w:rPr>
          <w:rFonts w:hint="eastAsia"/>
          <w:color w:val="auto"/>
          <w:highlight w:val="none"/>
        </w:rPr>
        <w:t>桥架水平敷设时距地高度不宜低于</w:t>
      </w:r>
      <w:r>
        <w:rPr>
          <w:color w:val="auto"/>
          <w:highlight w:val="none"/>
        </w:rPr>
        <w:t>2.5m</w:t>
      </w:r>
      <w:r>
        <w:rPr>
          <w:rFonts w:hint="eastAsia"/>
          <w:color w:val="auto"/>
          <w:highlight w:val="none"/>
        </w:rPr>
        <w:t>，垂直敷设时不低于</w:t>
      </w:r>
      <w:r>
        <w:rPr>
          <w:color w:val="auto"/>
          <w:highlight w:val="none"/>
        </w:rPr>
        <w:t>1.8m</w:t>
      </w:r>
      <w:r>
        <w:rPr>
          <w:rFonts w:hint="eastAsia"/>
          <w:color w:val="auto"/>
          <w:highlight w:val="none"/>
        </w:rPr>
        <w:t>，低于上述高度时应加金属盖板保护，但敷设在电气专用房间（配电室、电气竖井、设备层等）内除外。</w:t>
      </w:r>
    </w:p>
    <w:p>
      <w:pPr>
        <w:numPr>
          <w:ilvl w:val="1"/>
          <w:numId w:val="128"/>
        </w:numPr>
        <w:bidi w:val="0"/>
        <w:rPr>
          <w:color w:val="auto"/>
          <w:highlight w:val="none"/>
        </w:rPr>
      </w:pPr>
      <w:r>
        <w:rPr>
          <w:rFonts w:hint="eastAsia"/>
          <w:color w:val="auto"/>
          <w:highlight w:val="none"/>
        </w:rPr>
        <w:t>电缆托盘、桥架多层敷设时其层间距离为：控制电缆间不应小于</w:t>
      </w:r>
      <w:r>
        <w:rPr>
          <w:color w:val="auto"/>
          <w:highlight w:val="none"/>
        </w:rPr>
        <w:t>0.2m</w:t>
      </w:r>
      <w:r>
        <w:rPr>
          <w:rFonts w:hint="eastAsia"/>
          <w:color w:val="auto"/>
          <w:highlight w:val="none"/>
        </w:rPr>
        <w:t>，电气电缆间不应小于</w:t>
      </w:r>
      <w:r>
        <w:rPr>
          <w:color w:val="auto"/>
          <w:highlight w:val="none"/>
        </w:rPr>
        <w:t>0.3m</w:t>
      </w:r>
      <w:r>
        <w:rPr>
          <w:rFonts w:hint="eastAsia"/>
          <w:color w:val="auto"/>
          <w:highlight w:val="none"/>
        </w:rPr>
        <w:t>，弱电电缆与电气电缆间不小于</w:t>
      </w:r>
      <w:r>
        <w:rPr>
          <w:color w:val="auto"/>
          <w:highlight w:val="none"/>
        </w:rPr>
        <w:t>0.5m</w:t>
      </w:r>
      <w:r>
        <w:rPr>
          <w:rFonts w:hint="eastAsia"/>
          <w:color w:val="auto"/>
          <w:highlight w:val="none"/>
        </w:rPr>
        <w:t>，如有屏蔽盖板可减少到</w:t>
      </w:r>
      <w:r>
        <w:rPr>
          <w:color w:val="auto"/>
          <w:highlight w:val="none"/>
        </w:rPr>
        <w:t>0.3m</w:t>
      </w:r>
      <w:r>
        <w:rPr>
          <w:rFonts w:hint="eastAsia"/>
          <w:color w:val="auto"/>
          <w:highlight w:val="none"/>
        </w:rPr>
        <w:t>，桥架上部距离顶棚或其他障碍物不应小于</w:t>
      </w:r>
      <w:r>
        <w:rPr>
          <w:color w:val="auto"/>
          <w:highlight w:val="none"/>
        </w:rPr>
        <w:t>0.3m</w:t>
      </w:r>
      <w:r>
        <w:rPr>
          <w:rFonts w:hint="eastAsia"/>
          <w:color w:val="auto"/>
          <w:highlight w:val="none"/>
        </w:rPr>
        <w:t>。</w:t>
      </w:r>
    </w:p>
    <w:p>
      <w:pPr>
        <w:numPr>
          <w:ilvl w:val="1"/>
          <w:numId w:val="128"/>
        </w:numPr>
        <w:bidi w:val="0"/>
        <w:rPr>
          <w:color w:val="auto"/>
          <w:highlight w:val="none"/>
        </w:rPr>
      </w:pPr>
      <w:r>
        <w:rPr>
          <w:rFonts w:hint="eastAsia"/>
          <w:color w:val="auto"/>
          <w:highlight w:val="none"/>
        </w:rPr>
        <w:t>线槽和金属管道在同样标高安装，线槽要敷设于管道上方绕行，其做法要注意：线槽转角要平滑；转角处吊架要符合要求；和管道间距正确。</w:t>
      </w:r>
    </w:p>
    <w:p>
      <w:pPr>
        <w:numPr>
          <w:ilvl w:val="1"/>
          <w:numId w:val="128"/>
        </w:numPr>
        <w:bidi w:val="0"/>
        <w:rPr>
          <w:color w:val="auto"/>
          <w:highlight w:val="none"/>
        </w:rPr>
      </w:pPr>
      <w:r>
        <w:rPr>
          <w:rFonts w:hint="eastAsia"/>
          <w:color w:val="auto"/>
          <w:highlight w:val="none"/>
        </w:rPr>
        <w:t>尽量使用厂家配套的支吊架，在需要自制的场所，支吊架要统一预制，规格尺寸控制统一，焊接牢固，切口无卷边、毛刺，刷防锈漆；支吊架的规格不应小于扁铁</w:t>
      </w:r>
      <w:r>
        <w:rPr>
          <w:color w:val="auto"/>
          <w:highlight w:val="none"/>
        </w:rPr>
        <w:t>30mmx30mm</w:t>
      </w:r>
      <w:r>
        <w:rPr>
          <w:rFonts w:hint="eastAsia"/>
          <w:color w:val="auto"/>
          <w:highlight w:val="none"/>
        </w:rPr>
        <w:t>，支吊架强度应能达到桥架的承载能力要求。</w:t>
      </w:r>
    </w:p>
    <w:p>
      <w:pPr>
        <w:numPr>
          <w:ilvl w:val="1"/>
          <w:numId w:val="128"/>
        </w:numPr>
        <w:bidi w:val="0"/>
        <w:rPr>
          <w:color w:val="auto"/>
          <w:highlight w:val="none"/>
        </w:rPr>
      </w:pPr>
      <w:r>
        <w:rPr>
          <w:rFonts w:hint="eastAsia"/>
          <w:color w:val="auto"/>
          <w:highlight w:val="none"/>
        </w:rPr>
        <w:t>支吊架预埋铁，自制加工尺寸应大于</w:t>
      </w:r>
      <w:r>
        <w:rPr>
          <w:color w:val="auto"/>
          <w:highlight w:val="none"/>
        </w:rPr>
        <w:t>120mmx660mm</w:t>
      </w:r>
      <w:r>
        <w:rPr>
          <w:rFonts w:hint="eastAsia"/>
          <w:color w:val="auto"/>
          <w:highlight w:val="none"/>
        </w:rPr>
        <w:t>，其锚固圆钢直径不应小于</w:t>
      </w:r>
      <w:r>
        <w:rPr>
          <w:color w:val="auto"/>
          <w:highlight w:val="none"/>
        </w:rPr>
        <w:t>5mm，配合土建结构施工，拆模后，预埋铁的平面应明露或吃进2~3mm</w:t>
      </w:r>
      <w:r>
        <w:rPr>
          <w:rFonts w:hint="eastAsia"/>
          <w:color w:val="auto"/>
          <w:highlight w:val="none"/>
        </w:rPr>
        <w:t>，再用肩钢或角钢焊接固定。</w:t>
      </w:r>
    </w:p>
    <w:p>
      <w:pPr>
        <w:numPr>
          <w:ilvl w:val="1"/>
          <w:numId w:val="128"/>
        </w:numPr>
        <w:bidi w:val="0"/>
        <w:rPr>
          <w:color w:val="auto"/>
          <w:highlight w:val="none"/>
        </w:rPr>
      </w:pPr>
      <w:r>
        <w:rPr>
          <w:rFonts w:hint="eastAsia"/>
          <w:color w:val="auto"/>
          <w:highlight w:val="none"/>
        </w:rPr>
        <w:t>钢结构上可将支吊架直接焊接在钢结构固定位置处，也可用万能吊具进行安装。</w:t>
      </w:r>
    </w:p>
    <w:p>
      <w:pPr>
        <w:numPr>
          <w:ilvl w:val="1"/>
          <w:numId w:val="128"/>
        </w:numPr>
        <w:bidi w:val="0"/>
        <w:rPr>
          <w:color w:val="auto"/>
          <w:highlight w:val="none"/>
        </w:rPr>
      </w:pPr>
      <w:r>
        <w:rPr>
          <w:rFonts w:hint="eastAsia"/>
          <w:color w:val="auto"/>
          <w:highlight w:val="none"/>
        </w:rPr>
        <w:t>用膨胀螺栓固定，应根据承载选择相应的螺栓及钻头，所选钻头应大于套管长度；适用于</w:t>
      </w:r>
      <w:r>
        <w:rPr>
          <w:color w:val="auto"/>
          <w:highlight w:val="none"/>
        </w:rPr>
        <w:t>CS以上混凝土构件及实心砖墙上，不准在空心砖墙固定；打孔的深度应以将套管全部埋人后，表面平齐为宜；避免损伤螺栓的丝扣。</w:t>
      </w:r>
    </w:p>
    <w:p>
      <w:pPr>
        <w:numPr>
          <w:ilvl w:val="1"/>
          <w:numId w:val="128"/>
        </w:numPr>
        <w:bidi w:val="0"/>
        <w:rPr>
          <w:color w:val="auto"/>
          <w:highlight w:val="none"/>
        </w:rPr>
      </w:pPr>
      <w:r>
        <w:rPr>
          <w:rFonts w:hint="eastAsia"/>
          <w:color w:val="auto"/>
          <w:highlight w:val="none"/>
        </w:rPr>
        <w:t>避免使用木楔子固定，桥架、线槽敷设完毕后应作好标识，并对于不同系统的桥架、线槽用不同颜色的油漆进行区分。</w:t>
      </w:r>
    </w:p>
    <w:p>
      <w:pPr>
        <w:numPr>
          <w:ilvl w:val="1"/>
          <w:numId w:val="128"/>
        </w:numPr>
        <w:bidi w:val="0"/>
        <w:rPr>
          <w:color w:val="auto"/>
          <w:highlight w:val="none"/>
        </w:rPr>
      </w:pPr>
      <w:r>
        <w:rPr>
          <w:rFonts w:hint="eastAsia"/>
          <w:color w:val="auto"/>
          <w:highlight w:val="none"/>
        </w:rPr>
        <w:t>桥架水平敷设时应按荷载曲线选取最佳跨距及进行支撑，跨距一般为</w:t>
      </w:r>
      <w:r>
        <w:rPr>
          <w:color w:val="auto"/>
          <w:highlight w:val="none"/>
        </w:rPr>
        <w:t xml:space="preserve"> 1.5~3m</w:t>
      </w:r>
      <w:r>
        <w:rPr>
          <w:rFonts w:hint="eastAsia"/>
          <w:color w:val="auto"/>
          <w:highlight w:val="none"/>
        </w:rPr>
        <w:t>，垂直敷设时，固定点间距不大于</w:t>
      </w:r>
      <w:r>
        <w:rPr>
          <w:color w:val="auto"/>
          <w:highlight w:val="none"/>
        </w:rPr>
        <w:t>2m</w:t>
      </w:r>
      <w:r>
        <w:rPr>
          <w:rFonts w:hint="eastAsia"/>
          <w:color w:val="auto"/>
          <w:highlight w:val="none"/>
        </w:rPr>
        <w:t>，支架与支架应安装牢固，朝向应一致，间距均匀，相同场所的支吊架位置应一致。</w:t>
      </w:r>
    </w:p>
    <w:p>
      <w:pPr>
        <w:numPr>
          <w:ilvl w:val="1"/>
          <w:numId w:val="128"/>
        </w:numPr>
        <w:bidi w:val="0"/>
        <w:rPr>
          <w:color w:val="auto"/>
          <w:highlight w:val="none"/>
        </w:rPr>
      </w:pPr>
      <w:r>
        <w:rPr>
          <w:rFonts w:hint="eastAsia"/>
          <w:color w:val="auto"/>
          <w:highlight w:val="none"/>
        </w:rPr>
        <w:t>在进出接线盒、箱、柜、拐角、转弯和变形缝及钉子接头的三端</w:t>
      </w:r>
      <w:r>
        <w:rPr>
          <w:color w:val="auto"/>
          <w:highlight w:val="none"/>
        </w:rPr>
        <w:t>500mm</w:t>
      </w:r>
      <w:r>
        <w:rPr>
          <w:rFonts w:hint="eastAsia"/>
          <w:color w:val="auto"/>
          <w:highlight w:val="none"/>
        </w:rPr>
        <w:t>内设固定支持点。</w:t>
      </w:r>
    </w:p>
    <w:p>
      <w:pPr>
        <w:numPr>
          <w:ilvl w:val="1"/>
          <w:numId w:val="128"/>
        </w:numPr>
        <w:bidi w:val="0"/>
        <w:rPr>
          <w:color w:val="auto"/>
          <w:highlight w:val="none"/>
        </w:rPr>
      </w:pPr>
      <w:r>
        <w:rPr>
          <w:rFonts w:hint="eastAsia"/>
          <w:color w:val="auto"/>
          <w:highlight w:val="none"/>
        </w:rPr>
        <w:t>在水平敷设时，支吊架应与桥架底面贴平没有缝隙，无悬空现象，以保证各支吊架均匀受力，至少每隔一个支架与桥架本体固定一次。</w:t>
      </w:r>
    </w:p>
    <w:p>
      <w:pPr>
        <w:numPr>
          <w:ilvl w:val="1"/>
          <w:numId w:val="128"/>
        </w:numPr>
        <w:bidi w:val="0"/>
        <w:rPr>
          <w:color w:val="auto"/>
          <w:highlight w:val="none"/>
        </w:rPr>
      </w:pPr>
      <w:r>
        <w:rPr>
          <w:rFonts w:hint="eastAsia"/>
          <w:color w:val="auto"/>
          <w:highlight w:val="none"/>
        </w:rPr>
        <w:t>在非直线段的支吊架当半径不大于</w:t>
      </w:r>
      <w:r>
        <w:rPr>
          <w:color w:val="auto"/>
          <w:highlight w:val="none"/>
        </w:rPr>
        <w:t>300mm</w:t>
      </w:r>
      <w:r>
        <w:rPr>
          <w:rFonts w:hint="eastAsia"/>
          <w:color w:val="auto"/>
          <w:highlight w:val="none"/>
        </w:rPr>
        <w:t>时，应在距非直线段与直线段结合处</w:t>
      </w:r>
      <w:r>
        <w:rPr>
          <w:color w:val="auto"/>
          <w:highlight w:val="none"/>
        </w:rPr>
        <w:t>300~600mm</w:t>
      </w:r>
      <w:r>
        <w:rPr>
          <w:rFonts w:hint="eastAsia"/>
          <w:color w:val="auto"/>
          <w:highlight w:val="none"/>
        </w:rPr>
        <w:t>的直线段侧设置一个支吊架；当半径大于</w:t>
      </w:r>
      <w:r>
        <w:rPr>
          <w:color w:val="auto"/>
          <w:highlight w:val="none"/>
        </w:rPr>
        <w:t>300mm</w:t>
      </w:r>
      <w:r>
        <w:rPr>
          <w:rFonts w:hint="eastAsia"/>
          <w:color w:val="auto"/>
          <w:highlight w:val="none"/>
        </w:rPr>
        <w:t>时，除应按上则要求外，在非直线段中部还应增设一个支、吊架。</w:t>
      </w:r>
    </w:p>
    <w:p>
      <w:pPr>
        <w:numPr>
          <w:ilvl w:val="1"/>
          <w:numId w:val="128"/>
        </w:numPr>
        <w:bidi w:val="0"/>
        <w:rPr>
          <w:color w:val="auto"/>
          <w:highlight w:val="none"/>
        </w:rPr>
      </w:pPr>
      <w:r>
        <w:rPr>
          <w:rFonts w:hint="eastAsia"/>
          <w:color w:val="auto"/>
          <w:highlight w:val="none"/>
        </w:rPr>
        <w:t>桥架的接口应平整，接缝处应紧密平直，槽板盖上后应平整，无翘角。</w:t>
      </w:r>
    </w:p>
    <w:p>
      <w:pPr>
        <w:numPr>
          <w:ilvl w:val="1"/>
          <w:numId w:val="128"/>
        </w:numPr>
        <w:bidi w:val="0"/>
        <w:rPr>
          <w:color w:val="auto"/>
          <w:highlight w:val="none"/>
        </w:rPr>
      </w:pPr>
      <w:r>
        <w:rPr>
          <w:rFonts w:hint="eastAsia"/>
          <w:color w:val="auto"/>
          <w:highlight w:val="none"/>
        </w:rPr>
        <w:t>桥架进箱、盒、柜时，进线和出线口等处应采取抱角连接，并用螺丝紧固。</w:t>
      </w:r>
    </w:p>
    <w:p>
      <w:pPr>
        <w:numPr>
          <w:ilvl w:val="1"/>
          <w:numId w:val="128"/>
        </w:numPr>
        <w:bidi w:val="0"/>
        <w:rPr>
          <w:color w:val="auto"/>
          <w:highlight w:val="none"/>
        </w:rPr>
      </w:pPr>
      <w:r>
        <w:rPr>
          <w:rFonts w:hint="eastAsia"/>
          <w:color w:val="auto"/>
          <w:highlight w:val="none"/>
        </w:rPr>
        <w:t>线槽连接应采用连接板，用垫圈、弹簧垫、螺母紧固，螺母必须在线槽外侧。</w:t>
      </w:r>
    </w:p>
    <w:p>
      <w:pPr>
        <w:numPr>
          <w:ilvl w:val="1"/>
          <w:numId w:val="128"/>
        </w:numPr>
        <w:bidi w:val="0"/>
        <w:rPr>
          <w:color w:val="auto"/>
          <w:highlight w:val="none"/>
        </w:rPr>
      </w:pPr>
      <w:r>
        <w:rPr>
          <w:rFonts w:hint="eastAsia"/>
          <w:color w:val="auto"/>
          <w:highlight w:val="none"/>
        </w:rPr>
        <w:t>桥架在交叉、转弯、丁字连接时，应尽量使用厂家配套生产单通、二通、三通、四通或平面二通、平面三通等进行变通连接。</w:t>
      </w:r>
    </w:p>
    <w:p>
      <w:pPr>
        <w:numPr>
          <w:ilvl w:val="1"/>
          <w:numId w:val="128"/>
        </w:numPr>
        <w:bidi w:val="0"/>
        <w:rPr>
          <w:color w:val="auto"/>
          <w:highlight w:val="none"/>
        </w:rPr>
      </w:pPr>
      <w:r>
        <w:rPr>
          <w:rFonts w:hint="eastAsia"/>
          <w:color w:val="auto"/>
          <w:highlight w:val="none"/>
        </w:rPr>
        <w:t>金属线槽吊架安装：间距均匀合理；吊杆顺直无内（外）八字；镀锌或经过防腐处理；吊杆长度一致。</w:t>
      </w:r>
    </w:p>
    <w:p>
      <w:pPr>
        <w:numPr>
          <w:ilvl w:val="1"/>
          <w:numId w:val="128"/>
        </w:numPr>
        <w:bidi w:val="0"/>
        <w:rPr>
          <w:color w:val="auto"/>
          <w:highlight w:val="none"/>
        </w:rPr>
      </w:pPr>
      <w:r>
        <w:rPr>
          <w:rFonts w:hint="eastAsia"/>
          <w:color w:val="auto"/>
          <w:highlight w:val="none"/>
        </w:rPr>
        <w:t>如空间尺寸不允许，要自制弯通时要使用和桥架本体相同规格的材料；在拐角处要保留斜坡，以保护线缆；拼接的弯通、拐弯应保证连接平顺，空间布置合理；在采取焊接法连接时，要保证焊接面积，不能只是数点焊接，应保证整个焊口严密，焊完后，刷防锈漆和与桥架本体颜色一致的面漆；螺丝连接法只适于镀锌桥架，每段连接板间至少有两处螺丝做可靠连接。</w:t>
      </w:r>
    </w:p>
    <w:p>
      <w:pPr>
        <w:numPr>
          <w:ilvl w:val="1"/>
          <w:numId w:val="128"/>
        </w:numPr>
        <w:bidi w:val="0"/>
        <w:rPr>
          <w:color w:val="auto"/>
          <w:highlight w:val="none"/>
        </w:rPr>
      </w:pPr>
      <w:r>
        <w:rPr>
          <w:rFonts w:hint="eastAsia"/>
          <w:color w:val="auto"/>
          <w:highlight w:val="none"/>
        </w:rPr>
        <w:t>从桥架上分支的线管不得用电气焊开孔，管子要套丝用锁母于桥架固定，在距开孔处</w:t>
      </w:r>
      <w:r>
        <w:rPr>
          <w:color w:val="auto"/>
          <w:highlight w:val="none"/>
        </w:rPr>
        <w:t>300mm</w:t>
      </w:r>
      <w:r>
        <w:rPr>
          <w:rFonts w:hint="eastAsia"/>
          <w:color w:val="auto"/>
          <w:highlight w:val="none"/>
        </w:rPr>
        <w:t>内管子应加一道支架固定。</w:t>
      </w:r>
    </w:p>
    <w:p>
      <w:pPr>
        <w:numPr>
          <w:ilvl w:val="1"/>
          <w:numId w:val="128"/>
        </w:numPr>
        <w:bidi w:val="0"/>
        <w:rPr>
          <w:color w:val="auto"/>
          <w:highlight w:val="none"/>
        </w:rPr>
      </w:pPr>
      <w:r>
        <w:rPr>
          <w:rFonts w:hint="eastAsia"/>
          <w:color w:val="auto"/>
          <w:highlight w:val="none"/>
        </w:rPr>
        <w:t>桥架的连接处不得设置于过楼板、墙壁处，不得设置于支吊架支撑处，必须离支吊架</w:t>
      </w:r>
      <w:r>
        <w:rPr>
          <w:color w:val="auto"/>
          <w:highlight w:val="none"/>
        </w:rPr>
        <w:t>100mm</w:t>
      </w:r>
      <w:r>
        <w:rPr>
          <w:rFonts w:hint="eastAsia"/>
          <w:color w:val="auto"/>
          <w:highlight w:val="none"/>
        </w:rPr>
        <w:t>以上。</w:t>
      </w:r>
    </w:p>
    <w:p>
      <w:pPr>
        <w:numPr>
          <w:ilvl w:val="1"/>
          <w:numId w:val="128"/>
        </w:numPr>
        <w:bidi w:val="0"/>
        <w:rPr>
          <w:color w:val="auto"/>
          <w:highlight w:val="none"/>
        </w:rPr>
      </w:pPr>
      <w:r>
        <w:rPr>
          <w:rFonts w:hint="eastAsia"/>
          <w:color w:val="auto"/>
          <w:highlight w:val="none"/>
        </w:rPr>
        <w:t>桥架经过建筑物的变形缝</w:t>
      </w:r>
      <w:r>
        <w:rPr>
          <w:color w:val="auto"/>
          <w:highlight w:val="none"/>
        </w:rPr>
        <w:t xml:space="preserve"> </w:t>
      </w:r>
      <w:r>
        <w:rPr>
          <w:rFonts w:hint="eastAsia"/>
          <w:color w:val="auto"/>
          <w:highlight w:val="none"/>
        </w:rPr>
        <w:t>师缩缝、沉降缝）时，线槽本身应断开，断开距离以</w:t>
      </w:r>
      <w:r>
        <w:rPr>
          <w:color w:val="auto"/>
          <w:highlight w:val="none"/>
        </w:rPr>
        <w:t>100mm</w:t>
      </w:r>
      <w:r>
        <w:rPr>
          <w:rFonts w:hint="eastAsia"/>
          <w:color w:val="auto"/>
          <w:highlight w:val="none"/>
        </w:rPr>
        <w:t>为宜，槽内用连接板搭接，不需固定，保护地线和槽内导线应留有补偿余量，桥架直线段每段</w:t>
      </w:r>
      <w:r>
        <w:rPr>
          <w:color w:val="auto"/>
          <w:highlight w:val="none"/>
        </w:rPr>
        <w:t>50mm</w:t>
      </w:r>
      <w:r>
        <w:rPr>
          <w:rFonts w:hint="eastAsia"/>
          <w:color w:val="auto"/>
          <w:highlight w:val="none"/>
        </w:rPr>
        <w:t>应留伸缩缝</w:t>
      </w:r>
      <w:r>
        <w:rPr>
          <w:color w:val="auto"/>
          <w:highlight w:val="none"/>
        </w:rPr>
        <w:t>20~30mm</w:t>
      </w:r>
      <w:r>
        <w:rPr>
          <w:rFonts w:hint="eastAsia"/>
          <w:color w:val="auto"/>
          <w:highlight w:val="none"/>
        </w:rPr>
        <w:t>。</w:t>
      </w:r>
    </w:p>
    <w:p>
      <w:pPr>
        <w:numPr>
          <w:ilvl w:val="1"/>
          <w:numId w:val="126"/>
        </w:numPr>
        <w:bidi w:val="0"/>
        <w:rPr>
          <w:color w:val="auto"/>
          <w:highlight w:val="none"/>
        </w:rPr>
      </w:pPr>
      <w:r>
        <w:rPr>
          <w:rFonts w:hint="eastAsia"/>
          <w:color w:val="auto"/>
          <w:highlight w:val="none"/>
        </w:rPr>
        <w:t>桥架的接地</w:t>
      </w:r>
    </w:p>
    <w:p>
      <w:pPr>
        <w:numPr>
          <w:ilvl w:val="1"/>
          <w:numId w:val="129"/>
        </w:numPr>
        <w:bidi w:val="0"/>
        <w:rPr>
          <w:color w:val="auto"/>
          <w:highlight w:val="none"/>
        </w:rPr>
      </w:pPr>
      <w:r>
        <w:rPr>
          <w:rFonts w:hint="eastAsia"/>
          <w:color w:val="auto"/>
          <w:highlight w:val="none"/>
        </w:rPr>
        <w:t>当利用桥架本体系统构成回路时，连接接头处的电阻不得大于</w:t>
      </w:r>
      <w:r>
        <w:rPr>
          <w:color w:val="auto"/>
          <w:highlight w:val="none"/>
        </w:rPr>
        <w:t>0.00033</w:t>
      </w:r>
      <w:r>
        <w:rPr>
          <w:rFonts w:hint="eastAsia"/>
          <w:color w:val="auto"/>
          <w:highlight w:val="none"/>
        </w:rPr>
        <w:t>Ω。</w:t>
      </w:r>
    </w:p>
    <w:p>
      <w:pPr>
        <w:numPr>
          <w:ilvl w:val="1"/>
          <w:numId w:val="129"/>
        </w:numPr>
        <w:bidi w:val="0"/>
        <w:rPr>
          <w:color w:val="auto"/>
          <w:highlight w:val="none"/>
        </w:rPr>
      </w:pPr>
      <w:r>
        <w:rPr>
          <w:rFonts w:hint="eastAsia"/>
          <w:color w:val="auto"/>
          <w:highlight w:val="none"/>
        </w:rPr>
        <w:t>对镀锌、铝制的桥架，本体的连接片连接可作为接地连接，但必须保证连接牢固，配套的螺丝、平垫、弹簧垫齐全，连接处无锈蚀现象和砂浆、渣土等污染。</w:t>
      </w:r>
    </w:p>
    <w:p>
      <w:pPr>
        <w:numPr>
          <w:ilvl w:val="1"/>
          <w:numId w:val="129"/>
        </w:numPr>
        <w:bidi w:val="0"/>
        <w:rPr>
          <w:color w:val="auto"/>
          <w:highlight w:val="none"/>
        </w:rPr>
      </w:pPr>
      <w:r>
        <w:rPr>
          <w:rFonts w:hint="eastAsia"/>
          <w:color w:val="auto"/>
          <w:highlight w:val="none"/>
        </w:rPr>
        <w:t>对非镀锌制品，除本体连接外，应在其接地螺丝（螺丝必须在加工时就与桥架焊接成一体）上用编织软铜线或铜线连接，导线截面积选择应符合，此连接必须在每一段都连接。尤其在拼接处的非直线段Ｌ更必须做到位，接地线宜做在桥架的同一侧，以便于检查，避免遗漏。</w:t>
      </w:r>
    </w:p>
    <w:p>
      <w:pPr>
        <w:numPr>
          <w:ilvl w:val="1"/>
          <w:numId w:val="129"/>
        </w:numPr>
        <w:bidi w:val="0"/>
        <w:rPr>
          <w:color w:val="auto"/>
          <w:highlight w:val="none"/>
        </w:rPr>
      </w:pPr>
      <w:r>
        <w:rPr>
          <w:rFonts w:hint="eastAsia"/>
          <w:color w:val="auto"/>
          <w:highlight w:val="none"/>
        </w:rPr>
        <w:t>沿桥架全长另敷设接地干线时，每段（包括非直线段）托盘、梯架应至少有一点与接地干线可靠连接。</w:t>
      </w:r>
    </w:p>
    <w:p>
      <w:pPr>
        <w:numPr>
          <w:ilvl w:val="1"/>
          <w:numId w:val="129"/>
        </w:numPr>
        <w:bidi w:val="0"/>
        <w:rPr>
          <w:color w:val="auto"/>
          <w:highlight w:val="none"/>
        </w:rPr>
      </w:pPr>
      <w:r>
        <w:rPr>
          <w:rFonts w:hint="eastAsia"/>
          <w:color w:val="auto"/>
          <w:highlight w:val="none"/>
        </w:rPr>
        <w:t>桥架应与配电箱、柜，分支管线、用电气具、设备做好接地，以保证用电系统接地在此环节中的可靠性、连续性。</w:t>
      </w:r>
    </w:p>
    <w:p>
      <w:pPr>
        <w:numPr>
          <w:ilvl w:val="1"/>
          <w:numId w:val="129"/>
        </w:numPr>
        <w:bidi w:val="0"/>
        <w:rPr>
          <w:color w:val="auto"/>
          <w:highlight w:val="none"/>
        </w:rPr>
      </w:pPr>
      <w:r>
        <w:rPr>
          <w:rFonts w:hint="eastAsia"/>
          <w:color w:val="auto"/>
          <w:highlight w:val="none"/>
        </w:rPr>
        <w:t>桥架过墙壁、楼板处、不应将空洞抹死，而应作如下处理：土建收口方正，在桥架四周留一定空间，往空间内填充防火枕或防火堵料，在墙壁两侧，各用加工方正、尺寸合适一致、油漆均匀的盖板封盖住。</w:t>
      </w:r>
    </w:p>
    <w:p>
      <w:pPr>
        <w:pStyle w:val="5"/>
        <w:bidi w:val="0"/>
        <w:rPr>
          <w:color w:val="auto"/>
          <w:highlight w:val="none"/>
        </w:rPr>
      </w:pPr>
      <w:r>
        <w:rPr>
          <w:color w:val="auto"/>
          <w:highlight w:val="none"/>
        </w:rPr>
        <w:t>变压器安装</w:t>
      </w:r>
    </w:p>
    <w:p>
      <w:pPr>
        <w:numPr>
          <w:ilvl w:val="1"/>
          <w:numId w:val="130"/>
        </w:numPr>
        <w:bidi w:val="0"/>
        <w:rPr>
          <w:color w:val="auto"/>
          <w:highlight w:val="none"/>
        </w:rPr>
      </w:pPr>
      <w:r>
        <w:rPr>
          <w:color w:val="auto"/>
          <w:highlight w:val="none"/>
        </w:rPr>
        <w:t>变压器箱体、干式变压器的支架、基础型钢及外壳应分别单独与保护导体可靠连接，紧固件及防松零件齐全</w:t>
      </w:r>
      <w:r>
        <w:rPr>
          <w:rFonts w:hint="eastAsia"/>
          <w:color w:val="auto"/>
          <w:highlight w:val="none"/>
        </w:rPr>
        <w:t>。</w:t>
      </w:r>
    </w:p>
    <w:p>
      <w:pPr>
        <w:numPr>
          <w:ilvl w:val="1"/>
          <w:numId w:val="130"/>
        </w:numPr>
        <w:bidi w:val="0"/>
        <w:rPr>
          <w:color w:val="auto"/>
          <w:highlight w:val="none"/>
        </w:rPr>
      </w:pPr>
      <w:r>
        <w:rPr>
          <w:color w:val="auto"/>
          <w:highlight w:val="none"/>
        </w:rPr>
        <w:t>配电间和静止补偿装置栅栏门应采用裸编织铜线与保护导体可靠连接，其截面积不应小于4mm2</w:t>
      </w:r>
      <w:r>
        <w:rPr>
          <w:rFonts w:hint="eastAsia"/>
          <w:color w:val="auto"/>
          <w:highlight w:val="none"/>
        </w:rPr>
        <w:t>。</w:t>
      </w:r>
    </w:p>
    <w:p>
      <w:pPr>
        <w:numPr>
          <w:ilvl w:val="1"/>
          <w:numId w:val="130"/>
        </w:numPr>
        <w:bidi w:val="0"/>
        <w:rPr>
          <w:color w:val="auto"/>
          <w:highlight w:val="none"/>
        </w:rPr>
      </w:pPr>
      <w:r>
        <w:rPr>
          <w:color w:val="auto"/>
          <w:highlight w:val="none"/>
        </w:rPr>
        <w:t>变压器外壳，距门不应小于1m，距墙不应小于0.8m。</w:t>
      </w:r>
    </w:p>
    <w:p>
      <w:pPr>
        <w:pStyle w:val="5"/>
        <w:bidi w:val="0"/>
        <w:rPr>
          <w:color w:val="auto"/>
          <w:highlight w:val="none"/>
        </w:rPr>
      </w:pPr>
      <w:r>
        <w:rPr>
          <w:rFonts w:hint="eastAsia"/>
          <w:color w:val="auto"/>
          <w:highlight w:val="none"/>
        </w:rPr>
        <w:t>灯具、开关、插座安装</w:t>
      </w:r>
    </w:p>
    <w:p>
      <w:pPr>
        <w:numPr>
          <w:ilvl w:val="1"/>
          <w:numId w:val="131"/>
        </w:numPr>
        <w:bidi w:val="0"/>
        <w:rPr>
          <w:color w:val="auto"/>
          <w:highlight w:val="none"/>
        </w:rPr>
      </w:pPr>
      <w:r>
        <w:rPr>
          <w:rFonts w:hint="eastAsia"/>
          <w:color w:val="auto"/>
          <w:highlight w:val="none"/>
        </w:rPr>
        <w:t>灯具安装</w:t>
      </w:r>
    </w:p>
    <w:p>
      <w:pPr>
        <w:bidi w:val="0"/>
        <w:rPr>
          <w:rFonts w:asciiTheme="minorEastAsia" w:hAnsiTheme="minorEastAsia"/>
          <w:bCs/>
          <w:color w:val="auto"/>
          <w:highlight w:val="none"/>
        </w:rPr>
      </w:pPr>
      <w:r>
        <w:rPr>
          <w:rFonts w:hint="eastAsia"/>
          <w:color w:val="auto"/>
          <w:highlight w:val="none"/>
        </w:rPr>
        <w:t>灯具安装前，必须检查灯具型号及外形有无破损，然后根据图纸上的尺寸对号安装。灯具安装必须牢固端正，位置正确，器具清洁干净，吊杆垂直。导线进入灯具的绝缘保护良好，留有适当余量，连接牢固、紧密，不伤线芯，灯具成排安装的中心线允许偏差</w:t>
      </w:r>
      <w:r>
        <w:rPr>
          <w:color w:val="auto"/>
          <w:highlight w:val="none"/>
        </w:rPr>
        <w:t>5mm。灯具安装后不得再次喷浆，以防器具污染。</w:t>
      </w:r>
    </w:p>
    <w:p>
      <w:pPr>
        <w:numPr>
          <w:ilvl w:val="1"/>
          <w:numId w:val="131"/>
        </w:numPr>
        <w:bidi w:val="0"/>
        <w:rPr>
          <w:color w:val="auto"/>
          <w:highlight w:val="none"/>
        </w:rPr>
      </w:pPr>
      <w:r>
        <w:rPr>
          <w:rFonts w:hint="eastAsia"/>
          <w:color w:val="auto"/>
          <w:highlight w:val="none"/>
        </w:rPr>
        <w:t>开关、插座安装</w:t>
      </w:r>
    </w:p>
    <w:p>
      <w:pPr>
        <w:numPr>
          <w:ilvl w:val="0"/>
          <w:numId w:val="132"/>
        </w:numPr>
        <w:bidi w:val="0"/>
        <w:rPr>
          <w:color w:val="auto"/>
          <w:highlight w:val="none"/>
        </w:rPr>
      </w:pPr>
      <w:r>
        <w:rPr>
          <w:rFonts w:hint="eastAsia"/>
          <w:color w:val="auto"/>
          <w:highlight w:val="none"/>
        </w:rPr>
        <w:t>插座及开关等的安装须格外注意观感质量，标高位置要正确可靠，接线盒子内清洁、无杂物，表面清洁、不变形，开关盖板紧贴建筑物的表面。</w:t>
      </w:r>
    </w:p>
    <w:p>
      <w:pPr>
        <w:numPr>
          <w:ilvl w:val="0"/>
          <w:numId w:val="132"/>
        </w:numPr>
        <w:bidi w:val="0"/>
        <w:rPr>
          <w:color w:val="auto"/>
          <w:highlight w:val="none"/>
        </w:rPr>
      </w:pPr>
      <w:r>
        <w:rPr>
          <w:rFonts w:hint="eastAsia"/>
          <w:color w:val="auto"/>
          <w:highlight w:val="none"/>
        </w:rPr>
        <w:t>开关、插座的底板和暗装开关、插座的面板并列安装时，开关、插座的高度差应小于</w:t>
      </w:r>
      <w:r>
        <w:rPr>
          <w:color w:val="auto"/>
          <w:highlight w:val="none"/>
        </w:rPr>
        <w:t>0.5mm，面板的垂直度小于0.5mm。同一场合的开关或插座高度差小于5mm。</w:t>
      </w:r>
    </w:p>
    <w:p>
      <w:pPr>
        <w:numPr>
          <w:ilvl w:val="0"/>
          <w:numId w:val="132"/>
        </w:numPr>
        <w:bidi w:val="0"/>
        <w:rPr>
          <w:color w:val="auto"/>
          <w:highlight w:val="none"/>
        </w:rPr>
      </w:pPr>
      <w:r>
        <w:rPr>
          <w:rFonts w:hint="eastAsia"/>
          <w:color w:val="auto"/>
          <w:highlight w:val="none"/>
        </w:rPr>
        <w:t>接线时，应注意区分相线、零线及保护地线，不得混乱，</w:t>
      </w:r>
      <w:r>
        <w:rPr>
          <w:color w:val="auto"/>
          <w:highlight w:val="none"/>
        </w:rPr>
        <w:t>注意的是零线与保护接地线切不可错接或接为一体</w:t>
      </w:r>
      <w:r>
        <w:rPr>
          <w:rFonts w:hint="eastAsia"/>
          <w:color w:val="auto"/>
          <w:highlight w:val="none"/>
        </w:rPr>
        <w:t>，</w:t>
      </w:r>
      <w:r>
        <w:rPr>
          <w:color w:val="auto"/>
          <w:highlight w:val="none"/>
        </w:rPr>
        <w:t>其中地线采用黄绿相间的双色线</w:t>
      </w:r>
      <w:r>
        <w:rPr>
          <w:rFonts w:hint="eastAsia"/>
          <w:color w:val="auto"/>
          <w:highlight w:val="none"/>
        </w:rPr>
        <w:t>。相线经开关关断。</w:t>
      </w:r>
    </w:p>
    <w:p>
      <w:pPr>
        <w:numPr>
          <w:ilvl w:val="0"/>
          <w:numId w:val="132"/>
        </w:numPr>
        <w:bidi w:val="0"/>
        <w:rPr>
          <w:color w:val="auto"/>
          <w:highlight w:val="none"/>
        </w:rPr>
      </w:pPr>
      <w:r>
        <w:rPr>
          <w:rFonts w:hint="eastAsia"/>
          <w:color w:val="auto"/>
          <w:highlight w:val="none"/>
        </w:rPr>
        <w:t>单相两孔插座接线应注意“左零右火、下零上火”。</w:t>
      </w:r>
      <w:r>
        <w:rPr>
          <w:color w:val="auto"/>
          <w:highlight w:val="none"/>
        </w:rPr>
        <w:t>单相三</w:t>
      </w:r>
      <w:r>
        <w:rPr>
          <w:rFonts w:hint="eastAsia"/>
          <w:color w:val="auto"/>
          <w:highlight w:val="none"/>
        </w:rPr>
        <w:t>孔</w:t>
      </w:r>
      <w:r>
        <w:rPr>
          <w:color w:val="auto"/>
          <w:highlight w:val="none"/>
        </w:rPr>
        <w:t>插座的接线要求是：上端的接地孔眼一定要与接地线接牢、接实、接对，绝不能不接，余下的两孔眼按左零右火的规则接线</w:t>
      </w:r>
      <w:r>
        <w:rPr>
          <w:rFonts w:hint="eastAsia"/>
          <w:color w:val="auto"/>
          <w:highlight w:val="none"/>
        </w:rPr>
        <w:t>。插座的接地端子不与零线端子连接。同一场所的三相插座，接线的相序应一致。</w:t>
      </w:r>
    </w:p>
    <w:p>
      <w:pPr>
        <w:numPr>
          <w:ilvl w:val="0"/>
          <w:numId w:val="132"/>
        </w:numPr>
        <w:bidi w:val="0"/>
        <w:rPr>
          <w:color w:val="auto"/>
          <w:highlight w:val="none"/>
        </w:rPr>
      </w:pPr>
      <w:r>
        <w:rPr>
          <w:color w:val="auto"/>
          <w:highlight w:val="none"/>
        </w:rPr>
        <w:t>接线时，要预留适当的余量电线在线盒内</w:t>
      </w:r>
      <w:r>
        <w:rPr>
          <w:rFonts w:hint="eastAsia"/>
          <w:color w:val="auto"/>
          <w:highlight w:val="none"/>
        </w:rPr>
        <w:t>。</w:t>
      </w:r>
      <w:r>
        <w:rPr>
          <w:color w:val="auto"/>
          <w:highlight w:val="none"/>
        </w:rPr>
        <w:t>三根及以上导线连接时，将连接导线绝缘层并齐合拢，在距绝缘层约15mm处用其中一根线芯，在其连接端缠绕不少于5圈后剪断，把余头并齐折回压在缠绕线上。两根导线连接时，将连接导线绝缘台并齐合拢，在距绝缘层约15mm处用两根线芯捻绞不少于5圈后，留余线适当长后剪断折回压紧</w:t>
      </w:r>
      <w:r>
        <w:rPr>
          <w:rFonts w:hint="eastAsia"/>
          <w:color w:val="auto"/>
          <w:highlight w:val="none"/>
        </w:rPr>
        <w:t>。</w:t>
      </w:r>
    </w:p>
    <w:p>
      <w:pPr>
        <w:pStyle w:val="5"/>
        <w:bidi w:val="0"/>
        <w:rPr>
          <w:color w:val="auto"/>
          <w:highlight w:val="none"/>
        </w:rPr>
      </w:pPr>
      <w:r>
        <w:rPr>
          <w:rFonts w:hint="eastAsia"/>
          <w:color w:val="auto"/>
          <w:highlight w:val="none"/>
        </w:rPr>
        <w:t>配电柜</w:t>
      </w:r>
      <w:r>
        <w:rPr>
          <w:color w:val="auto"/>
          <w:highlight w:val="none"/>
        </w:rPr>
        <w:t>/箱安装</w:t>
      </w:r>
    </w:p>
    <w:p>
      <w:pPr>
        <w:numPr>
          <w:ilvl w:val="1"/>
          <w:numId w:val="133"/>
        </w:numPr>
        <w:bidi w:val="0"/>
        <w:rPr>
          <w:color w:val="auto"/>
          <w:highlight w:val="none"/>
        </w:rPr>
      </w:pPr>
      <w:r>
        <w:rPr>
          <w:rFonts w:hint="eastAsia"/>
          <w:color w:val="auto"/>
          <w:highlight w:val="none"/>
        </w:rPr>
        <w:t>在配电柜</w:t>
      </w:r>
      <w:r>
        <w:rPr>
          <w:color w:val="auto"/>
          <w:highlight w:val="none"/>
        </w:rPr>
        <w:t>/箱安装前，应具备墙面、屋顶喷浆完，无漏水，门窗玻璃安装完，门上锁等条件。首先安装基础型钢，基础型钢安装后，顶部宜高出抹平地坪地面10mm，手车柜基础应与地坪相平，基础槽钢应与地线可靠连接。柜在找平找正后，柜体与基础型钢固定，然后柜体与柜体、柜体与侧档板均用镀锌螺丝连接，盘柜接地应用6mm2</w:t>
      </w:r>
      <w:r>
        <w:rPr>
          <w:rFonts w:hint="eastAsia"/>
          <w:color w:val="auto"/>
          <w:highlight w:val="none"/>
        </w:rPr>
        <w:t>铜绞线与基础型钢可靠连接。</w:t>
      </w:r>
    </w:p>
    <w:p>
      <w:pPr>
        <w:numPr>
          <w:ilvl w:val="1"/>
          <w:numId w:val="133"/>
        </w:numPr>
        <w:bidi w:val="0"/>
        <w:rPr>
          <w:color w:val="auto"/>
          <w:highlight w:val="none"/>
        </w:rPr>
      </w:pPr>
      <w:r>
        <w:rPr>
          <w:rFonts w:hint="eastAsia"/>
          <w:color w:val="auto"/>
          <w:highlight w:val="none"/>
        </w:rPr>
        <w:t>按照电气设备平面图，确定好配电箱的具体安装位置，要保证固定牢固可靠。配电箱安装的垂直偏差不应大于</w:t>
      </w:r>
      <w:r>
        <w:rPr>
          <w:color w:val="auto"/>
          <w:highlight w:val="none"/>
        </w:rPr>
        <w:t>3mm。配电箱的箱体及电器的金属外壳，均应做接地保护。安装结束后，应保证箱体内外清洁、箱盖开启灵活、箱内接线整齐、回路编号齐全正确</w:t>
      </w:r>
      <w:r>
        <w:rPr>
          <w:rFonts w:hint="eastAsia"/>
          <w:color w:val="auto"/>
          <w:highlight w:val="none"/>
        </w:rPr>
        <w:t>。</w:t>
      </w:r>
    </w:p>
    <w:p>
      <w:pPr>
        <w:numPr>
          <w:ilvl w:val="1"/>
          <w:numId w:val="133"/>
        </w:numPr>
        <w:bidi w:val="0"/>
        <w:rPr>
          <w:color w:val="auto"/>
          <w:highlight w:val="none"/>
        </w:rPr>
      </w:pPr>
      <w:r>
        <w:rPr>
          <w:color w:val="auto"/>
          <w:highlight w:val="none"/>
        </w:rPr>
        <w:t>配电箱安装需横平竖直，配电柜与基础支座连接可靠</w:t>
      </w:r>
      <w:r>
        <w:rPr>
          <w:rFonts w:hint="eastAsia"/>
          <w:color w:val="auto"/>
          <w:highlight w:val="none"/>
        </w:rPr>
        <w:t>。</w:t>
      </w:r>
    </w:p>
    <w:p>
      <w:pPr>
        <w:numPr>
          <w:ilvl w:val="1"/>
          <w:numId w:val="133"/>
        </w:numPr>
        <w:bidi w:val="0"/>
        <w:rPr>
          <w:color w:val="auto"/>
          <w:highlight w:val="none"/>
        </w:rPr>
      </w:pPr>
      <w:r>
        <w:rPr>
          <w:color w:val="auto"/>
          <w:highlight w:val="none"/>
        </w:rPr>
        <w:t>成列配电柜安装时，柜面应平齐，配电柜垂直度偏差不大于1.5mm，柜体之间用螺栓连接牢固，相邻配电柜体缝隙不大于2mm；</w:t>
      </w:r>
    </w:p>
    <w:p>
      <w:pPr>
        <w:numPr>
          <w:ilvl w:val="1"/>
          <w:numId w:val="133"/>
        </w:numPr>
        <w:bidi w:val="0"/>
        <w:rPr>
          <w:color w:val="auto"/>
          <w:highlight w:val="none"/>
        </w:rPr>
      </w:pPr>
      <w:r>
        <w:rPr>
          <w:rFonts w:hint="eastAsia"/>
          <w:color w:val="auto"/>
          <w:highlight w:val="none"/>
        </w:rPr>
        <w:t>配电箱应安装在安全、干燥、易操作的场所，在同一建筑物内，同类箱的高度应一致，允许偏差为</w:t>
      </w:r>
      <w:r>
        <w:rPr>
          <w:color w:val="auto"/>
          <w:highlight w:val="none"/>
        </w:rPr>
        <w:t>10mm。</w:t>
      </w:r>
    </w:p>
    <w:p>
      <w:pPr>
        <w:numPr>
          <w:ilvl w:val="1"/>
          <w:numId w:val="133"/>
        </w:numPr>
        <w:bidi w:val="0"/>
        <w:rPr>
          <w:color w:val="auto"/>
          <w:highlight w:val="none"/>
        </w:rPr>
      </w:pPr>
      <w:r>
        <w:rPr>
          <w:rFonts w:hint="eastAsia"/>
          <w:color w:val="auto"/>
          <w:highlight w:val="none"/>
        </w:rPr>
        <w:t>安装配电箱所需的木砖及铁件等均应预埋，挂式配电箱应采用金属膨胀螺栓固定。</w:t>
      </w:r>
    </w:p>
    <w:p>
      <w:pPr>
        <w:numPr>
          <w:ilvl w:val="1"/>
          <w:numId w:val="133"/>
        </w:numPr>
        <w:bidi w:val="0"/>
        <w:rPr>
          <w:color w:val="auto"/>
          <w:highlight w:val="none"/>
        </w:rPr>
      </w:pPr>
      <w:r>
        <w:rPr>
          <w:rFonts w:hint="eastAsia"/>
          <w:color w:val="auto"/>
          <w:highlight w:val="none"/>
        </w:rPr>
        <w:t>配电箱带有器具的铁制盘面和装有器具的门及电器的金属外壳均应有明显可靠的</w:t>
      </w:r>
      <w:r>
        <w:rPr>
          <w:color w:val="auto"/>
          <w:highlight w:val="none"/>
        </w:rPr>
        <w:t xml:space="preserve">PE </w:t>
      </w:r>
      <w:r>
        <w:rPr>
          <w:rFonts w:hint="eastAsia"/>
          <w:color w:val="auto"/>
          <w:highlight w:val="none"/>
        </w:rPr>
        <w:t>线接地。</w:t>
      </w:r>
      <w:r>
        <w:rPr>
          <w:color w:val="auto"/>
          <w:highlight w:val="none"/>
        </w:rPr>
        <w:t xml:space="preserve">PE </w:t>
      </w:r>
      <w:r>
        <w:rPr>
          <w:rFonts w:hint="eastAsia"/>
          <w:color w:val="auto"/>
          <w:highlight w:val="none"/>
        </w:rPr>
        <w:t>线不允许利用盒、箱体串接。</w:t>
      </w:r>
    </w:p>
    <w:p>
      <w:pPr>
        <w:numPr>
          <w:ilvl w:val="1"/>
          <w:numId w:val="133"/>
        </w:numPr>
        <w:bidi w:val="0"/>
        <w:rPr>
          <w:color w:val="auto"/>
          <w:highlight w:val="none"/>
        </w:rPr>
      </w:pPr>
      <w:r>
        <w:rPr>
          <w:rFonts w:hint="eastAsia"/>
          <w:color w:val="auto"/>
          <w:highlight w:val="none"/>
        </w:rPr>
        <w:t>配电箱上配线需排列整齐，并绑扎成束，在活动部位应该两端固定。盘面引出及引进的导线应留有适当余量，以便于检修。</w:t>
      </w:r>
    </w:p>
    <w:p>
      <w:pPr>
        <w:numPr>
          <w:ilvl w:val="1"/>
          <w:numId w:val="133"/>
        </w:numPr>
        <w:bidi w:val="0"/>
        <w:rPr>
          <w:color w:val="auto"/>
          <w:highlight w:val="none"/>
        </w:rPr>
      </w:pPr>
      <w:r>
        <w:rPr>
          <w:rFonts w:hint="eastAsia"/>
          <w:color w:val="auto"/>
          <w:highlight w:val="none"/>
        </w:rPr>
        <w:t>配电箱上的电源指示灯，其电源应接至总开关的外侧，并应装单独熔断器（电源侧）。</w:t>
      </w:r>
    </w:p>
    <w:p>
      <w:pPr>
        <w:numPr>
          <w:ilvl w:val="1"/>
          <w:numId w:val="133"/>
        </w:numPr>
        <w:bidi w:val="0"/>
        <w:rPr>
          <w:color w:val="auto"/>
          <w:highlight w:val="none"/>
        </w:rPr>
      </w:pPr>
      <w:r>
        <w:rPr>
          <w:rFonts w:hint="eastAsia"/>
          <w:color w:val="auto"/>
          <w:highlight w:val="none"/>
        </w:rPr>
        <w:t>接零系统中的零线应在箱体引入线处或末端做好重复接地。</w:t>
      </w:r>
    </w:p>
    <w:p>
      <w:pPr>
        <w:numPr>
          <w:ilvl w:val="1"/>
          <w:numId w:val="133"/>
        </w:numPr>
        <w:bidi w:val="0"/>
        <w:rPr>
          <w:color w:val="auto"/>
          <w:highlight w:val="none"/>
        </w:rPr>
      </w:pPr>
      <w:r>
        <w:rPr>
          <w:rFonts w:hint="eastAsia"/>
          <w:color w:val="auto"/>
          <w:highlight w:val="none"/>
        </w:rPr>
        <w:t>零母线在配电箱上应用端子板分路，零线端子板分支路排列位置，应与熔断器相对应。配电箱上的母线应套上有黄（</w:t>
      </w:r>
      <w:r>
        <w:rPr>
          <w:color w:val="auto"/>
          <w:highlight w:val="none"/>
        </w:rPr>
        <w:t xml:space="preserve">A </w:t>
      </w:r>
      <w:r>
        <w:rPr>
          <w:rFonts w:hint="eastAsia"/>
          <w:color w:val="auto"/>
          <w:highlight w:val="none"/>
        </w:rPr>
        <w:t>相），绿（</w:t>
      </w:r>
      <w:r>
        <w:rPr>
          <w:color w:val="auto"/>
          <w:highlight w:val="none"/>
        </w:rPr>
        <w:t xml:space="preserve">B </w:t>
      </w:r>
      <w:r>
        <w:rPr>
          <w:rFonts w:hint="eastAsia"/>
          <w:color w:val="auto"/>
          <w:highlight w:val="none"/>
        </w:rPr>
        <w:t>相），红（</w:t>
      </w:r>
      <w:r>
        <w:rPr>
          <w:color w:val="auto"/>
          <w:highlight w:val="none"/>
        </w:rPr>
        <w:t xml:space="preserve">C </w:t>
      </w:r>
      <w:r>
        <w:rPr>
          <w:rFonts w:hint="eastAsia"/>
          <w:color w:val="auto"/>
          <w:highlight w:val="none"/>
        </w:rPr>
        <w:t>相），黑（</w:t>
      </w:r>
      <w:r>
        <w:rPr>
          <w:color w:val="auto"/>
          <w:highlight w:val="none"/>
        </w:rPr>
        <w:t xml:space="preserve">D </w:t>
      </w:r>
      <w:r>
        <w:rPr>
          <w:rFonts w:hint="eastAsia"/>
          <w:color w:val="auto"/>
          <w:highlight w:val="none"/>
        </w:rPr>
        <w:t>相）等颜色色带，双色线为保护地线（黄绿，也称</w:t>
      </w:r>
      <w:r>
        <w:rPr>
          <w:color w:val="auto"/>
          <w:highlight w:val="none"/>
        </w:rPr>
        <w:t xml:space="preserve">PE </w:t>
      </w:r>
      <w:r>
        <w:rPr>
          <w:rFonts w:hint="eastAsia"/>
          <w:color w:val="auto"/>
          <w:highlight w:val="none"/>
        </w:rPr>
        <w:t>线）。</w:t>
      </w:r>
    </w:p>
    <w:p>
      <w:pPr>
        <w:numPr>
          <w:ilvl w:val="1"/>
          <w:numId w:val="133"/>
        </w:numPr>
        <w:bidi w:val="0"/>
        <w:rPr>
          <w:color w:val="auto"/>
          <w:highlight w:val="none"/>
        </w:rPr>
      </w:pPr>
      <w:r>
        <w:rPr>
          <w:rFonts w:hint="eastAsia"/>
          <w:color w:val="auto"/>
          <w:highlight w:val="none"/>
        </w:rPr>
        <w:t>配电箱上电具、仪表应牢固、平正、整洁，间距均匀，铜端子无松动，启闭灵活，零部件齐全。</w:t>
      </w:r>
    </w:p>
    <w:p>
      <w:pPr>
        <w:pStyle w:val="5"/>
        <w:bidi w:val="0"/>
        <w:rPr>
          <w:color w:val="auto"/>
          <w:highlight w:val="none"/>
        </w:rPr>
      </w:pPr>
      <w:r>
        <w:rPr>
          <w:rFonts w:hint="eastAsia"/>
          <w:color w:val="auto"/>
          <w:highlight w:val="none"/>
        </w:rPr>
        <w:t>母线槽</w:t>
      </w:r>
      <w:r>
        <w:rPr>
          <w:color w:val="auto"/>
          <w:highlight w:val="none"/>
        </w:rPr>
        <w:t>安装</w:t>
      </w:r>
    </w:p>
    <w:p>
      <w:pPr>
        <w:numPr>
          <w:ilvl w:val="1"/>
          <w:numId w:val="134"/>
        </w:numPr>
        <w:bidi w:val="0"/>
        <w:rPr>
          <w:color w:val="auto"/>
          <w:highlight w:val="none"/>
        </w:rPr>
      </w:pPr>
      <w:r>
        <w:rPr>
          <w:rFonts w:hint="eastAsia"/>
          <w:color w:val="auto"/>
          <w:highlight w:val="none"/>
        </w:rPr>
        <w:t>储存</w:t>
      </w:r>
    </w:p>
    <w:p>
      <w:pPr>
        <w:numPr>
          <w:ilvl w:val="0"/>
          <w:numId w:val="135"/>
        </w:numPr>
        <w:bidi w:val="0"/>
        <w:rPr>
          <w:color w:val="auto"/>
          <w:highlight w:val="none"/>
        </w:rPr>
      </w:pPr>
      <w:r>
        <w:rPr>
          <w:rFonts w:hint="eastAsia"/>
          <w:color w:val="auto"/>
          <w:highlight w:val="none"/>
        </w:rPr>
        <w:t>母线槽应放置在干燥的地方，不能受到水，水蒸气及泥土的侵蚀，不能直接放在地上，需在地上垫上木板。</w:t>
      </w:r>
    </w:p>
    <w:p>
      <w:pPr>
        <w:numPr>
          <w:ilvl w:val="0"/>
          <w:numId w:val="135"/>
        </w:numPr>
        <w:bidi w:val="0"/>
        <w:rPr>
          <w:color w:val="auto"/>
          <w:highlight w:val="none"/>
        </w:rPr>
      </w:pPr>
      <w:r>
        <w:rPr>
          <w:rFonts w:hint="eastAsia"/>
          <w:color w:val="auto"/>
          <w:highlight w:val="none"/>
        </w:rPr>
        <w:t>不要直立放置。</w:t>
      </w:r>
    </w:p>
    <w:p>
      <w:pPr>
        <w:numPr>
          <w:ilvl w:val="0"/>
          <w:numId w:val="135"/>
        </w:numPr>
        <w:bidi w:val="0"/>
        <w:rPr>
          <w:color w:val="auto"/>
          <w:highlight w:val="none"/>
        </w:rPr>
      </w:pPr>
      <w:r>
        <w:rPr>
          <w:rFonts w:hint="eastAsia"/>
          <w:color w:val="auto"/>
          <w:highlight w:val="none"/>
        </w:rPr>
        <w:t>母线槽外壳防护膜在送电前才能拆除，确保母线槽在送电前不会弄污或受到破坏。</w:t>
      </w:r>
    </w:p>
    <w:p>
      <w:pPr>
        <w:numPr>
          <w:ilvl w:val="1"/>
          <w:numId w:val="134"/>
        </w:numPr>
        <w:bidi w:val="0"/>
        <w:rPr>
          <w:color w:val="auto"/>
          <w:highlight w:val="none"/>
        </w:rPr>
      </w:pPr>
      <w:r>
        <w:rPr>
          <w:rFonts w:hint="eastAsia"/>
          <w:color w:val="auto"/>
          <w:highlight w:val="none"/>
        </w:rPr>
        <w:t>安装前检查</w:t>
      </w:r>
    </w:p>
    <w:p>
      <w:pPr>
        <w:numPr>
          <w:ilvl w:val="0"/>
          <w:numId w:val="136"/>
        </w:numPr>
        <w:bidi w:val="0"/>
        <w:rPr>
          <w:color w:val="auto"/>
          <w:highlight w:val="none"/>
        </w:rPr>
      </w:pPr>
      <w:r>
        <w:rPr>
          <w:rFonts w:hint="eastAsia"/>
          <w:color w:val="auto"/>
          <w:highlight w:val="none"/>
        </w:rPr>
        <w:t>检查安装线路中是否有障碍、热源、漏水等情况。检查安装设备是否齐全。检查安装线路是否与设计相同。</w:t>
      </w:r>
    </w:p>
    <w:p>
      <w:pPr>
        <w:numPr>
          <w:ilvl w:val="0"/>
          <w:numId w:val="136"/>
        </w:numPr>
        <w:bidi w:val="0"/>
        <w:rPr>
          <w:color w:val="auto"/>
          <w:highlight w:val="none"/>
        </w:rPr>
      </w:pPr>
      <w:r>
        <w:rPr>
          <w:rFonts w:hint="eastAsia"/>
          <w:color w:val="auto"/>
          <w:highlight w:val="none"/>
        </w:rPr>
        <w:t>安装吊架螺栓和支撑架。</w:t>
      </w:r>
    </w:p>
    <w:p>
      <w:pPr>
        <w:numPr>
          <w:ilvl w:val="0"/>
          <w:numId w:val="136"/>
        </w:numPr>
        <w:bidi w:val="0"/>
        <w:rPr>
          <w:color w:val="auto"/>
          <w:highlight w:val="none"/>
        </w:rPr>
      </w:pPr>
      <w:r>
        <w:rPr>
          <w:rFonts w:hint="eastAsia"/>
          <w:color w:val="auto"/>
          <w:highlight w:val="none"/>
        </w:rPr>
        <w:t>安装前对每个单元母线槽进行绝缘电阻测试。</w:t>
      </w:r>
    </w:p>
    <w:p>
      <w:pPr>
        <w:numPr>
          <w:ilvl w:val="0"/>
          <w:numId w:val="136"/>
        </w:numPr>
        <w:bidi w:val="0"/>
        <w:rPr>
          <w:color w:val="auto"/>
          <w:highlight w:val="none"/>
        </w:rPr>
      </w:pPr>
      <w:r>
        <w:rPr>
          <w:rFonts w:hint="eastAsia"/>
          <w:color w:val="auto"/>
          <w:highlight w:val="none"/>
        </w:rPr>
        <w:t>检查接头处有无泥土，灰尘及其它异物。</w:t>
      </w:r>
    </w:p>
    <w:p>
      <w:pPr>
        <w:numPr>
          <w:ilvl w:val="1"/>
          <w:numId w:val="134"/>
        </w:numPr>
        <w:bidi w:val="0"/>
        <w:rPr>
          <w:color w:val="auto"/>
          <w:highlight w:val="none"/>
        </w:rPr>
      </w:pPr>
      <w:r>
        <w:rPr>
          <w:rFonts w:hint="eastAsia"/>
          <w:color w:val="auto"/>
          <w:highlight w:val="none"/>
        </w:rPr>
        <w:t>安装注意事项</w:t>
      </w:r>
    </w:p>
    <w:p>
      <w:pPr>
        <w:numPr>
          <w:ilvl w:val="0"/>
          <w:numId w:val="137"/>
        </w:numPr>
        <w:bidi w:val="0"/>
        <w:rPr>
          <w:color w:val="auto"/>
          <w:highlight w:val="none"/>
        </w:rPr>
      </w:pPr>
      <w:r>
        <w:rPr>
          <w:rFonts w:hint="eastAsia"/>
          <w:color w:val="auto"/>
          <w:highlight w:val="none"/>
        </w:rPr>
        <w:t>必须对照图纸，按序号顺序进行连接。</w:t>
      </w:r>
    </w:p>
    <w:p>
      <w:pPr>
        <w:numPr>
          <w:ilvl w:val="0"/>
          <w:numId w:val="137"/>
        </w:numPr>
        <w:bidi w:val="0"/>
        <w:rPr>
          <w:color w:val="auto"/>
          <w:highlight w:val="none"/>
        </w:rPr>
      </w:pPr>
      <w:r>
        <w:rPr>
          <w:rFonts w:hint="eastAsia"/>
          <w:color w:val="auto"/>
          <w:highlight w:val="none"/>
        </w:rPr>
        <w:t>在吊装时要垫硬纸或木板，以防母线槽表面被破坏或变形。</w:t>
      </w:r>
    </w:p>
    <w:p>
      <w:pPr>
        <w:numPr>
          <w:ilvl w:val="0"/>
          <w:numId w:val="137"/>
        </w:numPr>
        <w:bidi w:val="0"/>
        <w:rPr>
          <w:color w:val="auto"/>
          <w:highlight w:val="none"/>
        </w:rPr>
      </w:pPr>
      <w:r>
        <w:rPr>
          <w:rFonts w:hint="eastAsia"/>
          <w:color w:val="auto"/>
          <w:highlight w:val="none"/>
        </w:rPr>
        <w:t>边安装边测试绝缘电阻，以免出现不正常时整段线路的检查的拆卸。</w:t>
      </w:r>
    </w:p>
    <w:p>
      <w:pPr>
        <w:numPr>
          <w:ilvl w:val="0"/>
          <w:numId w:val="137"/>
        </w:numPr>
        <w:bidi w:val="0"/>
        <w:rPr>
          <w:color w:val="auto"/>
          <w:highlight w:val="none"/>
        </w:rPr>
      </w:pPr>
      <w:r>
        <w:rPr>
          <w:rFonts w:hint="eastAsia"/>
          <w:color w:val="auto"/>
          <w:highlight w:val="none"/>
        </w:rPr>
        <w:t>安装未完成前，连接终端应有防水，防尘措施。</w:t>
      </w:r>
    </w:p>
    <w:p>
      <w:pPr>
        <w:numPr>
          <w:ilvl w:val="0"/>
          <w:numId w:val="137"/>
        </w:numPr>
        <w:bidi w:val="0"/>
        <w:rPr>
          <w:color w:val="auto"/>
          <w:highlight w:val="none"/>
        </w:rPr>
      </w:pPr>
      <w:r>
        <w:rPr>
          <w:rFonts w:hint="eastAsia"/>
          <w:color w:val="auto"/>
          <w:highlight w:val="none"/>
        </w:rPr>
        <w:t>接头处安装后必须将螺栓拧紧。</w:t>
      </w:r>
    </w:p>
    <w:p>
      <w:pPr>
        <w:numPr>
          <w:ilvl w:val="0"/>
          <w:numId w:val="137"/>
        </w:numPr>
        <w:bidi w:val="0"/>
        <w:rPr>
          <w:color w:val="auto"/>
          <w:highlight w:val="none"/>
        </w:rPr>
      </w:pPr>
      <w:r>
        <w:rPr>
          <w:rFonts w:hint="eastAsia"/>
          <w:color w:val="auto"/>
          <w:highlight w:val="none"/>
        </w:rPr>
        <w:t>对防护等级为</w:t>
      </w:r>
      <w:r>
        <w:rPr>
          <w:color w:val="auto"/>
          <w:highlight w:val="none"/>
        </w:rPr>
        <w:t>IP54的母线槽在接头安装时，必须在铝盖两边、螺栓孔周围、密封垫圈底部、侧面铝盖上沿周边处涂上硅胶。</w:t>
      </w:r>
    </w:p>
    <w:p>
      <w:pPr>
        <w:numPr>
          <w:ilvl w:val="0"/>
          <w:numId w:val="137"/>
        </w:numPr>
        <w:bidi w:val="0"/>
        <w:rPr>
          <w:color w:val="auto"/>
          <w:highlight w:val="none"/>
        </w:rPr>
      </w:pPr>
      <w:r>
        <w:rPr>
          <w:rFonts w:hint="eastAsia"/>
          <w:color w:val="auto"/>
          <w:highlight w:val="none"/>
        </w:rPr>
        <w:t>母线槽数排并安装时，为确保散热和方便安装，其间最小间距</w:t>
      </w:r>
      <w:r>
        <w:rPr>
          <w:color w:val="auto"/>
          <w:highlight w:val="none"/>
        </w:rPr>
        <w:t>150mm，如其上有插接箱时应保证插接箱之间有50mm间距。母线槽安装穿过墙壁或楼层板时其接头中心距墙或楼层板间距至少为300mm。</w:t>
      </w:r>
    </w:p>
    <w:p>
      <w:pPr>
        <w:numPr>
          <w:ilvl w:val="0"/>
          <w:numId w:val="137"/>
        </w:numPr>
        <w:bidi w:val="0"/>
        <w:rPr>
          <w:color w:val="auto"/>
          <w:highlight w:val="none"/>
        </w:rPr>
      </w:pPr>
      <w:r>
        <w:rPr>
          <w:rFonts w:hint="eastAsia"/>
          <w:color w:val="auto"/>
          <w:highlight w:val="none"/>
        </w:rPr>
        <w:t>母线槽穿过防火墙及防火板时，应采取防火隔离措施。</w:t>
      </w:r>
    </w:p>
    <w:p>
      <w:pPr>
        <w:numPr>
          <w:ilvl w:val="0"/>
          <w:numId w:val="137"/>
        </w:numPr>
        <w:bidi w:val="0"/>
        <w:rPr>
          <w:color w:val="auto"/>
          <w:highlight w:val="none"/>
        </w:rPr>
      </w:pPr>
      <w:r>
        <w:rPr>
          <w:rFonts w:hint="eastAsia"/>
          <w:color w:val="auto"/>
          <w:highlight w:val="none"/>
        </w:rPr>
        <w:t>吊架之间距离为</w:t>
      </w:r>
      <w:r>
        <w:rPr>
          <w:color w:val="auto"/>
          <w:highlight w:val="none"/>
        </w:rPr>
        <w:t>2</w:t>
      </w:r>
      <w:r>
        <w:rPr>
          <w:rFonts w:hint="eastAsia"/>
          <w:color w:val="auto"/>
          <w:highlight w:val="none"/>
        </w:rPr>
        <w:t>m，大跨度母线槽为</w:t>
      </w:r>
      <w:r>
        <w:rPr>
          <w:color w:val="auto"/>
          <w:highlight w:val="none"/>
        </w:rPr>
        <w:t>6</w:t>
      </w:r>
      <w:r>
        <w:rPr>
          <w:rFonts w:hint="eastAsia"/>
          <w:color w:val="auto"/>
          <w:highlight w:val="none"/>
        </w:rPr>
        <w:t>m。</w:t>
      </w:r>
    </w:p>
    <w:p>
      <w:pPr>
        <w:numPr>
          <w:ilvl w:val="0"/>
          <w:numId w:val="137"/>
        </w:numPr>
        <w:bidi w:val="0"/>
        <w:rPr>
          <w:color w:val="auto"/>
          <w:highlight w:val="none"/>
        </w:rPr>
      </w:pPr>
      <w:r>
        <w:rPr>
          <w:rFonts w:hint="eastAsia"/>
          <w:color w:val="auto"/>
          <w:highlight w:val="none"/>
        </w:rPr>
        <w:t>水平安装时，距离地面高度不应小于</w:t>
      </w:r>
      <w:r>
        <w:rPr>
          <w:color w:val="auto"/>
          <w:highlight w:val="none"/>
        </w:rPr>
        <w:t>2.2</w:t>
      </w:r>
      <w:r>
        <w:rPr>
          <w:rFonts w:hint="eastAsia"/>
          <w:color w:val="auto"/>
          <w:highlight w:val="none"/>
        </w:rPr>
        <w:t>m</w:t>
      </w:r>
      <w:r>
        <w:rPr>
          <w:color w:val="auto"/>
          <w:highlight w:val="none"/>
        </w:rPr>
        <w:t>；垂直安装时，距地面1.8m以下部分应采用防止机械损伤措施（竖井内除外）</w:t>
      </w:r>
    </w:p>
    <w:p>
      <w:pPr>
        <w:numPr>
          <w:ilvl w:val="0"/>
          <w:numId w:val="137"/>
        </w:numPr>
        <w:bidi w:val="0"/>
        <w:rPr>
          <w:color w:val="auto"/>
          <w:highlight w:val="none"/>
        </w:rPr>
      </w:pPr>
      <w:r>
        <w:rPr>
          <w:rFonts w:hint="eastAsia"/>
          <w:color w:val="auto"/>
          <w:highlight w:val="none"/>
        </w:rPr>
        <w:t>垂直安装的母线槽在楼板处用弹簧支架固定并调节弹簧，使之保证垂直度。末端悬空时应采用支架固定；楼层高于</w:t>
      </w:r>
      <w:r>
        <w:rPr>
          <w:color w:val="auto"/>
          <w:highlight w:val="none"/>
        </w:rPr>
        <w:t>4m时，中间也应采用支架固定。</w:t>
      </w:r>
    </w:p>
    <w:p>
      <w:pPr>
        <w:numPr>
          <w:ilvl w:val="0"/>
          <w:numId w:val="137"/>
        </w:numPr>
        <w:bidi w:val="0"/>
        <w:rPr>
          <w:rFonts w:hint="eastAsia" w:ascii="宋体" w:hAnsi="宋体" w:eastAsia="宋体"/>
          <w:color w:val="auto"/>
          <w:highlight w:val="none"/>
        </w:rPr>
      </w:pPr>
      <w:r>
        <w:rPr>
          <w:rFonts w:hint="eastAsia" w:ascii="宋体" w:hAnsi="宋体" w:eastAsia="宋体"/>
          <w:color w:val="auto"/>
          <w:highlight w:val="none"/>
        </w:rPr>
        <w:t>垂直安装时，长度不超过40m应安装伸缩节，如每层都有插接箱，长度超过90m时应安装伸缩节。</w:t>
      </w:r>
    </w:p>
    <w:p>
      <w:pPr>
        <w:numPr>
          <w:ilvl w:val="1"/>
          <w:numId w:val="134"/>
        </w:numPr>
        <w:bidi w:val="0"/>
        <w:rPr>
          <w:color w:val="auto"/>
          <w:highlight w:val="none"/>
        </w:rPr>
      </w:pPr>
      <w:r>
        <w:rPr>
          <w:rFonts w:hint="eastAsia"/>
          <w:color w:val="auto"/>
          <w:highlight w:val="none"/>
        </w:rPr>
        <w:t>接头的安装顺序</w:t>
      </w:r>
    </w:p>
    <w:p>
      <w:pPr>
        <w:numPr>
          <w:ilvl w:val="0"/>
          <w:numId w:val="138"/>
        </w:numPr>
        <w:bidi w:val="0"/>
        <w:rPr>
          <w:color w:val="auto"/>
          <w:highlight w:val="none"/>
        </w:rPr>
      </w:pPr>
      <w:r>
        <w:rPr>
          <w:rFonts w:hint="eastAsia"/>
          <w:color w:val="auto"/>
          <w:highlight w:val="none"/>
        </w:rPr>
        <w:t>打开接头安装盒，检查接头部件数量及质量。</w:t>
      </w:r>
    </w:p>
    <w:p>
      <w:pPr>
        <w:numPr>
          <w:ilvl w:val="0"/>
          <w:numId w:val="138"/>
        </w:numPr>
        <w:bidi w:val="0"/>
        <w:rPr>
          <w:color w:val="auto"/>
          <w:highlight w:val="none"/>
        </w:rPr>
      </w:pPr>
      <w:r>
        <w:rPr>
          <w:rFonts w:hint="eastAsia"/>
          <w:color w:val="auto"/>
          <w:highlight w:val="none"/>
        </w:rPr>
        <w:t>把两端需连接的母线槽侧板上下对齐，端头紧靠。</w:t>
      </w:r>
    </w:p>
    <w:p>
      <w:pPr>
        <w:numPr>
          <w:ilvl w:val="0"/>
          <w:numId w:val="138"/>
        </w:numPr>
        <w:bidi w:val="0"/>
        <w:rPr>
          <w:color w:val="auto"/>
          <w:highlight w:val="none"/>
        </w:rPr>
      </w:pPr>
      <w:r>
        <w:rPr>
          <w:rFonts w:hint="eastAsia"/>
          <w:color w:val="auto"/>
          <w:highlight w:val="none"/>
        </w:rPr>
        <w:t>揭去侧板端头上的薄膜，将电板贴在侧板内侧，用</w:t>
      </w:r>
      <w:r>
        <w:rPr>
          <w:color w:val="auto"/>
          <w:highlight w:val="none"/>
        </w:rPr>
        <w:t>M8螺栓紧固。</w:t>
      </w:r>
    </w:p>
    <w:p>
      <w:pPr>
        <w:numPr>
          <w:ilvl w:val="0"/>
          <w:numId w:val="138"/>
        </w:numPr>
        <w:bidi w:val="0"/>
        <w:rPr>
          <w:color w:val="auto"/>
          <w:highlight w:val="none"/>
        </w:rPr>
      </w:pPr>
      <w:r>
        <w:rPr>
          <w:rFonts w:hint="eastAsia"/>
          <w:color w:val="auto"/>
          <w:highlight w:val="none"/>
        </w:rPr>
        <w:t>将隔板</w:t>
      </w:r>
      <w:r>
        <w:rPr>
          <w:color w:val="auto"/>
          <w:highlight w:val="none"/>
        </w:rPr>
        <w:t>1、隔板2按序号插入各相搭界母线之间，上下位置由隔板上两个小圆柱定位，两边缘与母线排头对齐。</w:t>
      </w:r>
    </w:p>
    <w:p>
      <w:pPr>
        <w:numPr>
          <w:ilvl w:val="0"/>
          <w:numId w:val="138"/>
        </w:numPr>
        <w:bidi w:val="0"/>
        <w:rPr>
          <w:color w:val="auto"/>
          <w:highlight w:val="none"/>
        </w:rPr>
      </w:pPr>
      <w:r>
        <w:rPr>
          <w:rFonts w:hint="eastAsia"/>
          <w:color w:val="auto"/>
          <w:highlight w:val="none"/>
        </w:rPr>
        <w:t>依次将垫板、弹簧、平垫套在螺栓上，两边用螺母紧固，拧紧力矩为</w:t>
      </w:r>
      <w:r>
        <w:rPr>
          <w:color w:val="auto"/>
          <w:highlight w:val="none"/>
        </w:rPr>
        <w:t>M12螺栓为40N·M</w:t>
      </w:r>
      <w:r>
        <w:rPr>
          <w:rFonts w:hint="eastAsia"/>
          <w:color w:val="auto"/>
          <w:highlight w:val="none"/>
        </w:rPr>
        <w:t>、</w:t>
      </w:r>
      <w:r>
        <w:rPr>
          <w:color w:val="auto"/>
          <w:highlight w:val="none"/>
        </w:rPr>
        <w:t>M16连接螺栓为80-100N·M</w:t>
      </w:r>
      <w:r>
        <w:rPr>
          <w:rFonts w:hint="eastAsia"/>
          <w:color w:val="auto"/>
          <w:highlight w:val="none"/>
        </w:rPr>
        <w:t>。</w:t>
      </w:r>
    </w:p>
    <w:p>
      <w:pPr>
        <w:numPr>
          <w:ilvl w:val="0"/>
          <w:numId w:val="138"/>
        </w:numPr>
        <w:bidi w:val="0"/>
        <w:rPr>
          <w:color w:val="auto"/>
          <w:highlight w:val="none"/>
        </w:rPr>
      </w:pPr>
      <w:r>
        <w:rPr>
          <w:color w:val="auto"/>
          <w:highlight w:val="none"/>
        </w:rPr>
        <w:t>相邻的母线槽如安装有插接箱，插接箱间距保证大于50mm</w:t>
      </w:r>
      <w:r>
        <w:rPr>
          <w:rFonts w:hint="eastAsia"/>
          <w:color w:val="auto"/>
          <w:highlight w:val="none"/>
        </w:rPr>
        <w:t>。</w:t>
      </w:r>
    </w:p>
    <w:p>
      <w:pPr>
        <w:pStyle w:val="5"/>
        <w:bidi w:val="0"/>
        <w:rPr>
          <w:color w:val="auto"/>
          <w:highlight w:val="none"/>
        </w:rPr>
      </w:pPr>
      <w:r>
        <w:rPr>
          <w:rFonts w:hint="eastAsia"/>
          <w:color w:val="auto"/>
          <w:highlight w:val="none"/>
        </w:rPr>
        <w:t>电缆导管安装</w:t>
      </w:r>
    </w:p>
    <w:p>
      <w:pPr>
        <w:numPr>
          <w:ilvl w:val="1"/>
          <w:numId w:val="139"/>
        </w:numPr>
        <w:bidi w:val="0"/>
        <w:rPr>
          <w:color w:val="auto"/>
          <w:highlight w:val="none"/>
        </w:rPr>
      </w:pPr>
      <w:r>
        <w:rPr>
          <w:rFonts w:hint="eastAsia"/>
          <w:color w:val="auto"/>
          <w:highlight w:val="none"/>
        </w:rPr>
        <w:t>材料要求</w:t>
      </w:r>
    </w:p>
    <w:p>
      <w:pPr>
        <w:numPr>
          <w:ilvl w:val="0"/>
          <w:numId w:val="140"/>
        </w:numPr>
        <w:bidi w:val="0"/>
        <w:rPr>
          <w:color w:val="auto"/>
          <w:highlight w:val="none"/>
        </w:rPr>
      </w:pPr>
      <w:r>
        <w:rPr>
          <w:rFonts w:hint="eastAsia"/>
          <w:color w:val="auto"/>
          <w:highlight w:val="none"/>
        </w:rPr>
        <w:t>钢管：内外表面热镀锌处理，镀层完整，内焊缝应平滑、圆顺，钢管无压扁。</w:t>
      </w:r>
    </w:p>
    <w:p>
      <w:pPr>
        <w:numPr>
          <w:ilvl w:val="0"/>
          <w:numId w:val="140"/>
        </w:numPr>
        <w:bidi w:val="0"/>
        <w:rPr>
          <w:color w:val="auto"/>
          <w:highlight w:val="none"/>
        </w:rPr>
      </w:pPr>
      <w:r>
        <w:rPr>
          <w:rFonts w:hint="eastAsia"/>
          <w:color w:val="auto"/>
          <w:highlight w:val="none"/>
        </w:rPr>
        <w:t>管箍：使用通丝管箍，丝扣清晰，不乱扣，镀锌层完整无脱落、无劈裂。</w:t>
      </w:r>
    </w:p>
    <w:p>
      <w:pPr>
        <w:numPr>
          <w:ilvl w:val="0"/>
          <w:numId w:val="140"/>
        </w:numPr>
        <w:bidi w:val="0"/>
        <w:rPr>
          <w:color w:val="auto"/>
          <w:highlight w:val="none"/>
        </w:rPr>
      </w:pPr>
      <w:r>
        <w:rPr>
          <w:rFonts w:hint="eastAsia"/>
          <w:color w:val="auto"/>
          <w:highlight w:val="none"/>
        </w:rPr>
        <w:t>锁紧螺母：外形完好无损，丝扣清晰。</w:t>
      </w:r>
    </w:p>
    <w:p>
      <w:pPr>
        <w:numPr>
          <w:ilvl w:val="0"/>
          <w:numId w:val="140"/>
        </w:numPr>
        <w:bidi w:val="0"/>
        <w:rPr>
          <w:color w:val="auto"/>
          <w:highlight w:val="none"/>
        </w:rPr>
      </w:pPr>
      <w:r>
        <w:rPr>
          <w:rFonts w:hint="eastAsia"/>
          <w:color w:val="auto"/>
          <w:highlight w:val="none"/>
        </w:rPr>
        <w:t>护口：使用专用护口，护口要完整无损。</w:t>
      </w:r>
    </w:p>
    <w:p>
      <w:pPr>
        <w:numPr>
          <w:ilvl w:val="0"/>
          <w:numId w:val="140"/>
        </w:numPr>
        <w:bidi w:val="0"/>
        <w:rPr>
          <w:color w:val="auto"/>
          <w:highlight w:val="none"/>
        </w:rPr>
      </w:pPr>
      <w:r>
        <w:rPr>
          <w:rFonts w:hint="eastAsia"/>
          <w:color w:val="auto"/>
          <w:highlight w:val="none"/>
        </w:rPr>
        <w:t>接线盒：盒板厚度符合规范要求，接线盒底部有接地螺丝及接地标志。</w:t>
      </w:r>
    </w:p>
    <w:p>
      <w:pPr>
        <w:numPr>
          <w:ilvl w:val="1"/>
          <w:numId w:val="139"/>
        </w:numPr>
        <w:bidi w:val="0"/>
        <w:rPr>
          <w:color w:val="auto"/>
          <w:highlight w:val="none"/>
        </w:rPr>
      </w:pPr>
      <w:r>
        <w:rPr>
          <w:rFonts w:hint="eastAsia"/>
          <w:color w:val="auto"/>
          <w:highlight w:val="none"/>
        </w:rPr>
        <w:t>管材及支吊架加工要求</w:t>
      </w:r>
    </w:p>
    <w:p>
      <w:pPr>
        <w:numPr>
          <w:ilvl w:val="0"/>
          <w:numId w:val="141"/>
        </w:numPr>
        <w:bidi w:val="0"/>
        <w:rPr>
          <w:color w:val="auto"/>
          <w:highlight w:val="none"/>
        </w:rPr>
      </w:pPr>
      <w:r>
        <w:rPr>
          <w:rFonts w:hint="eastAsia"/>
          <w:color w:val="auto"/>
          <w:highlight w:val="none"/>
        </w:rPr>
        <w:t>管道切割：应选用钢锯或砂轮切割机切管，切管的长度要测量准确。</w:t>
      </w:r>
    </w:p>
    <w:p>
      <w:pPr>
        <w:numPr>
          <w:ilvl w:val="0"/>
          <w:numId w:val="141"/>
        </w:numPr>
        <w:bidi w:val="0"/>
        <w:rPr>
          <w:color w:val="auto"/>
          <w:highlight w:val="none"/>
        </w:rPr>
      </w:pPr>
      <w:r>
        <w:rPr>
          <w:rFonts w:hint="eastAsia"/>
          <w:color w:val="auto"/>
          <w:highlight w:val="none"/>
        </w:rPr>
        <w:t>管道套丝：采用套丝板、套管机，根据管外径选择相应的板牙，将管子用台虎钳或压力钳固定，再把绞板套在管端，先慢慢用力，套上扣后再均匀用力。套丝时应及时用毛刷涂抹机油，保证丝扣完整不断扣、乱扣，用套管机套丝时，应注意随套随浇冷却液。</w:t>
      </w:r>
    </w:p>
    <w:p>
      <w:pPr>
        <w:numPr>
          <w:ilvl w:val="0"/>
          <w:numId w:val="141"/>
        </w:numPr>
        <w:bidi w:val="0"/>
        <w:rPr>
          <w:color w:val="auto"/>
          <w:highlight w:val="none"/>
        </w:rPr>
      </w:pPr>
      <w:r>
        <w:rPr>
          <w:rFonts w:hint="eastAsia"/>
          <w:color w:val="auto"/>
          <w:highlight w:val="none"/>
        </w:rPr>
        <w:t>管道弯曲：管径大于</w:t>
      </w:r>
      <w:r>
        <w:rPr>
          <w:color w:val="auto"/>
          <w:highlight w:val="none"/>
        </w:rPr>
        <w:t>32mm的钢管须采用液压煨管机弯制，管径25mm以下的钢管采用手动煨管机弯制。钢管弯曲处不能出现凹凸和裂缝。</w:t>
      </w:r>
    </w:p>
    <w:p>
      <w:pPr>
        <w:numPr>
          <w:ilvl w:val="0"/>
          <w:numId w:val="141"/>
        </w:numPr>
        <w:bidi w:val="0"/>
        <w:rPr>
          <w:color w:val="auto"/>
          <w:highlight w:val="none"/>
        </w:rPr>
      </w:pPr>
      <w:r>
        <w:rPr>
          <w:rFonts w:hint="eastAsia"/>
          <w:color w:val="auto"/>
          <w:highlight w:val="none"/>
        </w:rPr>
        <w:t>支吊架固定：固定点的间距应均匀，固定点与终端、转弯中点、电气器具或接线盒边缘的距离为</w:t>
      </w:r>
      <w:r>
        <w:rPr>
          <w:color w:val="auto"/>
          <w:highlight w:val="none"/>
        </w:rPr>
        <w:t>300mm，固定点之间的最大距离应满足规范要求。</w:t>
      </w:r>
    </w:p>
    <w:p>
      <w:pPr>
        <w:numPr>
          <w:ilvl w:val="0"/>
          <w:numId w:val="141"/>
        </w:numPr>
        <w:bidi w:val="0"/>
        <w:rPr>
          <w:color w:val="auto"/>
          <w:highlight w:val="none"/>
        </w:rPr>
      </w:pPr>
      <w:r>
        <w:rPr>
          <w:rFonts w:hint="eastAsia"/>
          <w:color w:val="auto"/>
          <w:highlight w:val="none"/>
        </w:rPr>
        <w:t>管路敷设：钢管采用丝扣连接，套丝后要对管口进行打磨、清扫，施工过程中要尽量减少弯头。电气管路敷设时有下列情况时须加装接线盒：直线段超过</w:t>
      </w:r>
      <w:r>
        <w:rPr>
          <w:color w:val="auto"/>
          <w:highlight w:val="none"/>
        </w:rPr>
        <w:t>30m；有一个转弯且超过20m；有两个转弯且超过15m；有3</w:t>
      </w:r>
      <w:r>
        <w:rPr>
          <w:rFonts w:hint="eastAsia"/>
          <w:color w:val="auto"/>
          <w:highlight w:val="none"/>
        </w:rPr>
        <w:t>个转弯且超过</w:t>
      </w:r>
      <w:r>
        <w:rPr>
          <w:color w:val="auto"/>
          <w:highlight w:val="none"/>
        </w:rPr>
        <w:t>8m。钢管进出线盒处，用锁紧螺母固定牢固。管子进入箱盒螺纹应外露2</w:t>
      </w:r>
      <w:r>
        <w:rPr>
          <w:rFonts w:hint="eastAsia"/>
          <w:color w:val="auto"/>
          <w:highlight w:val="none"/>
        </w:rPr>
        <w:t>~</w:t>
      </w:r>
      <w:r>
        <w:rPr>
          <w:color w:val="auto"/>
          <w:highlight w:val="none"/>
        </w:rPr>
        <w:t>3扣，并且一孔一管，严禁将其它敲落孔敲掉。多根管子进入配电箱时，应排列整齐，进入箱内的管口高度一致。管路经金属软管引入设备时，金属软管的长度不得超过0.8m。</w:t>
      </w:r>
    </w:p>
    <w:p>
      <w:pPr>
        <w:numPr>
          <w:ilvl w:val="0"/>
          <w:numId w:val="141"/>
        </w:numPr>
        <w:bidi w:val="0"/>
        <w:rPr>
          <w:color w:val="auto"/>
          <w:highlight w:val="none"/>
        </w:rPr>
      </w:pPr>
      <w:r>
        <w:rPr>
          <w:rFonts w:hint="eastAsia"/>
          <w:color w:val="auto"/>
          <w:highlight w:val="none"/>
        </w:rPr>
        <w:t>管路接地：管路的接地采用接地卡与专用接地线。</w:t>
      </w:r>
    </w:p>
    <w:p>
      <w:pPr>
        <w:numPr>
          <w:ilvl w:val="0"/>
          <w:numId w:val="141"/>
        </w:numPr>
        <w:bidi w:val="0"/>
        <w:rPr>
          <w:color w:val="auto"/>
          <w:highlight w:val="none"/>
        </w:rPr>
      </w:pPr>
      <w:r>
        <w:rPr>
          <w:rFonts w:hint="eastAsia"/>
          <w:color w:val="auto"/>
          <w:highlight w:val="none"/>
        </w:rPr>
        <w:t>管路敷设方式：要求水平和垂直方向整齐排列，并以</w:t>
      </w:r>
      <w:r>
        <w:rPr>
          <w:color w:val="auto"/>
          <w:highlight w:val="none"/>
        </w:rPr>
        <w:t xml:space="preserve">U </w:t>
      </w:r>
      <w:r>
        <w:rPr>
          <w:rFonts w:hint="eastAsia"/>
          <w:color w:val="auto"/>
          <w:highlight w:val="none"/>
        </w:rPr>
        <w:t>型卡、鞍型夹予以牢固。固定间距不得超</w:t>
      </w:r>
      <w:r>
        <w:rPr>
          <w:color w:val="auto"/>
          <w:highlight w:val="none"/>
        </w:rPr>
        <w:t>1.2m。</w:t>
      </w:r>
    </w:p>
    <w:p>
      <w:pPr>
        <w:numPr>
          <w:ilvl w:val="1"/>
          <w:numId w:val="139"/>
        </w:numPr>
        <w:bidi w:val="0"/>
        <w:rPr>
          <w:color w:val="auto"/>
          <w:highlight w:val="none"/>
        </w:rPr>
      </w:pPr>
      <w:r>
        <w:rPr>
          <w:rFonts w:hint="eastAsia"/>
          <w:color w:val="auto"/>
          <w:highlight w:val="none"/>
        </w:rPr>
        <w:t>管路施工关键部位技术要求</w:t>
      </w:r>
    </w:p>
    <w:p>
      <w:pPr>
        <w:numPr>
          <w:ilvl w:val="0"/>
          <w:numId w:val="142"/>
        </w:numPr>
        <w:bidi w:val="0"/>
        <w:rPr>
          <w:color w:val="auto"/>
          <w:highlight w:val="none"/>
        </w:rPr>
      </w:pPr>
      <w:r>
        <w:rPr>
          <w:rFonts w:hint="eastAsia"/>
          <w:color w:val="auto"/>
          <w:highlight w:val="none"/>
        </w:rPr>
        <w:t>钢管与设备的连接：钢管与设备连接时，电线、电缆与设备的连接采用普利卡保护管。对室外或室内潮湿场所，则采用防水型普利卡保护管及防水型连接器。普利卡保护管与钢制电线管、各类箱盒的连接时，均应采用其配套的专用附件。</w:t>
      </w:r>
    </w:p>
    <w:p>
      <w:pPr>
        <w:numPr>
          <w:ilvl w:val="0"/>
          <w:numId w:val="142"/>
        </w:numPr>
        <w:bidi w:val="0"/>
        <w:rPr>
          <w:color w:val="auto"/>
          <w:highlight w:val="none"/>
        </w:rPr>
      </w:pPr>
      <w:r>
        <w:rPr>
          <w:rFonts w:hint="eastAsia"/>
          <w:color w:val="auto"/>
          <w:highlight w:val="none"/>
        </w:rPr>
        <w:t>管道穿防火墙：电线管穿过防火墙时要采用防火封堵，管径大于</w:t>
      </w:r>
      <w:r>
        <w:rPr>
          <w:color w:val="auto"/>
          <w:highlight w:val="none"/>
        </w:rPr>
        <w:t>80时，距墙1m内的钢管应外涂防火涂料。</w:t>
      </w:r>
    </w:p>
    <w:p>
      <w:pPr>
        <w:pStyle w:val="5"/>
        <w:bidi w:val="0"/>
        <w:rPr>
          <w:color w:val="auto"/>
          <w:highlight w:val="none"/>
        </w:rPr>
      </w:pPr>
      <w:r>
        <w:rPr>
          <w:rFonts w:hint="eastAsia"/>
          <w:color w:val="auto"/>
          <w:highlight w:val="none"/>
        </w:rPr>
        <w:t>管内穿线</w:t>
      </w:r>
    </w:p>
    <w:p>
      <w:pPr>
        <w:numPr>
          <w:ilvl w:val="1"/>
          <w:numId w:val="143"/>
        </w:numPr>
        <w:bidi w:val="0"/>
        <w:rPr>
          <w:color w:val="auto"/>
          <w:highlight w:val="none"/>
        </w:rPr>
      </w:pPr>
      <w:r>
        <w:rPr>
          <w:rFonts w:hint="eastAsia"/>
          <w:color w:val="auto"/>
          <w:highlight w:val="none"/>
        </w:rPr>
        <w:t>材料要求</w:t>
      </w:r>
    </w:p>
    <w:p>
      <w:pPr>
        <w:numPr>
          <w:ilvl w:val="0"/>
          <w:numId w:val="144"/>
        </w:numPr>
        <w:bidi w:val="0"/>
        <w:rPr>
          <w:color w:val="auto"/>
          <w:highlight w:val="none"/>
        </w:rPr>
      </w:pPr>
      <w:r>
        <w:rPr>
          <w:rFonts w:hint="eastAsia"/>
          <w:color w:val="auto"/>
          <w:highlight w:val="none"/>
        </w:rPr>
        <w:t>绝缘导线：导线的型号、规格必须符合设计要求，并有产品出厂合格证。</w:t>
      </w:r>
    </w:p>
    <w:p>
      <w:pPr>
        <w:numPr>
          <w:ilvl w:val="0"/>
          <w:numId w:val="144"/>
        </w:numPr>
        <w:bidi w:val="0"/>
        <w:rPr>
          <w:color w:val="auto"/>
          <w:highlight w:val="none"/>
        </w:rPr>
      </w:pPr>
      <w:r>
        <w:rPr>
          <w:rFonts w:hint="eastAsia"/>
          <w:color w:val="auto"/>
          <w:highlight w:val="none"/>
        </w:rPr>
        <w:t>镀锌铁丝或钢丝：应顺直无死弯、扭结等现象，并具有相应的机械拉力。</w:t>
      </w:r>
    </w:p>
    <w:p>
      <w:pPr>
        <w:numPr>
          <w:ilvl w:val="1"/>
          <w:numId w:val="143"/>
        </w:numPr>
        <w:bidi w:val="0"/>
        <w:rPr>
          <w:color w:val="auto"/>
          <w:highlight w:val="none"/>
        </w:rPr>
      </w:pPr>
      <w:r>
        <w:rPr>
          <w:rFonts w:hint="eastAsia"/>
          <w:color w:val="auto"/>
          <w:highlight w:val="none"/>
        </w:rPr>
        <w:t>管内穿线及连接要求</w:t>
      </w:r>
    </w:p>
    <w:p>
      <w:pPr>
        <w:bidi w:val="0"/>
        <w:rPr>
          <w:color w:val="auto"/>
          <w:highlight w:val="none"/>
        </w:rPr>
      </w:pPr>
      <w:r>
        <w:rPr>
          <w:rFonts w:hint="eastAsia"/>
          <w:color w:val="auto"/>
          <w:highlight w:val="none"/>
        </w:rPr>
        <w:t>电线管在穿线前，应首先检查各个管口的护口，保证护口齐全完整。当管路较长或转弯较多时，在穿线前向管内吹入适量的滑石粉。穿线时，两端的工人应配合协调一致。导线连接接头不能增加电阻值，不能降低原机械强度及原绝缘强度。用接线钮连接线时</w:t>
      </w:r>
      <w:r>
        <w:rPr>
          <w:color w:val="auto"/>
          <w:highlight w:val="none"/>
        </w:rPr>
        <w:t>, 6mm</w:t>
      </w:r>
      <w:r>
        <w:rPr>
          <w:rFonts w:hint="eastAsia"/>
          <w:color w:val="auto"/>
          <w:highlight w:val="none"/>
        </w:rPr>
        <w:t>²及以下的导线把外露的线芯对齐按顺时针方向拧绞，在线芯的</w:t>
      </w:r>
      <w:r>
        <w:rPr>
          <w:color w:val="auto"/>
          <w:highlight w:val="none"/>
        </w:rPr>
        <w:t>12mm处剪去前端，然后选择相应的接线钮按顺时针方向拧紧。要把导线的绝缘部分拧入接线钮的上端护套内。</w:t>
      </w:r>
    </w:p>
    <w:p>
      <w:pPr>
        <w:numPr>
          <w:ilvl w:val="1"/>
          <w:numId w:val="143"/>
        </w:numPr>
        <w:bidi w:val="0"/>
        <w:rPr>
          <w:color w:val="auto"/>
          <w:highlight w:val="none"/>
        </w:rPr>
      </w:pPr>
      <w:r>
        <w:rPr>
          <w:rFonts w:hint="eastAsia"/>
          <w:color w:val="auto"/>
          <w:highlight w:val="none"/>
        </w:rPr>
        <w:t>线路检查及绝缘测试要求</w:t>
      </w:r>
    </w:p>
    <w:p>
      <w:pPr>
        <w:bidi w:val="0"/>
        <w:rPr>
          <w:color w:val="auto"/>
          <w:highlight w:val="none"/>
        </w:rPr>
      </w:pPr>
      <w:r>
        <w:rPr>
          <w:rFonts w:hint="eastAsia"/>
          <w:color w:val="auto"/>
          <w:highlight w:val="none"/>
        </w:rPr>
        <w:t>穿线后，应按规范及质量验评标准进行自检互检，不符合规定时应立即纠正，检查导线的规格和根数，检查无误后再进行绝缘测试。设备未安装进行线路绝缘测试时，应将干线和支线分开，测试时应及时进行记录。设备全部安装送电前进行测试时，应先将线路的开关、仪表、设备等全部置于断开位置，绝缘测试无误后再进行送电试运行。绝缘电阻值应符合规范和设计的要求。</w:t>
      </w:r>
    </w:p>
    <w:p>
      <w:pPr>
        <w:pStyle w:val="5"/>
        <w:bidi w:val="0"/>
        <w:rPr>
          <w:color w:val="auto"/>
          <w:highlight w:val="none"/>
        </w:rPr>
      </w:pPr>
      <w:r>
        <w:rPr>
          <w:rFonts w:hint="eastAsia"/>
          <w:color w:val="auto"/>
          <w:highlight w:val="none"/>
        </w:rPr>
        <w:t>矿物绝缘电缆（</w:t>
      </w:r>
      <w:r>
        <w:rPr>
          <w:color w:val="auto"/>
          <w:highlight w:val="none"/>
        </w:rPr>
        <w:t>BTTZ）敷设</w:t>
      </w:r>
    </w:p>
    <w:p>
      <w:pPr>
        <w:numPr>
          <w:ilvl w:val="1"/>
          <w:numId w:val="145"/>
        </w:numPr>
        <w:bidi w:val="0"/>
        <w:rPr>
          <w:color w:val="auto"/>
          <w:highlight w:val="none"/>
        </w:rPr>
      </w:pPr>
      <w:r>
        <w:rPr>
          <w:rFonts w:hint="eastAsia"/>
          <w:color w:val="auto"/>
          <w:highlight w:val="none"/>
        </w:rPr>
        <w:t>按照《国家建筑标准设计图集</w:t>
      </w:r>
      <w:r>
        <w:rPr>
          <w:color w:val="auto"/>
          <w:highlight w:val="none"/>
        </w:rPr>
        <w:t xml:space="preserve"> 09D101-6》规范要求敷设；</w:t>
      </w:r>
    </w:p>
    <w:p>
      <w:pPr>
        <w:numPr>
          <w:ilvl w:val="1"/>
          <w:numId w:val="145"/>
        </w:numPr>
        <w:bidi w:val="0"/>
        <w:rPr>
          <w:color w:val="auto"/>
          <w:highlight w:val="none"/>
        </w:rPr>
      </w:pPr>
      <w:r>
        <w:rPr>
          <w:color w:val="auto"/>
          <w:highlight w:val="none"/>
        </w:rPr>
        <w:t>电缆敷设时，其固定点之间的间距应满足下表要求：</w:t>
      </w:r>
    </w:p>
    <w:p>
      <w:pPr>
        <w:spacing w:before="120" w:beforeLines="50" w:after="120" w:afterLines="50"/>
        <w:ind w:firstLine="480"/>
        <w:jc w:val="right"/>
        <w:rPr>
          <w:rFonts w:asciiTheme="minorEastAsia" w:hAnsiTheme="minorEastAsia"/>
          <w:color w:val="auto"/>
          <w:highlight w:val="none"/>
        </w:rPr>
      </w:pPr>
      <w:r>
        <w:rPr>
          <w:rFonts w:hint="eastAsia" w:asciiTheme="minorEastAsia" w:hAnsiTheme="minorEastAsia"/>
          <w:color w:val="auto"/>
          <w:highlight w:val="none"/>
        </w:rPr>
        <w:drawing>
          <wp:inline distT="0" distB="0" distL="0" distR="0">
            <wp:extent cx="4776470" cy="770890"/>
            <wp:effectExtent l="0" t="0" r="5080" b="635"/>
            <wp:docPr id="9" name="图片 9" descr="矿物绝缘电缆敷设固定点之间距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矿物绝缘电缆敷设固定点之间距离"/>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a:xfrm>
                      <a:off x="0" y="0"/>
                      <a:ext cx="4779361" cy="771525"/>
                    </a:xfrm>
                    <a:prstGeom prst="rect">
                      <a:avLst/>
                    </a:prstGeom>
                    <a:noFill/>
                    <a:ln>
                      <a:noFill/>
                    </a:ln>
                  </pic:spPr>
                </pic:pic>
              </a:graphicData>
            </a:graphic>
          </wp:inline>
        </w:drawing>
      </w:r>
    </w:p>
    <w:p>
      <w:pPr>
        <w:numPr>
          <w:ilvl w:val="1"/>
          <w:numId w:val="145"/>
        </w:numPr>
        <w:bidi w:val="0"/>
        <w:rPr>
          <w:color w:val="auto"/>
          <w:highlight w:val="none"/>
        </w:rPr>
      </w:pPr>
      <w:r>
        <w:rPr>
          <w:color w:val="auto"/>
          <w:highlight w:val="none"/>
        </w:rPr>
        <w:t>在明敷部位，如果相同走向的电缆大、中、小规格都有，从整齐、美观方面考虑，可按最小规格电缆标准要求固定，也可分档距固定。当电缆倾斜敷设时，电缆与垂直方向成30°及以下时，按垂直间距固定；大于30°时，按水平间距固定。</w:t>
      </w:r>
    </w:p>
    <w:p>
      <w:pPr>
        <w:numPr>
          <w:ilvl w:val="1"/>
          <w:numId w:val="145"/>
        </w:numPr>
        <w:bidi w:val="0"/>
        <w:rPr>
          <w:color w:val="auto"/>
          <w:highlight w:val="none"/>
        </w:rPr>
      </w:pPr>
      <w:r>
        <w:rPr>
          <w:color w:val="auto"/>
          <w:highlight w:val="none"/>
        </w:rPr>
        <w:t>计算敷设电缆所需长度时，应考虑留有不少于1%的余量</w:t>
      </w:r>
      <w:r>
        <w:rPr>
          <w:rFonts w:hint="eastAsia"/>
          <w:color w:val="auto"/>
          <w:highlight w:val="none"/>
        </w:rPr>
        <w:t>，</w:t>
      </w:r>
      <w:r>
        <w:rPr>
          <w:color w:val="auto"/>
          <w:highlight w:val="none"/>
        </w:rPr>
        <w:t>各种敷设方式也可按每米一个固定点固定。</w:t>
      </w:r>
    </w:p>
    <w:p>
      <w:pPr>
        <w:numPr>
          <w:ilvl w:val="1"/>
          <w:numId w:val="145"/>
        </w:numPr>
        <w:bidi w:val="0"/>
        <w:rPr>
          <w:color w:val="auto"/>
          <w:highlight w:val="none"/>
        </w:rPr>
      </w:pPr>
      <w:r>
        <w:rPr>
          <w:color w:val="auto"/>
          <w:highlight w:val="none"/>
        </w:rPr>
        <w:t>电缆敷设时，在转弯处、中间联接器两侧，有条件固定的应加以固定。</w:t>
      </w:r>
    </w:p>
    <w:p>
      <w:pPr>
        <w:numPr>
          <w:ilvl w:val="1"/>
          <w:numId w:val="145"/>
        </w:numPr>
        <w:bidi w:val="0"/>
        <w:rPr>
          <w:color w:val="auto"/>
          <w:highlight w:val="none"/>
        </w:rPr>
      </w:pPr>
      <w:r>
        <w:rPr>
          <w:color w:val="auto"/>
          <w:highlight w:val="none"/>
        </w:rPr>
        <w:t>单芯电缆敷设时，每路电缆之间留有不少于电缆外径的2倍间隙，如不留间隙，则应考虑载流量减少系数。</w:t>
      </w:r>
    </w:p>
    <w:p>
      <w:pPr>
        <w:numPr>
          <w:ilvl w:val="1"/>
          <w:numId w:val="145"/>
        </w:numPr>
        <w:bidi w:val="0"/>
        <w:rPr>
          <w:color w:val="auto"/>
          <w:highlight w:val="none"/>
        </w:rPr>
      </w:pPr>
      <w:r>
        <w:rPr>
          <w:color w:val="auto"/>
          <w:highlight w:val="none"/>
        </w:rPr>
        <w:t>对电缆在运行中可能遭受机械损伤的部位，应采取适当的保护措施。</w:t>
      </w:r>
    </w:p>
    <w:p>
      <w:pPr>
        <w:numPr>
          <w:ilvl w:val="1"/>
          <w:numId w:val="145"/>
        </w:numPr>
        <w:bidi w:val="0"/>
        <w:rPr>
          <w:color w:val="auto"/>
          <w:highlight w:val="none"/>
        </w:rPr>
      </w:pPr>
      <w:r>
        <w:rPr>
          <w:color w:val="auto"/>
          <w:highlight w:val="none"/>
        </w:rPr>
        <w:t>单芯电缆敷设时，应逐根敷设，待每组布齐并矫直后，再做排列绑扎，绑扎间距以1~1.5m为宜。</w:t>
      </w:r>
    </w:p>
    <w:p>
      <w:pPr>
        <w:numPr>
          <w:ilvl w:val="1"/>
          <w:numId w:val="145"/>
        </w:numPr>
        <w:bidi w:val="0"/>
        <w:rPr>
          <w:color w:val="auto"/>
          <w:highlight w:val="none"/>
        </w:rPr>
      </w:pPr>
      <w:r>
        <w:rPr>
          <w:color w:val="auto"/>
          <w:highlight w:val="none"/>
        </w:rPr>
        <w:t>当电缆在对铜护套有腐蚀作用的环境中敷设时，或在部分埋地或穿管敷设时，应采用有聚氯乙烯外护套的电缆。</w:t>
      </w:r>
    </w:p>
    <w:p>
      <w:pPr>
        <w:numPr>
          <w:ilvl w:val="1"/>
          <w:numId w:val="145"/>
        </w:numPr>
        <w:bidi w:val="0"/>
        <w:rPr>
          <w:color w:val="auto"/>
          <w:highlight w:val="none"/>
        </w:rPr>
      </w:pPr>
      <w:r>
        <w:rPr>
          <w:color w:val="auto"/>
          <w:highlight w:val="none"/>
        </w:rPr>
        <w:t>单芯电缆不允许单独穿金属管道敷设。</w:t>
      </w:r>
    </w:p>
    <w:p>
      <w:pPr>
        <w:numPr>
          <w:ilvl w:val="1"/>
          <w:numId w:val="145"/>
        </w:numPr>
        <w:bidi w:val="0"/>
        <w:rPr>
          <w:color w:val="auto"/>
          <w:highlight w:val="none"/>
        </w:rPr>
      </w:pPr>
      <w:r>
        <w:rPr>
          <w:color w:val="auto"/>
          <w:highlight w:val="none"/>
        </w:rPr>
        <w:t>在布线过程中，电缆锯断后应立即对其端部进行临时性封端。</w:t>
      </w:r>
    </w:p>
    <w:p>
      <w:pPr>
        <w:numPr>
          <w:ilvl w:val="1"/>
          <w:numId w:val="145"/>
        </w:numPr>
        <w:bidi w:val="0"/>
        <w:rPr>
          <w:color w:val="auto"/>
          <w:highlight w:val="none"/>
        </w:rPr>
      </w:pPr>
      <w:r>
        <w:rPr>
          <w:color w:val="auto"/>
          <w:highlight w:val="none"/>
        </w:rPr>
        <w:t>电缆终端、中间联接器、敷设配件及施工专用工具应由电缆生产厂家配套供应。</w:t>
      </w:r>
    </w:p>
    <w:p>
      <w:pPr>
        <w:numPr>
          <w:ilvl w:val="1"/>
          <w:numId w:val="145"/>
        </w:numPr>
        <w:bidi w:val="0"/>
        <w:rPr>
          <w:color w:val="auto"/>
          <w:highlight w:val="none"/>
        </w:rPr>
      </w:pPr>
      <w:r>
        <w:rPr>
          <w:color w:val="auto"/>
          <w:highlight w:val="none"/>
        </w:rPr>
        <w:t>电缆终端、中间联接器的安装，应严格按照电缆生产厂家推荐的安装工艺、规格和规范施工。</w:t>
      </w:r>
    </w:p>
    <w:p>
      <w:pPr>
        <w:numPr>
          <w:ilvl w:val="1"/>
          <w:numId w:val="145"/>
        </w:numPr>
        <w:bidi w:val="0"/>
        <w:rPr>
          <w:color w:val="auto"/>
          <w:highlight w:val="none"/>
        </w:rPr>
      </w:pPr>
      <w:r>
        <w:rPr>
          <w:color w:val="auto"/>
          <w:highlight w:val="none"/>
        </w:rPr>
        <w:t>由于电缆的绝缘材料（氧化镁）在空气中易吸潮，施工时应做好防潮措施。当发现有潮气侵入电缆端部，可剪去受潮段；也可以用喷灯火焰直接对电缆受潮段进行加热驱潮，必须将火焰移向电缆终端，直到用1000V兆欧表检测电缆的绝缘电阻达到200MΩ以上，才能进行安装终端和中间联接器。</w:t>
      </w:r>
    </w:p>
    <w:p>
      <w:pPr>
        <w:numPr>
          <w:ilvl w:val="1"/>
          <w:numId w:val="145"/>
        </w:numPr>
        <w:bidi w:val="0"/>
        <w:rPr>
          <w:color w:val="auto"/>
          <w:highlight w:val="none"/>
        </w:rPr>
      </w:pPr>
      <w:r>
        <w:rPr>
          <w:color w:val="auto"/>
          <w:highlight w:val="none"/>
        </w:rPr>
        <w:t>在终端、中间联接器的安装过程中，要多次及时的测量电缆的绝缘电阻值，因安装时电缆受潮，或金属碎屑未清除干净，均可能造成绝缘不合格。</w:t>
      </w:r>
    </w:p>
    <w:p>
      <w:pPr>
        <w:numPr>
          <w:ilvl w:val="1"/>
          <w:numId w:val="145"/>
        </w:numPr>
        <w:bidi w:val="0"/>
        <w:rPr>
          <w:color w:val="auto"/>
          <w:highlight w:val="none"/>
        </w:rPr>
      </w:pPr>
      <w:r>
        <w:rPr>
          <w:color w:val="auto"/>
          <w:highlight w:val="none"/>
        </w:rPr>
        <w:t>电缆终端、中间联接器的导线连接，可选用围压、点压、螺母压装、螺丝压接、压板压接等多种连接方式。</w:t>
      </w:r>
    </w:p>
    <w:p>
      <w:pPr>
        <w:numPr>
          <w:ilvl w:val="1"/>
          <w:numId w:val="145"/>
        </w:numPr>
        <w:bidi w:val="0"/>
        <w:rPr>
          <w:color w:val="auto"/>
          <w:highlight w:val="none"/>
        </w:rPr>
      </w:pPr>
      <w:r>
        <w:rPr>
          <w:color w:val="auto"/>
          <w:highlight w:val="none"/>
        </w:rPr>
        <w:t>电缆的终端应牢固可靠地固定在电气设备上。</w:t>
      </w:r>
    </w:p>
    <w:p>
      <w:pPr>
        <w:numPr>
          <w:ilvl w:val="1"/>
          <w:numId w:val="145"/>
        </w:numPr>
        <w:bidi w:val="0"/>
        <w:rPr>
          <w:color w:val="auto"/>
          <w:highlight w:val="none"/>
        </w:rPr>
      </w:pPr>
      <w:r>
        <w:rPr>
          <w:color w:val="auto"/>
          <w:highlight w:val="none"/>
        </w:rPr>
        <w:t>电缆平行敷设时，如有多支中间联接器，其位置应相互错开。</w:t>
      </w:r>
    </w:p>
    <w:p>
      <w:pPr>
        <w:numPr>
          <w:ilvl w:val="1"/>
          <w:numId w:val="145"/>
        </w:numPr>
        <w:bidi w:val="0"/>
        <w:rPr>
          <w:color w:val="auto"/>
          <w:highlight w:val="none"/>
        </w:rPr>
      </w:pPr>
      <w:r>
        <w:rPr>
          <w:color w:val="auto"/>
          <w:highlight w:val="none"/>
        </w:rPr>
        <w:t>终端的芯线相序应连接正确，色标明显。</w:t>
      </w:r>
    </w:p>
    <w:p>
      <w:pPr>
        <w:numPr>
          <w:ilvl w:val="1"/>
          <w:numId w:val="145"/>
        </w:numPr>
        <w:bidi w:val="0"/>
        <w:rPr>
          <w:color w:val="auto"/>
          <w:highlight w:val="none"/>
        </w:rPr>
      </w:pPr>
      <w:r>
        <w:rPr>
          <w:color w:val="auto"/>
          <w:highlight w:val="none"/>
        </w:rPr>
        <w:t>每路电缆的终端、中间联接器安装施工完后，应经绝缘电阻测试达100MΩ以上才能交付使用。</w:t>
      </w:r>
    </w:p>
    <w:p>
      <w:pPr>
        <w:pStyle w:val="5"/>
        <w:bidi w:val="0"/>
        <w:rPr>
          <w:color w:val="auto"/>
          <w:highlight w:val="none"/>
        </w:rPr>
      </w:pPr>
      <w:r>
        <w:rPr>
          <w:rFonts w:hint="eastAsia"/>
          <w:color w:val="auto"/>
          <w:highlight w:val="none"/>
        </w:rPr>
        <w:t>电缆敷设</w:t>
      </w:r>
    </w:p>
    <w:p>
      <w:pPr>
        <w:numPr>
          <w:ilvl w:val="1"/>
          <w:numId w:val="146"/>
        </w:numPr>
        <w:bidi w:val="0"/>
        <w:rPr>
          <w:color w:val="auto"/>
          <w:highlight w:val="none"/>
        </w:rPr>
      </w:pPr>
      <w:r>
        <w:rPr>
          <w:rFonts w:hint="eastAsia"/>
          <w:color w:val="auto"/>
          <w:highlight w:val="none"/>
        </w:rPr>
        <w:t>对敷设距离较长，难度较大，宜采用机械敷设。电缆敷设线路较短，可采用人力敷设。</w:t>
      </w:r>
    </w:p>
    <w:p>
      <w:pPr>
        <w:numPr>
          <w:ilvl w:val="1"/>
          <w:numId w:val="146"/>
        </w:numPr>
        <w:bidi w:val="0"/>
        <w:rPr>
          <w:color w:val="auto"/>
          <w:highlight w:val="none"/>
        </w:rPr>
      </w:pPr>
      <w:r>
        <w:rPr>
          <w:rFonts w:hint="eastAsia"/>
          <w:color w:val="auto"/>
          <w:highlight w:val="none"/>
        </w:rPr>
        <w:t>桥架内电缆应排列整齐，固定点一致。在水平方向以尼龙带扣将电缆束牢。</w:t>
      </w:r>
      <w:r>
        <w:rPr>
          <w:color w:val="auto"/>
          <w:highlight w:val="none"/>
        </w:rPr>
        <w:t xml:space="preserve"> </w:t>
      </w:r>
      <w:r>
        <w:rPr>
          <w:rFonts w:hint="eastAsia"/>
          <w:color w:val="auto"/>
          <w:highlight w:val="none"/>
        </w:rPr>
        <w:t>在垂直方向敷设的电缆上以批准的电缆夹或鞍型夹固定。不得将一个以上的单芯电缆回路或一回以上多芯电缆敷设在一起。单芯电缆回路或多芯电缆间至少相隔等于相邻电缆群中最大电缆直径之两倍。电缆穿过楼板和墙壁处须以批准的防火材料将电缆孔封闭，以保持与所穿过的楼板和墙壁相同的耐火等级。</w:t>
      </w:r>
    </w:p>
    <w:p>
      <w:pPr>
        <w:numPr>
          <w:ilvl w:val="1"/>
          <w:numId w:val="146"/>
        </w:numPr>
        <w:bidi w:val="0"/>
        <w:rPr>
          <w:color w:val="auto"/>
          <w:highlight w:val="none"/>
        </w:rPr>
      </w:pPr>
      <w:r>
        <w:rPr>
          <w:rFonts w:hint="eastAsia"/>
          <w:color w:val="auto"/>
          <w:highlight w:val="none"/>
        </w:rPr>
        <w:t>电缆头制作</w:t>
      </w:r>
      <w:r>
        <w:rPr>
          <w:rFonts w:hint="eastAsia"/>
          <w:color w:val="auto"/>
          <w:highlight w:val="none"/>
          <w:lang w:eastAsia="zh-CN"/>
        </w:rPr>
        <w:t>：</w:t>
      </w:r>
      <w:r>
        <w:rPr>
          <w:rFonts w:hint="eastAsia"/>
          <w:color w:val="auto"/>
          <w:highlight w:val="none"/>
        </w:rPr>
        <w:t>所有接线端子均采用紧压铜端子，端子与电缆线芯截面相匹配，铜端子的压接采用手动式液压压接钳，采用热缩头、热缩管作为电缆头绝缘保护。电缆终端制作好，与配电柜连接前要进行绝缘测试，以确认绝缘强度符合要求。同时电缆要作好回路标注和相色标记。电缆的裁减长度要合适，保证电缆与配电柜母线或接线端连接后不产生过大的机械应力。连接前，对搭接面进行清洁处理，同时涂抹适量的电力复合脂，确保连接和导电性能可靠。</w:t>
      </w:r>
    </w:p>
    <w:p>
      <w:pPr>
        <w:numPr>
          <w:ilvl w:val="1"/>
          <w:numId w:val="146"/>
        </w:numPr>
        <w:bidi w:val="0"/>
        <w:rPr>
          <w:color w:val="auto"/>
          <w:highlight w:val="none"/>
        </w:rPr>
      </w:pPr>
      <w:r>
        <w:rPr>
          <w:rFonts w:hint="eastAsia"/>
          <w:color w:val="auto"/>
          <w:highlight w:val="none"/>
        </w:rPr>
        <w:t>电缆的标识</w:t>
      </w:r>
      <w:r>
        <w:rPr>
          <w:rFonts w:hint="eastAsia"/>
          <w:color w:val="auto"/>
          <w:highlight w:val="none"/>
          <w:lang w:eastAsia="zh-CN"/>
        </w:rPr>
        <w:t>：</w:t>
      </w:r>
      <w:r>
        <w:rPr>
          <w:rFonts w:hint="eastAsia"/>
          <w:color w:val="auto"/>
          <w:highlight w:val="none"/>
        </w:rPr>
        <w:t>沿电缆桥架敷设的电缆在其两端、拐弯处、交叉处应挂标志牌，直线段每间隔</w:t>
      </w:r>
      <w:r>
        <w:rPr>
          <w:color w:val="auto"/>
          <w:highlight w:val="none"/>
        </w:rPr>
        <w:t>20m增设标志牌。电缆标识须由椭圆形的PVC标记，穿标记带及尼龙扎带组成。整个标志须能耐70℃的温度。挂设应牢固。标志牌上应注明电缆编号、规格、型号、电压等级及起始位置。</w:t>
      </w:r>
    </w:p>
    <w:p>
      <w:pPr>
        <w:pStyle w:val="5"/>
        <w:bidi w:val="0"/>
        <w:rPr>
          <w:color w:val="auto"/>
          <w:highlight w:val="none"/>
        </w:rPr>
      </w:pPr>
      <w:r>
        <w:rPr>
          <w:rFonts w:hint="eastAsia"/>
          <w:color w:val="auto"/>
          <w:highlight w:val="none"/>
        </w:rPr>
        <w:t>设备接线</w:t>
      </w:r>
    </w:p>
    <w:p>
      <w:pPr>
        <w:numPr>
          <w:ilvl w:val="1"/>
          <w:numId w:val="147"/>
        </w:numPr>
        <w:bidi w:val="0"/>
        <w:rPr>
          <w:color w:val="auto"/>
          <w:highlight w:val="none"/>
        </w:rPr>
      </w:pPr>
      <w:r>
        <w:rPr>
          <w:rFonts w:hint="eastAsia"/>
          <w:color w:val="auto"/>
          <w:highlight w:val="none"/>
        </w:rPr>
        <w:t>配电系统接线应按图施工，接线正确；导线与电器元件间的连接应牢固可靠；箱、柜内的导线不应有接头，导线芯线应无损伤。</w:t>
      </w:r>
    </w:p>
    <w:p>
      <w:pPr>
        <w:numPr>
          <w:ilvl w:val="1"/>
          <w:numId w:val="147"/>
        </w:numPr>
        <w:bidi w:val="0"/>
        <w:rPr>
          <w:color w:val="auto"/>
          <w:highlight w:val="none"/>
        </w:rPr>
      </w:pPr>
      <w:r>
        <w:rPr>
          <w:rFonts w:hint="eastAsia"/>
          <w:color w:val="auto"/>
          <w:highlight w:val="none"/>
        </w:rPr>
        <w:t>电缆芯线和所配导线的端部均应标明其回路编号，编号应正确，字迹清晰且不宜脱色；配线应整齐、清晰、美观，导线绝缘应良好，无损伤；每个接线端子的每侧接线宜为</w:t>
      </w:r>
      <w:r>
        <w:rPr>
          <w:color w:val="auto"/>
          <w:highlight w:val="none"/>
        </w:rPr>
        <w:t>1根，不得超过2根；接线应设专用螺栓。</w:t>
      </w:r>
    </w:p>
    <w:p>
      <w:pPr>
        <w:numPr>
          <w:ilvl w:val="1"/>
          <w:numId w:val="147"/>
        </w:numPr>
        <w:bidi w:val="0"/>
        <w:rPr>
          <w:color w:val="auto"/>
          <w:highlight w:val="none"/>
        </w:rPr>
      </w:pPr>
      <w:r>
        <w:rPr>
          <w:rFonts w:hint="eastAsia"/>
          <w:color w:val="auto"/>
          <w:highlight w:val="none"/>
        </w:rPr>
        <w:t>引入箱、柜内的电缆及其芯线符合下列要求：引入箱、柜的电缆应排列整齐，编号清晰，避免交叉，并固定牢固，不得使所接的端子排受到机械应力；箱、柜内的电缆芯线，应按垂直或水平有规律地配置，不得任意歪斜交叉连接。备用芯线长度应留有适当余量。</w:t>
      </w:r>
    </w:p>
    <w:p>
      <w:pPr>
        <w:numPr>
          <w:ilvl w:val="1"/>
          <w:numId w:val="147"/>
        </w:numPr>
        <w:bidi w:val="0"/>
        <w:rPr>
          <w:color w:val="auto"/>
          <w:highlight w:val="none"/>
        </w:rPr>
      </w:pPr>
      <w:r>
        <w:rPr>
          <w:rFonts w:hint="eastAsia"/>
          <w:color w:val="auto"/>
          <w:highlight w:val="none"/>
        </w:rPr>
        <w:t>现场电气接线：灯具、插座、开关等的现场接线应严格按照施工规范要求进行，接线牢固、连接可靠。</w:t>
      </w:r>
    </w:p>
    <w:p>
      <w:pPr>
        <w:numPr>
          <w:ilvl w:val="1"/>
          <w:numId w:val="147"/>
        </w:numPr>
        <w:bidi w:val="0"/>
        <w:rPr>
          <w:color w:val="auto"/>
          <w:highlight w:val="none"/>
        </w:rPr>
      </w:pPr>
      <w:r>
        <w:rPr>
          <w:color w:val="auto"/>
          <w:highlight w:val="none"/>
        </w:rPr>
        <w:t>控制电缆进出配电箱柜需设置橡胶防护胶套，防止划伤电缆、电线外径；</w:t>
      </w:r>
    </w:p>
    <w:p>
      <w:pPr>
        <w:numPr>
          <w:ilvl w:val="1"/>
          <w:numId w:val="147"/>
        </w:numPr>
        <w:bidi w:val="0"/>
        <w:rPr>
          <w:color w:val="auto"/>
          <w:highlight w:val="none"/>
        </w:rPr>
      </w:pPr>
      <w:r>
        <w:rPr>
          <w:color w:val="auto"/>
          <w:highlight w:val="none"/>
        </w:rPr>
        <w:t>控制电缆在配电箱内配线整齐，绑扎成束，无绞接现象，回路编号、标识清晰。</w:t>
      </w:r>
    </w:p>
    <w:p>
      <w:pPr>
        <w:pStyle w:val="4"/>
        <w:bidi w:val="0"/>
        <w:rPr>
          <w:color w:val="auto"/>
          <w:highlight w:val="none"/>
        </w:rPr>
      </w:pPr>
      <w:r>
        <w:rPr>
          <w:rFonts w:hint="eastAsia"/>
          <w:color w:val="auto"/>
          <w:highlight w:val="none"/>
        </w:rPr>
        <w:t>机电工程的调试、试运行</w:t>
      </w:r>
    </w:p>
    <w:p>
      <w:pPr>
        <w:pStyle w:val="5"/>
        <w:bidi w:val="0"/>
        <w:rPr>
          <w:color w:val="auto"/>
          <w:highlight w:val="none"/>
        </w:rPr>
      </w:pPr>
      <w:r>
        <w:rPr>
          <w:rFonts w:hint="eastAsia"/>
          <w:color w:val="auto"/>
          <w:highlight w:val="none"/>
        </w:rPr>
        <w:t>动力系统安装调试</w:t>
      </w:r>
    </w:p>
    <w:p>
      <w:pPr>
        <w:numPr>
          <w:ilvl w:val="1"/>
          <w:numId w:val="148"/>
        </w:numPr>
        <w:bidi w:val="0"/>
        <w:rPr>
          <w:color w:val="auto"/>
          <w:highlight w:val="none"/>
        </w:rPr>
      </w:pPr>
      <w:r>
        <w:rPr>
          <w:rFonts w:hint="eastAsia"/>
          <w:color w:val="auto"/>
          <w:highlight w:val="none"/>
        </w:rPr>
        <w:t>在封闭母线安装完毕，应进行下列检查：绝缘子的绝缘电阻测量和套管的绝缘电阻测量。</w:t>
      </w:r>
    </w:p>
    <w:p>
      <w:pPr>
        <w:numPr>
          <w:ilvl w:val="1"/>
          <w:numId w:val="148"/>
        </w:numPr>
        <w:bidi w:val="0"/>
        <w:rPr>
          <w:color w:val="auto"/>
          <w:highlight w:val="none"/>
        </w:rPr>
      </w:pPr>
      <w:r>
        <w:rPr>
          <w:rFonts w:hint="eastAsia"/>
          <w:color w:val="auto"/>
          <w:highlight w:val="none"/>
        </w:rPr>
        <w:t>动力电缆：测量电缆线芯对地或对金属屏蔽层间和各线芯间的绝缘电阻，电缆直流耐压试验和直流泄露试验。电缆相位检查、电缆头制作应符合规范要求。</w:t>
      </w:r>
    </w:p>
    <w:p>
      <w:pPr>
        <w:pStyle w:val="5"/>
        <w:bidi w:val="0"/>
        <w:rPr>
          <w:color w:val="auto"/>
          <w:highlight w:val="none"/>
        </w:rPr>
      </w:pPr>
      <w:r>
        <w:rPr>
          <w:rFonts w:hint="eastAsia"/>
          <w:color w:val="auto"/>
          <w:highlight w:val="none"/>
        </w:rPr>
        <w:t>电机</w:t>
      </w:r>
    </w:p>
    <w:p>
      <w:pPr>
        <w:bidi w:val="0"/>
        <w:rPr>
          <w:color w:val="auto"/>
          <w:highlight w:val="none"/>
        </w:rPr>
      </w:pPr>
      <w:r>
        <w:rPr>
          <w:rFonts w:hint="eastAsia"/>
          <w:color w:val="auto"/>
          <w:highlight w:val="none"/>
        </w:rPr>
        <w:t>电机试运行前应测试其线圈阻值符合说明书之要求。检查电刷与换向器或滑环接触是否良好，转子是否灵活，引出线相位是否正确，连接是否牢固。电机每次启动应为空载运行，运行时间为</w:t>
      </w:r>
      <w:r>
        <w:rPr>
          <w:color w:val="auto"/>
          <w:highlight w:val="none"/>
        </w:rPr>
        <w:t>2小时。试运时，如发现旋向不对，换向器、滑环及电刷工作不正常，电机温升过高，电机振动过大，应立即停机检修。电机空载运行正常，无异常现象，才能投入负载运行。</w:t>
      </w:r>
    </w:p>
    <w:p>
      <w:pPr>
        <w:pStyle w:val="5"/>
        <w:bidi w:val="0"/>
        <w:rPr>
          <w:color w:val="auto"/>
          <w:highlight w:val="none"/>
        </w:rPr>
      </w:pPr>
      <w:r>
        <w:rPr>
          <w:rFonts w:hint="eastAsia"/>
          <w:color w:val="auto"/>
          <w:highlight w:val="none"/>
        </w:rPr>
        <w:t>通电试运行</w:t>
      </w:r>
    </w:p>
    <w:p>
      <w:pPr>
        <w:bidi w:val="0"/>
        <w:rPr>
          <w:color w:val="auto"/>
          <w:highlight w:val="none"/>
        </w:rPr>
      </w:pPr>
      <w:r>
        <w:rPr>
          <w:rFonts w:hint="eastAsia"/>
          <w:color w:val="auto"/>
          <w:highlight w:val="none"/>
        </w:rPr>
        <w:t>变压器通电试运行前应做好全面检查，确认符合试运行条件时，方可投入运行。</w:t>
      </w:r>
    </w:p>
    <w:p>
      <w:pPr>
        <w:pStyle w:val="5"/>
        <w:bidi w:val="0"/>
        <w:ind w:left="253"/>
        <w:rPr>
          <w:color w:val="auto"/>
          <w:highlight w:val="none"/>
        </w:rPr>
      </w:pPr>
      <w:r>
        <w:rPr>
          <w:rFonts w:hint="eastAsia"/>
          <w:color w:val="auto"/>
          <w:highlight w:val="none"/>
        </w:rPr>
        <w:t>给水系统调试</w:t>
      </w:r>
    </w:p>
    <w:p>
      <w:pPr>
        <w:spacing w:before="120" w:beforeLines="50" w:after="120" w:afterLines="50"/>
        <w:ind w:firstLine="849" w:firstLineChars="354"/>
        <w:rPr>
          <w:rFonts w:asciiTheme="minorEastAsia" w:hAnsiTheme="minorEastAsia"/>
          <w:color w:val="auto"/>
          <w:highlight w:val="none"/>
        </w:rPr>
      </w:pPr>
      <w:r>
        <w:rPr>
          <w:rFonts w:hint="eastAsia" w:asciiTheme="minorEastAsia" w:hAnsiTheme="minorEastAsia"/>
          <w:color w:val="auto"/>
          <w:highlight w:val="none"/>
        </w:rPr>
        <w:t>给水系统调试主要内容是管道系统试压、冲洗、消毒试验，通水能力检查。</w:t>
      </w:r>
    </w:p>
    <w:p>
      <w:pPr>
        <w:numPr>
          <w:ilvl w:val="1"/>
          <w:numId w:val="149"/>
        </w:numPr>
        <w:spacing w:before="120" w:beforeLines="50" w:afterLines="50"/>
        <w:ind w:left="425" w:leftChars="177" w:hanging="425"/>
        <w:rPr>
          <w:rFonts w:asciiTheme="minorEastAsia" w:hAnsiTheme="minorEastAsia"/>
          <w:bCs/>
          <w:color w:val="auto"/>
          <w:highlight w:val="none"/>
        </w:rPr>
      </w:pPr>
      <w:r>
        <w:rPr>
          <w:rFonts w:hint="eastAsia" w:asciiTheme="minorEastAsia" w:hAnsiTheme="minorEastAsia"/>
          <w:bCs/>
          <w:color w:val="auto"/>
          <w:highlight w:val="none"/>
        </w:rPr>
        <w:t>系统试压</w:t>
      </w:r>
    </w:p>
    <w:p>
      <w:pPr>
        <w:numPr>
          <w:ilvl w:val="0"/>
          <w:numId w:val="150"/>
        </w:numPr>
        <w:bidi w:val="0"/>
        <w:rPr>
          <w:color w:val="auto"/>
          <w:highlight w:val="none"/>
        </w:rPr>
      </w:pPr>
      <w:r>
        <w:rPr>
          <w:rFonts w:hint="eastAsia"/>
          <w:color w:val="auto"/>
          <w:highlight w:val="none"/>
        </w:rPr>
        <w:t>灌水前的检查工作：检查全系统管路、设备、阀件、支架等必修安装无误。各连接处均无遗漏；检查全系统试压的实际情况，检查系统上各类阀门的开、关状态，不得漏检，保证各用水点的阀门全部关闭严密；检查试压用的压力表灵敏度；水压试验系统中的阀门都处于全关闭状态，待试压中需要开启时再打开，控制阀门打开后，派专人巡视。</w:t>
      </w:r>
    </w:p>
    <w:p>
      <w:pPr>
        <w:numPr>
          <w:ilvl w:val="0"/>
          <w:numId w:val="150"/>
        </w:numPr>
        <w:bidi w:val="0"/>
        <w:rPr>
          <w:color w:val="auto"/>
          <w:highlight w:val="none"/>
        </w:rPr>
      </w:pPr>
      <w:r>
        <w:rPr>
          <w:rFonts w:hint="eastAsia"/>
          <w:color w:val="auto"/>
          <w:highlight w:val="none"/>
        </w:rPr>
        <w:t>向管道系统注水：用生活水泵从下往上向系统送水，注水时，应该将楼内给水系统最高点的阀门打开，并安排专人进行看守；待管道系统内的空气全部排净见水后，才可将阀门关闭，此时表明管道系统注水已满（应反复关闭数次进行验证）。</w:t>
      </w:r>
    </w:p>
    <w:p>
      <w:pPr>
        <w:numPr>
          <w:ilvl w:val="0"/>
          <w:numId w:val="150"/>
        </w:numPr>
        <w:bidi w:val="0"/>
        <w:rPr>
          <w:color w:val="auto"/>
          <w:highlight w:val="none"/>
        </w:rPr>
      </w:pPr>
      <w:r>
        <w:rPr>
          <w:rFonts w:hint="eastAsia"/>
          <w:color w:val="auto"/>
          <w:highlight w:val="none"/>
        </w:rPr>
        <w:t>向管道系统加压：管道系统注满水后，启动加压泵使系统水压逐渐升高，先升至工作压力，停泵检查，观察各部位无破裂、无渗漏时，再将压力升至试验压力</w:t>
      </w:r>
      <w:r>
        <w:rPr>
          <w:color w:val="auto"/>
          <w:highlight w:val="none"/>
        </w:rPr>
        <w:t xml:space="preserve"> (工作压力的1.5倍)，并稳压10</w:t>
      </w:r>
      <w:r>
        <w:rPr>
          <w:rFonts w:hint="eastAsia"/>
          <w:color w:val="auto"/>
          <w:highlight w:val="none"/>
        </w:rPr>
        <w:t>分钟</w:t>
      </w:r>
      <w:r>
        <w:rPr>
          <w:color w:val="auto"/>
          <w:highlight w:val="none"/>
        </w:rPr>
        <w:t>，压力降不大于0.02</w:t>
      </w:r>
      <w:r>
        <w:rPr>
          <w:rFonts w:hint="eastAsia"/>
          <w:color w:val="auto"/>
          <w:highlight w:val="none"/>
        </w:rPr>
        <w:t xml:space="preserve"> </w:t>
      </w:r>
      <w:r>
        <w:rPr>
          <w:color w:val="auto"/>
          <w:highlight w:val="none"/>
        </w:rPr>
        <w:t>MPa，表明系统强度试验合格。然后再将试验压力缓慢降至工作压力，保持压力不小于2小时，压力不下降并且管道各连接处无渗漏现象，试压合格。</w:t>
      </w:r>
    </w:p>
    <w:p>
      <w:pPr>
        <w:numPr>
          <w:ilvl w:val="0"/>
          <w:numId w:val="150"/>
        </w:numPr>
        <w:bidi w:val="0"/>
        <w:rPr>
          <w:color w:val="auto"/>
          <w:highlight w:val="none"/>
        </w:rPr>
      </w:pPr>
      <w:r>
        <w:rPr>
          <w:rFonts w:hint="eastAsia"/>
          <w:color w:val="auto"/>
          <w:highlight w:val="none"/>
        </w:rPr>
        <w:t>泄水：系统试压合格后，放掉管道内的全部存水，特别注意将系统低处的存水泄掉。</w:t>
      </w:r>
    </w:p>
    <w:p>
      <w:pPr>
        <w:numPr>
          <w:ilvl w:val="1"/>
          <w:numId w:val="149"/>
        </w:numPr>
        <w:bidi w:val="0"/>
        <w:rPr>
          <w:color w:val="auto"/>
          <w:highlight w:val="none"/>
        </w:rPr>
      </w:pPr>
      <w:r>
        <w:rPr>
          <w:rFonts w:hint="eastAsia"/>
          <w:color w:val="auto"/>
          <w:highlight w:val="none"/>
        </w:rPr>
        <w:t>冲洗、消毒</w:t>
      </w:r>
    </w:p>
    <w:p>
      <w:pPr>
        <w:numPr>
          <w:ilvl w:val="0"/>
          <w:numId w:val="151"/>
        </w:numPr>
        <w:bidi w:val="0"/>
        <w:rPr>
          <w:color w:val="auto"/>
          <w:highlight w:val="none"/>
        </w:rPr>
      </w:pPr>
      <w:r>
        <w:rPr>
          <w:rFonts w:hint="eastAsia"/>
          <w:color w:val="auto"/>
          <w:highlight w:val="none"/>
        </w:rPr>
        <w:t>给水系统冲洗应该先冲洗底部干管，后冲洗各环路支管。冲洗前，将管道系统内的止回阀阀芯等拆除，待冲洗合格后重新安上。</w:t>
      </w:r>
    </w:p>
    <w:p>
      <w:pPr>
        <w:numPr>
          <w:ilvl w:val="0"/>
          <w:numId w:val="151"/>
        </w:numPr>
        <w:bidi w:val="0"/>
        <w:rPr>
          <w:color w:val="auto"/>
          <w:highlight w:val="none"/>
        </w:rPr>
      </w:pPr>
      <w:r>
        <w:rPr>
          <w:rFonts w:hint="eastAsia"/>
          <w:color w:val="auto"/>
          <w:highlight w:val="none"/>
        </w:rPr>
        <w:t>将临时自来水接至供水水平主管向系统供水。关闭其他支管控制阀门，只开启干管末端支管最底层的阀门，由底层放水并引至排水系统内。观察出水口处水质的变化。底层干管冲洗后再依次冲洗各分支。直至全系统管路冲洗完毕为止。</w:t>
      </w:r>
    </w:p>
    <w:p>
      <w:pPr>
        <w:numPr>
          <w:ilvl w:val="0"/>
          <w:numId w:val="151"/>
        </w:numPr>
        <w:bidi w:val="0"/>
        <w:rPr>
          <w:color w:val="auto"/>
          <w:highlight w:val="none"/>
        </w:rPr>
      </w:pPr>
      <w:r>
        <w:rPr>
          <w:rFonts w:hint="eastAsia"/>
          <w:color w:val="auto"/>
          <w:highlight w:val="none"/>
        </w:rPr>
        <w:t>冲洗时水压应该大于系统供水工作压力，保证出水口的排水流速</w:t>
      </w:r>
      <w:r>
        <w:rPr>
          <w:color w:val="auto"/>
          <w:highlight w:val="none"/>
        </w:rPr>
        <w:t>υ</w:t>
      </w:r>
      <w:r>
        <w:rPr>
          <w:rFonts w:hint="eastAsia"/>
          <w:color w:val="auto"/>
          <w:highlight w:val="none"/>
        </w:rPr>
        <w:t>≮</w:t>
      </w:r>
      <w:r>
        <w:rPr>
          <w:color w:val="auto"/>
          <w:highlight w:val="none"/>
        </w:rPr>
        <w:t>1.5m/s。</w:t>
      </w:r>
    </w:p>
    <w:p>
      <w:pPr>
        <w:numPr>
          <w:ilvl w:val="0"/>
          <w:numId w:val="151"/>
        </w:numPr>
        <w:bidi w:val="0"/>
        <w:rPr>
          <w:color w:val="auto"/>
          <w:highlight w:val="none"/>
        </w:rPr>
      </w:pPr>
      <w:r>
        <w:rPr>
          <w:rFonts w:hint="eastAsia"/>
          <w:color w:val="auto"/>
          <w:highlight w:val="none"/>
        </w:rPr>
        <w:t>出水口处的管径截面不小于被冲洗管径截面的</w:t>
      </w:r>
      <w:r>
        <w:rPr>
          <w:color w:val="auto"/>
          <w:highlight w:val="none"/>
        </w:rPr>
        <w:t>3/5。</w:t>
      </w:r>
    </w:p>
    <w:p>
      <w:pPr>
        <w:numPr>
          <w:ilvl w:val="0"/>
          <w:numId w:val="151"/>
        </w:numPr>
        <w:bidi w:val="0"/>
        <w:rPr>
          <w:color w:val="auto"/>
          <w:highlight w:val="none"/>
        </w:rPr>
      </w:pPr>
      <w:r>
        <w:rPr>
          <w:rFonts w:hint="eastAsia"/>
          <w:color w:val="auto"/>
          <w:highlight w:val="none"/>
        </w:rPr>
        <w:t>冲洗前，结合生活饮用水消毒规定，先进行处理，即用每升水中含</w:t>
      </w:r>
      <w:r>
        <w:rPr>
          <w:color w:val="auto"/>
          <w:highlight w:val="none"/>
        </w:rPr>
        <w:t>20~30mg游离氯的水灌满管道，并在管中留置24</w:t>
      </w:r>
      <w:r>
        <w:rPr>
          <w:rFonts w:hint="eastAsia"/>
          <w:color w:val="auto"/>
          <w:highlight w:val="none"/>
        </w:rPr>
        <w:t>小时</w:t>
      </w:r>
      <w:r>
        <w:rPr>
          <w:color w:val="auto"/>
          <w:highlight w:val="none"/>
        </w:rPr>
        <w:t>以上，然后再进行冲洗。</w:t>
      </w:r>
    </w:p>
    <w:p>
      <w:pPr>
        <w:numPr>
          <w:ilvl w:val="1"/>
          <w:numId w:val="149"/>
        </w:numPr>
        <w:bidi w:val="0"/>
        <w:rPr>
          <w:color w:val="auto"/>
          <w:highlight w:val="none"/>
        </w:rPr>
      </w:pPr>
      <w:r>
        <w:rPr>
          <w:rFonts w:hint="eastAsia"/>
          <w:color w:val="auto"/>
          <w:highlight w:val="none"/>
        </w:rPr>
        <w:t>系统通水能力：室内生活通水能力检查，按设计要求同时开放最大数量配水点是否全部达到额定流量。</w:t>
      </w:r>
    </w:p>
    <w:p>
      <w:pPr>
        <w:pStyle w:val="5"/>
        <w:bidi w:val="0"/>
        <w:rPr>
          <w:color w:val="auto"/>
          <w:highlight w:val="none"/>
        </w:rPr>
      </w:pPr>
      <w:r>
        <w:rPr>
          <w:rFonts w:hint="eastAsia"/>
          <w:color w:val="auto"/>
          <w:highlight w:val="none"/>
        </w:rPr>
        <w:t>排水系统调试</w:t>
      </w:r>
    </w:p>
    <w:p>
      <w:pPr>
        <w:numPr>
          <w:ilvl w:val="0"/>
          <w:numId w:val="0"/>
        </w:numPr>
        <w:spacing w:before="120" w:beforeLines="50" w:after="120" w:afterLines="50"/>
        <w:ind w:left="851"/>
        <w:rPr>
          <w:rFonts w:asciiTheme="minorEastAsia" w:hAnsiTheme="minorEastAsia"/>
          <w:color w:val="auto"/>
          <w:highlight w:val="none"/>
        </w:rPr>
      </w:pPr>
      <w:r>
        <w:rPr>
          <w:rFonts w:hint="eastAsia" w:asciiTheme="minorEastAsia" w:hAnsiTheme="minorEastAsia"/>
          <w:color w:val="auto"/>
          <w:highlight w:val="none"/>
        </w:rPr>
        <w:t>排水系统调试主要内容为排水管道系统的灌水、通球、通水试验。</w:t>
      </w:r>
    </w:p>
    <w:p>
      <w:pPr>
        <w:numPr>
          <w:ilvl w:val="1"/>
          <w:numId w:val="152"/>
        </w:numPr>
        <w:bidi w:val="0"/>
        <w:rPr>
          <w:color w:val="auto"/>
          <w:highlight w:val="none"/>
        </w:rPr>
      </w:pPr>
      <w:r>
        <w:rPr>
          <w:rFonts w:hint="eastAsia"/>
          <w:color w:val="auto"/>
          <w:highlight w:val="none"/>
        </w:rPr>
        <w:t>排水管道的灌水试验在施工过程中需按照规范要求进行。</w:t>
      </w:r>
    </w:p>
    <w:p>
      <w:pPr>
        <w:numPr>
          <w:ilvl w:val="1"/>
          <w:numId w:val="152"/>
        </w:numPr>
        <w:bidi w:val="0"/>
        <w:rPr>
          <w:color w:val="auto"/>
          <w:highlight w:val="none"/>
        </w:rPr>
      </w:pPr>
      <w:r>
        <w:rPr>
          <w:rFonts w:hint="eastAsia"/>
          <w:color w:val="auto"/>
          <w:highlight w:val="none"/>
        </w:rPr>
        <w:t>通球试验：通球的直径不小于排水管道管径的</w:t>
      </w:r>
      <w:r>
        <w:rPr>
          <w:color w:val="auto"/>
          <w:highlight w:val="none"/>
        </w:rPr>
        <w:t>2/3，通球率必须达到100%。</w:t>
      </w:r>
    </w:p>
    <w:p>
      <w:pPr>
        <w:numPr>
          <w:ilvl w:val="1"/>
          <w:numId w:val="152"/>
        </w:numPr>
        <w:bidi w:val="0"/>
        <w:rPr>
          <w:color w:val="auto"/>
          <w:highlight w:val="none"/>
        </w:rPr>
      </w:pPr>
      <w:r>
        <w:rPr>
          <w:rFonts w:hint="eastAsia"/>
          <w:color w:val="auto"/>
          <w:highlight w:val="none"/>
        </w:rPr>
        <w:t>通水试验步骤：</w:t>
      </w:r>
    </w:p>
    <w:p>
      <w:pPr>
        <w:numPr>
          <w:ilvl w:val="0"/>
          <w:numId w:val="153"/>
        </w:numPr>
        <w:bidi w:val="0"/>
        <w:rPr>
          <w:color w:val="auto"/>
          <w:highlight w:val="none"/>
        </w:rPr>
      </w:pPr>
      <w:r>
        <w:rPr>
          <w:rFonts w:hint="eastAsia"/>
          <w:color w:val="auto"/>
          <w:highlight w:val="none"/>
        </w:rPr>
        <w:t>检查各排水系统，均应与室外排水系统接通，并可以向室外排水。</w:t>
      </w:r>
    </w:p>
    <w:p>
      <w:pPr>
        <w:numPr>
          <w:ilvl w:val="0"/>
          <w:numId w:val="153"/>
        </w:numPr>
        <w:bidi w:val="0"/>
        <w:rPr>
          <w:color w:val="auto"/>
          <w:highlight w:val="none"/>
        </w:rPr>
      </w:pPr>
      <w:r>
        <w:rPr>
          <w:rFonts w:hint="eastAsia"/>
          <w:color w:val="auto"/>
          <w:highlight w:val="none"/>
        </w:rPr>
        <w:t>将排水立管进行编号，逐步开启各路排水立管顶层各配水阀件至最大水量，使其处于向对应的排水点排水状态。</w:t>
      </w:r>
    </w:p>
    <w:p>
      <w:pPr>
        <w:numPr>
          <w:ilvl w:val="0"/>
          <w:numId w:val="153"/>
        </w:numPr>
        <w:bidi w:val="0"/>
        <w:rPr>
          <w:color w:val="auto"/>
          <w:highlight w:val="none"/>
        </w:rPr>
      </w:pPr>
      <w:r>
        <w:rPr>
          <w:rFonts w:hint="eastAsia"/>
          <w:color w:val="auto"/>
          <w:highlight w:val="none"/>
        </w:rPr>
        <w:t>检查排水立管从顶层到第一排水检查井各管段及排水点，对渗漏和排水不畅处，进行及时处理，再次通水检查。</w:t>
      </w:r>
    </w:p>
    <w:p>
      <w:pPr>
        <w:numPr>
          <w:ilvl w:val="0"/>
          <w:numId w:val="153"/>
        </w:numPr>
        <w:bidi w:val="0"/>
        <w:rPr>
          <w:color w:val="auto"/>
          <w:highlight w:val="none"/>
        </w:rPr>
      </w:pPr>
      <w:r>
        <w:rPr>
          <w:rFonts w:hint="eastAsia"/>
          <w:color w:val="auto"/>
          <w:highlight w:val="none"/>
        </w:rPr>
        <w:t>检查室内排水系统，设计要求同时开放的最大的数量配水点是否达到额定流量。</w:t>
      </w:r>
    </w:p>
    <w:p>
      <w:pPr>
        <w:numPr>
          <w:ilvl w:val="0"/>
          <w:numId w:val="153"/>
        </w:numPr>
        <w:bidi w:val="0"/>
        <w:rPr>
          <w:color w:val="auto"/>
          <w:highlight w:val="none"/>
        </w:rPr>
      </w:pPr>
      <w:r>
        <w:rPr>
          <w:rFonts w:hint="eastAsia"/>
          <w:color w:val="auto"/>
          <w:highlight w:val="none"/>
        </w:rPr>
        <w:t>将室内排水系统，按给水系统的</w:t>
      </w:r>
      <w:r>
        <w:rPr>
          <w:color w:val="auto"/>
          <w:highlight w:val="none"/>
        </w:rPr>
        <w:t>1/3配水点同时开放，检查各排水点是否畅通，接口处有无渗漏。</w:t>
      </w:r>
    </w:p>
    <w:p>
      <w:pPr>
        <w:pStyle w:val="5"/>
        <w:bidi w:val="0"/>
        <w:rPr>
          <w:color w:val="auto"/>
          <w:highlight w:val="none"/>
        </w:rPr>
      </w:pPr>
      <w:r>
        <w:rPr>
          <w:rFonts w:hint="eastAsia"/>
          <w:color w:val="auto"/>
          <w:highlight w:val="none"/>
        </w:rPr>
        <w:t>水泵等设备调试</w:t>
      </w:r>
    </w:p>
    <w:p>
      <w:pPr>
        <w:numPr>
          <w:ilvl w:val="1"/>
          <w:numId w:val="154"/>
        </w:numPr>
        <w:bidi w:val="0"/>
        <w:rPr>
          <w:color w:val="auto"/>
          <w:highlight w:val="none"/>
        </w:rPr>
      </w:pPr>
      <w:r>
        <w:rPr>
          <w:rFonts w:hint="eastAsia"/>
          <w:color w:val="auto"/>
          <w:highlight w:val="none"/>
        </w:rPr>
        <w:t>试运转前检查</w:t>
      </w:r>
    </w:p>
    <w:p>
      <w:pPr>
        <w:numPr>
          <w:ilvl w:val="0"/>
          <w:numId w:val="155"/>
        </w:numPr>
        <w:bidi w:val="0"/>
        <w:rPr>
          <w:color w:val="auto"/>
          <w:highlight w:val="none"/>
        </w:rPr>
      </w:pPr>
      <w:r>
        <w:rPr>
          <w:rFonts w:hint="eastAsia"/>
          <w:color w:val="auto"/>
          <w:highlight w:val="none"/>
        </w:rPr>
        <w:t>清洗泵外表，检查泵体有无杂物。</w:t>
      </w:r>
    </w:p>
    <w:p>
      <w:pPr>
        <w:numPr>
          <w:ilvl w:val="0"/>
          <w:numId w:val="155"/>
        </w:numPr>
        <w:bidi w:val="0"/>
        <w:rPr>
          <w:color w:val="auto"/>
          <w:highlight w:val="none"/>
        </w:rPr>
      </w:pPr>
      <w:r>
        <w:rPr>
          <w:rFonts w:hint="eastAsia"/>
          <w:color w:val="auto"/>
          <w:highlight w:val="none"/>
        </w:rPr>
        <w:t>各紧固件连接部位、地脚螺栓的紧固情况，不得有松动情况。</w:t>
      </w:r>
    </w:p>
    <w:p>
      <w:pPr>
        <w:numPr>
          <w:ilvl w:val="0"/>
          <w:numId w:val="155"/>
        </w:numPr>
        <w:bidi w:val="0"/>
        <w:rPr>
          <w:color w:val="auto"/>
          <w:highlight w:val="none"/>
        </w:rPr>
      </w:pPr>
      <w:r>
        <w:rPr>
          <w:rFonts w:hint="eastAsia"/>
          <w:color w:val="auto"/>
          <w:highlight w:val="none"/>
        </w:rPr>
        <w:t>润滑状况良好，润滑油已按规定加入。</w:t>
      </w:r>
    </w:p>
    <w:p>
      <w:pPr>
        <w:numPr>
          <w:ilvl w:val="0"/>
          <w:numId w:val="155"/>
        </w:numPr>
        <w:bidi w:val="0"/>
        <w:rPr>
          <w:color w:val="auto"/>
          <w:highlight w:val="none"/>
        </w:rPr>
      </w:pPr>
      <w:r>
        <w:rPr>
          <w:rFonts w:hint="eastAsia"/>
          <w:color w:val="auto"/>
          <w:highlight w:val="none"/>
        </w:rPr>
        <w:t>附属设备及管路是否冲洗干净，管路是否保持畅通，吸入口有无杂物。</w:t>
      </w:r>
    </w:p>
    <w:p>
      <w:pPr>
        <w:numPr>
          <w:ilvl w:val="0"/>
          <w:numId w:val="155"/>
        </w:numPr>
        <w:bidi w:val="0"/>
        <w:rPr>
          <w:color w:val="auto"/>
          <w:highlight w:val="none"/>
        </w:rPr>
      </w:pPr>
      <w:r>
        <w:rPr>
          <w:rFonts w:hint="eastAsia"/>
          <w:color w:val="auto"/>
          <w:highlight w:val="none"/>
        </w:rPr>
        <w:t>盘车灵活，声音正常。</w:t>
      </w:r>
    </w:p>
    <w:p>
      <w:pPr>
        <w:numPr>
          <w:ilvl w:val="0"/>
          <w:numId w:val="155"/>
        </w:numPr>
        <w:bidi w:val="0"/>
        <w:rPr>
          <w:color w:val="auto"/>
          <w:highlight w:val="none"/>
        </w:rPr>
      </w:pPr>
      <w:r>
        <w:rPr>
          <w:rFonts w:hint="eastAsia"/>
          <w:color w:val="auto"/>
          <w:highlight w:val="none"/>
        </w:rPr>
        <w:t>各指示仪表、安全保护装置及电控装置应灵活、准确、可靠。</w:t>
      </w:r>
    </w:p>
    <w:p>
      <w:pPr>
        <w:numPr>
          <w:ilvl w:val="0"/>
          <w:numId w:val="155"/>
        </w:numPr>
        <w:bidi w:val="0"/>
        <w:rPr>
          <w:color w:val="auto"/>
          <w:highlight w:val="none"/>
        </w:rPr>
      </w:pPr>
      <w:r>
        <w:rPr>
          <w:rFonts w:hint="eastAsia"/>
          <w:color w:val="auto"/>
          <w:highlight w:val="none"/>
        </w:rPr>
        <w:t>检查所有接地装置；水泵试运转前必须进行绝缘测试。</w:t>
      </w:r>
    </w:p>
    <w:p>
      <w:pPr>
        <w:numPr>
          <w:ilvl w:val="0"/>
          <w:numId w:val="155"/>
        </w:numPr>
        <w:bidi w:val="0"/>
        <w:rPr>
          <w:color w:val="auto"/>
          <w:highlight w:val="none"/>
        </w:rPr>
      </w:pPr>
      <w:r>
        <w:rPr>
          <w:rFonts w:hint="eastAsia"/>
          <w:color w:val="auto"/>
          <w:highlight w:val="none"/>
        </w:rPr>
        <w:t>查电源供应及电压是否正常。</w:t>
      </w:r>
    </w:p>
    <w:p>
      <w:pPr>
        <w:numPr>
          <w:ilvl w:val="0"/>
          <w:numId w:val="155"/>
        </w:numPr>
        <w:bidi w:val="0"/>
        <w:rPr>
          <w:color w:val="auto"/>
          <w:highlight w:val="none"/>
        </w:rPr>
      </w:pPr>
      <w:r>
        <w:rPr>
          <w:rFonts w:hint="eastAsia"/>
          <w:color w:val="auto"/>
          <w:highlight w:val="none"/>
        </w:rPr>
        <w:t>水泵、阀门、泵送排水管道等的安装是否符合要求。</w:t>
      </w:r>
    </w:p>
    <w:p>
      <w:pPr>
        <w:numPr>
          <w:ilvl w:val="0"/>
          <w:numId w:val="155"/>
        </w:numPr>
        <w:bidi w:val="0"/>
        <w:rPr>
          <w:color w:val="auto"/>
          <w:highlight w:val="none"/>
        </w:rPr>
      </w:pPr>
      <w:r>
        <w:rPr>
          <w:rFonts w:hint="eastAsia"/>
          <w:color w:val="auto"/>
          <w:highlight w:val="none"/>
        </w:rPr>
        <w:t>检查水位控制器的安装是否符检合要求。</w:t>
      </w:r>
    </w:p>
    <w:p>
      <w:pPr>
        <w:numPr>
          <w:ilvl w:val="0"/>
          <w:numId w:val="155"/>
        </w:numPr>
        <w:bidi w:val="0"/>
        <w:rPr>
          <w:color w:val="auto"/>
          <w:highlight w:val="none"/>
        </w:rPr>
      </w:pPr>
      <w:r>
        <w:rPr>
          <w:rFonts w:hint="eastAsia"/>
          <w:color w:val="auto"/>
          <w:highlight w:val="none"/>
        </w:rPr>
        <w:t>检查水泵轴封是否有泄漏。</w:t>
      </w:r>
    </w:p>
    <w:p>
      <w:pPr>
        <w:numPr>
          <w:ilvl w:val="1"/>
          <w:numId w:val="154"/>
        </w:numPr>
        <w:bidi w:val="0"/>
        <w:rPr>
          <w:color w:val="auto"/>
          <w:highlight w:val="none"/>
        </w:rPr>
      </w:pPr>
      <w:r>
        <w:rPr>
          <w:rFonts w:hint="eastAsia"/>
          <w:color w:val="auto"/>
          <w:highlight w:val="none"/>
        </w:rPr>
        <w:t>无负荷试运转</w:t>
      </w:r>
    </w:p>
    <w:p>
      <w:pPr>
        <w:numPr>
          <w:ilvl w:val="0"/>
          <w:numId w:val="156"/>
        </w:numPr>
        <w:bidi w:val="0"/>
        <w:rPr>
          <w:color w:val="auto"/>
          <w:highlight w:val="none"/>
        </w:rPr>
      </w:pPr>
      <w:r>
        <w:rPr>
          <w:rFonts w:hint="eastAsia"/>
          <w:color w:val="auto"/>
          <w:highlight w:val="none"/>
        </w:rPr>
        <w:t>全开启入口阀门，全关闭出口阀门，防止水泵启动电流过大。</w:t>
      </w:r>
    </w:p>
    <w:p>
      <w:pPr>
        <w:numPr>
          <w:ilvl w:val="0"/>
          <w:numId w:val="156"/>
        </w:numPr>
        <w:bidi w:val="0"/>
        <w:rPr>
          <w:color w:val="auto"/>
          <w:highlight w:val="none"/>
        </w:rPr>
      </w:pPr>
      <w:r>
        <w:rPr>
          <w:rFonts w:hint="eastAsia"/>
          <w:color w:val="auto"/>
          <w:highlight w:val="none"/>
        </w:rPr>
        <w:t>启动泵，运转</w:t>
      </w:r>
      <w:r>
        <w:rPr>
          <w:color w:val="auto"/>
          <w:highlight w:val="none"/>
        </w:rPr>
        <w:t>1~3</w:t>
      </w:r>
      <w:r>
        <w:rPr>
          <w:rFonts w:hint="eastAsia"/>
          <w:color w:val="auto"/>
          <w:highlight w:val="none"/>
        </w:rPr>
        <w:t>分钟</w:t>
      </w:r>
      <w:r>
        <w:rPr>
          <w:color w:val="auto"/>
          <w:highlight w:val="none"/>
        </w:rPr>
        <w:t>后停车。</w:t>
      </w:r>
    </w:p>
    <w:p>
      <w:pPr>
        <w:numPr>
          <w:ilvl w:val="0"/>
          <w:numId w:val="156"/>
        </w:numPr>
        <w:bidi w:val="0"/>
        <w:rPr>
          <w:color w:val="auto"/>
          <w:highlight w:val="none"/>
        </w:rPr>
      </w:pPr>
      <w:r>
        <w:rPr>
          <w:rFonts w:hint="eastAsia"/>
          <w:color w:val="auto"/>
          <w:highlight w:val="none"/>
        </w:rPr>
        <w:t>运转中有无不正常声响，各紧固部分无松动现象，轴承无明显的温升。</w:t>
      </w:r>
    </w:p>
    <w:p>
      <w:pPr>
        <w:numPr>
          <w:ilvl w:val="1"/>
          <w:numId w:val="154"/>
        </w:numPr>
        <w:bidi w:val="0"/>
        <w:rPr>
          <w:color w:val="auto"/>
          <w:highlight w:val="none"/>
        </w:rPr>
      </w:pPr>
      <w:r>
        <w:rPr>
          <w:rFonts w:hint="eastAsia"/>
          <w:color w:val="auto"/>
          <w:highlight w:val="none"/>
        </w:rPr>
        <w:t>负荷试运转</w:t>
      </w:r>
    </w:p>
    <w:p>
      <w:pPr>
        <w:numPr>
          <w:ilvl w:val="0"/>
          <w:numId w:val="157"/>
        </w:numPr>
        <w:bidi w:val="0"/>
        <w:rPr>
          <w:color w:val="auto"/>
          <w:highlight w:val="none"/>
        </w:rPr>
      </w:pPr>
      <w:r>
        <w:rPr>
          <w:rFonts w:hint="eastAsia"/>
          <w:color w:val="auto"/>
          <w:highlight w:val="none"/>
        </w:rPr>
        <w:t>系统运行正常，其压力、温度、流量等符合设计要求。</w:t>
      </w:r>
    </w:p>
    <w:p>
      <w:pPr>
        <w:numPr>
          <w:ilvl w:val="0"/>
          <w:numId w:val="157"/>
        </w:numPr>
        <w:bidi w:val="0"/>
        <w:rPr>
          <w:color w:val="auto"/>
          <w:highlight w:val="none"/>
        </w:rPr>
      </w:pPr>
      <w:r>
        <w:rPr>
          <w:rFonts w:hint="eastAsia"/>
          <w:color w:val="auto"/>
          <w:highlight w:val="none"/>
        </w:rPr>
        <w:t>泵运转无杂声，泵体无泄漏。</w:t>
      </w:r>
    </w:p>
    <w:p>
      <w:pPr>
        <w:numPr>
          <w:ilvl w:val="0"/>
          <w:numId w:val="157"/>
        </w:numPr>
        <w:bidi w:val="0"/>
        <w:rPr>
          <w:color w:val="auto"/>
          <w:highlight w:val="none"/>
        </w:rPr>
      </w:pPr>
      <w:r>
        <w:rPr>
          <w:rFonts w:hint="eastAsia"/>
          <w:color w:val="auto"/>
          <w:highlight w:val="none"/>
        </w:rPr>
        <w:t>各紧固部位无松动。</w:t>
      </w:r>
    </w:p>
    <w:p>
      <w:pPr>
        <w:numPr>
          <w:ilvl w:val="0"/>
          <w:numId w:val="157"/>
        </w:numPr>
        <w:bidi w:val="0"/>
        <w:rPr>
          <w:color w:val="auto"/>
          <w:highlight w:val="none"/>
        </w:rPr>
      </w:pPr>
      <w:r>
        <w:rPr>
          <w:rFonts w:hint="eastAsia"/>
          <w:color w:val="auto"/>
          <w:highlight w:val="none"/>
        </w:rPr>
        <w:t>电动机起动电流和负荷运转电流符合要求。</w:t>
      </w:r>
    </w:p>
    <w:p>
      <w:pPr>
        <w:numPr>
          <w:ilvl w:val="1"/>
          <w:numId w:val="154"/>
        </w:numPr>
        <w:bidi w:val="0"/>
        <w:rPr>
          <w:color w:val="auto"/>
          <w:highlight w:val="none"/>
        </w:rPr>
      </w:pPr>
      <w:r>
        <w:rPr>
          <w:rFonts w:hint="eastAsia"/>
          <w:color w:val="auto"/>
          <w:highlight w:val="none"/>
        </w:rPr>
        <w:t>给水减压阀调试要求</w:t>
      </w:r>
    </w:p>
    <w:p>
      <w:pPr>
        <w:numPr>
          <w:ilvl w:val="0"/>
          <w:numId w:val="158"/>
        </w:numPr>
        <w:bidi w:val="0"/>
        <w:rPr>
          <w:color w:val="auto"/>
          <w:highlight w:val="none"/>
        </w:rPr>
      </w:pPr>
      <w:r>
        <w:rPr>
          <w:rFonts w:hint="eastAsia"/>
          <w:color w:val="auto"/>
          <w:highlight w:val="none"/>
        </w:rPr>
        <w:t>给水减压阀组正式交付使用前应进行现场调试和安装检验。</w:t>
      </w:r>
    </w:p>
    <w:p>
      <w:pPr>
        <w:numPr>
          <w:ilvl w:val="0"/>
          <w:numId w:val="158"/>
        </w:numPr>
        <w:bidi w:val="0"/>
        <w:rPr>
          <w:color w:val="auto"/>
          <w:highlight w:val="none"/>
        </w:rPr>
      </w:pPr>
      <w:r>
        <w:rPr>
          <w:rFonts w:hint="eastAsia"/>
          <w:color w:val="auto"/>
          <w:highlight w:val="none"/>
        </w:rPr>
        <w:t>给水减压阀组的安装检验应包括以下内容：</w:t>
      </w:r>
    </w:p>
    <w:p>
      <w:pPr>
        <w:numPr>
          <w:ilvl w:val="0"/>
          <w:numId w:val="158"/>
        </w:numPr>
        <w:bidi w:val="0"/>
        <w:rPr>
          <w:color w:val="auto"/>
          <w:highlight w:val="none"/>
        </w:rPr>
      </w:pPr>
      <w:r>
        <w:rPr>
          <w:rFonts w:hint="eastAsia"/>
          <w:color w:val="auto"/>
          <w:highlight w:val="none"/>
        </w:rPr>
        <w:t>检查阀组安装的完整性，不应漏装，确认阀组水流方向正确；检查阀组设置场所排水设施的可靠性；检查阀组及其连接部位的密封性能；检查正常供水情况下减压阀组的减压功能和可调节性能；检查给水减压阀出口压力的动静压力是否符合要求；检查采用并联减压阀组的出口压力应一致；现场评估减压阀失效后的安全措施是否可靠。</w:t>
      </w:r>
    </w:p>
    <w:p>
      <w:pPr>
        <w:numPr>
          <w:ilvl w:val="0"/>
          <w:numId w:val="158"/>
        </w:numPr>
        <w:bidi w:val="0"/>
        <w:rPr>
          <w:color w:val="auto"/>
          <w:highlight w:val="none"/>
        </w:rPr>
      </w:pPr>
      <w:r>
        <w:rPr>
          <w:rFonts w:hint="eastAsia"/>
          <w:color w:val="auto"/>
          <w:highlight w:val="none"/>
        </w:rPr>
        <w:t>给水减压阀组的现场调试应包括以下内容：</w:t>
      </w:r>
    </w:p>
    <w:p>
      <w:pPr>
        <w:numPr>
          <w:ilvl w:val="0"/>
          <w:numId w:val="158"/>
        </w:numPr>
        <w:bidi w:val="0"/>
        <w:rPr>
          <w:color w:val="auto"/>
          <w:highlight w:val="none"/>
        </w:rPr>
      </w:pPr>
      <w:r>
        <w:rPr>
          <w:rFonts w:hint="eastAsia"/>
          <w:color w:val="auto"/>
          <w:highlight w:val="none"/>
        </w:rPr>
        <w:t>调试前，应确认阀组上游管道已冲洗干净，阀组前、后检修阀处于关闭状态；按设计要求调定减压阀出口压力；检查减压分区内最不利点的供水压力和底层供水压力，并符合设计要求；对阀组超压报警装置和泄压保护装置进行调试和试验，确认其有效性。</w:t>
      </w:r>
    </w:p>
    <w:p>
      <w:pPr>
        <w:numPr>
          <w:ilvl w:val="0"/>
          <w:numId w:val="158"/>
        </w:numPr>
        <w:bidi w:val="0"/>
        <w:rPr>
          <w:color w:val="auto"/>
          <w:highlight w:val="none"/>
        </w:rPr>
      </w:pPr>
      <w:r>
        <w:rPr>
          <w:rFonts w:hint="eastAsia"/>
          <w:color w:val="auto"/>
          <w:highlight w:val="none"/>
        </w:rPr>
        <w:t>各类型给水减压阀出口压力的调定方式按现行国家有关标准的规定执行。</w:t>
      </w:r>
    </w:p>
    <w:p>
      <w:pPr>
        <w:numPr>
          <w:ilvl w:val="1"/>
          <w:numId w:val="154"/>
        </w:numPr>
        <w:bidi w:val="0"/>
        <w:rPr>
          <w:color w:val="auto"/>
          <w:highlight w:val="none"/>
        </w:rPr>
      </w:pPr>
      <w:r>
        <w:rPr>
          <w:rFonts w:hint="eastAsia"/>
          <w:color w:val="auto"/>
          <w:highlight w:val="none"/>
        </w:rPr>
        <w:t>排水泵的调试</w:t>
      </w:r>
    </w:p>
    <w:p>
      <w:pPr>
        <w:numPr>
          <w:ilvl w:val="0"/>
          <w:numId w:val="159"/>
        </w:numPr>
        <w:bidi w:val="0"/>
        <w:rPr>
          <w:color w:val="auto"/>
          <w:highlight w:val="none"/>
        </w:rPr>
      </w:pPr>
      <w:r>
        <w:rPr>
          <w:rFonts w:hint="eastAsia"/>
          <w:color w:val="auto"/>
          <w:highlight w:val="none"/>
        </w:rPr>
        <w:t>启动排水泵，检查转向是否正常；记录空载启动电流、空载运行电流、负载启动电流、运行电流。</w:t>
      </w:r>
    </w:p>
    <w:p>
      <w:pPr>
        <w:numPr>
          <w:ilvl w:val="0"/>
          <w:numId w:val="159"/>
        </w:numPr>
        <w:bidi w:val="0"/>
        <w:rPr>
          <w:color w:val="auto"/>
          <w:highlight w:val="none"/>
        </w:rPr>
      </w:pPr>
      <w:r>
        <w:rPr>
          <w:rFonts w:hint="eastAsia"/>
          <w:color w:val="auto"/>
          <w:highlight w:val="none"/>
        </w:rPr>
        <w:t>测试集水井的高水位报警，并调校过载保护设定值。</w:t>
      </w:r>
    </w:p>
    <w:p>
      <w:pPr>
        <w:pStyle w:val="3"/>
        <w:bidi w:val="0"/>
        <w:rPr>
          <w:color w:val="auto"/>
          <w:highlight w:val="none"/>
          <w:lang w:eastAsia="zh-CN"/>
        </w:rPr>
      </w:pPr>
      <w:bookmarkStart w:id="968" w:name="_Toc7172"/>
      <w:bookmarkStart w:id="969" w:name="_Toc8431"/>
      <w:bookmarkStart w:id="970" w:name="_Toc3600"/>
      <w:bookmarkStart w:id="971" w:name="_Toc14050"/>
      <w:bookmarkStart w:id="972" w:name="_Toc7353"/>
      <w:bookmarkStart w:id="973" w:name="_Toc19914"/>
      <w:bookmarkStart w:id="974" w:name="_Toc9225"/>
      <w:bookmarkStart w:id="975" w:name="_Toc17062"/>
      <w:r>
        <w:rPr>
          <w:color w:val="auto"/>
          <w:highlight w:val="none"/>
          <w:lang w:eastAsia="zh-CN"/>
        </w:rPr>
        <w:t>BIM技术运用要求</w:t>
      </w:r>
      <w:bookmarkEnd w:id="968"/>
      <w:bookmarkEnd w:id="969"/>
      <w:bookmarkEnd w:id="970"/>
      <w:bookmarkEnd w:id="971"/>
      <w:bookmarkEnd w:id="972"/>
      <w:bookmarkEnd w:id="973"/>
      <w:bookmarkEnd w:id="974"/>
      <w:bookmarkEnd w:id="975"/>
    </w:p>
    <w:p>
      <w:pPr>
        <w:bidi w:val="0"/>
        <w:rPr>
          <w:color w:val="auto"/>
          <w:highlight w:val="none"/>
          <w:lang w:eastAsia="zh-CN"/>
        </w:rPr>
      </w:pPr>
      <w:r>
        <w:rPr>
          <w:color w:val="auto"/>
          <w:highlight w:val="none"/>
          <w:lang w:eastAsia="zh-CN"/>
        </w:rPr>
        <w:t>本项目要求充分运用 BIM 技术，利用 BIM 技术实现施工全过程的精细化管理。为保证 BIM 模型的延续使用原则，施工阶段的 BIM 模型必须建立在设计阶段 BIM 模型基础进行深化，直至形成竣工模型。施工过程 BIM 应用包括但不限于施工虚拟建造、施工安全模拟、进度控制、现场巡检、施工风险预案模拟、场地布局规划等。</w:t>
      </w:r>
    </w:p>
    <w:p>
      <w:pPr>
        <w:bidi w:val="0"/>
        <w:rPr>
          <w:color w:val="auto"/>
          <w:highlight w:val="none"/>
          <w:lang w:eastAsia="zh-CN"/>
        </w:rPr>
      </w:pPr>
      <w:r>
        <w:rPr>
          <w:color w:val="auto"/>
          <w:highlight w:val="none"/>
          <w:lang w:eastAsia="zh-CN"/>
        </w:rPr>
        <w:t>承包人必须按照本招标文件、项目合同的要求</w:t>
      </w:r>
      <w:r>
        <w:rPr>
          <w:rFonts w:hint="eastAsia"/>
          <w:color w:val="auto"/>
          <w:highlight w:val="none"/>
          <w:lang w:val="en-US" w:eastAsia="zh-CN"/>
        </w:rPr>
        <w:t>分阶段</w:t>
      </w:r>
      <w:r>
        <w:rPr>
          <w:color w:val="auto"/>
          <w:highlight w:val="none"/>
          <w:lang w:eastAsia="zh-CN"/>
        </w:rPr>
        <w:t>提交完整的项目 BIM 成果，包含但不限于最终完整的与竣工建筑实物一致的 BIM 竣工模型、施工场布模型、碰撞检查报告、施工深化模型（建筑、结构</w:t>
      </w:r>
      <w:r>
        <w:rPr>
          <w:rFonts w:hint="eastAsia"/>
          <w:color w:val="auto"/>
          <w:highlight w:val="none"/>
          <w:lang w:eastAsia="zh-CN"/>
        </w:rPr>
        <w:t>、</w:t>
      </w:r>
      <w:r>
        <w:rPr>
          <w:rFonts w:hint="eastAsia"/>
          <w:color w:val="auto"/>
          <w:highlight w:val="none"/>
          <w:lang w:val="en-US" w:eastAsia="zh-CN"/>
        </w:rPr>
        <w:t>外立面</w:t>
      </w:r>
      <w:r>
        <w:rPr>
          <w:color w:val="auto"/>
          <w:highlight w:val="none"/>
          <w:lang w:eastAsia="zh-CN"/>
        </w:rPr>
        <w:t>、机电、智能化、消防、人防、设备机房、场地）及图纸（平面图、立面图、剖面图、大样图、材料表等）、施工方案模拟动画及优化报告、4D 进度模拟动画及优化报告、工程量清单等。竣工验收模型需按照广州市三维数字化竣工验收模型交付标准的相关要求完成竣工图三维数字化备案。</w:t>
      </w:r>
    </w:p>
    <w:p>
      <w:pPr>
        <w:pStyle w:val="3"/>
        <w:bidi w:val="0"/>
        <w:rPr>
          <w:rFonts w:hint="default"/>
          <w:color w:val="auto"/>
          <w:highlight w:val="none"/>
          <w:lang w:val="en-US" w:eastAsia="zh-CN"/>
        </w:rPr>
      </w:pPr>
      <w:bookmarkStart w:id="976" w:name="_Toc27872"/>
      <w:bookmarkStart w:id="977" w:name="_Toc7380"/>
      <w:bookmarkStart w:id="978" w:name="_Toc1514"/>
      <w:bookmarkStart w:id="979" w:name="_Toc27304"/>
      <w:bookmarkStart w:id="980" w:name="_Toc2496"/>
      <w:bookmarkStart w:id="981" w:name="_Toc17984"/>
      <w:bookmarkStart w:id="982" w:name="_Toc24429"/>
      <w:bookmarkStart w:id="983" w:name="_Toc27223"/>
      <w:r>
        <w:rPr>
          <w:rFonts w:hint="eastAsia"/>
          <w:color w:val="auto"/>
          <w:highlight w:val="none"/>
          <w:lang w:val="en-US" w:eastAsia="zh-CN"/>
        </w:rPr>
        <w:t>脚手架工程技术要求</w:t>
      </w:r>
      <w:bookmarkEnd w:id="976"/>
      <w:bookmarkEnd w:id="977"/>
      <w:bookmarkEnd w:id="978"/>
      <w:bookmarkEnd w:id="979"/>
      <w:bookmarkEnd w:id="980"/>
      <w:bookmarkEnd w:id="981"/>
      <w:bookmarkEnd w:id="982"/>
      <w:bookmarkEnd w:id="983"/>
    </w:p>
    <w:p>
      <w:pPr>
        <w:pStyle w:val="4"/>
        <w:bidi w:val="0"/>
        <w:rPr>
          <w:rFonts w:hint="eastAsia"/>
          <w:color w:val="auto"/>
          <w:highlight w:val="none"/>
          <w:lang w:eastAsia="zh-CN"/>
        </w:rPr>
      </w:pPr>
      <w:r>
        <w:rPr>
          <w:rFonts w:hint="eastAsia"/>
          <w:color w:val="auto"/>
          <w:highlight w:val="none"/>
          <w:lang w:eastAsia="zh-CN"/>
        </w:rPr>
        <w:t>承包人需根据本项目建筑特征编制外脚手架专项施工方案，涉及超一定规模危大工程应组织专家论证，经论证及监理人审批合格后方可实施；</w:t>
      </w:r>
    </w:p>
    <w:p>
      <w:pPr>
        <w:pStyle w:val="4"/>
        <w:bidi w:val="0"/>
        <w:rPr>
          <w:rFonts w:hint="eastAsia"/>
          <w:color w:val="auto"/>
          <w:highlight w:val="none"/>
          <w:lang w:eastAsia="zh-CN"/>
        </w:rPr>
      </w:pPr>
      <w:r>
        <w:rPr>
          <w:rFonts w:hint="eastAsia"/>
          <w:color w:val="auto"/>
          <w:highlight w:val="none"/>
        </w:rPr>
        <w:t>总承包人应选用全钢/全铝附着式升降脚手架或承插型盘扣式脚手架（含模板支撑架）作为作业脚手架和支撑脚手架的架体形式，相关费用请在投标时一并考虑。附着式升降脚手架在入场时的使用年限不得超过1年，年限计算以设备铭牌和出厂合格证载明的日期为准</w:t>
      </w:r>
      <w:r>
        <w:rPr>
          <w:rFonts w:hint="eastAsia"/>
          <w:color w:val="auto"/>
          <w:highlight w:val="none"/>
          <w:lang w:eastAsia="zh-CN"/>
        </w:rPr>
        <w:t>；</w:t>
      </w:r>
    </w:p>
    <w:p>
      <w:pPr>
        <w:pStyle w:val="4"/>
        <w:bidi w:val="0"/>
        <w:rPr>
          <w:rFonts w:hint="eastAsia"/>
          <w:color w:val="auto"/>
          <w:highlight w:val="none"/>
          <w:lang w:eastAsia="zh-CN"/>
        </w:rPr>
      </w:pPr>
      <w:r>
        <w:rPr>
          <w:rFonts w:hint="eastAsia"/>
          <w:color w:val="auto"/>
          <w:highlight w:val="none"/>
        </w:rPr>
        <w:t>外脚手架（包含落地式和悬挑式脚手架）优先选用盘扣式脚手架进行搭设，并</w:t>
      </w:r>
      <w:r>
        <w:rPr>
          <w:rFonts w:hint="eastAsia"/>
          <w:color w:val="auto"/>
          <w:highlight w:val="none"/>
          <w:lang w:val="en-US" w:eastAsia="zh-CN"/>
        </w:rPr>
        <w:t>优先使用定型化网片作为防护网</w:t>
      </w:r>
      <w:r>
        <w:rPr>
          <w:rFonts w:hint="eastAsia"/>
          <w:color w:val="auto"/>
          <w:highlight w:val="none"/>
        </w:rPr>
        <w:t>。临边防护措施随架体同步搭设，并在架体内部挂设兜网，并严格执行《承插型盘扣式钢管支架构件JG/T503-2016》的相关规定。临边防护措施随架体同步搭设，并在架体内部挂设兜网。</w:t>
      </w:r>
    </w:p>
    <w:p>
      <w:pPr>
        <w:pStyle w:val="4"/>
        <w:bidi w:val="0"/>
        <w:rPr>
          <w:rFonts w:hint="eastAsia"/>
          <w:color w:val="auto"/>
          <w:highlight w:val="none"/>
          <w:lang w:eastAsia="zh-CN"/>
        </w:rPr>
      </w:pPr>
      <w:r>
        <w:rPr>
          <w:rFonts w:hint="eastAsia"/>
          <w:color w:val="auto"/>
          <w:highlight w:val="none"/>
          <w:lang w:eastAsia="zh-CN"/>
        </w:rPr>
        <w:t>外架若为悬挑架</w:t>
      </w:r>
      <w:r>
        <w:rPr>
          <w:rFonts w:hint="eastAsia"/>
          <w:color w:val="auto"/>
          <w:highlight w:val="none"/>
          <w:lang w:val="en-US" w:eastAsia="zh-CN"/>
        </w:rPr>
        <w:t>优先</w:t>
      </w:r>
      <w:r>
        <w:rPr>
          <w:rFonts w:hint="eastAsia"/>
          <w:color w:val="auto"/>
          <w:highlight w:val="none"/>
          <w:lang w:eastAsia="zh-CN"/>
        </w:rPr>
        <w:t>采用花篮式脚手架，要求脚手架材料选用盘扣式钢管脚手架，外立面防护优先选用定型化网片防护，若承包人使用悬挑脚手架，要求首层悬挑不得高于三层，以便于小市政及景观提前插入施工；</w:t>
      </w:r>
    </w:p>
    <w:p>
      <w:pPr>
        <w:pStyle w:val="4"/>
        <w:bidi w:val="0"/>
        <w:rPr>
          <w:rFonts w:hint="eastAsia"/>
          <w:color w:val="auto"/>
          <w:highlight w:val="none"/>
          <w:lang w:eastAsia="zh-CN"/>
        </w:rPr>
      </w:pPr>
      <w:r>
        <w:rPr>
          <w:rFonts w:hint="eastAsia"/>
          <w:color w:val="auto"/>
          <w:highlight w:val="none"/>
          <w:lang w:eastAsia="zh-CN"/>
        </w:rPr>
        <w:t>施工现场严禁采用木质登高设施以及自制非标登高设备；</w:t>
      </w:r>
    </w:p>
    <w:p>
      <w:pPr>
        <w:pStyle w:val="4"/>
        <w:bidi w:val="0"/>
        <w:rPr>
          <w:rFonts w:hint="eastAsia"/>
          <w:color w:val="auto"/>
          <w:highlight w:val="none"/>
          <w:lang w:eastAsia="zh-CN"/>
        </w:rPr>
      </w:pPr>
      <w:r>
        <w:rPr>
          <w:rFonts w:hint="eastAsia"/>
          <w:color w:val="auto"/>
          <w:highlight w:val="none"/>
          <w:lang w:eastAsia="zh-CN"/>
        </w:rPr>
        <w:t>粗装及装饰装修、机电安装等使用的门式脚手架应编制专项安全施工方案报监理人审批通过后按方案实施。</w:t>
      </w:r>
    </w:p>
    <w:p>
      <w:pPr>
        <w:numPr>
          <w:ilvl w:val="0"/>
          <w:numId w:val="159"/>
        </w:numPr>
        <w:bidi w:val="0"/>
        <w:rPr>
          <w:color w:val="auto"/>
          <w:highlight w:val="none"/>
        </w:rPr>
      </w:pPr>
    </w:p>
    <w:p>
      <w:pPr>
        <w:spacing w:before="120" w:after="120"/>
        <w:rPr>
          <w:rFonts w:eastAsia="黑体"/>
          <w:bCs/>
          <w:color w:val="auto"/>
          <w:kern w:val="44"/>
          <w:sz w:val="36"/>
          <w:szCs w:val="44"/>
          <w:highlight w:val="none"/>
        </w:rPr>
      </w:pPr>
      <w:r>
        <w:rPr>
          <w:color w:val="auto"/>
          <w:highlight w:val="none"/>
        </w:rPr>
        <w:br w:type="page"/>
      </w:r>
    </w:p>
    <w:p>
      <w:pPr>
        <w:pStyle w:val="2"/>
        <w:bidi w:val="0"/>
        <w:rPr>
          <w:color w:val="auto"/>
          <w:highlight w:val="none"/>
        </w:rPr>
      </w:pPr>
      <w:bookmarkStart w:id="984" w:name="_Toc14069"/>
      <w:bookmarkStart w:id="985" w:name="_Toc19602"/>
      <w:bookmarkStart w:id="986" w:name="_Toc26927"/>
      <w:bookmarkStart w:id="987" w:name="_Toc18087"/>
      <w:bookmarkStart w:id="988" w:name="_Toc6469"/>
      <w:bookmarkStart w:id="989" w:name="_Toc1845"/>
      <w:bookmarkStart w:id="990" w:name="_Toc219"/>
      <w:bookmarkStart w:id="991" w:name="_Toc14104"/>
      <w:bookmarkStart w:id="992" w:name="_Toc169722246"/>
      <w:bookmarkStart w:id="993" w:name="_Toc13837"/>
      <w:bookmarkStart w:id="994" w:name="_Toc9562"/>
      <w:bookmarkStart w:id="995" w:name="_Toc30505"/>
      <w:r>
        <w:rPr>
          <w:rFonts w:hint="eastAsia"/>
          <w:color w:val="auto"/>
          <w:highlight w:val="none"/>
          <w:lang w:eastAsia="zh-CN"/>
        </w:rPr>
        <w:t>安全</w:t>
      </w:r>
      <w:r>
        <w:rPr>
          <w:rFonts w:hint="eastAsia"/>
          <w:color w:val="auto"/>
          <w:highlight w:val="none"/>
        </w:rPr>
        <w:t>管理规定</w:t>
      </w:r>
      <w:bookmarkEnd w:id="984"/>
      <w:bookmarkEnd w:id="985"/>
      <w:bookmarkEnd w:id="986"/>
      <w:bookmarkEnd w:id="987"/>
      <w:bookmarkEnd w:id="988"/>
      <w:bookmarkEnd w:id="989"/>
      <w:bookmarkEnd w:id="990"/>
      <w:bookmarkEnd w:id="991"/>
      <w:bookmarkEnd w:id="992"/>
      <w:bookmarkEnd w:id="993"/>
      <w:bookmarkEnd w:id="994"/>
      <w:bookmarkEnd w:id="995"/>
    </w:p>
    <w:p>
      <w:pPr>
        <w:pStyle w:val="3"/>
        <w:bidi w:val="0"/>
        <w:rPr>
          <w:color w:val="auto"/>
          <w:highlight w:val="none"/>
        </w:rPr>
      </w:pPr>
      <w:bookmarkStart w:id="996" w:name="_Toc14115"/>
      <w:bookmarkStart w:id="997" w:name="_Toc9848"/>
      <w:bookmarkStart w:id="998" w:name="_Toc2559"/>
      <w:bookmarkStart w:id="999" w:name="_Toc9571"/>
      <w:bookmarkStart w:id="1000" w:name="_Toc16915"/>
      <w:bookmarkStart w:id="1001" w:name="_Toc25747"/>
      <w:bookmarkStart w:id="1002" w:name="_Toc11761"/>
      <w:bookmarkStart w:id="1003" w:name="_Toc169722247"/>
      <w:bookmarkStart w:id="1004" w:name="_Toc4926"/>
      <w:bookmarkStart w:id="1005" w:name="_Toc12033"/>
      <w:bookmarkStart w:id="1006" w:name="_Toc30753"/>
      <w:bookmarkStart w:id="1007" w:name="_Toc24567"/>
      <w:bookmarkStart w:id="1008" w:name="_Toc488312939"/>
      <w:r>
        <w:rPr>
          <w:rFonts w:hint="eastAsia"/>
          <w:color w:val="auto"/>
          <w:highlight w:val="none"/>
          <w:lang w:eastAsia="zh-CN"/>
        </w:rPr>
        <w:t>安全</w:t>
      </w:r>
      <w:r>
        <w:rPr>
          <w:rFonts w:hint="eastAsia"/>
          <w:color w:val="auto"/>
          <w:highlight w:val="none"/>
        </w:rPr>
        <w:t>管理理念、原则</w:t>
      </w:r>
      <w:bookmarkEnd w:id="996"/>
      <w:bookmarkEnd w:id="997"/>
      <w:bookmarkEnd w:id="998"/>
      <w:bookmarkEnd w:id="999"/>
      <w:bookmarkEnd w:id="1000"/>
      <w:bookmarkEnd w:id="1001"/>
      <w:bookmarkEnd w:id="1002"/>
      <w:bookmarkEnd w:id="1003"/>
      <w:bookmarkEnd w:id="1004"/>
      <w:bookmarkEnd w:id="1005"/>
      <w:bookmarkEnd w:id="1006"/>
      <w:bookmarkEnd w:id="1007"/>
    </w:p>
    <w:p>
      <w:pPr>
        <w:pStyle w:val="4"/>
        <w:bidi w:val="0"/>
        <w:rPr>
          <w:color w:val="auto"/>
          <w:highlight w:val="none"/>
        </w:rPr>
      </w:pPr>
      <w:r>
        <w:rPr>
          <w:rFonts w:hint="eastAsia"/>
          <w:color w:val="auto"/>
          <w:highlight w:val="none"/>
          <w:lang w:eastAsia="zh-CN"/>
        </w:rPr>
        <w:t>安全</w:t>
      </w:r>
      <w:r>
        <w:rPr>
          <w:rFonts w:hint="eastAsia"/>
          <w:color w:val="auto"/>
          <w:highlight w:val="none"/>
        </w:rPr>
        <w:t>的定义为：安全生产、职业健康、环境保护。发包人</w:t>
      </w:r>
      <w:r>
        <w:rPr>
          <w:rFonts w:hint="eastAsia"/>
          <w:color w:val="auto"/>
          <w:highlight w:val="none"/>
          <w:lang w:eastAsia="zh-CN"/>
        </w:rPr>
        <w:t>安全</w:t>
      </w:r>
      <w:r>
        <w:rPr>
          <w:rFonts w:hint="eastAsia"/>
          <w:color w:val="auto"/>
          <w:highlight w:val="none"/>
        </w:rPr>
        <w:t>管理理念为“责任驱动进步，绿色改变生活”。总承包人应不以牺牲环境为代价进行生产，不以牺牲环境的长远利益换取生产的暂时利益；工程施工过程中，落实生态环境保护责任，采取必要的绿色施工及节能措施，减少能源消耗、环境污染。</w:t>
      </w:r>
    </w:p>
    <w:p>
      <w:pPr>
        <w:pStyle w:val="4"/>
        <w:bidi w:val="0"/>
        <w:rPr>
          <w:color w:val="auto"/>
          <w:highlight w:val="none"/>
        </w:rPr>
      </w:pPr>
      <w:r>
        <w:rPr>
          <w:rFonts w:hint="eastAsia"/>
          <w:color w:val="auto"/>
          <w:highlight w:val="none"/>
        </w:rPr>
        <w:t>发包人</w:t>
      </w:r>
      <w:r>
        <w:rPr>
          <w:rFonts w:hint="eastAsia"/>
          <w:color w:val="auto"/>
          <w:highlight w:val="none"/>
          <w:lang w:eastAsia="zh-CN"/>
        </w:rPr>
        <w:t>安全</w:t>
      </w:r>
      <w:r>
        <w:rPr>
          <w:rFonts w:hint="eastAsia"/>
          <w:color w:val="auto"/>
          <w:highlight w:val="none"/>
        </w:rPr>
        <w:t>管理原则包括以下内容，总承包人应遵照执行。</w:t>
      </w:r>
    </w:p>
    <w:p>
      <w:pPr>
        <w:numPr>
          <w:ilvl w:val="0"/>
          <w:numId w:val="160"/>
        </w:numPr>
        <w:bidi w:val="0"/>
        <w:rPr>
          <w:color w:val="auto"/>
          <w:highlight w:val="none"/>
        </w:rPr>
      </w:pPr>
      <w:r>
        <w:rPr>
          <w:rFonts w:hint="eastAsia"/>
          <w:color w:val="auto"/>
          <w:highlight w:val="none"/>
          <w:lang w:eastAsia="zh-CN"/>
        </w:rPr>
        <w:t>安全</w:t>
      </w:r>
      <w:r>
        <w:rPr>
          <w:rFonts w:hint="eastAsia"/>
          <w:color w:val="auto"/>
          <w:highlight w:val="none"/>
        </w:rPr>
        <w:t>工作必须坚持一岗双责，全员参与。</w:t>
      </w:r>
    </w:p>
    <w:p>
      <w:pPr>
        <w:numPr>
          <w:ilvl w:val="0"/>
          <w:numId w:val="160"/>
        </w:numPr>
        <w:bidi w:val="0"/>
        <w:rPr>
          <w:color w:val="auto"/>
          <w:highlight w:val="none"/>
        </w:rPr>
      </w:pPr>
      <w:r>
        <w:rPr>
          <w:rFonts w:hint="eastAsia"/>
          <w:color w:val="auto"/>
          <w:highlight w:val="none"/>
        </w:rPr>
        <w:t>项目开工前，必须开展</w:t>
      </w:r>
      <w:r>
        <w:rPr>
          <w:rFonts w:hint="eastAsia"/>
          <w:color w:val="auto"/>
          <w:highlight w:val="none"/>
          <w:lang w:eastAsia="zh-CN"/>
        </w:rPr>
        <w:t>安全</w:t>
      </w:r>
      <w:r>
        <w:rPr>
          <w:rFonts w:hint="eastAsia"/>
          <w:color w:val="auto"/>
          <w:highlight w:val="none"/>
        </w:rPr>
        <w:t>评估。</w:t>
      </w:r>
    </w:p>
    <w:p>
      <w:pPr>
        <w:numPr>
          <w:ilvl w:val="0"/>
          <w:numId w:val="160"/>
        </w:numPr>
        <w:bidi w:val="0"/>
        <w:rPr>
          <w:color w:val="auto"/>
          <w:highlight w:val="none"/>
        </w:rPr>
      </w:pPr>
      <w:r>
        <w:rPr>
          <w:rFonts w:hint="eastAsia"/>
          <w:color w:val="auto"/>
          <w:highlight w:val="none"/>
        </w:rPr>
        <w:t>所有</w:t>
      </w:r>
      <w:r>
        <w:rPr>
          <w:rFonts w:hint="eastAsia"/>
          <w:color w:val="auto"/>
          <w:highlight w:val="none"/>
          <w:lang w:eastAsia="zh-CN"/>
        </w:rPr>
        <w:t>安全</w:t>
      </w:r>
      <w:r>
        <w:rPr>
          <w:rFonts w:hint="eastAsia"/>
          <w:color w:val="auto"/>
          <w:highlight w:val="none"/>
        </w:rPr>
        <w:t>隐患必须及时整改关闭。</w:t>
      </w:r>
    </w:p>
    <w:p>
      <w:pPr>
        <w:numPr>
          <w:ilvl w:val="0"/>
          <w:numId w:val="160"/>
        </w:numPr>
        <w:bidi w:val="0"/>
        <w:rPr>
          <w:color w:val="auto"/>
          <w:highlight w:val="none"/>
        </w:rPr>
      </w:pPr>
      <w:r>
        <w:rPr>
          <w:rFonts w:hint="eastAsia"/>
          <w:color w:val="auto"/>
          <w:highlight w:val="none"/>
        </w:rPr>
        <w:t>所有</w:t>
      </w:r>
      <w:r>
        <w:rPr>
          <w:rFonts w:hint="eastAsia"/>
          <w:color w:val="auto"/>
          <w:highlight w:val="none"/>
          <w:lang w:eastAsia="zh-CN"/>
        </w:rPr>
        <w:t>安全</w:t>
      </w:r>
      <w:r>
        <w:rPr>
          <w:rFonts w:hint="eastAsia"/>
          <w:color w:val="auto"/>
          <w:highlight w:val="none"/>
        </w:rPr>
        <w:t>事故事件必须及时报告、分析和处置。</w:t>
      </w:r>
    </w:p>
    <w:p>
      <w:pPr>
        <w:numPr>
          <w:ilvl w:val="0"/>
          <w:numId w:val="160"/>
        </w:numPr>
        <w:bidi w:val="0"/>
        <w:rPr>
          <w:color w:val="auto"/>
          <w:highlight w:val="none"/>
        </w:rPr>
      </w:pPr>
      <w:r>
        <w:rPr>
          <w:rFonts w:hint="eastAsia"/>
          <w:color w:val="auto"/>
          <w:highlight w:val="none"/>
        </w:rPr>
        <w:t>必须对所有员工进行</w:t>
      </w:r>
      <w:r>
        <w:rPr>
          <w:rFonts w:hint="eastAsia"/>
          <w:color w:val="auto"/>
          <w:highlight w:val="none"/>
          <w:lang w:eastAsia="zh-CN"/>
        </w:rPr>
        <w:t>安全</w:t>
      </w:r>
      <w:r>
        <w:rPr>
          <w:rFonts w:hint="eastAsia"/>
          <w:color w:val="auto"/>
          <w:highlight w:val="none"/>
        </w:rPr>
        <w:t>培训。</w:t>
      </w:r>
    </w:p>
    <w:p>
      <w:pPr>
        <w:numPr>
          <w:ilvl w:val="0"/>
          <w:numId w:val="160"/>
        </w:numPr>
        <w:bidi w:val="0"/>
        <w:rPr>
          <w:color w:val="auto"/>
          <w:highlight w:val="none"/>
        </w:rPr>
      </w:pPr>
      <w:r>
        <w:rPr>
          <w:rFonts w:hint="eastAsia"/>
          <w:color w:val="auto"/>
          <w:highlight w:val="none"/>
        </w:rPr>
        <w:t>各级管理层必须重视</w:t>
      </w:r>
      <w:r>
        <w:rPr>
          <w:rFonts w:hint="eastAsia"/>
          <w:color w:val="auto"/>
          <w:highlight w:val="none"/>
          <w:lang w:eastAsia="zh-CN"/>
        </w:rPr>
        <w:t>安全</w:t>
      </w:r>
      <w:r>
        <w:rPr>
          <w:rFonts w:hint="eastAsia"/>
          <w:color w:val="auto"/>
          <w:highlight w:val="none"/>
        </w:rPr>
        <w:t>工作，并参与</w:t>
      </w:r>
      <w:r>
        <w:rPr>
          <w:rFonts w:hint="eastAsia"/>
          <w:color w:val="auto"/>
          <w:highlight w:val="none"/>
          <w:lang w:eastAsia="zh-CN"/>
        </w:rPr>
        <w:t>安全</w:t>
      </w:r>
      <w:r>
        <w:rPr>
          <w:rFonts w:hint="eastAsia"/>
          <w:color w:val="auto"/>
          <w:highlight w:val="none"/>
        </w:rPr>
        <w:t>活动。</w:t>
      </w:r>
    </w:p>
    <w:p>
      <w:pPr>
        <w:numPr>
          <w:ilvl w:val="0"/>
          <w:numId w:val="160"/>
        </w:numPr>
        <w:bidi w:val="0"/>
        <w:rPr>
          <w:color w:val="auto"/>
          <w:highlight w:val="none"/>
        </w:rPr>
      </w:pPr>
      <w:r>
        <w:rPr>
          <w:rFonts w:hint="eastAsia"/>
          <w:color w:val="auto"/>
          <w:highlight w:val="none"/>
        </w:rPr>
        <w:t>必须关注员工的工作环境和身心健康。</w:t>
      </w:r>
    </w:p>
    <w:p>
      <w:pPr>
        <w:numPr>
          <w:ilvl w:val="0"/>
          <w:numId w:val="160"/>
        </w:numPr>
        <w:bidi w:val="0"/>
        <w:rPr>
          <w:color w:val="auto"/>
          <w:highlight w:val="none"/>
        </w:rPr>
      </w:pPr>
      <w:r>
        <w:rPr>
          <w:rFonts w:hint="eastAsia"/>
          <w:color w:val="auto"/>
          <w:highlight w:val="none"/>
        </w:rPr>
        <w:t>将相关方视同我方，纳入公司</w:t>
      </w:r>
      <w:r>
        <w:rPr>
          <w:rFonts w:hint="eastAsia"/>
          <w:color w:val="auto"/>
          <w:highlight w:val="none"/>
          <w:lang w:eastAsia="zh-CN"/>
        </w:rPr>
        <w:t>安全</w:t>
      </w:r>
      <w:r>
        <w:rPr>
          <w:rFonts w:hint="eastAsia"/>
          <w:color w:val="auto"/>
          <w:highlight w:val="none"/>
        </w:rPr>
        <w:t>管理范畴。</w:t>
      </w:r>
    </w:p>
    <w:p>
      <w:pPr>
        <w:pStyle w:val="3"/>
        <w:bidi w:val="0"/>
        <w:rPr>
          <w:color w:val="auto"/>
          <w:highlight w:val="none"/>
        </w:rPr>
      </w:pPr>
      <w:bookmarkStart w:id="1009" w:name="_Toc889"/>
      <w:bookmarkStart w:id="1010" w:name="_Toc169722248"/>
      <w:bookmarkStart w:id="1011" w:name="_Toc29679"/>
      <w:bookmarkStart w:id="1012" w:name="_Toc15617"/>
      <w:bookmarkStart w:id="1013" w:name="_Toc6923"/>
      <w:bookmarkStart w:id="1014" w:name="_Toc17214"/>
      <w:bookmarkStart w:id="1015" w:name="_Toc2140"/>
      <w:bookmarkStart w:id="1016" w:name="_Toc23463"/>
      <w:bookmarkStart w:id="1017" w:name="_Toc19426"/>
      <w:bookmarkStart w:id="1018" w:name="_Toc11673"/>
      <w:bookmarkStart w:id="1019" w:name="_Toc23603"/>
      <w:bookmarkStart w:id="1020" w:name="_Toc19963"/>
      <w:r>
        <w:rPr>
          <w:rFonts w:hint="eastAsia"/>
          <w:color w:val="auto"/>
          <w:highlight w:val="none"/>
          <w:lang w:eastAsia="zh-CN"/>
        </w:rPr>
        <w:t>安全</w:t>
      </w:r>
      <w:r>
        <w:rPr>
          <w:color w:val="auto"/>
          <w:highlight w:val="none"/>
        </w:rPr>
        <w:t>管理责任</w:t>
      </w:r>
      <w:r>
        <w:rPr>
          <w:rFonts w:hint="eastAsia"/>
          <w:color w:val="auto"/>
          <w:highlight w:val="none"/>
        </w:rPr>
        <w:t>界面</w:t>
      </w:r>
      <w:bookmarkEnd w:id="1009"/>
      <w:bookmarkEnd w:id="1010"/>
      <w:bookmarkEnd w:id="1011"/>
      <w:bookmarkEnd w:id="1012"/>
      <w:bookmarkEnd w:id="1013"/>
      <w:bookmarkEnd w:id="1014"/>
      <w:bookmarkEnd w:id="1015"/>
      <w:bookmarkEnd w:id="1016"/>
      <w:bookmarkEnd w:id="1017"/>
      <w:bookmarkEnd w:id="1018"/>
      <w:bookmarkEnd w:id="1019"/>
      <w:bookmarkEnd w:id="1020"/>
    </w:p>
    <w:p>
      <w:pPr>
        <w:pStyle w:val="4"/>
        <w:bidi w:val="0"/>
        <w:rPr>
          <w:color w:val="auto"/>
          <w:highlight w:val="none"/>
        </w:rPr>
      </w:pPr>
      <w:r>
        <w:rPr>
          <w:rFonts w:hint="eastAsia"/>
          <w:color w:val="auto"/>
          <w:highlight w:val="none"/>
        </w:rPr>
        <w:t>发包人责任</w:t>
      </w:r>
    </w:p>
    <w:p>
      <w:pPr>
        <w:pStyle w:val="4"/>
        <w:bidi w:val="0"/>
        <w:rPr>
          <w:color w:val="auto"/>
          <w:highlight w:val="none"/>
        </w:rPr>
      </w:pPr>
      <w:r>
        <w:rPr>
          <w:rFonts w:hint="eastAsia"/>
          <w:color w:val="auto"/>
          <w:highlight w:val="none"/>
        </w:rPr>
        <w:t>发包人有权对</w:t>
      </w:r>
      <w:r>
        <w:rPr>
          <w:rFonts w:hint="eastAsia"/>
          <w:color w:val="auto"/>
          <w:highlight w:val="none"/>
          <w:lang w:eastAsia="zh-CN"/>
        </w:rPr>
        <w:t>安全</w:t>
      </w:r>
      <w:r>
        <w:rPr>
          <w:rFonts w:hint="eastAsia"/>
          <w:color w:val="auto"/>
          <w:highlight w:val="none"/>
        </w:rPr>
        <w:t>工作实施监督管理，对总承包人的</w:t>
      </w:r>
      <w:r>
        <w:rPr>
          <w:rFonts w:hint="eastAsia"/>
          <w:color w:val="auto"/>
          <w:highlight w:val="none"/>
          <w:lang w:eastAsia="zh-CN"/>
        </w:rPr>
        <w:t>安全</w:t>
      </w:r>
      <w:r>
        <w:rPr>
          <w:rFonts w:hint="eastAsia"/>
          <w:color w:val="auto"/>
          <w:highlight w:val="none"/>
        </w:rPr>
        <w:t>工作进行监督检查、评价、考核与实施奖惩。</w:t>
      </w:r>
    </w:p>
    <w:p>
      <w:pPr>
        <w:pStyle w:val="4"/>
        <w:bidi w:val="0"/>
        <w:rPr>
          <w:color w:val="auto"/>
          <w:highlight w:val="none"/>
        </w:rPr>
      </w:pPr>
      <w:r>
        <w:rPr>
          <w:rFonts w:hint="eastAsia"/>
          <w:color w:val="auto"/>
          <w:highlight w:val="none"/>
        </w:rPr>
        <w:t>总承包人责任</w:t>
      </w:r>
    </w:p>
    <w:p>
      <w:pPr>
        <w:pStyle w:val="5"/>
        <w:bidi w:val="0"/>
        <w:ind w:left="253"/>
        <w:rPr>
          <w:color w:val="auto"/>
          <w:highlight w:val="none"/>
        </w:rPr>
      </w:pPr>
      <w:r>
        <w:rPr>
          <w:rFonts w:hint="eastAsia"/>
          <w:color w:val="auto"/>
          <w:highlight w:val="none"/>
        </w:rPr>
        <w:t>总承包人对本工程安全生产工作负总责，对所有</w:t>
      </w:r>
      <w:r>
        <w:rPr>
          <w:rFonts w:hint="eastAsia"/>
          <w:color w:val="auto"/>
          <w:highlight w:val="none"/>
          <w:lang w:eastAsia="zh-CN"/>
        </w:rPr>
        <w:t>专业承包</w:t>
      </w:r>
      <w:r>
        <w:rPr>
          <w:rFonts w:hint="eastAsia"/>
          <w:color w:val="auto"/>
          <w:highlight w:val="none"/>
        </w:rPr>
        <w:t>单位实行统一指挥、协调、管理和监督，对施工现场所有人员（包括供应商、技术服务人员、参观学习等临时入场人员）、材料、设备等物资的安全、保卫工作实施统一管理。</w:t>
      </w:r>
    </w:p>
    <w:p>
      <w:pPr>
        <w:pStyle w:val="5"/>
        <w:bidi w:val="0"/>
        <w:ind w:left="253"/>
        <w:rPr>
          <w:color w:val="auto"/>
          <w:highlight w:val="none"/>
        </w:rPr>
      </w:pPr>
      <w:r>
        <w:rPr>
          <w:rFonts w:hint="eastAsia"/>
          <w:color w:val="auto"/>
          <w:highlight w:val="none"/>
        </w:rPr>
        <w:t>总承包人执行的</w:t>
      </w:r>
      <w:r>
        <w:rPr>
          <w:rFonts w:hint="eastAsia"/>
          <w:color w:val="auto"/>
          <w:highlight w:val="none"/>
          <w:lang w:eastAsia="zh-CN"/>
        </w:rPr>
        <w:t>安全</w:t>
      </w:r>
      <w:r>
        <w:rPr>
          <w:rFonts w:hint="eastAsia"/>
          <w:color w:val="auto"/>
          <w:highlight w:val="none"/>
        </w:rPr>
        <w:t>标准应以不低于</w:t>
      </w:r>
      <w:bookmarkStart w:id="1021" w:name="_Hlk166189627"/>
      <w:r>
        <w:rPr>
          <w:rFonts w:hint="eastAsia"/>
          <w:color w:val="auto"/>
          <w:highlight w:val="none"/>
        </w:rPr>
        <w:t>国家现行有关法律法规、标准规范</w:t>
      </w:r>
      <w:bookmarkEnd w:id="1021"/>
      <w:r>
        <w:rPr>
          <w:rFonts w:hint="eastAsia"/>
          <w:color w:val="auto"/>
          <w:highlight w:val="none"/>
        </w:rPr>
        <w:t>（包括行业标准、地方标准）为基本原则，如总承包人在本工程采用了低于本工料规范，国家、行业法规、标准或未予描述的做法，造成相关损失，由总承包人承担相应责任。</w:t>
      </w:r>
    </w:p>
    <w:p>
      <w:pPr>
        <w:pStyle w:val="5"/>
        <w:bidi w:val="0"/>
        <w:ind w:left="253"/>
        <w:rPr>
          <w:color w:val="auto"/>
          <w:highlight w:val="none"/>
        </w:rPr>
      </w:pPr>
      <w:r>
        <w:rPr>
          <w:rFonts w:hint="eastAsia"/>
          <w:color w:val="auto"/>
          <w:highlight w:val="none"/>
        </w:rPr>
        <w:t>总承包人与</w:t>
      </w:r>
      <w:r>
        <w:rPr>
          <w:rFonts w:hint="eastAsia"/>
          <w:color w:val="auto"/>
          <w:highlight w:val="none"/>
          <w:lang w:eastAsia="zh-CN"/>
        </w:rPr>
        <w:t>专业承包</w:t>
      </w:r>
      <w:r>
        <w:rPr>
          <w:rFonts w:hint="eastAsia"/>
          <w:color w:val="auto"/>
          <w:highlight w:val="none"/>
        </w:rPr>
        <w:t>人对</w:t>
      </w:r>
      <w:r>
        <w:rPr>
          <w:rFonts w:hint="eastAsia"/>
          <w:color w:val="auto"/>
          <w:highlight w:val="none"/>
          <w:lang w:eastAsia="zh-CN"/>
        </w:rPr>
        <w:t>专业承包</w:t>
      </w:r>
      <w:r>
        <w:rPr>
          <w:rFonts w:hint="eastAsia"/>
          <w:color w:val="auto"/>
          <w:highlight w:val="none"/>
        </w:rPr>
        <w:t>工程的安全生产承担连带责任。</w:t>
      </w:r>
    </w:p>
    <w:p>
      <w:pPr>
        <w:pStyle w:val="5"/>
        <w:bidi w:val="0"/>
        <w:ind w:left="253"/>
        <w:rPr>
          <w:color w:val="auto"/>
          <w:highlight w:val="none"/>
        </w:rPr>
      </w:pPr>
      <w:r>
        <w:rPr>
          <w:rFonts w:hint="eastAsia"/>
          <w:color w:val="auto"/>
          <w:highlight w:val="none"/>
        </w:rPr>
        <w:t>发包人与总承包人签署安全生产协议</w:t>
      </w:r>
      <w:r>
        <w:rPr>
          <w:rFonts w:hint="eastAsia"/>
          <w:color w:val="auto"/>
          <w:highlight w:val="none"/>
          <w:lang w:eastAsia="zh-CN"/>
        </w:rPr>
        <w:t>（</w:t>
      </w:r>
      <w:r>
        <w:rPr>
          <w:rFonts w:hint="eastAsia"/>
          <w:b/>
          <w:bCs/>
          <w:color w:val="auto"/>
          <w:highlight w:val="none"/>
        </w:rPr>
        <w:t>【附件B-</w:t>
      </w:r>
      <w:r>
        <w:rPr>
          <w:rFonts w:hint="eastAsia"/>
          <w:b/>
          <w:bCs/>
          <w:color w:val="auto"/>
          <w:highlight w:val="none"/>
          <w:lang w:val="en-US" w:eastAsia="zh-CN"/>
        </w:rPr>
        <w:t>5</w:t>
      </w:r>
      <w:r>
        <w:rPr>
          <w:rFonts w:hint="eastAsia"/>
          <w:b/>
          <w:bCs/>
          <w:color w:val="auto"/>
          <w:highlight w:val="none"/>
        </w:rPr>
        <w:t>】安全生产协议书</w:t>
      </w:r>
      <w:r>
        <w:rPr>
          <w:rFonts w:hint="eastAsia"/>
          <w:color w:val="auto"/>
          <w:highlight w:val="none"/>
          <w:lang w:eastAsia="zh-CN"/>
        </w:rPr>
        <w:t>）</w:t>
      </w:r>
      <w:r>
        <w:rPr>
          <w:rFonts w:hint="eastAsia"/>
          <w:color w:val="auto"/>
          <w:highlight w:val="none"/>
        </w:rPr>
        <w:t>作为本规定的细化、补充与延伸，具备与合同条款同等的法律效力，总承包人必须无条件执行。</w:t>
      </w:r>
    </w:p>
    <w:p>
      <w:pPr>
        <w:pStyle w:val="5"/>
        <w:bidi w:val="0"/>
        <w:ind w:left="253"/>
        <w:rPr>
          <w:color w:val="auto"/>
          <w:highlight w:val="none"/>
        </w:rPr>
      </w:pPr>
      <w:r>
        <w:rPr>
          <w:rFonts w:hint="eastAsia"/>
          <w:color w:val="auto"/>
          <w:highlight w:val="none"/>
        </w:rPr>
        <w:t>法律法规或合同约定的总承包人应承担的其他义务与责任。</w:t>
      </w:r>
    </w:p>
    <w:p>
      <w:pPr>
        <w:pStyle w:val="3"/>
        <w:bidi w:val="0"/>
        <w:rPr>
          <w:color w:val="auto"/>
          <w:highlight w:val="none"/>
        </w:rPr>
      </w:pPr>
      <w:bookmarkStart w:id="1022" w:name="_Toc22335"/>
      <w:bookmarkStart w:id="1023" w:name="_Toc169722249"/>
      <w:bookmarkStart w:id="1024" w:name="_Toc14687"/>
      <w:bookmarkStart w:id="1025" w:name="_Toc25868"/>
      <w:bookmarkStart w:id="1026" w:name="_Toc10746"/>
      <w:bookmarkStart w:id="1027" w:name="_Toc7812"/>
      <w:bookmarkStart w:id="1028" w:name="_Toc21157"/>
      <w:bookmarkStart w:id="1029" w:name="_Toc14608"/>
      <w:bookmarkStart w:id="1030" w:name="_Toc31016"/>
      <w:bookmarkStart w:id="1031" w:name="_Toc26193"/>
      <w:bookmarkStart w:id="1032" w:name="_Toc7703"/>
      <w:bookmarkStart w:id="1033" w:name="_Toc27510"/>
      <w:r>
        <w:rPr>
          <w:rFonts w:hint="eastAsia"/>
          <w:color w:val="auto"/>
          <w:highlight w:val="none"/>
          <w:lang w:eastAsia="zh-CN"/>
        </w:rPr>
        <w:t>安全</w:t>
      </w:r>
      <w:r>
        <w:rPr>
          <w:rFonts w:hint="eastAsia"/>
          <w:color w:val="auto"/>
          <w:highlight w:val="none"/>
        </w:rPr>
        <w:t>目标与责任管理</w:t>
      </w:r>
      <w:bookmarkEnd w:id="1022"/>
      <w:bookmarkEnd w:id="1023"/>
      <w:bookmarkEnd w:id="1024"/>
      <w:bookmarkEnd w:id="1025"/>
      <w:bookmarkEnd w:id="1026"/>
      <w:bookmarkEnd w:id="1027"/>
      <w:bookmarkEnd w:id="1028"/>
      <w:bookmarkEnd w:id="1029"/>
      <w:bookmarkEnd w:id="1030"/>
      <w:bookmarkEnd w:id="1031"/>
      <w:bookmarkEnd w:id="1032"/>
      <w:bookmarkEnd w:id="1033"/>
    </w:p>
    <w:p>
      <w:pPr>
        <w:pStyle w:val="4"/>
        <w:bidi w:val="0"/>
        <w:rPr>
          <w:color w:val="auto"/>
          <w:highlight w:val="none"/>
        </w:rPr>
      </w:pPr>
      <w:r>
        <w:rPr>
          <w:rFonts w:hint="eastAsia"/>
          <w:color w:val="auto"/>
          <w:highlight w:val="none"/>
        </w:rPr>
        <w:t>总承包人应建立全员</w:t>
      </w:r>
      <w:r>
        <w:rPr>
          <w:rFonts w:hint="eastAsia"/>
          <w:color w:val="auto"/>
          <w:highlight w:val="none"/>
          <w:lang w:eastAsia="zh-CN"/>
        </w:rPr>
        <w:t>安全</w:t>
      </w:r>
      <w:r>
        <w:rPr>
          <w:rFonts w:hint="eastAsia"/>
          <w:color w:val="auto"/>
          <w:highlight w:val="none"/>
        </w:rPr>
        <w:t>责任制，明确各级岗位、人员责任清单，落实“管业务必须管安全、管生产经营必须管安全”要求。</w:t>
      </w:r>
    </w:p>
    <w:p>
      <w:pPr>
        <w:pStyle w:val="4"/>
        <w:bidi w:val="0"/>
        <w:rPr>
          <w:color w:val="auto"/>
          <w:highlight w:val="none"/>
        </w:rPr>
      </w:pPr>
      <w:r>
        <w:rPr>
          <w:rFonts w:hint="eastAsia"/>
          <w:color w:val="auto"/>
          <w:highlight w:val="none"/>
        </w:rPr>
        <w:t>总承包人应建立清晰、明确的</w:t>
      </w:r>
      <w:r>
        <w:rPr>
          <w:rFonts w:hint="eastAsia"/>
          <w:color w:val="auto"/>
          <w:highlight w:val="none"/>
          <w:lang w:eastAsia="zh-CN"/>
        </w:rPr>
        <w:t>安全</w:t>
      </w:r>
      <w:r>
        <w:rPr>
          <w:rFonts w:hint="eastAsia"/>
          <w:color w:val="auto"/>
          <w:highlight w:val="none"/>
        </w:rPr>
        <w:t>目标，并分解到各级关键岗位、人员。</w:t>
      </w:r>
    </w:p>
    <w:p>
      <w:pPr>
        <w:pStyle w:val="4"/>
        <w:bidi w:val="0"/>
        <w:rPr>
          <w:color w:val="auto"/>
          <w:highlight w:val="none"/>
        </w:rPr>
      </w:pPr>
      <w:r>
        <w:rPr>
          <w:rFonts w:hint="eastAsia"/>
          <w:color w:val="auto"/>
          <w:highlight w:val="none"/>
        </w:rPr>
        <w:t>总承包人应建立目标、责任考核制度，全员签订</w:t>
      </w:r>
      <w:r>
        <w:rPr>
          <w:rFonts w:hint="eastAsia"/>
          <w:color w:val="auto"/>
          <w:highlight w:val="none"/>
          <w:lang w:eastAsia="zh-CN"/>
        </w:rPr>
        <w:t>安全</w:t>
      </w:r>
      <w:r>
        <w:rPr>
          <w:rFonts w:hint="eastAsia"/>
          <w:color w:val="auto"/>
          <w:highlight w:val="none"/>
        </w:rPr>
        <w:t>责任书，并将</w:t>
      </w:r>
      <w:r>
        <w:rPr>
          <w:rFonts w:hint="eastAsia"/>
          <w:color w:val="auto"/>
          <w:highlight w:val="none"/>
          <w:lang w:eastAsia="zh-CN"/>
        </w:rPr>
        <w:t>安全</w:t>
      </w:r>
      <w:r>
        <w:rPr>
          <w:rFonts w:hint="eastAsia"/>
          <w:color w:val="auto"/>
          <w:highlight w:val="none"/>
        </w:rPr>
        <w:t>责任、目标纳入业绩考核。</w:t>
      </w:r>
    </w:p>
    <w:p>
      <w:pPr>
        <w:pStyle w:val="3"/>
        <w:bidi w:val="0"/>
        <w:rPr>
          <w:color w:val="auto"/>
          <w:highlight w:val="none"/>
        </w:rPr>
      </w:pPr>
      <w:bookmarkStart w:id="1034" w:name="_Toc4863"/>
      <w:bookmarkStart w:id="1035" w:name="_Toc9697"/>
      <w:bookmarkStart w:id="1036" w:name="_Toc8503"/>
      <w:bookmarkStart w:id="1037" w:name="_Toc19642"/>
      <w:bookmarkStart w:id="1038" w:name="_Toc18587"/>
      <w:bookmarkStart w:id="1039" w:name="_Toc32218"/>
      <w:bookmarkStart w:id="1040" w:name="_Toc18828"/>
      <w:bookmarkStart w:id="1041" w:name="_Toc25715"/>
      <w:bookmarkStart w:id="1042" w:name="_Toc7123"/>
      <w:bookmarkStart w:id="1043" w:name="_Toc22210"/>
      <w:bookmarkStart w:id="1044" w:name="_Toc169722250"/>
      <w:bookmarkStart w:id="1045" w:name="_Toc13292"/>
      <w:r>
        <w:rPr>
          <w:rFonts w:hint="eastAsia"/>
          <w:color w:val="auto"/>
          <w:highlight w:val="none"/>
          <w:lang w:eastAsia="zh-CN"/>
        </w:rPr>
        <w:t>安全</w:t>
      </w:r>
      <w:r>
        <w:rPr>
          <w:color w:val="auto"/>
          <w:highlight w:val="none"/>
        </w:rPr>
        <w:t>组织</w:t>
      </w:r>
      <w:r>
        <w:rPr>
          <w:rFonts w:hint="eastAsia"/>
          <w:color w:val="auto"/>
          <w:highlight w:val="none"/>
        </w:rPr>
        <w:t>建设</w:t>
      </w:r>
      <w:r>
        <w:rPr>
          <w:color w:val="auto"/>
          <w:highlight w:val="none"/>
        </w:rPr>
        <w:t>及人员</w:t>
      </w:r>
      <w:r>
        <w:rPr>
          <w:rFonts w:hint="eastAsia"/>
          <w:color w:val="auto"/>
          <w:highlight w:val="none"/>
        </w:rPr>
        <w:t>配置</w:t>
      </w:r>
      <w:bookmarkEnd w:id="1034"/>
      <w:bookmarkEnd w:id="1035"/>
      <w:bookmarkEnd w:id="1036"/>
      <w:bookmarkEnd w:id="1037"/>
      <w:bookmarkEnd w:id="1038"/>
      <w:bookmarkEnd w:id="1039"/>
      <w:bookmarkEnd w:id="1040"/>
      <w:bookmarkEnd w:id="1041"/>
      <w:bookmarkEnd w:id="1042"/>
      <w:bookmarkEnd w:id="1043"/>
      <w:bookmarkEnd w:id="1044"/>
      <w:bookmarkEnd w:id="1045"/>
    </w:p>
    <w:p>
      <w:pPr>
        <w:pStyle w:val="4"/>
        <w:bidi w:val="0"/>
        <w:rPr>
          <w:color w:val="auto"/>
          <w:highlight w:val="none"/>
        </w:rPr>
      </w:pPr>
      <w:r>
        <w:rPr>
          <w:rFonts w:hint="eastAsia"/>
          <w:color w:val="auto"/>
          <w:highlight w:val="none"/>
          <w:lang w:eastAsia="zh-CN"/>
        </w:rPr>
        <w:t>安全</w:t>
      </w:r>
      <w:r>
        <w:rPr>
          <w:rFonts w:hint="eastAsia"/>
          <w:color w:val="auto"/>
          <w:highlight w:val="none"/>
        </w:rPr>
        <w:t>组织建设</w:t>
      </w:r>
    </w:p>
    <w:p>
      <w:pPr>
        <w:pStyle w:val="5"/>
        <w:bidi w:val="0"/>
        <w:ind w:left="253"/>
        <w:rPr>
          <w:color w:val="auto"/>
          <w:highlight w:val="none"/>
        </w:rPr>
      </w:pPr>
      <w:r>
        <w:rPr>
          <w:rFonts w:hint="eastAsia"/>
          <w:color w:val="auto"/>
          <w:highlight w:val="none"/>
        </w:rPr>
        <w:t>总承包人应成立企业专职安全监督管理部门，设立</w:t>
      </w:r>
      <w:r>
        <w:rPr>
          <w:rFonts w:hint="eastAsia"/>
          <w:color w:val="auto"/>
          <w:highlight w:val="none"/>
          <w:lang w:eastAsia="zh-CN"/>
        </w:rPr>
        <w:t>安全负责人</w:t>
      </w:r>
      <w:r>
        <w:rPr>
          <w:rFonts w:hint="eastAsia"/>
          <w:color w:val="auto"/>
          <w:highlight w:val="none"/>
        </w:rPr>
        <w:t>，</w:t>
      </w:r>
      <w:bookmarkStart w:id="1046" w:name="_Hlk166182551"/>
      <w:r>
        <w:rPr>
          <w:rFonts w:hint="eastAsia"/>
          <w:color w:val="auto"/>
          <w:highlight w:val="none"/>
        </w:rPr>
        <w:t>按照法律法规、行业主管部门规定和地方政府部门规定配备足够数量的专职安全管理人员。</w:t>
      </w:r>
      <w:bookmarkEnd w:id="1046"/>
    </w:p>
    <w:p>
      <w:pPr>
        <w:pStyle w:val="5"/>
        <w:bidi w:val="0"/>
        <w:ind w:left="253"/>
        <w:rPr>
          <w:color w:val="auto"/>
          <w:highlight w:val="none"/>
        </w:rPr>
      </w:pPr>
      <w:r>
        <w:rPr>
          <w:rFonts w:hint="eastAsia"/>
          <w:color w:val="auto"/>
          <w:highlight w:val="none"/>
        </w:rPr>
        <w:t>总承包人应建立以</w:t>
      </w:r>
      <w:r>
        <w:rPr>
          <w:rFonts w:hint="eastAsia"/>
          <w:color w:val="auto"/>
          <w:highlight w:val="none"/>
          <w:lang w:eastAsia="zh-CN"/>
        </w:rPr>
        <w:t>项目负责人</w:t>
      </w:r>
      <w:r>
        <w:rPr>
          <w:rFonts w:hint="eastAsia"/>
          <w:color w:val="auto"/>
          <w:highlight w:val="none"/>
        </w:rPr>
        <w:t>为组长的项目</w:t>
      </w:r>
      <w:r>
        <w:rPr>
          <w:rFonts w:hint="eastAsia"/>
          <w:color w:val="auto"/>
          <w:highlight w:val="none"/>
          <w:lang w:eastAsia="zh-CN"/>
        </w:rPr>
        <w:t>安全</w:t>
      </w:r>
      <w:r>
        <w:rPr>
          <w:rFonts w:hint="eastAsia"/>
          <w:color w:val="auto"/>
          <w:highlight w:val="none"/>
        </w:rPr>
        <w:t>领导机构，明确</w:t>
      </w:r>
      <w:bookmarkStart w:id="1047" w:name="_Hlk166182137"/>
      <w:r>
        <w:rPr>
          <w:rFonts w:hint="eastAsia"/>
          <w:color w:val="auto"/>
          <w:highlight w:val="none"/>
        </w:rPr>
        <w:t>会议、检查、培训等</w:t>
      </w:r>
      <w:bookmarkEnd w:id="1047"/>
      <w:r>
        <w:rPr>
          <w:rFonts w:hint="eastAsia"/>
          <w:color w:val="auto"/>
          <w:highlight w:val="none"/>
        </w:rPr>
        <w:t>工作机制，在正式进场后1</w:t>
      </w:r>
      <w:r>
        <w:rPr>
          <w:color w:val="auto"/>
          <w:highlight w:val="none"/>
        </w:rPr>
        <w:t>0</w:t>
      </w:r>
      <w:r>
        <w:rPr>
          <w:rFonts w:hint="eastAsia"/>
          <w:color w:val="auto"/>
          <w:highlight w:val="none"/>
        </w:rPr>
        <w:t>个工作日内书面上报监理人、发包人备案。</w:t>
      </w:r>
    </w:p>
    <w:p>
      <w:pPr>
        <w:pStyle w:val="4"/>
        <w:bidi w:val="0"/>
        <w:rPr>
          <w:color w:val="auto"/>
          <w:highlight w:val="none"/>
        </w:rPr>
      </w:pPr>
      <w:bookmarkStart w:id="1048" w:name="_Hlk166182583"/>
      <w:r>
        <w:rPr>
          <w:rFonts w:hint="eastAsia"/>
          <w:color w:val="auto"/>
          <w:highlight w:val="none"/>
        </w:rPr>
        <w:t>项目专职安全管理人员配置</w:t>
      </w:r>
      <w:bookmarkEnd w:id="1048"/>
    </w:p>
    <w:p>
      <w:pPr>
        <w:pStyle w:val="5"/>
        <w:bidi w:val="0"/>
        <w:ind w:left="253"/>
        <w:rPr>
          <w:color w:val="auto"/>
          <w:highlight w:val="none"/>
        </w:rPr>
      </w:pPr>
      <w:bookmarkStart w:id="1049" w:name="_Hlk166182713"/>
      <w:r>
        <w:rPr>
          <w:rFonts w:hint="eastAsia"/>
          <w:color w:val="auto"/>
          <w:highlight w:val="none"/>
        </w:rPr>
        <w:t>总承包人配备项目专职安全生产管理人员</w:t>
      </w:r>
      <w:r>
        <w:rPr>
          <w:rFonts w:hint="eastAsia"/>
          <w:color w:val="auto"/>
          <w:highlight w:val="none"/>
          <w:lang w:val="en-US" w:eastAsia="zh-CN"/>
        </w:rPr>
        <w:t>应</w:t>
      </w:r>
      <w:r>
        <w:rPr>
          <w:rFonts w:hint="eastAsia"/>
          <w:color w:val="auto"/>
          <w:highlight w:val="none"/>
        </w:rPr>
        <w:t>满足下列要求：</w:t>
      </w:r>
      <w:bookmarkEnd w:id="1049"/>
    </w:p>
    <w:p>
      <w:pPr>
        <w:numPr>
          <w:ilvl w:val="0"/>
          <w:numId w:val="161"/>
        </w:numPr>
        <w:bidi w:val="0"/>
        <w:rPr>
          <w:color w:val="auto"/>
          <w:highlight w:val="none"/>
        </w:rPr>
      </w:pPr>
      <w:r>
        <w:rPr>
          <w:rFonts w:hint="eastAsia"/>
          <w:color w:val="auto"/>
          <w:highlight w:val="none"/>
        </w:rPr>
        <w:t>建筑工程、装修工程按照建筑面积配备：</w:t>
      </w:r>
    </w:p>
    <w:p>
      <w:pPr>
        <w:bidi w:val="0"/>
        <w:ind w:leftChars="200"/>
        <w:rPr>
          <w:color w:val="auto"/>
          <w:highlight w:val="none"/>
        </w:rPr>
      </w:pPr>
      <w:r>
        <w:rPr>
          <w:rFonts w:hint="eastAsia"/>
          <w:color w:val="auto"/>
          <w:highlight w:val="none"/>
        </w:rPr>
        <w:t>1）1万平方米以下的工程不少于1人；</w:t>
      </w:r>
    </w:p>
    <w:p>
      <w:pPr>
        <w:bidi w:val="0"/>
        <w:ind w:leftChars="200"/>
        <w:rPr>
          <w:color w:val="auto"/>
          <w:highlight w:val="none"/>
        </w:rPr>
      </w:pPr>
      <w:r>
        <w:rPr>
          <w:rFonts w:hint="eastAsia"/>
          <w:color w:val="auto"/>
          <w:highlight w:val="none"/>
        </w:rPr>
        <w:t>2）1万～5万平方米的工程不少于2人；</w:t>
      </w:r>
    </w:p>
    <w:p>
      <w:pPr>
        <w:bidi w:val="0"/>
        <w:ind w:leftChars="200"/>
        <w:rPr>
          <w:color w:val="auto"/>
          <w:highlight w:val="none"/>
        </w:rPr>
      </w:pPr>
      <w:r>
        <w:rPr>
          <w:rFonts w:hint="eastAsia"/>
          <w:color w:val="auto"/>
          <w:highlight w:val="none"/>
        </w:rPr>
        <w:t>3）5万平方米及以上的工程不少于3人，且按专业配备专职安全生产管理人员。</w:t>
      </w:r>
    </w:p>
    <w:p>
      <w:pPr>
        <w:numPr>
          <w:ilvl w:val="0"/>
          <w:numId w:val="161"/>
        </w:numPr>
        <w:bidi w:val="0"/>
        <w:rPr>
          <w:color w:val="auto"/>
          <w:highlight w:val="none"/>
        </w:rPr>
      </w:pPr>
      <w:r>
        <w:rPr>
          <w:rFonts w:hint="eastAsia"/>
          <w:color w:val="auto"/>
          <w:highlight w:val="none"/>
        </w:rPr>
        <w:t>土木工程、线路管道、设备安装工程按照工程合同价配备：</w:t>
      </w:r>
    </w:p>
    <w:p>
      <w:pPr>
        <w:bidi w:val="0"/>
        <w:ind w:leftChars="200"/>
        <w:rPr>
          <w:color w:val="auto"/>
          <w:highlight w:val="none"/>
        </w:rPr>
      </w:pPr>
      <w:r>
        <w:rPr>
          <w:rFonts w:hint="eastAsia"/>
          <w:color w:val="auto"/>
          <w:highlight w:val="none"/>
        </w:rPr>
        <w:t>1）5000万元以下的工程不少于1人；</w:t>
      </w:r>
    </w:p>
    <w:p>
      <w:pPr>
        <w:bidi w:val="0"/>
        <w:ind w:leftChars="200"/>
        <w:rPr>
          <w:color w:val="auto"/>
          <w:highlight w:val="none"/>
        </w:rPr>
      </w:pPr>
      <w:r>
        <w:rPr>
          <w:rFonts w:hint="eastAsia"/>
          <w:color w:val="auto"/>
          <w:highlight w:val="none"/>
        </w:rPr>
        <w:t>2）5000万～1亿元的工程不少于2人；</w:t>
      </w:r>
    </w:p>
    <w:p>
      <w:pPr>
        <w:bidi w:val="0"/>
        <w:ind w:leftChars="200"/>
        <w:rPr>
          <w:color w:val="auto"/>
          <w:highlight w:val="none"/>
        </w:rPr>
      </w:pPr>
      <w:r>
        <w:rPr>
          <w:rFonts w:hint="eastAsia"/>
          <w:color w:val="auto"/>
          <w:highlight w:val="none"/>
        </w:rPr>
        <w:t>3）1亿元及以上的工程不少于3人，且按专业配备专职安全生产管理人员。</w:t>
      </w:r>
    </w:p>
    <w:p>
      <w:pPr>
        <w:pStyle w:val="5"/>
        <w:bidi w:val="0"/>
        <w:ind w:left="253"/>
        <w:rPr>
          <w:color w:val="auto"/>
          <w:highlight w:val="none"/>
        </w:rPr>
      </w:pPr>
      <w:bookmarkStart w:id="1050" w:name="_Hlk166183135"/>
      <w:r>
        <w:rPr>
          <w:rFonts w:hint="eastAsia"/>
          <w:color w:val="auto"/>
          <w:highlight w:val="none"/>
          <w:lang w:val="en-US" w:eastAsia="zh-CN"/>
        </w:rPr>
        <w:t>分包</w:t>
      </w:r>
      <w:r>
        <w:rPr>
          <w:rFonts w:hint="eastAsia"/>
          <w:color w:val="auto"/>
          <w:highlight w:val="none"/>
        </w:rPr>
        <w:t>人配备项目专职安全生产管理人员</w:t>
      </w:r>
      <w:r>
        <w:rPr>
          <w:rFonts w:hint="eastAsia"/>
          <w:color w:val="auto"/>
          <w:highlight w:val="none"/>
          <w:lang w:val="en-US" w:eastAsia="zh-CN"/>
        </w:rPr>
        <w:t>应</w:t>
      </w:r>
      <w:r>
        <w:rPr>
          <w:rFonts w:hint="eastAsia"/>
          <w:color w:val="auto"/>
          <w:highlight w:val="none"/>
        </w:rPr>
        <w:t>满足下列要求：</w:t>
      </w:r>
    </w:p>
    <w:p>
      <w:pPr>
        <w:numPr>
          <w:ilvl w:val="0"/>
          <w:numId w:val="162"/>
        </w:numPr>
        <w:bidi w:val="0"/>
        <w:ind w:left="80" w:leftChars="0"/>
        <w:rPr>
          <w:color w:val="auto"/>
          <w:highlight w:val="none"/>
        </w:rPr>
      </w:pPr>
      <w:r>
        <w:rPr>
          <w:rFonts w:hint="eastAsia"/>
          <w:color w:val="auto"/>
          <w:highlight w:val="none"/>
        </w:rPr>
        <w:t>专业承包单位应当配置至少1人，并根据所承担的分部分项工程的工程量和施工危险程度增加。</w:t>
      </w:r>
    </w:p>
    <w:p>
      <w:pPr>
        <w:numPr>
          <w:ilvl w:val="0"/>
          <w:numId w:val="162"/>
        </w:numPr>
        <w:bidi w:val="0"/>
        <w:ind w:left="80" w:leftChars="0"/>
        <w:rPr>
          <w:color w:val="auto"/>
          <w:highlight w:val="none"/>
        </w:rPr>
      </w:pPr>
      <w:r>
        <w:rPr>
          <w:rFonts w:hint="eastAsia"/>
          <w:color w:val="auto"/>
          <w:highlight w:val="none"/>
          <w:lang w:val="en-US" w:eastAsia="zh-CN"/>
        </w:rPr>
        <w:t>劳务分包</w:t>
      </w:r>
      <w:r>
        <w:rPr>
          <w:rFonts w:hint="eastAsia"/>
          <w:color w:val="auto"/>
          <w:highlight w:val="none"/>
        </w:rPr>
        <w:t>单位施工人员在50人以下的，应当配备1名专职安全生产管理人员；50人-200人的，应当配备2名专职安全生产管理人员；200人及以上的，应当配备3名及以上专职安全生产管理人员，并根据所承担的分部分项工程施工危险实际情况增加，不得少于工程施工人员总人数的5‰。</w:t>
      </w:r>
    </w:p>
    <w:p>
      <w:pPr>
        <w:pStyle w:val="5"/>
        <w:bidi w:val="0"/>
        <w:ind w:left="253"/>
        <w:rPr>
          <w:rFonts w:hint="eastAsia"/>
          <w:color w:val="auto"/>
          <w:highlight w:val="none"/>
        </w:rPr>
      </w:pPr>
      <w:r>
        <w:rPr>
          <w:rFonts w:hint="eastAsia"/>
          <w:color w:val="auto"/>
          <w:highlight w:val="none"/>
        </w:rPr>
        <w:t>承包人必须严格按照省市相关规定和发包人要求，足额投入安全生产管理人员，其中：</w:t>
      </w:r>
      <w:r>
        <w:rPr>
          <w:rFonts w:hint="eastAsia"/>
          <w:color w:val="auto"/>
          <w:highlight w:val="none"/>
          <w:lang w:eastAsia="zh-CN"/>
        </w:rPr>
        <w:t>项目负责人</w:t>
      </w:r>
      <w:r>
        <w:rPr>
          <w:rFonts w:hint="eastAsia"/>
          <w:color w:val="auto"/>
          <w:highlight w:val="none"/>
        </w:rPr>
        <w:t>应持有有效的注册在中标单位的安全B证（省级建设主管部门核发、认可的），专职安全员必须持有注册在中标单位的安全C证（省级建设主管部门核发、认可的），涉及的所有特种作业人员必须持有有效的省级建设主管部门核发、认可的特种作业人员证书。</w:t>
      </w:r>
    </w:p>
    <w:p>
      <w:pPr>
        <w:pStyle w:val="5"/>
        <w:bidi w:val="0"/>
        <w:ind w:left="253"/>
        <w:rPr>
          <w:rFonts w:hint="eastAsia"/>
          <w:color w:val="auto"/>
          <w:highlight w:val="none"/>
        </w:rPr>
      </w:pPr>
      <w:r>
        <w:rPr>
          <w:rFonts w:hint="eastAsia"/>
          <w:color w:val="auto"/>
          <w:highlight w:val="none"/>
        </w:rPr>
        <w:t>承包人必须明确划分各人员的责任，使其在施工过程中履行自己的责任和义务。</w:t>
      </w:r>
      <w:r>
        <w:rPr>
          <w:rFonts w:hint="eastAsia"/>
          <w:color w:val="auto"/>
          <w:highlight w:val="none"/>
          <w:lang w:eastAsia="zh-CN"/>
        </w:rPr>
        <w:t>项目负责人</w:t>
      </w:r>
      <w:r>
        <w:rPr>
          <w:rFonts w:hint="eastAsia"/>
          <w:color w:val="auto"/>
          <w:highlight w:val="none"/>
        </w:rPr>
        <w:t>是安全第一责任人，负责安全生产的直接责任。</w:t>
      </w:r>
    </w:p>
    <w:p>
      <w:pPr>
        <w:pStyle w:val="5"/>
        <w:bidi w:val="0"/>
        <w:ind w:left="253"/>
        <w:rPr>
          <w:color w:val="auto"/>
          <w:highlight w:val="none"/>
        </w:rPr>
      </w:pPr>
      <w:r>
        <w:rPr>
          <w:rFonts w:hint="eastAsia"/>
          <w:color w:val="auto"/>
          <w:highlight w:val="none"/>
        </w:rPr>
        <w:t>承包人必须制定严格的安全技术操作规程，并定期对安全生产管理人员进行考核。进场前发包人对安全管理人员进行面试，并定期考核，合格者方能入职上岗，发包人有权更换不合格安全生产管理人员。</w:t>
      </w:r>
    </w:p>
    <w:bookmarkEnd w:id="1050"/>
    <w:p>
      <w:pPr>
        <w:pStyle w:val="4"/>
        <w:bidi w:val="0"/>
        <w:rPr>
          <w:color w:val="auto"/>
          <w:highlight w:val="none"/>
        </w:rPr>
      </w:pPr>
      <w:r>
        <w:rPr>
          <w:rFonts w:hint="eastAsia"/>
          <w:color w:val="auto"/>
          <w:highlight w:val="none"/>
        </w:rPr>
        <w:t>总承包人</w:t>
      </w:r>
      <w:bookmarkStart w:id="1051" w:name="_Hlk166183324"/>
      <w:r>
        <w:rPr>
          <w:rFonts w:hint="eastAsia"/>
          <w:color w:val="auto"/>
          <w:highlight w:val="none"/>
        </w:rPr>
        <w:t>按照上述标准配备的专职安全管理人员</w:t>
      </w:r>
      <w:bookmarkEnd w:id="1051"/>
      <w:r>
        <w:rPr>
          <w:rFonts w:hint="eastAsia"/>
          <w:color w:val="auto"/>
          <w:highlight w:val="none"/>
          <w:lang w:eastAsia="zh-CN"/>
        </w:rPr>
        <w:t>安全</w:t>
      </w:r>
      <w:r>
        <w:rPr>
          <w:rFonts w:hint="eastAsia"/>
          <w:color w:val="auto"/>
          <w:highlight w:val="none"/>
        </w:rPr>
        <w:t>管理绩效无法满足发包人安全要求时，发包人有权要求总承包人更换或者增加专职安全管理人员，总承包人必须执行。增加人员产生的费用由总承包人承担。</w:t>
      </w:r>
    </w:p>
    <w:p>
      <w:pPr>
        <w:pStyle w:val="4"/>
        <w:bidi w:val="0"/>
        <w:rPr>
          <w:color w:val="auto"/>
          <w:highlight w:val="none"/>
        </w:rPr>
      </w:pPr>
      <w:r>
        <w:rPr>
          <w:rFonts w:hint="eastAsia"/>
          <w:color w:val="auto"/>
          <w:highlight w:val="none"/>
        </w:rPr>
        <w:t>总承包人</w:t>
      </w:r>
      <w:bookmarkStart w:id="1052" w:name="_Hlk166183364"/>
      <w:r>
        <w:rPr>
          <w:rFonts w:hint="eastAsia"/>
          <w:color w:val="auto"/>
          <w:highlight w:val="none"/>
        </w:rPr>
        <w:t>必须为专职安全管理人员配备标准化的通讯器材、检测（查）工具与仪器、影像记录器材等装备</w:t>
      </w:r>
      <w:bookmarkEnd w:id="1052"/>
      <w:r>
        <w:rPr>
          <w:rFonts w:hint="eastAsia"/>
          <w:color w:val="auto"/>
          <w:highlight w:val="none"/>
        </w:rPr>
        <w:t>。</w:t>
      </w:r>
    </w:p>
    <w:p>
      <w:pPr>
        <w:pStyle w:val="4"/>
        <w:bidi w:val="0"/>
        <w:rPr>
          <w:color w:val="auto"/>
          <w:highlight w:val="none"/>
        </w:rPr>
      </w:pPr>
      <w:r>
        <w:rPr>
          <w:rFonts w:hint="eastAsia"/>
          <w:color w:val="auto"/>
          <w:highlight w:val="none"/>
        </w:rPr>
        <w:t>总承包人项目团队关键成员（</w:t>
      </w:r>
      <w:r>
        <w:rPr>
          <w:rFonts w:hint="eastAsia"/>
          <w:color w:val="auto"/>
          <w:highlight w:val="none"/>
          <w:lang w:eastAsia="zh-CN"/>
        </w:rPr>
        <w:t>项目负责人</w:t>
      </w:r>
      <w:r>
        <w:rPr>
          <w:rFonts w:hint="eastAsia"/>
          <w:color w:val="auto"/>
          <w:highlight w:val="none"/>
        </w:rPr>
        <w:t>、</w:t>
      </w:r>
      <w:r>
        <w:rPr>
          <w:color w:val="auto"/>
          <w:highlight w:val="none"/>
        </w:rPr>
        <w:t>生产经理</w:t>
      </w:r>
      <w:r>
        <w:rPr>
          <w:rFonts w:hint="eastAsia"/>
          <w:color w:val="auto"/>
          <w:highlight w:val="none"/>
        </w:rPr>
        <w:t>、技术</w:t>
      </w:r>
      <w:r>
        <w:rPr>
          <w:rFonts w:hint="eastAsia"/>
          <w:color w:val="auto"/>
          <w:highlight w:val="none"/>
          <w:lang w:val="en-US" w:eastAsia="zh-CN"/>
        </w:rPr>
        <w:t>负责人</w:t>
      </w:r>
      <w:r>
        <w:rPr>
          <w:rFonts w:hint="eastAsia"/>
          <w:color w:val="auto"/>
          <w:highlight w:val="none"/>
        </w:rPr>
        <w:t>、</w:t>
      </w:r>
      <w:r>
        <w:rPr>
          <w:rFonts w:hint="eastAsia"/>
          <w:color w:val="auto"/>
          <w:highlight w:val="none"/>
          <w:lang w:val="en-US" w:eastAsia="zh-CN"/>
        </w:rPr>
        <w:t>造价负责人</w:t>
      </w:r>
      <w:r>
        <w:rPr>
          <w:rFonts w:hint="eastAsia"/>
          <w:color w:val="auto"/>
          <w:highlight w:val="none"/>
        </w:rPr>
        <w:t>、</w:t>
      </w:r>
      <w:r>
        <w:rPr>
          <w:rFonts w:hint="eastAsia"/>
          <w:color w:val="auto"/>
          <w:highlight w:val="none"/>
          <w:lang w:eastAsia="zh-CN"/>
        </w:rPr>
        <w:t>安全负责人</w:t>
      </w:r>
      <w:r>
        <w:rPr>
          <w:rFonts w:hint="eastAsia"/>
          <w:color w:val="auto"/>
          <w:highlight w:val="none"/>
        </w:rPr>
        <w:t>等）</w:t>
      </w:r>
      <w:bookmarkStart w:id="1053" w:name="_Hlk166183401"/>
      <w:r>
        <w:rPr>
          <w:rFonts w:hint="eastAsia"/>
          <w:color w:val="auto"/>
          <w:highlight w:val="none"/>
        </w:rPr>
        <w:t>必须从开工至交付全过程参与项目实施，</w:t>
      </w:r>
      <w:bookmarkEnd w:id="1053"/>
      <w:r>
        <w:rPr>
          <w:rFonts w:hint="eastAsia"/>
          <w:color w:val="auto"/>
          <w:highlight w:val="none"/>
        </w:rPr>
        <w:t>保证专职专岗并常驻项目，严禁挂职、挂证、挂名、</w:t>
      </w:r>
      <w:bookmarkStart w:id="1054" w:name="_Hlk166183451"/>
      <w:r>
        <w:rPr>
          <w:rFonts w:hint="eastAsia"/>
          <w:color w:val="auto"/>
          <w:highlight w:val="none"/>
        </w:rPr>
        <w:t>不在岗履职</w:t>
      </w:r>
      <w:bookmarkEnd w:id="1054"/>
      <w:r>
        <w:rPr>
          <w:rFonts w:hint="eastAsia"/>
          <w:color w:val="auto"/>
          <w:highlight w:val="none"/>
        </w:rPr>
        <w:t>行为。</w:t>
      </w:r>
    </w:p>
    <w:p>
      <w:pPr>
        <w:pStyle w:val="4"/>
        <w:bidi w:val="0"/>
        <w:rPr>
          <w:color w:val="auto"/>
          <w:highlight w:val="none"/>
        </w:rPr>
      </w:pPr>
      <w:r>
        <w:rPr>
          <w:rFonts w:hint="eastAsia"/>
          <w:color w:val="auto"/>
          <w:highlight w:val="none"/>
        </w:rPr>
        <w:t>总承包人应保证管理人员及一线作业人员身体健康，精神状态无异常，不得安排有职业禁忌的劳动者从事其所禁忌的作业，不得安排孕期、哺乳期女职工从事对本人和胎儿、婴儿有危害的作业。</w:t>
      </w:r>
      <w:bookmarkStart w:id="1055" w:name="_Hlk166183486"/>
      <w:r>
        <w:rPr>
          <w:rFonts w:hint="eastAsia"/>
          <w:color w:val="auto"/>
          <w:highlight w:val="none"/>
        </w:rPr>
        <w:t>针对一线作业人员需向监理人提供进场健康体检报告（一月内报告），体检费用由总承包人自行承担。针对特种作业人员，还应提供行业主管部门颁发的有效特种作业证书，报监理人审查备案。普通作业人员年龄18-60周岁，特种作业人员年龄18-55周岁。</w:t>
      </w:r>
      <w:bookmarkEnd w:id="1055"/>
    </w:p>
    <w:p>
      <w:pPr>
        <w:pStyle w:val="4"/>
        <w:bidi w:val="0"/>
        <w:rPr>
          <w:color w:val="auto"/>
          <w:highlight w:val="none"/>
        </w:rPr>
      </w:pPr>
      <w:r>
        <w:rPr>
          <w:rFonts w:hint="eastAsia"/>
          <w:color w:val="auto"/>
          <w:highlight w:val="none"/>
        </w:rPr>
        <w:t>总承包人应监管</w:t>
      </w:r>
      <w:r>
        <w:rPr>
          <w:rFonts w:hint="eastAsia"/>
          <w:color w:val="auto"/>
          <w:highlight w:val="none"/>
          <w:lang w:eastAsia="zh-CN"/>
        </w:rPr>
        <w:t>专业承包</w:t>
      </w:r>
      <w:r>
        <w:rPr>
          <w:rFonts w:hint="eastAsia"/>
          <w:color w:val="auto"/>
          <w:highlight w:val="none"/>
        </w:rPr>
        <w:t>人专职安全管理人员配备情况，确保配备人员数量符合建质〔2008〕91号《建筑施工企业安全生产管理机构设置及专职安全生产管理人员配备办法》的相关规定，同时必须满足现场管理需要。</w:t>
      </w:r>
    </w:p>
    <w:p>
      <w:pPr>
        <w:pStyle w:val="4"/>
        <w:bidi w:val="0"/>
        <w:rPr>
          <w:color w:val="auto"/>
          <w:highlight w:val="none"/>
        </w:rPr>
      </w:pPr>
      <w:r>
        <w:rPr>
          <w:rFonts w:hint="eastAsia"/>
          <w:color w:val="auto"/>
          <w:highlight w:val="none"/>
        </w:rPr>
        <w:t>发包人评估认定</w:t>
      </w:r>
      <w:r>
        <w:rPr>
          <w:rFonts w:hint="eastAsia"/>
          <w:color w:val="auto"/>
          <w:highlight w:val="none"/>
          <w:lang w:eastAsia="zh-CN"/>
        </w:rPr>
        <w:t>专业承包</w:t>
      </w:r>
      <w:r>
        <w:rPr>
          <w:rFonts w:hint="eastAsia"/>
          <w:color w:val="auto"/>
          <w:highlight w:val="none"/>
        </w:rPr>
        <w:t>人安全管理人员数量、工作质量无法满足</w:t>
      </w:r>
      <w:r>
        <w:rPr>
          <w:rFonts w:hint="eastAsia"/>
          <w:color w:val="auto"/>
          <w:highlight w:val="none"/>
          <w:lang w:eastAsia="zh-CN"/>
        </w:rPr>
        <w:t>安全</w:t>
      </w:r>
      <w:r>
        <w:rPr>
          <w:rFonts w:hint="eastAsia"/>
          <w:color w:val="auto"/>
          <w:highlight w:val="none"/>
        </w:rPr>
        <w:t>管理需要时，总承包人应当督促</w:t>
      </w:r>
      <w:r>
        <w:rPr>
          <w:rFonts w:hint="eastAsia"/>
          <w:color w:val="auto"/>
          <w:highlight w:val="none"/>
          <w:lang w:eastAsia="zh-CN"/>
        </w:rPr>
        <w:t>专业承包</w:t>
      </w:r>
      <w:r>
        <w:rPr>
          <w:rFonts w:hint="eastAsia"/>
          <w:color w:val="auto"/>
          <w:highlight w:val="none"/>
        </w:rPr>
        <w:t>人增加或更换安全管理人员。</w:t>
      </w:r>
    </w:p>
    <w:p>
      <w:pPr>
        <w:pStyle w:val="4"/>
        <w:numPr>
          <w:ilvl w:val="2"/>
          <w:numId w:val="0"/>
        </w:numPr>
        <w:bidi w:val="0"/>
        <w:ind w:leftChars="0"/>
        <w:rPr>
          <w:color w:val="auto"/>
          <w:highlight w:val="none"/>
        </w:rPr>
      </w:pPr>
      <w:r>
        <w:rPr>
          <w:rFonts w:hint="eastAsia"/>
          <w:color w:val="auto"/>
          <w:highlight w:val="none"/>
          <w:lang w:val="en-US" w:eastAsia="zh-CN"/>
        </w:rPr>
        <w:t xml:space="preserve">8.4 </w:t>
      </w:r>
      <w:r>
        <w:rPr>
          <w:rFonts w:hint="eastAsia"/>
          <w:color w:val="auto"/>
          <w:highlight w:val="none"/>
          <w:lang w:eastAsia="zh-CN"/>
        </w:rPr>
        <w:t>安全</w:t>
      </w:r>
      <w:r>
        <w:rPr>
          <w:rFonts w:hint="eastAsia"/>
          <w:color w:val="auto"/>
          <w:highlight w:val="none"/>
        </w:rPr>
        <w:t>组织建设及人员配置</w:t>
      </w:r>
    </w:p>
    <w:p>
      <w:pPr>
        <w:pStyle w:val="4"/>
        <w:bidi w:val="0"/>
        <w:rPr>
          <w:color w:val="auto"/>
          <w:highlight w:val="none"/>
        </w:rPr>
      </w:pPr>
      <w:r>
        <w:rPr>
          <w:rFonts w:hint="eastAsia"/>
          <w:color w:val="auto"/>
          <w:highlight w:val="none"/>
        </w:rPr>
        <w:t>总承包人按法规要求足额配置专职安全管理人员，还应满足以下要求：</w:t>
      </w:r>
    </w:p>
    <w:p>
      <w:pPr>
        <w:bidi w:val="0"/>
        <w:rPr>
          <w:color w:val="auto"/>
          <w:highlight w:val="none"/>
        </w:rPr>
      </w:pPr>
      <w:r>
        <w:rPr>
          <w:rFonts w:hint="eastAsia"/>
          <w:color w:val="auto"/>
          <w:highlight w:val="none"/>
          <w:lang w:eastAsia="zh-CN"/>
        </w:rPr>
        <w:t>（</w:t>
      </w:r>
      <w:r>
        <w:rPr>
          <w:rFonts w:hint="eastAsia"/>
          <w:color w:val="auto"/>
          <w:highlight w:val="none"/>
          <w:lang w:val="en-US" w:eastAsia="zh-CN"/>
        </w:rPr>
        <w:t>1</w:t>
      </w:r>
      <w:r>
        <w:rPr>
          <w:rFonts w:hint="eastAsia"/>
          <w:color w:val="auto"/>
          <w:highlight w:val="none"/>
          <w:lang w:eastAsia="zh-CN"/>
        </w:rPr>
        <w:t>）</w:t>
      </w:r>
      <w:r>
        <w:rPr>
          <w:rFonts w:hint="eastAsia"/>
          <w:color w:val="auto"/>
          <w:highlight w:val="none"/>
        </w:rPr>
        <w:t>总包单位进场15日内，应至少到位</w:t>
      </w:r>
      <w:r>
        <w:rPr>
          <w:rFonts w:hint="eastAsia"/>
          <w:color w:val="auto"/>
          <w:highlight w:val="none"/>
          <w:lang w:val="en-US" w:eastAsia="zh-CN"/>
        </w:rPr>
        <w:t>1</w:t>
      </w:r>
      <w:r>
        <w:rPr>
          <w:rFonts w:hint="eastAsia"/>
          <w:color w:val="auto"/>
          <w:highlight w:val="none"/>
        </w:rPr>
        <w:t>名专职安全人员；进场1月内，足额配齐。</w:t>
      </w:r>
    </w:p>
    <w:p>
      <w:pPr>
        <w:bidi w:val="0"/>
        <w:rPr>
          <w:color w:val="auto"/>
          <w:highlight w:val="none"/>
        </w:rPr>
      </w:pPr>
      <w:r>
        <w:rPr>
          <w:rFonts w:hint="eastAsia"/>
          <w:color w:val="auto"/>
          <w:highlight w:val="none"/>
          <w:lang w:eastAsia="zh-CN"/>
        </w:rPr>
        <w:t>（</w:t>
      </w:r>
      <w:r>
        <w:rPr>
          <w:rFonts w:hint="eastAsia"/>
          <w:color w:val="auto"/>
          <w:highlight w:val="none"/>
          <w:lang w:val="en-US" w:eastAsia="zh-CN"/>
        </w:rPr>
        <w:t>2</w:t>
      </w:r>
      <w:r>
        <w:rPr>
          <w:rFonts w:hint="eastAsia"/>
          <w:color w:val="auto"/>
          <w:highlight w:val="none"/>
          <w:lang w:eastAsia="zh-CN"/>
        </w:rPr>
        <w:t>）</w:t>
      </w:r>
      <w:r>
        <w:rPr>
          <w:rFonts w:hint="eastAsia"/>
          <w:color w:val="auto"/>
          <w:highlight w:val="none"/>
        </w:rPr>
        <w:t>正式交付前，现场在岗的专职安全管理人员不得低于法规最低配置要求。</w:t>
      </w:r>
    </w:p>
    <w:p>
      <w:pPr>
        <w:bidi w:val="0"/>
        <w:rPr>
          <w:color w:val="auto"/>
          <w:highlight w:val="none"/>
        </w:rPr>
      </w:pPr>
      <w:r>
        <w:rPr>
          <w:rFonts w:hint="eastAsia"/>
          <w:color w:val="auto"/>
          <w:highlight w:val="none"/>
          <w:lang w:eastAsia="zh-CN"/>
        </w:rPr>
        <w:t>（</w:t>
      </w:r>
      <w:r>
        <w:rPr>
          <w:rFonts w:hint="eastAsia"/>
          <w:color w:val="auto"/>
          <w:highlight w:val="none"/>
          <w:lang w:val="en-US" w:eastAsia="zh-CN"/>
        </w:rPr>
        <w:t>3</w:t>
      </w:r>
      <w:r>
        <w:rPr>
          <w:rFonts w:hint="eastAsia"/>
          <w:color w:val="auto"/>
          <w:highlight w:val="none"/>
          <w:lang w:eastAsia="zh-CN"/>
        </w:rPr>
        <w:t>）</w:t>
      </w:r>
      <w:r>
        <w:rPr>
          <w:rFonts w:hint="eastAsia"/>
          <w:color w:val="auto"/>
          <w:highlight w:val="none"/>
        </w:rPr>
        <w:t>项目</w:t>
      </w:r>
      <w:r>
        <w:rPr>
          <w:rFonts w:hint="eastAsia"/>
          <w:color w:val="auto"/>
          <w:highlight w:val="none"/>
          <w:lang w:eastAsia="zh-CN"/>
        </w:rPr>
        <w:t>安全负责人</w:t>
      </w:r>
      <w:r>
        <w:rPr>
          <w:rFonts w:hint="eastAsia"/>
          <w:color w:val="auto"/>
          <w:highlight w:val="none"/>
        </w:rPr>
        <w:t>需经发包人安全管理部面试后方可入场，面试通过即锁定未经批准不得擅自更换，其余专职安全管理人员需由项目部进行面试。</w:t>
      </w:r>
    </w:p>
    <w:p>
      <w:pPr>
        <w:pStyle w:val="4"/>
        <w:bidi w:val="0"/>
        <w:rPr>
          <w:color w:val="auto"/>
          <w:highlight w:val="none"/>
        </w:rPr>
      </w:pPr>
      <w:r>
        <w:rPr>
          <w:rFonts w:hint="eastAsia"/>
          <w:color w:val="auto"/>
          <w:highlight w:val="none"/>
        </w:rPr>
        <w:t>总承包人需至少配备1名专职大型设备管理人员，同类型工作年限不少于3年，在大型设备安装前配备到位，设备未完全拆除前不得退场。</w:t>
      </w:r>
    </w:p>
    <w:p>
      <w:pPr>
        <w:pStyle w:val="4"/>
        <w:bidi w:val="0"/>
        <w:rPr>
          <w:color w:val="auto"/>
          <w:highlight w:val="none"/>
        </w:rPr>
      </w:pPr>
      <w:r>
        <w:rPr>
          <w:rFonts w:hint="eastAsia"/>
          <w:color w:val="auto"/>
          <w:highlight w:val="none"/>
        </w:rPr>
        <w:t>专职安全管理人员、专职机械管理员经发包方面试合格后方可进场，上述管理人员更换或者退场时必须事先征得发包人同意后方可实施。</w:t>
      </w:r>
    </w:p>
    <w:p>
      <w:pPr>
        <w:pStyle w:val="4"/>
        <w:bidi w:val="0"/>
        <w:rPr>
          <w:color w:val="auto"/>
          <w:highlight w:val="none"/>
        </w:rPr>
      </w:pPr>
      <w:r>
        <w:rPr>
          <w:rFonts w:hint="eastAsia"/>
          <w:color w:val="auto"/>
          <w:highlight w:val="none"/>
        </w:rPr>
        <w:t>总承包人应聘用专业保安公司负责现场治安保卫工作对项目实施24小时封闭式管理，驻场安保人员应为男性年龄不得大于45岁，初中以上文化水平，并按照每个门岗不少于两人进行配置，另需配置1人现场流动巡逻。</w:t>
      </w:r>
    </w:p>
    <w:p>
      <w:pPr>
        <w:pStyle w:val="4"/>
        <w:bidi w:val="0"/>
        <w:rPr>
          <w:color w:val="auto"/>
          <w:highlight w:val="none"/>
        </w:rPr>
      </w:pPr>
      <w:r>
        <w:rPr>
          <w:rFonts w:hint="eastAsia"/>
          <w:color w:val="auto"/>
          <w:highlight w:val="none"/>
        </w:rPr>
        <w:t>总承包人应组建一支专门负责临边安全防护、文明施工的队伍由总承包人安全监督部门负责管理调配，并按照不低于1万㎡/1人的标准进行配备，以上人员需保证在进场开工前达到50%到岗率，第一块底板施工前80%到岗，总施工楼层数达到20%或地下室顶板施工面积达到100%时全部到岗，退场时间由发包人根据现场实际情况确定，相关费用应在投标时一并考虑。</w:t>
      </w:r>
    </w:p>
    <w:p>
      <w:pPr>
        <w:pStyle w:val="4"/>
        <w:bidi w:val="0"/>
        <w:rPr>
          <w:color w:val="auto"/>
          <w:highlight w:val="none"/>
        </w:rPr>
      </w:pPr>
      <w:r>
        <w:rPr>
          <w:rFonts w:hint="eastAsia"/>
          <w:color w:val="auto"/>
          <w:highlight w:val="none"/>
        </w:rPr>
        <w:t>需要配合上级、政府检查或者发包人认为现场人员不满足要求时，发包人有权要求总承包人增配人员，总承包人应当无条件配合。</w:t>
      </w:r>
    </w:p>
    <w:p>
      <w:pPr>
        <w:pStyle w:val="3"/>
        <w:bidi w:val="0"/>
        <w:rPr>
          <w:rFonts w:hint="default"/>
          <w:color w:val="auto"/>
          <w:highlight w:val="none"/>
          <w:lang w:val="en-US" w:eastAsia="zh-CN"/>
        </w:rPr>
      </w:pPr>
      <w:bookmarkStart w:id="1056" w:name="_Toc12610"/>
      <w:bookmarkStart w:id="1057" w:name="_Toc6745"/>
      <w:bookmarkStart w:id="1058" w:name="_Toc27259"/>
      <w:bookmarkStart w:id="1059" w:name="_Toc24508"/>
      <w:bookmarkStart w:id="1060" w:name="_Toc9190"/>
      <w:bookmarkStart w:id="1061" w:name="_Toc4424"/>
      <w:bookmarkStart w:id="1062" w:name="_Toc17047"/>
      <w:bookmarkStart w:id="1063" w:name="_Toc14144"/>
      <w:bookmarkStart w:id="1064" w:name="_Toc8365"/>
      <w:bookmarkStart w:id="1065" w:name="_Toc19643"/>
      <w:bookmarkStart w:id="1066" w:name="_Toc32078"/>
      <w:r>
        <w:rPr>
          <w:rFonts w:hint="eastAsia"/>
          <w:color w:val="auto"/>
          <w:highlight w:val="none"/>
          <w:lang w:val="en-US" w:eastAsia="zh-CN"/>
        </w:rPr>
        <w:t>安全管理一般要求</w:t>
      </w:r>
      <w:bookmarkEnd w:id="1056"/>
      <w:bookmarkEnd w:id="1057"/>
      <w:bookmarkEnd w:id="1058"/>
      <w:bookmarkEnd w:id="1059"/>
      <w:bookmarkEnd w:id="1060"/>
      <w:bookmarkEnd w:id="1061"/>
      <w:bookmarkEnd w:id="1062"/>
      <w:bookmarkEnd w:id="1063"/>
      <w:bookmarkEnd w:id="1064"/>
      <w:bookmarkEnd w:id="1065"/>
      <w:bookmarkEnd w:id="1066"/>
    </w:p>
    <w:p>
      <w:pPr>
        <w:pStyle w:val="4"/>
        <w:bidi w:val="0"/>
        <w:rPr>
          <w:color w:val="auto"/>
          <w:highlight w:val="none"/>
          <w:lang w:eastAsia="zh-CN"/>
        </w:rPr>
      </w:pPr>
      <w:bookmarkStart w:id="1067" w:name="_Toc27790"/>
      <w:r>
        <w:rPr>
          <w:rFonts w:hint="eastAsia"/>
          <w:color w:val="auto"/>
          <w:highlight w:val="none"/>
          <w:lang w:eastAsia="zh-CN"/>
        </w:rPr>
        <w:t>安全文明施工一般规定</w:t>
      </w:r>
      <w:bookmarkEnd w:id="1067"/>
    </w:p>
    <w:p>
      <w:pPr>
        <w:pStyle w:val="5"/>
        <w:bidi w:val="0"/>
        <w:rPr>
          <w:color w:val="auto"/>
          <w:highlight w:val="none"/>
          <w:lang w:eastAsia="zh-CN"/>
        </w:rPr>
      </w:pPr>
      <w:r>
        <w:rPr>
          <w:rFonts w:hint="eastAsia"/>
          <w:color w:val="auto"/>
          <w:highlight w:val="none"/>
          <w:lang w:eastAsia="zh-CN"/>
        </w:rPr>
        <w:t>根据广州市城乡建委《广州市住房和城乡建设委员会关于全市建设工地纳入视频监管的通知》（穗建质〔2017〕1166号）要求，建立并完善工地的视频监控系统。</w:t>
      </w:r>
    </w:p>
    <w:p>
      <w:pPr>
        <w:pStyle w:val="5"/>
        <w:bidi w:val="0"/>
        <w:rPr>
          <w:color w:val="auto"/>
          <w:highlight w:val="none"/>
          <w:lang w:eastAsia="zh-CN"/>
        </w:rPr>
      </w:pPr>
      <w:r>
        <w:rPr>
          <w:rFonts w:hint="eastAsia"/>
          <w:color w:val="auto"/>
          <w:highlight w:val="none"/>
          <w:lang w:eastAsia="zh-CN"/>
        </w:rPr>
        <w:t>承包人应按《广州市住房和城乡建设局等9部门关于印发广州市建设工程绿色施工围蔽指导图集（V2.0版）的通知》（穗建质〔2020〕1号）实施。</w:t>
      </w:r>
    </w:p>
    <w:p>
      <w:pPr>
        <w:pStyle w:val="5"/>
        <w:bidi w:val="0"/>
        <w:rPr>
          <w:color w:val="auto"/>
          <w:highlight w:val="none"/>
          <w:lang w:eastAsia="zh-CN"/>
        </w:rPr>
      </w:pPr>
      <w:r>
        <w:rPr>
          <w:rFonts w:hint="eastAsia"/>
          <w:color w:val="auto"/>
          <w:highlight w:val="none"/>
          <w:lang w:eastAsia="zh-CN"/>
        </w:rPr>
        <w:t>严格按照《广州市城乡建设委员会关于印发广州市建设工程绿色施工工作技术指引的通知》（穗建质〔2014〕914号）要求，对建设工程全过程实施绿色施工。</w:t>
      </w:r>
    </w:p>
    <w:p>
      <w:pPr>
        <w:pStyle w:val="5"/>
        <w:bidi w:val="0"/>
        <w:rPr>
          <w:color w:val="auto"/>
          <w:highlight w:val="none"/>
          <w:lang w:eastAsia="zh-CN"/>
        </w:rPr>
      </w:pPr>
      <w:r>
        <w:rPr>
          <w:rFonts w:hint="eastAsia"/>
          <w:color w:val="auto"/>
          <w:highlight w:val="none"/>
          <w:lang w:eastAsia="zh-CN"/>
        </w:rPr>
        <w:t>严格按照《广州市住房和城乡建设局等8部门关于印发广州市建设工程扬尘防治“6个100%”管理标准图集（V2.0版）的通知》的要求，对建设工程全过程实施扬尘防治。</w:t>
      </w:r>
    </w:p>
    <w:p>
      <w:pPr>
        <w:pStyle w:val="5"/>
        <w:bidi w:val="0"/>
        <w:rPr>
          <w:color w:val="auto"/>
          <w:highlight w:val="none"/>
          <w:lang w:eastAsia="zh-CN"/>
        </w:rPr>
      </w:pPr>
      <w:r>
        <w:rPr>
          <w:rFonts w:hint="eastAsia"/>
          <w:color w:val="auto"/>
          <w:highlight w:val="none"/>
          <w:lang w:eastAsia="zh-CN"/>
        </w:rPr>
        <w:t>严格执行《广州安居集团建设工程文明施工规程》，符合发包人关于安全文明施工管理的相关规定。</w:t>
      </w:r>
    </w:p>
    <w:p>
      <w:pPr>
        <w:pStyle w:val="4"/>
        <w:bidi w:val="0"/>
        <w:rPr>
          <w:color w:val="auto"/>
          <w:highlight w:val="none"/>
          <w:lang w:eastAsia="zh-CN"/>
        </w:rPr>
      </w:pPr>
      <w:bookmarkStart w:id="1068" w:name="_Toc11135"/>
      <w:r>
        <w:rPr>
          <w:rFonts w:hint="eastAsia"/>
          <w:color w:val="auto"/>
          <w:highlight w:val="none"/>
          <w:lang w:eastAsia="zh-CN"/>
        </w:rPr>
        <w:t>环境保护一般规定</w:t>
      </w:r>
      <w:bookmarkEnd w:id="1068"/>
    </w:p>
    <w:p>
      <w:pPr>
        <w:bidi w:val="0"/>
        <w:rPr>
          <w:color w:val="auto"/>
          <w:highlight w:val="none"/>
          <w:lang w:eastAsia="zh-CN"/>
        </w:rPr>
      </w:pPr>
      <w:r>
        <w:rPr>
          <w:rFonts w:hint="eastAsia"/>
          <w:color w:val="auto"/>
          <w:highlight w:val="none"/>
          <w:lang w:eastAsia="zh-CN"/>
        </w:rPr>
        <w:t>承包人应在进入现场前向监理单位提交施工期间的环境保护方案，经监理工程师批准后实施。在实施过程中所采用的材料、设备等经监理工程师和发包人同意后使用。</w:t>
      </w:r>
    </w:p>
    <w:p>
      <w:pPr>
        <w:pStyle w:val="4"/>
        <w:bidi w:val="0"/>
        <w:rPr>
          <w:color w:val="auto"/>
          <w:highlight w:val="none"/>
          <w:lang w:eastAsia="zh-CN"/>
        </w:rPr>
      </w:pPr>
      <w:bookmarkStart w:id="1069" w:name="_Toc10782"/>
      <w:r>
        <w:rPr>
          <w:rFonts w:hint="eastAsia"/>
          <w:color w:val="auto"/>
          <w:highlight w:val="none"/>
          <w:lang w:eastAsia="zh-CN"/>
        </w:rPr>
        <w:t>职业健康一般规定</w:t>
      </w:r>
      <w:bookmarkEnd w:id="1069"/>
    </w:p>
    <w:p>
      <w:pPr>
        <w:bidi w:val="0"/>
        <w:rPr>
          <w:rFonts w:hint="default"/>
          <w:color w:val="auto"/>
          <w:highlight w:val="none"/>
          <w:lang w:val="en-US" w:eastAsia="zh-CN"/>
        </w:rPr>
      </w:pPr>
      <w:r>
        <w:rPr>
          <w:rFonts w:hint="eastAsia"/>
          <w:color w:val="auto"/>
          <w:highlight w:val="none"/>
          <w:lang w:eastAsia="zh-CN"/>
        </w:rPr>
        <w:t>承包人应依法为其履行合同所雇用的人员办理必要的证件、许可、保险和注册等按照法律规定保障现场施工人员的劳动安全，提供劳动保护,采取有效的防止粉尘、降低噪声、控制有害气体和保障高温、高寒、高空作业安全等劳动保护措施。承包人雇佣人员在施工中受到伤害的，承包人应立即采取有效措施进行抢救和治疗。承包人应为其履行合同所雇用的人员提供必要的膳宿条件和生活环境，采取有效措施预防传染病，保证施工人员的健康。</w:t>
      </w:r>
    </w:p>
    <w:p>
      <w:pPr>
        <w:pStyle w:val="3"/>
        <w:bidi w:val="0"/>
        <w:rPr>
          <w:color w:val="auto"/>
          <w:highlight w:val="none"/>
        </w:rPr>
      </w:pPr>
      <w:bookmarkStart w:id="1070" w:name="_Toc8328"/>
      <w:bookmarkStart w:id="1071" w:name="_Toc12666"/>
      <w:bookmarkStart w:id="1072" w:name="_Toc13967"/>
      <w:bookmarkStart w:id="1073" w:name="_Toc14589"/>
      <w:bookmarkStart w:id="1074" w:name="_Toc28687"/>
      <w:bookmarkStart w:id="1075" w:name="_Toc26104"/>
      <w:bookmarkStart w:id="1076" w:name="_Toc22923"/>
      <w:bookmarkStart w:id="1077" w:name="_Toc9549"/>
      <w:bookmarkStart w:id="1078" w:name="_Toc18641"/>
      <w:bookmarkStart w:id="1079" w:name="_Toc169722251"/>
      <w:bookmarkStart w:id="1080" w:name="_Toc29867"/>
      <w:bookmarkStart w:id="1081" w:name="_Toc6041"/>
      <w:r>
        <w:rPr>
          <w:rFonts w:hint="eastAsia"/>
          <w:color w:val="auto"/>
          <w:highlight w:val="none"/>
        </w:rPr>
        <w:t>安全</w:t>
      </w:r>
      <w:r>
        <w:rPr>
          <w:color w:val="auto"/>
          <w:highlight w:val="none"/>
        </w:rPr>
        <w:t>生产管理协议</w:t>
      </w:r>
      <w:bookmarkEnd w:id="1070"/>
      <w:bookmarkEnd w:id="1071"/>
      <w:bookmarkEnd w:id="1072"/>
      <w:bookmarkEnd w:id="1073"/>
      <w:bookmarkEnd w:id="1074"/>
      <w:bookmarkEnd w:id="1075"/>
      <w:bookmarkEnd w:id="1076"/>
      <w:bookmarkEnd w:id="1077"/>
      <w:bookmarkEnd w:id="1078"/>
      <w:bookmarkEnd w:id="1079"/>
      <w:bookmarkEnd w:id="1080"/>
      <w:bookmarkEnd w:id="1081"/>
    </w:p>
    <w:p>
      <w:pPr>
        <w:pStyle w:val="4"/>
        <w:bidi w:val="0"/>
        <w:rPr>
          <w:color w:val="auto"/>
          <w:highlight w:val="none"/>
        </w:rPr>
      </w:pPr>
      <w:r>
        <w:rPr>
          <w:rFonts w:hint="eastAsia"/>
          <w:color w:val="auto"/>
          <w:highlight w:val="none"/>
        </w:rPr>
        <w:t>总承包人</w:t>
      </w:r>
      <w:r>
        <w:rPr>
          <w:color w:val="auto"/>
          <w:highlight w:val="none"/>
        </w:rPr>
        <w:t>与</w:t>
      </w:r>
      <w:r>
        <w:rPr>
          <w:rFonts w:hint="eastAsia"/>
          <w:color w:val="auto"/>
          <w:highlight w:val="none"/>
          <w:lang w:eastAsia="zh-CN"/>
        </w:rPr>
        <w:t>专业承包</w:t>
      </w:r>
      <w:r>
        <w:rPr>
          <w:rFonts w:hint="eastAsia"/>
          <w:color w:val="auto"/>
          <w:highlight w:val="none"/>
        </w:rPr>
        <w:t>人</w:t>
      </w:r>
      <w:r>
        <w:rPr>
          <w:color w:val="auto"/>
          <w:highlight w:val="none"/>
        </w:rPr>
        <w:t>的协议</w:t>
      </w:r>
    </w:p>
    <w:p>
      <w:pPr>
        <w:pStyle w:val="5"/>
        <w:bidi w:val="0"/>
        <w:ind w:left="253"/>
        <w:rPr>
          <w:color w:val="auto"/>
          <w:highlight w:val="none"/>
        </w:rPr>
      </w:pPr>
      <w:r>
        <w:rPr>
          <w:rFonts w:hint="eastAsia"/>
          <w:color w:val="auto"/>
          <w:highlight w:val="none"/>
        </w:rPr>
        <w:t>总承包人必须在</w:t>
      </w:r>
      <w:r>
        <w:rPr>
          <w:rFonts w:hint="eastAsia"/>
          <w:color w:val="auto"/>
          <w:highlight w:val="none"/>
          <w:lang w:eastAsia="zh-CN"/>
        </w:rPr>
        <w:t>专业承包</w:t>
      </w:r>
      <w:r>
        <w:rPr>
          <w:rFonts w:hint="eastAsia"/>
          <w:color w:val="auto"/>
          <w:highlight w:val="none"/>
        </w:rPr>
        <w:t>人进场时与其签订《安全生产管理协议》，明确双方</w:t>
      </w:r>
      <w:r>
        <w:rPr>
          <w:rFonts w:hint="eastAsia"/>
          <w:color w:val="auto"/>
          <w:highlight w:val="none"/>
          <w:lang w:eastAsia="zh-CN"/>
        </w:rPr>
        <w:t>安全</w:t>
      </w:r>
      <w:r>
        <w:rPr>
          <w:rFonts w:hint="eastAsia"/>
          <w:color w:val="auto"/>
          <w:highlight w:val="none"/>
        </w:rPr>
        <w:t>管理责任与义务等内容。</w:t>
      </w:r>
    </w:p>
    <w:p>
      <w:pPr>
        <w:pStyle w:val="5"/>
        <w:bidi w:val="0"/>
        <w:ind w:left="253"/>
        <w:rPr>
          <w:color w:val="auto"/>
          <w:highlight w:val="none"/>
        </w:rPr>
      </w:pPr>
      <w:r>
        <w:rPr>
          <w:rFonts w:hint="eastAsia"/>
          <w:color w:val="auto"/>
          <w:highlight w:val="none"/>
        </w:rPr>
        <w:t>总承包人与</w:t>
      </w:r>
      <w:r>
        <w:rPr>
          <w:rFonts w:hint="eastAsia"/>
          <w:color w:val="auto"/>
          <w:highlight w:val="none"/>
          <w:lang w:eastAsia="zh-CN"/>
        </w:rPr>
        <w:t>专业承包</w:t>
      </w:r>
      <w:r>
        <w:rPr>
          <w:rFonts w:hint="eastAsia"/>
          <w:color w:val="auto"/>
          <w:highlight w:val="none"/>
        </w:rPr>
        <w:t>人签订《安全生产管理协议》等协议时，必须将发包人的安全管理要求向</w:t>
      </w:r>
      <w:r>
        <w:rPr>
          <w:rFonts w:hint="eastAsia"/>
          <w:color w:val="auto"/>
          <w:highlight w:val="none"/>
          <w:lang w:eastAsia="zh-CN"/>
        </w:rPr>
        <w:t>专业承包</w:t>
      </w:r>
      <w:r>
        <w:rPr>
          <w:rFonts w:hint="eastAsia"/>
          <w:color w:val="auto"/>
          <w:highlight w:val="none"/>
        </w:rPr>
        <w:t>人书面交底，并监督其认真遵守与执行。</w:t>
      </w:r>
    </w:p>
    <w:p>
      <w:pPr>
        <w:pStyle w:val="4"/>
        <w:bidi w:val="0"/>
        <w:rPr>
          <w:color w:val="auto"/>
          <w:highlight w:val="none"/>
        </w:rPr>
      </w:pPr>
      <w:r>
        <w:rPr>
          <w:rFonts w:hint="eastAsia"/>
          <w:color w:val="auto"/>
          <w:highlight w:val="none"/>
        </w:rPr>
        <w:t>其他</w:t>
      </w:r>
      <w:r>
        <w:rPr>
          <w:color w:val="auto"/>
          <w:highlight w:val="none"/>
        </w:rPr>
        <w:t>协议</w:t>
      </w:r>
    </w:p>
    <w:p>
      <w:pPr>
        <w:pStyle w:val="5"/>
        <w:bidi w:val="0"/>
        <w:ind w:left="253"/>
        <w:rPr>
          <w:color w:val="auto"/>
          <w:highlight w:val="none"/>
        </w:rPr>
      </w:pPr>
      <w:r>
        <w:rPr>
          <w:rFonts w:hint="eastAsia"/>
          <w:color w:val="auto"/>
          <w:highlight w:val="none"/>
        </w:rPr>
        <w:t>总承包人与其他单位存在作业交叉时，总承包人必须与其他单位签订《安全生产管理协议》，并履行自身安全生产管理责任。上述其他单位包括但不限于下列单位：毗邻本工程的本项目其他标段的施工单位，毗邻本工程的道路等红线外施工单位，毗邻本工程的其他房屋市政工程施工单位。</w:t>
      </w:r>
    </w:p>
    <w:p>
      <w:pPr>
        <w:pStyle w:val="3"/>
        <w:bidi w:val="0"/>
        <w:rPr>
          <w:color w:val="auto"/>
          <w:highlight w:val="none"/>
        </w:rPr>
      </w:pPr>
      <w:bookmarkStart w:id="1082" w:name="_Toc169722252"/>
      <w:bookmarkStart w:id="1083" w:name="_Toc9970"/>
      <w:bookmarkStart w:id="1084" w:name="_Toc14353"/>
      <w:bookmarkStart w:id="1085" w:name="_Toc30882"/>
      <w:bookmarkStart w:id="1086" w:name="_Toc27861"/>
      <w:bookmarkStart w:id="1087" w:name="_Toc11596"/>
      <w:bookmarkStart w:id="1088" w:name="_Toc10745"/>
      <w:bookmarkStart w:id="1089" w:name="_Toc11039"/>
      <w:bookmarkStart w:id="1090" w:name="_Toc18277"/>
      <w:bookmarkStart w:id="1091" w:name="_Toc19052"/>
      <w:bookmarkStart w:id="1092" w:name="_Toc4757"/>
      <w:bookmarkStart w:id="1093" w:name="_Toc32461"/>
      <w:r>
        <w:rPr>
          <w:rFonts w:hint="eastAsia"/>
          <w:color w:val="auto"/>
          <w:highlight w:val="none"/>
        </w:rPr>
        <w:t>安全</w:t>
      </w:r>
      <w:r>
        <w:rPr>
          <w:color w:val="auto"/>
          <w:highlight w:val="none"/>
        </w:rPr>
        <w:t>生产费用</w:t>
      </w:r>
      <w:r>
        <w:rPr>
          <w:rFonts w:hint="eastAsia"/>
          <w:color w:val="auto"/>
          <w:highlight w:val="none"/>
        </w:rPr>
        <w:t>管理</w:t>
      </w:r>
      <w:bookmarkEnd w:id="1082"/>
      <w:bookmarkEnd w:id="1083"/>
      <w:bookmarkEnd w:id="1084"/>
      <w:bookmarkEnd w:id="1085"/>
      <w:bookmarkEnd w:id="1086"/>
      <w:bookmarkEnd w:id="1087"/>
      <w:bookmarkEnd w:id="1088"/>
      <w:bookmarkEnd w:id="1089"/>
      <w:bookmarkEnd w:id="1090"/>
      <w:bookmarkEnd w:id="1091"/>
      <w:bookmarkEnd w:id="1092"/>
      <w:bookmarkEnd w:id="1093"/>
    </w:p>
    <w:p>
      <w:pPr>
        <w:pStyle w:val="4"/>
        <w:bidi w:val="0"/>
        <w:rPr>
          <w:color w:val="auto"/>
          <w:highlight w:val="none"/>
        </w:rPr>
      </w:pPr>
      <w:r>
        <w:rPr>
          <w:rFonts w:hint="eastAsia"/>
          <w:color w:val="auto"/>
          <w:highlight w:val="none"/>
        </w:rPr>
        <w:t>费用报价与组成</w:t>
      </w:r>
    </w:p>
    <w:p>
      <w:pPr>
        <w:pStyle w:val="5"/>
        <w:bidi w:val="0"/>
        <w:ind w:left="253"/>
        <w:rPr>
          <w:color w:val="auto"/>
          <w:highlight w:val="none"/>
        </w:rPr>
      </w:pPr>
      <w:r>
        <w:rPr>
          <w:rFonts w:hint="eastAsia"/>
          <w:color w:val="auto"/>
          <w:highlight w:val="none"/>
        </w:rPr>
        <w:t>总承包人必须按照国家及当地有关安全文明施工措施费的规定。</w:t>
      </w:r>
    </w:p>
    <w:p>
      <w:pPr>
        <w:pStyle w:val="5"/>
        <w:bidi w:val="0"/>
        <w:ind w:left="253"/>
        <w:rPr>
          <w:color w:val="auto"/>
          <w:highlight w:val="none"/>
        </w:rPr>
      </w:pPr>
      <w:r>
        <w:rPr>
          <w:rFonts w:hint="eastAsia"/>
          <w:color w:val="auto"/>
          <w:highlight w:val="none"/>
        </w:rPr>
        <w:t>总承包人项目安全生产费用应当用于以下支出：</w:t>
      </w:r>
    </w:p>
    <w:p>
      <w:pPr>
        <w:numPr>
          <w:ilvl w:val="0"/>
          <w:numId w:val="163"/>
        </w:numPr>
        <w:bidi w:val="0"/>
        <w:ind w:left="80" w:leftChars="0"/>
        <w:rPr>
          <w:color w:val="auto"/>
          <w:highlight w:val="none"/>
        </w:rPr>
      </w:pPr>
      <w:r>
        <w:rPr>
          <w:rFonts w:hint="eastAsia"/>
          <w:color w:val="auto"/>
          <w:highlight w:val="none"/>
        </w:rPr>
        <w:t>完善、改造和维护安全防护设施设备支出（不含“三同时”要求初期投入的安全设施），包括施工现场临时用电系统、洞口或临边防护、高处作业或交叉作业防护、临时安全防护、支护及防治边坡滑坡、工程有害气体监测和通风、保障安全的机械设备、防火、防爆、防触电、防尘、防毒、防雷、防台风、防地质灾害等设施设备支出；</w:t>
      </w:r>
    </w:p>
    <w:p>
      <w:pPr>
        <w:numPr>
          <w:ilvl w:val="0"/>
          <w:numId w:val="163"/>
        </w:numPr>
        <w:bidi w:val="0"/>
        <w:ind w:left="80" w:leftChars="0"/>
        <w:rPr>
          <w:color w:val="auto"/>
          <w:highlight w:val="none"/>
        </w:rPr>
      </w:pPr>
      <w:r>
        <w:rPr>
          <w:rFonts w:hint="eastAsia"/>
          <w:color w:val="auto"/>
          <w:highlight w:val="none"/>
        </w:rPr>
        <w:t>应急救援技术装备、设施配置及维护保养支出，事故逃生和紧急避难设施设备的配置和应急救援队伍建设、应急预案制修订与应急演练支出；</w:t>
      </w:r>
    </w:p>
    <w:p>
      <w:pPr>
        <w:numPr>
          <w:ilvl w:val="0"/>
          <w:numId w:val="163"/>
        </w:numPr>
        <w:bidi w:val="0"/>
        <w:ind w:left="80" w:leftChars="0"/>
        <w:rPr>
          <w:color w:val="auto"/>
          <w:highlight w:val="none"/>
        </w:rPr>
      </w:pPr>
      <w:r>
        <w:rPr>
          <w:rFonts w:hint="eastAsia"/>
          <w:color w:val="auto"/>
          <w:highlight w:val="none"/>
        </w:rPr>
        <w:t>开展施工现场重大危险源检测、评估、监控支出，安全风险分级管控和事故隐患排查整改支出，工程项目安全生产信息化建设、运维和网络安全支出；</w:t>
      </w:r>
    </w:p>
    <w:p>
      <w:pPr>
        <w:numPr>
          <w:ilvl w:val="0"/>
          <w:numId w:val="163"/>
        </w:numPr>
        <w:bidi w:val="0"/>
        <w:ind w:left="80" w:leftChars="0"/>
        <w:rPr>
          <w:color w:val="auto"/>
          <w:highlight w:val="none"/>
        </w:rPr>
      </w:pPr>
      <w:r>
        <w:rPr>
          <w:rFonts w:hint="eastAsia"/>
          <w:color w:val="auto"/>
          <w:highlight w:val="none"/>
        </w:rPr>
        <w:t>安全生产检查、评估评价、咨询和标准化建设支出；</w:t>
      </w:r>
    </w:p>
    <w:p>
      <w:pPr>
        <w:numPr>
          <w:ilvl w:val="0"/>
          <w:numId w:val="163"/>
        </w:numPr>
        <w:bidi w:val="0"/>
        <w:ind w:left="80" w:leftChars="0"/>
        <w:rPr>
          <w:color w:val="auto"/>
          <w:highlight w:val="none"/>
        </w:rPr>
      </w:pPr>
      <w:r>
        <w:rPr>
          <w:rFonts w:hint="eastAsia"/>
          <w:color w:val="auto"/>
          <w:highlight w:val="none"/>
        </w:rPr>
        <w:t>配备和更新现场作业人员安全防护用品支出；</w:t>
      </w:r>
    </w:p>
    <w:p>
      <w:pPr>
        <w:numPr>
          <w:ilvl w:val="0"/>
          <w:numId w:val="163"/>
        </w:numPr>
        <w:bidi w:val="0"/>
        <w:ind w:left="80" w:leftChars="0"/>
        <w:rPr>
          <w:color w:val="auto"/>
          <w:highlight w:val="none"/>
        </w:rPr>
      </w:pPr>
      <w:r>
        <w:rPr>
          <w:rFonts w:hint="eastAsia"/>
          <w:color w:val="auto"/>
          <w:highlight w:val="none"/>
        </w:rPr>
        <w:t>安全生产宣传、教育、培训和从业人员发现并报告事故隐患的奖励支出；</w:t>
      </w:r>
    </w:p>
    <w:p>
      <w:pPr>
        <w:numPr>
          <w:ilvl w:val="0"/>
          <w:numId w:val="163"/>
        </w:numPr>
        <w:bidi w:val="0"/>
        <w:ind w:left="80" w:leftChars="0"/>
        <w:rPr>
          <w:color w:val="auto"/>
          <w:highlight w:val="none"/>
        </w:rPr>
      </w:pPr>
      <w:r>
        <w:rPr>
          <w:rFonts w:hint="eastAsia"/>
          <w:color w:val="auto"/>
          <w:highlight w:val="none"/>
        </w:rPr>
        <w:t>安全生产适用的新技术、新标准、新工艺、新装备的推广应用支出；</w:t>
      </w:r>
    </w:p>
    <w:p>
      <w:pPr>
        <w:numPr>
          <w:ilvl w:val="0"/>
          <w:numId w:val="163"/>
        </w:numPr>
        <w:bidi w:val="0"/>
        <w:ind w:left="80" w:leftChars="0"/>
        <w:rPr>
          <w:color w:val="auto"/>
          <w:highlight w:val="none"/>
        </w:rPr>
      </w:pPr>
      <w:r>
        <w:rPr>
          <w:rFonts w:hint="eastAsia"/>
          <w:color w:val="auto"/>
          <w:highlight w:val="none"/>
        </w:rPr>
        <w:t>安全设施及特种设备检测检验、检定校准支出；</w:t>
      </w:r>
    </w:p>
    <w:p>
      <w:pPr>
        <w:numPr>
          <w:ilvl w:val="0"/>
          <w:numId w:val="163"/>
        </w:numPr>
        <w:bidi w:val="0"/>
        <w:ind w:left="80" w:leftChars="0"/>
        <w:rPr>
          <w:color w:val="auto"/>
          <w:highlight w:val="none"/>
        </w:rPr>
      </w:pPr>
      <w:r>
        <w:rPr>
          <w:rFonts w:hint="eastAsia"/>
          <w:color w:val="auto"/>
          <w:highlight w:val="none"/>
        </w:rPr>
        <w:t>安全生产责任保险支出；</w:t>
      </w:r>
    </w:p>
    <w:p>
      <w:pPr>
        <w:numPr>
          <w:ilvl w:val="0"/>
          <w:numId w:val="163"/>
        </w:numPr>
        <w:bidi w:val="0"/>
        <w:ind w:left="80" w:leftChars="0"/>
        <w:rPr>
          <w:color w:val="auto"/>
          <w:highlight w:val="none"/>
        </w:rPr>
      </w:pPr>
      <w:r>
        <w:rPr>
          <w:rFonts w:hint="eastAsia"/>
          <w:color w:val="auto"/>
          <w:highlight w:val="none"/>
        </w:rPr>
        <w:t>与安全生产直接相关的其他支出。</w:t>
      </w:r>
    </w:p>
    <w:p>
      <w:pPr>
        <w:pStyle w:val="4"/>
        <w:bidi w:val="0"/>
        <w:rPr>
          <w:color w:val="auto"/>
          <w:highlight w:val="none"/>
        </w:rPr>
      </w:pPr>
      <w:r>
        <w:rPr>
          <w:rFonts w:hint="eastAsia"/>
          <w:color w:val="auto"/>
          <w:highlight w:val="none"/>
        </w:rPr>
        <w:t>费用</w:t>
      </w:r>
      <w:r>
        <w:rPr>
          <w:color w:val="auto"/>
          <w:highlight w:val="none"/>
        </w:rPr>
        <w:t>管理</w:t>
      </w:r>
    </w:p>
    <w:p>
      <w:pPr>
        <w:pStyle w:val="5"/>
        <w:bidi w:val="0"/>
        <w:rPr>
          <w:color w:val="auto"/>
          <w:highlight w:val="none"/>
        </w:rPr>
      </w:pPr>
      <w:r>
        <w:rPr>
          <w:rFonts w:hint="eastAsia"/>
          <w:color w:val="auto"/>
          <w:highlight w:val="none"/>
          <w:lang w:eastAsia="zh-CN"/>
        </w:rPr>
        <w:t>开工前，承包人应制定安全文明施工方案及年度安全文明措施费投入计划，安全文明措施费必须按照工程进度及合同条款要求足额投入，监理单位和发包人定期组织现场验收。承包人须定期上报安全文明措施费使用情况，并提供有效证明材料，上报监理单位及发包人审核。承包人在施工过程中必须严格执行安全文明施工方案，安全防护、文明施工的内容按承包人向发包人提交且经发包人批准的详细的施工组织设计实施，包括且不限于施工的安全设施、机具以及围网、护栏、高压线防护、管线防护、临边防护、涉铁涉路防护、施工通道等，全部按发包人或产权单位的要求统一标准、统一标识。所需安全防护、文明施工措施费必须专款专用，严禁挪用，一经发现，根据合同约定处理。</w:t>
      </w:r>
    </w:p>
    <w:p>
      <w:pPr>
        <w:pStyle w:val="5"/>
        <w:bidi w:val="0"/>
        <w:rPr>
          <w:color w:val="auto"/>
          <w:highlight w:val="none"/>
        </w:rPr>
      </w:pPr>
      <w:r>
        <w:rPr>
          <w:rFonts w:hint="eastAsia"/>
          <w:color w:val="auto"/>
          <w:highlight w:val="none"/>
        </w:rPr>
        <w:t>总承包人必须建立健全安全生产费用管理制度，建立专项安全生产费用使用台账，每月报监理人审查。</w:t>
      </w:r>
    </w:p>
    <w:p>
      <w:pPr>
        <w:pStyle w:val="5"/>
        <w:bidi w:val="0"/>
        <w:rPr>
          <w:color w:val="auto"/>
          <w:highlight w:val="none"/>
        </w:rPr>
      </w:pPr>
      <w:r>
        <w:rPr>
          <w:rFonts w:hint="eastAsia"/>
          <w:color w:val="auto"/>
          <w:highlight w:val="none"/>
        </w:rPr>
        <w:t>总承包人未按规范要求、合同约定及发包人安全规定落实安全文明施工措施的，发包人有权对该部分安全生产费用予以追缴，并责令总承包人限期整改。</w:t>
      </w:r>
    </w:p>
    <w:p>
      <w:pPr>
        <w:pStyle w:val="5"/>
        <w:bidi w:val="0"/>
        <w:rPr>
          <w:color w:val="auto"/>
          <w:highlight w:val="none"/>
        </w:rPr>
      </w:pPr>
      <w:r>
        <w:rPr>
          <w:rFonts w:hint="eastAsia"/>
          <w:color w:val="auto"/>
          <w:highlight w:val="none"/>
        </w:rPr>
        <w:t>总承包人在安全生产费用使用管理中存在挪用、克扣、滥用或虚报等违规行为时，发包人将对总承包人进行相应处罚。因总承包人安全生产费用管理不善导致的任何不良后果，承包人承担全部责任。</w:t>
      </w:r>
    </w:p>
    <w:p>
      <w:pPr>
        <w:pStyle w:val="5"/>
        <w:bidi w:val="0"/>
        <w:rPr>
          <w:color w:val="auto"/>
          <w:highlight w:val="none"/>
        </w:rPr>
      </w:pPr>
      <w:r>
        <w:rPr>
          <w:rFonts w:hint="eastAsia"/>
          <w:color w:val="auto"/>
          <w:highlight w:val="none"/>
        </w:rPr>
        <w:t>总承包人必须按合同约定及有关规定及时向</w:t>
      </w:r>
      <w:r>
        <w:rPr>
          <w:rFonts w:hint="eastAsia"/>
          <w:color w:val="auto"/>
          <w:highlight w:val="none"/>
          <w:lang w:eastAsia="zh-CN"/>
        </w:rPr>
        <w:t>专业承包</w:t>
      </w:r>
      <w:r>
        <w:rPr>
          <w:rFonts w:hint="eastAsia"/>
          <w:color w:val="auto"/>
          <w:highlight w:val="none"/>
        </w:rPr>
        <w:t>人支付安全生产费用，并监督、核查</w:t>
      </w:r>
      <w:r>
        <w:rPr>
          <w:rFonts w:hint="eastAsia"/>
          <w:color w:val="auto"/>
          <w:highlight w:val="none"/>
          <w:lang w:eastAsia="zh-CN"/>
        </w:rPr>
        <w:t>专业承包</w:t>
      </w:r>
      <w:r>
        <w:rPr>
          <w:rFonts w:hint="eastAsia"/>
          <w:color w:val="auto"/>
          <w:highlight w:val="none"/>
        </w:rPr>
        <w:t>人安全文明施工措施落实情况，保障安全生产费用足额使用。</w:t>
      </w:r>
    </w:p>
    <w:p>
      <w:pPr>
        <w:pStyle w:val="3"/>
        <w:bidi w:val="0"/>
        <w:rPr>
          <w:color w:val="auto"/>
          <w:highlight w:val="none"/>
          <w:lang w:eastAsia="zh-CN"/>
        </w:rPr>
      </w:pPr>
      <w:bookmarkStart w:id="1094" w:name="_Toc3454"/>
      <w:bookmarkStart w:id="1095" w:name="_Toc6380"/>
      <w:bookmarkStart w:id="1096" w:name="_Toc11109"/>
      <w:bookmarkStart w:id="1097" w:name="_Toc16953"/>
      <w:bookmarkStart w:id="1098" w:name="_Toc26419"/>
      <w:bookmarkStart w:id="1099" w:name="_Toc21701"/>
      <w:bookmarkStart w:id="1100" w:name="_Toc28921"/>
      <w:bookmarkStart w:id="1101" w:name="_Toc21692"/>
      <w:bookmarkStart w:id="1102" w:name="_Toc15953"/>
      <w:bookmarkStart w:id="1103" w:name="_Toc15716"/>
      <w:bookmarkStart w:id="1104" w:name="_Toc9004"/>
      <w:bookmarkStart w:id="1105" w:name="_Toc10522"/>
      <w:bookmarkStart w:id="1106" w:name="_Toc169722253"/>
      <w:r>
        <w:rPr>
          <w:rFonts w:hint="eastAsia"/>
          <w:color w:val="auto"/>
          <w:highlight w:val="none"/>
          <w:lang w:eastAsia="zh-CN"/>
        </w:rPr>
        <w:t>危险性较大工程的安全管理</w:t>
      </w:r>
      <w:bookmarkEnd w:id="1094"/>
      <w:bookmarkEnd w:id="1095"/>
      <w:bookmarkEnd w:id="1096"/>
      <w:bookmarkEnd w:id="1097"/>
      <w:bookmarkEnd w:id="1098"/>
      <w:bookmarkEnd w:id="1099"/>
      <w:bookmarkEnd w:id="1100"/>
      <w:bookmarkEnd w:id="1101"/>
      <w:bookmarkEnd w:id="1102"/>
      <w:bookmarkEnd w:id="1103"/>
      <w:bookmarkEnd w:id="1104"/>
      <w:bookmarkEnd w:id="1105"/>
    </w:p>
    <w:p>
      <w:pPr>
        <w:bidi w:val="0"/>
        <w:rPr>
          <w:color w:val="auto"/>
          <w:highlight w:val="none"/>
          <w:lang w:eastAsia="zh-CN"/>
        </w:rPr>
      </w:pPr>
      <w:r>
        <w:rPr>
          <w:rFonts w:hint="eastAsia"/>
          <w:color w:val="auto"/>
          <w:highlight w:val="none"/>
          <w:lang w:eastAsia="zh-CN"/>
        </w:rPr>
        <w:t>危险性较大的分部分项工程《危险性较大的分部分项工程安全管理规定》(中华人民共和国住房和城乡建设部令第37号)等文规定执行。本工程可能涉及的危大工程包括但不限于下表所列内容，承包人应根据现场实际和国家及广东省要求及时完善补充。</w:t>
      </w:r>
    </w:p>
    <w:p>
      <w:pPr>
        <w:jc w:val="both"/>
        <w:rPr>
          <w:rFonts w:ascii="宋体" w:hAnsi="宋体" w:eastAsia="宋体" w:cs="宋体"/>
          <w:color w:val="auto"/>
          <w:spacing w:val="-4"/>
          <w:sz w:val="22"/>
          <w:szCs w:val="22"/>
          <w:highlight w:val="none"/>
          <w:lang w:eastAsia="zh-CN" w:bidi="ar"/>
        </w:rPr>
      </w:pPr>
    </w:p>
    <w:tbl>
      <w:tblPr>
        <w:tblStyle w:val="2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95"/>
        <w:gridCol w:w="6306"/>
        <w:gridCol w:w="19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3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12"/>
              <w:bidi w:val="0"/>
              <w:jc w:val="center"/>
              <w:rPr>
                <w:b/>
                <w:bCs/>
                <w:color w:val="auto"/>
                <w:highlight w:val="none"/>
                <w:lang w:eastAsia="zh-CN"/>
              </w:rPr>
            </w:pPr>
            <w:r>
              <w:rPr>
                <w:rFonts w:hint="eastAsia"/>
                <w:b/>
                <w:bCs/>
                <w:color w:val="auto"/>
                <w:highlight w:val="none"/>
                <w:lang w:eastAsia="zh-CN"/>
              </w:rPr>
              <w:t>序号</w:t>
            </w:r>
          </w:p>
        </w:tc>
        <w:tc>
          <w:tcPr>
            <w:tcW w:w="339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12"/>
              <w:bidi w:val="0"/>
              <w:jc w:val="center"/>
              <w:rPr>
                <w:b/>
                <w:bCs/>
                <w:color w:val="auto"/>
                <w:highlight w:val="none"/>
                <w:lang w:eastAsia="zh-CN"/>
              </w:rPr>
            </w:pPr>
            <w:r>
              <w:rPr>
                <w:rFonts w:hint="eastAsia"/>
                <w:b/>
                <w:bCs/>
                <w:color w:val="auto"/>
                <w:highlight w:val="none"/>
                <w:lang w:eastAsia="zh-CN"/>
              </w:rPr>
              <w:t>危险性较大的分部分项工程名称</w:t>
            </w:r>
          </w:p>
        </w:tc>
        <w:tc>
          <w:tcPr>
            <w:tcW w:w="107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12"/>
              <w:bidi w:val="0"/>
              <w:jc w:val="center"/>
              <w:rPr>
                <w:b/>
                <w:bCs/>
                <w:color w:val="auto"/>
                <w:highlight w:val="none"/>
                <w:lang w:eastAsia="zh-CN"/>
              </w:rPr>
            </w:pPr>
            <w:r>
              <w:rPr>
                <w:rFonts w:hint="eastAsia"/>
                <w:b/>
                <w:bCs/>
                <w:color w:val="auto"/>
                <w:highlight w:val="none"/>
                <w:lang w:eastAsia="zh-CN"/>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12"/>
              <w:bidi w:val="0"/>
              <w:jc w:val="center"/>
              <w:rPr>
                <w:color w:val="auto"/>
                <w:highlight w:val="none"/>
                <w:lang w:eastAsia="zh-CN"/>
              </w:rPr>
            </w:pPr>
            <w:r>
              <w:rPr>
                <w:rFonts w:hint="eastAsia"/>
                <w:color w:val="auto"/>
                <w:highlight w:val="none"/>
                <w:lang w:eastAsia="zh-CN"/>
              </w:rPr>
              <w:t>1</w:t>
            </w:r>
          </w:p>
        </w:tc>
        <w:tc>
          <w:tcPr>
            <w:tcW w:w="339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12"/>
              <w:bidi w:val="0"/>
              <w:jc w:val="center"/>
              <w:rPr>
                <w:color w:val="auto"/>
                <w:highlight w:val="none"/>
                <w:lang w:eastAsia="zh-CN"/>
              </w:rPr>
            </w:pPr>
            <w:r>
              <w:rPr>
                <w:rFonts w:hint="eastAsia"/>
                <w:color w:val="auto"/>
                <w:highlight w:val="none"/>
                <w:lang w:eastAsia="zh-CN"/>
              </w:rPr>
              <w:t>基坑工程（支撑拆除、基坑回填）</w:t>
            </w:r>
          </w:p>
        </w:tc>
        <w:tc>
          <w:tcPr>
            <w:tcW w:w="107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12"/>
              <w:bidi w:val="0"/>
              <w:jc w:val="center"/>
              <w:rPr>
                <w:color w:val="auto"/>
                <w:highlight w:val="none"/>
                <w:lang w:eastAsia="zh-CN"/>
              </w:rPr>
            </w:pPr>
            <w:r>
              <w:rPr>
                <w:rFonts w:hint="eastAsia"/>
                <w:color w:val="auto"/>
                <w:highlight w:val="none"/>
                <w:lang w:eastAsia="zh-CN"/>
              </w:rPr>
              <w:t>可能涉及超危大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3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12"/>
              <w:bidi w:val="0"/>
              <w:jc w:val="center"/>
              <w:rPr>
                <w:color w:val="auto"/>
                <w:highlight w:val="none"/>
                <w:lang w:eastAsia="zh-CN"/>
              </w:rPr>
            </w:pPr>
            <w:r>
              <w:rPr>
                <w:rFonts w:hint="eastAsia"/>
                <w:color w:val="auto"/>
                <w:highlight w:val="none"/>
                <w:lang w:eastAsia="zh-CN"/>
              </w:rPr>
              <w:t>2</w:t>
            </w:r>
          </w:p>
        </w:tc>
        <w:tc>
          <w:tcPr>
            <w:tcW w:w="339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12"/>
              <w:bidi w:val="0"/>
              <w:jc w:val="center"/>
              <w:rPr>
                <w:color w:val="auto"/>
                <w:highlight w:val="none"/>
                <w:lang w:eastAsia="zh-CN"/>
              </w:rPr>
            </w:pPr>
            <w:r>
              <w:rPr>
                <w:rFonts w:hint="eastAsia"/>
                <w:color w:val="auto"/>
                <w:highlight w:val="none"/>
                <w:lang w:eastAsia="zh-CN"/>
              </w:rPr>
              <w:t>模板工程及支撑体系</w:t>
            </w:r>
          </w:p>
        </w:tc>
        <w:tc>
          <w:tcPr>
            <w:tcW w:w="107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12"/>
              <w:bidi w:val="0"/>
              <w:jc w:val="center"/>
              <w:rPr>
                <w:color w:val="auto"/>
                <w:highlight w:val="none"/>
                <w:lang w:eastAsia="zh-CN"/>
              </w:rPr>
            </w:pPr>
            <w:r>
              <w:rPr>
                <w:rFonts w:hint="eastAsia"/>
                <w:color w:val="auto"/>
                <w:highlight w:val="none"/>
                <w:lang w:eastAsia="zh-CN"/>
              </w:rPr>
              <w:t>可能涉及超危大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12"/>
              <w:bidi w:val="0"/>
              <w:jc w:val="center"/>
              <w:rPr>
                <w:color w:val="auto"/>
                <w:highlight w:val="none"/>
                <w:lang w:eastAsia="zh-CN"/>
              </w:rPr>
            </w:pPr>
            <w:r>
              <w:rPr>
                <w:rFonts w:hint="eastAsia"/>
                <w:color w:val="auto"/>
                <w:highlight w:val="none"/>
                <w:lang w:eastAsia="zh-CN"/>
              </w:rPr>
              <w:t>3</w:t>
            </w:r>
          </w:p>
        </w:tc>
        <w:tc>
          <w:tcPr>
            <w:tcW w:w="339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12"/>
              <w:bidi w:val="0"/>
              <w:jc w:val="center"/>
              <w:rPr>
                <w:color w:val="auto"/>
                <w:highlight w:val="none"/>
                <w:lang w:eastAsia="zh-CN"/>
              </w:rPr>
            </w:pPr>
            <w:r>
              <w:rPr>
                <w:rFonts w:hint="eastAsia"/>
                <w:color w:val="auto"/>
                <w:highlight w:val="none"/>
                <w:lang w:eastAsia="zh-CN"/>
              </w:rPr>
              <w:t>起重吊装及起重机械安装拆卸工程（起重机械安装/拆除工程、非常规起重、超重起重吊装）</w:t>
            </w:r>
          </w:p>
        </w:tc>
        <w:tc>
          <w:tcPr>
            <w:tcW w:w="107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12"/>
              <w:bidi w:val="0"/>
              <w:jc w:val="center"/>
              <w:rPr>
                <w:color w:val="auto"/>
                <w:highlight w:val="none"/>
                <w:lang w:eastAsia="zh-CN"/>
              </w:rPr>
            </w:pPr>
            <w:r>
              <w:rPr>
                <w:rFonts w:hint="eastAsia"/>
                <w:color w:val="auto"/>
                <w:highlight w:val="none"/>
                <w:lang w:eastAsia="zh-CN"/>
              </w:rPr>
              <w:t>可能涉及超危大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12"/>
              <w:bidi w:val="0"/>
              <w:jc w:val="center"/>
              <w:rPr>
                <w:color w:val="auto"/>
                <w:highlight w:val="none"/>
                <w:lang w:eastAsia="zh-CN"/>
              </w:rPr>
            </w:pPr>
            <w:r>
              <w:rPr>
                <w:rFonts w:hint="eastAsia"/>
                <w:color w:val="auto"/>
                <w:highlight w:val="none"/>
                <w:lang w:eastAsia="zh-CN"/>
              </w:rPr>
              <w:t>4</w:t>
            </w:r>
          </w:p>
        </w:tc>
        <w:tc>
          <w:tcPr>
            <w:tcW w:w="339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12"/>
              <w:bidi w:val="0"/>
              <w:jc w:val="center"/>
              <w:rPr>
                <w:color w:val="auto"/>
                <w:highlight w:val="none"/>
                <w:lang w:eastAsia="zh-CN"/>
              </w:rPr>
            </w:pPr>
            <w:r>
              <w:rPr>
                <w:rFonts w:hint="eastAsia"/>
                <w:color w:val="auto"/>
                <w:highlight w:val="none"/>
                <w:lang w:eastAsia="zh-CN"/>
              </w:rPr>
              <w:t>脚手架工程（附着式脚手架、吊篮、悬挑式脚手架、落地式脚手架等）</w:t>
            </w:r>
          </w:p>
        </w:tc>
        <w:tc>
          <w:tcPr>
            <w:tcW w:w="107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12"/>
              <w:bidi w:val="0"/>
              <w:jc w:val="center"/>
              <w:rPr>
                <w:color w:val="auto"/>
                <w:highlight w:val="none"/>
                <w:lang w:eastAsia="zh-CN"/>
              </w:rPr>
            </w:pPr>
            <w:r>
              <w:rPr>
                <w:rFonts w:hint="eastAsia"/>
                <w:color w:val="auto"/>
                <w:highlight w:val="none"/>
                <w:lang w:eastAsia="zh-CN"/>
              </w:rPr>
              <w:t>可能涉及超危大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12"/>
              <w:bidi w:val="0"/>
              <w:jc w:val="center"/>
              <w:rPr>
                <w:color w:val="auto"/>
                <w:highlight w:val="none"/>
                <w:lang w:eastAsia="zh-CN"/>
              </w:rPr>
            </w:pPr>
            <w:r>
              <w:rPr>
                <w:rFonts w:hint="eastAsia"/>
                <w:color w:val="auto"/>
                <w:highlight w:val="none"/>
                <w:lang w:val="en-US" w:eastAsia="zh-CN"/>
              </w:rPr>
              <w:t>5</w:t>
            </w:r>
          </w:p>
        </w:tc>
        <w:tc>
          <w:tcPr>
            <w:tcW w:w="339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12"/>
              <w:bidi w:val="0"/>
              <w:jc w:val="center"/>
              <w:rPr>
                <w:color w:val="auto"/>
                <w:highlight w:val="none"/>
                <w:lang w:eastAsia="zh-CN"/>
              </w:rPr>
            </w:pPr>
            <w:r>
              <w:rPr>
                <w:rFonts w:hint="eastAsia"/>
                <w:color w:val="auto"/>
                <w:highlight w:val="none"/>
                <w:lang w:eastAsia="zh-CN"/>
              </w:rPr>
              <w:t>装配式建筑混凝土预制构件安装工程</w:t>
            </w:r>
          </w:p>
        </w:tc>
        <w:tc>
          <w:tcPr>
            <w:tcW w:w="107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12"/>
              <w:bidi w:val="0"/>
              <w:jc w:val="center"/>
              <w:rPr>
                <w:color w:val="auto"/>
                <w:highlight w:val="no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12"/>
              <w:bidi w:val="0"/>
              <w:jc w:val="center"/>
              <w:rPr>
                <w:color w:val="auto"/>
                <w:highlight w:val="none"/>
                <w:lang w:eastAsia="zh-CN"/>
              </w:rPr>
            </w:pPr>
            <w:r>
              <w:rPr>
                <w:rFonts w:hint="eastAsia"/>
                <w:color w:val="auto"/>
                <w:highlight w:val="none"/>
                <w:lang w:val="en-US" w:eastAsia="zh-CN"/>
              </w:rPr>
              <w:t>6</w:t>
            </w:r>
          </w:p>
        </w:tc>
        <w:tc>
          <w:tcPr>
            <w:tcW w:w="339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12"/>
              <w:bidi w:val="0"/>
              <w:jc w:val="center"/>
              <w:rPr>
                <w:color w:val="auto"/>
                <w:highlight w:val="none"/>
                <w:lang w:eastAsia="zh-CN"/>
              </w:rPr>
            </w:pPr>
            <w:r>
              <w:rPr>
                <w:rFonts w:hint="eastAsia"/>
                <w:color w:val="auto"/>
                <w:highlight w:val="none"/>
                <w:lang w:eastAsia="zh-CN"/>
              </w:rPr>
              <w:t>采用新技术、新工艺、新材料、新设备可能影响工程施工安全，尚无国家、行业及地方技术标准的分部分项工程</w:t>
            </w:r>
          </w:p>
        </w:tc>
        <w:tc>
          <w:tcPr>
            <w:tcW w:w="107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12"/>
              <w:bidi w:val="0"/>
              <w:jc w:val="center"/>
              <w:rPr>
                <w:color w:val="auto"/>
                <w:highlight w:val="none"/>
                <w:lang w:eastAsia="zh-CN"/>
              </w:rPr>
            </w:pPr>
          </w:p>
        </w:tc>
      </w:tr>
    </w:tbl>
    <w:p>
      <w:pPr>
        <w:bidi w:val="0"/>
        <w:rPr>
          <w:color w:val="auto"/>
          <w:highlight w:val="none"/>
          <w:lang w:eastAsia="zh-CN"/>
        </w:rPr>
      </w:pPr>
      <w:r>
        <w:rPr>
          <w:rFonts w:hint="eastAsia"/>
          <w:color w:val="auto"/>
          <w:highlight w:val="none"/>
          <w:lang w:eastAsia="zh-CN"/>
        </w:rPr>
        <w:t>危险性较大的分部分项工程施工前必须按照规定编制专项施工方案，对于超过一定规模的危险性较大的分部分项工程，除编制专项施工方案外承包人还应按照规定及时组织专家论证，相关专家应选用自政府、行业协会或发包人的专家库。承包人在动力设备、输电线路、地下管道、密封防震车间、易燃易爆地段以及临街交通要道附近施工时，施工开始前应向发包人和监理人提出安全防护措施，经发包人认可后实施。</w:t>
      </w:r>
    </w:p>
    <w:p>
      <w:pPr>
        <w:bidi w:val="0"/>
        <w:rPr>
          <w:color w:val="auto"/>
          <w:highlight w:val="none"/>
        </w:rPr>
      </w:pPr>
      <w:r>
        <w:rPr>
          <w:rFonts w:hint="eastAsia"/>
          <w:color w:val="auto"/>
          <w:highlight w:val="none"/>
          <w:lang w:eastAsia="zh-CN"/>
        </w:rPr>
        <w:t>实施爆破作业，在放射、毒害性环境中施工（含储存、运输、使用）及使用毒害性、腐蚀性物品施工时，承包人应在施工前7天以书面通知发包人和监理人，并报送相应的安全防护措施，经发包人认可后实施。</w:t>
      </w:r>
    </w:p>
    <w:bookmarkEnd w:id="1106"/>
    <w:p>
      <w:pPr>
        <w:pStyle w:val="3"/>
        <w:bidi w:val="0"/>
        <w:rPr>
          <w:color w:val="auto"/>
          <w:highlight w:val="none"/>
        </w:rPr>
      </w:pPr>
      <w:bookmarkStart w:id="1107" w:name="_Toc22450"/>
      <w:bookmarkStart w:id="1108" w:name="_Toc16783"/>
      <w:bookmarkStart w:id="1109" w:name="_Toc8710"/>
      <w:bookmarkStart w:id="1110" w:name="_Toc10495"/>
      <w:bookmarkStart w:id="1111" w:name="_Toc22543"/>
      <w:bookmarkStart w:id="1112" w:name="_Toc17104"/>
      <w:bookmarkStart w:id="1113" w:name="_Toc16477"/>
      <w:bookmarkStart w:id="1114" w:name="_Toc30015"/>
      <w:bookmarkStart w:id="1115" w:name="_Toc15266"/>
      <w:bookmarkStart w:id="1116" w:name="_Toc169722254"/>
      <w:bookmarkStart w:id="1117" w:name="_Toc7676"/>
      <w:bookmarkStart w:id="1118" w:name="_Toc16082"/>
      <w:r>
        <w:rPr>
          <w:rFonts w:hint="eastAsia"/>
          <w:color w:val="auto"/>
          <w:highlight w:val="none"/>
          <w:lang w:eastAsia="zh-CN"/>
        </w:rPr>
        <w:t>安全</w:t>
      </w:r>
      <w:r>
        <w:rPr>
          <w:rFonts w:hint="eastAsia"/>
          <w:color w:val="auto"/>
          <w:highlight w:val="none"/>
        </w:rPr>
        <w:t>教育培训管理</w:t>
      </w:r>
      <w:bookmarkEnd w:id="1107"/>
      <w:bookmarkEnd w:id="1108"/>
      <w:bookmarkEnd w:id="1109"/>
      <w:bookmarkEnd w:id="1110"/>
      <w:bookmarkEnd w:id="1111"/>
      <w:bookmarkEnd w:id="1112"/>
      <w:bookmarkEnd w:id="1113"/>
      <w:bookmarkEnd w:id="1114"/>
      <w:bookmarkEnd w:id="1115"/>
      <w:bookmarkEnd w:id="1116"/>
      <w:bookmarkEnd w:id="1117"/>
      <w:bookmarkEnd w:id="1118"/>
    </w:p>
    <w:p>
      <w:pPr>
        <w:pStyle w:val="4"/>
        <w:bidi w:val="0"/>
        <w:rPr>
          <w:color w:val="auto"/>
          <w:highlight w:val="none"/>
        </w:rPr>
      </w:pPr>
      <w:r>
        <w:rPr>
          <w:rFonts w:hint="eastAsia"/>
          <w:color w:val="auto"/>
          <w:highlight w:val="none"/>
        </w:rPr>
        <w:t>总承包人应建立年度</w:t>
      </w:r>
      <w:r>
        <w:rPr>
          <w:rFonts w:hint="eastAsia"/>
          <w:color w:val="auto"/>
          <w:highlight w:val="none"/>
          <w:lang w:eastAsia="zh-CN"/>
        </w:rPr>
        <w:t>安全</w:t>
      </w:r>
      <w:r>
        <w:rPr>
          <w:rFonts w:hint="eastAsia"/>
          <w:color w:val="auto"/>
          <w:highlight w:val="none"/>
        </w:rPr>
        <w:t>培训教育计划，并报监理审查。</w:t>
      </w:r>
    </w:p>
    <w:p>
      <w:pPr>
        <w:pStyle w:val="4"/>
        <w:bidi w:val="0"/>
        <w:rPr>
          <w:color w:val="auto"/>
          <w:highlight w:val="none"/>
        </w:rPr>
      </w:pPr>
      <w:r>
        <w:rPr>
          <w:rFonts w:hint="eastAsia"/>
          <w:color w:val="auto"/>
          <w:highlight w:val="none"/>
        </w:rPr>
        <w:t>总承包人应对本单位及</w:t>
      </w:r>
      <w:r>
        <w:rPr>
          <w:rFonts w:hint="eastAsia"/>
          <w:color w:val="auto"/>
          <w:highlight w:val="none"/>
          <w:lang w:eastAsia="zh-CN"/>
        </w:rPr>
        <w:t>专业承包</w:t>
      </w:r>
      <w:r>
        <w:rPr>
          <w:rFonts w:hint="eastAsia"/>
          <w:color w:val="auto"/>
          <w:highlight w:val="none"/>
        </w:rPr>
        <w:t>人的施工</w:t>
      </w:r>
      <w:bookmarkStart w:id="1119" w:name="_Hlk166187395"/>
      <w:r>
        <w:rPr>
          <w:rFonts w:hint="eastAsia"/>
          <w:color w:val="auto"/>
          <w:highlight w:val="none"/>
        </w:rPr>
        <w:t>现场管理人员，转岗、复岗人员，新入场人员，特种作业人员，一线工人等开展</w:t>
      </w:r>
      <w:r>
        <w:rPr>
          <w:rFonts w:hint="eastAsia"/>
          <w:color w:val="auto"/>
          <w:highlight w:val="none"/>
          <w:lang w:eastAsia="zh-CN"/>
        </w:rPr>
        <w:t>安全</w:t>
      </w:r>
      <w:r>
        <w:rPr>
          <w:rFonts w:hint="eastAsia"/>
          <w:color w:val="auto"/>
          <w:highlight w:val="none"/>
        </w:rPr>
        <w:t>培训教育或交底，</w:t>
      </w:r>
      <w:bookmarkEnd w:id="1119"/>
      <w:bookmarkStart w:id="1120" w:name="_Hlk166187448"/>
      <w:r>
        <w:rPr>
          <w:rFonts w:hint="eastAsia"/>
          <w:color w:val="auto"/>
          <w:highlight w:val="none"/>
        </w:rPr>
        <w:t>并确保培训教育效果，使从业人员安全意识、安全知识和技能与所从事的岗位、工作内容相适应。</w:t>
      </w:r>
      <w:bookmarkEnd w:id="1120"/>
    </w:p>
    <w:p>
      <w:pPr>
        <w:pStyle w:val="4"/>
        <w:bidi w:val="0"/>
        <w:rPr>
          <w:color w:val="auto"/>
          <w:highlight w:val="none"/>
        </w:rPr>
      </w:pPr>
      <w:r>
        <w:rPr>
          <w:rFonts w:hint="eastAsia"/>
          <w:color w:val="auto"/>
          <w:highlight w:val="none"/>
        </w:rPr>
        <w:t>总承包人</w:t>
      </w:r>
      <w:r>
        <w:rPr>
          <w:rFonts w:hint="eastAsia"/>
          <w:color w:val="auto"/>
          <w:highlight w:val="none"/>
          <w:lang w:eastAsia="zh-CN"/>
        </w:rPr>
        <w:t>安全</w:t>
      </w:r>
      <w:r>
        <w:rPr>
          <w:rFonts w:hint="eastAsia"/>
          <w:color w:val="auto"/>
          <w:highlight w:val="none"/>
        </w:rPr>
        <w:t>教育培训的内容、学时等应满足国家有关规定，并做好档案记录。</w:t>
      </w:r>
      <w:bookmarkStart w:id="1121" w:name="_Hlk166187512"/>
      <w:r>
        <w:rPr>
          <w:rFonts w:hint="eastAsia"/>
          <w:color w:val="auto"/>
          <w:highlight w:val="none"/>
        </w:rPr>
        <w:t>培训内容应包括环保、健康、安全生产管理与技术知识、安全常识、应急响应与处置措施等。培训形式包括但不限于：三级安全教育、专项安全培训教育（消防、用电、特种作业等）、转岗、复岗安全培训教育、早班会、自检操和反省屋等。</w:t>
      </w:r>
      <w:bookmarkEnd w:id="1121"/>
    </w:p>
    <w:p>
      <w:pPr>
        <w:pStyle w:val="3"/>
        <w:bidi w:val="0"/>
        <w:rPr>
          <w:color w:val="auto"/>
          <w:highlight w:val="none"/>
        </w:rPr>
      </w:pPr>
      <w:bookmarkStart w:id="1122" w:name="_Toc4871"/>
      <w:bookmarkStart w:id="1123" w:name="_Toc9796"/>
      <w:bookmarkStart w:id="1124" w:name="_Toc8670"/>
      <w:bookmarkStart w:id="1125" w:name="_Toc5409"/>
      <w:bookmarkStart w:id="1126" w:name="_Toc1421"/>
      <w:bookmarkStart w:id="1127" w:name="_Toc10656"/>
      <w:bookmarkStart w:id="1128" w:name="_Toc169722255"/>
      <w:bookmarkStart w:id="1129" w:name="_Toc4022"/>
      <w:bookmarkStart w:id="1130" w:name="_Toc752"/>
      <w:bookmarkStart w:id="1131" w:name="_Toc24553"/>
      <w:bookmarkStart w:id="1132" w:name="_Toc15688"/>
      <w:bookmarkStart w:id="1133" w:name="_Toc19672"/>
      <w:r>
        <w:rPr>
          <w:rFonts w:hint="eastAsia"/>
          <w:color w:val="auto"/>
          <w:highlight w:val="none"/>
        </w:rPr>
        <w:t>安全生产标准化与双重预防机制建设</w:t>
      </w:r>
      <w:bookmarkEnd w:id="1122"/>
      <w:bookmarkEnd w:id="1123"/>
      <w:bookmarkEnd w:id="1124"/>
      <w:bookmarkEnd w:id="1125"/>
      <w:bookmarkEnd w:id="1126"/>
      <w:bookmarkEnd w:id="1127"/>
      <w:bookmarkEnd w:id="1128"/>
      <w:bookmarkEnd w:id="1129"/>
      <w:bookmarkEnd w:id="1130"/>
      <w:bookmarkEnd w:id="1131"/>
      <w:bookmarkEnd w:id="1132"/>
      <w:bookmarkEnd w:id="1133"/>
    </w:p>
    <w:p>
      <w:pPr>
        <w:pStyle w:val="4"/>
        <w:bidi w:val="0"/>
        <w:rPr>
          <w:color w:val="auto"/>
          <w:highlight w:val="none"/>
        </w:rPr>
      </w:pPr>
      <w:r>
        <w:rPr>
          <w:rFonts w:hint="eastAsia"/>
          <w:color w:val="auto"/>
          <w:highlight w:val="none"/>
        </w:rPr>
        <w:t>按照国家《安全生产法》要求，总承包人应</w:t>
      </w:r>
      <w:bookmarkStart w:id="1134" w:name="_Hlk166187732"/>
      <w:r>
        <w:rPr>
          <w:rFonts w:hint="eastAsia"/>
          <w:color w:val="auto"/>
          <w:highlight w:val="none"/>
        </w:rPr>
        <w:t>加强安全生产标准化、信息化建设，</w:t>
      </w:r>
      <w:bookmarkEnd w:id="1134"/>
      <w:r>
        <w:rPr>
          <w:rFonts w:hint="eastAsia"/>
          <w:color w:val="auto"/>
          <w:highlight w:val="none"/>
        </w:rPr>
        <w:t>构建安全风险分级管控和隐患排查治理双重预防机制，提高安全生产水平，确保安全生产。</w:t>
      </w:r>
    </w:p>
    <w:p>
      <w:pPr>
        <w:pStyle w:val="4"/>
        <w:bidi w:val="0"/>
        <w:rPr>
          <w:color w:val="auto"/>
          <w:highlight w:val="none"/>
        </w:rPr>
      </w:pPr>
      <w:r>
        <w:rPr>
          <w:rFonts w:hint="eastAsia"/>
          <w:color w:val="auto"/>
          <w:highlight w:val="none"/>
        </w:rPr>
        <w:t>总承包人</w:t>
      </w:r>
      <w:bookmarkStart w:id="1135" w:name="_Hlk166187762"/>
      <w:r>
        <w:rPr>
          <w:rFonts w:hint="eastAsia"/>
          <w:color w:val="auto"/>
          <w:highlight w:val="none"/>
        </w:rPr>
        <w:t>开展安全标准化建设，应贯彻执行建筑施工安全法律法规和标准规范、，建立企业和项目安全生产责任制，制定安全管理制度和操作规程，监控危险性较大分部分项工程，排查治理安全生产隐患，使人、机、物、环始终处于安全状态，形成过程控制、持续改进的安全管理机制。</w:t>
      </w:r>
      <w:bookmarkEnd w:id="1135"/>
    </w:p>
    <w:p>
      <w:pPr>
        <w:pStyle w:val="4"/>
        <w:bidi w:val="0"/>
        <w:rPr>
          <w:color w:val="auto"/>
          <w:highlight w:val="none"/>
        </w:rPr>
      </w:pPr>
      <w:r>
        <w:rPr>
          <w:rFonts w:hint="eastAsia"/>
          <w:color w:val="auto"/>
          <w:highlight w:val="none"/>
        </w:rPr>
        <w:t>总承包人</w:t>
      </w:r>
      <w:bookmarkStart w:id="1136" w:name="_Hlk166187798"/>
      <w:r>
        <w:rPr>
          <w:rFonts w:hint="eastAsia"/>
          <w:color w:val="auto"/>
          <w:highlight w:val="none"/>
        </w:rPr>
        <w:t>应制定科学的安全风险辨识程序和方法，组织专家和技术人员，全方位、全过程辨识施工工艺、设备设施、作业环境、人员行为和管理体系等方面存在的安全风险。科学评定安全风险等级，绘制项目“红橙黄蓝”四色安全风险空间分布图。根据评估结果，从组织、制度、技术、应急等方面对安全风险进行有效管控，确保安全风险始终处于受控范围内，并建立完善安全风险公告制度，加强风险教育和技能培训，在重点区域设置安全风险公告栏，制作岗位安全风险告知卡。</w:t>
      </w:r>
      <w:bookmarkEnd w:id="1136"/>
    </w:p>
    <w:p>
      <w:pPr>
        <w:pStyle w:val="4"/>
        <w:bidi w:val="0"/>
        <w:rPr>
          <w:color w:val="auto"/>
          <w:highlight w:val="none"/>
        </w:rPr>
      </w:pPr>
      <w:r>
        <w:rPr>
          <w:rFonts w:hint="eastAsia"/>
          <w:color w:val="auto"/>
          <w:highlight w:val="none"/>
        </w:rPr>
        <w:t>总承包人</w:t>
      </w:r>
      <w:bookmarkStart w:id="1137" w:name="_Hlk166187813"/>
      <w:r>
        <w:rPr>
          <w:rFonts w:hint="eastAsia"/>
          <w:color w:val="auto"/>
          <w:highlight w:val="none"/>
        </w:rPr>
        <w:t>应建立完善隐患排查治理制度，制定符合项目实际的隐患排查治理清单，明确和细化隐患排查的事项、内容和频次，并将责任逐一分解落实，重点强化对存在重大风险的场所、环节、部位的隐患排查整改，实现隐患排查治理的闭环管理。</w:t>
      </w:r>
      <w:bookmarkEnd w:id="1137"/>
    </w:p>
    <w:p>
      <w:pPr>
        <w:pStyle w:val="3"/>
        <w:bidi w:val="0"/>
        <w:rPr>
          <w:color w:val="auto"/>
          <w:highlight w:val="none"/>
        </w:rPr>
      </w:pPr>
      <w:bookmarkStart w:id="1138" w:name="_Toc25557"/>
      <w:bookmarkStart w:id="1139" w:name="_Toc31076"/>
      <w:bookmarkStart w:id="1140" w:name="_Toc8115"/>
      <w:bookmarkStart w:id="1141" w:name="_Toc20929"/>
      <w:bookmarkStart w:id="1142" w:name="_Toc6622"/>
      <w:bookmarkStart w:id="1143" w:name="_Toc28356"/>
      <w:bookmarkStart w:id="1144" w:name="_Toc14418"/>
      <w:bookmarkStart w:id="1145" w:name="_Toc27443"/>
      <w:bookmarkStart w:id="1146" w:name="_Toc169722256"/>
      <w:bookmarkStart w:id="1147" w:name="_Toc21833"/>
      <w:bookmarkStart w:id="1148" w:name="_Toc13043"/>
      <w:bookmarkStart w:id="1149" w:name="_Toc11396"/>
      <w:r>
        <w:rPr>
          <w:rFonts w:hint="eastAsia"/>
          <w:color w:val="auto"/>
          <w:highlight w:val="none"/>
        </w:rPr>
        <w:t>应急</w:t>
      </w:r>
      <w:r>
        <w:rPr>
          <w:color w:val="auto"/>
          <w:highlight w:val="none"/>
        </w:rPr>
        <w:t>与事故管理</w:t>
      </w:r>
      <w:bookmarkEnd w:id="1138"/>
      <w:bookmarkEnd w:id="1139"/>
      <w:bookmarkEnd w:id="1140"/>
      <w:bookmarkEnd w:id="1141"/>
      <w:bookmarkEnd w:id="1142"/>
      <w:bookmarkEnd w:id="1143"/>
      <w:bookmarkEnd w:id="1144"/>
      <w:bookmarkEnd w:id="1145"/>
      <w:bookmarkEnd w:id="1146"/>
      <w:bookmarkEnd w:id="1147"/>
      <w:bookmarkEnd w:id="1148"/>
      <w:bookmarkEnd w:id="1149"/>
    </w:p>
    <w:p>
      <w:pPr>
        <w:pStyle w:val="4"/>
        <w:bidi w:val="0"/>
        <w:rPr>
          <w:color w:val="auto"/>
          <w:highlight w:val="none"/>
        </w:rPr>
      </w:pPr>
      <w:r>
        <w:rPr>
          <w:rFonts w:hint="eastAsia"/>
          <w:color w:val="auto"/>
          <w:highlight w:val="none"/>
        </w:rPr>
        <w:t>应急</w:t>
      </w:r>
      <w:r>
        <w:rPr>
          <w:color w:val="auto"/>
          <w:highlight w:val="none"/>
        </w:rPr>
        <w:t>管理</w:t>
      </w:r>
    </w:p>
    <w:p>
      <w:pPr>
        <w:pStyle w:val="5"/>
        <w:bidi w:val="0"/>
        <w:ind w:left="253"/>
        <w:rPr>
          <w:color w:val="auto"/>
          <w:highlight w:val="none"/>
        </w:rPr>
      </w:pPr>
      <w:r>
        <w:rPr>
          <w:rFonts w:hint="eastAsia"/>
          <w:color w:val="auto"/>
          <w:highlight w:val="none"/>
        </w:rPr>
        <w:t>总承包人应建立完善综合应急预案、专项应急预案及现场处置方案，明确应急响应组织、流程及应急处置内容，与发包人应急预案体系相衔接，确保迅速处理突发事件。总承包人应按法律法规有关规定组织应急预案评审或论证，并将应急预案提交发包人、监理人备案。</w:t>
      </w:r>
    </w:p>
    <w:p>
      <w:pPr>
        <w:pStyle w:val="5"/>
        <w:bidi w:val="0"/>
        <w:ind w:left="253"/>
        <w:rPr>
          <w:color w:val="auto"/>
          <w:highlight w:val="none"/>
        </w:rPr>
      </w:pPr>
      <w:r>
        <w:rPr>
          <w:rFonts w:hint="eastAsia"/>
          <w:color w:val="auto"/>
          <w:highlight w:val="none"/>
        </w:rPr>
        <w:t>总承包人必须保证配备充足的应急物资、设施设备、器材工具、医疗用品等，并做好维护管理以确保其良好可用。</w:t>
      </w:r>
    </w:p>
    <w:p>
      <w:pPr>
        <w:pStyle w:val="5"/>
        <w:bidi w:val="0"/>
        <w:ind w:left="253"/>
        <w:rPr>
          <w:color w:val="auto"/>
          <w:highlight w:val="none"/>
        </w:rPr>
      </w:pPr>
      <w:r>
        <w:rPr>
          <w:rFonts w:hint="eastAsia"/>
          <w:color w:val="auto"/>
          <w:highlight w:val="none"/>
        </w:rPr>
        <w:t>总承包人应当制定项目应急预案演练计划，根据本项目的事故风险特点，积极开展消防、坍塌、机械伤害、高坠等各类应急救援演练，提高应急处置能力。总承包人每年年初将应急演练计划报监理人审查。</w:t>
      </w:r>
    </w:p>
    <w:p>
      <w:pPr>
        <w:pStyle w:val="5"/>
        <w:bidi w:val="0"/>
        <w:rPr>
          <w:color w:val="auto"/>
          <w:highlight w:val="none"/>
        </w:rPr>
      </w:pPr>
      <w:r>
        <w:rPr>
          <w:rFonts w:hint="eastAsia"/>
          <w:color w:val="auto"/>
          <w:highlight w:val="none"/>
        </w:rPr>
        <w:t>总承包人应当配置1辆专用应急车辆，并配备担架、绷带、医疗箱等临时急救药品、工具。应急车辆须停放在施工现场便于进出的位置，非应急抢险情况不得挪作他用。</w:t>
      </w:r>
    </w:p>
    <w:p>
      <w:pPr>
        <w:pStyle w:val="5"/>
        <w:bidi w:val="0"/>
        <w:rPr>
          <w:color w:val="auto"/>
          <w:highlight w:val="none"/>
        </w:rPr>
      </w:pPr>
      <w:r>
        <w:rPr>
          <w:rFonts w:hint="eastAsia"/>
          <w:color w:val="auto"/>
          <w:highlight w:val="none"/>
        </w:rPr>
        <w:t>总承包人应当在施工现场配置不低于2万元人民币的应急保障资金，用于从业人员发生职业伤害事件、生产安全事故的应急救援支出。</w:t>
      </w:r>
    </w:p>
    <w:p>
      <w:pPr>
        <w:pStyle w:val="4"/>
        <w:bidi w:val="0"/>
        <w:rPr>
          <w:color w:val="auto"/>
          <w:highlight w:val="none"/>
        </w:rPr>
      </w:pPr>
      <w:r>
        <w:rPr>
          <w:rFonts w:hint="eastAsia"/>
          <w:color w:val="auto"/>
          <w:highlight w:val="none"/>
        </w:rPr>
        <w:t>事故</w:t>
      </w:r>
      <w:r>
        <w:rPr>
          <w:color w:val="auto"/>
          <w:highlight w:val="none"/>
        </w:rPr>
        <w:t>管理</w:t>
      </w:r>
    </w:p>
    <w:p>
      <w:pPr>
        <w:pStyle w:val="5"/>
        <w:bidi w:val="0"/>
        <w:ind w:left="253"/>
        <w:rPr>
          <w:color w:val="auto"/>
          <w:highlight w:val="none"/>
        </w:rPr>
      </w:pPr>
      <w:bookmarkStart w:id="1150" w:name="_Hlk166188209"/>
      <w:r>
        <w:rPr>
          <w:rFonts w:hint="eastAsia" w:eastAsia="宋体" w:cs="Arial"/>
          <w:color w:val="auto"/>
          <w:highlight w:val="none"/>
        </w:rPr>
        <w:t>发生</w:t>
      </w:r>
      <w:r>
        <w:rPr>
          <w:rFonts w:hint="eastAsia" w:cs="Arial"/>
          <w:color w:val="auto"/>
          <w:highlight w:val="none"/>
          <w:lang w:eastAsia="zh-CN"/>
        </w:rPr>
        <w:t>安全</w:t>
      </w:r>
      <w:r>
        <w:rPr>
          <w:rFonts w:hint="eastAsia" w:eastAsia="宋体" w:cs="Arial"/>
          <w:color w:val="auto"/>
          <w:highlight w:val="none"/>
        </w:rPr>
        <w:t>事故事件，总承包人应在事发后15分钟以内如实报告</w:t>
      </w:r>
      <w:r>
        <w:rPr>
          <w:rFonts w:hint="eastAsia"/>
          <w:color w:val="auto"/>
          <w:highlight w:val="none"/>
        </w:rPr>
        <w:t>给发包人，严禁迟报、瞒报、谎报、漏报。报告应说明事故涉及单位、时间地点、简要经过、后果影响等。</w:t>
      </w:r>
      <w:bookmarkEnd w:id="1150"/>
    </w:p>
    <w:p>
      <w:pPr>
        <w:pStyle w:val="5"/>
        <w:bidi w:val="0"/>
        <w:ind w:left="253"/>
        <w:rPr>
          <w:color w:val="auto"/>
          <w:highlight w:val="none"/>
        </w:rPr>
      </w:pPr>
      <w:r>
        <w:rPr>
          <w:rFonts w:hint="eastAsia"/>
          <w:color w:val="auto"/>
          <w:highlight w:val="none"/>
        </w:rPr>
        <w:t>总承包人应按照发包人要求</w:t>
      </w:r>
      <w:bookmarkStart w:id="1151" w:name="_Hlk166188265"/>
      <w:r>
        <w:rPr>
          <w:rFonts w:hint="eastAsia"/>
          <w:color w:val="auto"/>
          <w:highlight w:val="none"/>
        </w:rPr>
        <w:t>提交事故初报、进展报告、调查结果报告</w:t>
      </w:r>
      <w:bookmarkEnd w:id="1151"/>
      <w:r>
        <w:rPr>
          <w:rFonts w:hint="eastAsia"/>
          <w:color w:val="auto"/>
          <w:highlight w:val="none"/>
        </w:rPr>
        <w:t>。</w:t>
      </w:r>
    </w:p>
    <w:p>
      <w:pPr>
        <w:pStyle w:val="5"/>
        <w:bidi w:val="0"/>
        <w:ind w:left="253"/>
        <w:rPr>
          <w:color w:val="auto"/>
          <w:highlight w:val="none"/>
        </w:rPr>
      </w:pPr>
      <w:r>
        <w:rPr>
          <w:rFonts w:hint="eastAsia"/>
          <w:color w:val="auto"/>
          <w:highlight w:val="none"/>
        </w:rPr>
        <w:t>总承包人应建立事故事件统计制度，对发生的事故事件进行详细记录，并将统计信息报监理人、发包人备案。</w:t>
      </w:r>
    </w:p>
    <w:p>
      <w:pPr>
        <w:pStyle w:val="5"/>
        <w:bidi w:val="0"/>
        <w:ind w:left="253"/>
        <w:rPr>
          <w:color w:val="auto"/>
          <w:highlight w:val="none"/>
        </w:rPr>
      </w:pPr>
      <w:bookmarkStart w:id="1152" w:name="_Hlk166188378"/>
      <w:r>
        <w:rPr>
          <w:rFonts w:hint="eastAsia"/>
          <w:color w:val="auto"/>
          <w:highlight w:val="none"/>
        </w:rPr>
        <w:t>总承包人应对项目发生的事故事件牵头协调处理，杜绝事故后果严重性与不良社会影响的持续扩大。</w:t>
      </w:r>
      <w:r>
        <w:rPr>
          <w:rFonts w:hint="eastAsia"/>
          <w:color w:val="auto"/>
          <w:highlight w:val="none"/>
          <w:lang w:eastAsia="zh-CN"/>
        </w:rPr>
        <w:t>专业承包</w:t>
      </w:r>
      <w:r>
        <w:rPr>
          <w:rFonts w:hint="eastAsia"/>
          <w:color w:val="auto"/>
          <w:highlight w:val="none"/>
        </w:rPr>
        <w:t>人发生生产安全事故时，需要总承包人提供支持的，总承包人必须无条件配合、支持事故抢险。</w:t>
      </w:r>
      <w:bookmarkEnd w:id="1152"/>
    </w:p>
    <w:p>
      <w:pPr>
        <w:pStyle w:val="5"/>
        <w:bidi w:val="0"/>
        <w:ind w:left="253"/>
        <w:rPr>
          <w:color w:val="auto"/>
          <w:highlight w:val="none"/>
        </w:rPr>
      </w:pPr>
      <w:r>
        <w:rPr>
          <w:rFonts w:hint="eastAsia"/>
          <w:color w:val="auto"/>
          <w:highlight w:val="none"/>
        </w:rPr>
        <w:t>总承包人对</w:t>
      </w:r>
      <w:r>
        <w:rPr>
          <w:rFonts w:hint="eastAsia"/>
          <w:color w:val="auto"/>
          <w:highlight w:val="none"/>
          <w:lang w:eastAsia="zh-CN"/>
        </w:rPr>
        <w:t>专业承包</w:t>
      </w:r>
      <w:r>
        <w:rPr>
          <w:rFonts w:hint="eastAsia"/>
          <w:color w:val="auto"/>
          <w:highlight w:val="none"/>
        </w:rPr>
        <w:t>人及其用工行为管理不善，</w:t>
      </w:r>
      <w:bookmarkStart w:id="1153" w:name="_Hlk166188479"/>
      <w:r>
        <w:rPr>
          <w:rFonts w:hint="eastAsia"/>
          <w:color w:val="auto"/>
          <w:highlight w:val="none"/>
        </w:rPr>
        <w:t>导致出现的安全隐患或事故事件，</w:t>
      </w:r>
      <w:bookmarkEnd w:id="1153"/>
      <w:r>
        <w:rPr>
          <w:rFonts w:hint="eastAsia"/>
          <w:color w:val="auto"/>
          <w:highlight w:val="none"/>
        </w:rPr>
        <w:t>发包人将</w:t>
      </w:r>
      <w:bookmarkStart w:id="1154" w:name="_Hlk166188497"/>
      <w:r>
        <w:rPr>
          <w:rFonts w:hint="eastAsia"/>
          <w:color w:val="auto"/>
          <w:highlight w:val="none"/>
        </w:rPr>
        <w:t>通过处罚、索赔等形式追究总承包人责任。</w:t>
      </w:r>
      <w:bookmarkEnd w:id="1154"/>
    </w:p>
    <w:p>
      <w:pPr>
        <w:pStyle w:val="5"/>
        <w:bidi w:val="0"/>
        <w:ind w:left="253"/>
        <w:rPr>
          <w:color w:val="auto"/>
          <w:highlight w:val="none"/>
        </w:rPr>
      </w:pPr>
      <w:r>
        <w:rPr>
          <w:rFonts w:hint="eastAsia"/>
          <w:color w:val="auto"/>
          <w:highlight w:val="none"/>
        </w:rPr>
        <w:t>当项目发生以下类型的事故事件时，总承包人作为工程总承包人，应主责进行应急与善后处理。若发包人评估总承包人存在处理不力时，发包人将有权扣除总承包人工程款用于处理事故事件，以尽快消除事故事件的不良影响：</w:t>
      </w:r>
    </w:p>
    <w:p>
      <w:pPr>
        <w:numPr>
          <w:ilvl w:val="0"/>
          <w:numId w:val="164"/>
        </w:numPr>
        <w:bidi w:val="0"/>
        <w:ind w:left="80" w:leftChars="0"/>
        <w:rPr>
          <w:color w:val="auto"/>
          <w:highlight w:val="none"/>
        </w:rPr>
      </w:pPr>
      <w:r>
        <w:rPr>
          <w:rFonts w:hint="eastAsia"/>
          <w:color w:val="auto"/>
          <w:highlight w:val="none"/>
        </w:rPr>
        <w:t>重伤及以上等级的人身伤害事故的应急与善后处理；</w:t>
      </w:r>
    </w:p>
    <w:p>
      <w:pPr>
        <w:numPr>
          <w:ilvl w:val="0"/>
          <w:numId w:val="164"/>
        </w:numPr>
        <w:bidi w:val="0"/>
        <w:ind w:left="80" w:leftChars="0"/>
        <w:rPr>
          <w:color w:val="auto"/>
          <w:highlight w:val="none"/>
        </w:rPr>
      </w:pPr>
      <w:r>
        <w:rPr>
          <w:rFonts w:hint="eastAsia"/>
          <w:color w:val="auto"/>
          <w:highlight w:val="none"/>
        </w:rPr>
        <w:t>火灾、坍塌等恶劣社会影响或重大财产损失事故的应急与恢复处理；</w:t>
      </w:r>
    </w:p>
    <w:p>
      <w:pPr>
        <w:numPr>
          <w:ilvl w:val="0"/>
          <w:numId w:val="164"/>
        </w:numPr>
        <w:bidi w:val="0"/>
        <w:ind w:left="80" w:leftChars="0"/>
        <w:rPr>
          <w:color w:val="auto"/>
          <w:highlight w:val="none"/>
        </w:rPr>
      </w:pPr>
      <w:r>
        <w:rPr>
          <w:rFonts w:hint="eastAsia"/>
          <w:color w:val="auto"/>
          <w:highlight w:val="none"/>
        </w:rPr>
        <w:t>群体性劳资纠纷、卫生防疫及治安保卫事件的应急与善后处理；</w:t>
      </w:r>
    </w:p>
    <w:p>
      <w:pPr>
        <w:numPr>
          <w:ilvl w:val="0"/>
          <w:numId w:val="164"/>
        </w:numPr>
        <w:bidi w:val="0"/>
        <w:ind w:left="80" w:leftChars="0"/>
        <w:rPr>
          <w:color w:val="auto"/>
          <w:highlight w:val="none"/>
        </w:rPr>
      </w:pPr>
      <w:r>
        <w:rPr>
          <w:rFonts w:hint="eastAsia"/>
          <w:color w:val="auto"/>
          <w:highlight w:val="none"/>
        </w:rPr>
        <w:t>重大设施设备损毁或处于高危状态事故事件的应急与恢复处理；</w:t>
      </w:r>
    </w:p>
    <w:p>
      <w:pPr>
        <w:numPr>
          <w:ilvl w:val="0"/>
          <w:numId w:val="164"/>
        </w:numPr>
        <w:bidi w:val="0"/>
        <w:ind w:left="80" w:leftChars="0"/>
        <w:rPr>
          <w:color w:val="auto"/>
          <w:highlight w:val="none"/>
        </w:rPr>
      </w:pPr>
      <w:r>
        <w:rPr>
          <w:rFonts w:hint="eastAsia"/>
          <w:color w:val="auto"/>
          <w:highlight w:val="none"/>
        </w:rPr>
        <w:t>严重环境污染事故事件的应急与善后处理（水、光、粉尘、噪声污染等）；</w:t>
      </w:r>
    </w:p>
    <w:p>
      <w:pPr>
        <w:numPr>
          <w:ilvl w:val="0"/>
          <w:numId w:val="164"/>
        </w:numPr>
        <w:bidi w:val="0"/>
        <w:ind w:left="80" w:leftChars="0"/>
        <w:rPr>
          <w:color w:val="auto"/>
          <w:highlight w:val="none"/>
        </w:rPr>
      </w:pPr>
      <w:r>
        <w:rPr>
          <w:rFonts w:hint="eastAsia"/>
          <w:color w:val="auto"/>
          <w:highlight w:val="none"/>
        </w:rPr>
        <w:t>严重的交通安全事故或自然灾害事故事件；</w:t>
      </w:r>
    </w:p>
    <w:p>
      <w:pPr>
        <w:numPr>
          <w:ilvl w:val="0"/>
          <w:numId w:val="164"/>
        </w:numPr>
        <w:bidi w:val="0"/>
        <w:ind w:left="80" w:leftChars="0"/>
        <w:rPr>
          <w:color w:val="auto"/>
          <w:highlight w:val="none"/>
        </w:rPr>
      </w:pPr>
      <w:r>
        <w:rPr>
          <w:rFonts w:hint="eastAsia"/>
          <w:color w:val="auto"/>
          <w:highlight w:val="none"/>
        </w:rPr>
        <w:t>对项目正常生产秩序造成严重影响的政府性处罚事件；</w:t>
      </w:r>
    </w:p>
    <w:p>
      <w:pPr>
        <w:numPr>
          <w:ilvl w:val="0"/>
          <w:numId w:val="164"/>
        </w:numPr>
        <w:bidi w:val="0"/>
        <w:ind w:left="80" w:leftChars="0"/>
        <w:rPr>
          <w:color w:val="auto"/>
          <w:highlight w:val="none"/>
        </w:rPr>
      </w:pPr>
      <w:r>
        <w:rPr>
          <w:rFonts w:hint="eastAsia"/>
          <w:color w:val="auto"/>
          <w:highlight w:val="none"/>
        </w:rPr>
        <w:t>其它对项目正常生产秩序或发包人及其上级单位经营、社会形象造成重大负面影响的事故事件。</w:t>
      </w:r>
    </w:p>
    <w:p>
      <w:pPr>
        <w:pStyle w:val="5"/>
        <w:bidi w:val="0"/>
        <w:ind w:left="253"/>
        <w:rPr>
          <w:color w:val="auto"/>
          <w:highlight w:val="none"/>
        </w:rPr>
      </w:pPr>
      <w:r>
        <w:rPr>
          <w:rFonts w:hint="eastAsia"/>
          <w:color w:val="auto"/>
          <w:highlight w:val="none"/>
        </w:rPr>
        <w:t>发包人对项目发生的</w:t>
      </w:r>
      <w:r>
        <w:rPr>
          <w:rFonts w:hint="eastAsia"/>
          <w:color w:val="auto"/>
          <w:highlight w:val="none"/>
          <w:lang w:eastAsia="zh-CN"/>
        </w:rPr>
        <w:t>安全</w:t>
      </w:r>
      <w:r>
        <w:rPr>
          <w:rFonts w:hint="eastAsia"/>
          <w:color w:val="auto"/>
          <w:highlight w:val="none"/>
        </w:rPr>
        <w:t>事故事件实行内部调查制度，总承包人应当无条件落实发包人在内部</w:t>
      </w:r>
      <w:r>
        <w:rPr>
          <w:rFonts w:hint="eastAsia"/>
          <w:color w:val="auto"/>
          <w:highlight w:val="none"/>
          <w:lang w:eastAsia="zh-CN"/>
        </w:rPr>
        <w:t>安全</w:t>
      </w:r>
      <w:r>
        <w:rPr>
          <w:rFonts w:hint="eastAsia"/>
          <w:color w:val="auto"/>
          <w:highlight w:val="none"/>
        </w:rPr>
        <w:t>事故事件调查报告对总承包人、</w:t>
      </w:r>
      <w:r>
        <w:rPr>
          <w:rFonts w:hint="eastAsia"/>
          <w:color w:val="auto"/>
          <w:highlight w:val="none"/>
          <w:lang w:eastAsia="zh-CN"/>
        </w:rPr>
        <w:t>专业承包</w:t>
      </w:r>
      <w:r>
        <w:rPr>
          <w:rFonts w:hint="eastAsia"/>
          <w:color w:val="auto"/>
          <w:highlight w:val="none"/>
        </w:rPr>
        <w:t>人提出的责任追究、整改措施建议等管理要求。</w:t>
      </w:r>
    </w:p>
    <w:p>
      <w:pPr>
        <w:pStyle w:val="3"/>
        <w:bidi w:val="0"/>
        <w:rPr>
          <w:color w:val="auto"/>
          <w:highlight w:val="none"/>
        </w:rPr>
      </w:pPr>
      <w:bookmarkStart w:id="1155" w:name="_Toc5756"/>
      <w:bookmarkStart w:id="1156" w:name="_Toc17513"/>
      <w:bookmarkStart w:id="1157" w:name="_Toc169722257"/>
      <w:bookmarkStart w:id="1158" w:name="_Toc21086"/>
      <w:bookmarkStart w:id="1159" w:name="_Toc7731"/>
      <w:bookmarkStart w:id="1160" w:name="_Toc27717"/>
      <w:bookmarkStart w:id="1161" w:name="_Toc5873"/>
      <w:bookmarkStart w:id="1162" w:name="_Toc9066"/>
      <w:bookmarkStart w:id="1163" w:name="_Toc31860"/>
      <w:bookmarkStart w:id="1164" w:name="_Toc29168"/>
      <w:bookmarkStart w:id="1165" w:name="_Toc25087"/>
      <w:bookmarkStart w:id="1166" w:name="_Toc5051"/>
      <w:r>
        <w:rPr>
          <w:rFonts w:hint="eastAsia"/>
          <w:color w:val="auto"/>
          <w:highlight w:val="none"/>
        </w:rPr>
        <w:t>安全照管要求</w:t>
      </w:r>
      <w:bookmarkEnd w:id="1155"/>
      <w:bookmarkEnd w:id="1156"/>
      <w:bookmarkEnd w:id="1157"/>
      <w:bookmarkEnd w:id="1158"/>
      <w:bookmarkEnd w:id="1159"/>
      <w:bookmarkEnd w:id="1160"/>
      <w:bookmarkEnd w:id="1161"/>
      <w:bookmarkEnd w:id="1162"/>
      <w:bookmarkEnd w:id="1163"/>
      <w:bookmarkEnd w:id="1164"/>
      <w:bookmarkEnd w:id="1165"/>
      <w:bookmarkEnd w:id="1166"/>
    </w:p>
    <w:p>
      <w:pPr>
        <w:pStyle w:val="4"/>
        <w:bidi w:val="0"/>
        <w:rPr>
          <w:color w:val="auto"/>
          <w:highlight w:val="none"/>
        </w:rPr>
      </w:pPr>
      <w:r>
        <w:rPr>
          <w:rFonts w:hint="eastAsia" w:eastAsia="宋体" w:cs="Arial"/>
          <w:bCs/>
          <w:color w:val="auto"/>
          <w:highlight w:val="none"/>
        </w:rPr>
        <w:t>总承包人应当对施工现场实施封闭管理，聘用专业保安公司负责现场</w:t>
      </w:r>
      <w:r>
        <w:rPr>
          <w:rFonts w:hint="eastAsia"/>
          <w:color w:val="auto"/>
          <w:highlight w:val="none"/>
        </w:rPr>
        <w:t>治安保卫工作，为全场的各项工作及材料提供安保，24小时保安、巡逻、秩序维护。施工现场主出入口和临时出入口均应设置保安岗亭，并配备保安24小时值班。在上述要求之上，另需配置至少1名专职保安现场流动巡逻。根据现场施工的需要临时设置的围挡开口、材料进出口等其他临时出入口，总承包人应设置保安岗亭，并在临时出入口开放时配备保安值班。</w:t>
      </w:r>
    </w:p>
    <w:p>
      <w:pPr>
        <w:pStyle w:val="4"/>
        <w:bidi w:val="0"/>
        <w:rPr>
          <w:color w:val="auto"/>
          <w:highlight w:val="none"/>
        </w:rPr>
      </w:pPr>
      <w:r>
        <w:rPr>
          <w:rFonts w:hint="eastAsia"/>
          <w:color w:val="auto"/>
          <w:highlight w:val="none"/>
        </w:rPr>
        <w:t>总承包人</w:t>
      </w:r>
      <w:bookmarkStart w:id="1167" w:name="_Hlk166188683"/>
      <w:r>
        <w:rPr>
          <w:rFonts w:hint="eastAsia"/>
          <w:color w:val="auto"/>
          <w:highlight w:val="none"/>
        </w:rPr>
        <w:t>应当对工人生活区实施封闭管理，并在工人生活区主出入口设置门禁系统和岗亭，并配备保安24小时值班。</w:t>
      </w:r>
      <w:bookmarkEnd w:id="1167"/>
      <w:r>
        <w:rPr>
          <w:rFonts w:hint="eastAsia"/>
          <w:color w:val="auto"/>
          <w:highlight w:val="none"/>
        </w:rPr>
        <w:t>总承包人、</w:t>
      </w:r>
      <w:bookmarkStart w:id="1168" w:name="_Hlk166188661"/>
      <w:r>
        <w:rPr>
          <w:rFonts w:hint="eastAsia"/>
          <w:color w:val="auto"/>
          <w:highlight w:val="none"/>
          <w:lang w:eastAsia="zh-CN"/>
        </w:rPr>
        <w:t>专业承包</w:t>
      </w:r>
      <w:r>
        <w:rPr>
          <w:rFonts w:hint="eastAsia"/>
          <w:color w:val="auto"/>
          <w:highlight w:val="none"/>
        </w:rPr>
        <w:t>人禁止在红线范围内设置可供人员住宿的设施、场所。</w:t>
      </w:r>
      <w:bookmarkEnd w:id="1168"/>
    </w:p>
    <w:p>
      <w:pPr>
        <w:pStyle w:val="4"/>
        <w:bidi w:val="0"/>
        <w:rPr>
          <w:color w:val="auto"/>
          <w:highlight w:val="none"/>
        </w:rPr>
      </w:pPr>
      <w:r>
        <w:rPr>
          <w:rFonts w:hint="eastAsia"/>
          <w:color w:val="auto"/>
          <w:highlight w:val="none"/>
        </w:rPr>
        <w:t>总承包人应当在在现场各主要出入口、塔吊上部设置视频监控系统，确保其正常运行，监控记录的保存时间应当不低于</w:t>
      </w:r>
      <w:r>
        <w:rPr>
          <w:rFonts w:hint="eastAsia"/>
          <w:color w:val="auto"/>
          <w:highlight w:val="none"/>
          <w:lang w:val="en-US" w:eastAsia="zh-CN"/>
        </w:rPr>
        <w:t>9</w:t>
      </w:r>
      <w:r>
        <w:rPr>
          <w:rFonts w:hint="eastAsia"/>
          <w:color w:val="auto"/>
          <w:highlight w:val="none"/>
        </w:rPr>
        <w:t>0天。总承包人应当配合发包人、监理人对相关监控记录的查阅要求。</w:t>
      </w:r>
    </w:p>
    <w:p>
      <w:pPr>
        <w:pStyle w:val="4"/>
        <w:bidi w:val="0"/>
        <w:rPr>
          <w:color w:val="auto"/>
          <w:highlight w:val="none"/>
        </w:rPr>
      </w:pPr>
      <w:r>
        <w:rPr>
          <w:rFonts w:hint="eastAsia"/>
          <w:color w:val="auto"/>
          <w:highlight w:val="none"/>
        </w:rPr>
        <w:t>总承包人应当在施工现场设置封闭式建筑垃圾集中堆放点，并督促</w:t>
      </w:r>
      <w:bookmarkStart w:id="1169" w:name="_Hlk166188729"/>
      <w:r>
        <w:rPr>
          <w:rFonts w:hint="eastAsia"/>
          <w:color w:val="auto"/>
          <w:highlight w:val="none"/>
          <w:lang w:eastAsia="zh-CN"/>
        </w:rPr>
        <w:t>专业承包</w:t>
      </w:r>
      <w:r>
        <w:rPr>
          <w:rFonts w:hint="eastAsia"/>
          <w:color w:val="auto"/>
          <w:highlight w:val="none"/>
        </w:rPr>
        <w:t>人定期将建筑垃圾清运至在集中堆放点，由总承包人</w:t>
      </w:r>
      <w:r>
        <w:rPr>
          <w:rFonts w:hint="eastAsia"/>
          <w:color w:val="auto"/>
          <w:highlight w:val="none"/>
          <w:lang w:val="en-US" w:eastAsia="zh-CN"/>
        </w:rPr>
        <w:t>统筹临时堆放场地、运输安排、弃放场地等并满足文明施工相关规定</w:t>
      </w:r>
      <w:r>
        <w:rPr>
          <w:rFonts w:hint="eastAsia"/>
          <w:color w:val="auto"/>
          <w:highlight w:val="none"/>
        </w:rPr>
        <w:t>清运出场。</w:t>
      </w:r>
      <w:bookmarkEnd w:id="1169"/>
      <w:r>
        <w:rPr>
          <w:rFonts w:hint="eastAsia"/>
          <w:color w:val="auto"/>
          <w:highlight w:val="none"/>
        </w:rPr>
        <w:t>其中，可燃垃圾、其他垃圾应分别设置堆放点，并有专人进行垃圾分类。</w:t>
      </w:r>
    </w:p>
    <w:p>
      <w:pPr>
        <w:pStyle w:val="4"/>
        <w:bidi w:val="0"/>
        <w:rPr>
          <w:color w:val="auto"/>
          <w:highlight w:val="none"/>
        </w:rPr>
      </w:pPr>
      <w:r>
        <w:rPr>
          <w:rFonts w:hint="eastAsia"/>
          <w:color w:val="auto"/>
          <w:highlight w:val="none"/>
        </w:rPr>
        <w:t>总承包人应当对</w:t>
      </w:r>
      <w:r>
        <w:rPr>
          <w:rFonts w:hint="eastAsia"/>
          <w:color w:val="auto"/>
          <w:highlight w:val="none"/>
          <w:lang w:eastAsia="zh-CN"/>
        </w:rPr>
        <w:t>专业承包</w:t>
      </w:r>
      <w:r>
        <w:rPr>
          <w:rFonts w:hint="eastAsia"/>
          <w:color w:val="auto"/>
          <w:highlight w:val="none"/>
        </w:rPr>
        <w:t>人实施安全照管，</w:t>
      </w:r>
      <w:bookmarkStart w:id="1170" w:name="_Hlk166188822"/>
      <w:r>
        <w:rPr>
          <w:rFonts w:hint="eastAsia"/>
          <w:color w:val="auto"/>
          <w:highlight w:val="none"/>
        </w:rPr>
        <w:t>总承包人照管职责以发包方确认的场地移交之日起，到集中交付止（工程移交使用方），并符合《建设工程安全生产管理条例》、《建筑施工企业主要负责人、项目负责人和专职安全生产管理人员安全生产管理规定》、《危险性较大的分部分项工程安全管理规定》（住建部建办质〔2018〕31号文）、《建筑施工安全检查标准》（JGJ59）等国家、行业相关法律法规等文件要求。</w:t>
      </w:r>
      <w:bookmarkEnd w:id="1170"/>
    </w:p>
    <w:p>
      <w:pPr>
        <w:pStyle w:val="4"/>
        <w:bidi w:val="0"/>
        <w:rPr>
          <w:color w:val="auto"/>
          <w:highlight w:val="none"/>
        </w:rPr>
      </w:pPr>
      <w:r>
        <w:rPr>
          <w:rFonts w:hint="eastAsia"/>
          <w:color w:val="auto"/>
          <w:highlight w:val="none"/>
        </w:rPr>
        <w:t>总承包人对</w:t>
      </w:r>
      <w:r>
        <w:rPr>
          <w:rFonts w:hint="eastAsia"/>
          <w:color w:val="auto"/>
          <w:highlight w:val="none"/>
          <w:lang w:eastAsia="zh-CN"/>
        </w:rPr>
        <w:t>专业承包</w:t>
      </w:r>
      <w:r>
        <w:rPr>
          <w:rFonts w:hint="eastAsia"/>
          <w:color w:val="auto"/>
          <w:highlight w:val="none"/>
        </w:rPr>
        <w:t>人安全照管责任分为行为资料照管和现场状态照管两个方面。对</w:t>
      </w:r>
      <w:r>
        <w:rPr>
          <w:rFonts w:hint="eastAsia"/>
          <w:color w:val="auto"/>
          <w:highlight w:val="none"/>
          <w:lang w:eastAsia="zh-CN"/>
        </w:rPr>
        <w:t>专业承包</w:t>
      </w:r>
      <w:r>
        <w:rPr>
          <w:rFonts w:hint="eastAsia"/>
          <w:color w:val="auto"/>
          <w:highlight w:val="none"/>
        </w:rPr>
        <w:t>人行为资料履行合规管理、危大工程、安全培训、应急及事故照管4个方面10项照管职责，对</w:t>
      </w:r>
      <w:r>
        <w:rPr>
          <w:rFonts w:hint="eastAsia"/>
          <w:color w:val="auto"/>
          <w:highlight w:val="none"/>
          <w:lang w:eastAsia="zh-CN"/>
        </w:rPr>
        <w:t>专业承包</w:t>
      </w:r>
      <w:r>
        <w:rPr>
          <w:rFonts w:hint="eastAsia"/>
          <w:color w:val="auto"/>
          <w:highlight w:val="none"/>
        </w:rPr>
        <w:t>人现场状态履行安全检查、安全验收、危险作业照管3个方面5项照管职责，具体照管职责、照管内容、照管要点和管理输出应当符合</w:t>
      </w:r>
      <w:r>
        <w:rPr>
          <w:rFonts w:hint="eastAsia"/>
          <w:color w:val="auto"/>
          <w:highlight w:val="none"/>
          <w:lang w:val="en-US" w:eastAsia="zh-CN"/>
        </w:rPr>
        <w:t>发包人</w:t>
      </w:r>
      <w:r>
        <w:rPr>
          <w:rFonts w:hint="eastAsia"/>
          <w:color w:val="auto"/>
          <w:highlight w:val="none"/>
        </w:rPr>
        <w:t>的相关规定。</w:t>
      </w:r>
    </w:p>
    <w:p>
      <w:pPr>
        <w:pStyle w:val="3"/>
        <w:bidi w:val="0"/>
        <w:rPr>
          <w:color w:val="auto"/>
          <w:highlight w:val="none"/>
        </w:rPr>
      </w:pPr>
      <w:bookmarkStart w:id="1171" w:name="_Toc29109"/>
      <w:bookmarkStart w:id="1172" w:name="_Toc19837"/>
      <w:bookmarkStart w:id="1173" w:name="_Toc28224"/>
      <w:bookmarkStart w:id="1174" w:name="_Toc28483"/>
      <w:bookmarkStart w:id="1175" w:name="_Toc30048"/>
      <w:bookmarkStart w:id="1176" w:name="_Toc12255"/>
      <w:bookmarkStart w:id="1177" w:name="_Toc24231"/>
      <w:bookmarkStart w:id="1178" w:name="_Toc3117"/>
      <w:bookmarkStart w:id="1179" w:name="_Toc23930"/>
      <w:bookmarkStart w:id="1180" w:name="_Toc13170"/>
      <w:bookmarkStart w:id="1181" w:name="_Toc25394"/>
      <w:bookmarkStart w:id="1182" w:name="_Toc169722258"/>
      <w:r>
        <w:rPr>
          <w:rFonts w:hint="eastAsia"/>
          <w:color w:val="auto"/>
          <w:highlight w:val="none"/>
          <w:lang w:eastAsia="zh-CN"/>
        </w:rPr>
        <w:t>安全</w:t>
      </w:r>
      <w:r>
        <w:rPr>
          <w:rFonts w:hint="eastAsia"/>
          <w:color w:val="auto"/>
          <w:highlight w:val="none"/>
        </w:rPr>
        <w:t>信息传递与沟通</w:t>
      </w:r>
      <w:bookmarkEnd w:id="1171"/>
      <w:bookmarkEnd w:id="1172"/>
      <w:bookmarkEnd w:id="1173"/>
      <w:bookmarkEnd w:id="1174"/>
      <w:bookmarkEnd w:id="1175"/>
      <w:bookmarkEnd w:id="1176"/>
      <w:bookmarkEnd w:id="1177"/>
      <w:bookmarkEnd w:id="1178"/>
      <w:bookmarkEnd w:id="1179"/>
      <w:bookmarkEnd w:id="1180"/>
      <w:bookmarkEnd w:id="1181"/>
      <w:bookmarkEnd w:id="1182"/>
    </w:p>
    <w:p>
      <w:pPr>
        <w:pStyle w:val="4"/>
        <w:bidi w:val="0"/>
        <w:rPr>
          <w:color w:val="auto"/>
          <w:highlight w:val="none"/>
        </w:rPr>
      </w:pPr>
      <w:r>
        <w:rPr>
          <w:rFonts w:hint="eastAsia" w:eastAsia="宋体" w:cs="Arial"/>
          <w:bCs/>
          <w:color w:val="auto"/>
          <w:highlight w:val="none"/>
        </w:rPr>
        <w:t>总承包人</w:t>
      </w:r>
      <w:bookmarkStart w:id="1183" w:name="_Hlk166188951"/>
      <w:r>
        <w:rPr>
          <w:rFonts w:hint="eastAsia" w:eastAsia="宋体" w:cs="Arial"/>
          <w:bCs/>
          <w:color w:val="auto"/>
          <w:highlight w:val="none"/>
        </w:rPr>
        <w:t>应当遵守并配合发包人、监理人的</w:t>
      </w:r>
      <w:r>
        <w:rPr>
          <w:rFonts w:hint="eastAsia" w:cs="Arial"/>
          <w:bCs/>
          <w:color w:val="auto"/>
          <w:highlight w:val="none"/>
          <w:lang w:eastAsia="zh-CN"/>
        </w:rPr>
        <w:t>安全</w:t>
      </w:r>
      <w:r>
        <w:rPr>
          <w:rFonts w:hint="eastAsia" w:eastAsia="宋体" w:cs="Arial"/>
          <w:bCs/>
          <w:color w:val="auto"/>
          <w:highlight w:val="none"/>
        </w:rPr>
        <w:t>信息传递要求，建立</w:t>
      </w:r>
      <w:r>
        <w:rPr>
          <w:rFonts w:hint="eastAsia"/>
          <w:color w:val="auto"/>
          <w:highlight w:val="none"/>
        </w:rPr>
        <w:t>健全与</w:t>
      </w:r>
      <w:r>
        <w:rPr>
          <w:rFonts w:hint="eastAsia"/>
          <w:color w:val="auto"/>
          <w:highlight w:val="none"/>
          <w:lang w:eastAsia="zh-CN"/>
        </w:rPr>
        <w:t>专业承包</w:t>
      </w:r>
      <w:r>
        <w:rPr>
          <w:rFonts w:hint="eastAsia"/>
          <w:color w:val="auto"/>
          <w:highlight w:val="none"/>
        </w:rPr>
        <w:t>人的</w:t>
      </w:r>
      <w:r>
        <w:rPr>
          <w:rFonts w:hint="eastAsia"/>
          <w:color w:val="auto"/>
          <w:highlight w:val="none"/>
          <w:lang w:eastAsia="zh-CN"/>
        </w:rPr>
        <w:t>安全</w:t>
      </w:r>
      <w:r>
        <w:rPr>
          <w:rFonts w:hint="eastAsia"/>
          <w:color w:val="auto"/>
          <w:highlight w:val="none"/>
        </w:rPr>
        <w:t>信息传递机制，保障</w:t>
      </w:r>
      <w:r>
        <w:rPr>
          <w:rFonts w:hint="eastAsia"/>
          <w:color w:val="auto"/>
          <w:highlight w:val="none"/>
          <w:lang w:eastAsia="zh-CN"/>
        </w:rPr>
        <w:t>安全</w:t>
      </w:r>
      <w:r>
        <w:rPr>
          <w:rFonts w:hint="eastAsia"/>
          <w:color w:val="auto"/>
          <w:highlight w:val="none"/>
        </w:rPr>
        <w:t>信息的良好获取与传达。</w:t>
      </w:r>
      <w:bookmarkEnd w:id="1183"/>
    </w:p>
    <w:p>
      <w:pPr>
        <w:pStyle w:val="4"/>
        <w:bidi w:val="0"/>
        <w:rPr>
          <w:color w:val="auto"/>
          <w:highlight w:val="none"/>
        </w:rPr>
      </w:pPr>
      <w:r>
        <w:rPr>
          <w:rFonts w:hint="eastAsia"/>
          <w:color w:val="auto"/>
          <w:highlight w:val="none"/>
        </w:rPr>
        <w:t>总承包人应当严格按照发包人、监理人的有关要求，及时、如实的上报有关</w:t>
      </w:r>
      <w:r>
        <w:rPr>
          <w:rFonts w:hint="eastAsia"/>
          <w:color w:val="auto"/>
          <w:highlight w:val="none"/>
          <w:lang w:eastAsia="zh-CN"/>
        </w:rPr>
        <w:t>安全</w:t>
      </w:r>
      <w:r>
        <w:rPr>
          <w:rFonts w:hint="eastAsia"/>
          <w:color w:val="auto"/>
          <w:highlight w:val="none"/>
        </w:rPr>
        <w:t>信息文件，并对文件的质量负责，包括但不限于安全隐患整改回复、安全事故事件报告、安全工作总结、安全工作计划、</w:t>
      </w:r>
      <w:r>
        <w:rPr>
          <w:rFonts w:hint="eastAsia"/>
          <w:color w:val="auto"/>
          <w:highlight w:val="none"/>
          <w:lang w:eastAsia="zh-CN"/>
        </w:rPr>
        <w:t>安全</w:t>
      </w:r>
      <w:r>
        <w:rPr>
          <w:rFonts w:hint="eastAsia"/>
          <w:color w:val="auto"/>
          <w:highlight w:val="none"/>
        </w:rPr>
        <w:t>管理月报、安全方案与措施、特种设备有关资料、特种作业人员资质证件等。</w:t>
      </w:r>
    </w:p>
    <w:p>
      <w:pPr>
        <w:pStyle w:val="3"/>
        <w:bidi w:val="0"/>
        <w:rPr>
          <w:color w:val="auto"/>
          <w:highlight w:val="none"/>
        </w:rPr>
      </w:pPr>
      <w:bookmarkStart w:id="1184" w:name="_Toc29431"/>
      <w:bookmarkStart w:id="1185" w:name="_Toc26737"/>
      <w:bookmarkStart w:id="1186" w:name="_Toc169722259"/>
      <w:bookmarkStart w:id="1187" w:name="_Toc1388"/>
      <w:bookmarkStart w:id="1188" w:name="_Toc11049"/>
      <w:bookmarkStart w:id="1189" w:name="_Toc12287"/>
      <w:bookmarkStart w:id="1190" w:name="_Toc11106"/>
      <w:bookmarkStart w:id="1191" w:name="_Toc18259"/>
      <w:bookmarkStart w:id="1192" w:name="_Toc20996"/>
      <w:bookmarkStart w:id="1193" w:name="_Toc1184"/>
      <w:bookmarkStart w:id="1194" w:name="_Toc32479"/>
      <w:bookmarkStart w:id="1195" w:name="_Toc7395"/>
      <w:r>
        <w:rPr>
          <w:rFonts w:hint="eastAsia"/>
          <w:color w:val="auto"/>
          <w:highlight w:val="none"/>
        </w:rPr>
        <w:t>生态环境保护</w:t>
      </w:r>
      <w:bookmarkEnd w:id="1184"/>
      <w:bookmarkEnd w:id="1185"/>
      <w:bookmarkEnd w:id="1186"/>
      <w:bookmarkEnd w:id="1187"/>
      <w:bookmarkEnd w:id="1188"/>
      <w:bookmarkEnd w:id="1189"/>
      <w:bookmarkEnd w:id="1190"/>
      <w:bookmarkEnd w:id="1191"/>
      <w:bookmarkEnd w:id="1192"/>
      <w:bookmarkEnd w:id="1193"/>
      <w:bookmarkEnd w:id="1194"/>
      <w:bookmarkEnd w:id="1195"/>
    </w:p>
    <w:p>
      <w:pPr>
        <w:pStyle w:val="4"/>
        <w:bidi w:val="0"/>
        <w:rPr>
          <w:color w:val="auto"/>
          <w:highlight w:val="none"/>
        </w:rPr>
      </w:pPr>
      <w:r>
        <w:rPr>
          <w:rFonts w:hint="eastAsia"/>
          <w:color w:val="auto"/>
          <w:highlight w:val="none"/>
        </w:rPr>
        <w:t>总承包人是生态环境保护工作的第一责任单位，对生态环境保护工作负总责。</w:t>
      </w:r>
    </w:p>
    <w:p>
      <w:pPr>
        <w:pStyle w:val="4"/>
        <w:bidi w:val="0"/>
        <w:rPr>
          <w:color w:val="auto"/>
          <w:highlight w:val="none"/>
        </w:rPr>
      </w:pPr>
      <w:r>
        <w:rPr>
          <w:rFonts w:hint="eastAsia"/>
          <w:color w:val="auto"/>
          <w:highlight w:val="none"/>
        </w:rPr>
        <w:t>总承包人应当及时按照法律法规要求办理有关环保的许可、证照。涉及由发包人办理的有关环保许可、证照，发包人可以要求总承包人代办或者提供其他协助，总承包人应当无条件配合。</w:t>
      </w:r>
    </w:p>
    <w:p>
      <w:pPr>
        <w:pStyle w:val="4"/>
        <w:bidi w:val="0"/>
        <w:rPr>
          <w:color w:val="auto"/>
          <w:highlight w:val="none"/>
        </w:rPr>
      </w:pPr>
      <w:r>
        <w:rPr>
          <w:rFonts w:hint="eastAsia"/>
          <w:color w:val="auto"/>
          <w:highlight w:val="none"/>
        </w:rPr>
        <w:t>总承包人</w:t>
      </w:r>
      <w:bookmarkStart w:id="1196" w:name="_Hlk166189090"/>
      <w:r>
        <w:rPr>
          <w:rFonts w:hint="eastAsia"/>
          <w:color w:val="auto"/>
          <w:highlight w:val="none"/>
        </w:rPr>
        <w:t>应当严格落实施工现场“工地周边围挡 100%、物料堆放覆盖（包括裸土）100%、出入车辆清洗100%、路面硬化100%、渣土车辆密闭运输100%、土方开挖及拆除湿法作业100%”六个百分之百要求和属地政府相关规定。</w:t>
      </w:r>
      <w:bookmarkEnd w:id="1196"/>
    </w:p>
    <w:p>
      <w:pPr>
        <w:pStyle w:val="4"/>
        <w:bidi w:val="0"/>
        <w:rPr>
          <w:color w:val="auto"/>
          <w:highlight w:val="none"/>
        </w:rPr>
      </w:pPr>
      <w:bookmarkStart w:id="1197" w:name="_Hlk166189139"/>
      <w:r>
        <w:rPr>
          <w:rFonts w:hint="eastAsia"/>
          <w:color w:val="auto"/>
          <w:highlight w:val="none"/>
        </w:rPr>
        <w:t>施工现场的机械设备、车辆的尾气排放应当同时符合国家和属地政府的环保排放标准。</w:t>
      </w:r>
      <w:bookmarkEnd w:id="1197"/>
    </w:p>
    <w:p>
      <w:pPr>
        <w:pStyle w:val="4"/>
        <w:bidi w:val="0"/>
        <w:rPr>
          <w:color w:val="auto"/>
          <w:highlight w:val="none"/>
        </w:rPr>
      </w:pPr>
      <w:r>
        <w:rPr>
          <w:rFonts w:hint="eastAsia"/>
          <w:color w:val="auto"/>
          <w:highlight w:val="none"/>
        </w:rPr>
        <w:t>总承包人</w:t>
      </w:r>
      <w:bookmarkStart w:id="1198" w:name="_Hlk166189224"/>
      <w:r>
        <w:rPr>
          <w:rFonts w:hint="eastAsia"/>
          <w:color w:val="auto"/>
          <w:highlight w:val="none"/>
        </w:rPr>
        <w:t>应当落实属地政府重污染天气预警的有关要求。</w:t>
      </w:r>
      <w:bookmarkEnd w:id="1198"/>
    </w:p>
    <w:p>
      <w:pPr>
        <w:pStyle w:val="4"/>
        <w:bidi w:val="0"/>
        <w:rPr>
          <w:color w:val="auto"/>
          <w:highlight w:val="none"/>
        </w:rPr>
      </w:pPr>
      <w:r>
        <w:rPr>
          <w:rFonts w:hint="eastAsia"/>
          <w:color w:val="auto"/>
          <w:highlight w:val="none"/>
        </w:rPr>
        <w:t>建筑施工昼间噪音不得超过70db，夜间噪音不得超过55db，超过建筑施工现场噪音限值时，总承包人应按规定向建设行政主管部门和环保部门申报，经核准后方能作业。</w:t>
      </w:r>
    </w:p>
    <w:p>
      <w:pPr>
        <w:pStyle w:val="4"/>
        <w:bidi w:val="0"/>
        <w:rPr>
          <w:color w:val="auto"/>
          <w:highlight w:val="none"/>
        </w:rPr>
      </w:pPr>
      <w:r>
        <w:rPr>
          <w:rFonts w:hint="eastAsia"/>
          <w:color w:val="auto"/>
          <w:highlight w:val="none"/>
        </w:rPr>
        <w:t>总承包人应当严格执行《中华人民共和国环境噪声污染防治法》相关要求，禁止夜间（当日 22 时至次日 6 时）在城市噪声敏感建筑物集中区域内开展产生环境噪声污染的施工作业，但抢修、抢险作业和因生产工艺上要求或者特殊需要必须连续作业的除外。因混凝土浇筑等施工工艺需要或其他特殊要求必须连续作业时，及时办理夜间施工许可证，提前公告附近居民，并落实增加噪声隔离设施，优化施工工序等降噪措施。</w:t>
      </w:r>
    </w:p>
    <w:p>
      <w:pPr>
        <w:pStyle w:val="4"/>
        <w:bidi w:val="0"/>
        <w:rPr>
          <w:color w:val="auto"/>
          <w:highlight w:val="none"/>
        </w:rPr>
      </w:pPr>
      <w:r>
        <w:rPr>
          <w:rFonts w:hint="eastAsia"/>
          <w:color w:val="auto"/>
          <w:highlight w:val="none"/>
        </w:rPr>
        <w:t>总承包人</w:t>
      </w:r>
      <w:bookmarkStart w:id="1199" w:name="_Hlk166189280"/>
      <w:r>
        <w:rPr>
          <w:rFonts w:hint="eastAsia"/>
          <w:color w:val="auto"/>
          <w:highlight w:val="none"/>
        </w:rPr>
        <w:t>应严格落实属地政府在重要节假日、会议、特殊时期（中考、高考、重要赛事等）等作出的停工管控等相关要求。</w:t>
      </w:r>
      <w:bookmarkEnd w:id="1199"/>
    </w:p>
    <w:p>
      <w:pPr>
        <w:pStyle w:val="3"/>
        <w:bidi w:val="0"/>
        <w:rPr>
          <w:color w:val="auto"/>
          <w:highlight w:val="none"/>
        </w:rPr>
      </w:pPr>
      <w:bookmarkStart w:id="1200" w:name="_Toc2066"/>
      <w:bookmarkStart w:id="1201" w:name="_Toc19490"/>
      <w:bookmarkStart w:id="1202" w:name="_Toc169722260"/>
      <w:bookmarkStart w:id="1203" w:name="_Toc24350"/>
      <w:bookmarkStart w:id="1204" w:name="_Toc21361"/>
      <w:bookmarkStart w:id="1205" w:name="_Toc31978"/>
      <w:bookmarkStart w:id="1206" w:name="_Toc15262"/>
      <w:bookmarkStart w:id="1207" w:name="_Toc24282"/>
      <w:bookmarkStart w:id="1208" w:name="_Toc6451"/>
      <w:bookmarkStart w:id="1209" w:name="_Toc30405"/>
      <w:bookmarkStart w:id="1210" w:name="_Toc31027"/>
      <w:bookmarkStart w:id="1211" w:name="_Toc17454"/>
      <w:r>
        <w:rPr>
          <w:rFonts w:hint="eastAsia"/>
          <w:color w:val="auto"/>
          <w:highlight w:val="none"/>
        </w:rPr>
        <w:t>工伤保险及安全生产责任保险</w:t>
      </w:r>
      <w:bookmarkEnd w:id="1200"/>
      <w:bookmarkEnd w:id="1201"/>
      <w:bookmarkEnd w:id="1202"/>
      <w:bookmarkEnd w:id="1203"/>
      <w:bookmarkEnd w:id="1204"/>
      <w:bookmarkEnd w:id="1205"/>
      <w:bookmarkEnd w:id="1206"/>
      <w:bookmarkEnd w:id="1207"/>
      <w:bookmarkEnd w:id="1208"/>
      <w:bookmarkEnd w:id="1209"/>
      <w:bookmarkEnd w:id="1210"/>
      <w:bookmarkEnd w:id="1211"/>
    </w:p>
    <w:p>
      <w:pPr>
        <w:pStyle w:val="4"/>
        <w:bidi w:val="0"/>
        <w:rPr>
          <w:color w:val="auto"/>
          <w:highlight w:val="none"/>
        </w:rPr>
      </w:pPr>
      <w:r>
        <w:rPr>
          <w:rFonts w:hint="eastAsia"/>
          <w:color w:val="auto"/>
          <w:highlight w:val="none"/>
        </w:rPr>
        <w:t>总承包人必须依法为本项目总承包人及</w:t>
      </w:r>
      <w:r>
        <w:rPr>
          <w:rFonts w:hint="eastAsia"/>
          <w:color w:val="auto"/>
          <w:highlight w:val="none"/>
          <w:lang w:eastAsia="zh-CN"/>
        </w:rPr>
        <w:t>专业承包</w:t>
      </w:r>
      <w:r>
        <w:rPr>
          <w:rFonts w:hint="eastAsia"/>
          <w:color w:val="auto"/>
          <w:highlight w:val="none"/>
        </w:rPr>
        <w:t>人的</w:t>
      </w:r>
      <w:bookmarkStart w:id="1212" w:name="_Hlk166189358"/>
      <w:r>
        <w:rPr>
          <w:rFonts w:hint="eastAsia"/>
          <w:color w:val="auto"/>
          <w:highlight w:val="none"/>
        </w:rPr>
        <w:t>项目管理人员、建筑工人等</w:t>
      </w:r>
      <w:bookmarkEnd w:id="1212"/>
      <w:r>
        <w:rPr>
          <w:rFonts w:hint="eastAsia"/>
          <w:color w:val="auto"/>
          <w:highlight w:val="none"/>
        </w:rPr>
        <w:t>从业人员购买工伤保险</w:t>
      </w:r>
      <w:bookmarkStart w:id="1213" w:name="_Hlk166189373"/>
      <w:r>
        <w:rPr>
          <w:rFonts w:hint="eastAsia"/>
          <w:color w:val="auto"/>
          <w:highlight w:val="none"/>
        </w:rPr>
        <w:t>，为从业人员缴纳保险费</w:t>
      </w:r>
      <w:bookmarkEnd w:id="1213"/>
      <w:r>
        <w:rPr>
          <w:rFonts w:hint="eastAsia"/>
          <w:color w:val="auto"/>
          <w:highlight w:val="none"/>
        </w:rPr>
        <w:t>。从业人员可以按用人单位参加工伤保险，也可以按项目参加所在地的工伤保险。其中，相对固定的职工，应按用人单位参加工伤保险。对不能按用人单位参保、流动性大的职工特别是农民工，应按项目参加所在地的工伤保险。总承包人应当在本项目取得施工许可证之前完成工伤保险参保。</w:t>
      </w:r>
    </w:p>
    <w:p>
      <w:pPr>
        <w:pStyle w:val="4"/>
        <w:bidi w:val="0"/>
        <w:rPr>
          <w:color w:val="auto"/>
          <w:highlight w:val="none"/>
        </w:rPr>
      </w:pPr>
      <w:r>
        <w:rPr>
          <w:rFonts w:hint="eastAsia"/>
          <w:color w:val="auto"/>
          <w:highlight w:val="none"/>
        </w:rPr>
        <w:t>总承包人应当按照国家规定为本项目投保安全生产责任保险，并在本项目取得施工许可证1个月以内完成安全生产责任保险投保。</w:t>
      </w:r>
    </w:p>
    <w:p>
      <w:pPr>
        <w:pStyle w:val="4"/>
        <w:bidi w:val="0"/>
        <w:rPr>
          <w:color w:val="auto"/>
          <w:highlight w:val="none"/>
        </w:rPr>
      </w:pPr>
      <w:r>
        <w:rPr>
          <w:rFonts w:hint="eastAsia"/>
          <w:color w:val="auto"/>
          <w:highlight w:val="none"/>
        </w:rPr>
        <w:t>从业人员遭受职业伤害</w:t>
      </w:r>
      <w:bookmarkStart w:id="1214" w:name="_Hlk166189392"/>
      <w:r>
        <w:rPr>
          <w:rFonts w:hint="eastAsia"/>
          <w:color w:val="auto"/>
          <w:highlight w:val="none"/>
        </w:rPr>
        <w:t>、生产安全事故</w:t>
      </w:r>
      <w:bookmarkEnd w:id="1214"/>
      <w:r>
        <w:rPr>
          <w:rFonts w:hint="eastAsia"/>
          <w:color w:val="auto"/>
          <w:highlight w:val="none"/>
        </w:rPr>
        <w:t>时，总承包人应当牵头办理保险理赔工作，保障其合法权益。</w:t>
      </w:r>
    </w:p>
    <w:bookmarkEnd w:id="1008"/>
    <w:p>
      <w:pPr>
        <w:pStyle w:val="4"/>
        <w:numPr>
          <w:ilvl w:val="2"/>
          <w:numId w:val="0"/>
        </w:numPr>
        <w:rPr>
          <w:color w:val="auto"/>
          <w:highlight w:val="none"/>
        </w:rPr>
      </w:pPr>
      <w:r>
        <w:rPr>
          <w:rFonts w:hint="eastAsia"/>
          <w:color w:val="auto"/>
          <w:highlight w:val="none"/>
          <w:lang w:val="en-US" w:eastAsia="zh-CN"/>
        </w:rPr>
        <w:t xml:space="preserve">8.17 </w:t>
      </w:r>
      <w:r>
        <w:rPr>
          <w:rFonts w:hint="eastAsia"/>
          <w:color w:val="auto"/>
          <w:highlight w:val="none"/>
        </w:rPr>
        <w:t>临时用电管理要求：</w:t>
      </w:r>
    </w:p>
    <w:p>
      <w:pPr>
        <w:bidi w:val="0"/>
        <w:rPr>
          <w:color w:val="auto"/>
          <w:highlight w:val="none"/>
        </w:rPr>
      </w:pPr>
      <w:r>
        <w:rPr>
          <w:rFonts w:hint="eastAsia"/>
          <w:color w:val="auto"/>
          <w:highlight w:val="none"/>
          <w:lang w:eastAsia="zh-CN"/>
        </w:rPr>
        <w:t>（</w:t>
      </w:r>
      <w:r>
        <w:rPr>
          <w:rFonts w:hint="eastAsia"/>
          <w:color w:val="auto"/>
          <w:highlight w:val="none"/>
          <w:lang w:val="en-US" w:eastAsia="zh-CN"/>
        </w:rPr>
        <w:t>1</w:t>
      </w:r>
      <w:r>
        <w:rPr>
          <w:rFonts w:hint="eastAsia"/>
          <w:color w:val="auto"/>
          <w:highlight w:val="none"/>
          <w:lang w:eastAsia="zh-CN"/>
        </w:rPr>
        <w:t>）</w:t>
      </w:r>
      <w:r>
        <w:rPr>
          <w:rFonts w:hint="eastAsia"/>
          <w:color w:val="auto"/>
          <w:highlight w:val="none"/>
        </w:rPr>
        <w:t>总承包人应对临时用电设施设备进行集中采购，避免劳务队伍、施工班组、作业人员自购、自带临时用电设施设备入场使用；所有配电箱包括开关箱以及电缆等临时配电箱应当是全新或者经过翻新整备的产品，配电箱、电缆及其他附件进场前需报监理验收，合格后方可进场；二级箱及以下电箱应使用工业插座，所有分配电箱至末端箱，末端箱至用电设备的电缆应架空或者穿管（材质不低于PVC软管）投标时费用一并考虑；总承包人应按照每40000㎡配备1名专职持证电工，对本项目临时用电进行日常维护管理。临时配电箱应使用工业插座取电，电缆线应穿管保护。</w:t>
      </w:r>
    </w:p>
    <w:p>
      <w:pPr>
        <w:bidi w:val="0"/>
        <w:rPr>
          <w:color w:val="auto"/>
          <w:highlight w:val="none"/>
        </w:rPr>
      </w:pPr>
      <w:r>
        <w:rPr>
          <w:rFonts w:hint="eastAsia"/>
          <w:color w:val="auto"/>
          <w:highlight w:val="none"/>
          <w:lang w:eastAsia="zh-CN"/>
        </w:rPr>
        <w:t>（</w:t>
      </w:r>
      <w:r>
        <w:rPr>
          <w:rFonts w:hint="eastAsia"/>
          <w:color w:val="auto"/>
          <w:highlight w:val="none"/>
          <w:lang w:val="en-US" w:eastAsia="zh-CN"/>
        </w:rPr>
        <w:t>2</w:t>
      </w:r>
      <w:r>
        <w:rPr>
          <w:rFonts w:hint="eastAsia"/>
          <w:color w:val="auto"/>
          <w:highlight w:val="none"/>
          <w:lang w:eastAsia="zh-CN"/>
        </w:rPr>
        <w:t>）</w:t>
      </w:r>
      <w:r>
        <w:rPr>
          <w:rFonts w:hint="eastAsia"/>
          <w:color w:val="auto"/>
          <w:highlight w:val="none"/>
        </w:rPr>
        <w:t>总承包人应编制临时用电组织设计，对临时用电安全实施统一管理，对临时用电设施设备执行验收机制，验收合格的统一张贴或悬挂验收合格牌，未经验收合格的禁止使用。</w:t>
      </w:r>
    </w:p>
    <w:p>
      <w:pPr>
        <w:bidi w:val="0"/>
        <w:rPr>
          <w:color w:val="auto"/>
          <w:highlight w:val="none"/>
        </w:rPr>
      </w:pPr>
      <w:r>
        <w:rPr>
          <w:rFonts w:hint="eastAsia"/>
          <w:color w:val="auto"/>
          <w:highlight w:val="none"/>
          <w:lang w:eastAsia="zh-CN"/>
        </w:rPr>
        <w:t>（</w:t>
      </w:r>
      <w:r>
        <w:rPr>
          <w:rFonts w:hint="eastAsia"/>
          <w:color w:val="auto"/>
          <w:highlight w:val="none"/>
          <w:lang w:val="en-US" w:eastAsia="zh-CN"/>
        </w:rPr>
        <w:t>3</w:t>
      </w:r>
      <w:r>
        <w:rPr>
          <w:rFonts w:hint="eastAsia"/>
          <w:color w:val="auto"/>
          <w:highlight w:val="none"/>
          <w:lang w:eastAsia="zh-CN"/>
        </w:rPr>
        <w:t>）</w:t>
      </w:r>
      <w:r>
        <w:rPr>
          <w:rFonts w:hint="eastAsia"/>
          <w:color w:val="auto"/>
          <w:highlight w:val="none"/>
        </w:rPr>
        <w:t>总承包人应制定临时用电安全标准化做法并实施样板管理，应在入场后15个工作日上报发包人备案。标准化做法至少包括以下内容：</w:t>
      </w:r>
    </w:p>
    <w:p>
      <w:pPr>
        <w:bidi w:val="0"/>
        <w:rPr>
          <w:color w:val="auto"/>
          <w:highlight w:val="none"/>
        </w:rPr>
      </w:pPr>
      <w:r>
        <w:rPr>
          <w:rFonts w:hint="eastAsia"/>
          <w:color w:val="auto"/>
          <w:highlight w:val="none"/>
        </w:rPr>
        <w:t>——临时用电配电箱配置标准及电器元件选用原则；</w:t>
      </w:r>
    </w:p>
    <w:p>
      <w:pPr>
        <w:bidi w:val="0"/>
        <w:rPr>
          <w:color w:val="auto"/>
          <w:highlight w:val="none"/>
        </w:rPr>
      </w:pPr>
      <w:r>
        <w:rPr>
          <w:rFonts w:hint="eastAsia"/>
          <w:color w:val="auto"/>
          <w:highlight w:val="none"/>
        </w:rPr>
        <w:t>——临时用电配电箱颜色、安全警示标识设置标准；</w:t>
      </w:r>
    </w:p>
    <w:p>
      <w:pPr>
        <w:bidi w:val="0"/>
        <w:rPr>
          <w:color w:val="auto"/>
          <w:highlight w:val="none"/>
        </w:rPr>
      </w:pPr>
      <w:r>
        <w:rPr>
          <w:rFonts w:hint="eastAsia"/>
          <w:color w:val="auto"/>
          <w:highlight w:val="none"/>
        </w:rPr>
        <w:t>——临时用电配电箱支架高度、防护做法；</w:t>
      </w:r>
    </w:p>
    <w:p>
      <w:pPr>
        <w:bidi w:val="0"/>
        <w:rPr>
          <w:color w:val="auto"/>
          <w:highlight w:val="none"/>
        </w:rPr>
      </w:pPr>
      <w:r>
        <w:rPr>
          <w:rFonts w:hint="eastAsia"/>
          <w:color w:val="auto"/>
          <w:highlight w:val="none"/>
        </w:rPr>
        <w:t>——临时用电电缆敷设（包括埋设、架空及垂直敷设）标准做法。</w:t>
      </w:r>
    </w:p>
    <w:p>
      <w:pPr>
        <w:bidi w:val="0"/>
        <w:rPr>
          <w:color w:val="auto"/>
          <w:highlight w:val="none"/>
        </w:rPr>
      </w:pPr>
      <w:r>
        <w:rPr>
          <w:rFonts w:hint="eastAsia"/>
          <w:color w:val="auto"/>
          <w:highlight w:val="none"/>
          <w:lang w:eastAsia="zh-CN"/>
        </w:rPr>
        <w:t>（</w:t>
      </w:r>
      <w:r>
        <w:rPr>
          <w:rFonts w:hint="eastAsia"/>
          <w:color w:val="auto"/>
          <w:highlight w:val="none"/>
          <w:lang w:val="en-US" w:eastAsia="zh-CN"/>
        </w:rPr>
        <w:t>4</w:t>
      </w:r>
      <w:r>
        <w:rPr>
          <w:rFonts w:hint="eastAsia"/>
          <w:color w:val="auto"/>
          <w:highlight w:val="none"/>
          <w:lang w:eastAsia="zh-CN"/>
        </w:rPr>
        <w:t>）</w:t>
      </w:r>
      <w:r>
        <w:rPr>
          <w:rFonts w:hint="eastAsia"/>
          <w:color w:val="auto"/>
          <w:highlight w:val="none"/>
        </w:rPr>
        <w:t>临时用电系统进行安拆、维修、改造时，总承包人应保证各项安全警戒、断电上锁、专人监护等安全措施落实到位。</w:t>
      </w:r>
    </w:p>
    <w:p>
      <w:pPr>
        <w:pStyle w:val="3"/>
        <w:bidi w:val="0"/>
        <w:rPr>
          <w:color w:val="auto"/>
          <w:highlight w:val="none"/>
        </w:rPr>
      </w:pPr>
      <w:bookmarkStart w:id="1215" w:name="_Toc32727"/>
      <w:bookmarkStart w:id="1216" w:name="_Toc30093"/>
      <w:bookmarkStart w:id="1217" w:name="_Toc4657"/>
      <w:bookmarkStart w:id="1218" w:name="_Toc14054"/>
      <w:bookmarkStart w:id="1219" w:name="_Toc16715"/>
      <w:bookmarkStart w:id="1220" w:name="_Toc14280"/>
      <w:bookmarkStart w:id="1221" w:name="_Toc20450"/>
      <w:bookmarkStart w:id="1222" w:name="_Toc23689"/>
      <w:r>
        <w:rPr>
          <w:rFonts w:hint="eastAsia"/>
          <w:color w:val="auto"/>
          <w:highlight w:val="none"/>
        </w:rPr>
        <w:t>高处作业管理要求：</w:t>
      </w:r>
      <w:bookmarkEnd w:id="1215"/>
      <w:bookmarkEnd w:id="1216"/>
      <w:bookmarkEnd w:id="1217"/>
      <w:bookmarkEnd w:id="1218"/>
      <w:bookmarkEnd w:id="1219"/>
      <w:bookmarkEnd w:id="1220"/>
      <w:bookmarkEnd w:id="1221"/>
      <w:bookmarkEnd w:id="1222"/>
    </w:p>
    <w:p>
      <w:pPr>
        <w:bidi w:val="0"/>
        <w:rPr>
          <w:color w:val="auto"/>
          <w:highlight w:val="none"/>
        </w:rPr>
      </w:pPr>
      <w:r>
        <w:rPr>
          <w:rFonts w:hint="eastAsia"/>
          <w:color w:val="auto"/>
          <w:highlight w:val="none"/>
          <w:lang w:eastAsia="zh-CN"/>
        </w:rPr>
        <w:t>（</w:t>
      </w:r>
      <w:r>
        <w:rPr>
          <w:rFonts w:hint="eastAsia"/>
          <w:color w:val="auto"/>
          <w:highlight w:val="none"/>
          <w:lang w:val="en-US" w:eastAsia="zh-CN"/>
        </w:rPr>
        <w:t>1</w:t>
      </w:r>
      <w:r>
        <w:rPr>
          <w:rFonts w:hint="eastAsia"/>
          <w:color w:val="auto"/>
          <w:highlight w:val="none"/>
          <w:lang w:eastAsia="zh-CN"/>
        </w:rPr>
        <w:t>）</w:t>
      </w:r>
      <w:r>
        <w:rPr>
          <w:rFonts w:hint="eastAsia"/>
          <w:color w:val="auto"/>
          <w:highlight w:val="none"/>
        </w:rPr>
        <w:t>为保证劳动防护用品的质量，总承包人应对劳动防护用品进行“集中采购、统一管理”。对于批量采购的劳动防护用品，承包人应报监理验收，并按照不低于2%的比例进行现场性能试验，并做好验收及试验记录。</w:t>
      </w:r>
    </w:p>
    <w:p>
      <w:pPr>
        <w:bidi w:val="0"/>
        <w:rPr>
          <w:color w:val="auto"/>
          <w:highlight w:val="none"/>
        </w:rPr>
      </w:pPr>
      <w:r>
        <w:rPr>
          <w:rFonts w:hint="eastAsia"/>
          <w:color w:val="auto"/>
          <w:highlight w:val="none"/>
          <w:lang w:eastAsia="zh-CN"/>
        </w:rPr>
        <w:t>（</w:t>
      </w:r>
      <w:r>
        <w:rPr>
          <w:rFonts w:hint="eastAsia"/>
          <w:color w:val="auto"/>
          <w:highlight w:val="none"/>
          <w:lang w:val="en-US" w:eastAsia="zh-CN"/>
        </w:rPr>
        <w:t>2</w:t>
      </w:r>
      <w:r>
        <w:rPr>
          <w:rFonts w:hint="eastAsia"/>
          <w:color w:val="auto"/>
          <w:highlight w:val="none"/>
          <w:lang w:eastAsia="zh-CN"/>
        </w:rPr>
        <w:t>）</w:t>
      </w:r>
      <w:r>
        <w:rPr>
          <w:rFonts w:hint="eastAsia"/>
          <w:color w:val="auto"/>
          <w:highlight w:val="none"/>
        </w:rPr>
        <w:t>现场所有登高作业平台含人字梯经验收挂牌后方可投入使用，禁止使用自制单边木制梯、马凳等，总承包人应采用市场上成熟的定型化登高作业平台或工具。操作平台须采用成品铝合金操作平台、定型化登高操作平台、定型化人字梯等。</w:t>
      </w:r>
    </w:p>
    <w:p>
      <w:pPr>
        <w:bidi w:val="0"/>
        <w:rPr>
          <w:color w:val="auto"/>
          <w:highlight w:val="none"/>
        </w:rPr>
      </w:pPr>
      <w:r>
        <w:rPr>
          <w:rFonts w:hint="eastAsia"/>
          <w:color w:val="auto"/>
          <w:highlight w:val="none"/>
          <w:lang w:eastAsia="zh-CN"/>
        </w:rPr>
        <w:t>（</w:t>
      </w:r>
      <w:r>
        <w:rPr>
          <w:rFonts w:hint="eastAsia"/>
          <w:color w:val="auto"/>
          <w:highlight w:val="none"/>
          <w:lang w:val="en-US" w:eastAsia="zh-CN"/>
        </w:rPr>
        <w:t>3</w:t>
      </w:r>
      <w:r>
        <w:rPr>
          <w:rFonts w:hint="eastAsia"/>
          <w:color w:val="auto"/>
          <w:highlight w:val="none"/>
          <w:lang w:eastAsia="zh-CN"/>
        </w:rPr>
        <w:t>）</w:t>
      </w:r>
      <w:r>
        <w:rPr>
          <w:rFonts w:hint="eastAsia"/>
          <w:color w:val="auto"/>
          <w:highlight w:val="none"/>
        </w:rPr>
        <w:t>高处作业人员应配备符合相关国家标准的五点式双大钩安全带。</w:t>
      </w:r>
    </w:p>
    <w:p>
      <w:pPr>
        <w:pStyle w:val="3"/>
        <w:bidi w:val="0"/>
        <w:rPr>
          <w:color w:val="auto"/>
          <w:highlight w:val="none"/>
        </w:rPr>
      </w:pPr>
      <w:bookmarkStart w:id="1223" w:name="_Toc4040"/>
      <w:bookmarkStart w:id="1224" w:name="_Toc23530"/>
      <w:bookmarkStart w:id="1225" w:name="_Toc21667"/>
      <w:bookmarkStart w:id="1226" w:name="_Toc19468"/>
      <w:bookmarkStart w:id="1227" w:name="_Toc8039"/>
      <w:bookmarkStart w:id="1228" w:name="_Toc22395"/>
      <w:bookmarkStart w:id="1229" w:name="_Toc13629"/>
      <w:bookmarkStart w:id="1230" w:name="_Toc20781"/>
      <w:r>
        <w:rPr>
          <w:rFonts w:hint="eastAsia"/>
          <w:color w:val="auto"/>
          <w:highlight w:val="none"/>
        </w:rPr>
        <w:t>脚手架工程管理要求：</w:t>
      </w:r>
      <w:bookmarkEnd w:id="1223"/>
      <w:bookmarkEnd w:id="1224"/>
      <w:bookmarkEnd w:id="1225"/>
      <w:bookmarkEnd w:id="1226"/>
      <w:bookmarkEnd w:id="1227"/>
      <w:bookmarkEnd w:id="1228"/>
      <w:bookmarkEnd w:id="1229"/>
      <w:bookmarkEnd w:id="1230"/>
    </w:p>
    <w:p>
      <w:pPr>
        <w:bidi w:val="0"/>
        <w:rPr>
          <w:color w:val="auto"/>
          <w:highlight w:val="none"/>
        </w:rPr>
      </w:pPr>
      <w:r>
        <w:rPr>
          <w:rFonts w:hint="eastAsia"/>
          <w:color w:val="auto"/>
          <w:highlight w:val="none"/>
          <w:lang w:eastAsia="zh-CN"/>
        </w:rPr>
        <w:t>（</w:t>
      </w:r>
      <w:r>
        <w:rPr>
          <w:rFonts w:hint="eastAsia"/>
          <w:color w:val="auto"/>
          <w:highlight w:val="none"/>
          <w:lang w:val="en-US" w:eastAsia="zh-CN"/>
        </w:rPr>
        <w:t>1</w:t>
      </w:r>
      <w:r>
        <w:rPr>
          <w:rFonts w:hint="eastAsia"/>
          <w:color w:val="auto"/>
          <w:highlight w:val="none"/>
          <w:lang w:eastAsia="zh-CN"/>
        </w:rPr>
        <w:t>）</w:t>
      </w:r>
      <w:r>
        <w:rPr>
          <w:rFonts w:hint="eastAsia"/>
          <w:color w:val="auto"/>
          <w:highlight w:val="none"/>
        </w:rPr>
        <w:t>在搭设模板支持体系时应同步搭设结构临边、预留洞口、吊料口、流水断面等临边防护措施并作为架体验收前置条件，高支模体系应在内部至少设置一道水平兜网；涉及到后浇带的应独立搭设并在模板支撑方案中予以明确。</w:t>
      </w:r>
    </w:p>
    <w:p>
      <w:pPr>
        <w:bidi w:val="0"/>
        <w:rPr>
          <w:color w:val="auto"/>
          <w:highlight w:val="none"/>
        </w:rPr>
      </w:pPr>
      <w:r>
        <w:rPr>
          <w:rFonts w:hint="eastAsia"/>
          <w:color w:val="auto"/>
          <w:highlight w:val="none"/>
          <w:lang w:eastAsia="zh-CN"/>
        </w:rPr>
        <w:t>（</w:t>
      </w:r>
      <w:r>
        <w:rPr>
          <w:rFonts w:hint="eastAsia"/>
          <w:color w:val="auto"/>
          <w:highlight w:val="none"/>
          <w:lang w:val="en-US" w:eastAsia="zh-CN"/>
        </w:rPr>
        <w:t>2</w:t>
      </w:r>
      <w:r>
        <w:rPr>
          <w:rFonts w:hint="eastAsia"/>
          <w:color w:val="auto"/>
          <w:highlight w:val="none"/>
          <w:lang w:eastAsia="zh-CN"/>
        </w:rPr>
        <w:t>）</w:t>
      </w:r>
      <w:r>
        <w:rPr>
          <w:rFonts w:hint="eastAsia"/>
          <w:color w:val="auto"/>
          <w:highlight w:val="none"/>
        </w:rPr>
        <w:t>吊篮安拆工应按要求持证上岗，吊篮内作业人员应经过关于吊篮使用的专业培训，并经考核合格后由吊篮租赁单位颁发吊篮作业操作证件。</w:t>
      </w:r>
    </w:p>
    <w:p>
      <w:pPr>
        <w:bidi w:val="0"/>
        <w:rPr>
          <w:color w:val="auto"/>
          <w:highlight w:val="none"/>
        </w:rPr>
      </w:pPr>
      <w:r>
        <w:rPr>
          <w:rFonts w:hint="eastAsia"/>
          <w:color w:val="auto"/>
          <w:highlight w:val="none"/>
          <w:lang w:eastAsia="zh-CN"/>
        </w:rPr>
        <w:t>（</w:t>
      </w:r>
      <w:r>
        <w:rPr>
          <w:rFonts w:hint="eastAsia"/>
          <w:color w:val="auto"/>
          <w:highlight w:val="none"/>
          <w:lang w:val="en-US" w:eastAsia="zh-CN"/>
        </w:rPr>
        <w:t>3</w:t>
      </w:r>
      <w:r>
        <w:rPr>
          <w:rFonts w:hint="eastAsia"/>
          <w:color w:val="auto"/>
          <w:highlight w:val="none"/>
          <w:lang w:eastAsia="zh-CN"/>
        </w:rPr>
        <w:t>）</w:t>
      </w:r>
      <w:r>
        <w:rPr>
          <w:rFonts w:hint="eastAsia"/>
          <w:color w:val="auto"/>
          <w:highlight w:val="none"/>
        </w:rPr>
        <w:t>安拆工应按要求持证上岗，除投入使用前需做第三方检测外，检测报告报监理核查备案。</w:t>
      </w:r>
    </w:p>
    <w:p>
      <w:pPr>
        <w:pStyle w:val="3"/>
        <w:bidi w:val="0"/>
        <w:rPr>
          <w:color w:val="auto"/>
          <w:highlight w:val="none"/>
        </w:rPr>
      </w:pPr>
      <w:bookmarkStart w:id="1231" w:name="_Toc17464"/>
      <w:bookmarkStart w:id="1232" w:name="_Toc1443"/>
      <w:bookmarkStart w:id="1233" w:name="_Toc21598"/>
      <w:bookmarkStart w:id="1234" w:name="_Toc9302"/>
      <w:bookmarkStart w:id="1235" w:name="_Toc11159"/>
      <w:bookmarkStart w:id="1236" w:name="_Toc23696"/>
      <w:bookmarkStart w:id="1237" w:name="_Toc32580"/>
      <w:bookmarkStart w:id="1238" w:name="_Toc18524"/>
      <w:r>
        <w:rPr>
          <w:rFonts w:hint="eastAsia"/>
          <w:color w:val="auto"/>
          <w:highlight w:val="none"/>
        </w:rPr>
        <w:t>办公生活区管理</w:t>
      </w:r>
      <w:bookmarkEnd w:id="1231"/>
      <w:bookmarkEnd w:id="1232"/>
      <w:bookmarkEnd w:id="1233"/>
      <w:bookmarkEnd w:id="1234"/>
      <w:bookmarkEnd w:id="1235"/>
      <w:bookmarkEnd w:id="1236"/>
      <w:bookmarkEnd w:id="1237"/>
      <w:bookmarkEnd w:id="1238"/>
    </w:p>
    <w:p>
      <w:pPr>
        <w:rPr>
          <w:color w:val="auto"/>
          <w:highlight w:val="none"/>
        </w:rPr>
      </w:pPr>
      <w:r>
        <w:rPr>
          <w:rFonts w:hint="eastAsia"/>
          <w:color w:val="auto"/>
          <w:highlight w:val="none"/>
        </w:rPr>
        <w:t>禁止在红线内设置生活区，在办公生活区搭设前需上报施工方案至</w:t>
      </w:r>
      <w:r>
        <w:rPr>
          <w:rFonts w:hint="eastAsia"/>
          <w:color w:val="auto"/>
          <w:highlight w:val="none"/>
          <w:lang w:eastAsia="zh-CN"/>
        </w:rPr>
        <w:t>监理人</w:t>
      </w:r>
      <w:r>
        <w:rPr>
          <w:rFonts w:hint="eastAsia"/>
          <w:color w:val="auto"/>
          <w:highlight w:val="none"/>
        </w:rPr>
        <w:t>审批，生活区要求除应严格遵守《建设工程施工现场安全技术规范（GB50720-2011）》和《施工现场临时建筑物技术规范（JGJ/T188-2009）》外，另须在电气安全、消防安全和治安保卫方面落实以下要求：</w:t>
      </w:r>
    </w:p>
    <w:p>
      <w:pPr>
        <w:bidi w:val="0"/>
        <w:rPr>
          <w:color w:val="auto"/>
          <w:highlight w:val="none"/>
        </w:rPr>
      </w:pPr>
      <w:r>
        <w:rPr>
          <w:rFonts w:hint="eastAsia"/>
          <w:color w:val="auto"/>
          <w:highlight w:val="none"/>
          <w:lang w:eastAsia="zh-CN"/>
        </w:rPr>
        <w:t>（</w:t>
      </w:r>
      <w:r>
        <w:rPr>
          <w:rFonts w:hint="eastAsia"/>
          <w:color w:val="auto"/>
          <w:highlight w:val="none"/>
          <w:lang w:val="en-US" w:eastAsia="zh-CN"/>
        </w:rPr>
        <w:t>1</w:t>
      </w:r>
      <w:r>
        <w:rPr>
          <w:rFonts w:hint="eastAsia"/>
          <w:color w:val="auto"/>
          <w:highlight w:val="none"/>
          <w:lang w:eastAsia="zh-CN"/>
        </w:rPr>
        <w:t>）</w:t>
      </w:r>
      <w:r>
        <w:rPr>
          <w:rFonts w:hint="eastAsia"/>
          <w:color w:val="auto"/>
          <w:highlight w:val="none"/>
        </w:rPr>
        <w:t>所有工人宿舍内按床位配置USB接口，宿舍内采用安全电压照明；</w:t>
      </w:r>
    </w:p>
    <w:p>
      <w:pPr>
        <w:bidi w:val="0"/>
        <w:rPr>
          <w:color w:val="auto"/>
          <w:highlight w:val="none"/>
        </w:rPr>
      </w:pPr>
      <w:r>
        <w:rPr>
          <w:rFonts w:hint="eastAsia"/>
          <w:color w:val="auto"/>
          <w:highlight w:val="none"/>
          <w:lang w:eastAsia="zh-CN"/>
        </w:rPr>
        <w:t>（</w:t>
      </w:r>
      <w:r>
        <w:rPr>
          <w:rFonts w:hint="eastAsia"/>
          <w:color w:val="auto"/>
          <w:highlight w:val="none"/>
          <w:lang w:val="en-US" w:eastAsia="zh-CN"/>
        </w:rPr>
        <w:t>2</w:t>
      </w:r>
      <w:r>
        <w:rPr>
          <w:rFonts w:hint="eastAsia"/>
          <w:color w:val="auto"/>
          <w:highlight w:val="none"/>
          <w:lang w:eastAsia="zh-CN"/>
        </w:rPr>
        <w:t>）</w:t>
      </w:r>
      <w:r>
        <w:rPr>
          <w:rFonts w:hint="eastAsia"/>
          <w:color w:val="auto"/>
          <w:highlight w:val="none"/>
        </w:rPr>
        <w:t>工人生活区除食堂和空调用电外一律采用安全低压供电系统，其中空调应采用专用线路取电和空调专用插座；</w:t>
      </w:r>
    </w:p>
    <w:p>
      <w:pPr>
        <w:bidi w:val="0"/>
        <w:rPr>
          <w:color w:val="auto"/>
          <w:highlight w:val="none"/>
        </w:rPr>
      </w:pPr>
      <w:r>
        <w:rPr>
          <w:rFonts w:hint="eastAsia"/>
          <w:color w:val="auto"/>
          <w:highlight w:val="none"/>
          <w:lang w:eastAsia="zh-CN"/>
        </w:rPr>
        <w:t>（</w:t>
      </w:r>
      <w:r>
        <w:rPr>
          <w:rFonts w:hint="eastAsia"/>
          <w:color w:val="auto"/>
          <w:highlight w:val="none"/>
          <w:lang w:val="en-US" w:eastAsia="zh-CN"/>
        </w:rPr>
        <w:t>3</w:t>
      </w:r>
      <w:r>
        <w:rPr>
          <w:rFonts w:hint="eastAsia"/>
          <w:color w:val="auto"/>
          <w:highlight w:val="none"/>
          <w:lang w:eastAsia="zh-CN"/>
        </w:rPr>
        <w:t>）</w:t>
      </w:r>
      <w:r>
        <w:rPr>
          <w:rFonts w:hint="eastAsia"/>
          <w:color w:val="auto"/>
          <w:highlight w:val="none"/>
        </w:rPr>
        <w:t>如有需要工人生活区内可设置集中取电区域（220V/380V）用于手持电动工具充电和使用电吹风等以满足必要的生活和工作用电，但必须配备好消防设施。电动车集中停放、充电区域应与宿舍、厨房等区域保持足够的安全距离，严禁随意停放和私拉电源充电；</w:t>
      </w:r>
    </w:p>
    <w:p>
      <w:pPr>
        <w:bidi w:val="0"/>
        <w:rPr>
          <w:color w:val="auto"/>
          <w:highlight w:val="none"/>
        </w:rPr>
      </w:pPr>
      <w:r>
        <w:rPr>
          <w:rFonts w:hint="eastAsia"/>
          <w:color w:val="auto"/>
          <w:highlight w:val="none"/>
          <w:lang w:eastAsia="zh-CN"/>
        </w:rPr>
        <w:t>（</w:t>
      </w:r>
      <w:r>
        <w:rPr>
          <w:rFonts w:hint="eastAsia"/>
          <w:color w:val="auto"/>
          <w:highlight w:val="none"/>
          <w:lang w:val="en-US" w:eastAsia="zh-CN"/>
        </w:rPr>
        <w:t>4</w:t>
      </w:r>
      <w:r>
        <w:rPr>
          <w:rFonts w:hint="eastAsia"/>
          <w:color w:val="auto"/>
          <w:highlight w:val="none"/>
          <w:lang w:eastAsia="zh-CN"/>
        </w:rPr>
        <w:t>）</w:t>
      </w:r>
      <w:r>
        <w:rPr>
          <w:rFonts w:hint="eastAsia"/>
          <w:color w:val="auto"/>
          <w:highlight w:val="none"/>
        </w:rPr>
        <w:t>食堂使用的各类厨具均应为电厨具，例如电热灶具、电蒸箱等。食堂不得使用采用可产生明火的厨具，包括使用液化气、生物油、醇基液体燃料等作为热源的厨具。</w:t>
      </w:r>
    </w:p>
    <w:p>
      <w:pPr>
        <w:bidi w:val="0"/>
        <w:rPr>
          <w:color w:val="auto"/>
          <w:highlight w:val="none"/>
        </w:rPr>
      </w:pPr>
      <w:r>
        <w:rPr>
          <w:rFonts w:hint="eastAsia"/>
          <w:color w:val="auto"/>
          <w:highlight w:val="none"/>
          <w:lang w:eastAsia="zh-CN"/>
        </w:rPr>
        <w:t>（</w:t>
      </w:r>
      <w:r>
        <w:rPr>
          <w:rFonts w:hint="eastAsia"/>
          <w:color w:val="auto"/>
          <w:highlight w:val="none"/>
          <w:lang w:val="en-US" w:eastAsia="zh-CN"/>
        </w:rPr>
        <w:t>5</w:t>
      </w:r>
      <w:r>
        <w:rPr>
          <w:rFonts w:hint="eastAsia"/>
          <w:color w:val="auto"/>
          <w:highlight w:val="none"/>
          <w:lang w:eastAsia="zh-CN"/>
        </w:rPr>
        <w:t>）</w:t>
      </w:r>
      <w:r>
        <w:rPr>
          <w:rFonts w:hint="eastAsia"/>
          <w:color w:val="auto"/>
          <w:highlight w:val="none"/>
        </w:rPr>
        <w:t>总承包人单位必须指派专人负责生活区的管理，每天进行巡查并形成记录。</w:t>
      </w:r>
    </w:p>
    <w:p>
      <w:pPr>
        <w:bidi w:val="0"/>
        <w:rPr>
          <w:color w:val="auto"/>
          <w:highlight w:val="none"/>
        </w:rPr>
      </w:pPr>
      <w:r>
        <w:rPr>
          <w:rFonts w:hint="eastAsia"/>
          <w:color w:val="auto"/>
          <w:highlight w:val="none"/>
          <w:lang w:eastAsia="zh-CN"/>
        </w:rPr>
        <w:t>（</w:t>
      </w:r>
      <w:r>
        <w:rPr>
          <w:rFonts w:hint="eastAsia"/>
          <w:color w:val="auto"/>
          <w:highlight w:val="none"/>
          <w:lang w:val="en-US" w:eastAsia="zh-CN"/>
        </w:rPr>
        <w:t>6</w:t>
      </w:r>
      <w:r>
        <w:rPr>
          <w:rFonts w:hint="eastAsia"/>
          <w:color w:val="auto"/>
          <w:highlight w:val="none"/>
          <w:lang w:eastAsia="zh-CN"/>
        </w:rPr>
        <w:t>）</w:t>
      </w:r>
      <w:r>
        <w:rPr>
          <w:rFonts w:hint="eastAsia"/>
          <w:color w:val="auto"/>
          <w:highlight w:val="none"/>
        </w:rPr>
        <w:t>现场搭设库房前须编制方案报监理审批后方可实施，后续专业承包单位进场需要搭设库房时，总承包人应结合项目施工需求划定专门的区域供专业承包单位搭设库房，库房应至少满足以下要求：</w:t>
      </w:r>
    </w:p>
    <w:p>
      <w:pPr>
        <w:bidi w:val="0"/>
        <w:rPr>
          <w:color w:val="auto"/>
          <w:highlight w:val="none"/>
        </w:rPr>
      </w:pPr>
      <w:r>
        <w:rPr>
          <w:rFonts w:hint="eastAsia"/>
          <w:color w:val="auto"/>
          <w:highlight w:val="none"/>
          <w:lang w:eastAsia="zh-CN"/>
        </w:rPr>
        <w:t>（</w:t>
      </w:r>
      <w:r>
        <w:rPr>
          <w:rFonts w:hint="eastAsia"/>
          <w:color w:val="auto"/>
          <w:highlight w:val="none"/>
          <w:lang w:val="en-US" w:eastAsia="zh-CN"/>
        </w:rPr>
        <w:t>7</w:t>
      </w:r>
      <w:r>
        <w:rPr>
          <w:rFonts w:hint="eastAsia"/>
          <w:color w:val="auto"/>
          <w:highlight w:val="none"/>
          <w:lang w:eastAsia="zh-CN"/>
        </w:rPr>
        <w:t>）</w:t>
      </w:r>
      <w:r>
        <w:rPr>
          <w:rFonts w:hint="eastAsia"/>
          <w:color w:val="auto"/>
          <w:highlight w:val="none"/>
        </w:rPr>
        <w:t>实行库房样板管理，搭设完成后组织验收，验收通过后方可投入使用，并作为后期库房搭设的样板。</w:t>
      </w:r>
    </w:p>
    <w:p>
      <w:pPr>
        <w:bidi w:val="0"/>
        <w:rPr>
          <w:color w:val="auto"/>
          <w:highlight w:val="none"/>
        </w:rPr>
      </w:pPr>
      <w:r>
        <w:rPr>
          <w:rFonts w:hint="eastAsia"/>
          <w:color w:val="auto"/>
          <w:highlight w:val="none"/>
        </w:rPr>
        <w:t>美观坚固、安全环保，满足国家及地方有关标准要求，消防防火、通风排烟、应急照明、卫生防疫、防盗保卫等安全措施完善</w:t>
      </w:r>
    </w:p>
    <w:p>
      <w:pPr>
        <w:bidi w:val="0"/>
        <w:rPr>
          <w:color w:val="auto"/>
          <w:highlight w:val="none"/>
        </w:rPr>
      </w:pPr>
      <w:r>
        <w:rPr>
          <w:rFonts w:hint="eastAsia"/>
          <w:color w:val="auto"/>
          <w:highlight w:val="none"/>
          <w:lang w:eastAsia="zh-CN"/>
        </w:rPr>
        <w:t>（</w:t>
      </w:r>
      <w:r>
        <w:rPr>
          <w:rFonts w:hint="eastAsia"/>
          <w:color w:val="auto"/>
          <w:highlight w:val="none"/>
          <w:lang w:val="en-US" w:eastAsia="zh-CN"/>
        </w:rPr>
        <w:t>8</w:t>
      </w:r>
      <w:r>
        <w:rPr>
          <w:rFonts w:hint="eastAsia"/>
          <w:color w:val="auto"/>
          <w:highlight w:val="none"/>
          <w:lang w:eastAsia="zh-CN"/>
        </w:rPr>
        <w:t>）</w:t>
      </w:r>
      <w:r>
        <w:rPr>
          <w:rFonts w:hint="eastAsia"/>
          <w:color w:val="auto"/>
          <w:highlight w:val="none"/>
        </w:rPr>
        <w:t>工人生活区主出入口应设置门禁系统和岗亭，保安24小时值守。</w:t>
      </w:r>
    </w:p>
    <w:p>
      <w:pPr>
        <w:pStyle w:val="3"/>
        <w:bidi w:val="0"/>
        <w:rPr>
          <w:color w:val="auto"/>
          <w:highlight w:val="none"/>
        </w:rPr>
      </w:pPr>
      <w:bookmarkStart w:id="1239" w:name="_Toc16195"/>
      <w:bookmarkStart w:id="1240" w:name="_Toc20497"/>
      <w:bookmarkStart w:id="1241" w:name="_Toc22394"/>
      <w:bookmarkStart w:id="1242" w:name="_Toc180"/>
      <w:bookmarkStart w:id="1243" w:name="_Toc26206"/>
      <w:bookmarkStart w:id="1244" w:name="_Toc13010"/>
      <w:bookmarkStart w:id="1245" w:name="_Toc18671"/>
      <w:bookmarkStart w:id="1246" w:name="_Toc29496"/>
      <w:r>
        <w:rPr>
          <w:rFonts w:hint="eastAsia"/>
          <w:color w:val="auto"/>
          <w:highlight w:val="none"/>
        </w:rPr>
        <w:t>专项管理要求</w:t>
      </w:r>
      <w:bookmarkEnd w:id="1239"/>
      <w:bookmarkEnd w:id="1240"/>
      <w:bookmarkEnd w:id="1241"/>
      <w:bookmarkEnd w:id="1242"/>
      <w:bookmarkEnd w:id="1243"/>
      <w:bookmarkEnd w:id="1244"/>
      <w:bookmarkEnd w:id="1245"/>
      <w:bookmarkEnd w:id="1246"/>
    </w:p>
    <w:p>
      <w:pPr>
        <w:pStyle w:val="4"/>
        <w:bidi w:val="0"/>
        <w:rPr>
          <w:color w:val="auto"/>
          <w:highlight w:val="none"/>
        </w:rPr>
      </w:pPr>
      <w:r>
        <w:rPr>
          <w:rFonts w:hint="eastAsia"/>
          <w:color w:val="auto"/>
          <w:highlight w:val="none"/>
          <w:lang w:eastAsia="zh-CN"/>
        </w:rPr>
        <w:t>安全</w:t>
      </w:r>
      <w:r>
        <w:rPr>
          <w:rFonts w:hint="eastAsia"/>
          <w:color w:val="auto"/>
          <w:highlight w:val="none"/>
        </w:rPr>
        <w:t>样板管理要求：本工程安全有关的设施设备应先经样板评审通过后方可大面积推广实施，相关费用请投标时一并考虑，总承包人在进行场坪规划时应划定区域作为安全样板展示区，可纳入质量样板区，要求面积不低于</w:t>
      </w:r>
      <w:r>
        <w:rPr>
          <w:rFonts w:hint="eastAsia"/>
          <w:color w:val="auto"/>
          <w:highlight w:val="none"/>
          <w:lang w:val="en-US" w:eastAsia="zh-CN"/>
        </w:rPr>
        <w:t>4</w:t>
      </w:r>
      <w:r>
        <w:rPr>
          <w:rFonts w:hint="eastAsia"/>
          <w:color w:val="auto"/>
          <w:highlight w:val="none"/>
        </w:rPr>
        <w:t>00㎡或一个标准层，外脚手架、模板支撑体系样板可直接选用现场某一区域的脚手架、模板支持体系作为实体样板。安全样板区内应预留一定区域供后续专业承包单位进场后使用。</w:t>
      </w:r>
    </w:p>
    <w:p>
      <w:pPr>
        <w:pStyle w:val="4"/>
        <w:bidi w:val="0"/>
        <w:rPr>
          <w:rFonts w:eastAsia="宋体" w:cs="Arial"/>
          <w:bCs/>
          <w:color w:val="auto"/>
          <w:highlight w:val="none"/>
        </w:rPr>
      </w:pPr>
      <w:r>
        <w:rPr>
          <w:rFonts w:hint="eastAsia"/>
          <w:color w:val="auto"/>
          <w:highlight w:val="none"/>
        </w:rPr>
        <w:t>安全体验区要求：本工程要求总承包人在进行场坪规划和安全策划时，应设置成品集成式安全体验区用于对工人进行实景化体验式安全教育，安全体验区内应至少包括安全帽撞击、安全带坠落、洞口坠落、综合用电、平衡木、移动平台、劳保用品展示区、VR体验馆等项目，相关费用包含在安措费内。</w:t>
      </w:r>
    </w:p>
    <w:p>
      <w:pPr>
        <w:pStyle w:val="4"/>
        <w:bidi w:val="0"/>
        <w:rPr>
          <w:rFonts w:hint="default" w:eastAsia="宋体"/>
          <w:color w:val="auto"/>
          <w:highlight w:val="none"/>
          <w:lang w:val="en-US" w:eastAsia="zh-CN"/>
        </w:rPr>
      </w:pPr>
      <w:r>
        <w:rPr>
          <w:rFonts w:hint="eastAsia"/>
          <w:color w:val="auto"/>
          <w:highlight w:val="none"/>
          <w:lang w:val="en-US" w:eastAsia="zh-CN"/>
        </w:rPr>
        <w:t>安全检查</w:t>
      </w:r>
    </w:p>
    <w:p>
      <w:pPr>
        <w:keepNext w:val="0"/>
        <w:keepLines w:val="0"/>
        <w:widowControl/>
        <w:suppressLineNumbers w:val="0"/>
        <w:jc w:val="left"/>
        <w:rPr>
          <w:rFonts w:hint="default"/>
          <w:color w:val="auto"/>
          <w:highlight w:val="none"/>
          <w:lang w:val="en-US"/>
        </w:rPr>
      </w:pPr>
      <w:r>
        <w:rPr>
          <w:rFonts w:hint="eastAsia"/>
          <w:color w:val="auto"/>
          <w:highlight w:val="none"/>
          <w:lang w:eastAsia="zh-CN"/>
        </w:rPr>
        <w:t>发包人将根据不同施工阶段进行安全监督检查与考核，检查标准</w:t>
      </w:r>
      <w:r>
        <w:rPr>
          <w:rFonts w:hint="eastAsia"/>
          <w:color w:val="auto"/>
          <w:highlight w:val="none"/>
          <w:lang w:val="en-US" w:eastAsia="zh-CN"/>
        </w:rPr>
        <w:t>参见附件</w:t>
      </w:r>
      <w:r>
        <w:rPr>
          <w:rFonts w:hint="eastAsia"/>
          <w:b/>
          <w:bCs/>
          <w:color w:val="auto"/>
          <w:highlight w:val="none"/>
          <w:lang w:val="en-US" w:eastAsia="zh-CN"/>
        </w:rPr>
        <w:t>《【附件B-6】安全监督检查与考核表》，</w:t>
      </w:r>
      <w:r>
        <w:rPr>
          <w:rFonts w:hint="eastAsia"/>
          <w:color w:val="auto"/>
          <w:highlight w:val="none"/>
          <w:lang w:val="en-US" w:eastAsia="zh-CN"/>
        </w:rPr>
        <w:t>总承包人</w:t>
      </w:r>
      <w:r>
        <w:rPr>
          <w:rFonts w:hint="eastAsia"/>
          <w:color w:val="auto"/>
          <w:highlight w:val="none"/>
          <w:lang w:eastAsia="zh-CN"/>
        </w:rPr>
        <w:t>如检查分数低于</w:t>
      </w:r>
      <w:r>
        <w:rPr>
          <w:rFonts w:hint="eastAsia"/>
          <w:color w:val="auto"/>
          <w:highlight w:val="none"/>
          <w:lang w:val="en-US" w:eastAsia="zh-CN"/>
        </w:rPr>
        <w:t>70</w:t>
      </w:r>
      <w:r>
        <w:rPr>
          <w:rFonts w:hint="eastAsia"/>
          <w:color w:val="auto"/>
          <w:highlight w:val="none"/>
          <w:lang w:eastAsia="zh-CN"/>
        </w:rPr>
        <w:t>分</w:t>
      </w:r>
      <w:r>
        <w:rPr>
          <w:rFonts w:hint="eastAsia"/>
          <w:color w:val="auto"/>
          <w:highlight w:val="none"/>
          <w:lang w:val="en-US" w:eastAsia="zh-CN"/>
        </w:rPr>
        <w:t>或发现总承包人有</w:t>
      </w:r>
      <w:r>
        <w:rPr>
          <w:rFonts w:ascii="宋体" w:hAnsi="宋体" w:eastAsia="宋体" w:cs="宋体"/>
          <w:color w:val="auto"/>
          <w:kern w:val="0"/>
          <w:sz w:val="24"/>
          <w:szCs w:val="24"/>
          <w:highlight w:val="none"/>
          <w:lang w:val="en-US" w:eastAsia="zh-CN" w:bidi="ar"/>
        </w:rPr>
        <w:t>违反住建部《房屋市政工程生产安全重大事故隐患判定标准》及发包方制定的重大事故隐患判定标准的</w:t>
      </w:r>
      <w:r>
        <w:rPr>
          <w:rFonts w:hint="eastAsia" w:ascii="宋体" w:hAnsi="宋体" w:eastAsia="宋体" w:cs="宋体"/>
          <w:color w:val="auto"/>
          <w:kern w:val="0"/>
          <w:sz w:val="24"/>
          <w:szCs w:val="24"/>
          <w:highlight w:val="none"/>
          <w:lang w:val="en-US" w:eastAsia="zh-CN" w:bidi="ar"/>
        </w:rPr>
        <w:t>，根据隐患程度，将</w:t>
      </w:r>
      <w:r>
        <w:rPr>
          <w:rFonts w:hint="eastAsia" w:cs="宋体"/>
          <w:color w:val="auto"/>
          <w:kern w:val="0"/>
          <w:sz w:val="24"/>
          <w:szCs w:val="24"/>
          <w:highlight w:val="none"/>
          <w:lang w:val="en-US" w:eastAsia="zh-CN" w:bidi="ar"/>
        </w:rPr>
        <w:t>按照合同条款进行违约</w:t>
      </w:r>
      <w:r>
        <w:rPr>
          <w:rFonts w:hint="eastAsia"/>
          <w:color w:val="auto"/>
          <w:highlight w:val="none"/>
          <w:lang w:val="en-US" w:eastAsia="zh-CN"/>
        </w:rPr>
        <w:t>处罚。</w:t>
      </w:r>
    </w:p>
    <w:p>
      <w:pPr>
        <w:rPr>
          <w:color w:val="auto"/>
          <w:highlight w:val="none"/>
        </w:rPr>
      </w:pPr>
      <w:bookmarkStart w:id="1247" w:name="_Toc520245639"/>
      <w:bookmarkEnd w:id="1247"/>
      <w:bookmarkStart w:id="1248" w:name="_Toc520245664"/>
      <w:bookmarkEnd w:id="1248"/>
      <w:bookmarkStart w:id="1249" w:name="_Toc520244904"/>
      <w:bookmarkEnd w:id="1249"/>
      <w:bookmarkStart w:id="1250" w:name="_Toc520245442"/>
      <w:bookmarkEnd w:id="1250"/>
      <w:bookmarkStart w:id="1251" w:name="_Toc520245091"/>
      <w:bookmarkEnd w:id="1251"/>
      <w:bookmarkStart w:id="1252" w:name="_Toc520245172"/>
      <w:bookmarkEnd w:id="1252"/>
      <w:bookmarkStart w:id="1253" w:name="_Toc520245111"/>
      <w:bookmarkEnd w:id="1253"/>
      <w:bookmarkStart w:id="1254" w:name="_Toc520244911"/>
      <w:bookmarkEnd w:id="1254"/>
      <w:bookmarkStart w:id="1255" w:name="_Toc520245669"/>
      <w:bookmarkEnd w:id="1255"/>
      <w:bookmarkStart w:id="1256" w:name="_Toc520245170"/>
      <w:bookmarkEnd w:id="1256"/>
      <w:bookmarkStart w:id="1257" w:name="_Toc520245564"/>
      <w:bookmarkEnd w:id="1257"/>
      <w:bookmarkStart w:id="1258" w:name="_Toc520245061"/>
      <w:bookmarkEnd w:id="1258"/>
      <w:bookmarkStart w:id="1259" w:name="_Toc520245510"/>
      <w:bookmarkEnd w:id="1259"/>
      <w:bookmarkStart w:id="1260" w:name="_Toc520244810"/>
      <w:bookmarkEnd w:id="1260"/>
      <w:bookmarkStart w:id="1261" w:name="_Toc520244961"/>
      <w:bookmarkEnd w:id="1261"/>
      <w:bookmarkStart w:id="1262" w:name="_Toc520245794"/>
      <w:bookmarkEnd w:id="1262"/>
      <w:bookmarkStart w:id="1263" w:name="_Toc520245146"/>
      <w:bookmarkEnd w:id="1263"/>
      <w:bookmarkStart w:id="1264" w:name="_Toc520245774"/>
      <w:bookmarkEnd w:id="1264"/>
      <w:bookmarkStart w:id="1265" w:name="_Toc520245674"/>
      <w:bookmarkEnd w:id="1265"/>
      <w:bookmarkStart w:id="1266" w:name="_Toc520245505"/>
      <w:bookmarkEnd w:id="1266"/>
      <w:bookmarkStart w:id="1267" w:name="_Toc520245168"/>
      <w:bookmarkEnd w:id="1267"/>
      <w:bookmarkStart w:id="1268" w:name="_Toc520245444"/>
      <w:bookmarkEnd w:id="1268"/>
      <w:bookmarkStart w:id="1269" w:name="_Toc520245041"/>
      <w:bookmarkEnd w:id="1269"/>
      <w:bookmarkStart w:id="1270" w:name="_Toc520245396"/>
      <w:bookmarkEnd w:id="1270"/>
      <w:bookmarkStart w:id="1271" w:name="_Toc520244991"/>
      <w:bookmarkEnd w:id="1271"/>
      <w:bookmarkStart w:id="1272" w:name="_Toc520245031"/>
      <w:bookmarkEnd w:id="1272"/>
      <w:bookmarkStart w:id="1273" w:name="_Toc520244773"/>
      <w:bookmarkEnd w:id="1273"/>
      <w:bookmarkStart w:id="1274" w:name="_Toc520244757"/>
      <w:bookmarkEnd w:id="1274"/>
      <w:bookmarkStart w:id="1275" w:name="_Toc520245101"/>
      <w:bookmarkEnd w:id="1275"/>
      <w:bookmarkStart w:id="1276" w:name="_Toc520245465"/>
      <w:bookmarkEnd w:id="1276"/>
      <w:bookmarkStart w:id="1277" w:name="_Toc520245428"/>
      <w:bookmarkEnd w:id="1277"/>
      <w:bookmarkStart w:id="1278" w:name="_Toc520245495"/>
      <w:bookmarkEnd w:id="1278"/>
      <w:bookmarkStart w:id="1279" w:name="_Toc520245021"/>
      <w:bookmarkEnd w:id="1279"/>
      <w:bookmarkStart w:id="1280" w:name="_Toc520245455"/>
      <w:bookmarkEnd w:id="1280"/>
      <w:bookmarkStart w:id="1281" w:name="_Toc520245644"/>
      <w:bookmarkEnd w:id="1281"/>
      <w:bookmarkStart w:id="1282" w:name="_Toc520245798"/>
      <w:bookmarkEnd w:id="1282"/>
      <w:bookmarkStart w:id="1283" w:name="_Toc520245599"/>
      <w:bookmarkEnd w:id="1283"/>
      <w:bookmarkStart w:id="1284" w:name="_Toc520244887"/>
      <w:bookmarkEnd w:id="1284"/>
      <w:bookmarkStart w:id="1285" w:name="_Toc520245649"/>
      <w:bookmarkEnd w:id="1285"/>
      <w:bookmarkStart w:id="1286" w:name="_Toc520245460"/>
      <w:bookmarkEnd w:id="1286"/>
      <w:bookmarkStart w:id="1287" w:name="_Toc520245036"/>
      <w:bookmarkEnd w:id="1287"/>
      <w:bookmarkStart w:id="1288" w:name="_Toc520244832"/>
      <w:bookmarkEnd w:id="1288"/>
      <w:bookmarkStart w:id="1289" w:name="_Toc520245076"/>
      <w:bookmarkEnd w:id="1289"/>
      <w:bookmarkStart w:id="1290" w:name="_Toc520245684"/>
      <w:bookmarkEnd w:id="1290"/>
      <w:bookmarkStart w:id="1291" w:name="_Toc520245744"/>
      <w:bookmarkEnd w:id="1291"/>
      <w:bookmarkStart w:id="1292" w:name="_Toc520245784"/>
      <w:bookmarkEnd w:id="1292"/>
      <w:bookmarkStart w:id="1293" w:name="_Toc520245384"/>
      <w:bookmarkEnd w:id="1293"/>
      <w:bookmarkStart w:id="1294" w:name="_Toc520244986"/>
      <w:bookmarkEnd w:id="1294"/>
      <w:bookmarkStart w:id="1295" w:name="_Toc520244842"/>
      <w:bookmarkEnd w:id="1295"/>
      <w:bookmarkStart w:id="1296" w:name="_Toc520245156"/>
      <w:bookmarkEnd w:id="1296"/>
      <w:bookmarkStart w:id="1297" w:name="_Toc520245121"/>
      <w:bookmarkEnd w:id="1297"/>
      <w:bookmarkStart w:id="1298" w:name="_Toc520244981"/>
      <w:bookmarkEnd w:id="1298"/>
      <w:bookmarkStart w:id="1299" w:name="_Toc520245579"/>
      <w:bookmarkEnd w:id="1299"/>
      <w:bookmarkStart w:id="1300" w:name="_Toc520245171"/>
      <w:bookmarkEnd w:id="1300"/>
      <w:bookmarkStart w:id="1301" w:name="_Toc520245609"/>
      <w:bookmarkEnd w:id="1301"/>
      <w:bookmarkStart w:id="1302" w:name="_Toc520244941"/>
      <w:bookmarkEnd w:id="1302"/>
      <w:bookmarkStart w:id="1303" w:name="_Toc520244916"/>
      <w:bookmarkEnd w:id="1303"/>
      <w:bookmarkStart w:id="1304" w:name="_Toc520245051"/>
      <w:bookmarkEnd w:id="1304"/>
      <w:bookmarkStart w:id="1305" w:name="_Toc520245131"/>
      <w:bookmarkEnd w:id="1305"/>
      <w:bookmarkStart w:id="1306" w:name="_Toc520245629"/>
      <w:bookmarkEnd w:id="1306"/>
      <w:bookmarkStart w:id="1307" w:name="_Toc520244882"/>
      <w:bookmarkEnd w:id="1307"/>
      <w:bookmarkStart w:id="1308" w:name="_Toc520244936"/>
      <w:bookmarkEnd w:id="1308"/>
      <w:bookmarkStart w:id="1309" w:name="_Toc520244805"/>
      <w:bookmarkEnd w:id="1309"/>
      <w:bookmarkStart w:id="1310" w:name="_Toc520245433"/>
      <w:bookmarkEnd w:id="1310"/>
      <w:bookmarkStart w:id="1311" w:name="_Toc520245174"/>
      <w:bookmarkEnd w:id="1311"/>
      <w:bookmarkStart w:id="1312" w:name="_Toc520244827"/>
      <w:bookmarkEnd w:id="1312"/>
      <w:bookmarkStart w:id="1313" w:name="_Toc520245654"/>
      <w:bookmarkEnd w:id="1313"/>
      <w:bookmarkStart w:id="1314" w:name="_Toc520245006"/>
      <w:bookmarkEnd w:id="1314"/>
      <w:bookmarkStart w:id="1315" w:name="_Toc520245769"/>
      <w:bookmarkEnd w:id="1315"/>
      <w:bookmarkStart w:id="1316" w:name="_Toc520245525"/>
      <w:bookmarkEnd w:id="1316"/>
      <w:bookmarkStart w:id="1317" w:name="_Toc520245500"/>
      <w:bookmarkEnd w:id="1317"/>
      <w:bookmarkStart w:id="1318" w:name="_Toc520245443"/>
      <w:bookmarkEnd w:id="1318"/>
      <w:bookmarkStart w:id="1319" w:name="_Toc520245734"/>
      <w:bookmarkEnd w:id="1319"/>
      <w:bookmarkStart w:id="1320" w:name="_Toc520245584"/>
      <w:bookmarkEnd w:id="1320"/>
      <w:bookmarkStart w:id="1321" w:name="_Toc520244926"/>
      <w:bookmarkEnd w:id="1321"/>
      <w:bookmarkStart w:id="1322" w:name="_Toc520245544"/>
      <w:bookmarkEnd w:id="1322"/>
      <w:bookmarkStart w:id="1323" w:name="_Toc520245739"/>
      <w:bookmarkEnd w:id="1323"/>
      <w:bookmarkStart w:id="1324" w:name="_Toc520245729"/>
      <w:bookmarkEnd w:id="1324"/>
      <w:bookmarkStart w:id="1325" w:name="_Toc520244788"/>
      <w:bookmarkEnd w:id="1325"/>
      <w:bookmarkStart w:id="1326" w:name="_Toc520245759"/>
      <w:bookmarkEnd w:id="1326"/>
      <w:bookmarkStart w:id="1327" w:name="_Toc520244795"/>
      <w:bookmarkEnd w:id="1327"/>
      <w:bookmarkStart w:id="1328" w:name="_Toc520245614"/>
      <w:bookmarkEnd w:id="1328"/>
      <w:bookmarkStart w:id="1329" w:name="_Toc520245161"/>
      <w:bookmarkEnd w:id="1329"/>
      <w:bookmarkStart w:id="1330" w:name="_Toc520244756"/>
      <w:bookmarkEnd w:id="1330"/>
      <w:bookmarkStart w:id="1331" w:name="_Toc520244800"/>
      <w:bookmarkEnd w:id="1331"/>
      <w:bookmarkStart w:id="1332" w:name="_Toc520244966"/>
      <w:bookmarkEnd w:id="1332"/>
      <w:bookmarkStart w:id="1333" w:name="_Toc520245704"/>
      <w:bookmarkEnd w:id="1333"/>
      <w:bookmarkStart w:id="1334" w:name="_Toc520245136"/>
      <w:bookmarkEnd w:id="1334"/>
      <w:bookmarkStart w:id="1335" w:name="_Toc520244971"/>
      <w:bookmarkEnd w:id="1335"/>
      <w:bookmarkStart w:id="1336" w:name="_Toc520245589"/>
      <w:bookmarkEnd w:id="1336"/>
      <w:bookmarkStart w:id="1337" w:name="_Toc520245490"/>
      <w:bookmarkEnd w:id="1337"/>
      <w:bookmarkStart w:id="1338" w:name="_Toc520244872"/>
      <w:bookmarkEnd w:id="1338"/>
      <w:bookmarkStart w:id="1339" w:name="_Toc520245797"/>
      <w:bookmarkEnd w:id="1339"/>
      <w:bookmarkStart w:id="1340" w:name="_Toc520245056"/>
      <w:bookmarkEnd w:id="1340"/>
      <w:bookmarkStart w:id="1341" w:name="_Toc520245480"/>
      <w:bookmarkEnd w:id="1341"/>
      <w:bookmarkStart w:id="1342" w:name="_Toc520245167"/>
      <w:bookmarkEnd w:id="1342"/>
      <w:bookmarkStart w:id="1343" w:name="_Toc520245624"/>
      <w:bookmarkEnd w:id="1343"/>
      <w:bookmarkStart w:id="1344" w:name="_Toc520245689"/>
      <w:bookmarkEnd w:id="1344"/>
      <w:bookmarkStart w:id="1345" w:name="_Toc520245411"/>
      <w:bookmarkEnd w:id="1345"/>
      <w:bookmarkStart w:id="1346" w:name="_Toc520245026"/>
      <w:bookmarkEnd w:id="1346"/>
      <w:bookmarkStart w:id="1347" w:name="_Toc520245659"/>
      <w:bookmarkEnd w:id="1347"/>
      <w:bookmarkStart w:id="1348" w:name="_Toc520244755"/>
      <w:bookmarkEnd w:id="1348"/>
      <w:bookmarkStart w:id="1349" w:name="_Toc520245416"/>
      <w:bookmarkEnd w:id="1349"/>
      <w:bookmarkStart w:id="1350" w:name="_Toc520245383"/>
      <w:bookmarkEnd w:id="1350"/>
      <w:bookmarkStart w:id="1351" w:name="_Toc520245539"/>
      <w:bookmarkEnd w:id="1351"/>
      <w:bookmarkStart w:id="1352" w:name="_Toc520244862"/>
      <w:bookmarkEnd w:id="1352"/>
      <w:bookmarkStart w:id="1353" w:name="_Toc520245559"/>
      <w:bookmarkEnd w:id="1353"/>
      <w:bookmarkStart w:id="1354" w:name="_Toc520245699"/>
      <w:bookmarkEnd w:id="1354"/>
      <w:bookmarkStart w:id="1355" w:name="_Toc520245569"/>
      <w:bookmarkEnd w:id="1355"/>
      <w:bookmarkStart w:id="1356" w:name="_Toc520245795"/>
      <w:bookmarkEnd w:id="1356"/>
      <w:bookmarkStart w:id="1357" w:name="_Toc520245800"/>
      <w:bookmarkEnd w:id="1357"/>
      <w:bookmarkStart w:id="1358" w:name="_Toc520245532"/>
      <w:bookmarkEnd w:id="1358"/>
      <w:bookmarkStart w:id="1359" w:name="_Toc520245071"/>
      <w:bookmarkEnd w:id="1359"/>
      <w:bookmarkStart w:id="1360" w:name="_Toc520245116"/>
      <w:bookmarkEnd w:id="1360"/>
      <w:bookmarkStart w:id="1361" w:name="_Toc520244956"/>
      <w:bookmarkEnd w:id="1361"/>
      <w:bookmarkStart w:id="1362" w:name="_Toc520245724"/>
      <w:bookmarkEnd w:id="1362"/>
      <w:bookmarkStart w:id="1363" w:name="_Toc520245796"/>
      <w:bookmarkEnd w:id="1363"/>
      <w:bookmarkStart w:id="1364" w:name="_Toc520245799"/>
      <w:bookmarkEnd w:id="1364"/>
      <w:bookmarkStart w:id="1365" w:name="_Toc520245679"/>
      <w:bookmarkEnd w:id="1365"/>
      <w:bookmarkStart w:id="1366" w:name="_Toc520245549"/>
      <w:bookmarkEnd w:id="1366"/>
      <w:bookmarkStart w:id="1367" w:name="_Toc520245594"/>
      <w:bookmarkEnd w:id="1367"/>
      <w:bookmarkStart w:id="1368" w:name="_Toc520245764"/>
      <w:bookmarkEnd w:id="1368"/>
      <w:bookmarkStart w:id="1369" w:name="_Toc520244976"/>
      <w:bookmarkEnd w:id="1369"/>
      <w:bookmarkStart w:id="1370" w:name="_Toc520245604"/>
      <w:bookmarkEnd w:id="1370"/>
      <w:bookmarkStart w:id="1371" w:name="_Toc520245709"/>
      <w:bookmarkEnd w:id="1371"/>
      <w:bookmarkStart w:id="1372" w:name="_Toc520245634"/>
      <w:bookmarkEnd w:id="1372"/>
      <w:bookmarkStart w:id="1373" w:name="_Toc520244867"/>
      <w:bookmarkEnd w:id="1373"/>
      <w:bookmarkStart w:id="1374" w:name="_Toc520244815"/>
      <w:bookmarkEnd w:id="1374"/>
      <w:bookmarkStart w:id="1375" w:name="_Toc520245173"/>
      <w:bookmarkEnd w:id="1375"/>
      <w:bookmarkStart w:id="1376" w:name="_Toc520245694"/>
      <w:bookmarkEnd w:id="1376"/>
      <w:bookmarkStart w:id="1377" w:name="_Toc520244931"/>
      <w:bookmarkEnd w:id="1377"/>
      <w:bookmarkStart w:id="1378" w:name="_Toc520245401"/>
      <w:bookmarkEnd w:id="1378"/>
      <w:bookmarkStart w:id="1379" w:name="_Toc520245081"/>
      <w:bookmarkEnd w:id="1379"/>
      <w:bookmarkStart w:id="1380" w:name="_Toc520245801"/>
      <w:bookmarkEnd w:id="1380"/>
      <w:bookmarkStart w:id="1381" w:name="_Toc520245106"/>
      <w:bookmarkEnd w:id="1381"/>
      <w:bookmarkStart w:id="1382" w:name="_Toc520245096"/>
      <w:bookmarkEnd w:id="1382"/>
      <w:bookmarkStart w:id="1383" w:name="_Toc520245016"/>
      <w:bookmarkEnd w:id="1383"/>
      <w:bookmarkStart w:id="1384" w:name="_Toc520245046"/>
      <w:bookmarkEnd w:id="1384"/>
      <w:bookmarkStart w:id="1385" w:name="_Toc520245066"/>
      <w:bookmarkEnd w:id="1385"/>
      <w:bookmarkStart w:id="1386" w:name="_Toc520245789"/>
      <w:bookmarkEnd w:id="1386"/>
      <w:bookmarkStart w:id="1387" w:name="_Toc520245423"/>
      <w:bookmarkEnd w:id="1387"/>
      <w:bookmarkStart w:id="1388" w:name="_Toc520245619"/>
      <w:bookmarkEnd w:id="1388"/>
      <w:bookmarkStart w:id="1389" w:name="_Toc520245554"/>
      <w:bookmarkEnd w:id="1389"/>
      <w:bookmarkStart w:id="1390" w:name="_Toc520245749"/>
      <w:bookmarkEnd w:id="1390"/>
      <w:bookmarkStart w:id="1391" w:name="_Toc520244921"/>
      <w:bookmarkEnd w:id="1391"/>
      <w:bookmarkStart w:id="1392" w:name="_Toc520245141"/>
      <w:bookmarkEnd w:id="1392"/>
      <w:bookmarkStart w:id="1393" w:name="_Toc520245001"/>
      <w:bookmarkEnd w:id="1393"/>
      <w:bookmarkStart w:id="1394" w:name="_Toc520244837"/>
      <w:bookmarkEnd w:id="1394"/>
      <w:bookmarkStart w:id="1395" w:name="_Toc520245719"/>
      <w:bookmarkEnd w:id="1395"/>
      <w:bookmarkStart w:id="1396" w:name="_Toc520245470"/>
      <w:bookmarkEnd w:id="1396"/>
      <w:bookmarkStart w:id="1397" w:name="_Toc520244816"/>
      <w:bookmarkEnd w:id="1397"/>
      <w:bookmarkStart w:id="1398" w:name="_Toc520245011"/>
      <w:bookmarkEnd w:id="1398"/>
      <w:bookmarkStart w:id="1399" w:name="_Toc520244814"/>
      <w:bookmarkEnd w:id="1399"/>
      <w:bookmarkStart w:id="1400" w:name="_Toc520245438"/>
      <w:bookmarkEnd w:id="1400"/>
      <w:bookmarkStart w:id="1401" w:name="_Toc520244852"/>
      <w:bookmarkEnd w:id="1401"/>
      <w:bookmarkStart w:id="1402" w:name="_Toc520244996"/>
      <w:bookmarkEnd w:id="1402"/>
      <w:bookmarkStart w:id="1403" w:name="_Toc520245385"/>
      <w:bookmarkEnd w:id="1403"/>
      <w:bookmarkStart w:id="1404" w:name="_Toc520244951"/>
      <w:bookmarkEnd w:id="1404"/>
      <w:bookmarkStart w:id="1405" w:name="_Toc520244768"/>
      <w:bookmarkEnd w:id="1405"/>
      <w:bookmarkStart w:id="1406" w:name="_Toc520245515"/>
      <w:bookmarkEnd w:id="1406"/>
      <w:bookmarkStart w:id="1407" w:name="_Toc520245802"/>
      <w:bookmarkEnd w:id="1407"/>
      <w:bookmarkStart w:id="1408" w:name="_Toc520244897"/>
      <w:bookmarkEnd w:id="1408"/>
      <w:bookmarkStart w:id="1409" w:name="_Toc520245166"/>
      <w:bookmarkEnd w:id="1409"/>
      <w:bookmarkStart w:id="1410" w:name="_Toc520245169"/>
      <w:bookmarkEnd w:id="1410"/>
      <w:bookmarkStart w:id="1411" w:name="_Toc520244877"/>
      <w:bookmarkEnd w:id="1411"/>
      <w:bookmarkStart w:id="1412" w:name="_Toc520244783"/>
      <w:bookmarkEnd w:id="1412"/>
      <w:bookmarkStart w:id="1413" w:name="_Toc10942"/>
      <w:bookmarkStart w:id="1414" w:name="_Toc169722273"/>
      <w:bookmarkStart w:id="1415" w:name="_Toc6577"/>
      <w:bookmarkStart w:id="1416" w:name="_Toc6441"/>
      <w:bookmarkStart w:id="1417" w:name="_Toc8051"/>
      <w:bookmarkStart w:id="1418" w:name="_Toc9348"/>
      <w:bookmarkStart w:id="1419" w:name="_Toc28635"/>
      <w:bookmarkStart w:id="1420" w:name="_Toc32448"/>
      <w:bookmarkStart w:id="1421" w:name="_Toc12193"/>
      <w:bookmarkStart w:id="1422" w:name="_Toc13280"/>
      <w:r>
        <w:rPr>
          <w:rFonts w:hint="eastAsia"/>
          <w:color w:val="auto"/>
          <w:highlight w:val="none"/>
        </w:rPr>
        <w:br w:type="page"/>
      </w:r>
    </w:p>
    <w:p>
      <w:pPr>
        <w:pStyle w:val="2"/>
        <w:bidi w:val="0"/>
        <w:rPr>
          <w:color w:val="auto"/>
          <w:highlight w:val="none"/>
        </w:rPr>
      </w:pPr>
      <w:bookmarkStart w:id="1423" w:name="_Toc1611"/>
      <w:bookmarkStart w:id="1424" w:name="_Toc2468"/>
      <w:r>
        <w:rPr>
          <w:rFonts w:hint="eastAsia"/>
          <w:color w:val="auto"/>
          <w:highlight w:val="none"/>
        </w:rPr>
        <w:t>附件</w:t>
      </w:r>
      <w:bookmarkEnd w:id="1413"/>
      <w:bookmarkEnd w:id="1414"/>
      <w:bookmarkEnd w:id="1415"/>
      <w:bookmarkEnd w:id="1416"/>
      <w:bookmarkEnd w:id="1417"/>
      <w:bookmarkEnd w:id="1418"/>
      <w:bookmarkEnd w:id="1419"/>
      <w:bookmarkEnd w:id="1420"/>
      <w:bookmarkEnd w:id="1421"/>
      <w:bookmarkEnd w:id="1422"/>
      <w:bookmarkEnd w:id="1423"/>
      <w:bookmarkEnd w:id="1424"/>
    </w:p>
    <w:p>
      <w:pPr>
        <w:pStyle w:val="3"/>
        <w:bidi w:val="0"/>
        <w:rPr>
          <w:color w:val="auto"/>
          <w:highlight w:val="none"/>
        </w:rPr>
      </w:pPr>
      <w:bookmarkStart w:id="1425" w:name="_Toc2855"/>
      <w:bookmarkStart w:id="1426" w:name="_Toc7661"/>
      <w:bookmarkStart w:id="1427" w:name="_Toc3930"/>
      <w:bookmarkStart w:id="1428" w:name="_Toc29108"/>
      <w:bookmarkStart w:id="1429" w:name="_Toc19315"/>
      <w:bookmarkStart w:id="1430" w:name="_Toc2792"/>
      <w:bookmarkStart w:id="1431" w:name="_Toc169722275"/>
      <w:bookmarkStart w:id="1432" w:name="_Toc29968"/>
      <w:bookmarkStart w:id="1433" w:name="_Toc13958"/>
      <w:bookmarkStart w:id="1434" w:name="_Toc24171"/>
      <w:bookmarkStart w:id="1435" w:name="_Toc17312"/>
      <w:bookmarkStart w:id="1436" w:name="_Toc31270"/>
      <w:bookmarkStart w:id="1437" w:name="_Toc490036513"/>
      <w:bookmarkStart w:id="1438" w:name="_Toc490036499"/>
      <w:r>
        <w:rPr>
          <w:rFonts w:hint="eastAsia"/>
          <w:color w:val="auto"/>
          <w:highlight w:val="none"/>
          <w:lang w:val="en-US" w:eastAsia="zh-CN"/>
        </w:rPr>
        <w:t>项目工程技术管理文件</w:t>
      </w:r>
      <w:bookmarkEnd w:id="1425"/>
      <w:bookmarkEnd w:id="1426"/>
      <w:bookmarkEnd w:id="1427"/>
      <w:bookmarkEnd w:id="1428"/>
      <w:bookmarkEnd w:id="1429"/>
      <w:bookmarkEnd w:id="1430"/>
      <w:bookmarkEnd w:id="1431"/>
      <w:bookmarkEnd w:id="1432"/>
      <w:bookmarkEnd w:id="1433"/>
      <w:bookmarkEnd w:id="1434"/>
      <w:bookmarkEnd w:id="1435"/>
      <w:bookmarkEnd w:id="1436"/>
    </w:p>
    <w:bookmarkEnd w:id="1437"/>
    <w:p>
      <w:pPr>
        <w:numPr>
          <w:ilvl w:val="0"/>
          <w:numId w:val="165"/>
        </w:numPr>
        <w:spacing w:before="120" w:beforeLines="50" w:after="120" w:afterLines="50" w:line="240" w:lineRule="auto"/>
        <w:ind w:leftChars="0" w:right="0"/>
        <w:rPr>
          <w:rFonts w:asciiTheme="minorEastAsia" w:hAnsiTheme="minorEastAsia" w:eastAsiaTheme="minorEastAsia"/>
          <w:color w:val="auto"/>
          <w:sz w:val="24"/>
          <w:highlight w:val="none"/>
        </w:rPr>
      </w:pPr>
      <w:r>
        <w:rPr>
          <w:rFonts w:hint="eastAsia" w:asciiTheme="minorEastAsia" w:hAnsiTheme="minorEastAsia" w:eastAsiaTheme="minorEastAsia"/>
          <w:color w:val="auto"/>
          <w:sz w:val="24"/>
          <w:highlight w:val="none"/>
        </w:rPr>
        <w:t>【附件B-1】施工策划评审表</w:t>
      </w:r>
    </w:p>
    <w:p>
      <w:pPr>
        <w:numPr>
          <w:ilvl w:val="0"/>
          <w:numId w:val="165"/>
        </w:numPr>
        <w:spacing w:before="120" w:beforeLines="50" w:after="120" w:afterLines="50" w:line="240" w:lineRule="auto"/>
        <w:ind w:leftChars="0" w:right="0"/>
        <w:rPr>
          <w:rFonts w:asciiTheme="minorEastAsia" w:hAnsiTheme="minorEastAsia" w:eastAsiaTheme="minorEastAsia"/>
          <w:color w:val="auto"/>
          <w:sz w:val="24"/>
          <w:highlight w:val="none"/>
        </w:rPr>
      </w:pPr>
      <w:r>
        <w:rPr>
          <w:rFonts w:hint="eastAsia" w:asciiTheme="minorEastAsia" w:hAnsiTheme="minorEastAsia" w:eastAsiaTheme="minorEastAsia"/>
          <w:color w:val="auto"/>
          <w:sz w:val="24"/>
          <w:highlight w:val="none"/>
        </w:rPr>
        <w:t>【附件B-2】样板管理清单</w:t>
      </w:r>
    </w:p>
    <w:p>
      <w:pPr>
        <w:numPr>
          <w:ilvl w:val="0"/>
          <w:numId w:val="165"/>
        </w:numPr>
        <w:spacing w:before="120" w:beforeLines="50" w:after="120" w:afterLines="50" w:line="240" w:lineRule="auto"/>
        <w:ind w:leftChars="0" w:right="0"/>
        <w:rPr>
          <w:rFonts w:asciiTheme="minorEastAsia" w:hAnsiTheme="minorEastAsia" w:eastAsiaTheme="minorEastAsia"/>
          <w:color w:val="auto"/>
          <w:sz w:val="24"/>
          <w:highlight w:val="none"/>
        </w:rPr>
      </w:pPr>
      <w:r>
        <w:rPr>
          <w:rFonts w:hint="eastAsia" w:asciiTheme="minorEastAsia" w:hAnsiTheme="minorEastAsia" w:eastAsiaTheme="minorEastAsia"/>
          <w:color w:val="auto"/>
          <w:sz w:val="24"/>
          <w:highlight w:val="none"/>
        </w:rPr>
        <w:t>【附件B-3】质量过程检查标准</w:t>
      </w:r>
    </w:p>
    <w:p>
      <w:pPr>
        <w:numPr>
          <w:ilvl w:val="0"/>
          <w:numId w:val="165"/>
        </w:numPr>
        <w:spacing w:before="120" w:beforeLines="50" w:after="120" w:afterLines="50" w:line="240" w:lineRule="auto"/>
        <w:ind w:leftChars="0" w:right="0"/>
        <w:rPr>
          <w:rFonts w:asciiTheme="minorEastAsia" w:hAnsiTheme="minorEastAsia" w:eastAsiaTheme="minorEastAsia"/>
          <w:color w:val="auto"/>
          <w:sz w:val="24"/>
          <w:highlight w:val="none"/>
        </w:rPr>
      </w:pPr>
      <w:r>
        <w:rPr>
          <w:rFonts w:hint="eastAsia" w:asciiTheme="minorEastAsia" w:hAnsiTheme="minorEastAsia" w:eastAsiaTheme="minorEastAsia"/>
          <w:color w:val="auto"/>
          <w:sz w:val="24"/>
          <w:highlight w:val="none"/>
        </w:rPr>
        <w:t>【附件B-4】关键工序停止点验收清单</w:t>
      </w:r>
    </w:p>
    <w:p>
      <w:pPr>
        <w:numPr>
          <w:ilvl w:val="0"/>
          <w:numId w:val="165"/>
        </w:numPr>
        <w:spacing w:before="120" w:beforeLines="50" w:after="120" w:afterLines="50" w:line="240" w:lineRule="auto"/>
        <w:ind w:leftChars="0" w:right="0"/>
        <w:rPr>
          <w:rFonts w:asciiTheme="minorEastAsia" w:hAnsiTheme="minorEastAsia" w:eastAsiaTheme="minorEastAsia"/>
          <w:color w:val="auto"/>
          <w:sz w:val="24"/>
          <w:highlight w:val="none"/>
        </w:rPr>
      </w:pPr>
      <w:r>
        <w:rPr>
          <w:rFonts w:hint="eastAsia" w:asciiTheme="minorEastAsia" w:hAnsiTheme="minorEastAsia" w:eastAsiaTheme="minorEastAsia"/>
          <w:color w:val="auto"/>
          <w:sz w:val="24"/>
          <w:highlight w:val="none"/>
          <w:lang w:val="en-US" w:eastAsia="zh-CN"/>
        </w:rPr>
        <w:t>【附件B-5】安全生产协议书</w:t>
      </w:r>
    </w:p>
    <w:p>
      <w:pPr>
        <w:numPr>
          <w:ilvl w:val="0"/>
          <w:numId w:val="165"/>
        </w:numPr>
        <w:spacing w:before="120" w:beforeLines="50" w:after="120" w:afterLines="50" w:line="240" w:lineRule="auto"/>
        <w:ind w:leftChars="0" w:right="0"/>
        <w:rPr>
          <w:rFonts w:asciiTheme="minorEastAsia" w:hAnsiTheme="minorEastAsia" w:eastAsiaTheme="minorEastAsia"/>
          <w:color w:val="auto"/>
          <w:sz w:val="24"/>
          <w:highlight w:val="none"/>
        </w:rPr>
      </w:pPr>
      <w:r>
        <w:rPr>
          <w:rFonts w:hint="eastAsia" w:asciiTheme="minorEastAsia" w:hAnsiTheme="minorEastAsia" w:eastAsiaTheme="minorEastAsia"/>
          <w:color w:val="auto"/>
          <w:sz w:val="24"/>
          <w:highlight w:val="none"/>
        </w:rPr>
        <w:t>【附件B-</w:t>
      </w:r>
      <w:r>
        <w:rPr>
          <w:rFonts w:hint="eastAsia" w:asciiTheme="minorEastAsia" w:hAnsiTheme="minorEastAsia" w:eastAsiaTheme="minorEastAsia"/>
          <w:color w:val="auto"/>
          <w:sz w:val="24"/>
          <w:highlight w:val="none"/>
          <w:lang w:val="en-US" w:eastAsia="zh-CN"/>
        </w:rPr>
        <w:t>6</w:t>
      </w:r>
      <w:r>
        <w:rPr>
          <w:rFonts w:hint="eastAsia" w:asciiTheme="minorEastAsia" w:hAnsiTheme="minorEastAsia" w:eastAsiaTheme="minorEastAsia"/>
          <w:color w:val="auto"/>
          <w:sz w:val="24"/>
          <w:highlight w:val="none"/>
        </w:rPr>
        <w:t>】</w:t>
      </w:r>
      <w:r>
        <w:rPr>
          <w:rFonts w:hint="eastAsia" w:asciiTheme="minorEastAsia" w:hAnsiTheme="minorEastAsia" w:eastAsiaTheme="minorEastAsia"/>
          <w:color w:val="auto"/>
          <w:sz w:val="24"/>
          <w:highlight w:val="none"/>
          <w:lang w:eastAsia="zh-CN"/>
        </w:rPr>
        <w:t>安全</w:t>
      </w:r>
      <w:r>
        <w:rPr>
          <w:rFonts w:hint="eastAsia" w:asciiTheme="minorEastAsia" w:hAnsiTheme="minorEastAsia" w:eastAsiaTheme="minorEastAsia"/>
          <w:color w:val="auto"/>
          <w:sz w:val="24"/>
          <w:highlight w:val="none"/>
        </w:rPr>
        <w:t>监督检查与考核表</w:t>
      </w:r>
    </w:p>
    <w:p>
      <w:pPr>
        <w:numPr>
          <w:ilvl w:val="0"/>
          <w:numId w:val="165"/>
        </w:numPr>
        <w:spacing w:before="120" w:beforeLines="50" w:after="120" w:afterLines="50" w:line="240" w:lineRule="auto"/>
        <w:ind w:leftChars="0" w:right="0"/>
        <w:rPr>
          <w:rFonts w:asciiTheme="minorEastAsia" w:hAnsiTheme="minorEastAsia" w:eastAsiaTheme="minorEastAsia"/>
          <w:color w:val="auto"/>
          <w:sz w:val="24"/>
          <w:highlight w:val="none"/>
        </w:rPr>
      </w:pPr>
      <w:r>
        <w:rPr>
          <w:rFonts w:hint="eastAsia" w:asciiTheme="minorEastAsia" w:hAnsiTheme="minorEastAsia" w:eastAsiaTheme="minorEastAsia"/>
          <w:color w:val="auto"/>
          <w:sz w:val="24"/>
          <w:highlight w:val="none"/>
        </w:rPr>
        <w:t>【附件B-</w:t>
      </w:r>
      <w:r>
        <w:rPr>
          <w:rFonts w:hint="eastAsia" w:asciiTheme="minorEastAsia" w:hAnsiTheme="minorEastAsia" w:eastAsiaTheme="minorEastAsia"/>
          <w:color w:val="auto"/>
          <w:sz w:val="24"/>
          <w:highlight w:val="none"/>
          <w:lang w:val="en-US" w:eastAsia="zh-CN"/>
        </w:rPr>
        <w:t>7</w:t>
      </w:r>
      <w:r>
        <w:rPr>
          <w:rFonts w:hint="eastAsia" w:asciiTheme="minorEastAsia" w:hAnsiTheme="minorEastAsia" w:eastAsiaTheme="minorEastAsia"/>
          <w:color w:val="auto"/>
          <w:sz w:val="24"/>
          <w:highlight w:val="none"/>
        </w:rPr>
        <w:t>】精装修工作面移交标准</w:t>
      </w:r>
    </w:p>
    <w:bookmarkEnd w:id="1438"/>
    <w:p>
      <w:pPr>
        <w:numPr>
          <w:ilvl w:val="0"/>
          <w:numId w:val="0"/>
        </w:numPr>
        <w:spacing w:before="120" w:beforeLines="50" w:after="120" w:afterLines="50" w:line="240" w:lineRule="auto"/>
        <w:ind w:leftChars="200"/>
        <w:rPr>
          <w:rFonts w:hint="default"/>
          <w:color w:val="auto"/>
          <w:highlight w:val="none"/>
          <w:lang w:val="en-US" w:eastAsia="zh-CN"/>
        </w:rPr>
      </w:pPr>
      <w:bookmarkStart w:id="1439" w:name="_Toc520245831"/>
      <w:bookmarkEnd w:id="1439"/>
      <w:bookmarkStart w:id="1440" w:name="_Toc520245204"/>
      <w:bookmarkEnd w:id="1440"/>
    </w:p>
    <w:bookmarkEnd w:id="1441"/>
    <w:sectPr>
      <w:headerReference r:id="rId6" w:type="default"/>
      <w:footerReference r:id="rId7" w:type="default"/>
      <w:pgSz w:w="11905" w:h="16838"/>
      <w:pgMar w:top="1429" w:right="1378" w:bottom="1310" w:left="1446" w:header="0" w:footer="1145" w:gutter="0"/>
      <w:pgNumType w:fmt="decimal"/>
      <w:cols w:space="0" w:num="1"/>
      <w:rtlGutter w:val="0"/>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8"/>
    <w:family w:val="modern"/>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Wingdings 2">
    <w:panose1 w:val="05020102010507070707"/>
    <w:charset w:val="02"/>
    <w:family w:val="auto"/>
    <w:pitch w:val="default"/>
    <w:sig w:usb0="00000000" w:usb1="00000000" w:usb2="00000000" w:usb3="00000000" w:csb0="80000000" w:csb1="00000000"/>
  </w:font>
  <w:font w:name="仿宋">
    <w:panose1 w:val="02010609060101010101"/>
    <w:charset w:val="86"/>
    <w:family w:val="auto"/>
    <w:pitch w:val="default"/>
    <w:sig w:usb0="800002BF" w:usb1="38CF7CFA" w:usb2="00000016" w:usb3="00000000" w:csb0="00040001"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tabs>
        <w:tab w:val="center" w:pos="4153"/>
        <w:tab w:val="right" w:pos="8306"/>
      </w:tabs>
      <w:jc w:val="center"/>
    </w:pPr>
    <w:r>
      <w:rPr>
        <w:sz w:val="24"/>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12" name="文本框 1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sdt>
                          <w:sdtPr>
                            <w:id w:val="147477029"/>
                            <w:docPartObj>
                              <w:docPartGallery w:val="autotext"/>
                            </w:docPartObj>
                          </w:sdtPr>
                          <w:sdtContent>
                            <w:p>
                              <w:pPr>
                                <w:tabs>
                                  <w:tab w:val="center" w:pos="4153"/>
                                  <w:tab w:val="right" w:pos="8306"/>
                                </w:tabs>
                                <w:jc w:val="center"/>
                              </w:pPr>
                              <w:r>
                                <w:fldChar w:fldCharType="begin"/>
                              </w:r>
                              <w:r>
                                <w:instrText xml:space="preserve">PAGE   \* MERGEFORMAT</w:instrText>
                              </w:r>
                              <w:r>
                                <w:fldChar w:fldCharType="separate"/>
                              </w:r>
                              <w:r>
                                <w:rPr>
                                  <w:lang w:val="zh-CN" w:eastAsia="zh-CN"/>
                                </w:rPr>
                                <w:t>2</w:t>
                              </w:r>
                              <w:r>
                                <w:fldChar w:fldCharType="end"/>
                              </w:r>
                            </w:p>
                          </w:sdtContent>
                        </w:sdt>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LNJWO7QAAAABQEAAA8AAAAAAAAAAQAgAAAA&#10;IgAAAGRycy9kb3ducmV2LnhtbFBLAQIUABQAAAAIAIdO4kBIk72REwIAABUEAAAOAAAAAAAAAAEA&#10;IAAAAB8BAABkcnMvZTJvRG9jLnhtbFBLBQYAAAAABgAGAFkBAACkBQAAAAA=&#10;">
              <v:fill on="f" focussize="0,0"/>
              <v:stroke on="f" weight="0.5pt"/>
              <v:imagedata o:title=""/>
              <o:lock v:ext="edit" aspectratio="f"/>
              <v:textbox inset="0mm,0mm,0mm,0mm" style="mso-fit-shape-to-text:t;">
                <w:txbxContent>
                  <w:sdt>
                    <w:sdtPr>
                      <w:id w:val="147477029"/>
                      <w:docPartObj>
                        <w:docPartGallery w:val="autotext"/>
                      </w:docPartObj>
                    </w:sdtPr>
                    <w:sdtContent>
                      <w:p>
                        <w:pPr>
                          <w:tabs>
                            <w:tab w:val="center" w:pos="4153"/>
                            <w:tab w:val="right" w:pos="8306"/>
                          </w:tabs>
                          <w:jc w:val="center"/>
                        </w:pPr>
                        <w:r>
                          <w:fldChar w:fldCharType="begin"/>
                        </w:r>
                        <w:r>
                          <w:instrText xml:space="preserve">PAGE   \* MERGEFORMAT</w:instrText>
                        </w:r>
                        <w:r>
                          <w:fldChar w:fldCharType="separate"/>
                        </w:r>
                        <w:r>
                          <w:rPr>
                            <w:lang w:val="zh-CN" w:eastAsia="zh-CN"/>
                          </w:rPr>
                          <w:t>2</w:t>
                        </w:r>
                        <w:r>
                          <w:fldChar w:fldCharType="end"/>
                        </w:r>
                      </w:p>
                    </w:sdtContent>
                  </w:sdt>
                  <w:p/>
                </w:txbxContent>
              </v:textbox>
            </v:shape>
          </w:pict>
        </mc:Fallback>
      </mc:AlternateContent>
    </w:r>
  </w:p>
  <w:p>
    <w:pPr>
      <w:spacing w:line="180" w:lineRule="auto"/>
      <w:rPr>
        <w:rFonts w:eastAsiaTheme="minorEastAsia"/>
        <w:sz w:val="18"/>
        <w:szCs w:val="18"/>
        <w:lang w:eastAsia="zh-CN"/>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tabs>
        <w:tab w:val="center" w:pos="4153"/>
        <w:tab w:val="right" w:pos="8306"/>
      </w:tabs>
      <w:spacing w:before="120" w:after="120"/>
      <w:ind w:firstLine="360"/>
      <w:jc w:val="center"/>
    </w:pPr>
    <w:r>
      <w:rPr>
        <w:sz w:val="24"/>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13" name="文本框 1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tabs>
                              <w:tab w:val="center" w:pos="4153"/>
                              <w:tab w:val="right" w:pos="8306"/>
                            </w:tabs>
                            <w:spacing w:before="120" w:after="120"/>
                            <w:ind w:firstLine="360"/>
                            <w:jc w:val="center"/>
                          </w:pPr>
                          <w:r>
                            <w:fldChar w:fldCharType="begin"/>
                          </w:r>
                          <w:r>
                            <w:instrText xml:space="preserve">PAGE   \* MERGEFORMAT</w:instrText>
                          </w:r>
                          <w:r>
                            <w:fldChar w:fldCharType="separate"/>
                          </w:r>
                          <w:r>
                            <w:rPr>
                              <w:lang w:val="zh-CN"/>
                            </w:rPr>
                            <w:t>134</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zSVju0AAAAAUBAAAPAAAAAAAAAAEAIAAA&#10;ACIAAABkcnMvZG93bnJldi54bWxQSwECFAAUAAAACACHTuJACjsqfhQCAAAVBAAADgAAAAAAAAAB&#10;ACAAAAAfAQAAZHJzL2Uyb0RvYy54bWxQSwUGAAAAAAYABgBZAQAApQUAAAAA&#10;">
              <v:fill on="f" focussize="0,0"/>
              <v:stroke on="f" weight="0.5pt"/>
              <v:imagedata o:title=""/>
              <o:lock v:ext="edit" aspectratio="f"/>
              <v:textbox inset="0mm,0mm,0mm,0mm" style="mso-fit-shape-to-text:t;">
                <w:txbxContent>
                  <w:p>
                    <w:pPr>
                      <w:tabs>
                        <w:tab w:val="center" w:pos="4153"/>
                        <w:tab w:val="right" w:pos="8306"/>
                      </w:tabs>
                      <w:spacing w:before="120" w:after="120"/>
                      <w:ind w:firstLine="360"/>
                      <w:jc w:val="center"/>
                    </w:pPr>
                    <w:r>
                      <w:fldChar w:fldCharType="begin"/>
                    </w:r>
                    <w:r>
                      <w:instrText xml:space="preserve">PAGE   \* MERGEFORMAT</w:instrText>
                    </w:r>
                    <w:r>
                      <w:fldChar w:fldCharType="separate"/>
                    </w:r>
                    <w:r>
                      <w:rPr>
                        <w:lang w:val="zh-CN"/>
                      </w:rPr>
                      <w:t>134</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tabs>
        <w:tab w:val="center" w:pos="4153"/>
        <w:tab w:val="right" w:pos="8306"/>
      </w:tabs>
      <w:jc w:val="center"/>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992" name="文本框 99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pPr>
                            <w:tabs>
                              <w:tab w:val="center" w:pos="4153"/>
                              <w:tab w:val="right" w:pos="8306"/>
                            </w:tabs>
                            <w:jc w:val="center"/>
                          </w:pPr>
                          <w:r>
                            <w:fldChar w:fldCharType="begin"/>
                          </w:r>
                          <w:r>
                            <w:instrText xml:space="preserve">PAGE   \* MERGEFORMAT</w:instrText>
                          </w:r>
                          <w:r>
                            <w:fldChar w:fldCharType="separate"/>
                          </w:r>
                          <w:r>
                            <w:rPr>
                              <w:lang w:val="zh-CN"/>
                            </w:rPr>
                            <w:t>58</w:t>
                          </w:r>
                          <w:r>
                            <w:fldChar w:fldCharType="end"/>
                          </w:r>
                        </w:p>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s0lY7tAAAAAFAQAADwAAAAAAAAAB&#10;ACAAAAAiAAAAZHJzL2Rvd25yZXYueG1sUEsBAhQAFAAAAAgAh07iQHdBsJkYAgAAGQQAAA4AAAAA&#10;AAAAAQAgAAAAHwEAAGRycy9lMm9Eb2MueG1sUEsFBgAAAAAGAAYAWQEAAKkFAAAAAA==&#10;">
              <v:fill on="f" focussize="0,0"/>
              <v:stroke on="f" weight="0.5pt"/>
              <v:imagedata o:title=""/>
              <o:lock v:ext="edit" aspectratio="f"/>
              <v:textbox inset="0mm,0mm,0mm,0mm" style="mso-fit-shape-to-text:t;">
                <w:txbxContent>
                  <w:p>
                    <w:pPr>
                      <w:tabs>
                        <w:tab w:val="center" w:pos="4153"/>
                        <w:tab w:val="right" w:pos="8306"/>
                      </w:tabs>
                      <w:jc w:val="center"/>
                    </w:pPr>
                    <w:r>
                      <w:fldChar w:fldCharType="begin"/>
                    </w:r>
                    <w:r>
                      <w:instrText xml:space="preserve">PAGE   \* MERGEFORMAT</w:instrText>
                    </w:r>
                    <w:r>
                      <w:fldChar w:fldCharType="separate"/>
                    </w:r>
                    <w:r>
                      <w:rPr>
                        <w:lang w:val="zh-CN"/>
                      </w:rPr>
                      <w:t>58</w:t>
                    </w:r>
                    <w:r>
                      <w:fldChar w:fldCharType="end"/>
                    </w:r>
                  </w:p>
                  <w:p/>
                </w:txbxContent>
              </v:textbox>
            </v:shape>
          </w:pict>
        </mc:Fallback>
      </mc:AlternateContent>
    </w:r>
  </w:p>
  <w:p>
    <w:pPr>
      <w:tabs>
        <w:tab w:val="center" w:pos="4153"/>
        <w:tab w:val="right" w:pos="8306"/>
      </w:tabs>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tabs>
        <w:tab w:val="center" w:pos="4153"/>
        <w:tab w:val="right" w:pos="8306"/>
      </w:tabs>
      <w:spacing w:before="120" w:after="120"/>
      <w:ind w:firstLine="360"/>
      <w:jc w:val="right"/>
    </w:pPr>
    <w:r>
      <w:rPr>
        <w:rFonts w:hint="eastAsia"/>
      </w:rPr>
      <w:t xml:space="preserve">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bottom w:val="none" w:color="auto" w:sz="0" w:space="0"/>
      </w:pBdr>
      <w:tabs>
        <w:tab w:val="center" w:pos="4153"/>
        <w:tab w:val="right" w:pos="8306"/>
      </w:tabs>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7BB230F"/>
    <w:multiLevelType w:val="multilevel"/>
    <w:tmpl w:val="87BB230F"/>
    <w:lvl w:ilvl="0" w:tentative="0">
      <w:start w:val="1"/>
      <w:numFmt w:val="decimal"/>
      <w:lvlText w:val="%1."/>
      <w:lvlJc w:val="left"/>
      <w:pPr>
        <w:ind w:left="425" w:hanging="425"/>
      </w:pPr>
    </w:lvl>
    <w:lvl w:ilvl="1" w:tentative="0">
      <w:start w:val="1"/>
      <w:numFmt w:val="decimal"/>
      <w:lvlText w:val="%2)"/>
      <w:lvlJc w:val="left"/>
      <w:pPr>
        <w:ind w:left="567" w:hanging="567"/>
      </w:pPr>
      <w:rPr>
        <w:rFonts w:hint="default" w:ascii="Times New Roman" w:hAnsi="Times New Roman" w:eastAsia="宋体" w:cs="Times New Roman"/>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1">
    <w:nsid w:val="9783C766"/>
    <w:multiLevelType w:val="multilevel"/>
    <w:tmpl w:val="9783C766"/>
    <w:lvl w:ilvl="0" w:tentative="0">
      <w:start w:val="1"/>
      <w:numFmt w:val="decimal"/>
      <w:pStyle w:val="2"/>
      <w:suff w:val="space"/>
      <w:lvlText w:val="第%1章 "/>
      <w:lvlJc w:val="left"/>
      <w:pPr>
        <w:tabs>
          <w:tab w:val="left" w:pos="420"/>
        </w:tabs>
        <w:ind w:left="432" w:hanging="432"/>
      </w:pPr>
      <w:rPr>
        <w:rFonts w:hint="default"/>
      </w:rPr>
    </w:lvl>
    <w:lvl w:ilvl="1" w:tentative="0">
      <w:start w:val="1"/>
      <w:numFmt w:val="decimal"/>
      <w:pStyle w:val="3"/>
      <w:isLgl/>
      <w:suff w:val="space"/>
      <w:lvlText w:val="%1.%2"/>
      <w:lvlJc w:val="left"/>
      <w:pPr>
        <w:tabs>
          <w:tab w:val="left" w:pos="420"/>
        </w:tabs>
        <w:ind w:left="575" w:hanging="575"/>
      </w:pPr>
      <w:rPr>
        <w:rFonts w:hint="eastAsia"/>
      </w:rPr>
    </w:lvl>
    <w:lvl w:ilvl="2" w:tentative="0">
      <w:start w:val="1"/>
      <w:numFmt w:val="decimal"/>
      <w:pStyle w:val="4"/>
      <w:isLgl/>
      <w:suff w:val="space"/>
      <w:lvlText w:val="%1.%2.%3"/>
      <w:lvlJc w:val="left"/>
      <w:pPr>
        <w:tabs>
          <w:tab w:val="left" w:pos="420"/>
        </w:tabs>
        <w:ind w:left="720" w:hanging="720"/>
      </w:pPr>
      <w:rPr>
        <w:rFonts w:hint="eastAsia"/>
      </w:rPr>
    </w:lvl>
    <w:lvl w:ilvl="3" w:tentative="0">
      <w:start w:val="1"/>
      <w:numFmt w:val="decimal"/>
      <w:pStyle w:val="5"/>
      <w:isLgl/>
      <w:suff w:val="space"/>
      <w:lvlText w:val="%1.%2.%3.%4"/>
      <w:lvlJc w:val="left"/>
      <w:pPr>
        <w:tabs>
          <w:tab w:val="left" w:pos="420"/>
        </w:tabs>
        <w:ind w:left="1117" w:hanging="864"/>
      </w:pPr>
      <w:rPr>
        <w:rFonts w:hint="eastAsia"/>
      </w:rPr>
    </w:lvl>
    <w:lvl w:ilvl="4" w:tentative="0">
      <w:start w:val="1"/>
      <w:numFmt w:val="decimal"/>
      <w:pStyle w:val="6"/>
      <w:isLgl/>
      <w:suff w:val="space"/>
      <w:lvlText w:val="%1.%2.%3.%4.%5"/>
      <w:lvlJc w:val="left"/>
      <w:pPr>
        <w:tabs>
          <w:tab w:val="left" w:pos="420"/>
        </w:tabs>
        <w:ind w:left="1008" w:hanging="1008"/>
      </w:pPr>
      <w:rPr>
        <w:rFonts w:hint="eastAsia"/>
      </w:rPr>
    </w:lvl>
    <w:lvl w:ilvl="5" w:tentative="0">
      <w:start w:val="1"/>
      <w:numFmt w:val="decimal"/>
      <w:pStyle w:val="7"/>
      <w:isLgl/>
      <w:lvlText w:val="%1.%2.%3.%4.%5.%6."/>
      <w:lvlJc w:val="left"/>
      <w:pPr>
        <w:ind w:left="1151" w:hanging="1151"/>
      </w:pPr>
      <w:rPr>
        <w:rFonts w:hint="eastAsia"/>
      </w:rPr>
    </w:lvl>
    <w:lvl w:ilvl="6" w:tentative="0">
      <w:start w:val="1"/>
      <w:numFmt w:val="decimal"/>
      <w:pStyle w:val="8"/>
      <w:isLgl/>
      <w:lvlText w:val="%1.%2.%3.%4.%5.%6.%7."/>
      <w:lvlJc w:val="left"/>
      <w:pPr>
        <w:ind w:left="1296" w:hanging="1296"/>
      </w:pPr>
      <w:rPr>
        <w:rFonts w:hint="eastAsia"/>
      </w:rPr>
    </w:lvl>
    <w:lvl w:ilvl="7" w:tentative="0">
      <w:start w:val="1"/>
      <w:numFmt w:val="decimal"/>
      <w:pStyle w:val="9"/>
      <w:isLgl/>
      <w:lvlText w:val="%1.%2.%3.%4.%5.%6.%7.%8."/>
      <w:lvlJc w:val="left"/>
      <w:pPr>
        <w:ind w:left="1440" w:hanging="1440"/>
      </w:pPr>
      <w:rPr>
        <w:rFonts w:hint="eastAsia"/>
      </w:rPr>
    </w:lvl>
    <w:lvl w:ilvl="8" w:tentative="0">
      <w:start w:val="1"/>
      <w:numFmt w:val="decimal"/>
      <w:pStyle w:val="10"/>
      <w:isLgl/>
      <w:lvlText w:val="%1.%2.%3.%4.%5.%6.%7.%8.%9."/>
      <w:lvlJc w:val="left"/>
      <w:pPr>
        <w:ind w:left="1583" w:hanging="1583"/>
      </w:pPr>
      <w:rPr>
        <w:rFonts w:hint="eastAsia"/>
      </w:rPr>
    </w:lvl>
  </w:abstractNum>
  <w:abstractNum w:abstractNumId="2">
    <w:nsid w:val="9D281490"/>
    <w:multiLevelType w:val="multilevel"/>
    <w:tmpl w:val="9D281490"/>
    <w:lvl w:ilvl="0" w:tentative="0">
      <w:start w:val="1"/>
      <w:numFmt w:val="decimal"/>
      <w:lvlText w:val="%1."/>
      <w:lvlJc w:val="left"/>
      <w:pPr>
        <w:ind w:left="425" w:hanging="425"/>
      </w:pPr>
    </w:lvl>
    <w:lvl w:ilvl="1" w:tentative="0">
      <w:start w:val="1"/>
      <w:numFmt w:val="decimal"/>
      <w:lvlText w:val="%2)"/>
      <w:lvlJc w:val="left"/>
      <w:pPr>
        <w:ind w:left="567" w:hanging="567"/>
      </w:pPr>
      <w:rPr>
        <w:rFonts w:hint="default" w:ascii="Times New Roman" w:hAnsi="Times New Roman" w:eastAsia="宋体" w:cs="Times New Roman"/>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3">
    <w:nsid w:val="A56F51C6"/>
    <w:multiLevelType w:val="multilevel"/>
    <w:tmpl w:val="A56F51C6"/>
    <w:lvl w:ilvl="0" w:tentative="0">
      <w:start w:val="1"/>
      <w:numFmt w:val="decimal"/>
      <w:lvlText w:val="%1."/>
      <w:lvlJc w:val="left"/>
      <w:pPr>
        <w:ind w:left="425" w:hanging="425"/>
      </w:pPr>
    </w:lvl>
    <w:lvl w:ilvl="1" w:tentative="0">
      <w:start w:val="1"/>
      <w:numFmt w:val="decimal"/>
      <w:lvlText w:val="%2)"/>
      <w:lvlJc w:val="left"/>
      <w:pPr>
        <w:ind w:left="567" w:hanging="567"/>
      </w:pPr>
      <w:rPr>
        <w:rFonts w:hint="default" w:ascii="Times New Roman" w:hAnsi="Times New Roman" w:eastAsia="宋体" w:cs="Times New Roman"/>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4">
    <w:nsid w:val="AF8F39B0"/>
    <w:multiLevelType w:val="multilevel"/>
    <w:tmpl w:val="AF8F39B0"/>
    <w:lvl w:ilvl="0" w:tentative="0">
      <w:start w:val="1"/>
      <w:numFmt w:val="decimal"/>
      <w:lvlText w:val="%1)"/>
      <w:lvlJc w:val="left"/>
      <w:pPr>
        <w:tabs>
          <w:tab w:val="left" w:pos="-420"/>
        </w:tabs>
        <w:ind w:left="284" w:hanging="420"/>
      </w:pPr>
      <w:rPr>
        <w:rFonts w:hint="default"/>
      </w:rPr>
    </w:lvl>
    <w:lvl w:ilvl="1" w:tentative="0">
      <w:start w:val="1"/>
      <w:numFmt w:val="lowerLetter"/>
      <w:lvlText w:val="%2)"/>
      <w:lvlJc w:val="left"/>
      <w:pPr>
        <w:tabs>
          <w:tab w:val="left" w:pos="-420"/>
        </w:tabs>
        <w:ind w:left="704" w:hanging="420"/>
      </w:pPr>
    </w:lvl>
    <w:lvl w:ilvl="2" w:tentative="0">
      <w:start w:val="1"/>
      <w:numFmt w:val="lowerRoman"/>
      <w:lvlText w:val="%3."/>
      <w:lvlJc w:val="right"/>
      <w:pPr>
        <w:tabs>
          <w:tab w:val="left" w:pos="-420"/>
        </w:tabs>
        <w:ind w:left="1124" w:hanging="420"/>
      </w:pPr>
    </w:lvl>
    <w:lvl w:ilvl="3" w:tentative="0">
      <w:start w:val="1"/>
      <w:numFmt w:val="decimal"/>
      <w:lvlText w:val="%4."/>
      <w:lvlJc w:val="left"/>
      <w:pPr>
        <w:tabs>
          <w:tab w:val="left" w:pos="-420"/>
        </w:tabs>
        <w:ind w:left="1544" w:hanging="420"/>
      </w:pPr>
    </w:lvl>
    <w:lvl w:ilvl="4" w:tentative="0">
      <w:start w:val="1"/>
      <w:numFmt w:val="lowerLetter"/>
      <w:lvlText w:val="%5)"/>
      <w:lvlJc w:val="left"/>
      <w:pPr>
        <w:tabs>
          <w:tab w:val="left" w:pos="-420"/>
        </w:tabs>
        <w:ind w:left="1964" w:hanging="420"/>
      </w:pPr>
    </w:lvl>
    <w:lvl w:ilvl="5" w:tentative="0">
      <w:start w:val="1"/>
      <w:numFmt w:val="lowerRoman"/>
      <w:lvlText w:val="%6."/>
      <w:lvlJc w:val="right"/>
      <w:pPr>
        <w:tabs>
          <w:tab w:val="left" w:pos="-420"/>
        </w:tabs>
        <w:ind w:left="2384" w:hanging="420"/>
      </w:pPr>
    </w:lvl>
    <w:lvl w:ilvl="6" w:tentative="0">
      <w:start w:val="1"/>
      <w:numFmt w:val="decimal"/>
      <w:lvlText w:val="%7."/>
      <w:lvlJc w:val="left"/>
      <w:pPr>
        <w:tabs>
          <w:tab w:val="left" w:pos="-420"/>
        </w:tabs>
        <w:ind w:left="2804" w:hanging="420"/>
      </w:pPr>
    </w:lvl>
    <w:lvl w:ilvl="7" w:tentative="0">
      <w:start w:val="1"/>
      <w:numFmt w:val="lowerLetter"/>
      <w:lvlText w:val="%8)"/>
      <w:lvlJc w:val="left"/>
      <w:pPr>
        <w:tabs>
          <w:tab w:val="left" w:pos="-420"/>
        </w:tabs>
        <w:ind w:left="3224" w:hanging="420"/>
      </w:pPr>
    </w:lvl>
    <w:lvl w:ilvl="8" w:tentative="0">
      <w:start w:val="1"/>
      <w:numFmt w:val="lowerRoman"/>
      <w:lvlText w:val="%9."/>
      <w:lvlJc w:val="right"/>
      <w:pPr>
        <w:tabs>
          <w:tab w:val="left" w:pos="-420"/>
        </w:tabs>
        <w:ind w:left="3644" w:hanging="420"/>
      </w:pPr>
    </w:lvl>
  </w:abstractNum>
  <w:abstractNum w:abstractNumId="5">
    <w:nsid w:val="B00C55F7"/>
    <w:multiLevelType w:val="multilevel"/>
    <w:tmpl w:val="B00C55F7"/>
    <w:lvl w:ilvl="0" w:tentative="0">
      <w:start w:val="1"/>
      <w:numFmt w:val="decimal"/>
      <w:lvlText w:val="%1)"/>
      <w:lvlJc w:val="left"/>
      <w:pPr>
        <w:tabs>
          <w:tab w:val="left" w:pos="-420"/>
        </w:tabs>
        <w:ind w:left="284" w:hanging="420"/>
      </w:pPr>
      <w:rPr>
        <w:rFonts w:hint="default"/>
      </w:rPr>
    </w:lvl>
    <w:lvl w:ilvl="1" w:tentative="0">
      <w:start w:val="1"/>
      <w:numFmt w:val="lowerLetter"/>
      <w:lvlText w:val="%2)"/>
      <w:lvlJc w:val="left"/>
      <w:pPr>
        <w:tabs>
          <w:tab w:val="left" w:pos="-420"/>
        </w:tabs>
        <w:ind w:left="704" w:hanging="420"/>
      </w:pPr>
    </w:lvl>
    <w:lvl w:ilvl="2" w:tentative="0">
      <w:start w:val="1"/>
      <w:numFmt w:val="lowerRoman"/>
      <w:lvlText w:val="%3."/>
      <w:lvlJc w:val="right"/>
      <w:pPr>
        <w:tabs>
          <w:tab w:val="left" w:pos="-420"/>
        </w:tabs>
        <w:ind w:left="1124" w:hanging="420"/>
      </w:pPr>
    </w:lvl>
    <w:lvl w:ilvl="3" w:tentative="0">
      <w:start w:val="1"/>
      <w:numFmt w:val="decimal"/>
      <w:lvlText w:val="%4."/>
      <w:lvlJc w:val="left"/>
      <w:pPr>
        <w:tabs>
          <w:tab w:val="left" w:pos="-420"/>
        </w:tabs>
        <w:ind w:left="1544" w:hanging="420"/>
      </w:pPr>
    </w:lvl>
    <w:lvl w:ilvl="4" w:tentative="0">
      <w:start w:val="1"/>
      <w:numFmt w:val="lowerLetter"/>
      <w:lvlText w:val="%5)"/>
      <w:lvlJc w:val="left"/>
      <w:pPr>
        <w:tabs>
          <w:tab w:val="left" w:pos="-420"/>
        </w:tabs>
        <w:ind w:left="1964" w:hanging="420"/>
      </w:pPr>
    </w:lvl>
    <w:lvl w:ilvl="5" w:tentative="0">
      <w:start w:val="1"/>
      <w:numFmt w:val="lowerRoman"/>
      <w:lvlText w:val="%6."/>
      <w:lvlJc w:val="right"/>
      <w:pPr>
        <w:tabs>
          <w:tab w:val="left" w:pos="-420"/>
        </w:tabs>
        <w:ind w:left="2384" w:hanging="420"/>
      </w:pPr>
    </w:lvl>
    <w:lvl w:ilvl="6" w:tentative="0">
      <w:start w:val="1"/>
      <w:numFmt w:val="decimal"/>
      <w:lvlText w:val="%7."/>
      <w:lvlJc w:val="left"/>
      <w:pPr>
        <w:tabs>
          <w:tab w:val="left" w:pos="-420"/>
        </w:tabs>
        <w:ind w:left="2804" w:hanging="420"/>
      </w:pPr>
    </w:lvl>
    <w:lvl w:ilvl="7" w:tentative="0">
      <w:start w:val="1"/>
      <w:numFmt w:val="lowerLetter"/>
      <w:lvlText w:val="%8)"/>
      <w:lvlJc w:val="left"/>
      <w:pPr>
        <w:tabs>
          <w:tab w:val="left" w:pos="-420"/>
        </w:tabs>
        <w:ind w:left="3224" w:hanging="420"/>
      </w:pPr>
    </w:lvl>
    <w:lvl w:ilvl="8" w:tentative="0">
      <w:start w:val="1"/>
      <w:numFmt w:val="lowerRoman"/>
      <w:lvlText w:val="%9."/>
      <w:lvlJc w:val="right"/>
      <w:pPr>
        <w:tabs>
          <w:tab w:val="left" w:pos="-420"/>
        </w:tabs>
        <w:ind w:left="3644" w:hanging="420"/>
      </w:pPr>
    </w:lvl>
  </w:abstractNum>
  <w:abstractNum w:abstractNumId="6">
    <w:nsid w:val="C7661832"/>
    <w:multiLevelType w:val="multilevel"/>
    <w:tmpl w:val="C7661832"/>
    <w:lvl w:ilvl="0" w:tentative="0">
      <w:start w:val="1"/>
      <w:numFmt w:val="decimal"/>
      <w:lvlText w:val="%1."/>
      <w:lvlJc w:val="left"/>
      <w:pPr>
        <w:ind w:left="425" w:hanging="425"/>
      </w:pPr>
    </w:lvl>
    <w:lvl w:ilvl="1" w:tentative="0">
      <w:start w:val="1"/>
      <w:numFmt w:val="decimal"/>
      <w:lvlText w:val="%2)"/>
      <w:lvlJc w:val="left"/>
      <w:pPr>
        <w:ind w:left="567" w:hanging="567"/>
      </w:pPr>
      <w:rPr>
        <w:rFonts w:hint="default" w:ascii="Times New Roman" w:hAnsi="Times New Roman" w:eastAsia="宋体" w:cs="Times New Roman"/>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7">
    <w:nsid w:val="CB879E5A"/>
    <w:multiLevelType w:val="multilevel"/>
    <w:tmpl w:val="CB879E5A"/>
    <w:lvl w:ilvl="0" w:tentative="0">
      <w:start w:val="1"/>
      <w:numFmt w:val="decimal"/>
      <w:lvlText w:val="%1."/>
      <w:lvlJc w:val="left"/>
      <w:pPr>
        <w:ind w:left="425" w:hanging="425"/>
      </w:pPr>
    </w:lvl>
    <w:lvl w:ilvl="1" w:tentative="0">
      <w:start w:val="1"/>
      <w:numFmt w:val="decimal"/>
      <w:lvlText w:val="%2)"/>
      <w:lvlJc w:val="left"/>
      <w:pPr>
        <w:ind w:left="567" w:hanging="567"/>
      </w:pPr>
      <w:rPr>
        <w:rFonts w:hint="default" w:ascii="Times New Roman" w:hAnsi="Times New Roman" w:eastAsia="宋体" w:cs="Times New Roman"/>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8">
    <w:nsid w:val="CC9C17C1"/>
    <w:multiLevelType w:val="multilevel"/>
    <w:tmpl w:val="CC9C17C1"/>
    <w:lvl w:ilvl="0" w:tentative="0">
      <w:start w:val="1"/>
      <w:numFmt w:val="decimal"/>
      <w:lvlText w:val="%1)"/>
      <w:lvlJc w:val="left"/>
      <w:pPr>
        <w:tabs>
          <w:tab w:val="left" w:pos="-2520"/>
        </w:tabs>
        <w:ind w:left="310" w:hanging="420"/>
      </w:pPr>
    </w:lvl>
    <w:lvl w:ilvl="1" w:tentative="0">
      <w:start w:val="1"/>
      <w:numFmt w:val="lowerLetter"/>
      <w:lvlText w:val="%2)"/>
      <w:lvlJc w:val="left"/>
      <w:pPr>
        <w:tabs>
          <w:tab w:val="left" w:pos="-2520"/>
        </w:tabs>
        <w:ind w:left="730" w:hanging="420"/>
      </w:pPr>
    </w:lvl>
    <w:lvl w:ilvl="2" w:tentative="0">
      <w:start w:val="1"/>
      <w:numFmt w:val="lowerRoman"/>
      <w:lvlText w:val="%3."/>
      <w:lvlJc w:val="right"/>
      <w:pPr>
        <w:tabs>
          <w:tab w:val="left" w:pos="-2520"/>
        </w:tabs>
        <w:ind w:left="1150" w:hanging="420"/>
      </w:pPr>
    </w:lvl>
    <w:lvl w:ilvl="3" w:tentative="0">
      <w:start w:val="1"/>
      <w:numFmt w:val="decimal"/>
      <w:lvlText w:val="%4."/>
      <w:lvlJc w:val="left"/>
      <w:pPr>
        <w:tabs>
          <w:tab w:val="left" w:pos="-2520"/>
        </w:tabs>
        <w:ind w:left="1570" w:hanging="420"/>
      </w:pPr>
    </w:lvl>
    <w:lvl w:ilvl="4" w:tentative="0">
      <w:start w:val="1"/>
      <w:numFmt w:val="lowerLetter"/>
      <w:lvlText w:val="%5)"/>
      <w:lvlJc w:val="left"/>
      <w:pPr>
        <w:tabs>
          <w:tab w:val="left" w:pos="-2520"/>
        </w:tabs>
        <w:ind w:left="1990" w:hanging="420"/>
      </w:pPr>
    </w:lvl>
    <w:lvl w:ilvl="5" w:tentative="0">
      <w:start w:val="1"/>
      <w:numFmt w:val="lowerRoman"/>
      <w:lvlText w:val="%6."/>
      <w:lvlJc w:val="right"/>
      <w:pPr>
        <w:tabs>
          <w:tab w:val="left" w:pos="-2520"/>
        </w:tabs>
        <w:ind w:left="2410" w:hanging="420"/>
      </w:pPr>
    </w:lvl>
    <w:lvl w:ilvl="6" w:tentative="0">
      <w:start w:val="1"/>
      <w:numFmt w:val="decimal"/>
      <w:lvlText w:val="%7."/>
      <w:lvlJc w:val="left"/>
      <w:pPr>
        <w:tabs>
          <w:tab w:val="left" w:pos="-2520"/>
        </w:tabs>
        <w:ind w:left="2830" w:hanging="420"/>
      </w:pPr>
    </w:lvl>
    <w:lvl w:ilvl="7" w:tentative="0">
      <w:start w:val="1"/>
      <w:numFmt w:val="lowerLetter"/>
      <w:lvlText w:val="%8)"/>
      <w:lvlJc w:val="left"/>
      <w:pPr>
        <w:tabs>
          <w:tab w:val="left" w:pos="-2520"/>
        </w:tabs>
        <w:ind w:left="3250" w:hanging="420"/>
      </w:pPr>
    </w:lvl>
    <w:lvl w:ilvl="8" w:tentative="0">
      <w:start w:val="1"/>
      <w:numFmt w:val="lowerRoman"/>
      <w:lvlText w:val="%9."/>
      <w:lvlJc w:val="right"/>
      <w:pPr>
        <w:tabs>
          <w:tab w:val="left" w:pos="-2520"/>
        </w:tabs>
        <w:ind w:left="3670" w:hanging="420"/>
      </w:pPr>
    </w:lvl>
  </w:abstractNum>
  <w:abstractNum w:abstractNumId="9">
    <w:nsid w:val="D09244C0"/>
    <w:multiLevelType w:val="multilevel"/>
    <w:tmpl w:val="D09244C0"/>
    <w:lvl w:ilvl="0" w:tentative="0">
      <w:start w:val="1"/>
      <w:numFmt w:val="decimal"/>
      <w:lvlText w:val="%1."/>
      <w:lvlJc w:val="left"/>
      <w:pPr>
        <w:ind w:left="425" w:hanging="425"/>
      </w:pPr>
    </w:lvl>
    <w:lvl w:ilvl="1" w:tentative="0">
      <w:start w:val="1"/>
      <w:numFmt w:val="decimal"/>
      <w:lvlText w:val="%2)"/>
      <w:lvlJc w:val="left"/>
      <w:pPr>
        <w:ind w:left="567" w:hanging="567"/>
      </w:pPr>
      <w:rPr>
        <w:rFonts w:hint="default" w:ascii="Times New Roman" w:hAnsi="Times New Roman" w:eastAsia="宋体" w:cs="Times New Roman"/>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10">
    <w:nsid w:val="D1A42E09"/>
    <w:multiLevelType w:val="multilevel"/>
    <w:tmpl w:val="D1A42E09"/>
    <w:lvl w:ilvl="0" w:tentative="0">
      <w:start w:val="1"/>
      <w:numFmt w:val="decimal"/>
      <w:lvlText w:val="%1."/>
      <w:lvlJc w:val="left"/>
      <w:pPr>
        <w:ind w:left="425" w:hanging="425"/>
      </w:pPr>
    </w:lvl>
    <w:lvl w:ilvl="1" w:tentative="0">
      <w:start w:val="1"/>
      <w:numFmt w:val="decimal"/>
      <w:lvlText w:val="%2)"/>
      <w:lvlJc w:val="left"/>
      <w:pPr>
        <w:ind w:left="567" w:hanging="567"/>
      </w:pPr>
      <w:rPr>
        <w:rFonts w:hint="default" w:ascii="Times New Roman" w:hAnsi="Times New Roman" w:eastAsia="宋体" w:cs="Times New Roman"/>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11">
    <w:nsid w:val="D320FD27"/>
    <w:multiLevelType w:val="multilevel"/>
    <w:tmpl w:val="D320FD27"/>
    <w:lvl w:ilvl="0" w:tentative="0">
      <w:start w:val="1"/>
      <w:numFmt w:val="decimal"/>
      <w:lvlText w:val="%1."/>
      <w:lvlJc w:val="left"/>
      <w:pPr>
        <w:ind w:left="425" w:hanging="425"/>
      </w:pPr>
    </w:lvl>
    <w:lvl w:ilvl="1" w:tentative="0">
      <w:start w:val="1"/>
      <w:numFmt w:val="decimal"/>
      <w:lvlText w:val="%2)"/>
      <w:lvlJc w:val="left"/>
      <w:pPr>
        <w:ind w:left="567" w:hanging="567"/>
      </w:pPr>
      <w:rPr>
        <w:rFonts w:hint="default" w:ascii="Times New Roman" w:hAnsi="Times New Roman" w:eastAsia="宋体" w:cs="Times New Roman"/>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12">
    <w:nsid w:val="D6311D0B"/>
    <w:multiLevelType w:val="multilevel"/>
    <w:tmpl w:val="D6311D0B"/>
    <w:lvl w:ilvl="0" w:tentative="0">
      <w:start w:val="1"/>
      <w:numFmt w:val="decimal"/>
      <w:lvlText w:val="%1."/>
      <w:lvlJc w:val="left"/>
      <w:pPr>
        <w:ind w:left="425" w:hanging="425"/>
      </w:pPr>
    </w:lvl>
    <w:lvl w:ilvl="1" w:tentative="0">
      <w:start w:val="1"/>
      <w:numFmt w:val="decimal"/>
      <w:lvlText w:val="%2)"/>
      <w:lvlJc w:val="left"/>
      <w:pPr>
        <w:ind w:left="567" w:hanging="567"/>
      </w:pPr>
      <w:rPr>
        <w:rFonts w:hint="default" w:ascii="Times New Roman" w:hAnsi="Times New Roman" w:eastAsia="宋体" w:cs="Times New Roman"/>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13">
    <w:nsid w:val="DA85E536"/>
    <w:multiLevelType w:val="multilevel"/>
    <w:tmpl w:val="DA85E536"/>
    <w:lvl w:ilvl="0" w:tentative="0">
      <w:start w:val="1"/>
      <w:numFmt w:val="decimal"/>
      <w:lvlText w:val="%1)"/>
      <w:lvlJc w:val="left"/>
      <w:pPr>
        <w:tabs>
          <w:tab w:val="left" w:pos="-420"/>
        </w:tabs>
        <w:ind w:left="284" w:hanging="420"/>
      </w:pPr>
      <w:rPr>
        <w:rFonts w:hint="default"/>
      </w:rPr>
    </w:lvl>
    <w:lvl w:ilvl="1" w:tentative="0">
      <w:start w:val="1"/>
      <w:numFmt w:val="lowerLetter"/>
      <w:lvlText w:val="%2)"/>
      <w:lvlJc w:val="left"/>
      <w:pPr>
        <w:tabs>
          <w:tab w:val="left" w:pos="-420"/>
        </w:tabs>
        <w:ind w:left="704" w:hanging="420"/>
      </w:pPr>
    </w:lvl>
    <w:lvl w:ilvl="2" w:tentative="0">
      <w:start w:val="1"/>
      <w:numFmt w:val="lowerRoman"/>
      <w:lvlText w:val="%3."/>
      <w:lvlJc w:val="right"/>
      <w:pPr>
        <w:tabs>
          <w:tab w:val="left" w:pos="-420"/>
        </w:tabs>
        <w:ind w:left="1124" w:hanging="420"/>
      </w:pPr>
    </w:lvl>
    <w:lvl w:ilvl="3" w:tentative="0">
      <w:start w:val="1"/>
      <w:numFmt w:val="decimal"/>
      <w:lvlText w:val="%4."/>
      <w:lvlJc w:val="left"/>
      <w:pPr>
        <w:tabs>
          <w:tab w:val="left" w:pos="-420"/>
        </w:tabs>
        <w:ind w:left="1544" w:hanging="420"/>
      </w:pPr>
    </w:lvl>
    <w:lvl w:ilvl="4" w:tentative="0">
      <w:start w:val="1"/>
      <w:numFmt w:val="lowerLetter"/>
      <w:lvlText w:val="%5)"/>
      <w:lvlJc w:val="left"/>
      <w:pPr>
        <w:tabs>
          <w:tab w:val="left" w:pos="-420"/>
        </w:tabs>
        <w:ind w:left="1964" w:hanging="420"/>
      </w:pPr>
    </w:lvl>
    <w:lvl w:ilvl="5" w:tentative="0">
      <w:start w:val="1"/>
      <w:numFmt w:val="lowerRoman"/>
      <w:lvlText w:val="%6."/>
      <w:lvlJc w:val="right"/>
      <w:pPr>
        <w:tabs>
          <w:tab w:val="left" w:pos="-420"/>
        </w:tabs>
        <w:ind w:left="2384" w:hanging="420"/>
      </w:pPr>
    </w:lvl>
    <w:lvl w:ilvl="6" w:tentative="0">
      <w:start w:val="1"/>
      <w:numFmt w:val="decimal"/>
      <w:lvlText w:val="%7."/>
      <w:lvlJc w:val="left"/>
      <w:pPr>
        <w:tabs>
          <w:tab w:val="left" w:pos="-420"/>
        </w:tabs>
        <w:ind w:left="2804" w:hanging="420"/>
      </w:pPr>
    </w:lvl>
    <w:lvl w:ilvl="7" w:tentative="0">
      <w:start w:val="1"/>
      <w:numFmt w:val="lowerLetter"/>
      <w:lvlText w:val="%8)"/>
      <w:lvlJc w:val="left"/>
      <w:pPr>
        <w:tabs>
          <w:tab w:val="left" w:pos="-420"/>
        </w:tabs>
        <w:ind w:left="3224" w:hanging="420"/>
      </w:pPr>
    </w:lvl>
    <w:lvl w:ilvl="8" w:tentative="0">
      <w:start w:val="1"/>
      <w:numFmt w:val="lowerRoman"/>
      <w:lvlText w:val="%9."/>
      <w:lvlJc w:val="right"/>
      <w:pPr>
        <w:tabs>
          <w:tab w:val="left" w:pos="-420"/>
        </w:tabs>
        <w:ind w:left="3644" w:hanging="420"/>
      </w:pPr>
    </w:lvl>
  </w:abstractNum>
  <w:abstractNum w:abstractNumId="14">
    <w:nsid w:val="DD9B97C5"/>
    <w:multiLevelType w:val="multilevel"/>
    <w:tmpl w:val="DD9B97C5"/>
    <w:lvl w:ilvl="0" w:tentative="0">
      <w:start w:val="1"/>
      <w:numFmt w:val="decimal"/>
      <w:lvlText w:val="%1)"/>
      <w:lvlJc w:val="left"/>
      <w:pPr>
        <w:tabs>
          <w:tab w:val="left" w:pos="-420"/>
        </w:tabs>
        <w:ind w:left="284" w:hanging="420"/>
      </w:pPr>
      <w:rPr>
        <w:rFonts w:hint="default"/>
      </w:rPr>
    </w:lvl>
    <w:lvl w:ilvl="1" w:tentative="0">
      <w:start w:val="1"/>
      <w:numFmt w:val="lowerLetter"/>
      <w:lvlText w:val="%2)"/>
      <w:lvlJc w:val="left"/>
      <w:pPr>
        <w:tabs>
          <w:tab w:val="left" w:pos="-420"/>
        </w:tabs>
        <w:ind w:left="704" w:hanging="420"/>
      </w:pPr>
    </w:lvl>
    <w:lvl w:ilvl="2" w:tentative="0">
      <w:start w:val="1"/>
      <w:numFmt w:val="lowerRoman"/>
      <w:lvlText w:val="%3."/>
      <w:lvlJc w:val="right"/>
      <w:pPr>
        <w:tabs>
          <w:tab w:val="left" w:pos="-420"/>
        </w:tabs>
        <w:ind w:left="1124" w:hanging="420"/>
      </w:pPr>
    </w:lvl>
    <w:lvl w:ilvl="3" w:tentative="0">
      <w:start w:val="1"/>
      <w:numFmt w:val="decimal"/>
      <w:lvlText w:val="%4."/>
      <w:lvlJc w:val="left"/>
      <w:pPr>
        <w:tabs>
          <w:tab w:val="left" w:pos="-420"/>
        </w:tabs>
        <w:ind w:left="1544" w:hanging="420"/>
      </w:pPr>
    </w:lvl>
    <w:lvl w:ilvl="4" w:tentative="0">
      <w:start w:val="1"/>
      <w:numFmt w:val="lowerLetter"/>
      <w:lvlText w:val="%5)"/>
      <w:lvlJc w:val="left"/>
      <w:pPr>
        <w:tabs>
          <w:tab w:val="left" w:pos="-420"/>
        </w:tabs>
        <w:ind w:left="1964" w:hanging="420"/>
      </w:pPr>
    </w:lvl>
    <w:lvl w:ilvl="5" w:tentative="0">
      <w:start w:val="1"/>
      <w:numFmt w:val="lowerRoman"/>
      <w:lvlText w:val="%6."/>
      <w:lvlJc w:val="right"/>
      <w:pPr>
        <w:tabs>
          <w:tab w:val="left" w:pos="-420"/>
        </w:tabs>
        <w:ind w:left="2384" w:hanging="420"/>
      </w:pPr>
    </w:lvl>
    <w:lvl w:ilvl="6" w:tentative="0">
      <w:start w:val="1"/>
      <w:numFmt w:val="decimal"/>
      <w:lvlText w:val="%7."/>
      <w:lvlJc w:val="left"/>
      <w:pPr>
        <w:tabs>
          <w:tab w:val="left" w:pos="-420"/>
        </w:tabs>
        <w:ind w:left="2804" w:hanging="420"/>
      </w:pPr>
    </w:lvl>
    <w:lvl w:ilvl="7" w:tentative="0">
      <w:start w:val="1"/>
      <w:numFmt w:val="lowerLetter"/>
      <w:lvlText w:val="%8)"/>
      <w:lvlJc w:val="left"/>
      <w:pPr>
        <w:tabs>
          <w:tab w:val="left" w:pos="-420"/>
        </w:tabs>
        <w:ind w:left="3224" w:hanging="420"/>
      </w:pPr>
    </w:lvl>
    <w:lvl w:ilvl="8" w:tentative="0">
      <w:start w:val="1"/>
      <w:numFmt w:val="lowerRoman"/>
      <w:lvlText w:val="%9."/>
      <w:lvlJc w:val="right"/>
      <w:pPr>
        <w:tabs>
          <w:tab w:val="left" w:pos="-420"/>
        </w:tabs>
        <w:ind w:left="3644" w:hanging="420"/>
      </w:pPr>
    </w:lvl>
  </w:abstractNum>
  <w:abstractNum w:abstractNumId="15">
    <w:nsid w:val="E0C23BFD"/>
    <w:multiLevelType w:val="multilevel"/>
    <w:tmpl w:val="E0C23BFD"/>
    <w:lvl w:ilvl="0" w:tentative="0">
      <w:start w:val="1"/>
      <w:numFmt w:val="decimal"/>
      <w:lvlText w:val="%1."/>
      <w:lvlJc w:val="left"/>
      <w:pPr>
        <w:ind w:left="425" w:hanging="425"/>
      </w:pPr>
    </w:lvl>
    <w:lvl w:ilvl="1" w:tentative="0">
      <w:start w:val="1"/>
      <w:numFmt w:val="decimal"/>
      <w:lvlText w:val="%2)"/>
      <w:lvlJc w:val="left"/>
      <w:pPr>
        <w:ind w:left="567" w:hanging="567"/>
      </w:pPr>
      <w:rPr>
        <w:rFonts w:hint="default" w:ascii="Times New Roman" w:hAnsi="Times New Roman" w:eastAsia="宋体" w:cs="Times New Roman"/>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16">
    <w:nsid w:val="F71CF7F8"/>
    <w:multiLevelType w:val="multilevel"/>
    <w:tmpl w:val="F71CF7F8"/>
    <w:lvl w:ilvl="0" w:tentative="0">
      <w:start w:val="1"/>
      <w:numFmt w:val="decimal"/>
      <w:lvlText w:val="%1)"/>
      <w:lvlJc w:val="left"/>
      <w:pPr>
        <w:tabs>
          <w:tab w:val="left" w:pos="-2520"/>
        </w:tabs>
        <w:ind w:left="310" w:hanging="420"/>
      </w:pPr>
    </w:lvl>
    <w:lvl w:ilvl="1" w:tentative="0">
      <w:start w:val="1"/>
      <w:numFmt w:val="lowerLetter"/>
      <w:lvlText w:val="%2)"/>
      <w:lvlJc w:val="left"/>
      <w:pPr>
        <w:tabs>
          <w:tab w:val="left" w:pos="-2520"/>
        </w:tabs>
        <w:ind w:left="730" w:hanging="420"/>
      </w:pPr>
    </w:lvl>
    <w:lvl w:ilvl="2" w:tentative="0">
      <w:start w:val="1"/>
      <w:numFmt w:val="lowerRoman"/>
      <w:lvlText w:val="%3."/>
      <w:lvlJc w:val="right"/>
      <w:pPr>
        <w:tabs>
          <w:tab w:val="left" w:pos="-2520"/>
        </w:tabs>
        <w:ind w:left="1150" w:hanging="420"/>
      </w:pPr>
    </w:lvl>
    <w:lvl w:ilvl="3" w:tentative="0">
      <w:start w:val="1"/>
      <w:numFmt w:val="decimal"/>
      <w:lvlText w:val="%4."/>
      <w:lvlJc w:val="left"/>
      <w:pPr>
        <w:tabs>
          <w:tab w:val="left" w:pos="-2520"/>
        </w:tabs>
        <w:ind w:left="1570" w:hanging="420"/>
      </w:pPr>
    </w:lvl>
    <w:lvl w:ilvl="4" w:tentative="0">
      <w:start w:val="1"/>
      <w:numFmt w:val="lowerLetter"/>
      <w:lvlText w:val="%5)"/>
      <w:lvlJc w:val="left"/>
      <w:pPr>
        <w:tabs>
          <w:tab w:val="left" w:pos="-2520"/>
        </w:tabs>
        <w:ind w:left="1990" w:hanging="420"/>
      </w:pPr>
    </w:lvl>
    <w:lvl w:ilvl="5" w:tentative="0">
      <w:start w:val="1"/>
      <w:numFmt w:val="lowerRoman"/>
      <w:lvlText w:val="%6."/>
      <w:lvlJc w:val="right"/>
      <w:pPr>
        <w:tabs>
          <w:tab w:val="left" w:pos="-2520"/>
        </w:tabs>
        <w:ind w:left="2410" w:hanging="420"/>
      </w:pPr>
    </w:lvl>
    <w:lvl w:ilvl="6" w:tentative="0">
      <w:start w:val="1"/>
      <w:numFmt w:val="decimal"/>
      <w:lvlText w:val="%7."/>
      <w:lvlJc w:val="left"/>
      <w:pPr>
        <w:tabs>
          <w:tab w:val="left" w:pos="-2520"/>
        </w:tabs>
        <w:ind w:left="2830" w:hanging="420"/>
      </w:pPr>
    </w:lvl>
    <w:lvl w:ilvl="7" w:tentative="0">
      <w:start w:val="1"/>
      <w:numFmt w:val="lowerLetter"/>
      <w:lvlText w:val="%8)"/>
      <w:lvlJc w:val="left"/>
      <w:pPr>
        <w:tabs>
          <w:tab w:val="left" w:pos="-2520"/>
        </w:tabs>
        <w:ind w:left="3250" w:hanging="420"/>
      </w:pPr>
    </w:lvl>
    <w:lvl w:ilvl="8" w:tentative="0">
      <w:start w:val="1"/>
      <w:numFmt w:val="lowerRoman"/>
      <w:lvlText w:val="%9."/>
      <w:lvlJc w:val="right"/>
      <w:pPr>
        <w:tabs>
          <w:tab w:val="left" w:pos="-2520"/>
        </w:tabs>
        <w:ind w:left="3670" w:hanging="420"/>
      </w:pPr>
    </w:lvl>
  </w:abstractNum>
  <w:abstractNum w:abstractNumId="17">
    <w:nsid w:val="F80AC57F"/>
    <w:multiLevelType w:val="multilevel"/>
    <w:tmpl w:val="F80AC57F"/>
    <w:lvl w:ilvl="0" w:tentative="0">
      <w:start w:val="1"/>
      <w:numFmt w:val="decimal"/>
      <w:lvlText w:val="%1)"/>
      <w:lvlJc w:val="left"/>
      <w:pPr>
        <w:tabs>
          <w:tab w:val="left" w:pos="-2520"/>
        </w:tabs>
        <w:ind w:left="310" w:hanging="420"/>
      </w:pPr>
    </w:lvl>
    <w:lvl w:ilvl="1" w:tentative="0">
      <w:start w:val="1"/>
      <w:numFmt w:val="lowerLetter"/>
      <w:lvlText w:val="%2)"/>
      <w:lvlJc w:val="left"/>
      <w:pPr>
        <w:tabs>
          <w:tab w:val="left" w:pos="-2520"/>
        </w:tabs>
        <w:ind w:left="730" w:hanging="420"/>
      </w:pPr>
    </w:lvl>
    <w:lvl w:ilvl="2" w:tentative="0">
      <w:start w:val="1"/>
      <w:numFmt w:val="lowerRoman"/>
      <w:lvlText w:val="%3."/>
      <w:lvlJc w:val="right"/>
      <w:pPr>
        <w:tabs>
          <w:tab w:val="left" w:pos="-2520"/>
        </w:tabs>
        <w:ind w:left="1150" w:hanging="420"/>
      </w:pPr>
    </w:lvl>
    <w:lvl w:ilvl="3" w:tentative="0">
      <w:start w:val="1"/>
      <w:numFmt w:val="decimal"/>
      <w:lvlText w:val="%4."/>
      <w:lvlJc w:val="left"/>
      <w:pPr>
        <w:tabs>
          <w:tab w:val="left" w:pos="-2520"/>
        </w:tabs>
        <w:ind w:left="1570" w:hanging="420"/>
      </w:pPr>
    </w:lvl>
    <w:lvl w:ilvl="4" w:tentative="0">
      <w:start w:val="1"/>
      <w:numFmt w:val="lowerLetter"/>
      <w:lvlText w:val="%5)"/>
      <w:lvlJc w:val="left"/>
      <w:pPr>
        <w:tabs>
          <w:tab w:val="left" w:pos="-2520"/>
        </w:tabs>
        <w:ind w:left="1990" w:hanging="420"/>
      </w:pPr>
    </w:lvl>
    <w:lvl w:ilvl="5" w:tentative="0">
      <w:start w:val="1"/>
      <w:numFmt w:val="lowerRoman"/>
      <w:lvlText w:val="%6."/>
      <w:lvlJc w:val="right"/>
      <w:pPr>
        <w:tabs>
          <w:tab w:val="left" w:pos="-2520"/>
        </w:tabs>
        <w:ind w:left="2410" w:hanging="420"/>
      </w:pPr>
    </w:lvl>
    <w:lvl w:ilvl="6" w:tentative="0">
      <w:start w:val="1"/>
      <w:numFmt w:val="decimal"/>
      <w:lvlText w:val="%7."/>
      <w:lvlJc w:val="left"/>
      <w:pPr>
        <w:tabs>
          <w:tab w:val="left" w:pos="-2520"/>
        </w:tabs>
        <w:ind w:left="2830" w:hanging="420"/>
      </w:pPr>
    </w:lvl>
    <w:lvl w:ilvl="7" w:tentative="0">
      <w:start w:val="1"/>
      <w:numFmt w:val="lowerLetter"/>
      <w:lvlText w:val="%8)"/>
      <w:lvlJc w:val="left"/>
      <w:pPr>
        <w:tabs>
          <w:tab w:val="left" w:pos="-2520"/>
        </w:tabs>
        <w:ind w:left="3250" w:hanging="420"/>
      </w:pPr>
    </w:lvl>
    <w:lvl w:ilvl="8" w:tentative="0">
      <w:start w:val="1"/>
      <w:numFmt w:val="lowerRoman"/>
      <w:lvlText w:val="%9."/>
      <w:lvlJc w:val="right"/>
      <w:pPr>
        <w:tabs>
          <w:tab w:val="left" w:pos="-2520"/>
        </w:tabs>
        <w:ind w:left="3670" w:hanging="420"/>
      </w:pPr>
    </w:lvl>
  </w:abstractNum>
  <w:abstractNum w:abstractNumId="18">
    <w:nsid w:val="000032B3"/>
    <w:multiLevelType w:val="multilevel"/>
    <w:tmpl w:val="000032B3"/>
    <w:lvl w:ilvl="0" w:tentative="0">
      <w:start w:val="1"/>
      <w:numFmt w:val="lowerLetter"/>
      <w:lvlText w:val="%1)"/>
      <w:lvlJc w:val="left"/>
      <w:pPr>
        <w:ind w:left="1320" w:hanging="420"/>
      </w:pPr>
      <w:rPr>
        <w:rFonts w:hint="eastAsia" w:cs="Times New Roman"/>
      </w:rPr>
    </w:lvl>
    <w:lvl w:ilvl="1" w:tentative="0">
      <w:start w:val="1"/>
      <w:numFmt w:val="lowerLetter"/>
      <w:lvlText w:val="%2)"/>
      <w:lvlJc w:val="left"/>
      <w:pPr>
        <w:ind w:left="-506" w:hanging="420"/>
      </w:pPr>
    </w:lvl>
    <w:lvl w:ilvl="2" w:tentative="0">
      <w:start w:val="1"/>
      <w:numFmt w:val="lowerRoman"/>
      <w:lvlText w:val="%3."/>
      <w:lvlJc w:val="right"/>
      <w:pPr>
        <w:ind w:left="-86" w:hanging="420"/>
      </w:pPr>
    </w:lvl>
    <w:lvl w:ilvl="3" w:tentative="0">
      <w:start w:val="1"/>
      <w:numFmt w:val="decimal"/>
      <w:lvlText w:val="%4."/>
      <w:lvlJc w:val="left"/>
      <w:pPr>
        <w:ind w:left="334" w:hanging="420"/>
      </w:pPr>
    </w:lvl>
    <w:lvl w:ilvl="4" w:tentative="0">
      <w:start w:val="1"/>
      <w:numFmt w:val="lowerLetter"/>
      <w:lvlText w:val="%5)"/>
      <w:lvlJc w:val="left"/>
      <w:pPr>
        <w:ind w:left="754" w:hanging="420"/>
      </w:pPr>
    </w:lvl>
    <w:lvl w:ilvl="5" w:tentative="0">
      <w:start w:val="1"/>
      <w:numFmt w:val="lowerRoman"/>
      <w:lvlText w:val="%6."/>
      <w:lvlJc w:val="right"/>
      <w:pPr>
        <w:ind w:left="1174" w:hanging="420"/>
      </w:pPr>
    </w:lvl>
    <w:lvl w:ilvl="6" w:tentative="0">
      <w:start w:val="1"/>
      <w:numFmt w:val="decimal"/>
      <w:lvlText w:val="%7."/>
      <w:lvlJc w:val="left"/>
      <w:pPr>
        <w:ind w:left="1594" w:hanging="420"/>
      </w:pPr>
    </w:lvl>
    <w:lvl w:ilvl="7" w:tentative="0">
      <w:start w:val="1"/>
      <w:numFmt w:val="lowerLetter"/>
      <w:lvlText w:val="%8)"/>
      <w:lvlJc w:val="left"/>
      <w:pPr>
        <w:ind w:left="2014" w:hanging="420"/>
      </w:pPr>
    </w:lvl>
    <w:lvl w:ilvl="8" w:tentative="0">
      <w:start w:val="1"/>
      <w:numFmt w:val="lowerRoman"/>
      <w:lvlText w:val="%9."/>
      <w:lvlJc w:val="right"/>
      <w:pPr>
        <w:ind w:left="2434" w:hanging="420"/>
      </w:pPr>
    </w:lvl>
  </w:abstractNum>
  <w:abstractNum w:abstractNumId="19">
    <w:nsid w:val="01734D39"/>
    <w:multiLevelType w:val="multilevel"/>
    <w:tmpl w:val="01734D39"/>
    <w:lvl w:ilvl="0" w:tentative="0">
      <w:start w:val="1"/>
      <w:numFmt w:val="decimal"/>
      <w:lvlText w:val="%1."/>
      <w:lvlJc w:val="left"/>
      <w:pPr>
        <w:ind w:left="425" w:hanging="425"/>
      </w:pPr>
    </w:lvl>
    <w:lvl w:ilvl="1" w:tentative="0">
      <w:start w:val="1"/>
      <w:numFmt w:val="decimal"/>
      <w:lvlText w:val="%2)"/>
      <w:lvlJc w:val="left"/>
      <w:pPr>
        <w:ind w:left="567" w:hanging="567"/>
      </w:pPr>
      <w:rPr>
        <w:rFonts w:hint="default" w:ascii="Times New Roman" w:hAnsi="Times New Roman" w:eastAsia="宋体" w:cs="Times New Roman"/>
        <w:color w:val="auto"/>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20">
    <w:nsid w:val="02465FA9"/>
    <w:multiLevelType w:val="multilevel"/>
    <w:tmpl w:val="02465FA9"/>
    <w:lvl w:ilvl="0" w:tentative="0">
      <w:start w:val="1"/>
      <w:numFmt w:val="decimal"/>
      <w:suff w:val="space"/>
      <w:lvlText w:val="%1）"/>
      <w:lvlJc w:val="right"/>
      <w:pPr>
        <w:ind w:left="420" w:hanging="420"/>
      </w:pPr>
      <w:rPr>
        <w:rFonts w:hint="eastAsia"/>
      </w:rPr>
    </w:lvl>
    <w:lvl w:ilvl="1" w:tentative="0">
      <w:start w:val="1"/>
      <w:numFmt w:val="lowerLetter"/>
      <w:lvlText w:val="%2)"/>
      <w:lvlJc w:val="left"/>
      <w:pPr>
        <w:ind w:left="1407" w:hanging="420"/>
      </w:pPr>
    </w:lvl>
    <w:lvl w:ilvl="2" w:tentative="0">
      <w:start w:val="1"/>
      <w:numFmt w:val="lowerRoman"/>
      <w:lvlText w:val="%3."/>
      <w:lvlJc w:val="right"/>
      <w:pPr>
        <w:ind w:left="1827" w:hanging="420"/>
      </w:pPr>
    </w:lvl>
    <w:lvl w:ilvl="3" w:tentative="0">
      <w:start w:val="1"/>
      <w:numFmt w:val="decimal"/>
      <w:lvlText w:val="%4."/>
      <w:lvlJc w:val="left"/>
      <w:pPr>
        <w:ind w:left="2247" w:hanging="420"/>
      </w:pPr>
    </w:lvl>
    <w:lvl w:ilvl="4" w:tentative="0">
      <w:start w:val="1"/>
      <w:numFmt w:val="lowerLetter"/>
      <w:lvlText w:val="%5)"/>
      <w:lvlJc w:val="left"/>
      <w:pPr>
        <w:ind w:left="2667" w:hanging="420"/>
      </w:pPr>
    </w:lvl>
    <w:lvl w:ilvl="5" w:tentative="0">
      <w:start w:val="1"/>
      <w:numFmt w:val="lowerRoman"/>
      <w:lvlText w:val="%6."/>
      <w:lvlJc w:val="right"/>
      <w:pPr>
        <w:ind w:left="3087" w:hanging="420"/>
      </w:pPr>
    </w:lvl>
    <w:lvl w:ilvl="6" w:tentative="0">
      <w:start w:val="1"/>
      <w:numFmt w:val="decimal"/>
      <w:lvlText w:val="%7."/>
      <w:lvlJc w:val="left"/>
      <w:pPr>
        <w:ind w:left="3507" w:hanging="420"/>
      </w:pPr>
    </w:lvl>
    <w:lvl w:ilvl="7" w:tentative="0">
      <w:start w:val="1"/>
      <w:numFmt w:val="lowerLetter"/>
      <w:lvlText w:val="%8)"/>
      <w:lvlJc w:val="left"/>
      <w:pPr>
        <w:ind w:left="3927" w:hanging="420"/>
      </w:pPr>
    </w:lvl>
    <w:lvl w:ilvl="8" w:tentative="0">
      <w:start w:val="1"/>
      <w:numFmt w:val="lowerRoman"/>
      <w:lvlText w:val="%9."/>
      <w:lvlJc w:val="right"/>
      <w:pPr>
        <w:ind w:left="4347" w:hanging="420"/>
      </w:pPr>
    </w:lvl>
  </w:abstractNum>
  <w:abstractNum w:abstractNumId="21">
    <w:nsid w:val="02EF583A"/>
    <w:multiLevelType w:val="multilevel"/>
    <w:tmpl w:val="02EF583A"/>
    <w:lvl w:ilvl="0" w:tentative="0">
      <w:start w:val="1"/>
      <w:numFmt w:val="decimal"/>
      <w:lvlText w:val="%1."/>
      <w:lvlJc w:val="left"/>
      <w:pPr>
        <w:ind w:left="425" w:hanging="425"/>
      </w:pPr>
    </w:lvl>
    <w:lvl w:ilvl="1" w:tentative="0">
      <w:start w:val="1"/>
      <w:numFmt w:val="decimal"/>
      <w:lvlText w:val="%2)"/>
      <w:lvlJc w:val="left"/>
      <w:pPr>
        <w:ind w:left="567" w:hanging="567"/>
      </w:pPr>
      <w:rPr>
        <w:rFonts w:hint="default" w:ascii="Times New Roman" w:hAnsi="Times New Roman" w:eastAsia="宋体" w:cs="Times New Roman"/>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22">
    <w:nsid w:val="03383B7A"/>
    <w:multiLevelType w:val="multilevel"/>
    <w:tmpl w:val="03383B7A"/>
    <w:lvl w:ilvl="0" w:tentative="0">
      <w:start w:val="1"/>
      <w:numFmt w:val="decimal"/>
      <w:lvlText w:val="%1."/>
      <w:lvlJc w:val="left"/>
      <w:pPr>
        <w:ind w:left="425" w:hanging="425"/>
      </w:pPr>
    </w:lvl>
    <w:lvl w:ilvl="1" w:tentative="0">
      <w:start w:val="1"/>
      <w:numFmt w:val="decimal"/>
      <w:lvlText w:val="%2)"/>
      <w:lvlJc w:val="left"/>
      <w:pPr>
        <w:ind w:left="567" w:hanging="567"/>
      </w:pPr>
      <w:rPr>
        <w:rFonts w:hint="default" w:ascii="Times New Roman" w:hAnsi="Times New Roman" w:eastAsia="宋体" w:cs="Times New Roman"/>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23">
    <w:nsid w:val="03C83196"/>
    <w:multiLevelType w:val="multilevel"/>
    <w:tmpl w:val="03C83196"/>
    <w:lvl w:ilvl="0" w:tentative="0">
      <w:start w:val="1"/>
      <w:numFmt w:val="lowerLetter"/>
      <w:lvlText w:val="%1)"/>
      <w:lvlJc w:val="left"/>
      <w:pPr>
        <w:ind w:left="1178" w:hanging="420"/>
      </w:pPr>
      <w:rPr>
        <w:rFonts w:hint="eastAsia" w:cs="Times New Roman"/>
      </w:rPr>
    </w:lvl>
    <w:lvl w:ilvl="1" w:tentative="0">
      <w:start w:val="1"/>
      <w:numFmt w:val="lowerLetter"/>
      <w:lvlText w:val="%2)"/>
      <w:lvlJc w:val="left"/>
      <w:pPr>
        <w:ind w:left="-648" w:hanging="420"/>
      </w:pPr>
    </w:lvl>
    <w:lvl w:ilvl="2" w:tentative="0">
      <w:start w:val="1"/>
      <w:numFmt w:val="lowerRoman"/>
      <w:lvlText w:val="%3."/>
      <w:lvlJc w:val="right"/>
      <w:pPr>
        <w:ind w:left="-228" w:hanging="420"/>
      </w:pPr>
    </w:lvl>
    <w:lvl w:ilvl="3" w:tentative="0">
      <w:start w:val="1"/>
      <w:numFmt w:val="decimal"/>
      <w:lvlText w:val="%4."/>
      <w:lvlJc w:val="left"/>
      <w:pPr>
        <w:ind w:left="192" w:hanging="420"/>
      </w:pPr>
    </w:lvl>
    <w:lvl w:ilvl="4" w:tentative="0">
      <w:start w:val="1"/>
      <w:numFmt w:val="lowerLetter"/>
      <w:lvlText w:val="%5)"/>
      <w:lvlJc w:val="left"/>
      <w:pPr>
        <w:ind w:left="612" w:hanging="420"/>
      </w:pPr>
    </w:lvl>
    <w:lvl w:ilvl="5" w:tentative="0">
      <w:start w:val="1"/>
      <w:numFmt w:val="lowerRoman"/>
      <w:lvlText w:val="%6."/>
      <w:lvlJc w:val="right"/>
      <w:pPr>
        <w:ind w:left="1032" w:hanging="420"/>
      </w:pPr>
    </w:lvl>
    <w:lvl w:ilvl="6" w:tentative="0">
      <w:start w:val="1"/>
      <w:numFmt w:val="decimal"/>
      <w:lvlText w:val="%7."/>
      <w:lvlJc w:val="left"/>
      <w:pPr>
        <w:ind w:left="1452" w:hanging="420"/>
      </w:pPr>
    </w:lvl>
    <w:lvl w:ilvl="7" w:tentative="0">
      <w:start w:val="1"/>
      <w:numFmt w:val="lowerLetter"/>
      <w:lvlText w:val="%8)"/>
      <w:lvlJc w:val="left"/>
      <w:pPr>
        <w:ind w:left="1872" w:hanging="420"/>
      </w:pPr>
    </w:lvl>
    <w:lvl w:ilvl="8" w:tentative="0">
      <w:start w:val="1"/>
      <w:numFmt w:val="lowerRoman"/>
      <w:lvlText w:val="%9."/>
      <w:lvlJc w:val="right"/>
      <w:pPr>
        <w:ind w:left="2292" w:hanging="420"/>
      </w:pPr>
    </w:lvl>
  </w:abstractNum>
  <w:abstractNum w:abstractNumId="24">
    <w:nsid w:val="04915521"/>
    <w:multiLevelType w:val="multilevel"/>
    <w:tmpl w:val="04915521"/>
    <w:lvl w:ilvl="0" w:tentative="0">
      <w:start w:val="1"/>
      <w:numFmt w:val="decimal"/>
      <w:lvlText w:val="%1）"/>
      <w:lvlJc w:val="right"/>
      <w:pPr>
        <w:tabs>
          <w:tab w:val="left" w:pos="-420"/>
        </w:tabs>
        <w:ind w:left="480" w:hanging="420"/>
      </w:pPr>
      <w:rPr>
        <w:rFonts w:hint="eastAsia"/>
      </w:rPr>
    </w:lvl>
    <w:lvl w:ilvl="1" w:tentative="0">
      <w:start w:val="1"/>
      <w:numFmt w:val="lowerLetter"/>
      <w:lvlText w:val="%2)"/>
      <w:lvlJc w:val="left"/>
      <w:pPr>
        <w:tabs>
          <w:tab w:val="left" w:pos="-420"/>
        </w:tabs>
        <w:ind w:left="900" w:hanging="420"/>
      </w:pPr>
    </w:lvl>
    <w:lvl w:ilvl="2" w:tentative="0">
      <w:start w:val="1"/>
      <w:numFmt w:val="lowerRoman"/>
      <w:lvlText w:val="%3."/>
      <w:lvlJc w:val="right"/>
      <w:pPr>
        <w:tabs>
          <w:tab w:val="left" w:pos="-420"/>
        </w:tabs>
        <w:ind w:left="1320" w:hanging="420"/>
      </w:pPr>
    </w:lvl>
    <w:lvl w:ilvl="3" w:tentative="0">
      <w:start w:val="1"/>
      <w:numFmt w:val="decimal"/>
      <w:lvlText w:val="%4."/>
      <w:lvlJc w:val="left"/>
      <w:pPr>
        <w:tabs>
          <w:tab w:val="left" w:pos="-420"/>
        </w:tabs>
        <w:ind w:left="1740" w:hanging="420"/>
      </w:pPr>
    </w:lvl>
    <w:lvl w:ilvl="4" w:tentative="0">
      <w:start w:val="1"/>
      <w:numFmt w:val="lowerLetter"/>
      <w:lvlText w:val="%5)"/>
      <w:lvlJc w:val="left"/>
      <w:pPr>
        <w:tabs>
          <w:tab w:val="left" w:pos="-420"/>
        </w:tabs>
        <w:ind w:left="2160" w:hanging="420"/>
      </w:pPr>
    </w:lvl>
    <w:lvl w:ilvl="5" w:tentative="0">
      <w:start w:val="1"/>
      <w:numFmt w:val="lowerRoman"/>
      <w:lvlText w:val="%6."/>
      <w:lvlJc w:val="right"/>
      <w:pPr>
        <w:tabs>
          <w:tab w:val="left" w:pos="-420"/>
        </w:tabs>
        <w:ind w:left="2580" w:hanging="420"/>
      </w:pPr>
    </w:lvl>
    <w:lvl w:ilvl="6" w:tentative="0">
      <w:start w:val="1"/>
      <w:numFmt w:val="decimal"/>
      <w:lvlText w:val="%7."/>
      <w:lvlJc w:val="left"/>
      <w:pPr>
        <w:tabs>
          <w:tab w:val="left" w:pos="-420"/>
        </w:tabs>
        <w:ind w:left="3000" w:hanging="420"/>
      </w:pPr>
    </w:lvl>
    <w:lvl w:ilvl="7" w:tentative="0">
      <w:start w:val="1"/>
      <w:numFmt w:val="lowerLetter"/>
      <w:lvlText w:val="%8)"/>
      <w:lvlJc w:val="left"/>
      <w:pPr>
        <w:tabs>
          <w:tab w:val="left" w:pos="-420"/>
        </w:tabs>
        <w:ind w:left="3420" w:hanging="420"/>
      </w:pPr>
    </w:lvl>
    <w:lvl w:ilvl="8" w:tentative="0">
      <w:start w:val="1"/>
      <w:numFmt w:val="lowerRoman"/>
      <w:lvlText w:val="%9."/>
      <w:lvlJc w:val="right"/>
      <w:pPr>
        <w:tabs>
          <w:tab w:val="left" w:pos="-420"/>
        </w:tabs>
        <w:ind w:left="3840" w:hanging="420"/>
      </w:pPr>
    </w:lvl>
  </w:abstractNum>
  <w:abstractNum w:abstractNumId="25">
    <w:nsid w:val="055A76E0"/>
    <w:multiLevelType w:val="multilevel"/>
    <w:tmpl w:val="055A76E0"/>
    <w:lvl w:ilvl="0" w:tentative="0">
      <w:start w:val="1"/>
      <w:numFmt w:val="lowerLetter"/>
      <w:lvlText w:val="%1)"/>
      <w:lvlJc w:val="left"/>
      <w:pPr>
        <w:tabs>
          <w:tab w:val="left" w:pos="-840"/>
        </w:tabs>
        <w:ind w:left="480" w:hanging="420"/>
      </w:pPr>
      <w:rPr>
        <w:rFonts w:hint="eastAsia" w:cs="Times New Roman"/>
      </w:rPr>
    </w:lvl>
    <w:lvl w:ilvl="1" w:tentative="0">
      <w:start w:val="1"/>
      <w:numFmt w:val="lowerLetter"/>
      <w:lvlText w:val="%2)"/>
      <w:lvlJc w:val="left"/>
      <w:pPr>
        <w:tabs>
          <w:tab w:val="left" w:pos="-840"/>
        </w:tabs>
        <w:ind w:left="-1346" w:hanging="420"/>
      </w:pPr>
    </w:lvl>
    <w:lvl w:ilvl="2" w:tentative="0">
      <w:start w:val="1"/>
      <w:numFmt w:val="lowerRoman"/>
      <w:lvlText w:val="%3."/>
      <w:lvlJc w:val="right"/>
      <w:pPr>
        <w:tabs>
          <w:tab w:val="left" w:pos="-840"/>
        </w:tabs>
        <w:ind w:left="-926" w:hanging="420"/>
      </w:pPr>
    </w:lvl>
    <w:lvl w:ilvl="3" w:tentative="0">
      <w:start w:val="1"/>
      <w:numFmt w:val="decimal"/>
      <w:lvlText w:val="%4."/>
      <w:lvlJc w:val="left"/>
      <w:pPr>
        <w:tabs>
          <w:tab w:val="left" w:pos="-840"/>
        </w:tabs>
        <w:ind w:left="-506" w:hanging="420"/>
      </w:pPr>
    </w:lvl>
    <w:lvl w:ilvl="4" w:tentative="0">
      <w:start w:val="1"/>
      <w:numFmt w:val="lowerLetter"/>
      <w:lvlText w:val="%5)"/>
      <w:lvlJc w:val="left"/>
      <w:pPr>
        <w:tabs>
          <w:tab w:val="left" w:pos="-840"/>
        </w:tabs>
        <w:ind w:left="-86" w:hanging="420"/>
      </w:pPr>
    </w:lvl>
    <w:lvl w:ilvl="5" w:tentative="0">
      <w:start w:val="1"/>
      <w:numFmt w:val="lowerRoman"/>
      <w:lvlText w:val="%6."/>
      <w:lvlJc w:val="right"/>
      <w:pPr>
        <w:tabs>
          <w:tab w:val="left" w:pos="-840"/>
        </w:tabs>
        <w:ind w:left="334" w:hanging="420"/>
      </w:pPr>
    </w:lvl>
    <w:lvl w:ilvl="6" w:tentative="0">
      <w:start w:val="1"/>
      <w:numFmt w:val="decimal"/>
      <w:lvlText w:val="%7."/>
      <w:lvlJc w:val="left"/>
      <w:pPr>
        <w:tabs>
          <w:tab w:val="left" w:pos="-840"/>
        </w:tabs>
        <w:ind w:left="754" w:hanging="420"/>
      </w:pPr>
    </w:lvl>
    <w:lvl w:ilvl="7" w:tentative="0">
      <w:start w:val="1"/>
      <w:numFmt w:val="lowerLetter"/>
      <w:lvlText w:val="%8)"/>
      <w:lvlJc w:val="left"/>
      <w:pPr>
        <w:tabs>
          <w:tab w:val="left" w:pos="-840"/>
        </w:tabs>
        <w:ind w:left="1174" w:hanging="420"/>
      </w:pPr>
    </w:lvl>
    <w:lvl w:ilvl="8" w:tentative="0">
      <w:start w:val="1"/>
      <w:numFmt w:val="lowerRoman"/>
      <w:lvlText w:val="%9."/>
      <w:lvlJc w:val="right"/>
      <w:pPr>
        <w:tabs>
          <w:tab w:val="left" w:pos="-840"/>
        </w:tabs>
        <w:ind w:left="1594" w:hanging="420"/>
      </w:pPr>
    </w:lvl>
  </w:abstractNum>
  <w:abstractNum w:abstractNumId="26">
    <w:nsid w:val="05B110B7"/>
    <w:multiLevelType w:val="multilevel"/>
    <w:tmpl w:val="05B110B7"/>
    <w:lvl w:ilvl="0" w:tentative="0">
      <w:start w:val="1"/>
      <w:numFmt w:val="lowerLetter"/>
      <w:lvlText w:val="%1)"/>
      <w:lvlJc w:val="left"/>
      <w:pPr>
        <w:tabs>
          <w:tab w:val="left" w:pos="-840"/>
        </w:tabs>
        <w:ind w:left="480" w:hanging="420"/>
      </w:pPr>
      <w:rPr>
        <w:rFonts w:hint="eastAsia" w:cs="Times New Roman"/>
      </w:rPr>
    </w:lvl>
    <w:lvl w:ilvl="1" w:tentative="0">
      <w:start w:val="1"/>
      <w:numFmt w:val="lowerLetter"/>
      <w:lvlText w:val="%2)"/>
      <w:lvlJc w:val="left"/>
      <w:pPr>
        <w:tabs>
          <w:tab w:val="left" w:pos="-840"/>
        </w:tabs>
        <w:ind w:left="-1346" w:hanging="420"/>
      </w:pPr>
    </w:lvl>
    <w:lvl w:ilvl="2" w:tentative="0">
      <w:start w:val="1"/>
      <w:numFmt w:val="lowerRoman"/>
      <w:lvlText w:val="%3."/>
      <w:lvlJc w:val="right"/>
      <w:pPr>
        <w:tabs>
          <w:tab w:val="left" w:pos="-840"/>
        </w:tabs>
        <w:ind w:left="-926" w:hanging="420"/>
      </w:pPr>
    </w:lvl>
    <w:lvl w:ilvl="3" w:tentative="0">
      <w:start w:val="1"/>
      <w:numFmt w:val="decimal"/>
      <w:lvlText w:val="%4."/>
      <w:lvlJc w:val="left"/>
      <w:pPr>
        <w:tabs>
          <w:tab w:val="left" w:pos="-840"/>
        </w:tabs>
        <w:ind w:left="-506" w:hanging="420"/>
      </w:pPr>
    </w:lvl>
    <w:lvl w:ilvl="4" w:tentative="0">
      <w:start w:val="1"/>
      <w:numFmt w:val="lowerLetter"/>
      <w:lvlText w:val="%5)"/>
      <w:lvlJc w:val="left"/>
      <w:pPr>
        <w:tabs>
          <w:tab w:val="left" w:pos="-840"/>
        </w:tabs>
        <w:ind w:left="-86" w:hanging="420"/>
      </w:pPr>
    </w:lvl>
    <w:lvl w:ilvl="5" w:tentative="0">
      <w:start w:val="1"/>
      <w:numFmt w:val="lowerRoman"/>
      <w:lvlText w:val="%6."/>
      <w:lvlJc w:val="right"/>
      <w:pPr>
        <w:tabs>
          <w:tab w:val="left" w:pos="-840"/>
        </w:tabs>
        <w:ind w:left="334" w:hanging="420"/>
      </w:pPr>
    </w:lvl>
    <w:lvl w:ilvl="6" w:tentative="0">
      <w:start w:val="1"/>
      <w:numFmt w:val="decimal"/>
      <w:lvlText w:val="%7."/>
      <w:lvlJc w:val="left"/>
      <w:pPr>
        <w:tabs>
          <w:tab w:val="left" w:pos="-840"/>
        </w:tabs>
        <w:ind w:left="754" w:hanging="420"/>
      </w:pPr>
    </w:lvl>
    <w:lvl w:ilvl="7" w:tentative="0">
      <w:start w:val="1"/>
      <w:numFmt w:val="lowerLetter"/>
      <w:lvlText w:val="%8)"/>
      <w:lvlJc w:val="left"/>
      <w:pPr>
        <w:tabs>
          <w:tab w:val="left" w:pos="-840"/>
        </w:tabs>
        <w:ind w:left="1174" w:hanging="420"/>
      </w:pPr>
    </w:lvl>
    <w:lvl w:ilvl="8" w:tentative="0">
      <w:start w:val="1"/>
      <w:numFmt w:val="lowerRoman"/>
      <w:lvlText w:val="%9."/>
      <w:lvlJc w:val="right"/>
      <w:pPr>
        <w:tabs>
          <w:tab w:val="left" w:pos="-840"/>
        </w:tabs>
        <w:ind w:left="1594" w:hanging="420"/>
      </w:pPr>
    </w:lvl>
  </w:abstractNum>
  <w:abstractNum w:abstractNumId="27">
    <w:nsid w:val="064E7F88"/>
    <w:multiLevelType w:val="multilevel"/>
    <w:tmpl w:val="064E7F88"/>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8">
    <w:nsid w:val="06ED6C8C"/>
    <w:multiLevelType w:val="multilevel"/>
    <w:tmpl w:val="06ED6C8C"/>
    <w:lvl w:ilvl="0" w:tentative="0">
      <w:start w:val="1"/>
      <w:numFmt w:val="decimal"/>
      <w:lvlText w:val="%1."/>
      <w:lvlJc w:val="left"/>
      <w:pPr>
        <w:ind w:left="425" w:hanging="425"/>
      </w:pPr>
    </w:lvl>
    <w:lvl w:ilvl="1" w:tentative="0">
      <w:start w:val="1"/>
      <w:numFmt w:val="decimal"/>
      <w:lvlText w:val="%2)"/>
      <w:lvlJc w:val="left"/>
      <w:pPr>
        <w:ind w:left="567" w:hanging="567"/>
      </w:pPr>
      <w:rPr>
        <w:rFonts w:hint="default" w:ascii="Times New Roman" w:hAnsi="Times New Roman" w:eastAsia="宋体" w:cs="Times New Roman"/>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29">
    <w:nsid w:val="07799D05"/>
    <w:multiLevelType w:val="multilevel"/>
    <w:tmpl w:val="07799D05"/>
    <w:lvl w:ilvl="0" w:tentative="0">
      <w:start w:val="1"/>
      <w:numFmt w:val="decimal"/>
      <w:lvlText w:val="%1."/>
      <w:lvlJc w:val="left"/>
      <w:pPr>
        <w:ind w:left="425" w:hanging="425"/>
      </w:pPr>
    </w:lvl>
    <w:lvl w:ilvl="1" w:tentative="0">
      <w:start w:val="1"/>
      <w:numFmt w:val="decimal"/>
      <w:lvlText w:val="%2)"/>
      <w:lvlJc w:val="left"/>
      <w:pPr>
        <w:ind w:left="567" w:hanging="567"/>
      </w:pPr>
      <w:rPr>
        <w:rFonts w:hint="default" w:ascii="Times New Roman" w:hAnsi="Times New Roman" w:eastAsia="宋体" w:cs="Times New Roman"/>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30">
    <w:nsid w:val="07AD1DA4"/>
    <w:multiLevelType w:val="multilevel"/>
    <w:tmpl w:val="07AD1DA4"/>
    <w:lvl w:ilvl="0" w:tentative="0">
      <w:start w:val="1"/>
      <w:numFmt w:val="lowerLetter"/>
      <w:lvlText w:val="%1)"/>
      <w:lvlJc w:val="left"/>
      <w:pPr>
        <w:tabs>
          <w:tab w:val="left" w:pos="-420"/>
        </w:tabs>
        <w:ind w:left="758" w:hanging="420"/>
      </w:pPr>
      <w:rPr>
        <w:rFonts w:hint="eastAsia" w:cs="Times New Roman"/>
      </w:rPr>
    </w:lvl>
    <w:lvl w:ilvl="1" w:tentative="0">
      <w:start w:val="1"/>
      <w:numFmt w:val="lowerLetter"/>
      <w:lvlText w:val="%2)"/>
      <w:lvlJc w:val="left"/>
      <w:pPr>
        <w:tabs>
          <w:tab w:val="left" w:pos="-420"/>
        </w:tabs>
        <w:ind w:left="-1068" w:hanging="420"/>
      </w:pPr>
    </w:lvl>
    <w:lvl w:ilvl="2" w:tentative="0">
      <w:start w:val="1"/>
      <w:numFmt w:val="lowerRoman"/>
      <w:lvlText w:val="%3."/>
      <w:lvlJc w:val="right"/>
      <w:pPr>
        <w:tabs>
          <w:tab w:val="left" w:pos="-420"/>
        </w:tabs>
        <w:ind w:left="-648" w:hanging="420"/>
      </w:pPr>
    </w:lvl>
    <w:lvl w:ilvl="3" w:tentative="0">
      <w:start w:val="1"/>
      <w:numFmt w:val="decimal"/>
      <w:lvlText w:val="%4."/>
      <w:lvlJc w:val="left"/>
      <w:pPr>
        <w:tabs>
          <w:tab w:val="left" w:pos="-420"/>
        </w:tabs>
        <w:ind w:left="-228" w:hanging="420"/>
      </w:pPr>
    </w:lvl>
    <w:lvl w:ilvl="4" w:tentative="0">
      <w:start w:val="1"/>
      <w:numFmt w:val="lowerLetter"/>
      <w:lvlText w:val="%5)"/>
      <w:lvlJc w:val="left"/>
      <w:pPr>
        <w:tabs>
          <w:tab w:val="left" w:pos="-420"/>
        </w:tabs>
        <w:ind w:left="192" w:hanging="420"/>
      </w:pPr>
    </w:lvl>
    <w:lvl w:ilvl="5" w:tentative="0">
      <w:start w:val="1"/>
      <w:numFmt w:val="lowerRoman"/>
      <w:lvlText w:val="%6."/>
      <w:lvlJc w:val="right"/>
      <w:pPr>
        <w:tabs>
          <w:tab w:val="left" w:pos="-420"/>
        </w:tabs>
        <w:ind w:left="612" w:hanging="420"/>
      </w:pPr>
    </w:lvl>
    <w:lvl w:ilvl="6" w:tentative="0">
      <w:start w:val="1"/>
      <w:numFmt w:val="decimal"/>
      <w:lvlText w:val="%7."/>
      <w:lvlJc w:val="left"/>
      <w:pPr>
        <w:tabs>
          <w:tab w:val="left" w:pos="-420"/>
        </w:tabs>
        <w:ind w:left="1032" w:hanging="420"/>
      </w:pPr>
    </w:lvl>
    <w:lvl w:ilvl="7" w:tentative="0">
      <w:start w:val="1"/>
      <w:numFmt w:val="lowerLetter"/>
      <w:lvlText w:val="%8)"/>
      <w:lvlJc w:val="left"/>
      <w:pPr>
        <w:tabs>
          <w:tab w:val="left" w:pos="-420"/>
        </w:tabs>
        <w:ind w:left="1452" w:hanging="420"/>
      </w:pPr>
    </w:lvl>
    <w:lvl w:ilvl="8" w:tentative="0">
      <w:start w:val="1"/>
      <w:numFmt w:val="lowerRoman"/>
      <w:lvlText w:val="%9."/>
      <w:lvlJc w:val="right"/>
      <w:pPr>
        <w:tabs>
          <w:tab w:val="left" w:pos="-420"/>
        </w:tabs>
        <w:ind w:left="1872" w:hanging="420"/>
      </w:pPr>
    </w:lvl>
  </w:abstractNum>
  <w:abstractNum w:abstractNumId="31">
    <w:nsid w:val="08D15C5F"/>
    <w:multiLevelType w:val="multilevel"/>
    <w:tmpl w:val="08D15C5F"/>
    <w:lvl w:ilvl="0" w:tentative="0">
      <w:start w:val="1"/>
      <w:numFmt w:val="decimal"/>
      <w:lvlText w:val="%1."/>
      <w:lvlJc w:val="left"/>
      <w:pPr>
        <w:ind w:left="425" w:hanging="425"/>
      </w:pPr>
    </w:lvl>
    <w:lvl w:ilvl="1" w:tentative="0">
      <w:start w:val="1"/>
      <w:numFmt w:val="decimal"/>
      <w:lvlText w:val="%2)"/>
      <w:lvlJc w:val="left"/>
      <w:pPr>
        <w:ind w:left="567" w:hanging="567"/>
      </w:pPr>
      <w:rPr>
        <w:rFonts w:hint="default" w:ascii="Times New Roman" w:hAnsi="Times New Roman" w:eastAsia="宋体" w:cs="Times New Roman"/>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32">
    <w:nsid w:val="08DE636E"/>
    <w:multiLevelType w:val="multilevel"/>
    <w:tmpl w:val="08DE636E"/>
    <w:lvl w:ilvl="0" w:tentative="0">
      <w:start w:val="1"/>
      <w:numFmt w:val="lowerLetter"/>
      <w:lvlText w:val="%1)"/>
      <w:lvlJc w:val="left"/>
      <w:pPr>
        <w:tabs>
          <w:tab w:val="left" w:pos="-840"/>
        </w:tabs>
        <w:ind w:left="480" w:hanging="420"/>
      </w:pPr>
      <w:rPr>
        <w:rFonts w:hint="eastAsia" w:cs="Times New Roman"/>
      </w:rPr>
    </w:lvl>
    <w:lvl w:ilvl="1" w:tentative="0">
      <w:start w:val="1"/>
      <w:numFmt w:val="lowerLetter"/>
      <w:lvlText w:val="%2)"/>
      <w:lvlJc w:val="left"/>
      <w:pPr>
        <w:tabs>
          <w:tab w:val="left" w:pos="-840"/>
        </w:tabs>
        <w:ind w:left="-1346" w:hanging="420"/>
      </w:pPr>
    </w:lvl>
    <w:lvl w:ilvl="2" w:tentative="0">
      <w:start w:val="1"/>
      <w:numFmt w:val="lowerRoman"/>
      <w:lvlText w:val="%3."/>
      <w:lvlJc w:val="right"/>
      <w:pPr>
        <w:tabs>
          <w:tab w:val="left" w:pos="-840"/>
        </w:tabs>
        <w:ind w:left="-926" w:hanging="420"/>
      </w:pPr>
    </w:lvl>
    <w:lvl w:ilvl="3" w:tentative="0">
      <w:start w:val="1"/>
      <w:numFmt w:val="decimal"/>
      <w:lvlText w:val="%4."/>
      <w:lvlJc w:val="left"/>
      <w:pPr>
        <w:tabs>
          <w:tab w:val="left" w:pos="-840"/>
        </w:tabs>
        <w:ind w:left="-506" w:hanging="420"/>
      </w:pPr>
    </w:lvl>
    <w:lvl w:ilvl="4" w:tentative="0">
      <w:start w:val="1"/>
      <w:numFmt w:val="lowerLetter"/>
      <w:lvlText w:val="%5)"/>
      <w:lvlJc w:val="left"/>
      <w:pPr>
        <w:tabs>
          <w:tab w:val="left" w:pos="-840"/>
        </w:tabs>
        <w:ind w:left="-86" w:hanging="420"/>
      </w:pPr>
    </w:lvl>
    <w:lvl w:ilvl="5" w:tentative="0">
      <w:start w:val="1"/>
      <w:numFmt w:val="lowerRoman"/>
      <w:lvlText w:val="%6."/>
      <w:lvlJc w:val="right"/>
      <w:pPr>
        <w:tabs>
          <w:tab w:val="left" w:pos="-840"/>
        </w:tabs>
        <w:ind w:left="334" w:hanging="420"/>
      </w:pPr>
    </w:lvl>
    <w:lvl w:ilvl="6" w:tentative="0">
      <w:start w:val="1"/>
      <w:numFmt w:val="decimal"/>
      <w:lvlText w:val="%7."/>
      <w:lvlJc w:val="left"/>
      <w:pPr>
        <w:tabs>
          <w:tab w:val="left" w:pos="-840"/>
        </w:tabs>
        <w:ind w:left="754" w:hanging="420"/>
      </w:pPr>
    </w:lvl>
    <w:lvl w:ilvl="7" w:tentative="0">
      <w:start w:val="1"/>
      <w:numFmt w:val="lowerLetter"/>
      <w:lvlText w:val="%8)"/>
      <w:lvlJc w:val="left"/>
      <w:pPr>
        <w:tabs>
          <w:tab w:val="left" w:pos="-840"/>
        </w:tabs>
        <w:ind w:left="1174" w:hanging="420"/>
      </w:pPr>
    </w:lvl>
    <w:lvl w:ilvl="8" w:tentative="0">
      <w:start w:val="1"/>
      <w:numFmt w:val="lowerRoman"/>
      <w:lvlText w:val="%9."/>
      <w:lvlJc w:val="right"/>
      <w:pPr>
        <w:tabs>
          <w:tab w:val="left" w:pos="-840"/>
        </w:tabs>
        <w:ind w:left="1594" w:hanging="420"/>
      </w:pPr>
    </w:lvl>
  </w:abstractNum>
  <w:abstractNum w:abstractNumId="33">
    <w:nsid w:val="09CA2CE1"/>
    <w:multiLevelType w:val="multilevel"/>
    <w:tmpl w:val="09CA2CE1"/>
    <w:lvl w:ilvl="0" w:tentative="0">
      <w:start w:val="1"/>
      <w:numFmt w:val="decimal"/>
      <w:lvlText w:val="（%1）"/>
      <w:lvlJc w:val="left"/>
      <w:pPr>
        <w:tabs>
          <w:tab w:val="left" w:pos="-840"/>
        </w:tabs>
        <w:ind w:left="80" w:hanging="440"/>
      </w:pPr>
      <w:rPr>
        <w:rFonts w:hint="eastAsia"/>
      </w:rPr>
    </w:lvl>
    <w:lvl w:ilvl="1" w:tentative="0">
      <w:start w:val="1"/>
      <w:numFmt w:val="lowerLetter"/>
      <w:lvlText w:val="%2)"/>
      <w:lvlJc w:val="left"/>
      <w:pPr>
        <w:tabs>
          <w:tab w:val="left" w:pos="-840"/>
        </w:tabs>
        <w:ind w:left="520" w:hanging="440"/>
      </w:pPr>
    </w:lvl>
    <w:lvl w:ilvl="2" w:tentative="0">
      <w:start w:val="1"/>
      <w:numFmt w:val="lowerRoman"/>
      <w:lvlText w:val="%3."/>
      <w:lvlJc w:val="right"/>
      <w:pPr>
        <w:tabs>
          <w:tab w:val="left" w:pos="-840"/>
        </w:tabs>
        <w:ind w:left="960" w:hanging="440"/>
      </w:pPr>
    </w:lvl>
    <w:lvl w:ilvl="3" w:tentative="0">
      <w:start w:val="1"/>
      <w:numFmt w:val="decimal"/>
      <w:lvlText w:val="%4."/>
      <w:lvlJc w:val="left"/>
      <w:pPr>
        <w:tabs>
          <w:tab w:val="left" w:pos="-840"/>
        </w:tabs>
        <w:ind w:left="1400" w:hanging="440"/>
      </w:pPr>
    </w:lvl>
    <w:lvl w:ilvl="4" w:tentative="0">
      <w:start w:val="1"/>
      <w:numFmt w:val="lowerLetter"/>
      <w:lvlText w:val="%5)"/>
      <w:lvlJc w:val="left"/>
      <w:pPr>
        <w:tabs>
          <w:tab w:val="left" w:pos="-840"/>
        </w:tabs>
        <w:ind w:left="1840" w:hanging="440"/>
      </w:pPr>
    </w:lvl>
    <w:lvl w:ilvl="5" w:tentative="0">
      <w:start w:val="1"/>
      <w:numFmt w:val="lowerRoman"/>
      <w:lvlText w:val="%6."/>
      <w:lvlJc w:val="right"/>
      <w:pPr>
        <w:tabs>
          <w:tab w:val="left" w:pos="-840"/>
        </w:tabs>
        <w:ind w:left="2280" w:hanging="440"/>
      </w:pPr>
    </w:lvl>
    <w:lvl w:ilvl="6" w:tentative="0">
      <w:start w:val="1"/>
      <w:numFmt w:val="decimal"/>
      <w:lvlText w:val="%7."/>
      <w:lvlJc w:val="left"/>
      <w:pPr>
        <w:tabs>
          <w:tab w:val="left" w:pos="-840"/>
        </w:tabs>
        <w:ind w:left="2720" w:hanging="440"/>
      </w:pPr>
    </w:lvl>
    <w:lvl w:ilvl="7" w:tentative="0">
      <w:start w:val="1"/>
      <w:numFmt w:val="lowerLetter"/>
      <w:lvlText w:val="%8)"/>
      <w:lvlJc w:val="left"/>
      <w:pPr>
        <w:tabs>
          <w:tab w:val="left" w:pos="-840"/>
        </w:tabs>
        <w:ind w:left="3160" w:hanging="440"/>
      </w:pPr>
    </w:lvl>
    <w:lvl w:ilvl="8" w:tentative="0">
      <w:start w:val="1"/>
      <w:numFmt w:val="lowerRoman"/>
      <w:lvlText w:val="%9."/>
      <w:lvlJc w:val="right"/>
      <w:pPr>
        <w:tabs>
          <w:tab w:val="left" w:pos="-840"/>
        </w:tabs>
        <w:ind w:left="3600" w:hanging="440"/>
      </w:pPr>
    </w:lvl>
  </w:abstractNum>
  <w:abstractNum w:abstractNumId="34">
    <w:nsid w:val="09D019E1"/>
    <w:multiLevelType w:val="multilevel"/>
    <w:tmpl w:val="09D019E1"/>
    <w:lvl w:ilvl="0" w:tentative="0">
      <w:start w:val="1"/>
      <w:numFmt w:val="lowerLetter"/>
      <w:lvlText w:val="%1)"/>
      <w:lvlJc w:val="left"/>
      <w:pPr>
        <w:tabs>
          <w:tab w:val="left" w:pos="-420"/>
        </w:tabs>
        <w:ind w:left="710" w:hanging="420"/>
      </w:pPr>
      <w:rPr>
        <w:rFonts w:hint="eastAsia" w:cs="Times New Roman"/>
      </w:rPr>
    </w:lvl>
    <w:lvl w:ilvl="1" w:tentative="0">
      <w:start w:val="1"/>
      <w:numFmt w:val="lowerLetter"/>
      <w:lvlText w:val="%2)"/>
      <w:lvlJc w:val="left"/>
      <w:pPr>
        <w:tabs>
          <w:tab w:val="left" w:pos="-420"/>
        </w:tabs>
        <w:ind w:left="420" w:hanging="420"/>
      </w:pPr>
    </w:lvl>
    <w:lvl w:ilvl="2" w:tentative="0">
      <w:start w:val="1"/>
      <w:numFmt w:val="lowerRoman"/>
      <w:lvlText w:val="%3."/>
      <w:lvlJc w:val="right"/>
      <w:pPr>
        <w:tabs>
          <w:tab w:val="left" w:pos="-420"/>
        </w:tabs>
        <w:ind w:left="840" w:hanging="420"/>
      </w:pPr>
    </w:lvl>
    <w:lvl w:ilvl="3" w:tentative="0">
      <w:start w:val="1"/>
      <w:numFmt w:val="decimal"/>
      <w:lvlText w:val="%4."/>
      <w:lvlJc w:val="left"/>
      <w:pPr>
        <w:tabs>
          <w:tab w:val="left" w:pos="-420"/>
        </w:tabs>
        <w:ind w:left="1260" w:hanging="420"/>
      </w:pPr>
    </w:lvl>
    <w:lvl w:ilvl="4" w:tentative="0">
      <w:start w:val="1"/>
      <w:numFmt w:val="lowerLetter"/>
      <w:lvlText w:val="%5)"/>
      <w:lvlJc w:val="left"/>
      <w:pPr>
        <w:tabs>
          <w:tab w:val="left" w:pos="-420"/>
        </w:tabs>
        <w:ind w:left="1680" w:hanging="420"/>
      </w:pPr>
    </w:lvl>
    <w:lvl w:ilvl="5" w:tentative="0">
      <w:start w:val="1"/>
      <w:numFmt w:val="lowerRoman"/>
      <w:lvlText w:val="%6."/>
      <w:lvlJc w:val="right"/>
      <w:pPr>
        <w:tabs>
          <w:tab w:val="left" w:pos="-420"/>
        </w:tabs>
        <w:ind w:left="2100" w:hanging="420"/>
      </w:pPr>
    </w:lvl>
    <w:lvl w:ilvl="6" w:tentative="0">
      <w:start w:val="1"/>
      <w:numFmt w:val="decimal"/>
      <w:lvlText w:val="%7."/>
      <w:lvlJc w:val="left"/>
      <w:pPr>
        <w:tabs>
          <w:tab w:val="left" w:pos="-420"/>
        </w:tabs>
        <w:ind w:left="2520" w:hanging="420"/>
      </w:pPr>
    </w:lvl>
    <w:lvl w:ilvl="7" w:tentative="0">
      <w:start w:val="1"/>
      <w:numFmt w:val="lowerLetter"/>
      <w:lvlText w:val="%8)"/>
      <w:lvlJc w:val="left"/>
      <w:pPr>
        <w:tabs>
          <w:tab w:val="left" w:pos="-420"/>
        </w:tabs>
        <w:ind w:left="2940" w:hanging="420"/>
      </w:pPr>
    </w:lvl>
    <w:lvl w:ilvl="8" w:tentative="0">
      <w:start w:val="1"/>
      <w:numFmt w:val="lowerRoman"/>
      <w:lvlText w:val="%9."/>
      <w:lvlJc w:val="right"/>
      <w:pPr>
        <w:tabs>
          <w:tab w:val="left" w:pos="-420"/>
        </w:tabs>
        <w:ind w:left="3360" w:hanging="420"/>
      </w:pPr>
    </w:lvl>
  </w:abstractNum>
  <w:abstractNum w:abstractNumId="35">
    <w:nsid w:val="09D44159"/>
    <w:multiLevelType w:val="multilevel"/>
    <w:tmpl w:val="09D44159"/>
    <w:lvl w:ilvl="0" w:tentative="0">
      <w:start w:val="1"/>
      <w:numFmt w:val="lowerLetter"/>
      <w:lvlText w:val="%1)"/>
      <w:lvlJc w:val="left"/>
      <w:pPr>
        <w:tabs>
          <w:tab w:val="left" w:pos="-420"/>
        </w:tabs>
        <w:ind w:left="900" w:hanging="420"/>
      </w:pPr>
      <w:rPr>
        <w:rFonts w:hint="eastAsia" w:cs="Times New Roman"/>
      </w:rPr>
    </w:lvl>
    <w:lvl w:ilvl="1" w:tentative="0">
      <w:start w:val="1"/>
      <w:numFmt w:val="lowerLetter"/>
      <w:lvlText w:val="%2)"/>
      <w:lvlJc w:val="left"/>
      <w:pPr>
        <w:tabs>
          <w:tab w:val="left" w:pos="-420"/>
        </w:tabs>
        <w:ind w:left="-926" w:hanging="420"/>
      </w:pPr>
    </w:lvl>
    <w:lvl w:ilvl="2" w:tentative="0">
      <w:start w:val="1"/>
      <w:numFmt w:val="lowerRoman"/>
      <w:lvlText w:val="%3."/>
      <w:lvlJc w:val="right"/>
      <w:pPr>
        <w:tabs>
          <w:tab w:val="left" w:pos="-420"/>
        </w:tabs>
        <w:ind w:left="-506" w:hanging="420"/>
      </w:pPr>
    </w:lvl>
    <w:lvl w:ilvl="3" w:tentative="0">
      <w:start w:val="1"/>
      <w:numFmt w:val="decimal"/>
      <w:lvlText w:val="%4."/>
      <w:lvlJc w:val="left"/>
      <w:pPr>
        <w:tabs>
          <w:tab w:val="left" w:pos="-420"/>
        </w:tabs>
        <w:ind w:left="-86" w:hanging="420"/>
      </w:pPr>
    </w:lvl>
    <w:lvl w:ilvl="4" w:tentative="0">
      <w:start w:val="1"/>
      <w:numFmt w:val="lowerLetter"/>
      <w:lvlText w:val="%5)"/>
      <w:lvlJc w:val="left"/>
      <w:pPr>
        <w:tabs>
          <w:tab w:val="left" w:pos="-420"/>
        </w:tabs>
        <w:ind w:left="334" w:hanging="420"/>
      </w:pPr>
    </w:lvl>
    <w:lvl w:ilvl="5" w:tentative="0">
      <w:start w:val="1"/>
      <w:numFmt w:val="lowerRoman"/>
      <w:lvlText w:val="%6."/>
      <w:lvlJc w:val="right"/>
      <w:pPr>
        <w:tabs>
          <w:tab w:val="left" w:pos="-420"/>
        </w:tabs>
        <w:ind w:left="754" w:hanging="420"/>
      </w:pPr>
    </w:lvl>
    <w:lvl w:ilvl="6" w:tentative="0">
      <w:start w:val="1"/>
      <w:numFmt w:val="decimal"/>
      <w:lvlText w:val="%7."/>
      <w:lvlJc w:val="left"/>
      <w:pPr>
        <w:tabs>
          <w:tab w:val="left" w:pos="-420"/>
        </w:tabs>
        <w:ind w:left="1174" w:hanging="420"/>
      </w:pPr>
    </w:lvl>
    <w:lvl w:ilvl="7" w:tentative="0">
      <w:start w:val="1"/>
      <w:numFmt w:val="lowerLetter"/>
      <w:lvlText w:val="%8)"/>
      <w:lvlJc w:val="left"/>
      <w:pPr>
        <w:tabs>
          <w:tab w:val="left" w:pos="-420"/>
        </w:tabs>
        <w:ind w:left="1594" w:hanging="420"/>
      </w:pPr>
    </w:lvl>
    <w:lvl w:ilvl="8" w:tentative="0">
      <w:start w:val="1"/>
      <w:numFmt w:val="lowerRoman"/>
      <w:lvlText w:val="%9."/>
      <w:lvlJc w:val="right"/>
      <w:pPr>
        <w:tabs>
          <w:tab w:val="left" w:pos="-420"/>
        </w:tabs>
        <w:ind w:left="2014" w:hanging="420"/>
      </w:pPr>
    </w:lvl>
  </w:abstractNum>
  <w:abstractNum w:abstractNumId="36">
    <w:nsid w:val="0B5C09D2"/>
    <w:multiLevelType w:val="multilevel"/>
    <w:tmpl w:val="0B5C09D2"/>
    <w:lvl w:ilvl="0" w:tentative="0">
      <w:start w:val="1"/>
      <w:numFmt w:val="decimal"/>
      <w:lvlText w:val="%1."/>
      <w:lvlJc w:val="left"/>
      <w:pPr>
        <w:ind w:left="425" w:hanging="425"/>
      </w:pPr>
    </w:lvl>
    <w:lvl w:ilvl="1" w:tentative="0">
      <w:start w:val="1"/>
      <w:numFmt w:val="decimal"/>
      <w:lvlText w:val="%2)"/>
      <w:lvlJc w:val="left"/>
      <w:pPr>
        <w:ind w:left="567" w:hanging="567"/>
      </w:pPr>
      <w:rPr>
        <w:rFonts w:hint="default" w:ascii="Times New Roman" w:hAnsi="Times New Roman" w:eastAsia="宋体" w:cs="Times New Roman"/>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37">
    <w:nsid w:val="0B7D6F62"/>
    <w:multiLevelType w:val="multilevel"/>
    <w:tmpl w:val="0B7D6F62"/>
    <w:lvl w:ilvl="0" w:tentative="0">
      <w:start w:val="1"/>
      <w:numFmt w:val="lowerLetter"/>
      <w:lvlText w:val="%1)"/>
      <w:lvlJc w:val="left"/>
      <w:pPr>
        <w:tabs>
          <w:tab w:val="left" w:pos="-420"/>
        </w:tabs>
        <w:ind w:left="758" w:hanging="420"/>
      </w:pPr>
      <w:rPr>
        <w:rFonts w:hint="eastAsia" w:cs="Times New Roman"/>
      </w:rPr>
    </w:lvl>
    <w:lvl w:ilvl="1" w:tentative="0">
      <w:start w:val="1"/>
      <w:numFmt w:val="lowerLetter"/>
      <w:lvlText w:val="%2)"/>
      <w:lvlJc w:val="left"/>
      <w:pPr>
        <w:tabs>
          <w:tab w:val="left" w:pos="-420"/>
        </w:tabs>
        <w:ind w:left="-1068" w:hanging="420"/>
      </w:pPr>
    </w:lvl>
    <w:lvl w:ilvl="2" w:tentative="0">
      <w:start w:val="1"/>
      <w:numFmt w:val="lowerRoman"/>
      <w:lvlText w:val="%3."/>
      <w:lvlJc w:val="right"/>
      <w:pPr>
        <w:tabs>
          <w:tab w:val="left" w:pos="-420"/>
        </w:tabs>
        <w:ind w:left="-648" w:hanging="420"/>
      </w:pPr>
    </w:lvl>
    <w:lvl w:ilvl="3" w:tentative="0">
      <w:start w:val="1"/>
      <w:numFmt w:val="decimal"/>
      <w:lvlText w:val="%4."/>
      <w:lvlJc w:val="left"/>
      <w:pPr>
        <w:tabs>
          <w:tab w:val="left" w:pos="-420"/>
        </w:tabs>
        <w:ind w:left="-228" w:hanging="420"/>
      </w:pPr>
    </w:lvl>
    <w:lvl w:ilvl="4" w:tentative="0">
      <w:start w:val="1"/>
      <w:numFmt w:val="lowerLetter"/>
      <w:lvlText w:val="%5)"/>
      <w:lvlJc w:val="left"/>
      <w:pPr>
        <w:tabs>
          <w:tab w:val="left" w:pos="-420"/>
        </w:tabs>
        <w:ind w:left="192" w:hanging="420"/>
      </w:pPr>
    </w:lvl>
    <w:lvl w:ilvl="5" w:tentative="0">
      <w:start w:val="1"/>
      <w:numFmt w:val="lowerRoman"/>
      <w:lvlText w:val="%6."/>
      <w:lvlJc w:val="right"/>
      <w:pPr>
        <w:tabs>
          <w:tab w:val="left" w:pos="-420"/>
        </w:tabs>
        <w:ind w:left="612" w:hanging="420"/>
      </w:pPr>
    </w:lvl>
    <w:lvl w:ilvl="6" w:tentative="0">
      <w:start w:val="1"/>
      <w:numFmt w:val="decimal"/>
      <w:lvlText w:val="%7."/>
      <w:lvlJc w:val="left"/>
      <w:pPr>
        <w:tabs>
          <w:tab w:val="left" w:pos="-420"/>
        </w:tabs>
        <w:ind w:left="1032" w:hanging="420"/>
      </w:pPr>
    </w:lvl>
    <w:lvl w:ilvl="7" w:tentative="0">
      <w:start w:val="1"/>
      <w:numFmt w:val="lowerLetter"/>
      <w:lvlText w:val="%8)"/>
      <w:lvlJc w:val="left"/>
      <w:pPr>
        <w:tabs>
          <w:tab w:val="left" w:pos="-420"/>
        </w:tabs>
        <w:ind w:left="1452" w:hanging="420"/>
      </w:pPr>
    </w:lvl>
    <w:lvl w:ilvl="8" w:tentative="0">
      <w:start w:val="1"/>
      <w:numFmt w:val="lowerRoman"/>
      <w:lvlText w:val="%9."/>
      <w:lvlJc w:val="right"/>
      <w:pPr>
        <w:tabs>
          <w:tab w:val="left" w:pos="-420"/>
        </w:tabs>
        <w:ind w:left="1872" w:hanging="420"/>
      </w:pPr>
    </w:lvl>
  </w:abstractNum>
  <w:abstractNum w:abstractNumId="38">
    <w:nsid w:val="0D912FB8"/>
    <w:multiLevelType w:val="multilevel"/>
    <w:tmpl w:val="0D912FB8"/>
    <w:lvl w:ilvl="0" w:tentative="0">
      <w:start w:val="1"/>
      <w:numFmt w:val="lowerLetter"/>
      <w:lvlText w:val="%1)"/>
      <w:lvlJc w:val="left"/>
      <w:pPr>
        <w:tabs>
          <w:tab w:val="left" w:pos="-420"/>
        </w:tabs>
        <w:ind w:left="758" w:hanging="420"/>
      </w:pPr>
      <w:rPr>
        <w:rFonts w:hint="eastAsia" w:cs="Times New Roman"/>
      </w:rPr>
    </w:lvl>
    <w:lvl w:ilvl="1" w:tentative="0">
      <w:start w:val="1"/>
      <w:numFmt w:val="lowerLetter"/>
      <w:lvlText w:val="%2)"/>
      <w:lvlJc w:val="left"/>
      <w:pPr>
        <w:tabs>
          <w:tab w:val="left" w:pos="-420"/>
        </w:tabs>
        <w:ind w:left="-1068" w:hanging="420"/>
      </w:pPr>
    </w:lvl>
    <w:lvl w:ilvl="2" w:tentative="0">
      <w:start w:val="1"/>
      <w:numFmt w:val="lowerRoman"/>
      <w:lvlText w:val="%3."/>
      <w:lvlJc w:val="right"/>
      <w:pPr>
        <w:tabs>
          <w:tab w:val="left" w:pos="-420"/>
        </w:tabs>
        <w:ind w:left="-648" w:hanging="420"/>
      </w:pPr>
    </w:lvl>
    <w:lvl w:ilvl="3" w:tentative="0">
      <w:start w:val="1"/>
      <w:numFmt w:val="decimal"/>
      <w:lvlText w:val="%4."/>
      <w:lvlJc w:val="left"/>
      <w:pPr>
        <w:tabs>
          <w:tab w:val="left" w:pos="-420"/>
        </w:tabs>
        <w:ind w:left="-228" w:hanging="420"/>
      </w:pPr>
    </w:lvl>
    <w:lvl w:ilvl="4" w:tentative="0">
      <w:start w:val="1"/>
      <w:numFmt w:val="lowerLetter"/>
      <w:lvlText w:val="%5)"/>
      <w:lvlJc w:val="left"/>
      <w:pPr>
        <w:tabs>
          <w:tab w:val="left" w:pos="-420"/>
        </w:tabs>
        <w:ind w:left="192" w:hanging="420"/>
      </w:pPr>
    </w:lvl>
    <w:lvl w:ilvl="5" w:tentative="0">
      <w:start w:val="1"/>
      <w:numFmt w:val="lowerRoman"/>
      <w:lvlText w:val="%6."/>
      <w:lvlJc w:val="right"/>
      <w:pPr>
        <w:tabs>
          <w:tab w:val="left" w:pos="-420"/>
        </w:tabs>
        <w:ind w:left="612" w:hanging="420"/>
      </w:pPr>
    </w:lvl>
    <w:lvl w:ilvl="6" w:tentative="0">
      <w:start w:val="1"/>
      <w:numFmt w:val="decimal"/>
      <w:lvlText w:val="%7."/>
      <w:lvlJc w:val="left"/>
      <w:pPr>
        <w:tabs>
          <w:tab w:val="left" w:pos="-420"/>
        </w:tabs>
        <w:ind w:left="1032" w:hanging="420"/>
      </w:pPr>
    </w:lvl>
    <w:lvl w:ilvl="7" w:tentative="0">
      <w:start w:val="1"/>
      <w:numFmt w:val="lowerLetter"/>
      <w:lvlText w:val="%8)"/>
      <w:lvlJc w:val="left"/>
      <w:pPr>
        <w:tabs>
          <w:tab w:val="left" w:pos="-420"/>
        </w:tabs>
        <w:ind w:left="1452" w:hanging="420"/>
      </w:pPr>
    </w:lvl>
    <w:lvl w:ilvl="8" w:tentative="0">
      <w:start w:val="1"/>
      <w:numFmt w:val="lowerRoman"/>
      <w:lvlText w:val="%9."/>
      <w:lvlJc w:val="right"/>
      <w:pPr>
        <w:tabs>
          <w:tab w:val="left" w:pos="-420"/>
        </w:tabs>
        <w:ind w:left="1872" w:hanging="420"/>
      </w:pPr>
    </w:lvl>
  </w:abstractNum>
  <w:abstractNum w:abstractNumId="39">
    <w:nsid w:val="0DFF87E3"/>
    <w:multiLevelType w:val="multilevel"/>
    <w:tmpl w:val="0DFF87E3"/>
    <w:lvl w:ilvl="0" w:tentative="0">
      <w:start w:val="1"/>
      <w:numFmt w:val="decimal"/>
      <w:lvlText w:val="%1）"/>
      <w:lvlJc w:val="right"/>
      <w:pPr>
        <w:tabs>
          <w:tab w:val="left" w:pos="-420"/>
        </w:tabs>
        <w:ind w:left="480" w:hanging="420"/>
      </w:pPr>
      <w:rPr>
        <w:rFonts w:hint="eastAsia"/>
      </w:rPr>
    </w:lvl>
    <w:lvl w:ilvl="1" w:tentative="0">
      <w:start w:val="1"/>
      <w:numFmt w:val="lowerLetter"/>
      <w:lvlText w:val="%2)"/>
      <w:lvlJc w:val="left"/>
      <w:pPr>
        <w:tabs>
          <w:tab w:val="left" w:pos="-420"/>
        </w:tabs>
        <w:ind w:left="900" w:hanging="420"/>
      </w:pPr>
    </w:lvl>
    <w:lvl w:ilvl="2" w:tentative="0">
      <w:start w:val="1"/>
      <w:numFmt w:val="lowerRoman"/>
      <w:lvlText w:val="%3."/>
      <w:lvlJc w:val="right"/>
      <w:pPr>
        <w:tabs>
          <w:tab w:val="left" w:pos="-420"/>
        </w:tabs>
        <w:ind w:left="1320" w:hanging="420"/>
      </w:pPr>
    </w:lvl>
    <w:lvl w:ilvl="3" w:tentative="0">
      <w:start w:val="1"/>
      <w:numFmt w:val="decimal"/>
      <w:lvlText w:val="%4."/>
      <w:lvlJc w:val="left"/>
      <w:pPr>
        <w:tabs>
          <w:tab w:val="left" w:pos="-420"/>
        </w:tabs>
        <w:ind w:left="1740" w:hanging="420"/>
      </w:pPr>
    </w:lvl>
    <w:lvl w:ilvl="4" w:tentative="0">
      <w:start w:val="1"/>
      <w:numFmt w:val="lowerLetter"/>
      <w:lvlText w:val="%5)"/>
      <w:lvlJc w:val="left"/>
      <w:pPr>
        <w:tabs>
          <w:tab w:val="left" w:pos="-420"/>
        </w:tabs>
        <w:ind w:left="2160" w:hanging="420"/>
      </w:pPr>
    </w:lvl>
    <w:lvl w:ilvl="5" w:tentative="0">
      <w:start w:val="1"/>
      <w:numFmt w:val="lowerRoman"/>
      <w:lvlText w:val="%6."/>
      <w:lvlJc w:val="right"/>
      <w:pPr>
        <w:tabs>
          <w:tab w:val="left" w:pos="-420"/>
        </w:tabs>
        <w:ind w:left="2580" w:hanging="420"/>
      </w:pPr>
    </w:lvl>
    <w:lvl w:ilvl="6" w:tentative="0">
      <w:start w:val="1"/>
      <w:numFmt w:val="decimal"/>
      <w:lvlText w:val="%7."/>
      <w:lvlJc w:val="left"/>
      <w:pPr>
        <w:tabs>
          <w:tab w:val="left" w:pos="-420"/>
        </w:tabs>
        <w:ind w:left="3000" w:hanging="420"/>
      </w:pPr>
    </w:lvl>
    <w:lvl w:ilvl="7" w:tentative="0">
      <w:start w:val="1"/>
      <w:numFmt w:val="lowerLetter"/>
      <w:lvlText w:val="%8)"/>
      <w:lvlJc w:val="left"/>
      <w:pPr>
        <w:tabs>
          <w:tab w:val="left" w:pos="-420"/>
        </w:tabs>
        <w:ind w:left="3420" w:hanging="420"/>
      </w:pPr>
    </w:lvl>
    <w:lvl w:ilvl="8" w:tentative="0">
      <w:start w:val="1"/>
      <w:numFmt w:val="lowerRoman"/>
      <w:lvlText w:val="%9."/>
      <w:lvlJc w:val="right"/>
      <w:pPr>
        <w:tabs>
          <w:tab w:val="left" w:pos="-420"/>
        </w:tabs>
        <w:ind w:left="3840" w:hanging="420"/>
      </w:pPr>
    </w:lvl>
  </w:abstractNum>
  <w:abstractNum w:abstractNumId="40">
    <w:nsid w:val="0E5C7D47"/>
    <w:multiLevelType w:val="multilevel"/>
    <w:tmpl w:val="0E5C7D47"/>
    <w:lvl w:ilvl="0" w:tentative="0">
      <w:start w:val="1"/>
      <w:numFmt w:val="decimal"/>
      <w:lvlText w:val="%1."/>
      <w:lvlJc w:val="left"/>
      <w:pPr>
        <w:ind w:left="425" w:hanging="425"/>
      </w:pPr>
    </w:lvl>
    <w:lvl w:ilvl="1" w:tentative="0">
      <w:start w:val="1"/>
      <w:numFmt w:val="decimal"/>
      <w:lvlText w:val="%2)"/>
      <w:lvlJc w:val="left"/>
      <w:pPr>
        <w:ind w:left="567" w:hanging="567"/>
      </w:pPr>
      <w:rPr>
        <w:rFonts w:hint="default" w:ascii="Times New Roman" w:hAnsi="Times New Roman" w:eastAsia="宋体" w:cs="Times New Roman"/>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41">
    <w:nsid w:val="0F8B7406"/>
    <w:multiLevelType w:val="multilevel"/>
    <w:tmpl w:val="0F8B7406"/>
    <w:lvl w:ilvl="0" w:tentative="0">
      <w:start w:val="1"/>
      <w:numFmt w:val="decimal"/>
      <w:lvlText w:val="%1."/>
      <w:lvlJc w:val="left"/>
      <w:pPr>
        <w:ind w:left="425" w:hanging="425"/>
      </w:pPr>
    </w:lvl>
    <w:lvl w:ilvl="1" w:tentative="0">
      <w:start w:val="1"/>
      <w:numFmt w:val="decimal"/>
      <w:lvlText w:val="%2)"/>
      <w:lvlJc w:val="left"/>
      <w:pPr>
        <w:ind w:left="567" w:hanging="567"/>
      </w:pPr>
      <w:rPr>
        <w:rFonts w:hint="default" w:ascii="Times New Roman" w:hAnsi="Times New Roman" w:eastAsia="宋体" w:cs="Times New Roman"/>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42">
    <w:nsid w:val="0F975423"/>
    <w:multiLevelType w:val="multilevel"/>
    <w:tmpl w:val="0F975423"/>
    <w:lvl w:ilvl="0" w:tentative="0">
      <w:start w:val="1"/>
      <w:numFmt w:val="lowerLetter"/>
      <w:lvlText w:val="%1)"/>
      <w:lvlJc w:val="left"/>
      <w:pPr>
        <w:ind w:left="1178" w:hanging="420"/>
      </w:pPr>
      <w:rPr>
        <w:rFonts w:hint="eastAsia" w:cs="Times New Roman"/>
      </w:rPr>
    </w:lvl>
    <w:lvl w:ilvl="1" w:tentative="0">
      <w:start w:val="1"/>
      <w:numFmt w:val="lowerLetter"/>
      <w:lvlText w:val="%2)"/>
      <w:lvlJc w:val="left"/>
      <w:pPr>
        <w:ind w:left="-648" w:hanging="420"/>
      </w:pPr>
    </w:lvl>
    <w:lvl w:ilvl="2" w:tentative="0">
      <w:start w:val="1"/>
      <w:numFmt w:val="lowerRoman"/>
      <w:lvlText w:val="%3."/>
      <w:lvlJc w:val="right"/>
      <w:pPr>
        <w:ind w:left="-228" w:hanging="420"/>
      </w:pPr>
    </w:lvl>
    <w:lvl w:ilvl="3" w:tentative="0">
      <w:start w:val="1"/>
      <w:numFmt w:val="decimal"/>
      <w:lvlText w:val="%4."/>
      <w:lvlJc w:val="left"/>
      <w:pPr>
        <w:ind w:left="192" w:hanging="420"/>
      </w:pPr>
    </w:lvl>
    <w:lvl w:ilvl="4" w:tentative="0">
      <w:start w:val="1"/>
      <w:numFmt w:val="lowerLetter"/>
      <w:lvlText w:val="%5)"/>
      <w:lvlJc w:val="left"/>
      <w:pPr>
        <w:ind w:left="612" w:hanging="420"/>
      </w:pPr>
    </w:lvl>
    <w:lvl w:ilvl="5" w:tentative="0">
      <w:start w:val="1"/>
      <w:numFmt w:val="lowerRoman"/>
      <w:lvlText w:val="%6."/>
      <w:lvlJc w:val="right"/>
      <w:pPr>
        <w:ind w:left="1032" w:hanging="420"/>
      </w:pPr>
    </w:lvl>
    <w:lvl w:ilvl="6" w:tentative="0">
      <w:start w:val="1"/>
      <w:numFmt w:val="decimal"/>
      <w:lvlText w:val="%7."/>
      <w:lvlJc w:val="left"/>
      <w:pPr>
        <w:ind w:left="1452" w:hanging="420"/>
      </w:pPr>
    </w:lvl>
    <w:lvl w:ilvl="7" w:tentative="0">
      <w:start w:val="1"/>
      <w:numFmt w:val="lowerLetter"/>
      <w:lvlText w:val="%8)"/>
      <w:lvlJc w:val="left"/>
      <w:pPr>
        <w:ind w:left="1872" w:hanging="420"/>
      </w:pPr>
    </w:lvl>
    <w:lvl w:ilvl="8" w:tentative="0">
      <w:start w:val="1"/>
      <w:numFmt w:val="lowerRoman"/>
      <w:lvlText w:val="%9."/>
      <w:lvlJc w:val="right"/>
      <w:pPr>
        <w:ind w:left="2292" w:hanging="420"/>
      </w:pPr>
    </w:lvl>
  </w:abstractNum>
  <w:abstractNum w:abstractNumId="43">
    <w:nsid w:val="10A170B4"/>
    <w:multiLevelType w:val="multilevel"/>
    <w:tmpl w:val="10A170B4"/>
    <w:lvl w:ilvl="0" w:tentative="0">
      <w:start w:val="1"/>
      <w:numFmt w:val="decimal"/>
      <w:lvlText w:val="%1)"/>
      <w:lvlJc w:val="left"/>
      <w:pPr>
        <w:ind w:left="862" w:hanging="420"/>
      </w:pPr>
    </w:lvl>
    <w:lvl w:ilvl="1" w:tentative="0">
      <w:start w:val="1"/>
      <w:numFmt w:val="lowerLetter"/>
      <w:lvlText w:val="%2)"/>
      <w:lvlJc w:val="left"/>
      <w:pPr>
        <w:ind w:left="1282" w:hanging="420"/>
      </w:pPr>
    </w:lvl>
    <w:lvl w:ilvl="2" w:tentative="0">
      <w:start w:val="1"/>
      <w:numFmt w:val="lowerRoman"/>
      <w:lvlText w:val="%3."/>
      <w:lvlJc w:val="right"/>
      <w:pPr>
        <w:ind w:left="1702" w:hanging="420"/>
      </w:pPr>
    </w:lvl>
    <w:lvl w:ilvl="3" w:tentative="0">
      <w:start w:val="1"/>
      <w:numFmt w:val="decimal"/>
      <w:lvlText w:val="%4."/>
      <w:lvlJc w:val="left"/>
      <w:pPr>
        <w:ind w:left="2122" w:hanging="420"/>
      </w:pPr>
    </w:lvl>
    <w:lvl w:ilvl="4" w:tentative="0">
      <w:start w:val="1"/>
      <w:numFmt w:val="lowerLetter"/>
      <w:lvlText w:val="%5)"/>
      <w:lvlJc w:val="left"/>
      <w:pPr>
        <w:ind w:left="2542" w:hanging="420"/>
      </w:pPr>
    </w:lvl>
    <w:lvl w:ilvl="5" w:tentative="0">
      <w:start w:val="1"/>
      <w:numFmt w:val="lowerRoman"/>
      <w:lvlText w:val="%6."/>
      <w:lvlJc w:val="right"/>
      <w:pPr>
        <w:ind w:left="2962" w:hanging="420"/>
      </w:pPr>
    </w:lvl>
    <w:lvl w:ilvl="6" w:tentative="0">
      <w:start w:val="1"/>
      <w:numFmt w:val="decimal"/>
      <w:lvlText w:val="%7."/>
      <w:lvlJc w:val="left"/>
      <w:pPr>
        <w:ind w:left="3382" w:hanging="420"/>
      </w:pPr>
    </w:lvl>
    <w:lvl w:ilvl="7" w:tentative="0">
      <w:start w:val="1"/>
      <w:numFmt w:val="lowerLetter"/>
      <w:lvlText w:val="%8)"/>
      <w:lvlJc w:val="left"/>
      <w:pPr>
        <w:ind w:left="3802" w:hanging="420"/>
      </w:pPr>
    </w:lvl>
    <w:lvl w:ilvl="8" w:tentative="0">
      <w:start w:val="1"/>
      <w:numFmt w:val="lowerRoman"/>
      <w:lvlText w:val="%9."/>
      <w:lvlJc w:val="right"/>
      <w:pPr>
        <w:ind w:left="4222" w:hanging="420"/>
      </w:pPr>
    </w:lvl>
  </w:abstractNum>
  <w:abstractNum w:abstractNumId="44">
    <w:nsid w:val="113004A7"/>
    <w:multiLevelType w:val="multilevel"/>
    <w:tmpl w:val="113004A7"/>
    <w:lvl w:ilvl="0" w:tentative="0">
      <w:start w:val="1"/>
      <w:numFmt w:val="decimal"/>
      <w:lvlText w:val="%1."/>
      <w:lvlJc w:val="left"/>
      <w:pPr>
        <w:ind w:left="425" w:hanging="425"/>
      </w:pPr>
    </w:lvl>
    <w:lvl w:ilvl="1" w:tentative="0">
      <w:start w:val="1"/>
      <w:numFmt w:val="decimal"/>
      <w:lvlText w:val="%2)"/>
      <w:lvlJc w:val="left"/>
      <w:pPr>
        <w:ind w:left="567" w:hanging="567"/>
      </w:pPr>
      <w:rPr>
        <w:rFonts w:hint="default" w:ascii="Times New Roman" w:hAnsi="Times New Roman" w:eastAsia="宋体" w:cs="Times New Roman"/>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45">
    <w:nsid w:val="11B873E9"/>
    <w:multiLevelType w:val="multilevel"/>
    <w:tmpl w:val="11B873E9"/>
    <w:lvl w:ilvl="0" w:tentative="0">
      <w:start w:val="1"/>
      <w:numFmt w:val="decimal"/>
      <w:lvlText w:val="%1."/>
      <w:lvlJc w:val="left"/>
      <w:pPr>
        <w:ind w:left="425" w:hanging="425"/>
      </w:pPr>
    </w:lvl>
    <w:lvl w:ilvl="1" w:tentative="0">
      <w:start w:val="1"/>
      <w:numFmt w:val="decimal"/>
      <w:lvlText w:val="%2)"/>
      <w:lvlJc w:val="left"/>
      <w:pPr>
        <w:ind w:left="567" w:hanging="567"/>
      </w:pPr>
      <w:rPr>
        <w:rFonts w:hint="default" w:ascii="Times New Roman" w:hAnsi="Times New Roman" w:eastAsia="宋体" w:cs="Times New Roman"/>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46">
    <w:nsid w:val="12876704"/>
    <w:multiLevelType w:val="multilevel"/>
    <w:tmpl w:val="12876704"/>
    <w:lvl w:ilvl="0" w:tentative="0">
      <w:start w:val="1"/>
      <w:numFmt w:val="lowerLetter"/>
      <w:lvlText w:val="%1)"/>
      <w:lvlJc w:val="left"/>
      <w:pPr>
        <w:tabs>
          <w:tab w:val="left" w:pos="-420"/>
        </w:tabs>
        <w:ind w:left="758" w:hanging="420"/>
      </w:pPr>
      <w:rPr>
        <w:rFonts w:hint="eastAsia" w:cs="Times New Roman"/>
      </w:rPr>
    </w:lvl>
    <w:lvl w:ilvl="1" w:tentative="0">
      <w:start w:val="1"/>
      <w:numFmt w:val="lowerLetter"/>
      <w:lvlText w:val="%2)"/>
      <w:lvlJc w:val="left"/>
      <w:pPr>
        <w:tabs>
          <w:tab w:val="left" w:pos="-420"/>
        </w:tabs>
        <w:ind w:left="-1068" w:hanging="420"/>
      </w:pPr>
    </w:lvl>
    <w:lvl w:ilvl="2" w:tentative="0">
      <w:start w:val="1"/>
      <w:numFmt w:val="lowerRoman"/>
      <w:lvlText w:val="%3."/>
      <w:lvlJc w:val="right"/>
      <w:pPr>
        <w:tabs>
          <w:tab w:val="left" w:pos="-420"/>
        </w:tabs>
        <w:ind w:left="-648" w:hanging="420"/>
      </w:pPr>
    </w:lvl>
    <w:lvl w:ilvl="3" w:tentative="0">
      <w:start w:val="1"/>
      <w:numFmt w:val="decimal"/>
      <w:lvlText w:val="%4."/>
      <w:lvlJc w:val="left"/>
      <w:pPr>
        <w:tabs>
          <w:tab w:val="left" w:pos="-420"/>
        </w:tabs>
        <w:ind w:left="-228" w:hanging="420"/>
      </w:pPr>
    </w:lvl>
    <w:lvl w:ilvl="4" w:tentative="0">
      <w:start w:val="1"/>
      <w:numFmt w:val="lowerLetter"/>
      <w:lvlText w:val="%5)"/>
      <w:lvlJc w:val="left"/>
      <w:pPr>
        <w:tabs>
          <w:tab w:val="left" w:pos="-420"/>
        </w:tabs>
        <w:ind w:left="192" w:hanging="420"/>
      </w:pPr>
    </w:lvl>
    <w:lvl w:ilvl="5" w:tentative="0">
      <w:start w:val="1"/>
      <w:numFmt w:val="lowerRoman"/>
      <w:lvlText w:val="%6."/>
      <w:lvlJc w:val="right"/>
      <w:pPr>
        <w:tabs>
          <w:tab w:val="left" w:pos="-420"/>
        </w:tabs>
        <w:ind w:left="612" w:hanging="420"/>
      </w:pPr>
    </w:lvl>
    <w:lvl w:ilvl="6" w:tentative="0">
      <w:start w:val="1"/>
      <w:numFmt w:val="decimal"/>
      <w:lvlText w:val="%7."/>
      <w:lvlJc w:val="left"/>
      <w:pPr>
        <w:tabs>
          <w:tab w:val="left" w:pos="-420"/>
        </w:tabs>
        <w:ind w:left="1032" w:hanging="420"/>
      </w:pPr>
    </w:lvl>
    <w:lvl w:ilvl="7" w:tentative="0">
      <w:start w:val="1"/>
      <w:numFmt w:val="lowerLetter"/>
      <w:lvlText w:val="%8)"/>
      <w:lvlJc w:val="left"/>
      <w:pPr>
        <w:tabs>
          <w:tab w:val="left" w:pos="-420"/>
        </w:tabs>
        <w:ind w:left="1452" w:hanging="420"/>
      </w:pPr>
    </w:lvl>
    <w:lvl w:ilvl="8" w:tentative="0">
      <w:start w:val="1"/>
      <w:numFmt w:val="lowerRoman"/>
      <w:lvlText w:val="%9."/>
      <w:lvlJc w:val="right"/>
      <w:pPr>
        <w:tabs>
          <w:tab w:val="left" w:pos="-420"/>
        </w:tabs>
        <w:ind w:left="1872" w:hanging="420"/>
      </w:pPr>
    </w:lvl>
  </w:abstractNum>
  <w:abstractNum w:abstractNumId="47">
    <w:nsid w:val="12FA26D2"/>
    <w:multiLevelType w:val="multilevel"/>
    <w:tmpl w:val="12FA26D2"/>
    <w:lvl w:ilvl="0" w:tentative="0">
      <w:start w:val="1"/>
      <w:numFmt w:val="decimal"/>
      <w:lvlText w:val="(%1)"/>
      <w:lvlJc w:val="left"/>
      <w:pPr>
        <w:ind w:left="846" w:hanging="420"/>
      </w:pPr>
      <w:rPr>
        <w:rFonts w:hint="default" w:ascii="宋体" w:hAnsi="宋体" w:eastAsia="宋体"/>
        <w:b w:val="0"/>
        <w:color w:val="auto"/>
        <w:sz w:val="21"/>
        <w:szCs w:val="21"/>
      </w:rPr>
    </w:lvl>
    <w:lvl w:ilvl="1" w:tentative="0">
      <w:start w:val="1"/>
      <w:numFmt w:val="lowerLetter"/>
      <w:lvlText w:val="%2)"/>
      <w:lvlJc w:val="left"/>
      <w:pPr>
        <w:ind w:left="1260" w:hanging="420"/>
      </w:pPr>
      <w:rPr>
        <w:rFonts w:hint="eastAsia"/>
        <w:color w:val="auto"/>
      </w:rPr>
    </w:lvl>
    <w:lvl w:ilvl="2" w:tentative="0">
      <w:start w:val="1"/>
      <w:numFmt w:val="lowerLetter"/>
      <w:lvlText w:val="%3."/>
      <w:lvlJc w:val="left"/>
      <w:pPr>
        <w:ind w:left="1620" w:hanging="360"/>
      </w:pPr>
      <w:rPr>
        <w:rFonts w:hint="default"/>
      </w:rPr>
    </w:lvl>
    <w:lvl w:ilvl="3" w:tentative="0">
      <w:start w:val="1"/>
      <w:numFmt w:val="decimal"/>
      <w:lvlText w:val="%4."/>
      <w:lvlJc w:val="left"/>
      <w:pPr>
        <w:ind w:left="2100" w:hanging="420"/>
      </w:pPr>
      <w:rPr>
        <w:rFonts w:hint="eastAsia"/>
      </w:rPr>
    </w:lvl>
    <w:lvl w:ilvl="4" w:tentative="0">
      <w:start w:val="1"/>
      <w:numFmt w:val="lowerLetter"/>
      <w:lvlText w:val="%5)"/>
      <w:lvlJc w:val="left"/>
      <w:pPr>
        <w:ind w:left="2520" w:hanging="420"/>
      </w:pPr>
      <w:rPr>
        <w:rFonts w:hint="eastAsia"/>
      </w:rPr>
    </w:lvl>
    <w:lvl w:ilvl="5" w:tentative="0">
      <w:start w:val="1"/>
      <w:numFmt w:val="lowerRoman"/>
      <w:lvlText w:val="%6."/>
      <w:lvlJc w:val="right"/>
      <w:pPr>
        <w:ind w:left="2940" w:hanging="420"/>
      </w:pPr>
      <w:rPr>
        <w:rFonts w:hint="eastAsia"/>
      </w:rPr>
    </w:lvl>
    <w:lvl w:ilvl="6" w:tentative="0">
      <w:start w:val="1"/>
      <w:numFmt w:val="decimal"/>
      <w:lvlText w:val="%7."/>
      <w:lvlJc w:val="left"/>
      <w:pPr>
        <w:ind w:left="3360" w:hanging="420"/>
      </w:pPr>
      <w:rPr>
        <w:rFonts w:hint="eastAsia"/>
      </w:rPr>
    </w:lvl>
    <w:lvl w:ilvl="7" w:tentative="0">
      <w:start w:val="1"/>
      <w:numFmt w:val="lowerLetter"/>
      <w:lvlText w:val="%8)"/>
      <w:lvlJc w:val="left"/>
      <w:pPr>
        <w:ind w:left="3780" w:hanging="420"/>
      </w:pPr>
      <w:rPr>
        <w:rFonts w:hint="eastAsia"/>
      </w:rPr>
    </w:lvl>
    <w:lvl w:ilvl="8" w:tentative="0">
      <w:start w:val="1"/>
      <w:numFmt w:val="lowerRoman"/>
      <w:lvlText w:val="%9."/>
      <w:lvlJc w:val="right"/>
      <w:pPr>
        <w:ind w:left="4200" w:hanging="420"/>
      </w:pPr>
      <w:rPr>
        <w:rFonts w:hint="eastAsia"/>
      </w:rPr>
    </w:lvl>
  </w:abstractNum>
  <w:abstractNum w:abstractNumId="48">
    <w:nsid w:val="14844C95"/>
    <w:multiLevelType w:val="multilevel"/>
    <w:tmpl w:val="14844C95"/>
    <w:lvl w:ilvl="0" w:tentative="0">
      <w:start w:val="1"/>
      <w:numFmt w:val="decimal"/>
      <w:lvlText w:val="%1."/>
      <w:lvlJc w:val="left"/>
      <w:pPr>
        <w:ind w:left="425" w:hanging="425"/>
      </w:pPr>
    </w:lvl>
    <w:lvl w:ilvl="1" w:tentative="0">
      <w:start w:val="1"/>
      <w:numFmt w:val="decimal"/>
      <w:lvlText w:val="%2)"/>
      <w:lvlJc w:val="left"/>
      <w:pPr>
        <w:ind w:left="567" w:hanging="567"/>
      </w:pPr>
      <w:rPr>
        <w:rFonts w:hint="default" w:ascii="Times New Roman" w:hAnsi="Times New Roman" w:eastAsia="宋体" w:cs="Times New Roman"/>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49">
    <w:nsid w:val="14B75BCA"/>
    <w:multiLevelType w:val="multilevel"/>
    <w:tmpl w:val="14B75BCA"/>
    <w:lvl w:ilvl="0" w:tentative="0">
      <w:start w:val="1"/>
      <w:numFmt w:val="lowerLetter"/>
      <w:lvlText w:val="%1)"/>
      <w:lvlJc w:val="left"/>
      <w:pPr>
        <w:tabs>
          <w:tab w:val="left" w:pos="-420"/>
        </w:tabs>
        <w:ind w:left="900" w:hanging="420"/>
      </w:pPr>
      <w:rPr>
        <w:rFonts w:hint="eastAsia" w:cs="Times New Roman"/>
      </w:rPr>
    </w:lvl>
    <w:lvl w:ilvl="1" w:tentative="0">
      <w:start w:val="1"/>
      <w:numFmt w:val="lowerLetter"/>
      <w:lvlText w:val="%2)"/>
      <w:lvlJc w:val="left"/>
      <w:pPr>
        <w:tabs>
          <w:tab w:val="left" w:pos="-420"/>
        </w:tabs>
        <w:ind w:left="-926" w:hanging="420"/>
      </w:pPr>
    </w:lvl>
    <w:lvl w:ilvl="2" w:tentative="0">
      <w:start w:val="1"/>
      <w:numFmt w:val="lowerRoman"/>
      <w:lvlText w:val="%3."/>
      <w:lvlJc w:val="right"/>
      <w:pPr>
        <w:tabs>
          <w:tab w:val="left" w:pos="-420"/>
        </w:tabs>
        <w:ind w:left="-506" w:hanging="420"/>
      </w:pPr>
    </w:lvl>
    <w:lvl w:ilvl="3" w:tentative="0">
      <w:start w:val="1"/>
      <w:numFmt w:val="decimal"/>
      <w:lvlText w:val="%4."/>
      <w:lvlJc w:val="left"/>
      <w:pPr>
        <w:tabs>
          <w:tab w:val="left" w:pos="-420"/>
        </w:tabs>
        <w:ind w:left="-86" w:hanging="420"/>
      </w:pPr>
    </w:lvl>
    <w:lvl w:ilvl="4" w:tentative="0">
      <w:start w:val="1"/>
      <w:numFmt w:val="lowerLetter"/>
      <w:lvlText w:val="%5)"/>
      <w:lvlJc w:val="left"/>
      <w:pPr>
        <w:tabs>
          <w:tab w:val="left" w:pos="-420"/>
        </w:tabs>
        <w:ind w:left="334" w:hanging="420"/>
      </w:pPr>
    </w:lvl>
    <w:lvl w:ilvl="5" w:tentative="0">
      <w:start w:val="1"/>
      <w:numFmt w:val="lowerRoman"/>
      <w:lvlText w:val="%6."/>
      <w:lvlJc w:val="right"/>
      <w:pPr>
        <w:tabs>
          <w:tab w:val="left" w:pos="-420"/>
        </w:tabs>
        <w:ind w:left="754" w:hanging="420"/>
      </w:pPr>
    </w:lvl>
    <w:lvl w:ilvl="6" w:tentative="0">
      <w:start w:val="1"/>
      <w:numFmt w:val="decimal"/>
      <w:lvlText w:val="%7."/>
      <w:lvlJc w:val="left"/>
      <w:pPr>
        <w:tabs>
          <w:tab w:val="left" w:pos="-420"/>
        </w:tabs>
        <w:ind w:left="1174" w:hanging="420"/>
      </w:pPr>
    </w:lvl>
    <w:lvl w:ilvl="7" w:tentative="0">
      <w:start w:val="1"/>
      <w:numFmt w:val="lowerLetter"/>
      <w:lvlText w:val="%8)"/>
      <w:lvlJc w:val="left"/>
      <w:pPr>
        <w:tabs>
          <w:tab w:val="left" w:pos="-420"/>
        </w:tabs>
        <w:ind w:left="1594" w:hanging="420"/>
      </w:pPr>
    </w:lvl>
    <w:lvl w:ilvl="8" w:tentative="0">
      <w:start w:val="1"/>
      <w:numFmt w:val="lowerRoman"/>
      <w:lvlText w:val="%9."/>
      <w:lvlJc w:val="right"/>
      <w:pPr>
        <w:tabs>
          <w:tab w:val="left" w:pos="-420"/>
        </w:tabs>
        <w:ind w:left="2014" w:hanging="420"/>
      </w:pPr>
    </w:lvl>
  </w:abstractNum>
  <w:abstractNum w:abstractNumId="50">
    <w:nsid w:val="14DD1AE2"/>
    <w:multiLevelType w:val="multilevel"/>
    <w:tmpl w:val="14DD1AE2"/>
    <w:lvl w:ilvl="0" w:tentative="0">
      <w:start w:val="1"/>
      <w:numFmt w:val="decimal"/>
      <w:lvlText w:val="%1."/>
      <w:lvlJc w:val="left"/>
      <w:pPr>
        <w:ind w:left="425" w:hanging="425"/>
      </w:pPr>
    </w:lvl>
    <w:lvl w:ilvl="1" w:tentative="0">
      <w:start w:val="1"/>
      <w:numFmt w:val="decimal"/>
      <w:lvlText w:val="%2)"/>
      <w:lvlJc w:val="left"/>
      <w:pPr>
        <w:ind w:left="567" w:hanging="567"/>
      </w:pPr>
      <w:rPr>
        <w:rFonts w:hint="default" w:ascii="Times New Roman" w:hAnsi="Times New Roman" w:eastAsia="宋体" w:cs="Times New Roman"/>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51">
    <w:nsid w:val="15325720"/>
    <w:multiLevelType w:val="multilevel"/>
    <w:tmpl w:val="15325720"/>
    <w:lvl w:ilvl="0" w:tentative="0">
      <w:start w:val="1"/>
      <w:numFmt w:val="lowerLetter"/>
      <w:lvlText w:val="%1)"/>
      <w:lvlJc w:val="left"/>
      <w:pPr>
        <w:tabs>
          <w:tab w:val="left" w:pos="-840"/>
        </w:tabs>
        <w:ind w:left="480" w:hanging="420"/>
      </w:pPr>
      <w:rPr>
        <w:rFonts w:hint="eastAsia" w:cs="Times New Roman"/>
      </w:rPr>
    </w:lvl>
    <w:lvl w:ilvl="1" w:tentative="0">
      <w:start w:val="1"/>
      <w:numFmt w:val="lowerLetter"/>
      <w:lvlText w:val="%2)"/>
      <w:lvlJc w:val="left"/>
      <w:pPr>
        <w:tabs>
          <w:tab w:val="left" w:pos="-840"/>
        </w:tabs>
        <w:ind w:left="-1346" w:hanging="420"/>
      </w:pPr>
    </w:lvl>
    <w:lvl w:ilvl="2" w:tentative="0">
      <w:start w:val="1"/>
      <w:numFmt w:val="lowerRoman"/>
      <w:lvlText w:val="%3."/>
      <w:lvlJc w:val="right"/>
      <w:pPr>
        <w:tabs>
          <w:tab w:val="left" w:pos="-840"/>
        </w:tabs>
        <w:ind w:left="-926" w:hanging="420"/>
      </w:pPr>
    </w:lvl>
    <w:lvl w:ilvl="3" w:tentative="0">
      <w:start w:val="1"/>
      <w:numFmt w:val="decimal"/>
      <w:lvlText w:val="%4."/>
      <w:lvlJc w:val="left"/>
      <w:pPr>
        <w:tabs>
          <w:tab w:val="left" w:pos="-840"/>
        </w:tabs>
        <w:ind w:left="-506" w:hanging="420"/>
      </w:pPr>
    </w:lvl>
    <w:lvl w:ilvl="4" w:tentative="0">
      <w:start w:val="1"/>
      <w:numFmt w:val="lowerLetter"/>
      <w:lvlText w:val="%5)"/>
      <w:lvlJc w:val="left"/>
      <w:pPr>
        <w:tabs>
          <w:tab w:val="left" w:pos="-840"/>
        </w:tabs>
        <w:ind w:left="-86" w:hanging="420"/>
      </w:pPr>
    </w:lvl>
    <w:lvl w:ilvl="5" w:tentative="0">
      <w:start w:val="1"/>
      <w:numFmt w:val="lowerRoman"/>
      <w:lvlText w:val="%6."/>
      <w:lvlJc w:val="right"/>
      <w:pPr>
        <w:tabs>
          <w:tab w:val="left" w:pos="-840"/>
        </w:tabs>
        <w:ind w:left="334" w:hanging="420"/>
      </w:pPr>
    </w:lvl>
    <w:lvl w:ilvl="6" w:tentative="0">
      <w:start w:val="1"/>
      <w:numFmt w:val="decimal"/>
      <w:lvlText w:val="%7."/>
      <w:lvlJc w:val="left"/>
      <w:pPr>
        <w:tabs>
          <w:tab w:val="left" w:pos="-840"/>
        </w:tabs>
        <w:ind w:left="754" w:hanging="420"/>
      </w:pPr>
    </w:lvl>
    <w:lvl w:ilvl="7" w:tentative="0">
      <w:start w:val="1"/>
      <w:numFmt w:val="lowerLetter"/>
      <w:lvlText w:val="%8)"/>
      <w:lvlJc w:val="left"/>
      <w:pPr>
        <w:tabs>
          <w:tab w:val="left" w:pos="-840"/>
        </w:tabs>
        <w:ind w:left="1174" w:hanging="420"/>
      </w:pPr>
    </w:lvl>
    <w:lvl w:ilvl="8" w:tentative="0">
      <w:start w:val="1"/>
      <w:numFmt w:val="lowerRoman"/>
      <w:lvlText w:val="%9."/>
      <w:lvlJc w:val="right"/>
      <w:pPr>
        <w:tabs>
          <w:tab w:val="left" w:pos="-840"/>
        </w:tabs>
        <w:ind w:left="1594" w:hanging="420"/>
      </w:pPr>
    </w:lvl>
  </w:abstractNum>
  <w:abstractNum w:abstractNumId="52">
    <w:nsid w:val="155B67F5"/>
    <w:multiLevelType w:val="multilevel"/>
    <w:tmpl w:val="155B67F5"/>
    <w:lvl w:ilvl="0" w:tentative="0">
      <w:start w:val="1"/>
      <w:numFmt w:val="lowerLetter"/>
      <w:lvlText w:val="%1)"/>
      <w:lvlJc w:val="left"/>
      <w:pPr>
        <w:tabs>
          <w:tab w:val="left" w:pos="-840"/>
        </w:tabs>
        <w:ind w:left="480" w:hanging="420"/>
      </w:pPr>
      <w:rPr>
        <w:rFonts w:hint="eastAsia" w:cs="Times New Roman"/>
      </w:rPr>
    </w:lvl>
    <w:lvl w:ilvl="1" w:tentative="0">
      <w:start w:val="1"/>
      <w:numFmt w:val="lowerLetter"/>
      <w:lvlText w:val="%2)"/>
      <w:lvlJc w:val="left"/>
      <w:pPr>
        <w:tabs>
          <w:tab w:val="left" w:pos="-840"/>
        </w:tabs>
        <w:ind w:left="-1346" w:hanging="420"/>
      </w:pPr>
    </w:lvl>
    <w:lvl w:ilvl="2" w:tentative="0">
      <w:start w:val="1"/>
      <w:numFmt w:val="lowerRoman"/>
      <w:lvlText w:val="%3."/>
      <w:lvlJc w:val="right"/>
      <w:pPr>
        <w:tabs>
          <w:tab w:val="left" w:pos="-840"/>
        </w:tabs>
        <w:ind w:left="-926" w:hanging="420"/>
      </w:pPr>
    </w:lvl>
    <w:lvl w:ilvl="3" w:tentative="0">
      <w:start w:val="1"/>
      <w:numFmt w:val="decimal"/>
      <w:lvlText w:val="%4."/>
      <w:lvlJc w:val="left"/>
      <w:pPr>
        <w:tabs>
          <w:tab w:val="left" w:pos="-840"/>
        </w:tabs>
        <w:ind w:left="-506" w:hanging="420"/>
      </w:pPr>
    </w:lvl>
    <w:lvl w:ilvl="4" w:tentative="0">
      <w:start w:val="1"/>
      <w:numFmt w:val="lowerLetter"/>
      <w:lvlText w:val="%5)"/>
      <w:lvlJc w:val="left"/>
      <w:pPr>
        <w:tabs>
          <w:tab w:val="left" w:pos="-840"/>
        </w:tabs>
        <w:ind w:left="-86" w:hanging="420"/>
      </w:pPr>
    </w:lvl>
    <w:lvl w:ilvl="5" w:tentative="0">
      <w:start w:val="1"/>
      <w:numFmt w:val="lowerRoman"/>
      <w:lvlText w:val="%6."/>
      <w:lvlJc w:val="right"/>
      <w:pPr>
        <w:tabs>
          <w:tab w:val="left" w:pos="-840"/>
        </w:tabs>
        <w:ind w:left="334" w:hanging="420"/>
      </w:pPr>
    </w:lvl>
    <w:lvl w:ilvl="6" w:tentative="0">
      <w:start w:val="1"/>
      <w:numFmt w:val="decimal"/>
      <w:lvlText w:val="%7."/>
      <w:lvlJc w:val="left"/>
      <w:pPr>
        <w:tabs>
          <w:tab w:val="left" w:pos="-840"/>
        </w:tabs>
        <w:ind w:left="754" w:hanging="420"/>
      </w:pPr>
    </w:lvl>
    <w:lvl w:ilvl="7" w:tentative="0">
      <w:start w:val="1"/>
      <w:numFmt w:val="lowerLetter"/>
      <w:lvlText w:val="%8)"/>
      <w:lvlJc w:val="left"/>
      <w:pPr>
        <w:tabs>
          <w:tab w:val="left" w:pos="-840"/>
        </w:tabs>
        <w:ind w:left="1174" w:hanging="420"/>
      </w:pPr>
    </w:lvl>
    <w:lvl w:ilvl="8" w:tentative="0">
      <w:start w:val="1"/>
      <w:numFmt w:val="lowerRoman"/>
      <w:lvlText w:val="%9."/>
      <w:lvlJc w:val="right"/>
      <w:pPr>
        <w:tabs>
          <w:tab w:val="left" w:pos="-840"/>
        </w:tabs>
        <w:ind w:left="1594" w:hanging="420"/>
      </w:pPr>
    </w:lvl>
  </w:abstractNum>
  <w:abstractNum w:abstractNumId="53">
    <w:nsid w:val="15E82AC0"/>
    <w:multiLevelType w:val="multilevel"/>
    <w:tmpl w:val="15E82AC0"/>
    <w:lvl w:ilvl="0" w:tentative="0">
      <w:start w:val="1"/>
      <w:numFmt w:val="lowerLetter"/>
      <w:lvlText w:val="%1)"/>
      <w:lvlJc w:val="left"/>
      <w:pPr>
        <w:ind w:left="1320" w:hanging="420"/>
      </w:pPr>
      <w:rPr>
        <w:rFonts w:hint="eastAsia" w:cs="Times New Roman"/>
      </w:rPr>
    </w:lvl>
    <w:lvl w:ilvl="1" w:tentative="0">
      <w:start w:val="1"/>
      <w:numFmt w:val="lowerLetter"/>
      <w:lvlText w:val="%2)"/>
      <w:lvlJc w:val="left"/>
      <w:pPr>
        <w:ind w:left="-506" w:hanging="420"/>
      </w:pPr>
    </w:lvl>
    <w:lvl w:ilvl="2" w:tentative="0">
      <w:start w:val="1"/>
      <w:numFmt w:val="lowerRoman"/>
      <w:lvlText w:val="%3."/>
      <w:lvlJc w:val="right"/>
      <w:pPr>
        <w:ind w:left="-86" w:hanging="420"/>
      </w:pPr>
    </w:lvl>
    <w:lvl w:ilvl="3" w:tentative="0">
      <w:start w:val="1"/>
      <w:numFmt w:val="decimal"/>
      <w:lvlText w:val="%4."/>
      <w:lvlJc w:val="left"/>
      <w:pPr>
        <w:ind w:left="334" w:hanging="420"/>
      </w:pPr>
    </w:lvl>
    <w:lvl w:ilvl="4" w:tentative="0">
      <w:start w:val="1"/>
      <w:numFmt w:val="lowerLetter"/>
      <w:lvlText w:val="%5)"/>
      <w:lvlJc w:val="left"/>
      <w:pPr>
        <w:ind w:left="754" w:hanging="420"/>
      </w:pPr>
    </w:lvl>
    <w:lvl w:ilvl="5" w:tentative="0">
      <w:start w:val="1"/>
      <w:numFmt w:val="lowerRoman"/>
      <w:lvlText w:val="%6."/>
      <w:lvlJc w:val="right"/>
      <w:pPr>
        <w:ind w:left="1174" w:hanging="420"/>
      </w:pPr>
    </w:lvl>
    <w:lvl w:ilvl="6" w:tentative="0">
      <w:start w:val="1"/>
      <w:numFmt w:val="decimal"/>
      <w:lvlText w:val="%7."/>
      <w:lvlJc w:val="left"/>
      <w:pPr>
        <w:ind w:left="1594" w:hanging="420"/>
      </w:pPr>
    </w:lvl>
    <w:lvl w:ilvl="7" w:tentative="0">
      <w:start w:val="1"/>
      <w:numFmt w:val="lowerLetter"/>
      <w:lvlText w:val="%8)"/>
      <w:lvlJc w:val="left"/>
      <w:pPr>
        <w:ind w:left="2014" w:hanging="420"/>
      </w:pPr>
    </w:lvl>
    <w:lvl w:ilvl="8" w:tentative="0">
      <w:start w:val="1"/>
      <w:numFmt w:val="lowerRoman"/>
      <w:lvlText w:val="%9."/>
      <w:lvlJc w:val="right"/>
      <w:pPr>
        <w:ind w:left="2434" w:hanging="420"/>
      </w:pPr>
    </w:lvl>
  </w:abstractNum>
  <w:abstractNum w:abstractNumId="54">
    <w:nsid w:val="16167409"/>
    <w:multiLevelType w:val="multilevel"/>
    <w:tmpl w:val="16167409"/>
    <w:lvl w:ilvl="0" w:tentative="0">
      <w:start w:val="1"/>
      <w:numFmt w:val="lowerLetter"/>
      <w:lvlText w:val="%1)"/>
      <w:lvlJc w:val="left"/>
      <w:pPr>
        <w:tabs>
          <w:tab w:val="left" w:pos="-420"/>
        </w:tabs>
        <w:ind w:left="900" w:hanging="420"/>
      </w:pPr>
      <w:rPr>
        <w:rFonts w:hint="eastAsia" w:cs="Times New Roman"/>
      </w:rPr>
    </w:lvl>
    <w:lvl w:ilvl="1" w:tentative="0">
      <w:start w:val="1"/>
      <w:numFmt w:val="lowerLetter"/>
      <w:lvlText w:val="%2)"/>
      <w:lvlJc w:val="left"/>
      <w:pPr>
        <w:tabs>
          <w:tab w:val="left" w:pos="-420"/>
        </w:tabs>
        <w:ind w:left="-926" w:hanging="420"/>
      </w:pPr>
    </w:lvl>
    <w:lvl w:ilvl="2" w:tentative="0">
      <w:start w:val="1"/>
      <w:numFmt w:val="lowerRoman"/>
      <w:lvlText w:val="%3."/>
      <w:lvlJc w:val="right"/>
      <w:pPr>
        <w:tabs>
          <w:tab w:val="left" w:pos="-420"/>
        </w:tabs>
        <w:ind w:left="-506" w:hanging="420"/>
      </w:pPr>
    </w:lvl>
    <w:lvl w:ilvl="3" w:tentative="0">
      <w:start w:val="1"/>
      <w:numFmt w:val="decimal"/>
      <w:lvlText w:val="%4."/>
      <w:lvlJc w:val="left"/>
      <w:pPr>
        <w:tabs>
          <w:tab w:val="left" w:pos="-420"/>
        </w:tabs>
        <w:ind w:left="-86" w:hanging="420"/>
      </w:pPr>
    </w:lvl>
    <w:lvl w:ilvl="4" w:tentative="0">
      <w:start w:val="1"/>
      <w:numFmt w:val="lowerLetter"/>
      <w:lvlText w:val="%5)"/>
      <w:lvlJc w:val="left"/>
      <w:pPr>
        <w:tabs>
          <w:tab w:val="left" w:pos="-420"/>
        </w:tabs>
        <w:ind w:left="334" w:hanging="420"/>
      </w:pPr>
    </w:lvl>
    <w:lvl w:ilvl="5" w:tentative="0">
      <w:start w:val="1"/>
      <w:numFmt w:val="lowerRoman"/>
      <w:lvlText w:val="%6."/>
      <w:lvlJc w:val="right"/>
      <w:pPr>
        <w:tabs>
          <w:tab w:val="left" w:pos="-420"/>
        </w:tabs>
        <w:ind w:left="754" w:hanging="420"/>
      </w:pPr>
    </w:lvl>
    <w:lvl w:ilvl="6" w:tentative="0">
      <w:start w:val="1"/>
      <w:numFmt w:val="decimal"/>
      <w:lvlText w:val="%7."/>
      <w:lvlJc w:val="left"/>
      <w:pPr>
        <w:tabs>
          <w:tab w:val="left" w:pos="-420"/>
        </w:tabs>
        <w:ind w:left="1174" w:hanging="420"/>
      </w:pPr>
    </w:lvl>
    <w:lvl w:ilvl="7" w:tentative="0">
      <w:start w:val="1"/>
      <w:numFmt w:val="lowerLetter"/>
      <w:lvlText w:val="%8)"/>
      <w:lvlJc w:val="left"/>
      <w:pPr>
        <w:tabs>
          <w:tab w:val="left" w:pos="-420"/>
        </w:tabs>
        <w:ind w:left="1594" w:hanging="420"/>
      </w:pPr>
    </w:lvl>
    <w:lvl w:ilvl="8" w:tentative="0">
      <w:start w:val="1"/>
      <w:numFmt w:val="lowerRoman"/>
      <w:lvlText w:val="%9."/>
      <w:lvlJc w:val="right"/>
      <w:pPr>
        <w:tabs>
          <w:tab w:val="left" w:pos="-420"/>
        </w:tabs>
        <w:ind w:left="2014" w:hanging="420"/>
      </w:pPr>
    </w:lvl>
  </w:abstractNum>
  <w:abstractNum w:abstractNumId="55">
    <w:nsid w:val="168D5B0C"/>
    <w:multiLevelType w:val="multilevel"/>
    <w:tmpl w:val="168D5B0C"/>
    <w:lvl w:ilvl="0" w:tentative="0">
      <w:start w:val="1"/>
      <w:numFmt w:val="lowerLetter"/>
      <w:lvlText w:val="%1)"/>
      <w:lvlJc w:val="left"/>
      <w:pPr>
        <w:tabs>
          <w:tab w:val="left" w:pos="-420"/>
        </w:tabs>
        <w:ind w:left="710" w:hanging="420"/>
      </w:pPr>
      <w:rPr>
        <w:rFonts w:hint="eastAsia" w:cs="Times New Roman"/>
      </w:rPr>
    </w:lvl>
    <w:lvl w:ilvl="1" w:tentative="0">
      <w:start w:val="1"/>
      <w:numFmt w:val="lowerLetter"/>
      <w:lvlText w:val="%2)"/>
      <w:lvlJc w:val="left"/>
      <w:pPr>
        <w:tabs>
          <w:tab w:val="left" w:pos="-420"/>
        </w:tabs>
        <w:ind w:left="-926" w:hanging="420"/>
      </w:pPr>
    </w:lvl>
    <w:lvl w:ilvl="2" w:tentative="0">
      <w:start w:val="1"/>
      <w:numFmt w:val="lowerRoman"/>
      <w:lvlText w:val="%3."/>
      <w:lvlJc w:val="right"/>
      <w:pPr>
        <w:tabs>
          <w:tab w:val="left" w:pos="-420"/>
        </w:tabs>
        <w:ind w:left="-506" w:hanging="420"/>
      </w:pPr>
    </w:lvl>
    <w:lvl w:ilvl="3" w:tentative="0">
      <w:start w:val="1"/>
      <w:numFmt w:val="decimal"/>
      <w:lvlText w:val="%4."/>
      <w:lvlJc w:val="left"/>
      <w:pPr>
        <w:tabs>
          <w:tab w:val="left" w:pos="-420"/>
        </w:tabs>
        <w:ind w:left="-86" w:hanging="420"/>
      </w:pPr>
    </w:lvl>
    <w:lvl w:ilvl="4" w:tentative="0">
      <w:start w:val="1"/>
      <w:numFmt w:val="lowerLetter"/>
      <w:lvlText w:val="%5)"/>
      <w:lvlJc w:val="left"/>
      <w:pPr>
        <w:tabs>
          <w:tab w:val="left" w:pos="-420"/>
        </w:tabs>
        <w:ind w:left="334" w:hanging="420"/>
      </w:pPr>
    </w:lvl>
    <w:lvl w:ilvl="5" w:tentative="0">
      <w:start w:val="1"/>
      <w:numFmt w:val="lowerRoman"/>
      <w:lvlText w:val="%6."/>
      <w:lvlJc w:val="right"/>
      <w:pPr>
        <w:tabs>
          <w:tab w:val="left" w:pos="-420"/>
        </w:tabs>
        <w:ind w:left="754" w:hanging="420"/>
      </w:pPr>
    </w:lvl>
    <w:lvl w:ilvl="6" w:tentative="0">
      <w:start w:val="1"/>
      <w:numFmt w:val="decimal"/>
      <w:lvlText w:val="%7."/>
      <w:lvlJc w:val="left"/>
      <w:pPr>
        <w:tabs>
          <w:tab w:val="left" w:pos="-420"/>
        </w:tabs>
        <w:ind w:left="1174" w:hanging="420"/>
      </w:pPr>
    </w:lvl>
    <w:lvl w:ilvl="7" w:tentative="0">
      <w:start w:val="1"/>
      <w:numFmt w:val="lowerLetter"/>
      <w:lvlText w:val="%8)"/>
      <w:lvlJc w:val="left"/>
      <w:pPr>
        <w:tabs>
          <w:tab w:val="left" w:pos="-420"/>
        </w:tabs>
        <w:ind w:left="1594" w:hanging="420"/>
      </w:pPr>
    </w:lvl>
    <w:lvl w:ilvl="8" w:tentative="0">
      <w:start w:val="1"/>
      <w:numFmt w:val="lowerRoman"/>
      <w:lvlText w:val="%9."/>
      <w:lvlJc w:val="right"/>
      <w:pPr>
        <w:tabs>
          <w:tab w:val="left" w:pos="-420"/>
        </w:tabs>
        <w:ind w:left="2014" w:hanging="420"/>
      </w:pPr>
    </w:lvl>
  </w:abstractNum>
  <w:abstractNum w:abstractNumId="56">
    <w:nsid w:val="16D512CB"/>
    <w:multiLevelType w:val="multilevel"/>
    <w:tmpl w:val="16D512CB"/>
    <w:lvl w:ilvl="0" w:tentative="0">
      <w:start w:val="1"/>
      <w:numFmt w:val="decimal"/>
      <w:lvlText w:val="%1."/>
      <w:lvlJc w:val="left"/>
      <w:pPr>
        <w:ind w:left="425" w:hanging="425"/>
      </w:pPr>
    </w:lvl>
    <w:lvl w:ilvl="1" w:tentative="0">
      <w:start w:val="1"/>
      <w:numFmt w:val="decimal"/>
      <w:lvlText w:val="%2)"/>
      <w:lvlJc w:val="left"/>
      <w:pPr>
        <w:ind w:left="567" w:hanging="567"/>
      </w:pPr>
      <w:rPr>
        <w:rFonts w:hint="default" w:ascii="Times New Roman" w:hAnsi="Times New Roman" w:eastAsia="宋体" w:cs="Times New Roman"/>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57">
    <w:nsid w:val="17EE4304"/>
    <w:multiLevelType w:val="multilevel"/>
    <w:tmpl w:val="17EE4304"/>
    <w:lvl w:ilvl="0" w:tentative="0">
      <w:start w:val="1"/>
      <w:numFmt w:val="lowerLetter"/>
      <w:lvlText w:val="%1)"/>
      <w:lvlJc w:val="left"/>
      <w:pPr>
        <w:tabs>
          <w:tab w:val="left" w:pos="-420"/>
        </w:tabs>
        <w:ind w:left="758" w:hanging="420"/>
      </w:pPr>
      <w:rPr>
        <w:rFonts w:hint="eastAsia" w:cs="Times New Roman"/>
      </w:rPr>
    </w:lvl>
    <w:lvl w:ilvl="1" w:tentative="0">
      <w:start w:val="1"/>
      <w:numFmt w:val="lowerLetter"/>
      <w:lvlText w:val="%2)"/>
      <w:lvlJc w:val="left"/>
      <w:pPr>
        <w:tabs>
          <w:tab w:val="left" w:pos="-420"/>
        </w:tabs>
        <w:ind w:left="-1068" w:hanging="420"/>
      </w:pPr>
    </w:lvl>
    <w:lvl w:ilvl="2" w:tentative="0">
      <w:start w:val="1"/>
      <w:numFmt w:val="lowerRoman"/>
      <w:lvlText w:val="%3."/>
      <w:lvlJc w:val="right"/>
      <w:pPr>
        <w:tabs>
          <w:tab w:val="left" w:pos="-420"/>
        </w:tabs>
        <w:ind w:left="-648" w:hanging="420"/>
      </w:pPr>
    </w:lvl>
    <w:lvl w:ilvl="3" w:tentative="0">
      <w:start w:val="1"/>
      <w:numFmt w:val="decimal"/>
      <w:lvlText w:val="%4."/>
      <w:lvlJc w:val="left"/>
      <w:pPr>
        <w:tabs>
          <w:tab w:val="left" w:pos="-420"/>
        </w:tabs>
        <w:ind w:left="-228" w:hanging="420"/>
      </w:pPr>
    </w:lvl>
    <w:lvl w:ilvl="4" w:tentative="0">
      <w:start w:val="1"/>
      <w:numFmt w:val="lowerLetter"/>
      <w:lvlText w:val="%5)"/>
      <w:lvlJc w:val="left"/>
      <w:pPr>
        <w:tabs>
          <w:tab w:val="left" w:pos="-420"/>
        </w:tabs>
        <w:ind w:left="192" w:hanging="420"/>
      </w:pPr>
    </w:lvl>
    <w:lvl w:ilvl="5" w:tentative="0">
      <w:start w:val="1"/>
      <w:numFmt w:val="lowerRoman"/>
      <w:lvlText w:val="%6."/>
      <w:lvlJc w:val="right"/>
      <w:pPr>
        <w:tabs>
          <w:tab w:val="left" w:pos="-420"/>
        </w:tabs>
        <w:ind w:left="612" w:hanging="420"/>
      </w:pPr>
    </w:lvl>
    <w:lvl w:ilvl="6" w:tentative="0">
      <w:start w:val="1"/>
      <w:numFmt w:val="decimal"/>
      <w:lvlText w:val="%7."/>
      <w:lvlJc w:val="left"/>
      <w:pPr>
        <w:tabs>
          <w:tab w:val="left" w:pos="-420"/>
        </w:tabs>
        <w:ind w:left="1032" w:hanging="420"/>
      </w:pPr>
    </w:lvl>
    <w:lvl w:ilvl="7" w:tentative="0">
      <w:start w:val="1"/>
      <w:numFmt w:val="lowerLetter"/>
      <w:lvlText w:val="%8)"/>
      <w:lvlJc w:val="left"/>
      <w:pPr>
        <w:tabs>
          <w:tab w:val="left" w:pos="-420"/>
        </w:tabs>
        <w:ind w:left="1452" w:hanging="420"/>
      </w:pPr>
    </w:lvl>
    <w:lvl w:ilvl="8" w:tentative="0">
      <w:start w:val="1"/>
      <w:numFmt w:val="lowerRoman"/>
      <w:lvlText w:val="%9."/>
      <w:lvlJc w:val="right"/>
      <w:pPr>
        <w:tabs>
          <w:tab w:val="left" w:pos="-420"/>
        </w:tabs>
        <w:ind w:left="1872" w:hanging="420"/>
      </w:pPr>
    </w:lvl>
  </w:abstractNum>
  <w:abstractNum w:abstractNumId="58">
    <w:nsid w:val="180643FA"/>
    <w:multiLevelType w:val="multilevel"/>
    <w:tmpl w:val="180643FA"/>
    <w:lvl w:ilvl="0" w:tentative="0">
      <w:start w:val="1"/>
      <w:numFmt w:val="lowerLetter"/>
      <w:lvlText w:val="%1)"/>
      <w:lvlJc w:val="left"/>
      <w:pPr>
        <w:tabs>
          <w:tab w:val="left" w:pos="-840"/>
        </w:tabs>
        <w:ind w:left="480" w:hanging="420"/>
      </w:pPr>
      <w:rPr>
        <w:rFonts w:hint="eastAsia" w:cs="Times New Roman"/>
      </w:rPr>
    </w:lvl>
    <w:lvl w:ilvl="1" w:tentative="0">
      <w:start w:val="1"/>
      <w:numFmt w:val="lowerLetter"/>
      <w:lvlText w:val="%2)"/>
      <w:lvlJc w:val="left"/>
      <w:pPr>
        <w:tabs>
          <w:tab w:val="left" w:pos="-840"/>
        </w:tabs>
        <w:ind w:left="-1346" w:hanging="420"/>
      </w:pPr>
    </w:lvl>
    <w:lvl w:ilvl="2" w:tentative="0">
      <w:start w:val="1"/>
      <w:numFmt w:val="lowerRoman"/>
      <w:lvlText w:val="%3."/>
      <w:lvlJc w:val="right"/>
      <w:pPr>
        <w:tabs>
          <w:tab w:val="left" w:pos="-840"/>
        </w:tabs>
        <w:ind w:left="-926" w:hanging="420"/>
      </w:pPr>
    </w:lvl>
    <w:lvl w:ilvl="3" w:tentative="0">
      <w:start w:val="1"/>
      <w:numFmt w:val="decimal"/>
      <w:lvlText w:val="%4."/>
      <w:lvlJc w:val="left"/>
      <w:pPr>
        <w:tabs>
          <w:tab w:val="left" w:pos="-840"/>
        </w:tabs>
        <w:ind w:left="-506" w:hanging="420"/>
      </w:pPr>
    </w:lvl>
    <w:lvl w:ilvl="4" w:tentative="0">
      <w:start w:val="1"/>
      <w:numFmt w:val="lowerLetter"/>
      <w:lvlText w:val="%5)"/>
      <w:lvlJc w:val="left"/>
      <w:pPr>
        <w:tabs>
          <w:tab w:val="left" w:pos="-840"/>
        </w:tabs>
        <w:ind w:left="-86" w:hanging="420"/>
      </w:pPr>
    </w:lvl>
    <w:lvl w:ilvl="5" w:tentative="0">
      <w:start w:val="1"/>
      <w:numFmt w:val="lowerRoman"/>
      <w:lvlText w:val="%6."/>
      <w:lvlJc w:val="right"/>
      <w:pPr>
        <w:tabs>
          <w:tab w:val="left" w:pos="-840"/>
        </w:tabs>
        <w:ind w:left="334" w:hanging="420"/>
      </w:pPr>
    </w:lvl>
    <w:lvl w:ilvl="6" w:tentative="0">
      <w:start w:val="1"/>
      <w:numFmt w:val="decimal"/>
      <w:lvlText w:val="%7."/>
      <w:lvlJc w:val="left"/>
      <w:pPr>
        <w:tabs>
          <w:tab w:val="left" w:pos="-840"/>
        </w:tabs>
        <w:ind w:left="754" w:hanging="420"/>
      </w:pPr>
    </w:lvl>
    <w:lvl w:ilvl="7" w:tentative="0">
      <w:start w:val="1"/>
      <w:numFmt w:val="lowerLetter"/>
      <w:lvlText w:val="%8)"/>
      <w:lvlJc w:val="left"/>
      <w:pPr>
        <w:tabs>
          <w:tab w:val="left" w:pos="-840"/>
        </w:tabs>
        <w:ind w:left="1174" w:hanging="420"/>
      </w:pPr>
    </w:lvl>
    <w:lvl w:ilvl="8" w:tentative="0">
      <w:start w:val="1"/>
      <w:numFmt w:val="lowerRoman"/>
      <w:lvlText w:val="%9."/>
      <w:lvlJc w:val="right"/>
      <w:pPr>
        <w:tabs>
          <w:tab w:val="left" w:pos="-840"/>
        </w:tabs>
        <w:ind w:left="1594" w:hanging="420"/>
      </w:pPr>
    </w:lvl>
  </w:abstractNum>
  <w:abstractNum w:abstractNumId="59">
    <w:nsid w:val="1808286B"/>
    <w:multiLevelType w:val="multilevel"/>
    <w:tmpl w:val="1808286B"/>
    <w:lvl w:ilvl="0" w:tentative="0">
      <w:start w:val="1"/>
      <w:numFmt w:val="decimal"/>
      <w:lvlText w:val="%1）"/>
      <w:lvlJc w:val="right"/>
      <w:pPr>
        <w:tabs>
          <w:tab w:val="left" w:pos="-420"/>
        </w:tabs>
        <w:ind w:left="480" w:hanging="420"/>
      </w:pPr>
      <w:rPr>
        <w:rFonts w:hint="eastAsia"/>
      </w:rPr>
    </w:lvl>
    <w:lvl w:ilvl="1" w:tentative="0">
      <w:start w:val="1"/>
      <w:numFmt w:val="lowerLetter"/>
      <w:lvlText w:val="%2)"/>
      <w:lvlJc w:val="left"/>
      <w:pPr>
        <w:tabs>
          <w:tab w:val="left" w:pos="-420"/>
        </w:tabs>
        <w:ind w:left="900" w:hanging="420"/>
      </w:pPr>
    </w:lvl>
    <w:lvl w:ilvl="2" w:tentative="0">
      <w:start w:val="1"/>
      <w:numFmt w:val="lowerRoman"/>
      <w:lvlText w:val="%3."/>
      <w:lvlJc w:val="right"/>
      <w:pPr>
        <w:tabs>
          <w:tab w:val="left" w:pos="-420"/>
        </w:tabs>
        <w:ind w:left="1320" w:hanging="420"/>
      </w:pPr>
    </w:lvl>
    <w:lvl w:ilvl="3" w:tentative="0">
      <w:start w:val="1"/>
      <w:numFmt w:val="decimal"/>
      <w:lvlText w:val="%4."/>
      <w:lvlJc w:val="left"/>
      <w:pPr>
        <w:tabs>
          <w:tab w:val="left" w:pos="-420"/>
        </w:tabs>
        <w:ind w:left="1740" w:hanging="420"/>
      </w:pPr>
    </w:lvl>
    <w:lvl w:ilvl="4" w:tentative="0">
      <w:start w:val="1"/>
      <w:numFmt w:val="lowerLetter"/>
      <w:lvlText w:val="%5)"/>
      <w:lvlJc w:val="left"/>
      <w:pPr>
        <w:tabs>
          <w:tab w:val="left" w:pos="-420"/>
        </w:tabs>
        <w:ind w:left="2160" w:hanging="420"/>
      </w:pPr>
    </w:lvl>
    <w:lvl w:ilvl="5" w:tentative="0">
      <w:start w:val="1"/>
      <w:numFmt w:val="lowerRoman"/>
      <w:lvlText w:val="%6."/>
      <w:lvlJc w:val="right"/>
      <w:pPr>
        <w:tabs>
          <w:tab w:val="left" w:pos="-420"/>
        </w:tabs>
        <w:ind w:left="2580" w:hanging="420"/>
      </w:pPr>
    </w:lvl>
    <w:lvl w:ilvl="6" w:tentative="0">
      <w:start w:val="1"/>
      <w:numFmt w:val="decimal"/>
      <w:lvlText w:val="%7."/>
      <w:lvlJc w:val="left"/>
      <w:pPr>
        <w:tabs>
          <w:tab w:val="left" w:pos="-420"/>
        </w:tabs>
        <w:ind w:left="3000" w:hanging="420"/>
      </w:pPr>
    </w:lvl>
    <w:lvl w:ilvl="7" w:tentative="0">
      <w:start w:val="1"/>
      <w:numFmt w:val="lowerLetter"/>
      <w:lvlText w:val="%8)"/>
      <w:lvlJc w:val="left"/>
      <w:pPr>
        <w:tabs>
          <w:tab w:val="left" w:pos="-420"/>
        </w:tabs>
        <w:ind w:left="3420" w:hanging="420"/>
      </w:pPr>
    </w:lvl>
    <w:lvl w:ilvl="8" w:tentative="0">
      <w:start w:val="1"/>
      <w:numFmt w:val="lowerRoman"/>
      <w:lvlText w:val="%9."/>
      <w:lvlJc w:val="right"/>
      <w:pPr>
        <w:tabs>
          <w:tab w:val="left" w:pos="-420"/>
        </w:tabs>
        <w:ind w:left="3840" w:hanging="420"/>
      </w:pPr>
    </w:lvl>
  </w:abstractNum>
  <w:abstractNum w:abstractNumId="60">
    <w:nsid w:val="18244A1F"/>
    <w:multiLevelType w:val="multilevel"/>
    <w:tmpl w:val="18244A1F"/>
    <w:lvl w:ilvl="0" w:tentative="0">
      <w:start w:val="1"/>
      <w:numFmt w:val="decimal"/>
      <w:lvlText w:val="%1."/>
      <w:lvlJc w:val="left"/>
      <w:pPr>
        <w:ind w:left="425" w:hanging="425"/>
      </w:pPr>
    </w:lvl>
    <w:lvl w:ilvl="1" w:tentative="0">
      <w:start w:val="1"/>
      <w:numFmt w:val="decimal"/>
      <w:lvlText w:val="%2)"/>
      <w:lvlJc w:val="left"/>
      <w:pPr>
        <w:ind w:left="567" w:hanging="567"/>
      </w:pPr>
      <w:rPr>
        <w:rFonts w:hint="default" w:ascii="Times New Roman" w:hAnsi="Times New Roman" w:eastAsia="宋体" w:cs="Times New Roman"/>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61">
    <w:nsid w:val="18261C56"/>
    <w:multiLevelType w:val="multilevel"/>
    <w:tmpl w:val="18261C56"/>
    <w:lvl w:ilvl="0" w:tentative="0">
      <w:start w:val="1"/>
      <w:numFmt w:val="decimal"/>
      <w:lvlText w:val="%1）"/>
      <w:lvlJc w:val="right"/>
      <w:pPr>
        <w:tabs>
          <w:tab w:val="left" w:pos="-420"/>
        </w:tabs>
        <w:ind w:left="480" w:hanging="420"/>
      </w:pPr>
      <w:rPr>
        <w:rFonts w:hint="eastAsia"/>
      </w:rPr>
    </w:lvl>
    <w:lvl w:ilvl="1" w:tentative="0">
      <w:start w:val="1"/>
      <w:numFmt w:val="lowerLetter"/>
      <w:lvlText w:val="%2)"/>
      <w:lvlJc w:val="left"/>
      <w:pPr>
        <w:tabs>
          <w:tab w:val="left" w:pos="-420"/>
        </w:tabs>
        <w:ind w:left="900" w:hanging="420"/>
      </w:pPr>
    </w:lvl>
    <w:lvl w:ilvl="2" w:tentative="0">
      <w:start w:val="1"/>
      <w:numFmt w:val="lowerRoman"/>
      <w:lvlText w:val="%3."/>
      <w:lvlJc w:val="right"/>
      <w:pPr>
        <w:tabs>
          <w:tab w:val="left" w:pos="-420"/>
        </w:tabs>
        <w:ind w:left="1320" w:hanging="420"/>
      </w:pPr>
    </w:lvl>
    <w:lvl w:ilvl="3" w:tentative="0">
      <w:start w:val="1"/>
      <w:numFmt w:val="decimal"/>
      <w:lvlText w:val="%4."/>
      <w:lvlJc w:val="left"/>
      <w:pPr>
        <w:tabs>
          <w:tab w:val="left" w:pos="-420"/>
        </w:tabs>
        <w:ind w:left="1740" w:hanging="420"/>
      </w:pPr>
    </w:lvl>
    <w:lvl w:ilvl="4" w:tentative="0">
      <w:start w:val="1"/>
      <w:numFmt w:val="lowerLetter"/>
      <w:lvlText w:val="%5)"/>
      <w:lvlJc w:val="left"/>
      <w:pPr>
        <w:tabs>
          <w:tab w:val="left" w:pos="-420"/>
        </w:tabs>
        <w:ind w:left="2160" w:hanging="420"/>
      </w:pPr>
    </w:lvl>
    <w:lvl w:ilvl="5" w:tentative="0">
      <w:start w:val="1"/>
      <w:numFmt w:val="lowerRoman"/>
      <w:lvlText w:val="%6."/>
      <w:lvlJc w:val="right"/>
      <w:pPr>
        <w:tabs>
          <w:tab w:val="left" w:pos="-420"/>
        </w:tabs>
        <w:ind w:left="2580" w:hanging="420"/>
      </w:pPr>
    </w:lvl>
    <w:lvl w:ilvl="6" w:tentative="0">
      <w:start w:val="1"/>
      <w:numFmt w:val="decimal"/>
      <w:lvlText w:val="%7."/>
      <w:lvlJc w:val="left"/>
      <w:pPr>
        <w:tabs>
          <w:tab w:val="left" w:pos="-420"/>
        </w:tabs>
        <w:ind w:left="3000" w:hanging="420"/>
      </w:pPr>
    </w:lvl>
    <w:lvl w:ilvl="7" w:tentative="0">
      <w:start w:val="1"/>
      <w:numFmt w:val="lowerLetter"/>
      <w:lvlText w:val="%8)"/>
      <w:lvlJc w:val="left"/>
      <w:pPr>
        <w:tabs>
          <w:tab w:val="left" w:pos="-420"/>
        </w:tabs>
        <w:ind w:left="3420" w:hanging="420"/>
      </w:pPr>
    </w:lvl>
    <w:lvl w:ilvl="8" w:tentative="0">
      <w:start w:val="1"/>
      <w:numFmt w:val="lowerRoman"/>
      <w:lvlText w:val="%9."/>
      <w:lvlJc w:val="right"/>
      <w:pPr>
        <w:tabs>
          <w:tab w:val="left" w:pos="-420"/>
        </w:tabs>
        <w:ind w:left="3840" w:hanging="420"/>
      </w:pPr>
    </w:lvl>
  </w:abstractNum>
  <w:abstractNum w:abstractNumId="62">
    <w:nsid w:val="184951A9"/>
    <w:multiLevelType w:val="multilevel"/>
    <w:tmpl w:val="184951A9"/>
    <w:lvl w:ilvl="0" w:tentative="0">
      <w:start w:val="1"/>
      <w:numFmt w:val="decimal"/>
      <w:lvlText w:val="%1."/>
      <w:lvlJc w:val="left"/>
      <w:pPr>
        <w:ind w:left="425" w:hanging="425"/>
      </w:pPr>
    </w:lvl>
    <w:lvl w:ilvl="1" w:tentative="0">
      <w:start w:val="1"/>
      <w:numFmt w:val="decimal"/>
      <w:lvlText w:val="%2)"/>
      <w:lvlJc w:val="left"/>
      <w:pPr>
        <w:ind w:left="567" w:hanging="567"/>
      </w:pPr>
      <w:rPr>
        <w:rFonts w:hint="default" w:ascii="Times New Roman" w:hAnsi="Times New Roman" w:eastAsia="宋体" w:cs="Times New Roman"/>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63">
    <w:nsid w:val="184C43DD"/>
    <w:multiLevelType w:val="multilevel"/>
    <w:tmpl w:val="184C43DD"/>
    <w:lvl w:ilvl="0" w:tentative="0">
      <w:start w:val="1"/>
      <w:numFmt w:val="decimal"/>
      <w:lvlText w:val="%1)"/>
      <w:lvlJc w:val="left"/>
      <w:pPr>
        <w:tabs>
          <w:tab w:val="left" w:pos="-420"/>
        </w:tabs>
        <w:ind w:left="0" w:hanging="420"/>
      </w:pPr>
    </w:lvl>
    <w:lvl w:ilvl="1" w:tentative="0">
      <w:start w:val="1"/>
      <w:numFmt w:val="lowerLetter"/>
      <w:lvlText w:val="%2)"/>
      <w:lvlJc w:val="left"/>
      <w:pPr>
        <w:tabs>
          <w:tab w:val="left" w:pos="-420"/>
        </w:tabs>
        <w:ind w:left="420" w:hanging="420"/>
      </w:pPr>
    </w:lvl>
    <w:lvl w:ilvl="2" w:tentative="0">
      <w:start w:val="1"/>
      <w:numFmt w:val="lowerRoman"/>
      <w:lvlText w:val="%3."/>
      <w:lvlJc w:val="right"/>
      <w:pPr>
        <w:tabs>
          <w:tab w:val="left" w:pos="-420"/>
        </w:tabs>
        <w:ind w:left="840" w:hanging="420"/>
      </w:pPr>
    </w:lvl>
    <w:lvl w:ilvl="3" w:tentative="0">
      <w:start w:val="1"/>
      <w:numFmt w:val="decimal"/>
      <w:lvlText w:val="%4."/>
      <w:lvlJc w:val="left"/>
      <w:pPr>
        <w:tabs>
          <w:tab w:val="left" w:pos="-420"/>
        </w:tabs>
        <w:ind w:left="1260" w:hanging="420"/>
      </w:pPr>
    </w:lvl>
    <w:lvl w:ilvl="4" w:tentative="0">
      <w:start w:val="1"/>
      <w:numFmt w:val="lowerLetter"/>
      <w:lvlText w:val="%5)"/>
      <w:lvlJc w:val="left"/>
      <w:pPr>
        <w:tabs>
          <w:tab w:val="left" w:pos="-420"/>
        </w:tabs>
        <w:ind w:left="1680" w:hanging="420"/>
      </w:pPr>
    </w:lvl>
    <w:lvl w:ilvl="5" w:tentative="0">
      <w:start w:val="1"/>
      <w:numFmt w:val="lowerRoman"/>
      <w:lvlText w:val="%6."/>
      <w:lvlJc w:val="right"/>
      <w:pPr>
        <w:tabs>
          <w:tab w:val="left" w:pos="-420"/>
        </w:tabs>
        <w:ind w:left="2100" w:hanging="420"/>
      </w:pPr>
    </w:lvl>
    <w:lvl w:ilvl="6" w:tentative="0">
      <w:start w:val="1"/>
      <w:numFmt w:val="decimal"/>
      <w:lvlText w:val="%7."/>
      <w:lvlJc w:val="left"/>
      <w:pPr>
        <w:tabs>
          <w:tab w:val="left" w:pos="-420"/>
        </w:tabs>
        <w:ind w:left="2520" w:hanging="420"/>
      </w:pPr>
    </w:lvl>
    <w:lvl w:ilvl="7" w:tentative="0">
      <w:start w:val="1"/>
      <w:numFmt w:val="lowerLetter"/>
      <w:lvlText w:val="%8)"/>
      <w:lvlJc w:val="left"/>
      <w:pPr>
        <w:tabs>
          <w:tab w:val="left" w:pos="-420"/>
        </w:tabs>
        <w:ind w:left="2940" w:hanging="420"/>
      </w:pPr>
    </w:lvl>
    <w:lvl w:ilvl="8" w:tentative="0">
      <w:start w:val="1"/>
      <w:numFmt w:val="lowerRoman"/>
      <w:lvlText w:val="%9."/>
      <w:lvlJc w:val="right"/>
      <w:pPr>
        <w:tabs>
          <w:tab w:val="left" w:pos="-420"/>
        </w:tabs>
        <w:ind w:left="3360" w:hanging="420"/>
      </w:pPr>
    </w:lvl>
  </w:abstractNum>
  <w:abstractNum w:abstractNumId="64">
    <w:nsid w:val="1D667CD9"/>
    <w:multiLevelType w:val="multilevel"/>
    <w:tmpl w:val="1D667CD9"/>
    <w:lvl w:ilvl="0" w:tentative="0">
      <w:start w:val="1"/>
      <w:numFmt w:val="decimal"/>
      <w:lvlText w:val="%1."/>
      <w:lvlJc w:val="left"/>
      <w:pPr>
        <w:ind w:left="425" w:hanging="425"/>
      </w:pPr>
    </w:lvl>
    <w:lvl w:ilvl="1" w:tentative="0">
      <w:start w:val="1"/>
      <w:numFmt w:val="decimal"/>
      <w:lvlText w:val="%2)"/>
      <w:lvlJc w:val="left"/>
      <w:pPr>
        <w:ind w:left="567" w:hanging="567"/>
      </w:pPr>
      <w:rPr>
        <w:rFonts w:hint="default" w:ascii="Times New Roman" w:hAnsi="Times New Roman" w:eastAsia="宋体" w:cs="Times New Roman"/>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65">
    <w:nsid w:val="1EA6757A"/>
    <w:multiLevelType w:val="multilevel"/>
    <w:tmpl w:val="1EA6757A"/>
    <w:lvl w:ilvl="0" w:tentative="0">
      <w:start w:val="1"/>
      <w:numFmt w:val="decimal"/>
      <w:lvlText w:val="%1."/>
      <w:lvlJc w:val="left"/>
      <w:pPr>
        <w:ind w:left="425" w:hanging="425"/>
      </w:pPr>
    </w:lvl>
    <w:lvl w:ilvl="1" w:tentative="0">
      <w:start w:val="1"/>
      <w:numFmt w:val="decimal"/>
      <w:lvlText w:val="%2)"/>
      <w:lvlJc w:val="left"/>
      <w:pPr>
        <w:ind w:left="567" w:hanging="567"/>
      </w:pPr>
      <w:rPr>
        <w:rFonts w:hint="default" w:ascii="Times New Roman" w:hAnsi="Times New Roman" w:eastAsia="宋体" w:cs="Times New Roman"/>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66">
    <w:nsid w:val="1F390958"/>
    <w:multiLevelType w:val="multilevel"/>
    <w:tmpl w:val="1F390958"/>
    <w:lvl w:ilvl="0" w:tentative="0">
      <w:start w:val="1"/>
      <w:numFmt w:val="lowerLetter"/>
      <w:lvlText w:val="%1)"/>
      <w:lvlJc w:val="left"/>
      <w:pPr>
        <w:ind w:left="1178" w:hanging="420"/>
      </w:pPr>
      <w:rPr>
        <w:rFonts w:hint="eastAsia" w:cs="Times New Roman"/>
      </w:rPr>
    </w:lvl>
    <w:lvl w:ilvl="1" w:tentative="0">
      <w:start w:val="1"/>
      <w:numFmt w:val="lowerLetter"/>
      <w:lvlText w:val="%2)"/>
      <w:lvlJc w:val="left"/>
      <w:pPr>
        <w:ind w:left="-648" w:hanging="420"/>
      </w:pPr>
    </w:lvl>
    <w:lvl w:ilvl="2" w:tentative="0">
      <w:start w:val="1"/>
      <w:numFmt w:val="lowerRoman"/>
      <w:lvlText w:val="%3."/>
      <w:lvlJc w:val="right"/>
      <w:pPr>
        <w:ind w:left="-228" w:hanging="420"/>
      </w:pPr>
    </w:lvl>
    <w:lvl w:ilvl="3" w:tentative="0">
      <w:start w:val="1"/>
      <w:numFmt w:val="decimal"/>
      <w:lvlText w:val="%4."/>
      <w:lvlJc w:val="left"/>
      <w:pPr>
        <w:ind w:left="192" w:hanging="420"/>
      </w:pPr>
    </w:lvl>
    <w:lvl w:ilvl="4" w:tentative="0">
      <w:start w:val="1"/>
      <w:numFmt w:val="lowerLetter"/>
      <w:lvlText w:val="%5)"/>
      <w:lvlJc w:val="left"/>
      <w:pPr>
        <w:ind w:left="612" w:hanging="420"/>
      </w:pPr>
    </w:lvl>
    <w:lvl w:ilvl="5" w:tentative="0">
      <w:start w:val="1"/>
      <w:numFmt w:val="lowerRoman"/>
      <w:lvlText w:val="%6."/>
      <w:lvlJc w:val="right"/>
      <w:pPr>
        <w:ind w:left="1032" w:hanging="420"/>
      </w:pPr>
    </w:lvl>
    <w:lvl w:ilvl="6" w:tentative="0">
      <w:start w:val="1"/>
      <w:numFmt w:val="decimal"/>
      <w:lvlText w:val="%7."/>
      <w:lvlJc w:val="left"/>
      <w:pPr>
        <w:ind w:left="1452" w:hanging="420"/>
      </w:pPr>
    </w:lvl>
    <w:lvl w:ilvl="7" w:tentative="0">
      <w:start w:val="1"/>
      <w:numFmt w:val="lowerLetter"/>
      <w:lvlText w:val="%8)"/>
      <w:lvlJc w:val="left"/>
      <w:pPr>
        <w:ind w:left="1872" w:hanging="420"/>
      </w:pPr>
    </w:lvl>
    <w:lvl w:ilvl="8" w:tentative="0">
      <w:start w:val="1"/>
      <w:numFmt w:val="lowerRoman"/>
      <w:lvlText w:val="%9."/>
      <w:lvlJc w:val="right"/>
      <w:pPr>
        <w:ind w:left="2292" w:hanging="420"/>
      </w:pPr>
    </w:lvl>
  </w:abstractNum>
  <w:abstractNum w:abstractNumId="67">
    <w:nsid w:val="1F663EE9"/>
    <w:multiLevelType w:val="multilevel"/>
    <w:tmpl w:val="1F663EE9"/>
    <w:lvl w:ilvl="0" w:tentative="0">
      <w:start w:val="1"/>
      <w:numFmt w:val="lowerLetter"/>
      <w:lvlText w:val="%1)"/>
      <w:lvlJc w:val="left"/>
      <w:pPr>
        <w:ind w:left="1178" w:hanging="420"/>
      </w:pPr>
      <w:rPr>
        <w:rFonts w:hint="eastAsia" w:cs="Times New Roman"/>
      </w:rPr>
    </w:lvl>
    <w:lvl w:ilvl="1" w:tentative="0">
      <w:start w:val="1"/>
      <w:numFmt w:val="lowerLetter"/>
      <w:lvlText w:val="%2)"/>
      <w:lvlJc w:val="left"/>
      <w:pPr>
        <w:ind w:left="-648" w:hanging="420"/>
      </w:pPr>
      <w:rPr>
        <w:rFonts w:hint="eastAsia"/>
      </w:rPr>
    </w:lvl>
    <w:lvl w:ilvl="2" w:tentative="0">
      <w:start w:val="1"/>
      <w:numFmt w:val="lowerRoman"/>
      <w:lvlText w:val="%3."/>
      <w:lvlJc w:val="right"/>
      <w:pPr>
        <w:ind w:left="-228" w:hanging="420"/>
      </w:pPr>
      <w:rPr>
        <w:rFonts w:hint="eastAsia"/>
      </w:rPr>
    </w:lvl>
    <w:lvl w:ilvl="3" w:tentative="0">
      <w:start w:val="1"/>
      <w:numFmt w:val="decimal"/>
      <w:lvlText w:val="%4."/>
      <w:lvlJc w:val="left"/>
      <w:pPr>
        <w:ind w:left="192" w:hanging="420"/>
      </w:pPr>
      <w:rPr>
        <w:rFonts w:hint="eastAsia"/>
      </w:rPr>
    </w:lvl>
    <w:lvl w:ilvl="4" w:tentative="0">
      <w:start w:val="1"/>
      <w:numFmt w:val="lowerLetter"/>
      <w:lvlText w:val="%5)"/>
      <w:lvlJc w:val="left"/>
      <w:pPr>
        <w:ind w:left="612" w:hanging="420"/>
      </w:pPr>
      <w:rPr>
        <w:rFonts w:hint="eastAsia"/>
      </w:rPr>
    </w:lvl>
    <w:lvl w:ilvl="5" w:tentative="0">
      <w:start w:val="1"/>
      <w:numFmt w:val="lowerRoman"/>
      <w:lvlText w:val="%6."/>
      <w:lvlJc w:val="right"/>
      <w:pPr>
        <w:ind w:left="1032" w:hanging="420"/>
      </w:pPr>
      <w:rPr>
        <w:rFonts w:hint="eastAsia"/>
      </w:rPr>
    </w:lvl>
    <w:lvl w:ilvl="6" w:tentative="0">
      <w:start w:val="1"/>
      <w:numFmt w:val="decimal"/>
      <w:lvlText w:val="%7."/>
      <w:lvlJc w:val="left"/>
      <w:pPr>
        <w:ind w:left="1452" w:hanging="420"/>
      </w:pPr>
      <w:rPr>
        <w:rFonts w:hint="eastAsia"/>
      </w:rPr>
    </w:lvl>
    <w:lvl w:ilvl="7" w:tentative="0">
      <w:start w:val="1"/>
      <w:numFmt w:val="lowerLetter"/>
      <w:lvlText w:val="%8)"/>
      <w:lvlJc w:val="left"/>
      <w:pPr>
        <w:ind w:left="1872" w:hanging="420"/>
      </w:pPr>
      <w:rPr>
        <w:rFonts w:hint="eastAsia"/>
      </w:rPr>
    </w:lvl>
    <w:lvl w:ilvl="8" w:tentative="0">
      <w:start w:val="1"/>
      <w:numFmt w:val="lowerRoman"/>
      <w:lvlText w:val="%9."/>
      <w:lvlJc w:val="right"/>
      <w:pPr>
        <w:ind w:left="2292" w:hanging="420"/>
      </w:pPr>
      <w:rPr>
        <w:rFonts w:hint="eastAsia"/>
      </w:rPr>
    </w:lvl>
  </w:abstractNum>
  <w:abstractNum w:abstractNumId="68">
    <w:nsid w:val="1FF77A10"/>
    <w:multiLevelType w:val="multilevel"/>
    <w:tmpl w:val="1FF77A10"/>
    <w:lvl w:ilvl="0" w:tentative="0">
      <w:start w:val="1"/>
      <w:numFmt w:val="decimal"/>
      <w:lvlText w:val="%1."/>
      <w:lvlJc w:val="left"/>
      <w:pPr>
        <w:ind w:left="425" w:hanging="425"/>
      </w:pPr>
    </w:lvl>
    <w:lvl w:ilvl="1" w:tentative="0">
      <w:start w:val="1"/>
      <w:numFmt w:val="decimal"/>
      <w:lvlText w:val="%2)"/>
      <w:lvlJc w:val="left"/>
      <w:pPr>
        <w:ind w:left="567" w:hanging="567"/>
      </w:pPr>
      <w:rPr>
        <w:rFonts w:hint="default" w:ascii="Times New Roman" w:hAnsi="Times New Roman" w:eastAsia="宋体" w:cs="Times New Roman"/>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69">
    <w:nsid w:val="21F32FC6"/>
    <w:multiLevelType w:val="multilevel"/>
    <w:tmpl w:val="21F32FC6"/>
    <w:lvl w:ilvl="0" w:tentative="0">
      <w:start w:val="1"/>
      <w:numFmt w:val="decimal"/>
      <w:lvlText w:val="%1)"/>
      <w:lvlJc w:val="left"/>
      <w:pPr>
        <w:tabs>
          <w:tab w:val="left" w:pos="-420"/>
        </w:tabs>
        <w:ind w:left="0" w:hanging="420"/>
      </w:pPr>
    </w:lvl>
    <w:lvl w:ilvl="1" w:tentative="0">
      <w:start w:val="1"/>
      <w:numFmt w:val="lowerLetter"/>
      <w:lvlText w:val="%2)"/>
      <w:lvlJc w:val="left"/>
      <w:pPr>
        <w:tabs>
          <w:tab w:val="left" w:pos="-420"/>
        </w:tabs>
        <w:ind w:left="420" w:hanging="420"/>
      </w:pPr>
    </w:lvl>
    <w:lvl w:ilvl="2" w:tentative="0">
      <w:start w:val="1"/>
      <w:numFmt w:val="lowerRoman"/>
      <w:lvlText w:val="%3."/>
      <w:lvlJc w:val="right"/>
      <w:pPr>
        <w:tabs>
          <w:tab w:val="left" w:pos="-420"/>
        </w:tabs>
        <w:ind w:left="840" w:hanging="420"/>
      </w:pPr>
    </w:lvl>
    <w:lvl w:ilvl="3" w:tentative="0">
      <w:start w:val="1"/>
      <w:numFmt w:val="decimal"/>
      <w:lvlText w:val="%4."/>
      <w:lvlJc w:val="left"/>
      <w:pPr>
        <w:tabs>
          <w:tab w:val="left" w:pos="-420"/>
        </w:tabs>
        <w:ind w:left="1260" w:hanging="420"/>
      </w:pPr>
    </w:lvl>
    <w:lvl w:ilvl="4" w:tentative="0">
      <w:start w:val="1"/>
      <w:numFmt w:val="lowerLetter"/>
      <w:lvlText w:val="%5)"/>
      <w:lvlJc w:val="left"/>
      <w:pPr>
        <w:tabs>
          <w:tab w:val="left" w:pos="-420"/>
        </w:tabs>
        <w:ind w:left="1680" w:hanging="420"/>
      </w:pPr>
    </w:lvl>
    <w:lvl w:ilvl="5" w:tentative="0">
      <w:start w:val="1"/>
      <w:numFmt w:val="lowerRoman"/>
      <w:lvlText w:val="%6."/>
      <w:lvlJc w:val="right"/>
      <w:pPr>
        <w:tabs>
          <w:tab w:val="left" w:pos="-420"/>
        </w:tabs>
        <w:ind w:left="2100" w:hanging="420"/>
      </w:pPr>
    </w:lvl>
    <w:lvl w:ilvl="6" w:tentative="0">
      <w:start w:val="1"/>
      <w:numFmt w:val="decimal"/>
      <w:lvlText w:val="%7."/>
      <w:lvlJc w:val="left"/>
      <w:pPr>
        <w:tabs>
          <w:tab w:val="left" w:pos="-420"/>
        </w:tabs>
        <w:ind w:left="2520" w:hanging="420"/>
      </w:pPr>
    </w:lvl>
    <w:lvl w:ilvl="7" w:tentative="0">
      <w:start w:val="1"/>
      <w:numFmt w:val="lowerLetter"/>
      <w:lvlText w:val="%8)"/>
      <w:lvlJc w:val="left"/>
      <w:pPr>
        <w:tabs>
          <w:tab w:val="left" w:pos="-420"/>
        </w:tabs>
        <w:ind w:left="2940" w:hanging="420"/>
      </w:pPr>
    </w:lvl>
    <w:lvl w:ilvl="8" w:tentative="0">
      <w:start w:val="1"/>
      <w:numFmt w:val="lowerRoman"/>
      <w:lvlText w:val="%9."/>
      <w:lvlJc w:val="right"/>
      <w:pPr>
        <w:tabs>
          <w:tab w:val="left" w:pos="-420"/>
        </w:tabs>
        <w:ind w:left="3360" w:hanging="420"/>
      </w:pPr>
    </w:lvl>
  </w:abstractNum>
  <w:abstractNum w:abstractNumId="70">
    <w:nsid w:val="2253554F"/>
    <w:multiLevelType w:val="singleLevel"/>
    <w:tmpl w:val="2253554F"/>
    <w:lvl w:ilvl="0" w:tentative="0">
      <w:start w:val="1"/>
      <w:numFmt w:val="decimal"/>
      <w:suff w:val="nothing"/>
      <w:lvlText w:val="（%1）"/>
      <w:lvlJc w:val="left"/>
    </w:lvl>
  </w:abstractNum>
  <w:abstractNum w:abstractNumId="71">
    <w:nsid w:val="22961705"/>
    <w:multiLevelType w:val="multilevel"/>
    <w:tmpl w:val="22961705"/>
    <w:lvl w:ilvl="0" w:tentative="0">
      <w:start w:val="1"/>
      <w:numFmt w:val="decimal"/>
      <w:lvlText w:val="%1."/>
      <w:lvlJc w:val="left"/>
      <w:pPr>
        <w:ind w:left="425" w:hanging="425"/>
      </w:pPr>
    </w:lvl>
    <w:lvl w:ilvl="1" w:tentative="0">
      <w:start w:val="1"/>
      <w:numFmt w:val="decimal"/>
      <w:lvlText w:val="%2)"/>
      <w:lvlJc w:val="left"/>
      <w:pPr>
        <w:ind w:left="567" w:hanging="567"/>
      </w:pPr>
      <w:rPr>
        <w:rFonts w:hint="default" w:ascii="Times New Roman" w:hAnsi="Times New Roman" w:eastAsia="宋体" w:cs="Times New Roman"/>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72">
    <w:nsid w:val="242A074D"/>
    <w:multiLevelType w:val="multilevel"/>
    <w:tmpl w:val="242A074D"/>
    <w:lvl w:ilvl="0" w:tentative="0">
      <w:start w:val="1"/>
      <w:numFmt w:val="decimal"/>
      <w:lvlText w:val="（%1）"/>
      <w:lvlJc w:val="left"/>
      <w:pPr>
        <w:tabs>
          <w:tab w:val="left" w:pos="-840"/>
        </w:tabs>
        <w:ind w:left="80" w:hanging="440"/>
      </w:pPr>
      <w:rPr>
        <w:rFonts w:hint="eastAsia"/>
      </w:rPr>
    </w:lvl>
    <w:lvl w:ilvl="1" w:tentative="0">
      <w:start w:val="1"/>
      <w:numFmt w:val="lowerLetter"/>
      <w:lvlText w:val="%2)"/>
      <w:lvlJc w:val="left"/>
      <w:pPr>
        <w:tabs>
          <w:tab w:val="left" w:pos="-840"/>
        </w:tabs>
        <w:ind w:left="520" w:hanging="440"/>
      </w:pPr>
    </w:lvl>
    <w:lvl w:ilvl="2" w:tentative="0">
      <w:start w:val="1"/>
      <w:numFmt w:val="lowerRoman"/>
      <w:lvlText w:val="%3."/>
      <w:lvlJc w:val="right"/>
      <w:pPr>
        <w:tabs>
          <w:tab w:val="left" w:pos="-840"/>
        </w:tabs>
        <w:ind w:left="960" w:hanging="440"/>
      </w:pPr>
    </w:lvl>
    <w:lvl w:ilvl="3" w:tentative="0">
      <w:start w:val="1"/>
      <w:numFmt w:val="decimal"/>
      <w:lvlText w:val="%4."/>
      <w:lvlJc w:val="left"/>
      <w:pPr>
        <w:tabs>
          <w:tab w:val="left" w:pos="-840"/>
        </w:tabs>
        <w:ind w:left="1400" w:hanging="440"/>
      </w:pPr>
    </w:lvl>
    <w:lvl w:ilvl="4" w:tentative="0">
      <w:start w:val="1"/>
      <w:numFmt w:val="lowerLetter"/>
      <w:lvlText w:val="%5)"/>
      <w:lvlJc w:val="left"/>
      <w:pPr>
        <w:tabs>
          <w:tab w:val="left" w:pos="-840"/>
        </w:tabs>
        <w:ind w:left="1840" w:hanging="440"/>
      </w:pPr>
    </w:lvl>
    <w:lvl w:ilvl="5" w:tentative="0">
      <w:start w:val="1"/>
      <w:numFmt w:val="lowerRoman"/>
      <w:lvlText w:val="%6."/>
      <w:lvlJc w:val="right"/>
      <w:pPr>
        <w:tabs>
          <w:tab w:val="left" w:pos="-840"/>
        </w:tabs>
        <w:ind w:left="2280" w:hanging="440"/>
      </w:pPr>
    </w:lvl>
    <w:lvl w:ilvl="6" w:tentative="0">
      <w:start w:val="1"/>
      <w:numFmt w:val="decimal"/>
      <w:lvlText w:val="%7."/>
      <w:lvlJc w:val="left"/>
      <w:pPr>
        <w:tabs>
          <w:tab w:val="left" w:pos="-840"/>
        </w:tabs>
        <w:ind w:left="2720" w:hanging="440"/>
      </w:pPr>
    </w:lvl>
    <w:lvl w:ilvl="7" w:tentative="0">
      <w:start w:val="1"/>
      <w:numFmt w:val="lowerLetter"/>
      <w:lvlText w:val="%8)"/>
      <w:lvlJc w:val="left"/>
      <w:pPr>
        <w:tabs>
          <w:tab w:val="left" w:pos="-840"/>
        </w:tabs>
        <w:ind w:left="3160" w:hanging="440"/>
      </w:pPr>
    </w:lvl>
    <w:lvl w:ilvl="8" w:tentative="0">
      <w:start w:val="1"/>
      <w:numFmt w:val="lowerRoman"/>
      <w:lvlText w:val="%9."/>
      <w:lvlJc w:val="right"/>
      <w:pPr>
        <w:tabs>
          <w:tab w:val="left" w:pos="-840"/>
        </w:tabs>
        <w:ind w:left="3600" w:hanging="440"/>
      </w:pPr>
    </w:lvl>
  </w:abstractNum>
  <w:abstractNum w:abstractNumId="73">
    <w:nsid w:val="244808EB"/>
    <w:multiLevelType w:val="multilevel"/>
    <w:tmpl w:val="244808EB"/>
    <w:lvl w:ilvl="0" w:tentative="0">
      <w:start w:val="1"/>
      <w:numFmt w:val="decimal"/>
      <w:lvlText w:val="%1."/>
      <w:lvlJc w:val="left"/>
      <w:pPr>
        <w:ind w:left="425" w:hanging="425"/>
      </w:pPr>
    </w:lvl>
    <w:lvl w:ilvl="1" w:tentative="0">
      <w:start w:val="1"/>
      <w:numFmt w:val="decimal"/>
      <w:lvlText w:val="%2)"/>
      <w:lvlJc w:val="left"/>
      <w:pPr>
        <w:ind w:left="567" w:hanging="567"/>
      </w:pPr>
      <w:rPr>
        <w:rFonts w:hint="default" w:ascii="Times New Roman" w:hAnsi="Times New Roman" w:eastAsia="宋体" w:cs="Times New Roman"/>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74">
    <w:nsid w:val="244F3635"/>
    <w:multiLevelType w:val="multilevel"/>
    <w:tmpl w:val="244F3635"/>
    <w:lvl w:ilvl="0" w:tentative="0">
      <w:start w:val="1"/>
      <w:numFmt w:val="decimal"/>
      <w:lvlText w:val="%1）"/>
      <w:lvlJc w:val="right"/>
      <w:pPr>
        <w:tabs>
          <w:tab w:val="left" w:pos="-4200"/>
        </w:tabs>
        <w:ind w:left="473" w:hanging="420"/>
      </w:pPr>
      <w:rPr>
        <w:rFonts w:hint="eastAsia"/>
      </w:rPr>
    </w:lvl>
    <w:lvl w:ilvl="1" w:tentative="0">
      <w:start w:val="1"/>
      <w:numFmt w:val="lowerLetter"/>
      <w:lvlText w:val="%2)"/>
      <w:lvlJc w:val="left"/>
      <w:pPr>
        <w:tabs>
          <w:tab w:val="left" w:pos="-4200"/>
        </w:tabs>
        <w:ind w:left="893" w:hanging="420"/>
      </w:pPr>
    </w:lvl>
    <w:lvl w:ilvl="2" w:tentative="0">
      <w:start w:val="1"/>
      <w:numFmt w:val="lowerRoman"/>
      <w:lvlText w:val="%3."/>
      <w:lvlJc w:val="right"/>
      <w:pPr>
        <w:tabs>
          <w:tab w:val="left" w:pos="-4200"/>
        </w:tabs>
        <w:ind w:left="1313" w:hanging="420"/>
      </w:pPr>
    </w:lvl>
    <w:lvl w:ilvl="3" w:tentative="0">
      <w:start w:val="1"/>
      <w:numFmt w:val="decimal"/>
      <w:lvlText w:val="%4."/>
      <w:lvlJc w:val="left"/>
      <w:pPr>
        <w:tabs>
          <w:tab w:val="left" w:pos="-4200"/>
        </w:tabs>
        <w:ind w:left="1733" w:hanging="420"/>
      </w:pPr>
    </w:lvl>
    <w:lvl w:ilvl="4" w:tentative="0">
      <w:start w:val="1"/>
      <w:numFmt w:val="lowerLetter"/>
      <w:lvlText w:val="%5)"/>
      <w:lvlJc w:val="left"/>
      <w:pPr>
        <w:tabs>
          <w:tab w:val="left" w:pos="-4200"/>
        </w:tabs>
        <w:ind w:left="2153" w:hanging="420"/>
      </w:pPr>
    </w:lvl>
    <w:lvl w:ilvl="5" w:tentative="0">
      <w:start w:val="1"/>
      <w:numFmt w:val="lowerRoman"/>
      <w:lvlText w:val="%6."/>
      <w:lvlJc w:val="right"/>
      <w:pPr>
        <w:tabs>
          <w:tab w:val="left" w:pos="-4200"/>
        </w:tabs>
        <w:ind w:left="2573" w:hanging="420"/>
      </w:pPr>
    </w:lvl>
    <w:lvl w:ilvl="6" w:tentative="0">
      <w:start w:val="1"/>
      <w:numFmt w:val="decimal"/>
      <w:lvlText w:val="%7."/>
      <w:lvlJc w:val="left"/>
      <w:pPr>
        <w:tabs>
          <w:tab w:val="left" w:pos="-4200"/>
        </w:tabs>
        <w:ind w:left="2993" w:hanging="420"/>
      </w:pPr>
    </w:lvl>
    <w:lvl w:ilvl="7" w:tentative="0">
      <w:start w:val="1"/>
      <w:numFmt w:val="lowerLetter"/>
      <w:lvlText w:val="%8)"/>
      <w:lvlJc w:val="left"/>
      <w:pPr>
        <w:tabs>
          <w:tab w:val="left" w:pos="-4200"/>
        </w:tabs>
        <w:ind w:left="3413" w:hanging="420"/>
      </w:pPr>
    </w:lvl>
    <w:lvl w:ilvl="8" w:tentative="0">
      <w:start w:val="1"/>
      <w:numFmt w:val="lowerRoman"/>
      <w:lvlText w:val="%9."/>
      <w:lvlJc w:val="right"/>
      <w:pPr>
        <w:tabs>
          <w:tab w:val="left" w:pos="-4200"/>
        </w:tabs>
        <w:ind w:left="3833" w:hanging="420"/>
      </w:pPr>
    </w:lvl>
  </w:abstractNum>
  <w:abstractNum w:abstractNumId="75">
    <w:nsid w:val="252D794F"/>
    <w:multiLevelType w:val="multilevel"/>
    <w:tmpl w:val="252D794F"/>
    <w:lvl w:ilvl="0" w:tentative="0">
      <w:start w:val="1"/>
      <w:numFmt w:val="decimal"/>
      <w:lvlText w:val="%1."/>
      <w:lvlJc w:val="left"/>
      <w:pPr>
        <w:ind w:left="425" w:hanging="425"/>
      </w:pPr>
    </w:lvl>
    <w:lvl w:ilvl="1" w:tentative="0">
      <w:start w:val="1"/>
      <w:numFmt w:val="decimal"/>
      <w:lvlText w:val="%2)"/>
      <w:lvlJc w:val="left"/>
      <w:pPr>
        <w:ind w:left="567" w:hanging="567"/>
      </w:pPr>
      <w:rPr>
        <w:rFonts w:hint="default" w:ascii="Times New Roman" w:hAnsi="Times New Roman" w:eastAsia="宋体" w:cs="Times New Roman"/>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76">
    <w:nsid w:val="256E263B"/>
    <w:multiLevelType w:val="multilevel"/>
    <w:tmpl w:val="256E263B"/>
    <w:lvl w:ilvl="0" w:tentative="0">
      <w:start w:val="1"/>
      <w:numFmt w:val="lowerLetter"/>
      <w:lvlText w:val="%1)"/>
      <w:lvlJc w:val="left"/>
      <w:pPr>
        <w:tabs>
          <w:tab w:val="left" w:pos="-840"/>
        </w:tabs>
        <w:ind w:left="480" w:hanging="420"/>
      </w:pPr>
      <w:rPr>
        <w:rFonts w:hint="eastAsia" w:cs="Times New Roman"/>
      </w:rPr>
    </w:lvl>
    <w:lvl w:ilvl="1" w:tentative="0">
      <w:start w:val="1"/>
      <w:numFmt w:val="lowerLetter"/>
      <w:lvlText w:val="%2)"/>
      <w:lvlJc w:val="left"/>
      <w:pPr>
        <w:tabs>
          <w:tab w:val="left" w:pos="-840"/>
        </w:tabs>
        <w:ind w:left="-1346" w:hanging="420"/>
      </w:pPr>
    </w:lvl>
    <w:lvl w:ilvl="2" w:tentative="0">
      <w:start w:val="1"/>
      <w:numFmt w:val="lowerRoman"/>
      <w:lvlText w:val="%3."/>
      <w:lvlJc w:val="right"/>
      <w:pPr>
        <w:tabs>
          <w:tab w:val="left" w:pos="-840"/>
        </w:tabs>
        <w:ind w:left="-926" w:hanging="420"/>
      </w:pPr>
    </w:lvl>
    <w:lvl w:ilvl="3" w:tentative="0">
      <w:start w:val="1"/>
      <w:numFmt w:val="decimal"/>
      <w:lvlText w:val="%4."/>
      <w:lvlJc w:val="left"/>
      <w:pPr>
        <w:tabs>
          <w:tab w:val="left" w:pos="-840"/>
        </w:tabs>
        <w:ind w:left="-506" w:hanging="420"/>
      </w:pPr>
    </w:lvl>
    <w:lvl w:ilvl="4" w:tentative="0">
      <w:start w:val="1"/>
      <w:numFmt w:val="lowerLetter"/>
      <w:lvlText w:val="%5)"/>
      <w:lvlJc w:val="left"/>
      <w:pPr>
        <w:tabs>
          <w:tab w:val="left" w:pos="-840"/>
        </w:tabs>
        <w:ind w:left="-86" w:hanging="420"/>
      </w:pPr>
    </w:lvl>
    <w:lvl w:ilvl="5" w:tentative="0">
      <w:start w:val="1"/>
      <w:numFmt w:val="lowerRoman"/>
      <w:lvlText w:val="%6."/>
      <w:lvlJc w:val="right"/>
      <w:pPr>
        <w:tabs>
          <w:tab w:val="left" w:pos="-840"/>
        </w:tabs>
        <w:ind w:left="334" w:hanging="420"/>
      </w:pPr>
    </w:lvl>
    <w:lvl w:ilvl="6" w:tentative="0">
      <w:start w:val="1"/>
      <w:numFmt w:val="decimal"/>
      <w:lvlText w:val="%7."/>
      <w:lvlJc w:val="left"/>
      <w:pPr>
        <w:tabs>
          <w:tab w:val="left" w:pos="-840"/>
        </w:tabs>
        <w:ind w:left="754" w:hanging="420"/>
      </w:pPr>
    </w:lvl>
    <w:lvl w:ilvl="7" w:tentative="0">
      <w:start w:val="1"/>
      <w:numFmt w:val="lowerLetter"/>
      <w:lvlText w:val="%8)"/>
      <w:lvlJc w:val="left"/>
      <w:pPr>
        <w:tabs>
          <w:tab w:val="left" w:pos="-840"/>
        </w:tabs>
        <w:ind w:left="1174" w:hanging="420"/>
      </w:pPr>
    </w:lvl>
    <w:lvl w:ilvl="8" w:tentative="0">
      <w:start w:val="1"/>
      <w:numFmt w:val="lowerRoman"/>
      <w:lvlText w:val="%9."/>
      <w:lvlJc w:val="right"/>
      <w:pPr>
        <w:tabs>
          <w:tab w:val="left" w:pos="-840"/>
        </w:tabs>
        <w:ind w:left="1594" w:hanging="420"/>
      </w:pPr>
    </w:lvl>
  </w:abstractNum>
  <w:abstractNum w:abstractNumId="77">
    <w:nsid w:val="262D52AD"/>
    <w:multiLevelType w:val="multilevel"/>
    <w:tmpl w:val="262D52AD"/>
    <w:lvl w:ilvl="0" w:tentative="0">
      <w:start w:val="1"/>
      <w:numFmt w:val="lowerLetter"/>
      <w:lvlText w:val="%1)"/>
      <w:lvlJc w:val="left"/>
      <w:pPr>
        <w:tabs>
          <w:tab w:val="left" w:pos="-420"/>
        </w:tabs>
        <w:ind w:left="900" w:hanging="420"/>
      </w:pPr>
      <w:rPr>
        <w:rFonts w:hint="eastAsia" w:cs="Times New Roman"/>
      </w:rPr>
    </w:lvl>
    <w:lvl w:ilvl="1" w:tentative="0">
      <w:start w:val="1"/>
      <w:numFmt w:val="lowerLetter"/>
      <w:lvlText w:val="%2)"/>
      <w:lvlJc w:val="left"/>
      <w:pPr>
        <w:tabs>
          <w:tab w:val="left" w:pos="-420"/>
        </w:tabs>
        <w:ind w:left="-926" w:hanging="420"/>
      </w:pPr>
    </w:lvl>
    <w:lvl w:ilvl="2" w:tentative="0">
      <w:start w:val="1"/>
      <w:numFmt w:val="lowerRoman"/>
      <w:lvlText w:val="%3."/>
      <w:lvlJc w:val="right"/>
      <w:pPr>
        <w:tabs>
          <w:tab w:val="left" w:pos="-420"/>
        </w:tabs>
        <w:ind w:left="-506" w:hanging="420"/>
      </w:pPr>
    </w:lvl>
    <w:lvl w:ilvl="3" w:tentative="0">
      <w:start w:val="1"/>
      <w:numFmt w:val="decimal"/>
      <w:lvlText w:val="%4."/>
      <w:lvlJc w:val="left"/>
      <w:pPr>
        <w:tabs>
          <w:tab w:val="left" w:pos="-420"/>
        </w:tabs>
        <w:ind w:left="-86" w:hanging="420"/>
      </w:pPr>
    </w:lvl>
    <w:lvl w:ilvl="4" w:tentative="0">
      <w:start w:val="1"/>
      <w:numFmt w:val="lowerLetter"/>
      <w:lvlText w:val="%5)"/>
      <w:lvlJc w:val="left"/>
      <w:pPr>
        <w:tabs>
          <w:tab w:val="left" w:pos="-420"/>
        </w:tabs>
        <w:ind w:left="334" w:hanging="420"/>
      </w:pPr>
    </w:lvl>
    <w:lvl w:ilvl="5" w:tentative="0">
      <w:start w:val="1"/>
      <w:numFmt w:val="lowerRoman"/>
      <w:lvlText w:val="%6."/>
      <w:lvlJc w:val="right"/>
      <w:pPr>
        <w:tabs>
          <w:tab w:val="left" w:pos="-420"/>
        </w:tabs>
        <w:ind w:left="754" w:hanging="420"/>
      </w:pPr>
    </w:lvl>
    <w:lvl w:ilvl="6" w:tentative="0">
      <w:start w:val="1"/>
      <w:numFmt w:val="decimal"/>
      <w:lvlText w:val="%7."/>
      <w:lvlJc w:val="left"/>
      <w:pPr>
        <w:tabs>
          <w:tab w:val="left" w:pos="-420"/>
        </w:tabs>
        <w:ind w:left="1174" w:hanging="420"/>
      </w:pPr>
    </w:lvl>
    <w:lvl w:ilvl="7" w:tentative="0">
      <w:start w:val="1"/>
      <w:numFmt w:val="lowerLetter"/>
      <w:lvlText w:val="%8)"/>
      <w:lvlJc w:val="left"/>
      <w:pPr>
        <w:tabs>
          <w:tab w:val="left" w:pos="-420"/>
        </w:tabs>
        <w:ind w:left="1594" w:hanging="420"/>
      </w:pPr>
    </w:lvl>
    <w:lvl w:ilvl="8" w:tentative="0">
      <w:start w:val="1"/>
      <w:numFmt w:val="lowerRoman"/>
      <w:lvlText w:val="%9."/>
      <w:lvlJc w:val="right"/>
      <w:pPr>
        <w:tabs>
          <w:tab w:val="left" w:pos="-420"/>
        </w:tabs>
        <w:ind w:left="2014" w:hanging="420"/>
      </w:pPr>
    </w:lvl>
  </w:abstractNum>
  <w:abstractNum w:abstractNumId="78">
    <w:nsid w:val="28E3408A"/>
    <w:multiLevelType w:val="multilevel"/>
    <w:tmpl w:val="28E3408A"/>
    <w:lvl w:ilvl="0" w:tentative="0">
      <w:start w:val="1"/>
      <w:numFmt w:val="decimal"/>
      <w:lvlText w:val="%1."/>
      <w:lvlJc w:val="left"/>
      <w:pPr>
        <w:ind w:left="425" w:hanging="425"/>
      </w:pPr>
    </w:lvl>
    <w:lvl w:ilvl="1" w:tentative="0">
      <w:start w:val="1"/>
      <w:numFmt w:val="decimal"/>
      <w:lvlText w:val="%2)"/>
      <w:lvlJc w:val="left"/>
      <w:pPr>
        <w:ind w:left="567" w:hanging="567"/>
      </w:pPr>
      <w:rPr>
        <w:rFonts w:hint="default" w:ascii="Times New Roman" w:hAnsi="Times New Roman" w:eastAsia="宋体" w:cs="Times New Roman"/>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79">
    <w:nsid w:val="2A1A53DD"/>
    <w:multiLevelType w:val="multilevel"/>
    <w:tmpl w:val="2A1A53DD"/>
    <w:lvl w:ilvl="0" w:tentative="0">
      <w:start w:val="1"/>
      <w:numFmt w:val="decimal"/>
      <w:lvlText w:val="%1)"/>
      <w:lvlJc w:val="left"/>
      <w:pPr>
        <w:ind w:left="560" w:hanging="360"/>
      </w:pPr>
      <w:rPr>
        <w:rFonts w:hint="default"/>
      </w:rPr>
    </w:lvl>
    <w:lvl w:ilvl="1" w:tentative="0">
      <w:start w:val="1"/>
      <w:numFmt w:val="lowerLetter"/>
      <w:lvlText w:val="%2)"/>
      <w:lvlJc w:val="left"/>
      <w:pPr>
        <w:ind w:left="1040" w:hanging="420"/>
      </w:pPr>
    </w:lvl>
    <w:lvl w:ilvl="2" w:tentative="0">
      <w:start w:val="1"/>
      <w:numFmt w:val="lowerRoman"/>
      <w:lvlText w:val="%3."/>
      <w:lvlJc w:val="right"/>
      <w:pPr>
        <w:ind w:left="1460" w:hanging="420"/>
      </w:pPr>
    </w:lvl>
    <w:lvl w:ilvl="3" w:tentative="0">
      <w:start w:val="1"/>
      <w:numFmt w:val="decimal"/>
      <w:lvlText w:val="%4."/>
      <w:lvlJc w:val="left"/>
      <w:pPr>
        <w:ind w:left="1880" w:hanging="420"/>
      </w:pPr>
    </w:lvl>
    <w:lvl w:ilvl="4" w:tentative="0">
      <w:start w:val="1"/>
      <w:numFmt w:val="lowerLetter"/>
      <w:lvlText w:val="%5)"/>
      <w:lvlJc w:val="left"/>
      <w:pPr>
        <w:ind w:left="2300" w:hanging="420"/>
      </w:pPr>
    </w:lvl>
    <w:lvl w:ilvl="5" w:tentative="0">
      <w:start w:val="1"/>
      <w:numFmt w:val="lowerRoman"/>
      <w:lvlText w:val="%6."/>
      <w:lvlJc w:val="right"/>
      <w:pPr>
        <w:ind w:left="2720" w:hanging="420"/>
      </w:pPr>
    </w:lvl>
    <w:lvl w:ilvl="6" w:tentative="0">
      <w:start w:val="1"/>
      <w:numFmt w:val="decimal"/>
      <w:lvlText w:val="%7."/>
      <w:lvlJc w:val="left"/>
      <w:pPr>
        <w:ind w:left="3140" w:hanging="420"/>
      </w:pPr>
    </w:lvl>
    <w:lvl w:ilvl="7" w:tentative="0">
      <w:start w:val="1"/>
      <w:numFmt w:val="lowerLetter"/>
      <w:lvlText w:val="%8)"/>
      <w:lvlJc w:val="left"/>
      <w:pPr>
        <w:ind w:left="3560" w:hanging="420"/>
      </w:pPr>
    </w:lvl>
    <w:lvl w:ilvl="8" w:tentative="0">
      <w:start w:val="1"/>
      <w:numFmt w:val="lowerRoman"/>
      <w:lvlText w:val="%9."/>
      <w:lvlJc w:val="right"/>
      <w:pPr>
        <w:ind w:left="3980" w:hanging="420"/>
      </w:pPr>
    </w:lvl>
  </w:abstractNum>
  <w:abstractNum w:abstractNumId="80">
    <w:nsid w:val="2B504688"/>
    <w:multiLevelType w:val="multilevel"/>
    <w:tmpl w:val="2B504688"/>
    <w:lvl w:ilvl="0" w:tentative="0">
      <w:start w:val="1"/>
      <w:numFmt w:val="decimal"/>
      <w:lvlText w:val="%1）"/>
      <w:lvlJc w:val="right"/>
      <w:pPr>
        <w:ind w:left="900" w:hanging="420"/>
      </w:pPr>
      <w:rPr>
        <w:rFonts w:hint="eastAsia"/>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81">
    <w:nsid w:val="2C491CD9"/>
    <w:multiLevelType w:val="multilevel"/>
    <w:tmpl w:val="2C491CD9"/>
    <w:lvl w:ilvl="0" w:tentative="0">
      <w:start w:val="1"/>
      <w:numFmt w:val="lowerLetter"/>
      <w:lvlText w:val="%1)"/>
      <w:lvlJc w:val="left"/>
      <w:pPr>
        <w:ind w:left="1178" w:hanging="420"/>
      </w:pPr>
      <w:rPr>
        <w:rFonts w:hint="eastAsia" w:cs="Times New Roman"/>
      </w:rPr>
    </w:lvl>
    <w:lvl w:ilvl="1" w:tentative="0">
      <w:start w:val="1"/>
      <w:numFmt w:val="lowerLetter"/>
      <w:lvlText w:val="%2)"/>
      <w:lvlJc w:val="left"/>
      <w:pPr>
        <w:ind w:left="-648" w:hanging="420"/>
      </w:pPr>
    </w:lvl>
    <w:lvl w:ilvl="2" w:tentative="0">
      <w:start w:val="1"/>
      <w:numFmt w:val="lowerRoman"/>
      <w:lvlText w:val="%3."/>
      <w:lvlJc w:val="right"/>
      <w:pPr>
        <w:ind w:left="-228" w:hanging="420"/>
      </w:pPr>
    </w:lvl>
    <w:lvl w:ilvl="3" w:tentative="0">
      <w:start w:val="1"/>
      <w:numFmt w:val="decimal"/>
      <w:lvlText w:val="%4."/>
      <w:lvlJc w:val="left"/>
      <w:pPr>
        <w:ind w:left="192" w:hanging="420"/>
      </w:pPr>
    </w:lvl>
    <w:lvl w:ilvl="4" w:tentative="0">
      <w:start w:val="1"/>
      <w:numFmt w:val="lowerLetter"/>
      <w:lvlText w:val="%5)"/>
      <w:lvlJc w:val="left"/>
      <w:pPr>
        <w:ind w:left="612" w:hanging="420"/>
      </w:pPr>
    </w:lvl>
    <w:lvl w:ilvl="5" w:tentative="0">
      <w:start w:val="1"/>
      <w:numFmt w:val="lowerRoman"/>
      <w:lvlText w:val="%6."/>
      <w:lvlJc w:val="right"/>
      <w:pPr>
        <w:ind w:left="1032" w:hanging="420"/>
      </w:pPr>
    </w:lvl>
    <w:lvl w:ilvl="6" w:tentative="0">
      <w:start w:val="1"/>
      <w:numFmt w:val="decimal"/>
      <w:lvlText w:val="%7."/>
      <w:lvlJc w:val="left"/>
      <w:pPr>
        <w:ind w:left="1452" w:hanging="420"/>
      </w:pPr>
    </w:lvl>
    <w:lvl w:ilvl="7" w:tentative="0">
      <w:start w:val="1"/>
      <w:numFmt w:val="lowerLetter"/>
      <w:lvlText w:val="%8)"/>
      <w:lvlJc w:val="left"/>
      <w:pPr>
        <w:ind w:left="1872" w:hanging="420"/>
      </w:pPr>
    </w:lvl>
    <w:lvl w:ilvl="8" w:tentative="0">
      <w:start w:val="1"/>
      <w:numFmt w:val="lowerRoman"/>
      <w:lvlText w:val="%9."/>
      <w:lvlJc w:val="right"/>
      <w:pPr>
        <w:ind w:left="2292" w:hanging="420"/>
      </w:pPr>
    </w:lvl>
  </w:abstractNum>
  <w:abstractNum w:abstractNumId="82">
    <w:nsid w:val="2D443BCA"/>
    <w:multiLevelType w:val="multilevel"/>
    <w:tmpl w:val="2D443BCA"/>
    <w:lvl w:ilvl="0" w:tentative="0">
      <w:start w:val="1"/>
      <w:numFmt w:val="lowerLetter"/>
      <w:lvlText w:val="%1)"/>
      <w:lvlJc w:val="left"/>
      <w:pPr>
        <w:tabs>
          <w:tab w:val="left" w:pos="-840"/>
        </w:tabs>
        <w:ind w:left="480" w:hanging="420"/>
      </w:pPr>
      <w:rPr>
        <w:rFonts w:hint="eastAsia" w:cs="Times New Roman"/>
      </w:rPr>
    </w:lvl>
    <w:lvl w:ilvl="1" w:tentative="0">
      <w:start w:val="1"/>
      <w:numFmt w:val="lowerLetter"/>
      <w:lvlText w:val="%2)"/>
      <w:lvlJc w:val="left"/>
      <w:pPr>
        <w:tabs>
          <w:tab w:val="left" w:pos="-840"/>
        </w:tabs>
        <w:ind w:left="-1346" w:hanging="420"/>
      </w:pPr>
    </w:lvl>
    <w:lvl w:ilvl="2" w:tentative="0">
      <w:start w:val="1"/>
      <w:numFmt w:val="lowerRoman"/>
      <w:lvlText w:val="%3."/>
      <w:lvlJc w:val="right"/>
      <w:pPr>
        <w:tabs>
          <w:tab w:val="left" w:pos="-840"/>
        </w:tabs>
        <w:ind w:left="-926" w:hanging="420"/>
      </w:pPr>
    </w:lvl>
    <w:lvl w:ilvl="3" w:tentative="0">
      <w:start w:val="1"/>
      <w:numFmt w:val="decimal"/>
      <w:lvlText w:val="%4."/>
      <w:lvlJc w:val="left"/>
      <w:pPr>
        <w:tabs>
          <w:tab w:val="left" w:pos="-840"/>
        </w:tabs>
        <w:ind w:left="-506" w:hanging="420"/>
      </w:pPr>
    </w:lvl>
    <w:lvl w:ilvl="4" w:tentative="0">
      <w:start w:val="1"/>
      <w:numFmt w:val="lowerLetter"/>
      <w:lvlText w:val="%5)"/>
      <w:lvlJc w:val="left"/>
      <w:pPr>
        <w:tabs>
          <w:tab w:val="left" w:pos="-840"/>
        </w:tabs>
        <w:ind w:left="-86" w:hanging="420"/>
      </w:pPr>
    </w:lvl>
    <w:lvl w:ilvl="5" w:tentative="0">
      <w:start w:val="1"/>
      <w:numFmt w:val="lowerRoman"/>
      <w:lvlText w:val="%6."/>
      <w:lvlJc w:val="right"/>
      <w:pPr>
        <w:tabs>
          <w:tab w:val="left" w:pos="-840"/>
        </w:tabs>
        <w:ind w:left="334" w:hanging="420"/>
      </w:pPr>
    </w:lvl>
    <w:lvl w:ilvl="6" w:tentative="0">
      <w:start w:val="1"/>
      <w:numFmt w:val="decimal"/>
      <w:lvlText w:val="%7."/>
      <w:lvlJc w:val="left"/>
      <w:pPr>
        <w:tabs>
          <w:tab w:val="left" w:pos="-840"/>
        </w:tabs>
        <w:ind w:left="754" w:hanging="420"/>
      </w:pPr>
    </w:lvl>
    <w:lvl w:ilvl="7" w:tentative="0">
      <w:start w:val="1"/>
      <w:numFmt w:val="lowerLetter"/>
      <w:lvlText w:val="%8)"/>
      <w:lvlJc w:val="left"/>
      <w:pPr>
        <w:tabs>
          <w:tab w:val="left" w:pos="-840"/>
        </w:tabs>
        <w:ind w:left="1174" w:hanging="420"/>
      </w:pPr>
    </w:lvl>
    <w:lvl w:ilvl="8" w:tentative="0">
      <w:start w:val="1"/>
      <w:numFmt w:val="lowerRoman"/>
      <w:lvlText w:val="%9."/>
      <w:lvlJc w:val="right"/>
      <w:pPr>
        <w:tabs>
          <w:tab w:val="left" w:pos="-840"/>
        </w:tabs>
        <w:ind w:left="1594" w:hanging="420"/>
      </w:pPr>
    </w:lvl>
  </w:abstractNum>
  <w:abstractNum w:abstractNumId="83">
    <w:nsid w:val="2EBE7DDD"/>
    <w:multiLevelType w:val="multilevel"/>
    <w:tmpl w:val="2EBE7DDD"/>
    <w:lvl w:ilvl="0" w:tentative="0">
      <w:start w:val="1"/>
      <w:numFmt w:val="lowerLetter"/>
      <w:lvlText w:val="%1)"/>
      <w:lvlJc w:val="left"/>
      <w:pPr>
        <w:tabs>
          <w:tab w:val="left" w:pos="-420"/>
        </w:tabs>
        <w:ind w:left="900" w:hanging="420"/>
      </w:pPr>
      <w:rPr>
        <w:rFonts w:hint="eastAsia" w:cs="Times New Roman"/>
      </w:rPr>
    </w:lvl>
    <w:lvl w:ilvl="1" w:tentative="0">
      <w:start w:val="1"/>
      <w:numFmt w:val="lowerLetter"/>
      <w:lvlText w:val="%2)"/>
      <w:lvlJc w:val="left"/>
      <w:pPr>
        <w:tabs>
          <w:tab w:val="left" w:pos="-420"/>
        </w:tabs>
        <w:ind w:left="-926" w:hanging="420"/>
      </w:pPr>
    </w:lvl>
    <w:lvl w:ilvl="2" w:tentative="0">
      <w:start w:val="1"/>
      <w:numFmt w:val="lowerRoman"/>
      <w:lvlText w:val="%3."/>
      <w:lvlJc w:val="right"/>
      <w:pPr>
        <w:tabs>
          <w:tab w:val="left" w:pos="-420"/>
        </w:tabs>
        <w:ind w:left="-506" w:hanging="420"/>
      </w:pPr>
    </w:lvl>
    <w:lvl w:ilvl="3" w:tentative="0">
      <w:start w:val="1"/>
      <w:numFmt w:val="decimal"/>
      <w:lvlText w:val="%4."/>
      <w:lvlJc w:val="left"/>
      <w:pPr>
        <w:tabs>
          <w:tab w:val="left" w:pos="-420"/>
        </w:tabs>
        <w:ind w:left="-86" w:hanging="420"/>
      </w:pPr>
    </w:lvl>
    <w:lvl w:ilvl="4" w:tentative="0">
      <w:start w:val="1"/>
      <w:numFmt w:val="lowerLetter"/>
      <w:lvlText w:val="%5)"/>
      <w:lvlJc w:val="left"/>
      <w:pPr>
        <w:tabs>
          <w:tab w:val="left" w:pos="-420"/>
        </w:tabs>
        <w:ind w:left="334" w:hanging="420"/>
      </w:pPr>
    </w:lvl>
    <w:lvl w:ilvl="5" w:tentative="0">
      <w:start w:val="1"/>
      <w:numFmt w:val="lowerRoman"/>
      <w:lvlText w:val="%6."/>
      <w:lvlJc w:val="right"/>
      <w:pPr>
        <w:tabs>
          <w:tab w:val="left" w:pos="-420"/>
        </w:tabs>
        <w:ind w:left="754" w:hanging="420"/>
      </w:pPr>
    </w:lvl>
    <w:lvl w:ilvl="6" w:tentative="0">
      <w:start w:val="1"/>
      <w:numFmt w:val="decimal"/>
      <w:lvlText w:val="%7."/>
      <w:lvlJc w:val="left"/>
      <w:pPr>
        <w:tabs>
          <w:tab w:val="left" w:pos="-420"/>
        </w:tabs>
        <w:ind w:left="1174" w:hanging="420"/>
      </w:pPr>
    </w:lvl>
    <w:lvl w:ilvl="7" w:tentative="0">
      <w:start w:val="1"/>
      <w:numFmt w:val="lowerLetter"/>
      <w:lvlText w:val="%8)"/>
      <w:lvlJc w:val="left"/>
      <w:pPr>
        <w:tabs>
          <w:tab w:val="left" w:pos="-420"/>
        </w:tabs>
        <w:ind w:left="1594" w:hanging="420"/>
      </w:pPr>
    </w:lvl>
    <w:lvl w:ilvl="8" w:tentative="0">
      <w:start w:val="1"/>
      <w:numFmt w:val="lowerRoman"/>
      <w:lvlText w:val="%9."/>
      <w:lvlJc w:val="right"/>
      <w:pPr>
        <w:tabs>
          <w:tab w:val="left" w:pos="-420"/>
        </w:tabs>
        <w:ind w:left="2014" w:hanging="420"/>
      </w:pPr>
    </w:lvl>
  </w:abstractNum>
  <w:abstractNum w:abstractNumId="84">
    <w:nsid w:val="2EE95C9D"/>
    <w:multiLevelType w:val="multilevel"/>
    <w:tmpl w:val="2EE95C9D"/>
    <w:lvl w:ilvl="0" w:tentative="0">
      <w:start w:val="1"/>
      <w:numFmt w:val="decimal"/>
      <w:lvlText w:val="%1."/>
      <w:lvlJc w:val="left"/>
      <w:pPr>
        <w:ind w:left="425" w:hanging="425"/>
      </w:pPr>
    </w:lvl>
    <w:lvl w:ilvl="1" w:tentative="0">
      <w:start w:val="1"/>
      <w:numFmt w:val="decimal"/>
      <w:lvlText w:val="%2)"/>
      <w:lvlJc w:val="left"/>
      <w:pPr>
        <w:ind w:left="567" w:hanging="567"/>
      </w:pPr>
      <w:rPr>
        <w:rFonts w:hint="default" w:ascii="Times New Roman" w:hAnsi="Times New Roman" w:eastAsia="宋体" w:cs="Times New Roman"/>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85">
    <w:nsid w:val="2F32D9BE"/>
    <w:multiLevelType w:val="multilevel"/>
    <w:tmpl w:val="2F32D9BE"/>
    <w:lvl w:ilvl="0" w:tentative="0">
      <w:start w:val="1"/>
      <w:numFmt w:val="decimal"/>
      <w:lvlText w:val="%1)"/>
      <w:lvlJc w:val="left"/>
      <w:pPr>
        <w:tabs>
          <w:tab w:val="left" w:pos="-420"/>
        </w:tabs>
        <w:ind w:left="284" w:hanging="420"/>
      </w:pPr>
      <w:rPr>
        <w:rFonts w:hint="default"/>
      </w:rPr>
    </w:lvl>
    <w:lvl w:ilvl="1" w:tentative="0">
      <w:start w:val="1"/>
      <w:numFmt w:val="lowerLetter"/>
      <w:lvlText w:val="%2)"/>
      <w:lvlJc w:val="left"/>
      <w:pPr>
        <w:tabs>
          <w:tab w:val="left" w:pos="-420"/>
        </w:tabs>
        <w:ind w:left="704" w:hanging="420"/>
      </w:pPr>
    </w:lvl>
    <w:lvl w:ilvl="2" w:tentative="0">
      <w:start w:val="1"/>
      <w:numFmt w:val="lowerRoman"/>
      <w:lvlText w:val="%3."/>
      <w:lvlJc w:val="right"/>
      <w:pPr>
        <w:tabs>
          <w:tab w:val="left" w:pos="-420"/>
        </w:tabs>
        <w:ind w:left="1124" w:hanging="420"/>
      </w:pPr>
    </w:lvl>
    <w:lvl w:ilvl="3" w:tentative="0">
      <w:start w:val="1"/>
      <w:numFmt w:val="decimal"/>
      <w:lvlText w:val="%4."/>
      <w:lvlJc w:val="left"/>
      <w:pPr>
        <w:tabs>
          <w:tab w:val="left" w:pos="-420"/>
        </w:tabs>
        <w:ind w:left="1544" w:hanging="420"/>
      </w:pPr>
    </w:lvl>
    <w:lvl w:ilvl="4" w:tentative="0">
      <w:start w:val="1"/>
      <w:numFmt w:val="lowerLetter"/>
      <w:lvlText w:val="%5)"/>
      <w:lvlJc w:val="left"/>
      <w:pPr>
        <w:tabs>
          <w:tab w:val="left" w:pos="-420"/>
        </w:tabs>
        <w:ind w:left="1964" w:hanging="420"/>
      </w:pPr>
    </w:lvl>
    <w:lvl w:ilvl="5" w:tentative="0">
      <w:start w:val="1"/>
      <w:numFmt w:val="lowerRoman"/>
      <w:lvlText w:val="%6."/>
      <w:lvlJc w:val="right"/>
      <w:pPr>
        <w:tabs>
          <w:tab w:val="left" w:pos="-420"/>
        </w:tabs>
        <w:ind w:left="2384" w:hanging="420"/>
      </w:pPr>
    </w:lvl>
    <w:lvl w:ilvl="6" w:tentative="0">
      <w:start w:val="1"/>
      <w:numFmt w:val="decimal"/>
      <w:lvlText w:val="%7."/>
      <w:lvlJc w:val="left"/>
      <w:pPr>
        <w:tabs>
          <w:tab w:val="left" w:pos="-420"/>
        </w:tabs>
        <w:ind w:left="2804" w:hanging="420"/>
      </w:pPr>
    </w:lvl>
    <w:lvl w:ilvl="7" w:tentative="0">
      <w:start w:val="1"/>
      <w:numFmt w:val="lowerLetter"/>
      <w:lvlText w:val="%8)"/>
      <w:lvlJc w:val="left"/>
      <w:pPr>
        <w:tabs>
          <w:tab w:val="left" w:pos="-420"/>
        </w:tabs>
        <w:ind w:left="3224" w:hanging="420"/>
      </w:pPr>
    </w:lvl>
    <w:lvl w:ilvl="8" w:tentative="0">
      <w:start w:val="1"/>
      <w:numFmt w:val="lowerRoman"/>
      <w:lvlText w:val="%9."/>
      <w:lvlJc w:val="right"/>
      <w:pPr>
        <w:tabs>
          <w:tab w:val="left" w:pos="-420"/>
        </w:tabs>
        <w:ind w:left="3644" w:hanging="420"/>
      </w:pPr>
    </w:lvl>
  </w:abstractNum>
  <w:abstractNum w:abstractNumId="86">
    <w:nsid w:val="2F8E4FF1"/>
    <w:multiLevelType w:val="multilevel"/>
    <w:tmpl w:val="2F8E4FF1"/>
    <w:lvl w:ilvl="0" w:tentative="0">
      <w:start w:val="1"/>
      <w:numFmt w:val="lowerLetter"/>
      <w:lvlText w:val="%1)"/>
      <w:lvlJc w:val="left"/>
      <w:pPr>
        <w:tabs>
          <w:tab w:val="left" w:pos="-420"/>
        </w:tabs>
        <w:ind w:left="710" w:hanging="420"/>
      </w:pPr>
      <w:rPr>
        <w:rFonts w:hint="eastAsia" w:cs="Times New Roman"/>
      </w:rPr>
    </w:lvl>
    <w:lvl w:ilvl="1" w:tentative="0">
      <w:start w:val="1"/>
      <w:numFmt w:val="lowerLetter"/>
      <w:lvlText w:val="%2)"/>
      <w:lvlJc w:val="left"/>
      <w:pPr>
        <w:tabs>
          <w:tab w:val="left" w:pos="-420"/>
        </w:tabs>
        <w:ind w:left="420" w:hanging="420"/>
      </w:pPr>
    </w:lvl>
    <w:lvl w:ilvl="2" w:tentative="0">
      <w:start w:val="1"/>
      <w:numFmt w:val="lowerRoman"/>
      <w:lvlText w:val="%3."/>
      <w:lvlJc w:val="right"/>
      <w:pPr>
        <w:tabs>
          <w:tab w:val="left" w:pos="-420"/>
        </w:tabs>
        <w:ind w:left="840" w:hanging="420"/>
      </w:pPr>
    </w:lvl>
    <w:lvl w:ilvl="3" w:tentative="0">
      <w:start w:val="1"/>
      <w:numFmt w:val="decimal"/>
      <w:lvlText w:val="%4."/>
      <w:lvlJc w:val="left"/>
      <w:pPr>
        <w:tabs>
          <w:tab w:val="left" w:pos="-420"/>
        </w:tabs>
        <w:ind w:left="1260" w:hanging="420"/>
      </w:pPr>
    </w:lvl>
    <w:lvl w:ilvl="4" w:tentative="0">
      <w:start w:val="1"/>
      <w:numFmt w:val="lowerLetter"/>
      <w:lvlText w:val="%5)"/>
      <w:lvlJc w:val="left"/>
      <w:pPr>
        <w:tabs>
          <w:tab w:val="left" w:pos="-420"/>
        </w:tabs>
        <w:ind w:left="1680" w:hanging="420"/>
      </w:pPr>
    </w:lvl>
    <w:lvl w:ilvl="5" w:tentative="0">
      <w:start w:val="1"/>
      <w:numFmt w:val="lowerRoman"/>
      <w:lvlText w:val="%6."/>
      <w:lvlJc w:val="right"/>
      <w:pPr>
        <w:tabs>
          <w:tab w:val="left" w:pos="-420"/>
        </w:tabs>
        <w:ind w:left="2100" w:hanging="420"/>
      </w:pPr>
    </w:lvl>
    <w:lvl w:ilvl="6" w:tentative="0">
      <w:start w:val="1"/>
      <w:numFmt w:val="decimal"/>
      <w:lvlText w:val="%7."/>
      <w:lvlJc w:val="left"/>
      <w:pPr>
        <w:tabs>
          <w:tab w:val="left" w:pos="-420"/>
        </w:tabs>
        <w:ind w:left="2520" w:hanging="420"/>
      </w:pPr>
    </w:lvl>
    <w:lvl w:ilvl="7" w:tentative="0">
      <w:start w:val="1"/>
      <w:numFmt w:val="lowerLetter"/>
      <w:lvlText w:val="%8)"/>
      <w:lvlJc w:val="left"/>
      <w:pPr>
        <w:tabs>
          <w:tab w:val="left" w:pos="-420"/>
        </w:tabs>
        <w:ind w:left="2940" w:hanging="420"/>
      </w:pPr>
    </w:lvl>
    <w:lvl w:ilvl="8" w:tentative="0">
      <w:start w:val="1"/>
      <w:numFmt w:val="lowerRoman"/>
      <w:lvlText w:val="%9."/>
      <w:lvlJc w:val="right"/>
      <w:pPr>
        <w:tabs>
          <w:tab w:val="left" w:pos="-420"/>
        </w:tabs>
        <w:ind w:left="3360" w:hanging="420"/>
      </w:pPr>
    </w:lvl>
  </w:abstractNum>
  <w:abstractNum w:abstractNumId="87">
    <w:nsid w:val="30EC77BA"/>
    <w:multiLevelType w:val="multilevel"/>
    <w:tmpl w:val="30EC77BA"/>
    <w:lvl w:ilvl="0" w:tentative="0">
      <w:start w:val="1"/>
      <w:numFmt w:val="decimal"/>
      <w:lvlText w:val="%1."/>
      <w:lvlJc w:val="left"/>
      <w:pPr>
        <w:ind w:left="425" w:hanging="425"/>
      </w:pPr>
    </w:lvl>
    <w:lvl w:ilvl="1" w:tentative="0">
      <w:start w:val="1"/>
      <w:numFmt w:val="decimal"/>
      <w:lvlText w:val="%2)"/>
      <w:lvlJc w:val="left"/>
      <w:pPr>
        <w:ind w:left="567" w:hanging="567"/>
      </w:pPr>
      <w:rPr>
        <w:rFonts w:hint="default" w:ascii="Times New Roman" w:hAnsi="Times New Roman" w:eastAsia="宋体" w:cs="Times New Roman"/>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88">
    <w:nsid w:val="30FA2D5D"/>
    <w:multiLevelType w:val="multilevel"/>
    <w:tmpl w:val="30FA2D5D"/>
    <w:lvl w:ilvl="0" w:tentative="0">
      <w:start w:val="1"/>
      <w:numFmt w:val="lowerLetter"/>
      <w:lvlText w:val="%1)"/>
      <w:lvlJc w:val="left"/>
      <w:pPr>
        <w:tabs>
          <w:tab w:val="left" w:pos="-420"/>
        </w:tabs>
        <w:ind w:left="900" w:hanging="420"/>
      </w:pPr>
      <w:rPr>
        <w:rFonts w:hint="eastAsia" w:cs="Times New Roman"/>
      </w:rPr>
    </w:lvl>
    <w:lvl w:ilvl="1" w:tentative="0">
      <w:start w:val="1"/>
      <w:numFmt w:val="lowerLetter"/>
      <w:lvlText w:val="%2)"/>
      <w:lvlJc w:val="left"/>
      <w:pPr>
        <w:tabs>
          <w:tab w:val="left" w:pos="-420"/>
        </w:tabs>
        <w:ind w:left="-926" w:hanging="420"/>
      </w:pPr>
    </w:lvl>
    <w:lvl w:ilvl="2" w:tentative="0">
      <w:start w:val="1"/>
      <w:numFmt w:val="lowerRoman"/>
      <w:lvlText w:val="%3."/>
      <w:lvlJc w:val="right"/>
      <w:pPr>
        <w:tabs>
          <w:tab w:val="left" w:pos="-420"/>
        </w:tabs>
        <w:ind w:left="-506" w:hanging="420"/>
      </w:pPr>
    </w:lvl>
    <w:lvl w:ilvl="3" w:tentative="0">
      <w:start w:val="1"/>
      <w:numFmt w:val="decimal"/>
      <w:lvlText w:val="%4."/>
      <w:lvlJc w:val="left"/>
      <w:pPr>
        <w:tabs>
          <w:tab w:val="left" w:pos="-420"/>
        </w:tabs>
        <w:ind w:left="-86" w:hanging="420"/>
      </w:pPr>
    </w:lvl>
    <w:lvl w:ilvl="4" w:tentative="0">
      <w:start w:val="1"/>
      <w:numFmt w:val="lowerLetter"/>
      <w:lvlText w:val="%5)"/>
      <w:lvlJc w:val="left"/>
      <w:pPr>
        <w:tabs>
          <w:tab w:val="left" w:pos="-420"/>
        </w:tabs>
        <w:ind w:left="334" w:hanging="420"/>
      </w:pPr>
    </w:lvl>
    <w:lvl w:ilvl="5" w:tentative="0">
      <w:start w:val="1"/>
      <w:numFmt w:val="lowerRoman"/>
      <w:lvlText w:val="%6."/>
      <w:lvlJc w:val="right"/>
      <w:pPr>
        <w:tabs>
          <w:tab w:val="left" w:pos="-420"/>
        </w:tabs>
        <w:ind w:left="754" w:hanging="420"/>
      </w:pPr>
    </w:lvl>
    <w:lvl w:ilvl="6" w:tentative="0">
      <w:start w:val="1"/>
      <w:numFmt w:val="decimal"/>
      <w:lvlText w:val="%7."/>
      <w:lvlJc w:val="left"/>
      <w:pPr>
        <w:tabs>
          <w:tab w:val="left" w:pos="-420"/>
        </w:tabs>
        <w:ind w:left="1174" w:hanging="420"/>
      </w:pPr>
    </w:lvl>
    <w:lvl w:ilvl="7" w:tentative="0">
      <w:start w:val="1"/>
      <w:numFmt w:val="lowerLetter"/>
      <w:lvlText w:val="%8)"/>
      <w:lvlJc w:val="left"/>
      <w:pPr>
        <w:tabs>
          <w:tab w:val="left" w:pos="-420"/>
        </w:tabs>
        <w:ind w:left="1594" w:hanging="420"/>
      </w:pPr>
    </w:lvl>
    <w:lvl w:ilvl="8" w:tentative="0">
      <w:start w:val="1"/>
      <w:numFmt w:val="lowerRoman"/>
      <w:lvlText w:val="%9."/>
      <w:lvlJc w:val="right"/>
      <w:pPr>
        <w:tabs>
          <w:tab w:val="left" w:pos="-420"/>
        </w:tabs>
        <w:ind w:left="2014" w:hanging="420"/>
      </w:pPr>
    </w:lvl>
  </w:abstractNum>
  <w:abstractNum w:abstractNumId="89">
    <w:nsid w:val="31F9507A"/>
    <w:multiLevelType w:val="multilevel"/>
    <w:tmpl w:val="31F9507A"/>
    <w:lvl w:ilvl="0" w:tentative="0">
      <w:start w:val="1"/>
      <w:numFmt w:val="lowerLetter"/>
      <w:lvlText w:val="%1)"/>
      <w:lvlJc w:val="left"/>
      <w:pPr>
        <w:tabs>
          <w:tab w:val="left" w:pos="-420"/>
        </w:tabs>
        <w:ind w:left="900" w:hanging="420"/>
      </w:pPr>
      <w:rPr>
        <w:rFonts w:hint="eastAsia" w:cs="Times New Roman"/>
      </w:rPr>
    </w:lvl>
    <w:lvl w:ilvl="1" w:tentative="0">
      <w:start w:val="1"/>
      <w:numFmt w:val="lowerLetter"/>
      <w:lvlText w:val="%2)"/>
      <w:lvlJc w:val="left"/>
      <w:pPr>
        <w:tabs>
          <w:tab w:val="left" w:pos="-420"/>
        </w:tabs>
        <w:ind w:left="-926" w:hanging="420"/>
      </w:pPr>
    </w:lvl>
    <w:lvl w:ilvl="2" w:tentative="0">
      <w:start w:val="1"/>
      <w:numFmt w:val="lowerRoman"/>
      <w:lvlText w:val="%3."/>
      <w:lvlJc w:val="right"/>
      <w:pPr>
        <w:tabs>
          <w:tab w:val="left" w:pos="-420"/>
        </w:tabs>
        <w:ind w:left="-506" w:hanging="420"/>
      </w:pPr>
    </w:lvl>
    <w:lvl w:ilvl="3" w:tentative="0">
      <w:start w:val="1"/>
      <w:numFmt w:val="decimal"/>
      <w:lvlText w:val="%4."/>
      <w:lvlJc w:val="left"/>
      <w:pPr>
        <w:tabs>
          <w:tab w:val="left" w:pos="-420"/>
        </w:tabs>
        <w:ind w:left="-86" w:hanging="420"/>
      </w:pPr>
    </w:lvl>
    <w:lvl w:ilvl="4" w:tentative="0">
      <w:start w:val="1"/>
      <w:numFmt w:val="lowerLetter"/>
      <w:lvlText w:val="%5)"/>
      <w:lvlJc w:val="left"/>
      <w:pPr>
        <w:tabs>
          <w:tab w:val="left" w:pos="-420"/>
        </w:tabs>
        <w:ind w:left="334" w:hanging="420"/>
      </w:pPr>
    </w:lvl>
    <w:lvl w:ilvl="5" w:tentative="0">
      <w:start w:val="1"/>
      <w:numFmt w:val="lowerRoman"/>
      <w:lvlText w:val="%6."/>
      <w:lvlJc w:val="right"/>
      <w:pPr>
        <w:tabs>
          <w:tab w:val="left" w:pos="-420"/>
        </w:tabs>
        <w:ind w:left="754" w:hanging="420"/>
      </w:pPr>
    </w:lvl>
    <w:lvl w:ilvl="6" w:tentative="0">
      <w:start w:val="1"/>
      <w:numFmt w:val="decimal"/>
      <w:lvlText w:val="%7."/>
      <w:lvlJc w:val="left"/>
      <w:pPr>
        <w:tabs>
          <w:tab w:val="left" w:pos="-420"/>
        </w:tabs>
        <w:ind w:left="1174" w:hanging="420"/>
      </w:pPr>
    </w:lvl>
    <w:lvl w:ilvl="7" w:tentative="0">
      <w:start w:val="1"/>
      <w:numFmt w:val="lowerLetter"/>
      <w:lvlText w:val="%8)"/>
      <w:lvlJc w:val="left"/>
      <w:pPr>
        <w:tabs>
          <w:tab w:val="left" w:pos="-420"/>
        </w:tabs>
        <w:ind w:left="1594" w:hanging="420"/>
      </w:pPr>
    </w:lvl>
    <w:lvl w:ilvl="8" w:tentative="0">
      <w:start w:val="1"/>
      <w:numFmt w:val="lowerRoman"/>
      <w:lvlText w:val="%9."/>
      <w:lvlJc w:val="right"/>
      <w:pPr>
        <w:tabs>
          <w:tab w:val="left" w:pos="-420"/>
        </w:tabs>
        <w:ind w:left="2014" w:hanging="420"/>
      </w:pPr>
    </w:lvl>
  </w:abstractNum>
  <w:abstractNum w:abstractNumId="90">
    <w:nsid w:val="322E5445"/>
    <w:multiLevelType w:val="multilevel"/>
    <w:tmpl w:val="322E5445"/>
    <w:lvl w:ilvl="0" w:tentative="0">
      <w:start w:val="1"/>
      <w:numFmt w:val="lowerLetter"/>
      <w:lvlText w:val="%1)"/>
      <w:lvlJc w:val="left"/>
      <w:pPr>
        <w:tabs>
          <w:tab w:val="left" w:pos="-840"/>
        </w:tabs>
        <w:ind w:left="480" w:hanging="420"/>
      </w:pPr>
      <w:rPr>
        <w:rFonts w:hint="eastAsia" w:cs="Times New Roman"/>
      </w:rPr>
    </w:lvl>
    <w:lvl w:ilvl="1" w:tentative="0">
      <w:start w:val="1"/>
      <w:numFmt w:val="lowerLetter"/>
      <w:lvlText w:val="%2)"/>
      <w:lvlJc w:val="left"/>
      <w:pPr>
        <w:tabs>
          <w:tab w:val="left" w:pos="-840"/>
        </w:tabs>
        <w:ind w:left="-1346" w:hanging="420"/>
      </w:pPr>
    </w:lvl>
    <w:lvl w:ilvl="2" w:tentative="0">
      <w:start w:val="1"/>
      <w:numFmt w:val="lowerRoman"/>
      <w:lvlText w:val="%3."/>
      <w:lvlJc w:val="right"/>
      <w:pPr>
        <w:tabs>
          <w:tab w:val="left" w:pos="-840"/>
        </w:tabs>
        <w:ind w:left="-926" w:hanging="420"/>
      </w:pPr>
    </w:lvl>
    <w:lvl w:ilvl="3" w:tentative="0">
      <w:start w:val="1"/>
      <w:numFmt w:val="decimal"/>
      <w:lvlText w:val="%4."/>
      <w:lvlJc w:val="left"/>
      <w:pPr>
        <w:tabs>
          <w:tab w:val="left" w:pos="-840"/>
        </w:tabs>
        <w:ind w:left="-506" w:hanging="420"/>
      </w:pPr>
    </w:lvl>
    <w:lvl w:ilvl="4" w:tentative="0">
      <w:start w:val="1"/>
      <w:numFmt w:val="lowerLetter"/>
      <w:lvlText w:val="%5)"/>
      <w:lvlJc w:val="left"/>
      <w:pPr>
        <w:tabs>
          <w:tab w:val="left" w:pos="-840"/>
        </w:tabs>
        <w:ind w:left="-86" w:hanging="420"/>
      </w:pPr>
    </w:lvl>
    <w:lvl w:ilvl="5" w:tentative="0">
      <w:start w:val="1"/>
      <w:numFmt w:val="lowerRoman"/>
      <w:lvlText w:val="%6."/>
      <w:lvlJc w:val="right"/>
      <w:pPr>
        <w:tabs>
          <w:tab w:val="left" w:pos="-840"/>
        </w:tabs>
        <w:ind w:left="334" w:hanging="420"/>
      </w:pPr>
    </w:lvl>
    <w:lvl w:ilvl="6" w:tentative="0">
      <w:start w:val="1"/>
      <w:numFmt w:val="decimal"/>
      <w:lvlText w:val="%7."/>
      <w:lvlJc w:val="left"/>
      <w:pPr>
        <w:tabs>
          <w:tab w:val="left" w:pos="-840"/>
        </w:tabs>
        <w:ind w:left="754" w:hanging="420"/>
      </w:pPr>
    </w:lvl>
    <w:lvl w:ilvl="7" w:tentative="0">
      <w:start w:val="1"/>
      <w:numFmt w:val="lowerLetter"/>
      <w:lvlText w:val="%8)"/>
      <w:lvlJc w:val="left"/>
      <w:pPr>
        <w:tabs>
          <w:tab w:val="left" w:pos="-840"/>
        </w:tabs>
        <w:ind w:left="1174" w:hanging="420"/>
      </w:pPr>
    </w:lvl>
    <w:lvl w:ilvl="8" w:tentative="0">
      <w:start w:val="1"/>
      <w:numFmt w:val="lowerRoman"/>
      <w:lvlText w:val="%9."/>
      <w:lvlJc w:val="right"/>
      <w:pPr>
        <w:tabs>
          <w:tab w:val="left" w:pos="-840"/>
        </w:tabs>
        <w:ind w:left="1594" w:hanging="420"/>
      </w:pPr>
    </w:lvl>
  </w:abstractNum>
  <w:abstractNum w:abstractNumId="91">
    <w:nsid w:val="35874898"/>
    <w:multiLevelType w:val="multilevel"/>
    <w:tmpl w:val="35874898"/>
    <w:lvl w:ilvl="0" w:tentative="0">
      <w:start w:val="1"/>
      <w:numFmt w:val="decimal"/>
      <w:lvlText w:val="7.16.1.%1"/>
      <w:lvlJc w:val="left"/>
      <w:pPr>
        <w:ind w:left="420" w:hanging="420"/>
      </w:pPr>
      <w:rPr>
        <w:rFonts w:hint="default" w:ascii="Times New Roman" w:hAnsi="Times New Roman" w:cs="Times New Roman"/>
        <w:b w:val="0"/>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92">
    <w:nsid w:val="37A323D6"/>
    <w:multiLevelType w:val="multilevel"/>
    <w:tmpl w:val="37A323D6"/>
    <w:lvl w:ilvl="0" w:tentative="0">
      <w:start w:val="1"/>
      <w:numFmt w:val="lowerLetter"/>
      <w:lvlText w:val="%1)"/>
      <w:lvlJc w:val="left"/>
      <w:pPr>
        <w:tabs>
          <w:tab w:val="left" w:pos="-420"/>
        </w:tabs>
        <w:ind w:left="758" w:hanging="420"/>
      </w:pPr>
      <w:rPr>
        <w:rFonts w:hint="eastAsia" w:cs="Times New Roman"/>
      </w:rPr>
    </w:lvl>
    <w:lvl w:ilvl="1" w:tentative="0">
      <w:start w:val="1"/>
      <w:numFmt w:val="lowerLetter"/>
      <w:lvlText w:val="%2)"/>
      <w:lvlJc w:val="left"/>
      <w:pPr>
        <w:tabs>
          <w:tab w:val="left" w:pos="-420"/>
        </w:tabs>
        <w:ind w:left="-1068" w:hanging="420"/>
      </w:pPr>
    </w:lvl>
    <w:lvl w:ilvl="2" w:tentative="0">
      <w:start w:val="1"/>
      <w:numFmt w:val="lowerRoman"/>
      <w:lvlText w:val="%3."/>
      <w:lvlJc w:val="right"/>
      <w:pPr>
        <w:tabs>
          <w:tab w:val="left" w:pos="-420"/>
        </w:tabs>
        <w:ind w:left="-648" w:hanging="420"/>
      </w:pPr>
    </w:lvl>
    <w:lvl w:ilvl="3" w:tentative="0">
      <w:start w:val="1"/>
      <w:numFmt w:val="decimal"/>
      <w:lvlText w:val="%4."/>
      <w:lvlJc w:val="left"/>
      <w:pPr>
        <w:tabs>
          <w:tab w:val="left" w:pos="-420"/>
        </w:tabs>
        <w:ind w:left="-228" w:hanging="420"/>
      </w:pPr>
    </w:lvl>
    <w:lvl w:ilvl="4" w:tentative="0">
      <w:start w:val="1"/>
      <w:numFmt w:val="lowerLetter"/>
      <w:lvlText w:val="%5)"/>
      <w:lvlJc w:val="left"/>
      <w:pPr>
        <w:tabs>
          <w:tab w:val="left" w:pos="-420"/>
        </w:tabs>
        <w:ind w:left="192" w:hanging="420"/>
      </w:pPr>
    </w:lvl>
    <w:lvl w:ilvl="5" w:tentative="0">
      <w:start w:val="1"/>
      <w:numFmt w:val="lowerRoman"/>
      <w:lvlText w:val="%6."/>
      <w:lvlJc w:val="right"/>
      <w:pPr>
        <w:tabs>
          <w:tab w:val="left" w:pos="-420"/>
        </w:tabs>
        <w:ind w:left="612" w:hanging="420"/>
      </w:pPr>
    </w:lvl>
    <w:lvl w:ilvl="6" w:tentative="0">
      <w:start w:val="1"/>
      <w:numFmt w:val="decimal"/>
      <w:lvlText w:val="%7."/>
      <w:lvlJc w:val="left"/>
      <w:pPr>
        <w:tabs>
          <w:tab w:val="left" w:pos="-420"/>
        </w:tabs>
        <w:ind w:left="1032" w:hanging="420"/>
      </w:pPr>
    </w:lvl>
    <w:lvl w:ilvl="7" w:tentative="0">
      <w:start w:val="1"/>
      <w:numFmt w:val="lowerLetter"/>
      <w:lvlText w:val="%8)"/>
      <w:lvlJc w:val="left"/>
      <w:pPr>
        <w:tabs>
          <w:tab w:val="left" w:pos="-420"/>
        </w:tabs>
        <w:ind w:left="1452" w:hanging="420"/>
      </w:pPr>
    </w:lvl>
    <w:lvl w:ilvl="8" w:tentative="0">
      <w:start w:val="1"/>
      <w:numFmt w:val="lowerRoman"/>
      <w:lvlText w:val="%9."/>
      <w:lvlJc w:val="right"/>
      <w:pPr>
        <w:tabs>
          <w:tab w:val="left" w:pos="-420"/>
        </w:tabs>
        <w:ind w:left="1872" w:hanging="420"/>
      </w:pPr>
    </w:lvl>
  </w:abstractNum>
  <w:abstractNum w:abstractNumId="93">
    <w:nsid w:val="384B602F"/>
    <w:multiLevelType w:val="multilevel"/>
    <w:tmpl w:val="384B602F"/>
    <w:lvl w:ilvl="0" w:tentative="0">
      <w:start w:val="1"/>
      <w:numFmt w:val="decimal"/>
      <w:lvlText w:val="%1."/>
      <w:lvlJc w:val="left"/>
      <w:pPr>
        <w:ind w:left="425" w:hanging="425"/>
      </w:pPr>
    </w:lvl>
    <w:lvl w:ilvl="1" w:tentative="0">
      <w:start w:val="1"/>
      <w:numFmt w:val="decimal"/>
      <w:lvlText w:val="%2)"/>
      <w:lvlJc w:val="left"/>
      <w:pPr>
        <w:ind w:left="567" w:hanging="567"/>
      </w:pPr>
      <w:rPr>
        <w:rFonts w:hint="default" w:ascii="Times New Roman" w:hAnsi="Times New Roman" w:eastAsia="宋体" w:cs="Times New Roman"/>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94">
    <w:nsid w:val="387B7FF3"/>
    <w:multiLevelType w:val="multilevel"/>
    <w:tmpl w:val="387B7FF3"/>
    <w:lvl w:ilvl="0" w:tentative="0">
      <w:start w:val="1"/>
      <w:numFmt w:val="decimal"/>
      <w:lvlText w:val="%1."/>
      <w:lvlJc w:val="left"/>
      <w:pPr>
        <w:ind w:left="425" w:hanging="425"/>
      </w:pPr>
    </w:lvl>
    <w:lvl w:ilvl="1" w:tentative="0">
      <w:start w:val="1"/>
      <w:numFmt w:val="decimal"/>
      <w:lvlText w:val="%2)"/>
      <w:lvlJc w:val="left"/>
      <w:pPr>
        <w:ind w:left="567" w:hanging="567"/>
      </w:pPr>
      <w:rPr>
        <w:rFonts w:hint="default" w:ascii="Times New Roman" w:hAnsi="Times New Roman" w:eastAsia="宋体" w:cs="Times New Roman"/>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95">
    <w:nsid w:val="38804CA1"/>
    <w:multiLevelType w:val="multilevel"/>
    <w:tmpl w:val="38804CA1"/>
    <w:lvl w:ilvl="0" w:tentative="0">
      <w:start w:val="1"/>
      <w:numFmt w:val="decimal"/>
      <w:lvlText w:val="%1."/>
      <w:lvlJc w:val="left"/>
      <w:pPr>
        <w:ind w:left="425" w:hanging="425"/>
      </w:pPr>
    </w:lvl>
    <w:lvl w:ilvl="1" w:tentative="0">
      <w:start w:val="1"/>
      <w:numFmt w:val="decimal"/>
      <w:lvlText w:val="%2)"/>
      <w:lvlJc w:val="left"/>
      <w:pPr>
        <w:ind w:left="567" w:hanging="567"/>
      </w:pPr>
      <w:rPr>
        <w:rFonts w:hint="default" w:ascii="Times New Roman" w:hAnsi="Times New Roman" w:eastAsia="宋体" w:cs="Times New Roman"/>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96">
    <w:nsid w:val="391C2F80"/>
    <w:multiLevelType w:val="multilevel"/>
    <w:tmpl w:val="391C2F80"/>
    <w:lvl w:ilvl="0" w:tentative="0">
      <w:start w:val="1"/>
      <w:numFmt w:val="lowerLetter"/>
      <w:lvlText w:val="%1)"/>
      <w:lvlJc w:val="left"/>
      <w:pPr>
        <w:tabs>
          <w:tab w:val="left" w:pos="-420"/>
        </w:tabs>
        <w:ind w:left="758" w:hanging="420"/>
      </w:pPr>
      <w:rPr>
        <w:rFonts w:hint="eastAsia" w:cs="Times New Roman"/>
      </w:rPr>
    </w:lvl>
    <w:lvl w:ilvl="1" w:tentative="0">
      <w:start w:val="1"/>
      <w:numFmt w:val="lowerLetter"/>
      <w:lvlText w:val="%2)"/>
      <w:lvlJc w:val="left"/>
      <w:pPr>
        <w:tabs>
          <w:tab w:val="left" w:pos="-420"/>
        </w:tabs>
        <w:ind w:left="-1068" w:hanging="420"/>
      </w:pPr>
    </w:lvl>
    <w:lvl w:ilvl="2" w:tentative="0">
      <w:start w:val="1"/>
      <w:numFmt w:val="lowerRoman"/>
      <w:lvlText w:val="%3."/>
      <w:lvlJc w:val="right"/>
      <w:pPr>
        <w:tabs>
          <w:tab w:val="left" w:pos="-420"/>
        </w:tabs>
        <w:ind w:left="-648" w:hanging="420"/>
      </w:pPr>
    </w:lvl>
    <w:lvl w:ilvl="3" w:tentative="0">
      <w:start w:val="1"/>
      <w:numFmt w:val="decimal"/>
      <w:lvlText w:val="%4."/>
      <w:lvlJc w:val="left"/>
      <w:pPr>
        <w:tabs>
          <w:tab w:val="left" w:pos="-420"/>
        </w:tabs>
        <w:ind w:left="-228" w:hanging="420"/>
      </w:pPr>
    </w:lvl>
    <w:lvl w:ilvl="4" w:tentative="0">
      <w:start w:val="1"/>
      <w:numFmt w:val="lowerLetter"/>
      <w:lvlText w:val="%5)"/>
      <w:lvlJc w:val="left"/>
      <w:pPr>
        <w:tabs>
          <w:tab w:val="left" w:pos="-420"/>
        </w:tabs>
        <w:ind w:left="192" w:hanging="420"/>
      </w:pPr>
    </w:lvl>
    <w:lvl w:ilvl="5" w:tentative="0">
      <w:start w:val="1"/>
      <w:numFmt w:val="lowerRoman"/>
      <w:lvlText w:val="%6."/>
      <w:lvlJc w:val="right"/>
      <w:pPr>
        <w:tabs>
          <w:tab w:val="left" w:pos="-420"/>
        </w:tabs>
        <w:ind w:left="612" w:hanging="420"/>
      </w:pPr>
    </w:lvl>
    <w:lvl w:ilvl="6" w:tentative="0">
      <w:start w:val="1"/>
      <w:numFmt w:val="decimal"/>
      <w:lvlText w:val="%7."/>
      <w:lvlJc w:val="left"/>
      <w:pPr>
        <w:tabs>
          <w:tab w:val="left" w:pos="-420"/>
        </w:tabs>
        <w:ind w:left="1032" w:hanging="420"/>
      </w:pPr>
    </w:lvl>
    <w:lvl w:ilvl="7" w:tentative="0">
      <w:start w:val="1"/>
      <w:numFmt w:val="lowerLetter"/>
      <w:lvlText w:val="%8)"/>
      <w:lvlJc w:val="left"/>
      <w:pPr>
        <w:tabs>
          <w:tab w:val="left" w:pos="-420"/>
        </w:tabs>
        <w:ind w:left="1452" w:hanging="420"/>
      </w:pPr>
    </w:lvl>
    <w:lvl w:ilvl="8" w:tentative="0">
      <w:start w:val="1"/>
      <w:numFmt w:val="lowerRoman"/>
      <w:lvlText w:val="%9."/>
      <w:lvlJc w:val="right"/>
      <w:pPr>
        <w:tabs>
          <w:tab w:val="left" w:pos="-420"/>
        </w:tabs>
        <w:ind w:left="1872" w:hanging="420"/>
      </w:pPr>
    </w:lvl>
  </w:abstractNum>
  <w:abstractNum w:abstractNumId="97">
    <w:nsid w:val="3A557BEC"/>
    <w:multiLevelType w:val="multilevel"/>
    <w:tmpl w:val="3A557BEC"/>
    <w:lvl w:ilvl="0" w:tentative="0">
      <w:start w:val="1"/>
      <w:numFmt w:val="lowerLetter"/>
      <w:lvlText w:val="%1)"/>
      <w:lvlJc w:val="left"/>
      <w:pPr>
        <w:tabs>
          <w:tab w:val="left" w:pos="-420"/>
        </w:tabs>
        <w:ind w:left="900" w:hanging="420"/>
      </w:pPr>
      <w:rPr>
        <w:rFonts w:hint="eastAsia" w:cs="Times New Roman"/>
      </w:rPr>
    </w:lvl>
    <w:lvl w:ilvl="1" w:tentative="0">
      <w:start w:val="1"/>
      <w:numFmt w:val="lowerLetter"/>
      <w:lvlText w:val="%2)"/>
      <w:lvlJc w:val="left"/>
      <w:pPr>
        <w:tabs>
          <w:tab w:val="left" w:pos="-420"/>
        </w:tabs>
        <w:ind w:left="-926" w:hanging="420"/>
      </w:pPr>
    </w:lvl>
    <w:lvl w:ilvl="2" w:tentative="0">
      <w:start w:val="1"/>
      <w:numFmt w:val="lowerRoman"/>
      <w:lvlText w:val="%3."/>
      <w:lvlJc w:val="right"/>
      <w:pPr>
        <w:tabs>
          <w:tab w:val="left" w:pos="-420"/>
        </w:tabs>
        <w:ind w:left="-506" w:hanging="420"/>
      </w:pPr>
    </w:lvl>
    <w:lvl w:ilvl="3" w:tentative="0">
      <w:start w:val="1"/>
      <w:numFmt w:val="decimal"/>
      <w:lvlText w:val="%4."/>
      <w:lvlJc w:val="left"/>
      <w:pPr>
        <w:tabs>
          <w:tab w:val="left" w:pos="-420"/>
        </w:tabs>
        <w:ind w:left="-86" w:hanging="420"/>
      </w:pPr>
    </w:lvl>
    <w:lvl w:ilvl="4" w:tentative="0">
      <w:start w:val="1"/>
      <w:numFmt w:val="lowerLetter"/>
      <w:lvlText w:val="%5)"/>
      <w:lvlJc w:val="left"/>
      <w:pPr>
        <w:tabs>
          <w:tab w:val="left" w:pos="-420"/>
        </w:tabs>
        <w:ind w:left="334" w:hanging="420"/>
      </w:pPr>
    </w:lvl>
    <w:lvl w:ilvl="5" w:tentative="0">
      <w:start w:val="1"/>
      <w:numFmt w:val="lowerRoman"/>
      <w:lvlText w:val="%6."/>
      <w:lvlJc w:val="right"/>
      <w:pPr>
        <w:tabs>
          <w:tab w:val="left" w:pos="-420"/>
        </w:tabs>
        <w:ind w:left="754" w:hanging="420"/>
      </w:pPr>
    </w:lvl>
    <w:lvl w:ilvl="6" w:tentative="0">
      <w:start w:val="1"/>
      <w:numFmt w:val="decimal"/>
      <w:lvlText w:val="%7."/>
      <w:lvlJc w:val="left"/>
      <w:pPr>
        <w:tabs>
          <w:tab w:val="left" w:pos="-420"/>
        </w:tabs>
        <w:ind w:left="1174" w:hanging="420"/>
      </w:pPr>
    </w:lvl>
    <w:lvl w:ilvl="7" w:tentative="0">
      <w:start w:val="1"/>
      <w:numFmt w:val="lowerLetter"/>
      <w:lvlText w:val="%8)"/>
      <w:lvlJc w:val="left"/>
      <w:pPr>
        <w:tabs>
          <w:tab w:val="left" w:pos="-420"/>
        </w:tabs>
        <w:ind w:left="1594" w:hanging="420"/>
      </w:pPr>
    </w:lvl>
    <w:lvl w:ilvl="8" w:tentative="0">
      <w:start w:val="1"/>
      <w:numFmt w:val="lowerRoman"/>
      <w:lvlText w:val="%9."/>
      <w:lvlJc w:val="right"/>
      <w:pPr>
        <w:tabs>
          <w:tab w:val="left" w:pos="-420"/>
        </w:tabs>
        <w:ind w:left="2014" w:hanging="420"/>
      </w:pPr>
    </w:lvl>
  </w:abstractNum>
  <w:abstractNum w:abstractNumId="98">
    <w:nsid w:val="3B5612FA"/>
    <w:multiLevelType w:val="multilevel"/>
    <w:tmpl w:val="3B5612FA"/>
    <w:lvl w:ilvl="0" w:tentative="0">
      <w:start w:val="1"/>
      <w:numFmt w:val="lowerLetter"/>
      <w:lvlText w:val="%1)"/>
      <w:lvlJc w:val="left"/>
      <w:pPr>
        <w:ind w:left="1178" w:hanging="420"/>
      </w:pPr>
      <w:rPr>
        <w:rFonts w:hint="eastAsia" w:cs="Times New Roman"/>
      </w:rPr>
    </w:lvl>
    <w:lvl w:ilvl="1" w:tentative="0">
      <w:start w:val="1"/>
      <w:numFmt w:val="lowerLetter"/>
      <w:lvlText w:val="%2)"/>
      <w:lvlJc w:val="left"/>
      <w:pPr>
        <w:ind w:left="-648" w:hanging="420"/>
      </w:pPr>
      <w:rPr>
        <w:rFonts w:hint="eastAsia"/>
      </w:rPr>
    </w:lvl>
    <w:lvl w:ilvl="2" w:tentative="0">
      <w:start w:val="1"/>
      <w:numFmt w:val="lowerRoman"/>
      <w:lvlText w:val="%3."/>
      <w:lvlJc w:val="right"/>
      <w:pPr>
        <w:ind w:left="-228" w:hanging="420"/>
      </w:pPr>
      <w:rPr>
        <w:rFonts w:hint="eastAsia"/>
      </w:rPr>
    </w:lvl>
    <w:lvl w:ilvl="3" w:tentative="0">
      <w:start w:val="1"/>
      <w:numFmt w:val="decimal"/>
      <w:lvlText w:val="%4."/>
      <w:lvlJc w:val="left"/>
      <w:pPr>
        <w:ind w:left="192" w:hanging="420"/>
      </w:pPr>
      <w:rPr>
        <w:rFonts w:hint="eastAsia"/>
      </w:rPr>
    </w:lvl>
    <w:lvl w:ilvl="4" w:tentative="0">
      <w:start w:val="1"/>
      <w:numFmt w:val="lowerLetter"/>
      <w:lvlText w:val="%5)"/>
      <w:lvlJc w:val="left"/>
      <w:pPr>
        <w:ind w:left="612" w:hanging="420"/>
      </w:pPr>
      <w:rPr>
        <w:rFonts w:hint="eastAsia"/>
      </w:rPr>
    </w:lvl>
    <w:lvl w:ilvl="5" w:tentative="0">
      <w:start w:val="1"/>
      <w:numFmt w:val="lowerRoman"/>
      <w:lvlText w:val="%6."/>
      <w:lvlJc w:val="right"/>
      <w:pPr>
        <w:ind w:left="1032" w:hanging="420"/>
      </w:pPr>
      <w:rPr>
        <w:rFonts w:hint="eastAsia"/>
      </w:rPr>
    </w:lvl>
    <w:lvl w:ilvl="6" w:tentative="0">
      <w:start w:val="1"/>
      <w:numFmt w:val="decimal"/>
      <w:lvlText w:val="%7."/>
      <w:lvlJc w:val="left"/>
      <w:pPr>
        <w:ind w:left="1452" w:hanging="420"/>
      </w:pPr>
      <w:rPr>
        <w:rFonts w:hint="eastAsia"/>
      </w:rPr>
    </w:lvl>
    <w:lvl w:ilvl="7" w:tentative="0">
      <w:start w:val="1"/>
      <w:numFmt w:val="lowerLetter"/>
      <w:lvlText w:val="%8)"/>
      <w:lvlJc w:val="left"/>
      <w:pPr>
        <w:ind w:left="1872" w:hanging="420"/>
      </w:pPr>
      <w:rPr>
        <w:rFonts w:hint="eastAsia"/>
      </w:rPr>
    </w:lvl>
    <w:lvl w:ilvl="8" w:tentative="0">
      <w:start w:val="1"/>
      <w:numFmt w:val="lowerRoman"/>
      <w:lvlText w:val="%9."/>
      <w:lvlJc w:val="right"/>
      <w:pPr>
        <w:ind w:left="2292" w:hanging="420"/>
      </w:pPr>
      <w:rPr>
        <w:rFonts w:hint="eastAsia"/>
      </w:rPr>
    </w:lvl>
  </w:abstractNum>
  <w:abstractNum w:abstractNumId="99">
    <w:nsid w:val="3BDA2C55"/>
    <w:multiLevelType w:val="multilevel"/>
    <w:tmpl w:val="3BDA2C55"/>
    <w:lvl w:ilvl="0" w:tentative="0">
      <w:start w:val="1"/>
      <w:numFmt w:val="decimal"/>
      <w:lvlText w:val="%1."/>
      <w:lvlJc w:val="left"/>
      <w:pPr>
        <w:ind w:left="425" w:hanging="425"/>
      </w:pPr>
    </w:lvl>
    <w:lvl w:ilvl="1" w:tentative="0">
      <w:start w:val="1"/>
      <w:numFmt w:val="decimal"/>
      <w:lvlText w:val="%2)"/>
      <w:lvlJc w:val="left"/>
      <w:pPr>
        <w:ind w:left="567" w:hanging="567"/>
      </w:pPr>
      <w:rPr>
        <w:rFonts w:hint="default" w:ascii="Times New Roman" w:hAnsi="Times New Roman" w:eastAsia="宋体" w:cs="Times New Roman"/>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100">
    <w:nsid w:val="3C7805CB"/>
    <w:multiLevelType w:val="multilevel"/>
    <w:tmpl w:val="3C7805CB"/>
    <w:lvl w:ilvl="0" w:tentative="0">
      <w:start w:val="1"/>
      <w:numFmt w:val="decimal"/>
      <w:lvlText w:val="（%1）"/>
      <w:lvlJc w:val="left"/>
      <w:pPr>
        <w:ind w:left="920" w:hanging="440"/>
      </w:pPr>
      <w:rPr>
        <w:rFonts w:hint="eastAsia"/>
      </w:rPr>
    </w:lvl>
    <w:lvl w:ilvl="1" w:tentative="0">
      <w:start w:val="1"/>
      <w:numFmt w:val="lowerLetter"/>
      <w:lvlText w:val="%2)"/>
      <w:lvlJc w:val="left"/>
      <w:pPr>
        <w:ind w:left="1360" w:hanging="440"/>
      </w:pPr>
    </w:lvl>
    <w:lvl w:ilvl="2" w:tentative="0">
      <w:start w:val="1"/>
      <w:numFmt w:val="lowerRoman"/>
      <w:lvlText w:val="%3."/>
      <w:lvlJc w:val="right"/>
      <w:pPr>
        <w:ind w:left="1800" w:hanging="440"/>
      </w:pPr>
    </w:lvl>
    <w:lvl w:ilvl="3" w:tentative="0">
      <w:start w:val="1"/>
      <w:numFmt w:val="decimal"/>
      <w:lvlText w:val="%4."/>
      <w:lvlJc w:val="left"/>
      <w:pPr>
        <w:ind w:left="2240" w:hanging="440"/>
      </w:pPr>
    </w:lvl>
    <w:lvl w:ilvl="4" w:tentative="0">
      <w:start w:val="1"/>
      <w:numFmt w:val="lowerLetter"/>
      <w:lvlText w:val="%5)"/>
      <w:lvlJc w:val="left"/>
      <w:pPr>
        <w:ind w:left="2680" w:hanging="440"/>
      </w:pPr>
    </w:lvl>
    <w:lvl w:ilvl="5" w:tentative="0">
      <w:start w:val="1"/>
      <w:numFmt w:val="lowerRoman"/>
      <w:lvlText w:val="%6."/>
      <w:lvlJc w:val="right"/>
      <w:pPr>
        <w:ind w:left="3120" w:hanging="440"/>
      </w:pPr>
    </w:lvl>
    <w:lvl w:ilvl="6" w:tentative="0">
      <w:start w:val="1"/>
      <w:numFmt w:val="decimal"/>
      <w:lvlText w:val="%7."/>
      <w:lvlJc w:val="left"/>
      <w:pPr>
        <w:ind w:left="3560" w:hanging="440"/>
      </w:pPr>
    </w:lvl>
    <w:lvl w:ilvl="7" w:tentative="0">
      <w:start w:val="1"/>
      <w:numFmt w:val="lowerLetter"/>
      <w:lvlText w:val="%8)"/>
      <w:lvlJc w:val="left"/>
      <w:pPr>
        <w:ind w:left="4000" w:hanging="440"/>
      </w:pPr>
    </w:lvl>
    <w:lvl w:ilvl="8" w:tentative="0">
      <w:start w:val="1"/>
      <w:numFmt w:val="lowerRoman"/>
      <w:lvlText w:val="%9."/>
      <w:lvlJc w:val="right"/>
      <w:pPr>
        <w:ind w:left="4440" w:hanging="440"/>
      </w:pPr>
    </w:lvl>
  </w:abstractNum>
  <w:abstractNum w:abstractNumId="101">
    <w:nsid w:val="3D7D3386"/>
    <w:multiLevelType w:val="multilevel"/>
    <w:tmpl w:val="3D7D3386"/>
    <w:lvl w:ilvl="0" w:tentative="0">
      <w:start w:val="1"/>
      <w:numFmt w:val="lowerLetter"/>
      <w:lvlText w:val="%1)"/>
      <w:lvlJc w:val="left"/>
      <w:pPr>
        <w:ind w:left="1178" w:hanging="420"/>
      </w:pPr>
      <w:rPr>
        <w:rFonts w:hint="eastAsia" w:cs="Times New Roman"/>
      </w:rPr>
    </w:lvl>
    <w:lvl w:ilvl="1" w:tentative="0">
      <w:start w:val="1"/>
      <w:numFmt w:val="lowerLetter"/>
      <w:lvlText w:val="%2)"/>
      <w:lvlJc w:val="left"/>
      <w:pPr>
        <w:ind w:left="-648" w:hanging="420"/>
      </w:pPr>
      <w:rPr>
        <w:rFonts w:hint="eastAsia"/>
      </w:rPr>
    </w:lvl>
    <w:lvl w:ilvl="2" w:tentative="0">
      <w:start w:val="1"/>
      <w:numFmt w:val="lowerRoman"/>
      <w:lvlText w:val="%3."/>
      <w:lvlJc w:val="right"/>
      <w:pPr>
        <w:ind w:left="-228" w:hanging="420"/>
      </w:pPr>
      <w:rPr>
        <w:rFonts w:hint="eastAsia"/>
      </w:rPr>
    </w:lvl>
    <w:lvl w:ilvl="3" w:tentative="0">
      <w:start w:val="1"/>
      <w:numFmt w:val="decimal"/>
      <w:lvlText w:val="%4."/>
      <w:lvlJc w:val="left"/>
      <w:pPr>
        <w:ind w:left="192" w:hanging="420"/>
      </w:pPr>
      <w:rPr>
        <w:rFonts w:hint="eastAsia"/>
      </w:rPr>
    </w:lvl>
    <w:lvl w:ilvl="4" w:tentative="0">
      <w:start w:val="1"/>
      <w:numFmt w:val="lowerLetter"/>
      <w:lvlText w:val="%5)"/>
      <w:lvlJc w:val="left"/>
      <w:pPr>
        <w:ind w:left="612" w:hanging="420"/>
      </w:pPr>
      <w:rPr>
        <w:rFonts w:hint="eastAsia"/>
      </w:rPr>
    </w:lvl>
    <w:lvl w:ilvl="5" w:tentative="0">
      <w:start w:val="1"/>
      <w:numFmt w:val="lowerRoman"/>
      <w:lvlText w:val="%6."/>
      <w:lvlJc w:val="right"/>
      <w:pPr>
        <w:ind w:left="1032" w:hanging="420"/>
      </w:pPr>
      <w:rPr>
        <w:rFonts w:hint="eastAsia"/>
      </w:rPr>
    </w:lvl>
    <w:lvl w:ilvl="6" w:tentative="0">
      <w:start w:val="1"/>
      <w:numFmt w:val="decimal"/>
      <w:lvlText w:val="%7."/>
      <w:lvlJc w:val="left"/>
      <w:pPr>
        <w:ind w:left="1452" w:hanging="420"/>
      </w:pPr>
      <w:rPr>
        <w:rFonts w:hint="eastAsia"/>
      </w:rPr>
    </w:lvl>
    <w:lvl w:ilvl="7" w:tentative="0">
      <w:start w:val="1"/>
      <w:numFmt w:val="lowerLetter"/>
      <w:lvlText w:val="%8)"/>
      <w:lvlJc w:val="left"/>
      <w:pPr>
        <w:ind w:left="1872" w:hanging="420"/>
      </w:pPr>
      <w:rPr>
        <w:rFonts w:hint="eastAsia"/>
      </w:rPr>
    </w:lvl>
    <w:lvl w:ilvl="8" w:tentative="0">
      <w:start w:val="1"/>
      <w:numFmt w:val="lowerRoman"/>
      <w:lvlText w:val="%9."/>
      <w:lvlJc w:val="right"/>
      <w:pPr>
        <w:ind w:left="2292" w:hanging="420"/>
      </w:pPr>
      <w:rPr>
        <w:rFonts w:hint="eastAsia"/>
      </w:rPr>
    </w:lvl>
  </w:abstractNum>
  <w:abstractNum w:abstractNumId="102">
    <w:nsid w:val="3EE943DF"/>
    <w:multiLevelType w:val="multilevel"/>
    <w:tmpl w:val="3EE943DF"/>
    <w:lvl w:ilvl="0" w:tentative="0">
      <w:start w:val="1"/>
      <w:numFmt w:val="decimal"/>
      <w:lvlText w:val="%1."/>
      <w:lvlJc w:val="left"/>
      <w:pPr>
        <w:ind w:left="425" w:hanging="425"/>
      </w:pPr>
    </w:lvl>
    <w:lvl w:ilvl="1" w:tentative="0">
      <w:start w:val="1"/>
      <w:numFmt w:val="decimal"/>
      <w:lvlText w:val="%2)"/>
      <w:lvlJc w:val="left"/>
      <w:pPr>
        <w:ind w:left="567" w:hanging="567"/>
      </w:pPr>
      <w:rPr>
        <w:rFonts w:hint="default" w:ascii="Times New Roman" w:hAnsi="Times New Roman" w:eastAsia="宋体" w:cs="Times New Roman"/>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103">
    <w:nsid w:val="40524E71"/>
    <w:multiLevelType w:val="multilevel"/>
    <w:tmpl w:val="40524E71"/>
    <w:lvl w:ilvl="0" w:tentative="0">
      <w:start w:val="1"/>
      <w:numFmt w:val="decimal"/>
      <w:lvlText w:val="%1）"/>
      <w:lvlJc w:val="right"/>
      <w:pPr>
        <w:tabs>
          <w:tab w:val="left" w:pos="-420"/>
        </w:tabs>
        <w:ind w:left="480" w:hanging="420"/>
      </w:pPr>
      <w:rPr>
        <w:rFonts w:hint="eastAsia"/>
      </w:rPr>
    </w:lvl>
    <w:lvl w:ilvl="1" w:tentative="0">
      <w:start w:val="1"/>
      <w:numFmt w:val="lowerLetter"/>
      <w:lvlText w:val="%2)"/>
      <w:lvlJc w:val="left"/>
      <w:pPr>
        <w:tabs>
          <w:tab w:val="left" w:pos="-420"/>
        </w:tabs>
        <w:ind w:left="900" w:hanging="420"/>
      </w:pPr>
    </w:lvl>
    <w:lvl w:ilvl="2" w:tentative="0">
      <w:start w:val="1"/>
      <w:numFmt w:val="lowerRoman"/>
      <w:lvlText w:val="%3."/>
      <w:lvlJc w:val="right"/>
      <w:pPr>
        <w:tabs>
          <w:tab w:val="left" w:pos="-420"/>
        </w:tabs>
        <w:ind w:left="1320" w:hanging="420"/>
      </w:pPr>
    </w:lvl>
    <w:lvl w:ilvl="3" w:tentative="0">
      <w:start w:val="1"/>
      <w:numFmt w:val="decimal"/>
      <w:lvlText w:val="%4."/>
      <w:lvlJc w:val="left"/>
      <w:pPr>
        <w:tabs>
          <w:tab w:val="left" w:pos="-420"/>
        </w:tabs>
        <w:ind w:left="1740" w:hanging="420"/>
      </w:pPr>
    </w:lvl>
    <w:lvl w:ilvl="4" w:tentative="0">
      <w:start w:val="1"/>
      <w:numFmt w:val="lowerLetter"/>
      <w:lvlText w:val="%5)"/>
      <w:lvlJc w:val="left"/>
      <w:pPr>
        <w:tabs>
          <w:tab w:val="left" w:pos="-420"/>
        </w:tabs>
        <w:ind w:left="2160" w:hanging="420"/>
      </w:pPr>
    </w:lvl>
    <w:lvl w:ilvl="5" w:tentative="0">
      <w:start w:val="1"/>
      <w:numFmt w:val="lowerRoman"/>
      <w:lvlText w:val="%6."/>
      <w:lvlJc w:val="right"/>
      <w:pPr>
        <w:tabs>
          <w:tab w:val="left" w:pos="-420"/>
        </w:tabs>
        <w:ind w:left="2580" w:hanging="420"/>
      </w:pPr>
    </w:lvl>
    <w:lvl w:ilvl="6" w:tentative="0">
      <w:start w:val="1"/>
      <w:numFmt w:val="decimal"/>
      <w:lvlText w:val="%7."/>
      <w:lvlJc w:val="left"/>
      <w:pPr>
        <w:tabs>
          <w:tab w:val="left" w:pos="-420"/>
        </w:tabs>
        <w:ind w:left="3000" w:hanging="420"/>
      </w:pPr>
    </w:lvl>
    <w:lvl w:ilvl="7" w:tentative="0">
      <w:start w:val="1"/>
      <w:numFmt w:val="lowerLetter"/>
      <w:lvlText w:val="%8)"/>
      <w:lvlJc w:val="left"/>
      <w:pPr>
        <w:tabs>
          <w:tab w:val="left" w:pos="-420"/>
        </w:tabs>
        <w:ind w:left="3420" w:hanging="420"/>
      </w:pPr>
    </w:lvl>
    <w:lvl w:ilvl="8" w:tentative="0">
      <w:start w:val="1"/>
      <w:numFmt w:val="lowerRoman"/>
      <w:lvlText w:val="%9."/>
      <w:lvlJc w:val="right"/>
      <w:pPr>
        <w:tabs>
          <w:tab w:val="left" w:pos="-420"/>
        </w:tabs>
        <w:ind w:left="3840" w:hanging="420"/>
      </w:pPr>
    </w:lvl>
  </w:abstractNum>
  <w:abstractNum w:abstractNumId="104">
    <w:nsid w:val="45005EAA"/>
    <w:multiLevelType w:val="multilevel"/>
    <w:tmpl w:val="45005EAA"/>
    <w:lvl w:ilvl="0" w:tentative="0">
      <w:start w:val="1"/>
      <w:numFmt w:val="decimal"/>
      <w:lvlText w:val="%1."/>
      <w:lvlJc w:val="left"/>
      <w:pPr>
        <w:ind w:left="425" w:hanging="425"/>
      </w:pPr>
    </w:lvl>
    <w:lvl w:ilvl="1" w:tentative="0">
      <w:start w:val="1"/>
      <w:numFmt w:val="decimal"/>
      <w:lvlText w:val="%2)"/>
      <w:lvlJc w:val="left"/>
      <w:pPr>
        <w:ind w:left="567" w:hanging="567"/>
      </w:pPr>
      <w:rPr>
        <w:rFonts w:hint="default" w:ascii="Times New Roman" w:hAnsi="Times New Roman" w:eastAsia="宋体" w:cs="Times New Roman"/>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105">
    <w:nsid w:val="459E0D5A"/>
    <w:multiLevelType w:val="multilevel"/>
    <w:tmpl w:val="459E0D5A"/>
    <w:lvl w:ilvl="0" w:tentative="0">
      <w:start w:val="1"/>
      <w:numFmt w:val="decimal"/>
      <w:lvlText w:val="(%1)"/>
      <w:lvlJc w:val="left"/>
      <w:pPr>
        <w:ind w:left="846" w:hanging="420"/>
      </w:pPr>
      <w:rPr>
        <w:rFonts w:hint="default" w:ascii="宋体" w:hAnsi="宋体" w:eastAsia="宋体"/>
        <w:b w:val="0"/>
        <w:color w:val="auto"/>
        <w:sz w:val="21"/>
        <w:szCs w:val="21"/>
      </w:rPr>
    </w:lvl>
    <w:lvl w:ilvl="1" w:tentative="0">
      <w:start w:val="1"/>
      <w:numFmt w:val="lowerLetter"/>
      <w:lvlText w:val="%2)"/>
      <w:lvlJc w:val="left"/>
      <w:pPr>
        <w:ind w:left="1260" w:hanging="420"/>
      </w:pPr>
      <w:rPr>
        <w:rFonts w:hint="eastAsia"/>
        <w:color w:val="auto"/>
      </w:rPr>
    </w:lvl>
    <w:lvl w:ilvl="2" w:tentative="0">
      <w:start w:val="1"/>
      <w:numFmt w:val="lowerLetter"/>
      <w:lvlText w:val="%3."/>
      <w:lvlJc w:val="left"/>
      <w:pPr>
        <w:ind w:left="1620" w:hanging="360"/>
      </w:pPr>
      <w:rPr>
        <w:rFonts w:hint="default"/>
      </w:rPr>
    </w:lvl>
    <w:lvl w:ilvl="3" w:tentative="0">
      <w:start w:val="1"/>
      <w:numFmt w:val="decimal"/>
      <w:lvlText w:val="%4."/>
      <w:lvlJc w:val="left"/>
      <w:pPr>
        <w:ind w:left="2100" w:hanging="420"/>
      </w:pPr>
      <w:rPr>
        <w:rFonts w:hint="eastAsia"/>
      </w:rPr>
    </w:lvl>
    <w:lvl w:ilvl="4" w:tentative="0">
      <w:start w:val="1"/>
      <w:numFmt w:val="lowerLetter"/>
      <w:lvlText w:val="%5)"/>
      <w:lvlJc w:val="left"/>
      <w:pPr>
        <w:ind w:left="2520" w:hanging="420"/>
      </w:pPr>
      <w:rPr>
        <w:rFonts w:hint="eastAsia"/>
      </w:rPr>
    </w:lvl>
    <w:lvl w:ilvl="5" w:tentative="0">
      <w:start w:val="1"/>
      <w:numFmt w:val="lowerRoman"/>
      <w:lvlText w:val="%6."/>
      <w:lvlJc w:val="right"/>
      <w:pPr>
        <w:ind w:left="2940" w:hanging="420"/>
      </w:pPr>
      <w:rPr>
        <w:rFonts w:hint="eastAsia"/>
      </w:rPr>
    </w:lvl>
    <w:lvl w:ilvl="6" w:tentative="0">
      <w:start w:val="1"/>
      <w:numFmt w:val="decimal"/>
      <w:lvlText w:val="%7."/>
      <w:lvlJc w:val="left"/>
      <w:pPr>
        <w:ind w:left="3360" w:hanging="420"/>
      </w:pPr>
      <w:rPr>
        <w:rFonts w:hint="eastAsia"/>
      </w:rPr>
    </w:lvl>
    <w:lvl w:ilvl="7" w:tentative="0">
      <w:start w:val="1"/>
      <w:numFmt w:val="lowerLetter"/>
      <w:lvlText w:val="%8)"/>
      <w:lvlJc w:val="left"/>
      <w:pPr>
        <w:ind w:left="3780" w:hanging="420"/>
      </w:pPr>
      <w:rPr>
        <w:rFonts w:hint="eastAsia"/>
      </w:rPr>
    </w:lvl>
    <w:lvl w:ilvl="8" w:tentative="0">
      <w:start w:val="1"/>
      <w:numFmt w:val="lowerRoman"/>
      <w:lvlText w:val="%9."/>
      <w:lvlJc w:val="right"/>
      <w:pPr>
        <w:ind w:left="4200" w:hanging="420"/>
      </w:pPr>
      <w:rPr>
        <w:rFonts w:hint="eastAsia"/>
      </w:rPr>
    </w:lvl>
  </w:abstractNum>
  <w:abstractNum w:abstractNumId="106">
    <w:nsid w:val="46894739"/>
    <w:multiLevelType w:val="multilevel"/>
    <w:tmpl w:val="46894739"/>
    <w:lvl w:ilvl="0" w:tentative="0">
      <w:start w:val="1"/>
      <w:numFmt w:val="decimal"/>
      <w:lvlText w:val="%1)"/>
      <w:lvlJc w:val="left"/>
      <w:pPr>
        <w:tabs>
          <w:tab w:val="left" w:pos="-420"/>
        </w:tabs>
        <w:ind w:left="300" w:hanging="720"/>
      </w:pPr>
      <w:rPr>
        <w:rFonts w:hint="eastAsia"/>
      </w:rPr>
    </w:lvl>
    <w:lvl w:ilvl="1" w:tentative="0">
      <w:start w:val="1"/>
      <w:numFmt w:val="lowerLetter"/>
      <w:lvlText w:val="%2)"/>
      <w:lvlJc w:val="left"/>
      <w:pPr>
        <w:tabs>
          <w:tab w:val="left" w:pos="-420"/>
        </w:tabs>
        <w:ind w:left="420" w:hanging="420"/>
      </w:pPr>
    </w:lvl>
    <w:lvl w:ilvl="2" w:tentative="0">
      <w:start w:val="1"/>
      <w:numFmt w:val="lowerRoman"/>
      <w:lvlText w:val="%3."/>
      <w:lvlJc w:val="right"/>
      <w:pPr>
        <w:tabs>
          <w:tab w:val="left" w:pos="-420"/>
        </w:tabs>
        <w:ind w:left="840" w:hanging="420"/>
      </w:pPr>
    </w:lvl>
    <w:lvl w:ilvl="3" w:tentative="0">
      <w:start w:val="1"/>
      <w:numFmt w:val="decimal"/>
      <w:lvlText w:val="%4."/>
      <w:lvlJc w:val="left"/>
      <w:pPr>
        <w:tabs>
          <w:tab w:val="left" w:pos="-420"/>
        </w:tabs>
        <w:ind w:left="1260" w:hanging="420"/>
      </w:pPr>
    </w:lvl>
    <w:lvl w:ilvl="4" w:tentative="0">
      <w:start w:val="1"/>
      <w:numFmt w:val="lowerLetter"/>
      <w:lvlText w:val="%5)"/>
      <w:lvlJc w:val="left"/>
      <w:pPr>
        <w:tabs>
          <w:tab w:val="left" w:pos="-420"/>
        </w:tabs>
        <w:ind w:left="1680" w:hanging="420"/>
      </w:pPr>
    </w:lvl>
    <w:lvl w:ilvl="5" w:tentative="0">
      <w:start w:val="1"/>
      <w:numFmt w:val="lowerRoman"/>
      <w:lvlText w:val="%6."/>
      <w:lvlJc w:val="right"/>
      <w:pPr>
        <w:tabs>
          <w:tab w:val="left" w:pos="-420"/>
        </w:tabs>
        <w:ind w:left="2100" w:hanging="420"/>
      </w:pPr>
    </w:lvl>
    <w:lvl w:ilvl="6" w:tentative="0">
      <w:start w:val="1"/>
      <w:numFmt w:val="decimal"/>
      <w:lvlText w:val="%7."/>
      <w:lvlJc w:val="left"/>
      <w:pPr>
        <w:tabs>
          <w:tab w:val="left" w:pos="-420"/>
        </w:tabs>
        <w:ind w:left="2520" w:hanging="420"/>
      </w:pPr>
    </w:lvl>
    <w:lvl w:ilvl="7" w:tentative="0">
      <w:start w:val="1"/>
      <w:numFmt w:val="lowerLetter"/>
      <w:lvlText w:val="%8)"/>
      <w:lvlJc w:val="left"/>
      <w:pPr>
        <w:tabs>
          <w:tab w:val="left" w:pos="-420"/>
        </w:tabs>
        <w:ind w:left="2940" w:hanging="420"/>
      </w:pPr>
    </w:lvl>
    <w:lvl w:ilvl="8" w:tentative="0">
      <w:start w:val="1"/>
      <w:numFmt w:val="lowerRoman"/>
      <w:lvlText w:val="%9."/>
      <w:lvlJc w:val="right"/>
      <w:pPr>
        <w:tabs>
          <w:tab w:val="left" w:pos="-420"/>
        </w:tabs>
        <w:ind w:left="3360" w:hanging="420"/>
      </w:pPr>
    </w:lvl>
  </w:abstractNum>
  <w:abstractNum w:abstractNumId="107">
    <w:nsid w:val="46C66CB4"/>
    <w:multiLevelType w:val="multilevel"/>
    <w:tmpl w:val="46C66CB4"/>
    <w:lvl w:ilvl="0" w:tentative="0">
      <w:start w:val="1"/>
      <w:numFmt w:val="lowerLetter"/>
      <w:lvlText w:val="%1)"/>
      <w:lvlJc w:val="left"/>
      <w:pPr>
        <w:tabs>
          <w:tab w:val="left" w:pos="-420"/>
        </w:tabs>
        <w:ind w:left="758" w:hanging="420"/>
      </w:pPr>
      <w:rPr>
        <w:rFonts w:hint="eastAsia" w:cs="Times New Roman"/>
      </w:rPr>
    </w:lvl>
    <w:lvl w:ilvl="1" w:tentative="0">
      <w:start w:val="1"/>
      <w:numFmt w:val="lowerLetter"/>
      <w:lvlText w:val="%2)"/>
      <w:lvlJc w:val="left"/>
      <w:pPr>
        <w:tabs>
          <w:tab w:val="left" w:pos="-420"/>
        </w:tabs>
        <w:ind w:left="-1068" w:hanging="420"/>
      </w:pPr>
    </w:lvl>
    <w:lvl w:ilvl="2" w:tentative="0">
      <w:start w:val="1"/>
      <w:numFmt w:val="lowerRoman"/>
      <w:lvlText w:val="%3."/>
      <w:lvlJc w:val="right"/>
      <w:pPr>
        <w:tabs>
          <w:tab w:val="left" w:pos="-420"/>
        </w:tabs>
        <w:ind w:left="-648" w:hanging="420"/>
      </w:pPr>
    </w:lvl>
    <w:lvl w:ilvl="3" w:tentative="0">
      <w:start w:val="1"/>
      <w:numFmt w:val="decimal"/>
      <w:lvlText w:val="%4."/>
      <w:lvlJc w:val="left"/>
      <w:pPr>
        <w:tabs>
          <w:tab w:val="left" w:pos="-420"/>
        </w:tabs>
        <w:ind w:left="-228" w:hanging="420"/>
      </w:pPr>
    </w:lvl>
    <w:lvl w:ilvl="4" w:tentative="0">
      <w:start w:val="1"/>
      <w:numFmt w:val="lowerLetter"/>
      <w:lvlText w:val="%5)"/>
      <w:lvlJc w:val="left"/>
      <w:pPr>
        <w:tabs>
          <w:tab w:val="left" w:pos="-420"/>
        </w:tabs>
        <w:ind w:left="192" w:hanging="420"/>
      </w:pPr>
    </w:lvl>
    <w:lvl w:ilvl="5" w:tentative="0">
      <w:start w:val="1"/>
      <w:numFmt w:val="lowerRoman"/>
      <w:lvlText w:val="%6."/>
      <w:lvlJc w:val="right"/>
      <w:pPr>
        <w:tabs>
          <w:tab w:val="left" w:pos="-420"/>
        </w:tabs>
        <w:ind w:left="612" w:hanging="420"/>
      </w:pPr>
    </w:lvl>
    <w:lvl w:ilvl="6" w:tentative="0">
      <w:start w:val="1"/>
      <w:numFmt w:val="decimal"/>
      <w:lvlText w:val="%7."/>
      <w:lvlJc w:val="left"/>
      <w:pPr>
        <w:tabs>
          <w:tab w:val="left" w:pos="-420"/>
        </w:tabs>
        <w:ind w:left="1032" w:hanging="420"/>
      </w:pPr>
    </w:lvl>
    <w:lvl w:ilvl="7" w:tentative="0">
      <w:start w:val="1"/>
      <w:numFmt w:val="lowerLetter"/>
      <w:lvlText w:val="%8)"/>
      <w:lvlJc w:val="left"/>
      <w:pPr>
        <w:tabs>
          <w:tab w:val="left" w:pos="-420"/>
        </w:tabs>
        <w:ind w:left="1452" w:hanging="420"/>
      </w:pPr>
    </w:lvl>
    <w:lvl w:ilvl="8" w:tentative="0">
      <w:start w:val="1"/>
      <w:numFmt w:val="lowerRoman"/>
      <w:lvlText w:val="%9."/>
      <w:lvlJc w:val="right"/>
      <w:pPr>
        <w:tabs>
          <w:tab w:val="left" w:pos="-420"/>
        </w:tabs>
        <w:ind w:left="1872" w:hanging="420"/>
      </w:pPr>
    </w:lvl>
  </w:abstractNum>
  <w:abstractNum w:abstractNumId="108">
    <w:nsid w:val="4717015F"/>
    <w:multiLevelType w:val="multilevel"/>
    <w:tmpl w:val="4717015F"/>
    <w:lvl w:ilvl="0" w:tentative="0">
      <w:start w:val="1"/>
      <w:numFmt w:val="lowerLetter"/>
      <w:lvlText w:val="%1)"/>
      <w:lvlJc w:val="left"/>
      <w:pPr>
        <w:tabs>
          <w:tab w:val="left" w:pos="-420"/>
        </w:tabs>
        <w:ind w:left="758" w:hanging="420"/>
      </w:pPr>
      <w:rPr>
        <w:rFonts w:hint="eastAsia" w:cs="Times New Roman"/>
      </w:rPr>
    </w:lvl>
    <w:lvl w:ilvl="1" w:tentative="0">
      <w:start w:val="1"/>
      <w:numFmt w:val="lowerLetter"/>
      <w:lvlText w:val="%2)"/>
      <w:lvlJc w:val="left"/>
      <w:pPr>
        <w:tabs>
          <w:tab w:val="left" w:pos="-420"/>
        </w:tabs>
        <w:ind w:left="-1068" w:hanging="420"/>
      </w:pPr>
    </w:lvl>
    <w:lvl w:ilvl="2" w:tentative="0">
      <w:start w:val="1"/>
      <w:numFmt w:val="lowerRoman"/>
      <w:lvlText w:val="%3."/>
      <w:lvlJc w:val="right"/>
      <w:pPr>
        <w:tabs>
          <w:tab w:val="left" w:pos="-420"/>
        </w:tabs>
        <w:ind w:left="-648" w:hanging="420"/>
      </w:pPr>
    </w:lvl>
    <w:lvl w:ilvl="3" w:tentative="0">
      <w:start w:val="1"/>
      <w:numFmt w:val="decimal"/>
      <w:lvlText w:val="%4."/>
      <w:lvlJc w:val="left"/>
      <w:pPr>
        <w:tabs>
          <w:tab w:val="left" w:pos="-420"/>
        </w:tabs>
        <w:ind w:left="-228" w:hanging="420"/>
      </w:pPr>
    </w:lvl>
    <w:lvl w:ilvl="4" w:tentative="0">
      <w:start w:val="1"/>
      <w:numFmt w:val="lowerLetter"/>
      <w:lvlText w:val="%5)"/>
      <w:lvlJc w:val="left"/>
      <w:pPr>
        <w:tabs>
          <w:tab w:val="left" w:pos="-420"/>
        </w:tabs>
        <w:ind w:left="192" w:hanging="420"/>
      </w:pPr>
    </w:lvl>
    <w:lvl w:ilvl="5" w:tentative="0">
      <w:start w:val="1"/>
      <w:numFmt w:val="lowerRoman"/>
      <w:lvlText w:val="%6."/>
      <w:lvlJc w:val="right"/>
      <w:pPr>
        <w:tabs>
          <w:tab w:val="left" w:pos="-420"/>
        </w:tabs>
        <w:ind w:left="612" w:hanging="420"/>
      </w:pPr>
    </w:lvl>
    <w:lvl w:ilvl="6" w:tentative="0">
      <w:start w:val="1"/>
      <w:numFmt w:val="decimal"/>
      <w:lvlText w:val="%7."/>
      <w:lvlJc w:val="left"/>
      <w:pPr>
        <w:tabs>
          <w:tab w:val="left" w:pos="-420"/>
        </w:tabs>
        <w:ind w:left="1032" w:hanging="420"/>
      </w:pPr>
    </w:lvl>
    <w:lvl w:ilvl="7" w:tentative="0">
      <w:start w:val="1"/>
      <w:numFmt w:val="lowerLetter"/>
      <w:lvlText w:val="%8)"/>
      <w:lvlJc w:val="left"/>
      <w:pPr>
        <w:tabs>
          <w:tab w:val="left" w:pos="-420"/>
        </w:tabs>
        <w:ind w:left="1452" w:hanging="420"/>
      </w:pPr>
    </w:lvl>
    <w:lvl w:ilvl="8" w:tentative="0">
      <w:start w:val="1"/>
      <w:numFmt w:val="lowerRoman"/>
      <w:lvlText w:val="%9."/>
      <w:lvlJc w:val="right"/>
      <w:pPr>
        <w:tabs>
          <w:tab w:val="left" w:pos="-420"/>
        </w:tabs>
        <w:ind w:left="1872" w:hanging="420"/>
      </w:pPr>
    </w:lvl>
  </w:abstractNum>
  <w:abstractNum w:abstractNumId="109">
    <w:nsid w:val="473A3DE6"/>
    <w:multiLevelType w:val="multilevel"/>
    <w:tmpl w:val="473A3DE6"/>
    <w:lvl w:ilvl="0" w:tentative="0">
      <w:start w:val="1"/>
      <w:numFmt w:val="decimal"/>
      <w:lvlText w:val="%1."/>
      <w:lvlJc w:val="left"/>
      <w:pPr>
        <w:ind w:left="425" w:hanging="425"/>
      </w:pPr>
    </w:lvl>
    <w:lvl w:ilvl="1" w:tentative="0">
      <w:start w:val="1"/>
      <w:numFmt w:val="decimal"/>
      <w:lvlText w:val="%2)"/>
      <w:lvlJc w:val="left"/>
      <w:pPr>
        <w:ind w:left="567" w:hanging="567"/>
      </w:pPr>
      <w:rPr>
        <w:rFonts w:hint="default" w:ascii="Times New Roman" w:hAnsi="Times New Roman" w:eastAsia="宋体" w:cs="Times New Roman"/>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110">
    <w:nsid w:val="47722751"/>
    <w:multiLevelType w:val="multilevel"/>
    <w:tmpl w:val="47722751"/>
    <w:lvl w:ilvl="0" w:tentative="0">
      <w:start w:val="1"/>
      <w:numFmt w:val="decimal"/>
      <w:lvlText w:val="%1)"/>
      <w:lvlJc w:val="left"/>
      <w:pPr>
        <w:tabs>
          <w:tab w:val="left" w:pos="-420"/>
        </w:tabs>
        <w:ind w:left="284" w:hanging="420"/>
      </w:pPr>
      <w:rPr>
        <w:rFonts w:hint="default"/>
      </w:rPr>
    </w:lvl>
    <w:lvl w:ilvl="1" w:tentative="0">
      <w:start w:val="1"/>
      <w:numFmt w:val="lowerLetter"/>
      <w:lvlText w:val="%2)"/>
      <w:lvlJc w:val="left"/>
      <w:pPr>
        <w:tabs>
          <w:tab w:val="left" w:pos="-420"/>
        </w:tabs>
        <w:ind w:left="704" w:hanging="420"/>
      </w:pPr>
    </w:lvl>
    <w:lvl w:ilvl="2" w:tentative="0">
      <w:start w:val="1"/>
      <w:numFmt w:val="lowerRoman"/>
      <w:lvlText w:val="%3."/>
      <w:lvlJc w:val="right"/>
      <w:pPr>
        <w:tabs>
          <w:tab w:val="left" w:pos="-420"/>
        </w:tabs>
        <w:ind w:left="1124" w:hanging="420"/>
      </w:pPr>
    </w:lvl>
    <w:lvl w:ilvl="3" w:tentative="0">
      <w:start w:val="1"/>
      <w:numFmt w:val="decimal"/>
      <w:lvlText w:val="%4."/>
      <w:lvlJc w:val="left"/>
      <w:pPr>
        <w:tabs>
          <w:tab w:val="left" w:pos="-420"/>
        </w:tabs>
        <w:ind w:left="1544" w:hanging="420"/>
      </w:pPr>
    </w:lvl>
    <w:lvl w:ilvl="4" w:tentative="0">
      <w:start w:val="1"/>
      <w:numFmt w:val="lowerLetter"/>
      <w:lvlText w:val="%5)"/>
      <w:lvlJc w:val="left"/>
      <w:pPr>
        <w:tabs>
          <w:tab w:val="left" w:pos="-420"/>
        </w:tabs>
        <w:ind w:left="1964" w:hanging="420"/>
      </w:pPr>
    </w:lvl>
    <w:lvl w:ilvl="5" w:tentative="0">
      <w:start w:val="1"/>
      <w:numFmt w:val="lowerRoman"/>
      <w:lvlText w:val="%6."/>
      <w:lvlJc w:val="right"/>
      <w:pPr>
        <w:tabs>
          <w:tab w:val="left" w:pos="-420"/>
        </w:tabs>
        <w:ind w:left="2384" w:hanging="420"/>
      </w:pPr>
    </w:lvl>
    <w:lvl w:ilvl="6" w:tentative="0">
      <w:start w:val="1"/>
      <w:numFmt w:val="decimal"/>
      <w:lvlText w:val="%7."/>
      <w:lvlJc w:val="left"/>
      <w:pPr>
        <w:tabs>
          <w:tab w:val="left" w:pos="-420"/>
        </w:tabs>
        <w:ind w:left="2804" w:hanging="420"/>
      </w:pPr>
    </w:lvl>
    <w:lvl w:ilvl="7" w:tentative="0">
      <w:start w:val="1"/>
      <w:numFmt w:val="lowerLetter"/>
      <w:lvlText w:val="%8)"/>
      <w:lvlJc w:val="left"/>
      <w:pPr>
        <w:tabs>
          <w:tab w:val="left" w:pos="-420"/>
        </w:tabs>
        <w:ind w:left="3224" w:hanging="420"/>
      </w:pPr>
    </w:lvl>
    <w:lvl w:ilvl="8" w:tentative="0">
      <w:start w:val="1"/>
      <w:numFmt w:val="lowerRoman"/>
      <w:lvlText w:val="%9."/>
      <w:lvlJc w:val="right"/>
      <w:pPr>
        <w:tabs>
          <w:tab w:val="left" w:pos="-420"/>
        </w:tabs>
        <w:ind w:left="3644" w:hanging="420"/>
      </w:pPr>
    </w:lvl>
  </w:abstractNum>
  <w:abstractNum w:abstractNumId="111">
    <w:nsid w:val="4AAC61A3"/>
    <w:multiLevelType w:val="multilevel"/>
    <w:tmpl w:val="4AAC61A3"/>
    <w:lvl w:ilvl="0" w:tentative="0">
      <w:start w:val="1"/>
      <w:numFmt w:val="decimal"/>
      <w:lvlText w:val="%1."/>
      <w:lvlJc w:val="left"/>
      <w:pPr>
        <w:ind w:left="425" w:hanging="425"/>
      </w:pPr>
    </w:lvl>
    <w:lvl w:ilvl="1" w:tentative="0">
      <w:start w:val="1"/>
      <w:numFmt w:val="decimal"/>
      <w:lvlText w:val="%2)"/>
      <w:lvlJc w:val="left"/>
      <w:pPr>
        <w:ind w:left="567" w:hanging="567"/>
      </w:pPr>
      <w:rPr>
        <w:rFonts w:hint="default" w:ascii="Times New Roman" w:hAnsi="Times New Roman" w:eastAsia="宋体" w:cs="Times New Roman"/>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112">
    <w:nsid w:val="4C39644D"/>
    <w:multiLevelType w:val="multilevel"/>
    <w:tmpl w:val="4C39644D"/>
    <w:lvl w:ilvl="0" w:tentative="0">
      <w:start w:val="1"/>
      <w:numFmt w:val="decimal"/>
      <w:lvlText w:val="%1."/>
      <w:lvlJc w:val="left"/>
      <w:pPr>
        <w:ind w:left="425" w:hanging="425"/>
      </w:pPr>
    </w:lvl>
    <w:lvl w:ilvl="1" w:tentative="0">
      <w:start w:val="1"/>
      <w:numFmt w:val="decimal"/>
      <w:lvlText w:val="%2)"/>
      <w:lvlJc w:val="left"/>
      <w:pPr>
        <w:ind w:left="567" w:hanging="567"/>
      </w:pPr>
      <w:rPr>
        <w:rFonts w:hint="default" w:ascii="Times New Roman" w:hAnsi="Times New Roman" w:eastAsia="宋体" w:cs="Times New Roman"/>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113">
    <w:nsid w:val="4CF2265C"/>
    <w:multiLevelType w:val="multilevel"/>
    <w:tmpl w:val="4CF2265C"/>
    <w:lvl w:ilvl="0" w:tentative="0">
      <w:start w:val="1"/>
      <w:numFmt w:val="lowerLetter"/>
      <w:lvlText w:val="%1)"/>
      <w:lvlJc w:val="left"/>
      <w:pPr>
        <w:ind w:left="1178" w:hanging="420"/>
      </w:pPr>
      <w:rPr>
        <w:rFonts w:hint="eastAsia" w:cs="Times New Roman"/>
      </w:rPr>
    </w:lvl>
    <w:lvl w:ilvl="1" w:tentative="0">
      <w:start w:val="1"/>
      <w:numFmt w:val="lowerLetter"/>
      <w:lvlText w:val="%2)"/>
      <w:lvlJc w:val="left"/>
      <w:pPr>
        <w:ind w:left="-648" w:hanging="420"/>
      </w:pPr>
      <w:rPr>
        <w:rFonts w:hint="eastAsia"/>
      </w:rPr>
    </w:lvl>
    <w:lvl w:ilvl="2" w:tentative="0">
      <w:start w:val="1"/>
      <w:numFmt w:val="lowerRoman"/>
      <w:lvlText w:val="%3."/>
      <w:lvlJc w:val="right"/>
      <w:pPr>
        <w:ind w:left="-228" w:hanging="420"/>
      </w:pPr>
      <w:rPr>
        <w:rFonts w:hint="eastAsia"/>
      </w:rPr>
    </w:lvl>
    <w:lvl w:ilvl="3" w:tentative="0">
      <w:start w:val="1"/>
      <w:numFmt w:val="decimal"/>
      <w:lvlText w:val="%4."/>
      <w:lvlJc w:val="left"/>
      <w:pPr>
        <w:ind w:left="192" w:hanging="420"/>
      </w:pPr>
      <w:rPr>
        <w:rFonts w:hint="eastAsia"/>
      </w:rPr>
    </w:lvl>
    <w:lvl w:ilvl="4" w:tentative="0">
      <w:start w:val="1"/>
      <w:numFmt w:val="lowerLetter"/>
      <w:lvlText w:val="%5)"/>
      <w:lvlJc w:val="left"/>
      <w:pPr>
        <w:ind w:left="612" w:hanging="420"/>
      </w:pPr>
      <w:rPr>
        <w:rFonts w:hint="eastAsia"/>
      </w:rPr>
    </w:lvl>
    <w:lvl w:ilvl="5" w:tentative="0">
      <w:start w:val="1"/>
      <w:numFmt w:val="lowerRoman"/>
      <w:lvlText w:val="%6."/>
      <w:lvlJc w:val="right"/>
      <w:pPr>
        <w:ind w:left="1032" w:hanging="420"/>
      </w:pPr>
      <w:rPr>
        <w:rFonts w:hint="eastAsia"/>
      </w:rPr>
    </w:lvl>
    <w:lvl w:ilvl="6" w:tentative="0">
      <w:start w:val="1"/>
      <w:numFmt w:val="decimal"/>
      <w:lvlText w:val="%7."/>
      <w:lvlJc w:val="left"/>
      <w:pPr>
        <w:ind w:left="1452" w:hanging="420"/>
      </w:pPr>
      <w:rPr>
        <w:rFonts w:hint="eastAsia"/>
      </w:rPr>
    </w:lvl>
    <w:lvl w:ilvl="7" w:tentative="0">
      <w:start w:val="1"/>
      <w:numFmt w:val="lowerLetter"/>
      <w:lvlText w:val="%8)"/>
      <w:lvlJc w:val="left"/>
      <w:pPr>
        <w:ind w:left="1872" w:hanging="420"/>
      </w:pPr>
      <w:rPr>
        <w:rFonts w:hint="eastAsia"/>
      </w:rPr>
    </w:lvl>
    <w:lvl w:ilvl="8" w:tentative="0">
      <w:start w:val="1"/>
      <w:numFmt w:val="lowerRoman"/>
      <w:lvlText w:val="%9."/>
      <w:lvlJc w:val="right"/>
      <w:pPr>
        <w:ind w:left="2292" w:hanging="420"/>
      </w:pPr>
      <w:rPr>
        <w:rFonts w:hint="eastAsia"/>
      </w:rPr>
    </w:lvl>
  </w:abstractNum>
  <w:abstractNum w:abstractNumId="114">
    <w:nsid w:val="4DD82564"/>
    <w:multiLevelType w:val="multilevel"/>
    <w:tmpl w:val="4DD82564"/>
    <w:lvl w:ilvl="0" w:tentative="0">
      <w:start w:val="1"/>
      <w:numFmt w:val="lowerLetter"/>
      <w:lvlText w:val="%1)"/>
      <w:lvlJc w:val="left"/>
      <w:pPr>
        <w:ind w:left="1178" w:hanging="420"/>
      </w:pPr>
      <w:rPr>
        <w:rFonts w:hint="eastAsia" w:cs="Times New Roman"/>
      </w:rPr>
    </w:lvl>
    <w:lvl w:ilvl="1" w:tentative="0">
      <w:start w:val="1"/>
      <w:numFmt w:val="lowerLetter"/>
      <w:lvlText w:val="%2)"/>
      <w:lvlJc w:val="left"/>
      <w:pPr>
        <w:ind w:left="-648" w:hanging="420"/>
      </w:pPr>
      <w:rPr>
        <w:rFonts w:hint="eastAsia"/>
      </w:rPr>
    </w:lvl>
    <w:lvl w:ilvl="2" w:tentative="0">
      <w:start w:val="1"/>
      <w:numFmt w:val="lowerRoman"/>
      <w:lvlText w:val="%3."/>
      <w:lvlJc w:val="right"/>
      <w:pPr>
        <w:ind w:left="-228" w:hanging="420"/>
      </w:pPr>
      <w:rPr>
        <w:rFonts w:hint="eastAsia"/>
      </w:rPr>
    </w:lvl>
    <w:lvl w:ilvl="3" w:tentative="0">
      <w:start w:val="1"/>
      <w:numFmt w:val="decimal"/>
      <w:lvlText w:val="%4."/>
      <w:lvlJc w:val="left"/>
      <w:pPr>
        <w:ind w:left="192" w:hanging="420"/>
      </w:pPr>
      <w:rPr>
        <w:rFonts w:hint="eastAsia"/>
      </w:rPr>
    </w:lvl>
    <w:lvl w:ilvl="4" w:tentative="0">
      <w:start w:val="1"/>
      <w:numFmt w:val="lowerLetter"/>
      <w:lvlText w:val="%5)"/>
      <w:lvlJc w:val="left"/>
      <w:pPr>
        <w:ind w:left="612" w:hanging="420"/>
      </w:pPr>
      <w:rPr>
        <w:rFonts w:hint="eastAsia"/>
      </w:rPr>
    </w:lvl>
    <w:lvl w:ilvl="5" w:tentative="0">
      <w:start w:val="1"/>
      <w:numFmt w:val="lowerRoman"/>
      <w:lvlText w:val="%6."/>
      <w:lvlJc w:val="right"/>
      <w:pPr>
        <w:ind w:left="1032" w:hanging="420"/>
      </w:pPr>
      <w:rPr>
        <w:rFonts w:hint="eastAsia"/>
      </w:rPr>
    </w:lvl>
    <w:lvl w:ilvl="6" w:tentative="0">
      <w:start w:val="1"/>
      <w:numFmt w:val="decimal"/>
      <w:lvlText w:val="%7."/>
      <w:lvlJc w:val="left"/>
      <w:pPr>
        <w:ind w:left="1452" w:hanging="420"/>
      </w:pPr>
      <w:rPr>
        <w:rFonts w:hint="eastAsia"/>
      </w:rPr>
    </w:lvl>
    <w:lvl w:ilvl="7" w:tentative="0">
      <w:start w:val="1"/>
      <w:numFmt w:val="lowerLetter"/>
      <w:lvlText w:val="%8)"/>
      <w:lvlJc w:val="left"/>
      <w:pPr>
        <w:ind w:left="1872" w:hanging="420"/>
      </w:pPr>
      <w:rPr>
        <w:rFonts w:hint="eastAsia"/>
      </w:rPr>
    </w:lvl>
    <w:lvl w:ilvl="8" w:tentative="0">
      <w:start w:val="1"/>
      <w:numFmt w:val="lowerRoman"/>
      <w:lvlText w:val="%9."/>
      <w:lvlJc w:val="right"/>
      <w:pPr>
        <w:ind w:left="2292" w:hanging="420"/>
      </w:pPr>
      <w:rPr>
        <w:rFonts w:hint="eastAsia"/>
      </w:rPr>
    </w:lvl>
  </w:abstractNum>
  <w:abstractNum w:abstractNumId="115">
    <w:nsid w:val="4FAD57F1"/>
    <w:multiLevelType w:val="multilevel"/>
    <w:tmpl w:val="4FAD57F1"/>
    <w:lvl w:ilvl="0" w:tentative="0">
      <w:start w:val="1"/>
      <w:numFmt w:val="decimal"/>
      <w:pStyle w:val="32"/>
      <w:lvlText w:val="8.17.%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16">
    <w:nsid w:val="4FD278F7"/>
    <w:multiLevelType w:val="multilevel"/>
    <w:tmpl w:val="4FD278F7"/>
    <w:lvl w:ilvl="0" w:tentative="0">
      <w:start w:val="1"/>
      <w:numFmt w:val="lowerLetter"/>
      <w:lvlText w:val="%1)"/>
      <w:lvlJc w:val="left"/>
      <w:pPr>
        <w:ind w:left="1178" w:hanging="420"/>
      </w:pPr>
      <w:rPr>
        <w:rFonts w:hint="eastAsia" w:cs="Times New Roman"/>
      </w:rPr>
    </w:lvl>
    <w:lvl w:ilvl="1" w:tentative="0">
      <w:start w:val="1"/>
      <w:numFmt w:val="lowerLetter"/>
      <w:lvlText w:val="%2)"/>
      <w:lvlJc w:val="left"/>
      <w:pPr>
        <w:ind w:left="-648" w:hanging="420"/>
      </w:pPr>
      <w:rPr>
        <w:rFonts w:hint="eastAsia"/>
      </w:rPr>
    </w:lvl>
    <w:lvl w:ilvl="2" w:tentative="0">
      <w:start w:val="1"/>
      <w:numFmt w:val="lowerRoman"/>
      <w:lvlText w:val="%3."/>
      <w:lvlJc w:val="right"/>
      <w:pPr>
        <w:ind w:left="-228" w:hanging="420"/>
      </w:pPr>
      <w:rPr>
        <w:rFonts w:hint="eastAsia"/>
      </w:rPr>
    </w:lvl>
    <w:lvl w:ilvl="3" w:tentative="0">
      <w:start w:val="1"/>
      <w:numFmt w:val="decimal"/>
      <w:lvlText w:val="%4."/>
      <w:lvlJc w:val="left"/>
      <w:pPr>
        <w:ind w:left="192" w:hanging="420"/>
      </w:pPr>
      <w:rPr>
        <w:rFonts w:hint="eastAsia"/>
      </w:rPr>
    </w:lvl>
    <w:lvl w:ilvl="4" w:tentative="0">
      <w:start w:val="1"/>
      <w:numFmt w:val="lowerLetter"/>
      <w:lvlText w:val="%5)"/>
      <w:lvlJc w:val="left"/>
      <w:pPr>
        <w:ind w:left="612" w:hanging="420"/>
      </w:pPr>
      <w:rPr>
        <w:rFonts w:hint="eastAsia"/>
      </w:rPr>
    </w:lvl>
    <w:lvl w:ilvl="5" w:tentative="0">
      <w:start w:val="1"/>
      <w:numFmt w:val="lowerRoman"/>
      <w:lvlText w:val="%6."/>
      <w:lvlJc w:val="right"/>
      <w:pPr>
        <w:ind w:left="1032" w:hanging="420"/>
      </w:pPr>
      <w:rPr>
        <w:rFonts w:hint="eastAsia"/>
      </w:rPr>
    </w:lvl>
    <w:lvl w:ilvl="6" w:tentative="0">
      <w:start w:val="1"/>
      <w:numFmt w:val="decimal"/>
      <w:lvlText w:val="%7."/>
      <w:lvlJc w:val="left"/>
      <w:pPr>
        <w:ind w:left="1452" w:hanging="420"/>
      </w:pPr>
      <w:rPr>
        <w:rFonts w:hint="eastAsia"/>
      </w:rPr>
    </w:lvl>
    <w:lvl w:ilvl="7" w:tentative="0">
      <w:start w:val="1"/>
      <w:numFmt w:val="lowerLetter"/>
      <w:lvlText w:val="%8)"/>
      <w:lvlJc w:val="left"/>
      <w:pPr>
        <w:ind w:left="1872" w:hanging="420"/>
      </w:pPr>
      <w:rPr>
        <w:rFonts w:hint="eastAsia"/>
      </w:rPr>
    </w:lvl>
    <w:lvl w:ilvl="8" w:tentative="0">
      <w:start w:val="1"/>
      <w:numFmt w:val="lowerRoman"/>
      <w:lvlText w:val="%9."/>
      <w:lvlJc w:val="right"/>
      <w:pPr>
        <w:ind w:left="2292" w:hanging="420"/>
      </w:pPr>
      <w:rPr>
        <w:rFonts w:hint="eastAsia"/>
      </w:rPr>
    </w:lvl>
  </w:abstractNum>
  <w:abstractNum w:abstractNumId="117">
    <w:nsid w:val="520D07FF"/>
    <w:multiLevelType w:val="multilevel"/>
    <w:tmpl w:val="520D07FF"/>
    <w:lvl w:ilvl="0" w:tentative="0">
      <w:start w:val="1"/>
      <w:numFmt w:val="decimal"/>
      <w:lvlText w:val="%1."/>
      <w:lvlJc w:val="left"/>
      <w:pPr>
        <w:ind w:left="425" w:hanging="425"/>
      </w:pPr>
    </w:lvl>
    <w:lvl w:ilvl="1" w:tentative="0">
      <w:start w:val="1"/>
      <w:numFmt w:val="decimal"/>
      <w:lvlText w:val="%2)"/>
      <w:lvlJc w:val="left"/>
      <w:pPr>
        <w:ind w:left="567" w:hanging="567"/>
      </w:pPr>
      <w:rPr>
        <w:rFonts w:hint="default" w:ascii="Times New Roman" w:hAnsi="Times New Roman" w:eastAsia="宋体" w:cs="Times New Roman"/>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118">
    <w:nsid w:val="540629EB"/>
    <w:multiLevelType w:val="multilevel"/>
    <w:tmpl w:val="540629EB"/>
    <w:lvl w:ilvl="0" w:tentative="0">
      <w:start w:val="1"/>
      <w:numFmt w:val="decimal"/>
      <w:lvlText w:val="%1."/>
      <w:lvlJc w:val="left"/>
      <w:pPr>
        <w:ind w:left="425" w:hanging="425"/>
      </w:pPr>
      <w:rPr>
        <w:rFonts w:hint="eastAsia"/>
      </w:rPr>
    </w:lvl>
    <w:lvl w:ilvl="1" w:tentative="0">
      <w:start w:val="1"/>
      <w:numFmt w:val="decimal"/>
      <w:lvlText w:val="%2)"/>
      <w:lvlJc w:val="left"/>
      <w:pPr>
        <w:ind w:left="567" w:hanging="567"/>
      </w:pPr>
      <w:rPr>
        <w:rFonts w:hint="default" w:ascii="Times New Roman" w:hAnsi="Times New Roman" w:eastAsia="宋体" w:cs="Times New Roman"/>
      </w:rPr>
    </w:lvl>
    <w:lvl w:ilvl="2" w:tentative="0">
      <w:start w:val="1"/>
      <w:numFmt w:val="decimal"/>
      <w:lvlText w:val="%1.%2.%3."/>
      <w:lvlJc w:val="left"/>
      <w:pPr>
        <w:ind w:left="709" w:hanging="709"/>
      </w:pPr>
      <w:rPr>
        <w:rFonts w:hint="eastAsia"/>
      </w:rPr>
    </w:lvl>
    <w:lvl w:ilvl="3" w:tentative="0">
      <w:start w:val="1"/>
      <w:numFmt w:val="decimal"/>
      <w:lvlText w:val="%1.%2.%3.%4."/>
      <w:lvlJc w:val="left"/>
      <w:pPr>
        <w:ind w:left="851" w:hanging="851"/>
      </w:pPr>
      <w:rPr>
        <w:rFonts w:hint="eastAsia"/>
      </w:rPr>
    </w:lvl>
    <w:lvl w:ilvl="4" w:tentative="0">
      <w:start w:val="1"/>
      <w:numFmt w:val="decimal"/>
      <w:lvlText w:val="%1.%2.%3.%4.%5."/>
      <w:lvlJc w:val="left"/>
      <w:pPr>
        <w:ind w:left="992" w:hanging="992"/>
      </w:pPr>
      <w:rPr>
        <w:rFonts w:hint="eastAsia"/>
      </w:rPr>
    </w:lvl>
    <w:lvl w:ilvl="5" w:tentative="0">
      <w:start w:val="1"/>
      <w:numFmt w:val="decimal"/>
      <w:lvlText w:val="%1.%2.%3.%4.%5.%6."/>
      <w:lvlJc w:val="left"/>
      <w:pPr>
        <w:ind w:left="1134" w:hanging="1134"/>
      </w:pPr>
      <w:rPr>
        <w:rFonts w:hint="eastAsia"/>
      </w:rPr>
    </w:lvl>
    <w:lvl w:ilvl="6" w:tentative="0">
      <w:start w:val="1"/>
      <w:numFmt w:val="decimal"/>
      <w:lvlText w:val="%1.%2.%3.%4.%5.%6.%7."/>
      <w:lvlJc w:val="left"/>
      <w:pPr>
        <w:ind w:left="1276" w:hanging="1276"/>
      </w:pPr>
      <w:rPr>
        <w:rFonts w:hint="eastAsia"/>
      </w:rPr>
    </w:lvl>
    <w:lvl w:ilvl="7" w:tentative="0">
      <w:start w:val="1"/>
      <w:numFmt w:val="decimal"/>
      <w:lvlText w:val="%1.%2.%3.%4.%5.%6.%7.%8."/>
      <w:lvlJc w:val="left"/>
      <w:pPr>
        <w:ind w:left="1418" w:hanging="1418"/>
      </w:pPr>
      <w:rPr>
        <w:rFonts w:hint="eastAsia"/>
      </w:rPr>
    </w:lvl>
    <w:lvl w:ilvl="8" w:tentative="0">
      <w:start w:val="1"/>
      <w:numFmt w:val="decimal"/>
      <w:lvlText w:val="%1.%2.%3.%4.%5.%6.%7.%8.%9."/>
      <w:lvlJc w:val="left"/>
      <w:pPr>
        <w:ind w:left="1559" w:hanging="1559"/>
      </w:pPr>
      <w:rPr>
        <w:rFonts w:hint="eastAsia"/>
      </w:rPr>
    </w:lvl>
  </w:abstractNum>
  <w:abstractNum w:abstractNumId="119">
    <w:nsid w:val="54D41EE5"/>
    <w:multiLevelType w:val="multilevel"/>
    <w:tmpl w:val="54D41EE5"/>
    <w:lvl w:ilvl="0" w:tentative="0">
      <w:start w:val="1"/>
      <w:numFmt w:val="decimal"/>
      <w:lvlText w:val="(%1)"/>
      <w:lvlJc w:val="left"/>
      <w:pPr>
        <w:ind w:left="846" w:hanging="420"/>
      </w:pPr>
      <w:rPr>
        <w:rFonts w:hint="default" w:ascii="宋体" w:hAnsi="宋体" w:eastAsia="宋体"/>
        <w:b w:val="0"/>
        <w:color w:val="auto"/>
        <w:sz w:val="21"/>
        <w:szCs w:val="21"/>
      </w:rPr>
    </w:lvl>
    <w:lvl w:ilvl="1" w:tentative="0">
      <w:start w:val="1"/>
      <w:numFmt w:val="lowerLetter"/>
      <w:lvlText w:val="%2)"/>
      <w:lvlJc w:val="left"/>
      <w:pPr>
        <w:ind w:left="1260" w:hanging="420"/>
      </w:pPr>
      <w:rPr>
        <w:rFonts w:hint="eastAsia"/>
        <w:color w:val="auto"/>
      </w:rPr>
    </w:lvl>
    <w:lvl w:ilvl="2" w:tentative="0">
      <w:start w:val="1"/>
      <w:numFmt w:val="lowerLetter"/>
      <w:lvlText w:val="%3."/>
      <w:lvlJc w:val="left"/>
      <w:pPr>
        <w:ind w:left="1620" w:hanging="360"/>
      </w:pPr>
      <w:rPr>
        <w:rFonts w:hint="default"/>
      </w:rPr>
    </w:lvl>
    <w:lvl w:ilvl="3" w:tentative="0">
      <w:start w:val="1"/>
      <w:numFmt w:val="decimal"/>
      <w:lvlText w:val="%4."/>
      <w:lvlJc w:val="left"/>
      <w:pPr>
        <w:ind w:left="2100" w:hanging="420"/>
      </w:pPr>
      <w:rPr>
        <w:rFonts w:hint="eastAsia"/>
      </w:rPr>
    </w:lvl>
    <w:lvl w:ilvl="4" w:tentative="0">
      <w:start w:val="1"/>
      <w:numFmt w:val="lowerLetter"/>
      <w:lvlText w:val="%5)"/>
      <w:lvlJc w:val="left"/>
      <w:pPr>
        <w:ind w:left="2520" w:hanging="420"/>
      </w:pPr>
      <w:rPr>
        <w:rFonts w:hint="eastAsia"/>
      </w:rPr>
    </w:lvl>
    <w:lvl w:ilvl="5" w:tentative="0">
      <w:start w:val="1"/>
      <w:numFmt w:val="lowerRoman"/>
      <w:lvlText w:val="%6."/>
      <w:lvlJc w:val="right"/>
      <w:pPr>
        <w:ind w:left="2940" w:hanging="420"/>
      </w:pPr>
      <w:rPr>
        <w:rFonts w:hint="eastAsia"/>
      </w:rPr>
    </w:lvl>
    <w:lvl w:ilvl="6" w:tentative="0">
      <w:start w:val="1"/>
      <w:numFmt w:val="decimal"/>
      <w:lvlText w:val="%7."/>
      <w:lvlJc w:val="left"/>
      <w:pPr>
        <w:ind w:left="3360" w:hanging="420"/>
      </w:pPr>
      <w:rPr>
        <w:rFonts w:hint="eastAsia"/>
      </w:rPr>
    </w:lvl>
    <w:lvl w:ilvl="7" w:tentative="0">
      <w:start w:val="1"/>
      <w:numFmt w:val="lowerLetter"/>
      <w:lvlText w:val="%8)"/>
      <w:lvlJc w:val="left"/>
      <w:pPr>
        <w:ind w:left="3780" w:hanging="420"/>
      </w:pPr>
      <w:rPr>
        <w:rFonts w:hint="eastAsia"/>
      </w:rPr>
    </w:lvl>
    <w:lvl w:ilvl="8" w:tentative="0">
      <w:start w:val="1"/>
      <w:numFmt w:val="lowerRoman"/>
      <w:lvlText w:val="%9."/>
      <w:lvlJc w:val="right"/>
      <w:pPr>
        <w:ind w:left="4200" w:hanging="420"/>
      </w:pPr>
      <w:rPr>
        <w:rFonts w:hint="eastAsia"/>
      </w:rPr>
    </w:lvl>
  </w:abstractNum>
  <w:abstractNum w:abstractNumId="120">
    <w:nsid w:val="55B301A9"/>
    <w:multiLevelType w:val="multilevel"/>
    <w:tmpl w:val="55B301A9"/>
    <w:lvl w:ilvl="0" w:tentative="0">
      <w:start w:val="1"/>
      <w:numFmt w:val="decimal"/>
      <w:lvlText w:val="%1)"/>
      <w:lvlJc w:val="left"/>
      <w:pPr>
        <w:tabs>
          <w:tab w:val="left" w:pos="-420"/>
        </w:tabs>
        <w:ind w:left="284" w:hanging="420"/>
      </w:pPr>
      <w:rPr>
        <w:rFonts w:hint="default"/>
      </w:rPr>
    </w:lvl>
    <w:lvl w:ilvl="1" w:tentative="0">
      <w:start w:val="1"/>
      <w:numFmt w:val="lowerLetter"/>
      <w:lvlText w:val="%2)"/>
      <w:lvlJc w:val="left"/>
      <w:pPr>
        <w:tabs>
          <w:tab w:val="left" w:pos="-420"/>
        </w:tabs>
        <w:ind w:left="704" w:hanging="420"/>
      </w:pPr>
    </w:lvl>
    <w:lvl w:ilvl="2" w:tentative="0">
      <w:start w:val="1"/>
      <w:numFmt w:val="lowerRoman"/>
      <w:lvlText w:val="%3."/>
      <w:lvlJc w:val="right"/>
      <w:pPr>
        <w:tabs>
          <w:tab w:val="left" w:pos="-420"/>
        </w:tabs>
        <w:ind w:left="1124" w:hanging="420"/>
      </w:pPr>
    </w:lvl>
    <w:lvl w:ilvl="3" w:tentative="0">
      <w:start w:val="1"/>
      <w:numFmt w:val="decimal"/>
      <w:lvlText w:val="%4."/>
      <w:lvlJc w:val="left"/>
      <w:pPr>
        <w:tabs>
          <w:tab w:val="left" w:pos="-420"/>
        </w:tabs>
        <w:ind w:left="1544" w:hanging="420"/>
      </w:pPr>
    </w:lvl>
    <w:lvl w:ilvl="4" w:tentative="0">
      <w:start w:val="1"/>
      <w:numFmt w:val="lowerLetter"/>
      <w:lvlText w:val="%5)"/>
      <w:lvlJc w:val="left"/>
      <w:pPr>
        <w:tabs>
          <w:tab w:val="left" w:pos="-420"/>
        </w:tabs>
        <w:ind w:left="1964" w:hanging="420"/>
      </w:pPr>
    </w:lvl>
    <w:lvl w:ilvl="5" w:tentative="0">
      <w:start w:val="1"/>
      <w:numFmt w:val="lowerRoman"/>
      <w:lvlText w:val="%6."/>
      <w:lvlJc w:val="right"/>
      <w:pPr>
        <w:tabs>
          <w:tab w:val="left" w:pos="-420"/>
        </w:tabs>
        <w:ind w:left="2384" w:hanging="420"/>
      </w:pPr>
    </w:lvl>
    <w:lvl w:ilvl="6" w:tentative="0">
      <w:start w:val="1"/>
      <w:numFmt w:val="decimal"/>
      <w:lvlText w:val="%7."/>
      <w:lvlJc w:val="left"/>
      <w:pPr>
        <w:tabs>
          <w:tab w:val="left" w:pos="-420"/>
        </w:tabs>
        <w:ind w:left="2804" w:hanging="420"/>
      </w:pPr>
    </w:lvl>
    <w:lvl w:ilvl="7" w:tentative="0">
      <w:start w:val="1"/>
      <w:numFmt w:val="lowerLetter"/>
      <w:lvlText w:val="%8)"/>
      <w:lvlJc w:val="left"/>
      <w:pPr>
        <w:tabs>
          <w:tab w:val="left" w:pos="-420"/>
        </w:tabs>
        <w:ind w:left="3224" w:hanging="420"/>
      </w:pPr>
    </w:lvl>
    <w:lvl w:ilvl="8" w:tentative="0">
      <w:start w:val="1"/>
      <w:numFmt w:val="lowerRoman"/>
      <w:lvlText w:val="%9."/>
      <w:lvlJc w:val="right"/>
      <w:pPr>
        <w:tabs>
          <w:tab w:val="left" w:pos="-420"/>
        </w:tabs>
        <w:ind w:left="3644" w:hanging="420"/>
      </w:pPr>
    </w:lvl>
  </w:abstractNum>
  <w:abstractNum w:abstractNumId="121">
    <w:nsid w:val="560071F3"/>
    <w:multiLevelType w:val="multilevel"/>
    <w:tmpl w:val="560071F3"/>
    <w:lvl w:ilvl="0" w:tentative="0">
      <w:start w:val="1"/>
      <w:numFmt w:val="decimal"/>
      <w:lvlText w:val="%1."/>
      <w:lvlJc w:val="left"/>
      <w:pPr>
        <w:ind w:left="425" w:hanging="425"/>
      </w:pPr>
    </w:lvl>
    <w:lvl w:ilvl="1" w:tentative="0">
      <w:start w:val="1"/>
      <w:numFmt w:val="decimal"/>
      <w:lvlText w:val="%2)"/>
      <w:lvlJc w:val="left"/>
      <w:pPr>
        <w:ind w:left="567" w:hanging="567"/>
      </w:pPr>
      <w:rPr>
        <w:rFonts w:hint="default" w:ascii="Times New Roman" w:hAnsi="Times New Roman" w:eastAsia="宋体" w:cs="Times New Roman"/>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122">
    <w:nsid w:val="56BE10A8"/>
    <w:multiLevelType w:val="multilevel"/>
    <w:tmpl w:val="56BE10A8"/>
    <w:lvl w:ilvl="0" w:tentative="0">
      <w:start w:val="1"/>
      <w:numFmt w:val="lowerLetter"/>
      <w:lvlText w:val="%1)"/>
      <w:lvlJc w:val="left"/>
      <w:pPr>
        <w:ind w:left="1178" w:hanging="420"/>
      </w:pPr>
      <w:rPr>
        <w:rFonts w:hint="eastAsia" w:cs="Times New Roman"/>
      </w:rPr>
    </w:lvl>
    <w:lvl w:ilvl="1" w:tentative="0">
      <w:start w:val="1"/>
      <w:numFmt w:val="lowerLetter"/>
      <w:lvlText w:val="%2)"/>
      <w:lvlJc w:val="left"/>
      <w:pPr>
        <w:ind w:left="-648" w:hanging="420"/>
      </w:pPr>
    </w:lvl>
    <w:lvl w:ilvl="2" w:tentative="0">
      <w:start w:val="1"/>
      <w:numFmt w:val="lowerRoman"/>
      <w:lvlText w:val="%3."/>
      <w:lvlJc w:val="right"/>
      <w:pPr>
        <w:ind w:left="-228" w:hanging="420"/>
      </w:pPr>
    </w:lvl>
    <w:lvl w:ilvl="3" w:tentative="0">
      <w:start w:val="1"/>
      <w:numFmt w:val="decimal"/>
      <w:lvlText w:val="%4."/>
      <w:lvlJc w:val="left"/>
      <w:pPr>
        <w:ind w:left="192" w:hanging="420"/>
      </w:pPr>
    </w:lvl>
    <w:lvl w:ilvl="4" w:tentative="0">
      <w:start w:val="1"/>
      <w:numFmt w:val="lowerLetter"/>
      <w:lvlText w:val="%5)"/>
      <w:lvlJc w:val="left"/>
      <w:pPr>
        <w:ind w:left="612" w:hanging="420"/>
      </w:pPr>
    </w:lvl>
    <w:lvl w:ilvl="5" w:tentative="0">
      <w:start w:val="1"/>
      <w:numFmt w:val="lowerRoman"/>
      <w:lvlText w:val="%6."/>
      <w:lvlJc w:val="right"/>
      <w:pPr>
        <w:ind w:left="1032" w:hanging="420"/>
      </w:pPr>
    </w:lvl>
    <w:lvl w:ilvl="6" w:tentative="0">
      <w:start w:val="1"/>
      <w:numFmt w:val="decimal"/>
      <w:lvlText w:val="%7."/>
      <w:lvlJc w:val="left"/>
      <w:pPr>
        <w:ind w:left="1452" w:hanging="420"/>
      </w:pPr>
    </w:lvl>
    <w:lvl w:ilvl="7" w:tentative="0">
      <w:start w:val="1"/>
      <w:numFmt w:val="lowerLetter"/>
      <w:lvlText w:val="%8)"/>
      <w:lvlJc w:val="left"/>
      <w:pPr>
        <w:ind w:left="1872" w:hanging="420"/>
      </w:pPr>
    </w:lvl>
    <w:lvl w:ilvl="8" w:tentative="0">
      <w:start w:val="1"/>
      <w:numFmt w:val="lowerRoman"/>
      <w:lvlText w:val="%9."/>
      <w:lvlJc w:val="right"/>
      <w:pPr>
        <w:ind w:left="2292" w:hanging="420"/>
      </w:pPr>
    </w:lvl>
  </w:abstractNum>
  <w:abstractNum w:abstractNumId="123">
    <w:nsid w:val="57F64988"/>
    <w:multiLevelType w:val="multilevel"/>
    <w:tmpl w:val="57F64988"/>
    <w:lvl w:ilvl="0" w:tentative="0">
      <w:start w:val="1"/>
      <w:numFmt w:val="lowerLetter"/>
      <w:lvlText w:val="%1)"/>
      <w:lvlJc w:val="left"/>
      <w:pPr>
        <w:ind w:left="1178" w:hanging="420"/>
      </w:pPr>
      <w:rPr>
        <w:rFonts w:hint="eastAsia" w:cs="Times New Roman"/>
      </w:rPr>
    </w:lvl>
    <w:lvl w:ilvl="1" w:tentative="0">
      <w:start w:val="1"/>
      <w:numFmt w:val="lowerLetter"/>
      <w:lvlText w:val="%2)"/>
      <w:lvlJc w:val="left"/>
      <w:pPr>
        <w:ind w:left="-648" w:hanging="420"/>
      </w:pPr>
    </w:lvl>
    <w:lvl w:ilvl="2" w:tentative="0">
      <w:start w:val="1"/>
      <w:numFmt w:val="lowerRoman"/>
      <w:lvlText w:val="%3."/>
      <w:lvlJc w:val="right"/>
      <w:pPr>
        <w:ind w:left="-228" w:hanging="420"/>
      </w:pPr>
    </w:lvl>
    <w:lvl w:ilvl="3" w:tentative="0">
      <w:start w:val="1"/>
      <w:numFmt w:val="decimal"/>
      <w:lvlText w:val="%4."/>
      <w:lvlJc w:val="left"/>
      <w:pPr>
        <w:ind w:left="192" w:hanging="420"/>
      </w:pPr>
    </w:lvl>
    <w:lvl w:ilvl="4" w:tentative="0">
      <w:start w:val="1"/>
      <w:numFmt w:val="lowerLetter"/>
      <w:lvlText w:val="%5)"/>
      <w:lvlJc w:val="left"/>
      <w:pPr>
        <w:ind w:left="612" w:hanging="420"/>
      </w:pPr>
    </w:lvl>
    <w:lvl w:ilvl="5" w:tentative="0">
      <w:start w:val="1"/>
      <w:numFmt w:val="lowerRoman"/>
      <w:lvlText w:val="%6."/>
      <w:lvlJc w:val="right"/>
      <w:pPr>
        <w:ind w:left="1032" w:hanging="420"/>
      </w:pPr>
    </w:lvl>
    <w:lvl w:ilvl="6" w:tentative="0">
      <w:start w:val="1"/>
      <w:numFmt w:val="decimal"/>
      <w:lvlText w:val="%7."/>
      <w:lvlJc w:val="left"/>
      <w:pPr>
        <w:ind w:left="1452" w:hanging="420"/>
      </w:pPr>
    </w:lvl>
    <w:lvl w:ilvl="7" w:tentative="0">
      <w:start w:val="1"/>
      <w:numFmt w:val="lowerLetter"/>
      <w:lvlText w:val="%8)"/>
      <w:lvlJc w:val="left"/>
      <w:pPr>
        <w:ind w:left="1872" w:hanging="420"/>
      </w:pPr>
    </w:lvl>
    <w:lvl w:ilvl="8" w:tentative="0">
      <w:start w:val="1"/>
      <w:numFmt w:val="lowerRoman"/>
      <w:lvlText w:val="%9."/>
      <w:lvlJc w:val="right"/>
      <w:pPr>
        <w:ind w:left="2292" w:hanging="420"/>
      </w:pPr>
    </w:lvl>
  </w:abstractNum>
  <w:abstractNum w:abstractNumId="124">
    <w:nsid w:val="585F02A2"/>
    <w:multiLevelType w:val="multilevel"/>
    <w:tmpl w:val="585F02A2"/>
    <w:lvl w:ilvl="0" w:tentative="0">
      <w:start w:val="1"/>
      <w:numFmt w:val="decimal"/>
      <w:lvlText w:val="(%1)"/>
      <w:lvlJc w:val="left"/>
      <w:pPr>
        <w:ind w:left="846" w:hanging="420"/>
      </w:pPr>
      <w:rPr>
        <w:rFonts w:hint="default" w:ascii="宋体" w:hAnsi="宋体" w:eastAsia="宋体"/>
        <w:b w:val="0"/>
        <w:color w:val="auto"/>
        <w:sz w:val="21"/>
        <w:szCs w:val="21"/>
      </w:rPr>
    </w:lvl>
    <w:lvl w:ilvl="1" w:tentative="0">
      <w:start w:val="1"/>
      <w:numFmt w:val="lowerLetter"/>
      <w:lvlText w:val="%2)"/>
      <w:lvlJc w:val="left"/>
      <w:pPr>
        <w:ind w:left="1260" w:hanging="420"/>
      </w:pPr>
      <w:rPr>
        <w:rFonts w:hint="eastAsia"/>
        <w:color w:val="auto"/>
      </w:rPr>
    </w:lvl>
    <w:lvl w:ilvl="2" w:tentative="0">
      <w:start w:val="1"/>
      <w:numFmt w:val="lowerLetter"/>
      <w:lvlText w:val="%3."/>
      <w:lvlJc w:val="left"/>
      <w:pPr>
        <w:ind w:left="1620" w:hanging="360"/>
      </w:pPr>
      <w:rPr>
        <w:rFonts w:hint="default"/>
      </w:rPr>
    </w:lvl>
    <w:lvl w:ilvl="3" w:tentative="0">
      <w:start w:val="1"/>
      <w:numFmt w:val="decimal"/>
      <w:lvlText w:val="%4."/>
      <w:lvlJc w:val="left"/>
      <w:pPr>
        <w:ind w:left="2100" w:hanging="420"/>
      </w:pPr>
      <w:rPr>
        <w:rFonts w:hint="eastAsia"/>
      </w:rPr>
    </w:lvl>
    <w:lvl w:ilvl="4" w:tentative="0">
      <w:start w:val="1"/>
      <w:numFmt w:val="lowerLetter"/>
      <w:lvlText w:val="%5)"/>
      <w:lvlJc w:val="left"/>
      <w:pPr>
        <w:ind w:left="2520" w:hanging="420"/>
      </w:pPr>
      <w:rPr>
        <w:rFonts w:hint="eastAsia"/>
      </w:rPr>
    </w:lvl>
    <w:lvl w:ilvl="5" w:tentative="0">
      <w:start w:val="1"/>
      <w:numFmt w:val="lowerRoman"/>
      <w:lvlText w:val="%6."/>
      <w:lvlJc w:val="right"/>
      <w:pPr>
        <w:ind w:left="2940" w:hanging="420"/>
      </w:pPr>
      <w:rPr>
        <w:rFonts w:hint="eastAsia"/>
      </w:rPr>
    </w:lvl>
    <w:lvl w:ilvl="6" w:tentative="0">
      <w:start w:val="1"/>
      <w:numFmt w:val="decimal"/>
      <w:lvlText w:val="%7."/>
      <w:lvlJc w:val="left"/>
      <w:pPr>
        <w:ind w:left="3360" w:hanging="420"/>
      </w:pPr>
      <w:rPr>
        <w:rFonts w:hint="eastAsia"/>
      </w:rPr>
    </w:lvl>
    <w:lvl w:ilvl="7" w:tentative="0">
      <w:start w:val="1"/>
      <w:numFmt w:val="lowerLetter"/>
      <w:lvlText w:val="%8)"/>
      <w:lvlJc w:val="left"/>
      <w:pPr>
        <w:ind w:left="3780" w:hanging="420"/>
      </w:pPr>
      <w:rPr>
        <w:rFonts w:hint="eastAsia"/>
      </w:rPr>
    </w:lvl>
    <w:lvl w:ilvl="8" w:tentative="0">
      <w:start w:val="1"/>
      <w:numFmt w:val="lowerRoman"/>
      <w:lvlText w:val="%9."/>
      <w:lvlJc w:val="right"/>
      <w:pPr>
        <w:ind w:left="4200" w:hanging="420"/>
      </w:pPr>
      <w:rPr>
        <w:rFonts w:hint="eastAsia"/>
      </w:rPr>
    </w:lvl>
  </w:abstractNum>
  <w:abstractNum w:abstractNumId="125">
    <w:nsid w:val="59462184"/>
    <w:multiLevelType w:val="multilevel"/>
    <w:tmpl w:val="59462184"/>
    <w:lvl w:ilvl="0" w:tentative="0">
      <w:start w:val="1"/>
      <w:numFmt w:val="decimal"/>
      <w:lvlText w:val="%1）"/>
      <w:lvlJc w:val="right"/>
      <w:pPr>
        <w:tabs>
          <w:tab w:val="left" w:pos="-420"/>
        </w:tabs>
        <w:ind w:left="480" w:hanging="420"/>
      </w:pPr>
      <w:rPr>
        <w:rFonts w:hint="eastAsia"/>
      </w:rPr>
    </w:lvl>
    <w:lvl w:ilvl="1" w:tentative="0">
      <w:start w:val="1"/>
      <w:numFmt w:val="lowerLetter"/>
      <w:lvlText w:val="%2)"/>
      <w:lvlJc w:val="left"/>
      <w:pPr>
        <w:tabs>
          <w:tab w:val="left" w:pos="-420"/>
        </w:tabs>
        <w:ind w:left="900" w:hanging="420"/>
      </w:pPr>
    </w:lvl>
    <w:lvl w:ilvl="2" w:tentative="0">
      <w:start w:val="1"/>
      <w:numFmt w:val="lowerRoman"/>
      <w:lvlText w:val="%3."/>
      <w:lvlJc w:val="right"/>
      <w:pPr>
        <w:tabs>
          <w:tab w:val="left" w:pos="-420"/>
        </w:tabs>
        <w:ind w:left="1320" w:hanging="420"/>
      </w:pPr>
    </w:lvl>
    <w:lvl w:ilvl="3" w:tentative="0">
      <w:start w:val="1"/>
      <w:numFmt w:val="decimal"/>
      <w:lvlText w:val="%4."/>
      <w:lvlJc w:val="left"/>
      <w:pPr>
        <w:tabs>
          <w:tab w:val="left" w:pos="-420"/>
        </w:tabs>
        <w:ind w:left="1740" w:hanging="420"/>
      </w:pPr>
    </w:lvl>
    <w:lvl w:ilvl="4" w:tentative="0">
      <w:start w:val="1"/>
      <w:numFmt w:val="lowerLetter"/>
      <w:lvlText w:val="%5)"/>
      <w:lvlJc w:val="left"/>
      <w:pPr>
        <w:tabs>
          <w:tab w:val="left" w:pos="-420"/>
        </w:tabs>
        <w:ind w:left="2160" w:hanging="420"/>
      </w:pPr>
    </w:lvl>
    <w:lvl w:ilvl="5" w:tentative="0">
      <w:start w:val="1"/>
      <w:numFmt w:val="lowerRoman"/>
      <w:lvlText w:val="%6."/>
      <w:lvlJc w:val="right"/>
      <w:pPr>
        <w:tabs>
          <w:tab w:val="left" w:pos="-420"/>
        </w:tabs>
        <w:ind w:left="2580" w:hanging="420"/>
      </w:pPr>
    </w:lvl>
    <w:lvl w:ilvl="6" w:tentative="0">
      <w:start w:val="1"/>
      <w:numFmt w:val="decimal"/>
      <w:lvlText w:val="%7."/>
      <w:lvlJc w:val="left"/>
      <w:pPr>
        <w:tabs>
          <w:tab w:val="left" w:pos="-420"/>
        </w:tabs>
        <w:ind w:left="3000" w:hanging="420"/>
      </w:pPr>
    </w:lvl>
    <w:lvl w:ilvl="7" w:tentative="0">
      <w:start w:val="1"/>
      <w:numFmt w:val="lowerLetter"/>
      <w:lvlText w:val="%8)"/>
      <w:lvlJc w:val="left"/>
      <w:pPr>
        <w:tabs>
          <w:tab w:val="left" w:pos="-420"/>
        </w:tabs>
        <w:ind w:left="3420" w:hanging="420"/>
      </w:pPr>
    </w:lvl>
    <w:lvl w:ilvl="8" w:tentative="0">
      <w:start w:val="1"/>
      <w:numFmt w:val="lowerRoman"/>
      <w:lvlText w:val="%9."/>
      <w:lvlJc w:val="right"/>
      <w:pPr>
        <w:tabs>
          <w:tab w:val="left" w:pos="-420"/>
        </w:tabs>
        <w:ind w:left="3840" w:hanging="420"/>
      </w:pPr>
    </w:lvl>
  </w:abstractNum>
  <w:abstractNum w:abstractNumId="126">
    <w:nsid w:val="59DD4205"/>
    <w:multiLevelType w:val="multilevel"/>
    <w:tmpl w:val="59DD4205"/>
    <w:lvl w:ilvl="0" w:tentative="0">
      <w:start w:val="1"/>
      <w:numFmt w:val="decimal"/>
      <w:lvlText w:val="%1)"/>
      <w:lvlJc w:val="left"/>
      <w:pPr>
        <w:tabs>
          <w:tab w:val="left" w:pos="-420"/>
        </w:tabs>
        <w:ind w:left="0" w:hanging="420"/>
      </w:pPr>
    </w:lvl>
    <w:lvl w:ilvl="1" w:tentative="0">
      <w:start w:val="1"/>
      <w:numFmt w:val="lowerLetter"/>
      <w:lvlText w:val="%2)"/>
      <w:lvlJc w:val="left"/>
      <w:pPr>
        <w:tabs>
          <w:tab w:val="left" w:pos="-420"/>
        </w:tabs>
        <w:ind w:left="420" w:hanging="420"/>
      </w:pPr>
    </w:lvl>
    <w:lvl w:ilvl="2" w:tentative="0">
      <w:start w:val="1"/>
      <w:numFmt w:val="lowerRoman"/>
      <w:lvlText w:val="%3."/>
      <w:lvlJc w:val="right"/>
      <w:pPr>
        <w:tabs>
          <w:tab w:val="left" w:pos="-420"/>
        </w:tabs>
        <w:ind w:left="840" w:hanging="420"/>
      </w:pPr>
    </w:lvl>
    <w:lvl w:ilvl="3" w:tentative="0">
      <w:start w:val="1"/>
      <w:numFmt w:val="decimal"/>
      <w:lvlText w:val="%4."/>
      <w:lvlJc w:val="left"/>
      <w:pPr>
        <w:tabs>
          <w:tab w:val="left" w:pos="-420"/>
        </w:tabs>
        <w:ind w:left="1260" w:hanging="420"/>
      </w:pPr>
    </w:lvl>
    <w:lvl w:ilvl="4" w:tentative="0">
      <w:start w:val="1"/>
      <w:numFmt w:val="lowerLetter"/>
      <w:lvlText w:val="%5)"/>
      <w:lvlJc w:val="left"/>
      <w:pPr>
        <w:tabs>
          <w:tab w:val="left" w:pos="-420"/>
        </w:tabs>
        <w:ind w:left="1680" w:hanging="420"/>
      </w:pPr>
    </w:lvl>
    <w:lvl w:ilvl="5" w:tentative="0">
      <w:start w:val="1"/>
      <w:numFmt w:val="lowerRoman"/>
      <w:lvlText w:val="%6."/>
      <w:lvlJc w:val="right"/>
      <w:pPr>
        <w:tabs>
          <w:tab w:val="left" w:pos="-420"/>
        </w:tabs>
        <w:ind w:left="2100" w:hanging="420"/>
      </w:pPr>
    </w:lvl>
    <w:lvl w:ilvl="6" w:tentative="0">
      <w:start w:val="1"/>
      <w:numFmt w:val="decimal"/>
      <w:lvlText w:val="%7."/>
      <w:lvlJc w:val="left"/>
      <w:pPr>
        <w:tabs>
          <w:tab w:val="left" w:pos="-420"/>
        </w:tabs>
        <w:ind w:left="2520" w:hanging="420"/>
      </w:pPr>
    </w:lvl>
    <w:lvl w:ilvl="7" w:tentative="0">
      <w:start w:val="1"/>
      <w:numFmt w:val="lowerLetter"/>
      <w:lvlText w:val="%8)"/>
      <w:lvlJc w:val="left"/>
      <w:pPr>
        <w:tabs>
          <w:tab w:val="left" w:pos="-420"/>
        </w:tabs>
        <w:ind w:left="2940" w:hanging="420"/>
      </w:pPr>
    </w:lvl>
    <w:lvl w:ilvl="8" w:tentative="0">
      <w:start w:val="1"/>
      <w:numFmt w:val="lowerRoman"/>
      <w:lvlText w:val="%9."/>
      <w:lvlJc w:val="right"/>
      <w:pPr>
        <w:tabs>
          <w:tab w:val="left" w:pos="-420"/>
        </w:tabs>
        <w:ind w:left="3360" w:hanging="420"/>
      </w:pPr>
    </w:lvl>
  </w:abstractNum>
  <w:abstractNum w:abstractNumId="127">
    <w:nsid w:val="59F8497D"/>
    <w:multiLevelType w:val="multilevel"/>
    <w:tmpl w:val="59F8497D"/>
    <w:lvl w:ilvl="0" w:tentative="0">
      <w:start w:val="1"/>
      <w:numFmt w:val="lowerLetter"/>
      <w:lvlText w:val="%1)"/>
      <w:lvlJc w:val="left"/>
      <w:pPr>
        <w:tabs>
          <w:tab w:val="left" w:pos="-420"/>
        </w:tabs>
        <w:ind w:left="900" w:hanging="420"/>
      </w:pPr>
      <w:rPr>
        <w:rFonts w:hint="eastAsia" w:cs="Times New Roman"/>
      </w:rPr>
    </w:lvl>
    <w:lvl w:ilvl="1" w:tentative="0">
      <w:start w:val="1"/>
      <w:numFmt w:val="lowerLetter"/>
      <w:lvlText w:val="%2)"/>
      <w:lvlJc w:val="left"/>
      <w:pPr>
        <w:tabs>
          <w:tab w:val="left" w:pos="-420"/>
        </w:tabs>
        <w:ind w:left="-926" w:hanging="420"/>
      </w:pPr>
    </w:lvl>
    <w:lvl w:ilvl="2" w:tentative="0">
      <w:start w:val="1"/>
      <w:numFmt w:val="lowerRoman"/>
      <w:lvlText w:val="%3."/>
      <w:lvlJc w:val="right"/>
      <w:pPr>
        <w:tabs>
          <w:tab w:val="left" w:pos="-420"/>
        </w:tabs>
        <w:ind w:left="-506" w:hanging="420"/>
      </w:pPr>
    </w:lvl>
    <w:lvl w:ilvl="3" w:tentative="0">
      <w:start w:val="1"/>
      <w:numFmt w:val="decimal"/>
      <w:lvlText w:val="%4."/>
      <w:lvlJc w:val="left"/>
      <w:pPr>
        <w:tabs>
          <w:tab w:val="left" w:pos="-420"/>
        </w:tabs>
        <w:ind w:left="-86" w:hanging="420"/>
      </w:pPr>
    </w:lvl>
    <w:lvl w:ilvl="4" w:tentative="0">
      <w:start w:val="1"/>
      <w:numFmt w:val="lowerLetter"/>
      <w:lvlText w:val="%5)"/>
      <w:lvlJc w:val="left"/>
      <w:pPr>
        <w:tabs>
          <w:tab w:val="left" w:pos="-420"/>
        </w:tabs>
        <w:ind w:left="334" w:hanging="420"/>
      </w:pPr>
    </w:lvl>
    <w:lvl w:ilvl="5" w:tentative="0">
      <w:start w:val="1"/>
      <w:numFmt w:val="lowerRoman"/>
      <w:lvlText w:val="%6."/>
      <w:lvlJc w:val="right"/>
      <w:pPr>
        <w:tabs>
          <w:tab w:val="left" w:pos="-420"/>
        </w:tabs>
        <w:ind w:left="754" w:hanging="420"/>
      </w:pPr>
    </w:lvl>
    <w:lvl w:ilvl="6" w:tentative="0">
      <w:start w:val="1"/>
      <w:numFmt w:val="decimal"/>
      <w:lvlText w:val="%7."/>
      <w:lvlJc w:val="left"/>
      <w:pPr>
        <w:tabs>
          <w:tab w:val="left" w:pos="-420"/>
        </w:tabs>
        <w:ind w:left="1174" w:hanging="420"/>
      </w:pPr>
    </w:lvl>
    <w:lvl w:ilvl="7" w:tentative="0">
      <w:start w:val="1"/>
      <w:numFmt w:val="lowerLetter"/>
      <w:lvlText w:val="%8)"/>
      <w:lvlJc w:val="left"/>
      <w:pPr>
        <w:tabs>
          <w:tab w:val="left" w:pos="-420"/>
        </w:tabs>
        <w:ind w:left="1594" w:hanging="420"/>
      </w:pPr>
    </w:lvl>
    <w:lvl w:ilvl="8" w:tentative="0">
      <w:start w:val="1"/>
      <w:numFmt w:val="lowerRoman"/>
      <w:lvlText w:val="%9."/>
      <w:lvlJc w:val="right"/>
      <w:pPr>
        <w:tabs>
          <w:tab w:val="left" w:pos="-420"/>
        </w:tabs>
        <w:ind w:left="2014" w:hanging="420"/>
      </w:pPr>
    </w:lvl>
  </w:abstractNum>
  <w:abstractNum w:abstractNumId="128">
    <w:nsid w:val="5A535D02"/>
    <w:multiLevelType w:val="multilevel"/>
    <w:tmpl w:val="5A535D02"/>
    <w:lvl w:ilvl="0" w:tentative="0">
      <w:start w:val="1"/>
      <w:numFmt w:val="lowerLetter"/>
      <w:lvlText w:val="%1)"/>
      <w:lvlJc w:val="left"/>
      <w:pPr>
        <w:ind w:left="1178" w:hanging="420"/>
      </w:pPr>
      <w:rPr>
        <w:rFonts w:hint="eastAsia" w:cs="Times New Roman"/>
      </w:rPr>
    </w:lvl>
    <w:lvl w:ilvl="1" w:tentative="0">
      <w:start w:val="1"/>
      <w:numFmt w:val="lowerLetter"/>
      <w:lvlText w:val="%2)"/>
      <w:lvlJc w:val="left"/>
      <w:pPr>
        <w:ind w:left="-648" w:hanging="420"/>
      </w:pPr>
    </w:lvl>
    <w:lvl w:ilvl="2" w:tentative="0">
      <w:start w:val="1"/>
      <w:numFmt w:val="lowerRoman"/>
      <w:lvlText w:val="%3."/>
      <w:lvlJc w:val="right"/>
      <w:pPr>
        <w:ind w:left="-228" w:hanging="420"/>
      </w:pPr>
    </w:lvl>
    <w:lvl w:ilvl="3" w:tentative="0">
      <w:start w:val="1"/>
      <w:numFmt w:val="decimal"/>
      <w:lvlText w:val="%4."/>
      <w:lvlJc w:val="left"/>
      <w:pPr>
        <w:ind w:left="192" w:hanging="420"/>
      </w:pPr>
    </w:lvl>
    <w:lvl w:ilvl="4" w:tentative="0">
      <w:start w:val="1"/>
      <w:numFmt w:val="lowerLetter"/>
      <w:lvlText w:val="%5)"/>
      <w:lvlJc w:val="left"/>
      <w:pPr>
        <w:ind w:left="612" w:hanging="420"/>
      </w:pPr>
    </w:lvl>
    <w:lvl w:ilvl="5" w:tentative="0">
      <w:start w:val="1"/>
      <w:numFmt w:val="lowerRoman"/>
      <w:lvlText w:val="%6."/>
      <w:lvlJc w:val="right"/>
      <w:pPr>
        <w:ind w:left="1032" w:hanging="420"/>
      </w:pPr>
    </w:lvl>
    <w:lvl w:ilvl="6" w:tentative="0">
      <w:start w:val="1"/>
      <w:numFmt w:val="decimal"/>
      <w:lvlText w:val="%7."/>
      <w:lvlJc w:val="left"/>
      <w:pPr>
        <w:ind w:left="1452" w:hanging="420"/>
      </w:pPr>
    </w:lvl>
    <w:lvl w:ilvl="7" w:tentative="0">
      <w:start w:val="1"/>
      <w:numFmt w:val="lowerLetter"/>
      <w:lvlText w:val="%8)"/>
      <w:lvlJc w:val="left"/>
      <w:pPr>
        <w:ind w:left="1872" w:hanging="420"/>
      </w:pPr>
    </w:lvl>
    <w:lvl w:ilvl="8" w:tentative="0">
      <w:start w:val="1"/>
      <w:numFmt w:val="lowerRoman"/>
      <w:lvlText w:val="%9."/>
      <w:lvlJc w:val="right"/>
      <w:pPr>
        <w:ind w:left="2292" w:hanging="420"/>
      </w:pPr>
    </w:lvl>
  </w:abstractNum>
  <w:abstractNum w:abstractNumId="129">
    <w:nsid w:val="5B033BA9"/>
    <w:multiLevelType w:val="multilevel"/>
    <w:tmpl w:val="5B033BA9"/>
    <w:lvl w:ilvl="0" w:tentative="0">
      <w:start w:val="1"/>
      <w:numFmt w:val="lowerLetter"/>
      <w:lvlText w:val="%1)"/>
      <w:lvlJc w:val="left"/>
      <w:pPr>
        <w:tabs>
          <w:tab w:val="left" w:pos="-420"/>
        </w:tabs>
        <w:ind w:left="758" w:hanging="420"/>
      </w:pPr>
      <w:rPr>
        <w:rFonts w:hint="eastAsia" w:cs="Times New Roman"/>
      </w:rPr>
    </w:lvl>
    <w:lvl w:ilvl="1" w:tentative="0">
      <w:start w:val="1"/>
      <w:numFmt w:val="lowerLetter"/>
      <w:lvlText w:val="%2)"/>
      <w:lvlJc w:val="left"/>
      <w:pPr>
        <w:tabs>
          <w:tab w:val="left" w:pos="-420"/>
        </w:tabs>
        <w:ind w:left="-1068" w:hanging="420"/>
      </w:pPr>
    </w:lvl>
    <w:lvl w:ilvl="2" w:tentative="0">
      <w:start w:val="1"/>
      <w:numFmt w:val="lowerRoman"/>
      <w:lvlText w:val="%3."/>
      <w:lvlJc w:val="right"/>
      <w:pPr>
        <w:tabs>
          <w:tab w:val="left" w:pos="-420"/>
        </w:tabs>
        <w:ind w:left="-648" w:hanging="420"/>
      </w:pPr>
    </w:lvl>
    <w:lvl w:ilvl="3" w:tentative="0">
      <w:start w:val="1"/>
      <w:numFmt w:val="decimal"/>
      <w:lvlText w:val="%4."/>
      <w:lvlJc w:val="left"/>
      <w:pPr>
        <w:tabs>
          <w:tab w:val="left" w:pos="-420"/>
        </w:tabs>
        <w:ind w:left="-228" w:hanging="420"/>
      </w:pPr>
    </w:lvl>
    <w:lvl w:ilvl="4" w:tentative="0">
      <w:start w:val="1"/>
      <w:numFmt w:val="lowerLetter"/>
      <w:lvlText w:val="%5)"/>
      <w:lvlJc w:val="left"/>
      <w:pPr>
        <w:tabs>
          <w:tab w:val="left" w:pos="-420"/>
        </w:tabs>
        <w:ind w:left="192" w:hanging="420"/>
      </w:pPr>
    </w:lvl>
    <w:lvl w:ilvl="5" w:tentative="0">
      <w:start w:val="1"/>
      <w:numFmt w:val="lowerRoman"/>
      <w:lvlText w:val="%6."/>
      <w:lvlJc w:val="right"/>
      <w:pPr>
        <w:tabs>
          <w:tab w:val="left" w:pos="-420"/>
        </w:tabs>
        <w:ind w:left="612" w:hanging="420"/>
      </w:pPr>
    </w:lvl>
    <w:lvl w:ilvl="6" w:tentative="0">
      <w:start w:val="1"/>
      <w:numFmt w:val="decimal"/>
      <w:lvlText w:val="%7."/>
      <w:lvlJc w:val="left"/>
      <w:pPr>
        <w:tabs>
          <w:tab w:val="left" w:pos="-420"/>
        </w:tabs>
        <w:ind w:left="1032" w:hanging="420"/>
      </w:pPr>
    </w:lvl>
    <w:lvl w:ilvl="7" w:tentative="0">
      <w:start w:val="1"/>
      <w:numFmt w:val="lowerLetter"/>
      <w:lvlText w:val="%8)"/>
      <w:lvlJc w:val="left"/>
      <w:pPr>
        <w:tabs>
          <w:tab w:val="left" w:pos="-420"/>
        </w:tabs>
        <w:ind w:left="1452" w:hanging="420"/>
      </w:pPr>
    </w:lvl>
    <w:lvl w:ilvl="8" w:tentative="0">
      <w:start w:val="1"/>
      <w:numFmt w:val="lowerRoman"/>
      <w:lvlText w:val="%9."/>
      <w:lvlJc w:val="right"/>
      <w:pPr>
        <w:tabs>
          <w:tab w:val="left" w:pos="-420"/>
        </w:tabs>
        <w:ind w:left="1872" w:hanging="420"/>
      </w:pPr>
    </w:lvl>
  </w:abstractNum>
  <w:abstractNum w:abstractNumId="130">
    <w:nsid w:val="5BA05EB1"/>
    <w:multiLevelType w:val="multilevel"/>
    <w:tmpl w:val="5BA05EB1"/>
    <w:lvl w:ilvl="0" w:tentative="0">
      <w:start w:val="1"/>
      <w:numFmt w:val="lowerLetter"/>
      <w:lvlText w:val="%1)"/>
      <w:lvlJc w:val="left"/>
      <w:pPr>
        <w:ind w:left="1178" w:hanging="420"/>
      </w:pPr>
      <w:rPr>
        <w:rFonts w:hint="eastAsia" w:cs="Times New Roman"/>
      </w:rPr>
    </w:lvl>
    <w:lvl w:ilvl="1" w:tentative="0">
      <w:start w:val="1"/>
      <w:numFmt w:val="lowerLetter"/>
      <w:lvlText w:val="%2)"/>
      <w:lvlJc w:val="left"/>
      <w:pPr>
        <w:ind w:left="-648" w:hanging="420"/>
      </w:pPr>
    </w:lvl>
    <w:lvl w:ilvl="2" w:tentative="0">
      <w:start w:val="1"/>
      <w:numFmt w:val="lowerRoman"/>
      <w:lvlText w:val="%3."/>
      <w:lvlJc w:val="right"/>
      <w:pPr>
        <w:ind w:left="-228" w:hanging="420"/>
      </w:pPr>
    </w:lvl>
    <w:lvl w:ilvl="3" w:tentative="0">
      <w:start w:val="1"/>
      <w:numFmt w:val="decimal"/>
      <w:lvlText w:val="%4."/>
      <w:lvlJc w:val="left"/>
      <w:pPr>
        <w:ind w:left="192" w:hanging="420"/>
      </w:pPr>
    </w:lvl>
    <w:lvl w:ilvl="4" w:tentative="0">
      <w:start w:val="1"/>
      <w:numFmt w:val="lowerLetter"/>
      <w:lvlText w:val="%5)"/>
      <w:lvlJc w:val="left"/>
      <w:pPr>
        <w:ind w:left="612" w:hanging="420"/>
      </w:pPr>
    </w:lvl>
    <w:lvl w:ilvl="5" w:tentative="0">
      <w:start w:val="1"/>
      <w:numFmt w:val="lowerRoman"/>
      <w:lvlText w:val="%6."/>
      <w:lvlJc w:val="right"/>
      <w:pPr>
        <w:ind w:left="1032" w:hanging="420"/>
      </w:pPr>
    </w:lvl>
    <w:lvl w:ilvl="6" w:tentative="0">
      <w:start w:val="1"/>
      <w:numFmt w:val="decimal"/>
      <w:lvlText w:val="%7."/>
      <w:lvlJc w:val="left"/>
      <w:pPr>
        <w:ind w:left="1452" w:hanging="420"/>
      </w:pPr>
    </w:lvl>
    <w:lvl w:ilvl="7" w:tentative="0">
      <w:start w:val="1"/>
      <w:numFmt w:val="lowerLetter"/>
      <w:lvlText w:val="%8)"/>
      <w:lvlJc w:val="left"/>
      <w:pPr>
        <w:ind w:left="1872" w:hanging="420"/>
      </w:pPr>
    </w:lvl>
    <w:lvl w:ilvl="8" w:tentative="0">
      <w:start w:val="1"/>
      <w:numFmt w:val="lowerRoman"/>
      <w:lvlText w:val="%9."/>
      <w:lvlJc w:val="right"/>
      <w:pPr>
        <w:ind w:left="2292" w:hanging="420"/>
      </w:pPr>
    </w:lvl>
  </w:abstractNum>
  <w:abstractNum w:abstractNumId="131">
    <w:nsid w:val="5D777194"/>
    <w:multiLevelType w:val="multilevel"/>
    <w:tmpl w:val="5D777194"/>
    <w:lvl w:ilvl="0" w:tentative="0">
      <w:start w:val="1"/>
      <w:numFmt w:val="lowerLetter"/>
      <w:lvlText w:val="%1)"/>
      <w:lvlJc w:val="left"/>
      <w:pPr>
        <w:ind w:left="1178" w:hanging="420"/>
      </w:pPr>
      <w:rPr>
        <w:rFonts w:hint="eastAsia" w:cs="Times New Roman"/>
      </w:rPr>
    </w:lvl>
    <w:lvl w:ilvl="1" w:tentative="0">
      <w:start w:val="1"/>
      <w:numFmt w:val="lowerLetter"/>
      <w:lvlText w:val="%2)"/>
      <w:lvlJc w:val="left"/>
      <w:pPr>
        <w:ind w:left="-648" w:hanging="420"/>
      </w:pPr>
      <w:rPr>
        <w:rFonts w:hint="eastAsia"/>
      </w:rPr>
    </w:lvl>
    <w:lvl w:ilvl="2" w:tentative="0">
      <w:start w:val="1"/>
      <w:numFmt w:val="lowerRoman"/>
      <w:lvlText w:val="%3."/>
      <w:lvlJc w:val="right"/>
      <w:pPr>
        <w:ind w:left="-228" w:hanging="420"/>
      </w:pPr>
      <w:rPr>
        <w:rFonts w:hint="eastAsia"/>
      </w:rPr>
    </w:lvl>
    <w:lvl w:ilvl="3" w:tentative="0">
      <w:start w:val="1"/>
      <w:numFmt w:val="decimal"/>
      <w:lvlText w:val="%4."/>
      <w:lvlJc w:val="left"/>
      <w:pPr>
        <w:ind w:left="192" w:hanging="420"/>
      </w:pPr>
      <w:rPr>
        <w:rFonts w:hint="eastAsia"/>
      </w:rPr>
    </w:lvl>
    <w:lvl w:ilvl="4" w:tentative="0">
      <w:start w:val="1"/>
      <w:numFmt w:val="lowerLetter"/>
      <w:lvlText w:val="%5)"/>
      <w:lvlJc w:val="left"/>
      <w:pPr>
        <w:ind w:left="612" w:hanging="420"/>
      </w:pPr>
      <w:rPr>
        <w:rFonts w:hint="eastAsia"/>
      </w:rPr>
    </w:lvl>
    <w:lvl w:ilvl="5" w:tentative="0">
      <w:start w:val="1"/>
      <w:numFmt w:val="lowerRoman"/>
      <w:lvlText w:val="%6."/>
      <w:lvlJc w:val="right"/>
      <w:pPr>
        <w:ind w:left="1032" w:hanging="420"/>
      </w:pPr>
      <w:rPr>
        <w:rFonts w:hint="eastAsia"/>
      </w:rPr>
    </w:lvl>
    <w:lvl w:ilvl="6" w:tentative="0">
      <w:start w:val="1"/>
      <w:numFmt w:val="decimal"/>
      <w:lvlText w:val="%7."/>
      <w:lvlJc w:val="left"/>
      <w:pPr>
        <w:ind w:left="1452" w:hanging="420"/>
      </w:pPr>
      <w:rPr>
        <w:rFonts w:hint="eastAsia"/>
      </w:rPr>
    </w:lvl>
    <w:lvl w:ilvl="7" w:tentative="0">
      <w:start w:val="1"/>
      <w:numFmt w:val="lowerLetter"/>
      <w:lvlText w:val="%8)"/>
      <w:lvlJc w:val="left"/>
      <w:pPr>
        <w:ind w:left="1872" w:hanging="420"/>
      </w:pPr>
      <w:rPr>
        <w:rFonts w:hint="eastAsia"/>
      </w:rPr>
    </w:lvl>
    <w:lvl w:ilvl="8" w:tentative="0">
      <w:start w:val="1"/>
      <w:numFmt w:val="lowerRoman"/>
      <w:lvlText w:val="%9."/>
      <w:lvlJc w:val="right"/>
      <w:pPr>
        <w:ind w:left="2292" w:hanging="420"/>
      </w:pPr>
      <w:rPr>
        <w:rFonts w:hint="eastAsia"/>
      </w:rPr>
    </w:lvl>
  </w:abstractNum>
  <w:abstractNum w:abstractNumId="132">
    <w:nsid w:val="5E9C322F"/>
    <w:multiLevelType w:val="multilevel"/>
    <w:tmpl w:val="5E9C322F"/>
    <w:lvl w:ilvl="0" w:tentative="0">
      <w:start w:val="1"/>
      <w:numFmt w:val="decimal"/>
      <w:lvlText w:val="%1."/>
      <w:lvlJc w:val="left"/>
      <w:pPr>
        <w:ind w:left="425" w:hanging="425"/>
      </w:pPr>
    </w:lvl>
    <w:lvl w:ilvl="1" w:tentative="0">
      <w:start w:val="1"/>
      <w:numFmt w:val="decimal"/>
      <w:lvlText w:val="%2)"/>
      <w:lvlJc w:val="left"/>
      <w:pPr>
        <w:ind w:left="567" w:hanging="567"/>
      </w:pPr>
      <w:rPr>
        <w:rFonts w:hint="default" w:ascii="Times New Roman" w:hAnsi="Times New Roman" w:eastAsia="宋体" w:cs="Times New Roman"/>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133">
    <w:nsid w:val="5EA11BFB"/>
    <w:multiLevelType w:val="multilevel"/>
    <w:tmpl w:val="5EA11BFB"/>
    <w:lvl w:ilvl="0" w:tentative="0">
      <w:start w:val="1"/>
      <w:numFmt w:val="lowerLetter"/>
      <w:lvlText w:val="%1)"/>
      <w:lvlJc w:val="left"/>
      <w:pPr>
        <w:tabs>
          <w:tab w:val="left" w:pos="-420"/>
        </w:tabs>
        <w:ind w:left="900" w:hanging="420"/>
      </w:pPr>
      <w:rPr>
        <w:rFonts w:hint="eastAsia" w:cs="Times New Roman"/>
      </w:rPr>
    </w:lvl>
    <w:lvl w:ilvl="1" w:tentative="0">
      <w:start w:val="1"/>
      <w:numFmt w:val="lowerLetter"/>
      <w:lvlText w:val="%2)"/>
      <w:lvlJc w:val="left"/>
      <w:pPr>
        <w:tabs>
          <w:tab w:val="left" w:pos="-420"/>
        </w:tabs>
        <w:ind w:left="-926" w:hanging="420"/>
      </w:pPr>
    </w:lvl>
    <w:lvl w:ilvl="2" w:tentative="0">
      <w:start w:val="1"/>
      <w:numFmt w:val="lowerRoman"/>
      <w:lvlText w:val="%3."/>
      <w:lvlJc w:val="right"/>
      <w:pPr>
        <w:tabs>
          <w:tab w:val="left" w:pos="-420"/>
        </w:tabs>
        <w:ind w:left="-506" w:hanging="420"/>
      </w:pPr>
    </w:lvl>
    <w:lvl w:ilvl="3" w:tentative="0">
      <w:start w:val="1"/>
      <w:numFmt w:val="decimal"/>
      <w:lvlText w:val="%4."/>
      <w:lvlJc w:val="left"/>
      <w:pPr>
        <w:tabs>
          <w:tab w:val="left" w:pos="-420"/>
        </w:tabs>
        <w:ind w:left="-86" w:hanging="420"/>
      </w:pPr>
    </w:lvl>
    <w:lvl w:ilvl="4" w:tentative="0">
      <w:start w:val="1"/>
      <w:numFmt w:val="lowerLetter"/>
      <w:lvlText w:val="%5)"/>
      <w:lvlJc w:val="left"/>
      <w:pPr>
        <w:tabs>
          <w:tab w:val="left" w:pos="-420"/>
        </w:tabs>
        <w:ind w:left="334" w:hanging="420"/>
      </w:pPr>
    </w:lvl>
    <w:lvl w:ilvl="5" w:tentative="0">
      <w:start w:val="1"/>
      <w:numFmt w:val="lowerRoman"/>
      <w:lvlText w:val="%6."/>
      <w:lvlJc w:val="right"/>
      <w:pPr>
        <w:tabs>
          <w:tab w:val="left" w:pos="-420"/>
        </w:tabs>
        <w:ind w:left="754" w:hanging="420"/>
      </w:pPr>
    </w:lvl>
    <w:lvl w:ilvl="6" w:tentative="0">
      <w:start w:val="1"/>
      <w:numFmt w:val="decimal"/>
      <w:lvlText w:val="%7."/>
      <w:lvlJc w:val="left"/>
      <w:pPr>
        <w:tabs>
          <w:tab w:val="left" w:pos="-420"/>
        </w:tabs>
        <w:ind w:left="1174" w:hanging="420"/>
      </w:pPr>
    </w:lvl>
    <w:lvl w:ilvl="7" w:tentative="0">
      <w:start w:val="1"/>
      <w:numFmt w:val="lowerLetter"/>
      <w:lvlText w:val="%8)"/>
      <w:lvlJc w:val="left"/>
      <w:pPr>
        <w:tabs>
          <w:tab w:val="left" w:pos="-420"/>
        </w:tabs>
        <w:ind w:left="1594" w:hanging="420"/>
      </w:pPr>
    </w:lvl>
    <w:lvl w:ilvl="8" w:tentative="0">
      <w:start w:val="1"/>
      <w:numFmt w:val="lowerRoman"/>
      <w:lvlText w:val="%9."/>
      <w:lvlJc w:val="right"/>
      <w:pPr>
        <w:tabs>
          <w:tab w:val="left" w:pos="-420"/>
        </w:tabs>
        <w:ind w:left="2014" w:hanging="420"/>
      </w:pPr>
    </w:lvl>
  </w:abstractNum>
  <w:abstractNum w:abstractNumId="134">
    <w:nsid w:val="62424C7C"/>
    <w:multiLevelType w:val="multilevel"/>
    <w:tmpl w:val="62424C7C"/>
    <w:lvl w:ilvl="0" w:tentative="0">
      <w:start w:val="1"/>
      <w:numFmt w:val="lowerLetter"/>
      <w:lvlText w:val="%1)"/>
      <w:lvlJc w:val="left"/>
      <w:pPr>
        <w:tabs>
          <w:tab w:val="left" w:pos="-420"/>
        </w:tabs>
        <w:ind w:left="900" w:hanging="420"/>
      </w:pPr>
      <w:rPr>
        <w:rFonts w:hint="eastAsia" w:cs="Times New Roman"/>
      </w:rPr>
    </w:lvl>
    <w:lvl w:ilvl="1" w:tentative="0">
      <w:start w:val="1"/>
      <w:numFmt w:val="lowerLetter"/>
      <w:lvlText w:val="%2)"/>
      <w:lvlJc w:val="left"/>
      <w:pPr>
        <w:tabs>
          <w:tab w:val="left" w:pos="-420"/>
        </w:tabs>
        <w:ind w:left="-926" w:hanging="420"/>
      </w:pPr>
    </w:lvl>
    <w:lvl w:ilvl="2" w:tentative="0">
      <w:start w:val="1"/>
      <w:numFmt w:val="lowerRoman"/>
      <w:lvlText w:val="%3."/>
      <w:lvlJc w:val="right"/>
      <w:pPr>
        <w:tabs>
          <w:tab w:val="left" w:pos="-420"/>
        </w:tabs>
        <w:ind w:left="-506" w:hanging="420"/>
      </w:pPr>
    </w:lvl>
    <w:lvl w:ilvl="3" w:tentative="0">
      <w:start w:val="1"/>
      <w:numFmt w:val="decimal"/>
      <w:lvlText w:val="%4."/>
      <w:lvlJc w:val="left"/>
      <w:pPr>
        <w:tabs>
          <w:tab w:val="left" w:pos="-420"/>
        </w:tabs>
        <w:ind w:left="-86" w:hanging="420"/>
      </w:pPr>
    </w:lvl>
    <w:lvl w:ilvl="4" w:tentative="0">
      <w:start w:val="1"/>
      <w:numFmt w:val="lowerLetter"/>
      <w:lvlText w:val="%5)"/>
      <w:lvlJc w:val="left"/>
      <w:pPr>
        <w:tabs>
          <w:tab w:val="left" w:pos="-420"/>
        </w:tabs>
        <w:ind w:left="334" w:hanging="420"/>
      </w:pPr>
    </w:lvl>
    <w:lvl w:ilvl="5" w:tentative="0">
      <w:start w:val="1"/>
      <w:numFmt w:val="lowerRoman"/>
      <w:lvlText w:val="%6."/>
      <w:lvlJc w:val="right"/>
      <w:pPr>
        <w:tabs>
          <w:tab w:val="left" w:pos="-420"/>
        </w:tabs>
        <w:ind w:left="754" w:hanging="420"/>
      </w:pPr>
    </w:lvl>
    <w:lvl w:ilvl="6" w:tentative="0">
      <w:start w:val="1"/>
      <w:numFmt w:val="decimal"/>
      <w:lvlText w:val="%7."/>
      <w:lvlJc w:val="left"/>
      <w:pPr>
        <w:tabs>
          <w:tab w:val="left" w:pos="-420"/>
        </w:tabs>
        <w:ind w:left="1174" w:hanging="420"/>
      </w:pPr>
    </w:lvl>
    <w:lvl w:ilvl="7" w:tentative="0">
      <w:start w:val="1"/>
      <w:numFmt w:val="lowerLetter"/>
      <w:lvlText w:val="%8)"/>
      <w:lvlJc w:val="left"/>
      <w:pPr>
        <w:tabs>
          <w:tab w:val="left" w:pos="-420"/>
        </w:tabs>
        <w:ind w:left="1594" w:hanging="420"/>
      </w:pPr>
    </w:lvl>
    <w:lvl w:ilvl="8" w:tentative="0">
      <w:start w:val="1"/>
      <w:numFmt w:val="lowerRoman"/>
      <w:lvlText w:val="%9."/>
      <w:lvlJc w:val="right"/>
      <w:pPr>
        <w:tabs>
          <w:tab w:val="left" w:pos="-420"/>
        </w:tabs>
        <w:ind w:left="2014" w:hanging="420"/>
      </w:pPr>
    </w:lvl>
  </w:abstractNum>
  <w:abstractNum w:abstractNumId="135">
    <w:nsid w:val="65222679"/>
    <w:multiLevelType w:val="multilevel"/>
    <w:tmpl w:val="65222679"/>
    <w:lvl w:ilvl="0" w:tentative="0">
      <w:start w:val="1"/>
      <w:numFmt w:val="lowerLetter"/>
      <w:lvlText w:val="%1)"/>
      <w:lvlJc w:val="left"/>
      <w:pPr>
        <w:tabs>
          <w:tab w:val="left" w:pos="-420"/>
        </w:tabs>
        <w:ind w:left="900" w:hanging="420"/>
      </w:pPr>
      <w:rPr>
        <w:rFonts w:hint="eastAsia" w:cs="Times New Roman"/>
      </w:rPr>
    </w:lvl>
    <w:lvl w:ilvl="1" w:tentative="0">
      <w:start w:val="1"/>
      <w:numFmt w:val="lowerLetter"/>
      <w:lvlText w:val="%2)"/>
      <w:lvlJc w:val="left"/>
      <w:pPr>
        <w:tabs>
          <w:tab w:val="left" w:pos="-420"/>
        </w:tabs>
        <w:ind w:left="-926" w:hanging="420"/>
      </w:pPr>
    </w:lvl>
    <w:lvl w:ilvl="2" w:tentative="0">
      <w:start w:val="1"/>
      <w:numFmt w:val="lowerRoman"/>
      <w:lvlText w:val="%3."/>
      <w:lvlJc w:val="right"/>
      <w:pPr>
        <w:tabs>
          <w:tab w:val="left" w:pos="-420"/>
        </w:tabs>
        <w:ind w:left="-506" w:hanging="420"/>
      </w:pPr>
    </w:lvl>
    <w:lvl w:ilvl="3" w:tentative="0">
      <w:start w:val="1"/>
      <w:numFmt w:val="decimal"/>
      <w:lvlText w:val="%4."/>
      <w:lvlJc w:val="left"/>
      <w:pPr>
        <w:tabs>
          <w:tab w:val="left" w:pos="-420"/>
        </w:tabs>
        <w:ind w:left="-86" w:hanging="420"/>
      </w:pPr>
    </w:lvl>
    <w:lvl w:ilvl="4" w:tentative="0">
      <w:start w:val="1"/>
      <w:numFmt w:val="lowerLetter"/>
      <w:lvlText w:val="%5)"/>
      <w:lvlJc w:val="left"/>
      <w:pPr>
        <w:tabs>
          <w:tab w:val="left" w:pos="-420"/>
        </w:tabs>
        <w:ind w:left="334" w:hanging="420"/>
      </w:pPr>
    </w:lvl>
    <w:lvl w:ilvl="5" w:tentative="0">
      <w:start w:val="1"/>
      <w:numFmt w:val="lowerRoman"/>
      <w:lvlText w:val="%6."/>
      <w:lvlJc w:val="right"/>
      <w:pPr>
        <w:tabs>
          <w:tab w:val="left" w:pos="-420"/>
        </w:tabs>
        <w:ind w:left="754" w:hanging="420"/>
      </w:pPr>
    </w:lvl>
    <w:lvl w:ilvl="6" w:tentative="0">
      <w:start w:val="1"/>
      <w:numFmt w:val="decimal"/>
      <w:lvlText w:val="%7."/>
      <w:lvlJc w:val="left"/>
      <w:pPr>
        <w:tabs>
          <w:tab w:val="left" w:pos="-420"/>
        </w:tabs>
        <w:ind w:left="1174" w:hanging="420"/>
      </w:pPr>
    </w:lvl>
    <w:lvl w:ilvl="7" w:tentative="0">
      <w:start w:val="1"/>
      <w:numFmt w:val="lowerLetter"/>
      <w:lvlText w:val="%8)"/>
      <w:lvlJc w:val="left"/>
      <w:pPr>
        <w:tabs>
          <w:tab w:val="left" w:pos="-420"/>
        </w:tabs>
        <w:ind w:left="1594" w:hanging="420"/>
      </w:pPr>
    </w:lvl>
    <w:lvl w:ilvl="8" w:tentative="0">
      <w:start w:val="1"/>
      <w:numFmt w:val="lowerRoman"/>
      <w:lvlText w:val="%9."/>
      <w:lvlJc w:val="right"/>
      <w:pPr>
        <w:tabs>
          <w:tab w:val="left" w:pos="-420"/>
        </w:tabs>
        <w:ind w:left="2014" w:hanging="420"/>
      </w:pPr>
    </w:lvl>
  </w:abstractNum>
  <w:abstractNum w:abstractNumId="136">
    <w:nsid w:val="65787BE9"/>
    <w:multiLevelType w:val="multilevel"/>
    <w:tmpl w:val="65787BE9"/>
    <w:lvl w:ilvl="0" w:tentative="0">
      <w:start w:val="1"/>
      <w:numFmt w:val="decimal"/>
      <w:lvlText w:val="%1."/>
      <w:lvlJc w:val="left"/>
      <w:pPr>
        <w:ind w:left="425" w:hanging="425"/>
      </w:pPr>
    </w:lvl>
    <w:lvl w:ilvl="1" w:tentative="0">
      <w:start w:val="1"/>
      <w:numFmt w:val="decimal"/>
      <w:lvlText w:val="%2)"/>
      <w:lvlJc w:val="left"/>
      <w:pPr>
        <w:ind w:left="567" w:hanging="567"/>
      </w:pPr>
      <w:rPr>
        <w:rFonts w:hint="default" w:ascii="Times New Roman" w:hAnsi="Times New Roman" w:eastAsia="宋体" w:cs="Times New Roman"/>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137">
    <w:nsid w:val="66371DF7"/>
    <w:multiLevelType w:val="multilevel"/>
    <w:tmpl w:val="66371DF7"/>
    <w:lvl w:ilvl="0" w:tentative="0">
      <w:start w:val="1"/>
      <w:numFmt w:val="lowerLetter"/>
      <w:lvlText w:val="%1)"/>
      <w:lvlJc w:val="left"/>
      <w:pPr>
        <w:tabs>
          <w:tab w:val="left" w:pos="-420"/>
        </w:tabs>
        <w:ind w:left="900" w:hanging="420"/>
      </w:pPr>
      <w:rPr>
        <w:rFonts w:hint="eastAsia" w:cs="Times New Roman"/>
      </w:rPr>
    </w:lvl>
    <w:lvl w:ilvl="1" w:tentative="0">
      <w:start w:val="1"/>
      <w:numFmt w:val="lowerLetter"/>
      <w:lvlText w:val="%2)"/>
      <w:lvlJc w:val="left"/>
      <w:pPr>
        <w:tabs>
          <w:tab w:val="left" w:pos="-420"/>
        </w:tabs>
        <w:ind w:left="-926" w:hanging="420"/>
      </w:pPr>
    </w:lvl>
    <w:lvl w:ilvl="2" w:tentative="0">
      <w:start w:val="1"/>
      <w:numFmt w:val="lowerRoman"/>
      <w:lvlText w:val="%3."/>
      <w:lvlJc w:val="right"/>
      <w:pPr>
        <w:tabs>
          <w:tab w:val="left" w:pos="-420"/>
        </w:tabs>
        <w:ind w:left="-506" w:hanging="420"/>
      </w:pPr>
    </w:lvl>
    <w:lvl w:ilvl="3" w:tentative="0">
      <w:start w:val="1"/>
      <w:numFmt w:val="decimal"/>
      <w:lvlText w:val="%4."/>
      <w:lvlJc w:val="left"/>
      <w:pPr>
        <w:tabs>
          <w:tab w:val="left" w:pos="-420"/>
        </w:tabs>
        <w:ind w:left="-86" w:hanging="420"/>
      </w:pPr>
    </w:lvl>
    <w:lvl w:ilvl="4" w:tentative="0">
      <w:start w:val="1"/>
      <w:numFmt w:val="lowerLetter"/>
      <w:lvlText w:val="%5)"/>
      <w:lvlJc w:val="left"/>
      <w:pPr>
        <w:tabs>
          <w:tab w:val="left" w:pos="-420"/>
        </w:tabs>
        <w:ind w:left="334" w:hanging="420"/>
      </w:pPr>
    </w:lvl>
    <w:lvl w:ilvl="5" w:tentative="0">
      <w:start w:val="1"/>
      <w:numFmt w:val="lowerRoman"/>
      <w:lvlText w:val="%6."/>
      <w:lvlJc w:val="right"/>
      <w:pPr>
        <w:tabs>
          <w:tab w:val="left" w:pos="-420"/>
        </w:tabs>
        <w:ind w:left="754" w:hanging="420"/>
      </w:pPr>
    </w:lvl>
    <w:lvl w:ilvl="6" w:tentative="0">
      <w:start w:val="1"/>
      <w:numFmt w:val="decimal"/>
      <w:lvlText w:val="%7."/>
      <w:lvlJc w:val="left"/>
      <w:pPr>
        <w:tabs>
          <w:tab w:val="left" w:pos="-420"/>
        </w:tabs>
        <w:ind w:left="1174" w:hanging="420"/>
      </w:pPr>
    </w:lvl>
    <w:lvl w:ilvl="7" w:tentative="0">
      <w:start w:val="1"/>
      <w:numFmt w:val="lowerLetter"/>
      <w:lvlText w:val="%8)"/>
      <w:lvlJc w:val="left"/>
      <w:pPr>
        <w:tabs>
          <w:tab w:val="left" w:pos="-420"/>
        </w:tabs>
        <w:ind w:left="1594" w:hanging="420"/>
      </w:pPr>
    </w:lvl>
    <w:lvl w:ilvl="8" w:tentative="0">
      <w:start w:val="1"/>
      <w:numFmt w:val="lowerRoman"/>
      <w:lvlText w:val="%9."/>
      <w:lvlJc w:val="right"/>
      <w:pPr>
        <w:tabs>
          <w:tab w:val="left" w:pos="-420"/>
        </w:tabs>
        <w:ind w:left="2014" w:hanging="420"/>
      </w:pPr>
    </w:lvl>
  </w:abstractNum>
  <w:abstractNum w:abstractNumId="138">
    <w:nsid w:val="665943D5"/>
    <w:multiLevelType w:val="multilevel"/>
    <w:tmpl w:val="665943D5"/>
    <w:lvl w:ilvl="0" w:tentative="0">
      <w:start w:val="1"/>
      <w:numFmt w:val="lowerLetter"/>
      <w:lvlText w:val="%1)"/>
      <w:lvlJc w:val="left"/>
      <w:pPr>
        <w:tabs>
          <w:tab w:val="left" w:pos="-840"/>
        </w:tabs>
        <w:ind w:left="480" w:hanging="420"/>
      </w:pPr>
      <w:rPr>
        <w:rFonts w:hint="eastAsia" w:cs="Times New Roman"/>
      </w:rPr>
    </w:lvl>
    <w:lvl w:ilvl="1" w:tentative="0">
      <w:start w:val="1"/>
      <w:numFmt w:val="lowerLetter"/>
      <w:lvlText w:val="%2)"/>
      <w:lvlJc w:val="left"/>
      <w:pPr>
        <w:tabs>
          <w:tab w:val="left" w:pos="-840"/>
        </w:tabs>
        <w:ind w:left="-1346" w:hanging="420"/>
      </w:pPr>
    </w:lvl>
    <w:lvl w:ilvl="2" w:tentative="0">
      <w:start w:val="1"/>
      <w:numFmt w:val="lowerRoman"/>
      <w:lvlText w:val="%3."/>
      <w:lvlJc w:val="right"/>
      <w:pPr>
        <w:tabs>
          <w:tab w:val="left" w:pos="-840"/>
        </w:tabs>
        <w:ind w:left="-926" w:hanging="420"/>
      </w:pPr>
    </w:lvl>
    <w:lvl w:ilvl="3" w:tentative="0">
      <w:start w:val="1"/>
      <w:numFmt w:val="decimal"/>
      <w:lvlText w:val="%4."/>
      <w:lvlJc w:val="left"/>
      <w:pPr>
        <w:tabs>
          <w:tab w:val="left" w:pos="-840"/>
        </w:tabs>
        <w:ind w:left="-506" w:hanging="420"/>
      </w:pPr>
    </w:lvl>
    <w:lvl w:ilvl="4" w:tentative="0">
      <w:start w:val="1"/>
      <w:numFmt w:val="lowerLetter"/>
      <w:lvlText w:val="%5)"/>
      <w:lvlJc w:val="left"/>
      <w:pPr>
        <w:tabs>
          <w:tab w:val="left" w:pos="-840"/>
        </w:tabs>
        <w:ind w:left="-86" w:hanging="420"/>
      </w:pPr>
    </w:lvl>
    <w:lvl w:ilvl="5" w:tentative="0">
      <w:start w:val="1"/>
      <w:numFmt w:val="lowerRoman"/>
      <w:lvlText w:val="%6."/>
      <w:lvlJc w:val="right"/>
      <w:pPr>
        <w:tabs>
          <w:tab w:val="left" w:pos="-840"/>
        </w:tabs>
        <w:ind w:left="334" w:hanging="420"/>
      </w:pPr>
    </w:lvl>
    <w:lvl w:ilvl="6" w:tentative="0">
      <w:start w:val="1"/>
      <w:numFmt w:val="decimal"/>
      <w:lvlText w:val="%7."/>
      <w:lvlJc w:val="left"/>
      <w:pPr>
        <w:tabs>
          <w:tab w:val="left" w:pos="-840"/>
        </w:tabs>
        <w:ind w:left="754" w:hanging="420"/>
      </w:pPr>
    </w:lvl>
    <w:lvl w:ilvl="7" w:tentative="0">
      <w:start w:val="1"/>
      <w:numFmt w:val="lowerLetter"/>
      <w:lvlText w:val="%8)"/>
      <w:lvlJc w:val="left"/>
      <w:pPr>
        <w:tabs>
          <w:tab w:val="left" w:pos="-840"/>
        </w:tabs>
        <w:ind w:left="1174" w:hanging="420"/>
      </w:pPr>
    </w:lvl>
    <w:lvl w:ilvl="8" w:tentative="0">
      <w:start w:val="1"/>
      <w:numFmt w:val="lowerRoman"/>
      <w:lvlText w:val="%9."/>
      <w:lvlJc w:val="right"/>
      <w:pPr>
        <w:tabs>
          <w:tab w:val="left" w:pos="-840"/>
        </w:tabs>
        <w:ind w:left="1594" w:hanging="420"/>
      </w:pPr>
    </w:lvl>
  </w:abstractNum>
  <w:abstractNum w:abstractNumId="139">
    <w:nsid w:val="668130A3"/>
    <w:multiLevelType w:val="multilevel"/>
    <w:tmpl w:val="668130A3"/>
    <w:lvl w:ilvl="0" w:tentative="0">
      <w:start w:val="1"/>
      <w:numFmt w:val="decimal"/>
      <w:lvlText w:val="%1)"/>
      <w:lvlJc w:val="left"/>
      <w:pPr>
        <w:tabs>
          <w:tab w:val="left" w:pos="-420"/>
        </w:tabs>
        <w:ind w:left="300" w:hanging="720"/>
      </w:pPr>
      <w:rPr>
        <w:rFonts w:hint="eastAsia"/>
      </w:rPr>
    </w:lvl>
    <w:lvl w:ilvl="1" w:tentative="0">
      <w:start w:val="1"/>
      <w:numFmt w:val="lowerLetter"/>
      <w:lvlText w:val="%2)"/>
      <w:lvlJc w:val="left"/>
      <w:pPr>
        <w:tabs>
          <w:tab w:val="left" w:pos="-420"/>
        </w:tabs>
        <w:ind w:left="420" w:hanging="420"/>
      </w:pPr>
    </w:lvl>
    <w:lvl w:ilvl="2" w:tentative="0">
      <w:start w:val="1"/>
      <w:numFmt w:val="lowerRoman"/>
      <w:lvlText w:val="%3."/>
      <w:lvlJc w:val="right"/>
      <w:pPr>
        <w:tabs>
          <w:tab w:val="left" w:pos="-420"/>
        </w:tabs>
        <w:ind w:left="840" w:hanging="420"/>
      </w:pPr>
    </w:lvl>
    <w:lvl w:ilvl="3" w:tentative="0">
      <w:start w:val="1"/>
      <w:numFmt w:val="decimal"/>
      <w:lvlText w:val="%4."/>
      <w:lvlJc w:val="left"/>
      <w:pPr>
        <w:tabs>
          <w:tab w:val="left" w:pos="-420"/>
        </w:tabs>
        <w:ind w:left="1260" w:hanging="420"/>
      </w:pPr>
    </w:lvl>
    <w:lvl w:ilvl="4" w:tentative="0">
      <w:start w:val="1"/>
      <w:numFmt w:val="lowerLetter"/>
      <w:lvlText w:val="%5)"/>
      <w:lvlJc w:val="left"/>
      <w:pPr>
        <w:tabs>
          <w:tab w:val="left" w:pos="-420"/>
        </w:tabs>
        <w:ind w:left="1680" w:hanging="420"/>
      </w:pPr>
    </w:lvl>
    <w:lvl w:ilvl="5" w:tentative="0">
      <w:start w:val="1"/>
      <w:numFmt w:val="lowerRoman"/>
      <w:lvlText w:val="%6."/>
      <w:lvlJc w:val="right"/>
      <w:pPr>
        <w:tabs>
          <w:tab w:val="left" w:pos="-420"/>
        </w:tabs>
        <w:ind w:left="2100" w:hanging="420"/>
      </w:pPr>
    </w:lvl>
    <w:lvl w:ilvl="6" w:tentative="0">
      <w:start w:val="1"/>
      <w:numFmt w:val="decimal"/>
      <w:lvlText w:val="%7."/>
      <w:lvlJc w:val="left"/>
      <w:pPr>
        <w:tabs>
          <w:tab w:val="left" w:pos="-420"/>
        </w:tabs>
        <w:ind w:left="2520" w:hanging="420"/>
      </w:pPr>
    </w:lvl>
    <w:lvl w:ilvl="7" w:tentative="0">
      <w:start w:val="1"/>
      <w:numFmt w:val="lowerLetter"/>
      <w:lvlText w:val="%8)"/>
      <w:lvlJc w:val="left"/>
      <w:pPr>
        <w:tabs>
          <w:tab w:val="left" w:pos="-420"/>
        </w:tabs>
        <w:ind w:left="2940" w:hanging="420"/>
      </w:pPr>
    </w:lvl>
    <w:lvl w:ilvl="8" w:tentative="0">
      <w:start w:val="1"/>
      <w:numFmt w:val="lowerRoman"/>
      <w:lvlText w:val="%9."/>
      <w:lvlJc w:val="right"/>
      <w:pPr>
        <w:tabs>
          <w:tab w:val="left" w:pos="-420"/>
        </w:tabs>
        <w:ind w:left="3360" w:hanging="420"/>
      </w:pPr>
    </w:lvl>
  </w:abstractNum>
  <w:abstractNum w:abstractNumId="140">
    <w:nsid w:val="66F62E81"/>
    <w:multiLevelType w:val="multilevel"/>
    <w:tmpl w:val="66F62E81"/>
    <w:lvl w:ilvl="0" w:tentative="0">
      <w:start w:val="1"/>
      <w:numFmt w:val="decimal"/>
      <w:lvlText w:val="%1."/>
      <w:lvlJc w:val="left"/>
      <w:pPr>
        <w:ind w:left="425" w:hanging="425"/>
      </w:pPr>
    </w:lvl>
    <w:lvl w:ilvl="1" w:tentative="0">
      <w:start w:val="1"/>
      <w:numFmt w:val="decimal"/>
      <w:lvlText w:val="%2)"/>
      <w:lvlJc w:val="left"/>
      <w:pPr>
        <w:ind w:left="567" w:hanging="567"/>
      </w:pPr>
      <w:rPr>
        <w:rFonts w:hint="default" w:ascii="Times New Roman" w:hAnsi="Times New Roman" w:eastAsia="宋体" w:cs="Times New Roman"/>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141">
    <w:nsid w:val="67A4523E"/>
    <w:multiLevelType w:val="multilevel"/>
    <w:tmpl w:val="67A4523E"/>
    <w:lvl w:ilvl="0" w:tentative="0">
      <w:start w:val="1"/>
      <w:numFmt w:val="lowerLetter"/>
      <w:lvlText w:val="%1)"/>
      <w:lvlJc w:val="left"/>
      <w:pPr>
        <w:tabs>
          <w:tab w:val="left" w:pos="-840"/>
        </w:tabs>
        <w:ind w:left="480" w:hanging="420"/>
      </w:pPr>
      <w:rPr>
        <w:rFonts w:hint="eastAsia" w:cs="Times New Roman"/>
      </w:rPr>
    </w:lvl>
    <w:lvl w:ilvl="1" w:tentative="0">
      <w:start w:val="1"/>
      <w:numFmt w:val="lowerLetter"/>
      <w:lvlText w:val="%2)"/>
      <w:lvlJc w:val="left"/>
      <w:pPr>
        <w:tabs>
          <w:tab w:val="left" w:pos="-840"/>
        </w:tabs>
        <w:ind w:left="-1346" w:hanging="420"/>
      </w:pPr>
    </w:lvl>
    <w:lvl w:ilvl="2" w:tentative="0">
      <w:start w:val="1"/>
      <w:numFmt w:val="lowerRoman"/>
      <w:lvlText w:val="%3."/>
      <w:lvlJc w:val="right"/>
      <w:pPr>
        <w:tabs>
          <w:tab w:val="left" w:pos="-840"/>
        </w:tabs>
        <w:ind w:left="-926" w:hanging="420"/>
      </w:pPr>
    </w:lvl>
    <w:lvl w:ilvl="3" w:tentative="0">
      <w:start w:val="1"/>
      <w:numFmt w:val="decimal"/>
      <w:lvlText w:val="%4."/>
      <w:lvlJc w:val="left"/>
      <w:pPr>
        <w:tabs>
          <w:tab w:val="left" w:pos="-840"/>
        </w:tabs>
        <w:ind w:left="-506" w:hanging="420"/>
      </w:pPr>
    </w:lvl>
    <w:lvl w:ilvl="4" w:tentative="0">
      <w:start w:val="1"/>
      <w:numFmt w:val="lowerLetter"/>
      <w:lvlText w:val="%5)"/>
      <w:lvlJc w:val="left"/>
      <w:pPr>
        <w:tabs>
          <w:tab w:val="left" w:pos="-840"/>
        </w:tabs>
        <w:ind w:left="-86" w:hanging="420"/>
      </w:pPr>
    </w:lvl>
    <w:lvl w:ilvl="5" w:tentative="0">
      <w:start w:val="1"/>
      <w:numFmt w:val="lowerRoman"/>
      <w:lvlText w:val="%6."/>
      <w:lvlJc w:val="right"/>
      <w:pPr>
        <w:tabs>
          <w:tab w:val="left" w:pos="-840"/>
        </w:tabs>
        <w:ind w:left="334" w:hanging="420"/>
      </w:pPr>
    </w:lvl>
    <w:lvl w:ilvl="6" w:tentative="0">
      <w:start w:val="1"/>
      <w:numFmt w:val="decimal"/>
      <w:lvlText w:val="%7."/>
      <w:lvlJc w:val="left"/>
      <w:pPr>
        <w:tabs>
          <w:tab w:val="left" w:pos="-840"/>
        </w:tabs>
        <w:ind w:left="754" w:hanging="420"/>
      </w:pPr>
    </w:lvl>
    <w:lvl w:ilvl="7" w:tentative="0">
      <w:start w:val="1"/>
      <w:numFmt w:val="lowerLetter"/>
      <w:lvlText w:val="%8)"/>
      <w:lvlJc w:val="left"/>
      <w:pPr>
        <w:tabs>
          <w:tab w:val="left" w:pos="-840"/>
        </w:tabs>
        <w:ind w:left="1174" w:hanging="420"/>
      </w:pPr>
    </w:lvl>
    <w:lvl w:ilvl="8" w:tentative="0">
      <w:start w:val="1"/>
      <w:numFmt w:val="lowerRoman"/>
      <w:lvlText w:val="%9."/>
      <w:lvlJc w:val="right"/>
      <w:pPr>
        <w:tabs>
          <w:tab w:val="left" w:pos="-840"/>
        </w:tabs>
        <w:ind w:left="1594" w:hanging="420"/>
      </w:pPr>
    </w:lvl>
  </w:abstractNum>
  <w:abstractNum w:abstractNumId="142">
    <w:nsid w:val="68CE058C"/>
    <w:multiLevelType w:val="multilevel"/>
    <w:tmpl w:val="68CE058C"/>
    <w:lvl w:ilvl="0" w:tentative="0">
      <w:start w:val="1"/>
      <w:numFmt w:val="decimal"/>
      <w:lvlText w:val="%1."/>
      <w:lvlJc w:val="left"/>
      <w:pPr>
        <w:ind w:left="425" w:hanging="425"/>
      </w:pPr>
    </w:lvl>
    <w:lvl w:ilvl="1" w:tentative="0">
      <w:start w:val="1"/>
      <w:numFmt w:val="decimal"/>
      <w:lvlText w:val="%2)"/>
      <w:lvlJc w:val="left"/>
      <w:pPr>
        <w:ind w:left="567" w:hanging="567"/>
      </w:pPr>
      <w:rPr>
        <w:rFonts w:hint="default" w:ascii="Times New Roman" w:hAnsi="Times New Roman" w:eastAsia="宋体" w:cs="Times New Roman"/>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143">
    <w:nsid w:val="69DE2BCA"/>
    <w:multiLevelType w:val="multilevel"/>
    <w:tmpl w:val="69DE2BCA"/>
    <w:lvl w:ilvl="0" w:tentative="0">
      <w:start w:val="1"/>
      <w:numFmt w:val="decimal"/>
      <w:lvlText w:val="%1."/>
      <w:lvlJc w:val="left"/>
      <w:pPr>
        <w:ind w:left="425" w:hanging="425"/>
      </w:pPr>
    </w:lvl>
    <w:lvl w:ilvl="1" w:tentative="0">
      <w:start w:val="1"/>
      <w:numFmt w:val="decimal"/>
      <w:lvlText w:val="%2)"/>
      <w:lvlJc w:val="left"/>
      <w:pPr>
        <w:ind w:left="567" w:hanging="567"/>
      </w:pPr>
      <w:rPr>
        <w:rFonts w:hint="default" w:ascii="Times New Roman" w:hAnsi="Times New Roman" w:eastAsia="宋体" w:cs="Times New Roman"/>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144">
    <w:nsid w:val="6A0222EE"/>
    <w:multiLevelType w:val="multilevel"/>
    <w:tmpl w:val="6A0222EE"/>
    <w:lvl w:ilvl="0" w:tentative="0">
      <w:start w:val="1"/>
      <w:numFmt w:val="decimal"/>
      <w:lvlText w:val="%1)"/>
      <w:lvlJc w:val="left"/>
      <w:pPr>
        <w:tabs>
          <w:tab w:val="left" w:pos="-420"/>
        </w:tabs>
        <w:ind w:left="300" w:hanging="720"/>
      </w:pPr>
      <w:rPr>
        <w:rFonts w:hint="eastAsia"/>
      </w:rPr>
    </w:lvl>
    <w:lvl w:ilvl="1" w:tentative="0">
      <w:start w:val="1"/>
      <w:numFmt w:val="lowerLetter"/>
      <w:lvlText w:val="%2)"/>
      <w:lvlJc w:val="left"/>
      <w:pPr>
        <w:tabs>
          <w:tab w:val="left" w:pos="-420"/>
        </w:tabs>
        <w:ind w:left="420" w:hanging="420"/>
      </w:pPr>
    </w:lvl>
    <w:lvl w:ilvl="2" w:tentative="0">
      <w:start w:val="1"/>
      <w:numFmt w:val="lowerRoman"/>
      <w:lvlText w:val="%3."/>
      <w:lvlJc w:val="right"/>
      <w:pPr>
        <w:tabs>
          <w:tab w:val="left" w:pos="-420"/>
        </w:tabs>
        <w:ind w:left="840" w:hanging="420"/>
      </w:pPr>
    </w:lvl>
    <w:lvl w:ilvl="3" w:tentative="0">
      <w:start w:val="1"/>
      <w:numFmt w:val="decimal"/>
      <w:lvlText w:val="%4."/>
      <w:lvlJc w:val="left"/>
      <w:pPr>
        <w:tabs>
          <w:tab w:val="left" w:pos="-420"/>
        </w:tabs>
        <w:ind w:left="1260" w:hanging="420"/>
      </w:pPr>
    </w:lvl>
    <w:lvl w:ilvl="4" w:tentative="0">
      <w:start w:val="1"/>
      <w:numFmt w:val="lowerLetter"/>
      <w:lvlText w:val="%5)"/>
      <w:lvlJc w:val="left"/>
      <w:pPr>
        <w:tabs>
          <w:tab w:val="left" w:pos="-420"/>
        </w:tabs>
        <w:ind w:left="1680" w:hanging="420"/>
      </w:pPr>
    </w:lvl>
    <w:lvl w:ilvl="5" w:tentative="0">
      <w:start w:val="1"/>
      <w:numFmt w:val="lowerRoman"/>
      <w:lvlText w:val="%6."/>
      <w:lvlJc w:val="right"/>
      <w:pPr>
        <w:tabs>
          <w:tab w:val="left" w:pos="-420"/>
        </w:tabs>
        <w:ind w:left="2100" w:hanging="420"/>
      </w:pPr>
    </w:lvl>
    <w:lvl w:ilvl="6" w:tentative="0">
      <w:start w:val="1"/>
      <w:numFmt w:val="decimal"/>
      <w:lvlText w:val="%7."/>
      <w:lvlJc w:val="left"/>
      <w:pPr>
        <w:tabs>
          <w:tab w:val="left" w:pos="-420"/>
        </w:tabs>
        <w:ind w:left="2520" w:hanging="420"/>
      </w:pPr>
    </w:lvl>
    <w:lvl w:ilvl="7" w:tentative="0">
      <w:start w:val="1"/>
      <w:numFmt w:val="lowerLetter"/>
      <w:lvlText w:val="%8)"/>
      <w:lvlJc w:val="left"/>
      <w:pPr>
        <w:tabs>
          <w:tab w:val="left" w:pos="-420"/>
        </w:tabs>
        <w:ind w:left="2940" w:hanging="420"/>
      </w:pPr>
    </w:lvl>
    <w:lvl w:ilvl="8" w:tentative="0">
      <w:start w:val="1"/>
      <w:numFmt w:val="lowerRoman"/>
      <w:lvlText w:val="%9."/>
      <w:lvlJc w:val="right"/>
      <w:pPr>
        <w:tabs>
          <w:tab w:val="left" w:pos="-420"/>
        </w:tabs>
        <w:ind w:left="3360" w:hanging="420"/>
      </w:pPr>
    </w:lvl>
  </w:abstractNum>
  <w:abstractNum w:abstractNumId="145">
    <w:nsid w:val="6E505377"/>
    <w:multiLevelType w:val="multilevel"/>
    <w:tmpl w:val="6E505377"/>
    <w:lvl w:ilvl="0" w:tentative="0">
      <w:start w:val="1"/>
      <w:numFmt w:val="decimal"/>
      <w:lvlText w:val="%1."/>
      <w:lvlJc w:val="left"/>
      <w:pPr>
        <w:ind w:left="425" w:hanging="425"/>
      </w:pPr>
    </w:lvl>
    <w:lvl w:ilvl="1" w:tentative="0">
      <w:start w:val="1"/>
      <w:numFmt w:val="decimal"/>
      <w:lvlText w:val="%2)"/>
      <w:lvlJc w:val="left"/>
      <w:pPr>
        <w:ind w:left="567" w:hanging="567"/>
      </w:pPr>
      <w:rPr>
        <w:rFonts w:hint="default" w:ascii="Times New Roman" w:hAnsi="Times New Roman" w:eastAsia="宋体" w:cs="Times New Roman"/>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146">
    <w:nsid w:val="6F086014"/>
    <w:multiLevelType w:val="multilevel"/>
    <w:tmpl w:val="6F086014"/>
    <w:lvl w:ilvl="0" w:tentative="0">
      <w:start w:val="1"/>
      <w:numFmt w:val="decimal"/>
      <w:lvlText w:val="（%1）"/>
      <w:lvlJc w:val="left"/>
      <w:pPr>
        <w:tabs>
          <w:tab w:val="left" w:pos="-840"/>
        </w:tabs>
        <w:ind w:left="80" w:hanging="440"/>
      </w:pPr>
      <w:rPr>
        <w:rFonts w:hint="eastAsia"/>
      </w:rPr>
    </w:lvl>
    <w:lvl w:ilvl="1" w:tentative="0">
      <w:start w:val="1"/>
      <w:numFmt w:val="lowerLetter"/>
      <w:lvlText w:val="%2)"/>
      <w:lvlJc w:val="left"/>
      <w:pPr>
        <w:tabs>
          <w:tab w:val="left" w:pos="-840"/>
        </w:tabs>
        <w:ind w:left="520" w:hanging="440"/>
      </w:pPr>
    </w:lvl>
    <w:lvl w:ilvl="2" w:tentative="0">
      <w:start w:val="1"/>
      <w:numFmt w:val="lowerRoman"/>
      <w:lvlText w:val="%3."/>
      <w:lvlJc w:val="right"/>
      <w:pPr>
        <w:tabs>
          <w:tab w:val="left" w:pos="-840"/>
        </w:tabs>
        <w:ind w:left="960" w:hanging="440"/>
      </w:pPr>
    </w:lvl>
    <w:lvl w:ilvl="3" w:tentative="0">
      <w:start w:val="1"/>
      <w:numFmt w:val="decimal"/>
      <w:lvlText w:val="%4."/>
      <w:lvlJc w:val="left"/>
      <w:pPr>
        <w:tabs>
          <w:tab w:val="left" w:pos="-840"/>
        </w:tabs>
        <w:ind w:left="1400" w:hanging="440"/>
      </w:pPr>
    </w:lvl>
    <w:lvl w:ilvl="4" w:tentative="0">
      <w:start w:val="1"/>
      <w:numFmt w:val="lowerLetter"/>
      <w:lvlText w:val="%5)"/>
      <w:lvlJc w:val="left"/>
      <w:pPr>
        <w:tabs>
          <w:tab w:val="left" w:pos="-840"/>
        </w:tabs>
        <w:ind w:left="1840" w:hanging="440"/>
      </w:pPr>
    </w:lvl>
    <w:lvl w:ilvl="5" w:tentative="0">
      <w:start w:val="1"/>
      <w:numFmt w:val="lowerRoman"/>
      <w:lvlText w:val="%6."/>
      <w:lvlJc w:val="right"/>
      <w:pPr>
        <w:tabs>
          <w:tab w:val="left" w:pos="-840"/>
        </w:tabs>
        <w:ind w:left="2280" w:hanging="440"/>
      </w:pPr>
    </w:lvl>
    <w:lvl w:ilvl="6" w:tentative="0">
      <w:start w:val="1"/>
      <w:numFmt w:val="decimal"/>
      <w:lvlText w:val="%7."/>
      <w:lvlJc w:val="left"/>
      <w:pPr>
        <w:tabs>
          <w:tab w:val="left" w:pos="-840"/>
        </w:tabs>
        <w:ind w:left="2720" w:hanging="440"/>
      </w:pPr>
    </w:lvl>
    <w:lvl w:ilvl="7" w:tentative="0">
      <w:start w:val="1"/>
      <w:numFmt w:val="lowerLetter"/>
      <w:lvlText w:val="%8)"/>
      <w:lvlJc w:val="left"/>
      <w:pPr>
        <w:tabs>
          <w:tab w:val="left" w:pos="-840"/>
        </w:tabs>
        <w:ind w:left="3160" w:hanging="440"/>
      </w:pPr>
    </w:lvl>
    <w:lvl w:ilvl="8" w:tentative="0">
      <w:start w:val="1"/>
      <w:numFmt w:val="lowerRoman"/>
      <w:lvlText w:val="%9."/>
      <w:lvlJc w:val="right"/>
      <w:pPr>
        <w:tabs>
          <w:tab w:val="left" w:pos="-840"/>
        </w:tabs>
        <w:ind w:left="3600" w:hanging="440"/>
      </w:pPr>
    </w:lvl>
  </w:abstractNum>
  <w:abstractNum w:abstractNumId="147">
    <w:nsid w:val="6F4B5EA9"/>
    <w:multiLevelType w:val="multilevel"/>
    <w:tmpl w:val="6F4B5EA9"/>
    <w:lvl w:ilvl="0" w:tentative="0">
      <w:start w:val="1"/>
      <w:numFmt w:val="decimal"/>
      <w:lvlText w:val="%1）"/>
      <w:lvlJc w:val="right"/>
      <w:pPr>
        <w:tabs>
          <w:tab w:val="left" w:pos="-420"/>
        </w:tabs>
        <w:ind w:left="480" w:hanging="420"/>
      </w:pPr>
      <w:rPr>
        <w:rFonts w:hint="eastAsia"/>
      </w:rPr>
    </w:lvl>
    <w:lvl w:ilvl="1" w:tentative="0">
      <w:start w:val="1"/>
      <w:numFmt w:val="lowerLetter"/>
      <w:lvlText w:val="%2)"/>
      <w:lvlJc w:val="left"/>
      <w:pPr>
        <w:tabs>
          <w:tab w:val="left" w:pos="-420"/>
        </w:tabs>
        <w:ind w:left="900" w:hanging="420"/>
      </w:pPr>
    </w:lvl>
    <w:lvl w:ilvl="2" w:tentative="0">
      <w:start w:val="1"/>
      <w:numFmt w:val="lowerRoman"/>
      <w:lvlText w:val="%3."/>
      <w:lvlJc w:val="right"/>
      <w:pPr>
        <w:tabs>
          <w:tab w:val="left" w:pos="-420"/>
        </w:tabs>
        <w:ind w:left="1320" w:hanging="420"/>
      </w:pPr>
    </w:lvl>
    <w:lvl w:ilvl="3" w:tentative="0">
      <w:start w:val="1"/>
      <w:numFmt w:val="decimal"/>
      <w:lvlText w:val="%4."/>
      <w:lvlJc w:val="left"/>
      <w:pPr>
        <w:tabs>
          <w:tab w:val="left" w:pos="-420"/>
        </w:tabs>
        <w:ind w:left="1740" w:hanging="420"/>
      </w:pPr>
    </w:lvl>
    <w:lvl w:ilvl="4" w:tentative="0">
      <w:start w:val="1"/>
      <w:numFmt w:val="lowerLetter"/>
      <w:lvlText w:val="%5)"/>
      <w:lvlJc w:val="left"/>
      <w:pPr>
        <w:tabs>
          <w:tab w:val="left" w:pos="-420"/>
        </w:tabs>
        <w:ind w:left="2160" w:hanging="420"/>
      </w:pPr>
    </w:lvl>
    <w:lvl w:ilvl="5" w:tentative="0">
      <w:start w:val="1"/>
      <w:numFmt w:val="lowerRoman"/>
      <w:lvlText w:val="%6."/>
      <w:lvlJc w:val="right"/>
      <w:pPr>
        <w:tabs>
          <w:tab w:val="left" w:pos="-420"/>
        </w:tabs>
        <w:ind w:left="2580" w:hanging="420"/>
      </w:pPr>
    </w:lvl>
    <w:lvl w:ilvl="6" w:tentative="0">
      <w:start w:val="1"/>
      <w:numFmt w:val="decimal"/>
      <w:lvlText w:val="%7."/>
      <w:lvlJc w:val="left"/>
      <w:pPr>
        <w:tabs>
          <w:tab w:val="left" w:pos="-420"/>
        </w:tabs>
        <w:ind w:left="3000" w:hanging="420"/>
      </w:pPr>
    </w:lvl>
    <w:lvl w:ilvl="7" w:tentative="0">
      <w:start w:val="1"/>
      <w:numFmt w:val="lowerLetter"/>
      <w:lvlText w:val="%8)"/>
      <w:lvlJc w:val="left"/>
      <w:pPr>
        <w:tabs>
          <w:tab w:val="left" w:pos="-420"/>
        </w:tabs>
        <w:ind w:left="3420" w:hanging="420"/>
      </w:pPr>
    </w:lvl>
    <w:lvl w:ilvl="8" w:tentative="0">
      <w:start w:val="1"/>
      <w:numFmt w:val="lowerRoman"/>
      <w:lvlText w:val="%9."/>
      <w:lvlJc w:val="right"/>
      <w:pPr>
        <w:tabs>
          <w:tab w:val="left" w:pos="-420"/>
        </w:tabs>
        <w:ind w:left="3840" w:hanging="420"/>
      </w:pPr>
    </w:lvl>
  </w:abstractNum>
  <w:abstractNum w:abstractNumId="148">
    <w:nsid w:val="6F7D64B0"/>
    <w:multiLevelType w:val="multilevel"/>
    <w:tmpl w:val="6F7D64B0"/>
    <w:lvl w:ilvl="0" w:tentative="0">
      <w:start w:val="1"/>
      <w:numFmt w:val="decimal"/>
      <w:lvlText w:val="%1）"/>
      <w:lvlJc w:val="right"/>
      <w:pPr>
        <w:ind w:left="900" w:hanging="420"/>
      </w:pPr>
      <w:rPr>
        <w:rFonts w:hint="eastAsia"/>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149">
    <w:nsid w:val="700B241B"/>
    <w:multiLevelType w:val="multilevel"/>
    <w:tmpl w:val="700B241B"/>
    <w:lvl w:ilvl="0" w:tentative="0">
      <w:start w:val="1"/>
      <w:numFmt w:val="lowerLetter"/>
      <w:lvlText w:val="%1)"/>
      <w:lvlJc w:val="left"/>
      <w:pPr>
        <w:tabs>
          <w:tab w:val="left" w:pos="-420"/>
        </w:tabs>
        <w:ind w:left="900" w:hanging="420"/>
      </w:pPr>
      <w:rPr>
        <w:rFonts w:hint="eastAsia" w:cs="Times New Roman"/>
      </w:rPr>
    </w:lvl>
    <w:lvl w:ilvl="1" w:tentative="0">
      <w:start w:val="1"/>
      <w:numFmt w:val="lowerLetter"/>
      <w:lvlText w:val="%2)"/>
      <w:lvlJc w:val="left"/>
      <w:pPr>
        <w:tabs>
          <w:tab w:val="left" w:pos="-420"/>
        </w:tabs>
        <w:ind w:left="-926" w:hanging="420"/>
      </w:pPr>
    </w:lvl>
    <w:lvl w:ilvl="2" w:tentative="0">
      <w:start w:val="1"/>
      <w:numFmt w:val="lowerRoman"/>
      <w:lvlText w:val="%3."/>
      <w:lvlJc w:val="right"/>
      <w:pPr>
        <w:tabs>
          <w:tab w:val="left" w:pos="-420"/>
        </w:tabs>
        <w:ind w:left="-506" w:hanging="420"/>
      </w:pPr>
    </w:lvl>
    <w:lvl w:ilvl="3" w:tentative="0">
      <w:start w:val="1"/>
      <w:numFmt w:val="decimal"/>
      <w:lvlText w:val="%4."/>
      <w:lvlJc w:val="left"/>
      <w:pPr>
        <w:tabs>
          <w:tab w:val="left" w:pos="-420"/>
        </w:tabs>
        <w:ind w:left="-86" w:hanging="420"/>
      </w:pPr>
    </w:lvl>
    <w:lvl w:ilvl="4" w:tentative="0">
      <w:start w:val="1"/>
      <w:numFmt w:val="lowerLetter"/>
      <w:lvlText w:val="%5)"/>
      <w:lvlJc w:val="left"/>
      <w:pPr>
        <w:tabs>
          <w:tab w:val="left" w:pos="-420"/>
        </w:tabs>
        <w:ind w:left="334" w:hanging="420"/>
      </w:pPr>
    </w:lvl>
    <w:lvl w:ilvl="5" w:tentative="0">
      <w:start w:val="1"/>
      <w:numFmt w:val="lowerRoman"/>
      <w:lvlText w:val="%6."/>
      <w:lvlJc w:val="right"/>
      <w:pPr>
        <w:tabs>
          <w:tab w:val="left" w:pos="-420"/>
        </w:tabs>
        <w:ind w:left="754" w:hanging="420"/>
      </w:pPr>
    </w:lvl>
    <w:lvl w:ilvl="6" w:tentative="0">
      <w:start w:val="1"/>
      <w:numFmt w:val="decimal"/>
      <w:lvlText w:val="%7."/>
      <w:lvlJc w:val="left"/>
      <w:pPr>
        <w:tabs>
          <w:tab w:val="left" w:pos="-420"/>
        </w:tabs>
        <w:ind w:left="1174" w:hanging="420"/>
      </w:pPr>
    </w:lvl>
    <w:lvl w:ilvl="7" w:tentative="0">
      <w:start w:val="1"/>
      <w:numFmt w:val="lowerLetter"/>
      <w:lvlText w:val="%8)"/>
      <w:lvlJc w:val="left"/>
      <w:pPr>
        <w:tabs>
          <w:tab w:val="left" w:pos="-420"/>
        </w:tabs>
        <w:ind w:left="1594" w:hanging="420"/>
      </w:pPr>
    </w:lvl>
    <w:lvl w:ilvl="8" w:tentative="0">
      <w:start w:val="1"/>
      <w:numFmt w:val="lowerRoman"/>
      <w:lvlText w:val="%9."/>
      <w:lvlJc w:val="right"/>
      <w:pPr>
        <w:tabs>
          <w:tab w:val="left" w:pos="-420"/>
        </w:tabs>
        <w:ind w:left="2014" w:hanging="420"/>
      </w:pPr>
    </w:lvl>
  </w:abstractNum>
  <w:abstractNum w:abstractNumId="150">
    <w:nsid w:val="71021ADC"/>
    <w:multiLevelType w:val="multilevel"/>
    <w:tmpl w:val="71021ADC"/>
    <w:lvl w:ilvl="0" w:tentative="0">
      <w:start w:val="1"/>
      <w:numFmt w:val="lowerLetter"/>
      <w:lvlText w:val="%1)"/>
      <w:lvlJc w:val="left"/>
      <w:pPr>
        <w:ind w:left="1178" w:hanging="420"/>
      </w:pPr>
      <w:rPr>
        <w:rFonts w:hint="eastAsia" w:cs="Times New Roman"/>
      </w:rPr>
    </w:lvl>
    <w:lvl w:ilvl="1" w:tentative="0">
      <w:start w:val="1"/>
      <w:numFmt w:val="lowerLetter"/>
      <w:lvlText w:val="%2)"/>
      <w:lvlJc w:val="left"/>
      <w:pPr>
        <w:ind w:left="-648" w:hanging="420"/>
      </w:pPr>
    </w:lvl>
    <w:lvl w:ilvl="2" w:tentative="0">
      <w:start w:val="1"/>
      <w:numFmt w:val="lowerRoman"/>
      <w:lvlText w:val="%3."/>
      <w:lvlJc w:val="right"/>
      <w:pPr>
        <w:ind w:left="-228" w:hanging="420"/>
      </w:pPr>
    </w:lvl>
    <w:lvl w:ilvl="3" w:tentative="0">
      <w:start w:val="1"/>
      <w:numFmt w:val="decimal"/>
      <w:lvlText w:val="%4."/>
      <w:lvlJc w:val="left"/>
      <w:pPr>
        <w:ind w:left="192" w:hanging="420"/>
      </w:pPr>
    </w:lvl>
    <w:lvl w:ilvl="4" w:tentative="0">
      <w:start w:val="1"/>
      <w:numFmt w:val="lowerLetter"/>
      <w:lvlText w:val="%5)"/>
      <w:lvlJc w:val="left"/>
      <w:pPr>
        <w:ind w:left="612" w:hanging="420"/>
      </w:pPr>
    </w:lvl>
    <w:lvl w:ilvl="5" w:tentative="0">
      <w:start w:val="1"/>
      <w:numFmt w:val="lowerRoman"/>
      <w:lvlText w:val="%6."/>
      <w:lvlJc w:val="right"/>
      <w:pPr>
        <w:ind w:left="1032" w:hanging="420"/>
      </w:pPr>
    </w:lvl>
    <w:lvl w:ilvl="6" w:tentative="0">
      <w:start w:val="1"/>
      <w:numFmt w:val="decimal"/>
      <w:lvlText w:val="%7."/>
      <w:lvlJc w:val="left"/>
      <w:pPr>
        <w:ind w:left="1452" w:hanging="420"/>
      </w:pPr>
    </w:lvl>
    <w:lvl w:ilvl="7" w:tentative="0">
      <w:start w:val="1"/>
      <w:numFmt w:val="lowerLetter"/>
      <w:lvlText w:val="%8)"/>
      <w:lvlJc w:val="left"/>
      <w:pPr>
        <w:ind w:left="1872" w:hanging="420"/>
      </w:pPr>
    </w:lvl>
    <w:lvl w:ilvl="8" w:tentative="0">
      <w:start w:val="1"/>
      <w:numFmt w:val="lowerRoman"/>
      <w:lvlText w:val="%9."/>
      <w:lvlJc w:val="right"/>
      <w:pPr>
        <w:ind w:left="2292" w:hanging="420"/>
      </w:pPr>
    </w:lvl>
  </w:abstractNum>
  <w:abstractNum w:abstractNumId="151">
    <w:nsid w:val="713422BB"/>
    <w:multiLevelType w:val="multilevel"/>
    <w:tmpl w:val="713422BB"/>
    <w:lvl w:ilvl="0" w:tentative="0">
      <w:start w:val="1"/>
      <w:numFmt w:val="decimal"/>
      <w:lvlText w:val="（%1）"/>
      <w:lvlJc w:val="left"/>
      <w:pPr>
        <w:tabs>
          <w:tab w:val="left" w:pos="-840"/>
        </w:tabs>
        <w:ind w:left="80" w:hanging="440"/>
      </w:pPr>
      <w:rPr>
        <w:rFonts w:hint="eastAsia"/>
      </w:rPr>
    </w:lvl>
    <w:lvl w:ilvl="1" w:tentative="0">
      <w:start w:val="1"/>
      <w:numFmt w:val="lowerLetter"/>
      <w:lvlText w:val="%2)"/>
      <w:lvlJc w:val="left"/>
      <w:pPr>
        <w:tabs>
          <w:tab w:val="left" w:pos="-840"/>
        </w:tabs>
        <w:ind w:left="520" w:hanging="440"/>
      </w:pPr>
    </w:lvl>
    <w:lvl w:ilvl="2" w:tentative="0">
      <w:start w:val="1"/>
      <w:numFmt w:val="lowerRoman"/>
      <w:lvlText w:val="%3."/>
      <w:lvlJc w:val="right"/>
      <w:pPr>
        <w:tabs>
          <w:tab w:val="left" w:pos="-840"/>
        </w:tabs>
        <w:ind w:left="960" w:hanging="440"/>
      </w:pPr>
    </w:lvl>
    <w:lvl w:ilvl="3" w:tentative="0">
      <w:start w:val="1"/>
      <w:numFmt w:val="decimal"/>
      <w:lvlText w:val="%4."/>
      <w:lvlJc w:val="left"/>
      <w:pPr>
        <w:tabs>
          <w:tab w:val="left" w:pos="-840"/>
        </w:tabs>
        <w:ind w:left="1400" w:hanging="440"/>
      </w:pPr>
    </w:lvl>
    <w:lvl w:ilvl="4" w:tentative="0">
      <w:start w:val="1"/>
      <w:numFmt w:val="lowerLetter"/>
      <w:lvlText w:val="%5)"/>
      <w:lvlJc w:val="left"/>
      <w:pPr>
        <w:tabs>
          <w:tab w:val="left" w:pos="-840"/>
        </w:tabs>
        <w:ind w:left="1840" w:hanging="440"/>
      </w:pPr>
    </w:lvl>
    <w:lvl w:ilvl="5" w:tentative="0">
      <w:start w:val="1"/>
      <w:numFmt w:val="lowerRoman"/>
      <w:lvlText w:val="%6."/>
      <w:lvlJc w:val="right"/>
      <w:pPr>
        <w:tabs>
          <w:tab w:val="left" w:pos="-840"/>
        </w:tabs>
        <w:ind w:left="2280" w:hanging="440"/>
      </w:pPr>
    </w:lvl>
    <w:lvl w:ilvl="6" w:tentative="0">
      <w:start w:val="1"/>
      <w:numFmt w:val="decimal"/>
      <w:lvlText w:val="%7."/>
      <w:lvlJc w:val="left"/>
      <w:pPr>
        <w:tabs>
          <w:tab w:val="left" w:pos="-840"/>
        </w:tabs>
        <w:ind w:left="2720" w:hanging="440"/>
      </w:pPr>
    </w:lvl>
    <w:lvl w:ilvl="7" w:tentative="0">
      <w:start w:val="1"/>
      <w:numFmt w:val="lowerLetter"/>
      <w:lvlText w:val="%8)"/>
      <w:lvlJc w:val="left"/>
      <w:pPr>
        <w:tabs>
          <w:tab w:val="left" w:pos="-840"/>
        </w:tabs>
        <w:ind w:left="3160" w:hanging="440"/>
      </w:pPr>
    </w:lvl>
    <w:lvl w:ilvl="8" w:tentative="0">
      <w:start w:val="1"/>
      <w:numFmt w:val="lowerRoman"/>
      <w:lvlText w:val="%9."/>
      <w:lvlJc w:val="right"/>
      <w:pPr>
        <w:tabs>
          <w:tab w:val="left" w:pos="-840"/>
        </w:tabs>
        <w:ind w:left="3600" w:hanging="440"/>
      </w:pPr>
    </w:lvl>
  </w:abstractNum>
  <w:abstractNum w:abstractNumId="152">
    <w:nsid w:val="71B15699"/>
    <w:multiLevelType w:val="multilevel"/>
    <w:tmpl w:val="71B15699"/>
    <w:lvl w:ilvl="0" w:tentative="0">
      <w:start w:val="1"/>
      <w:numFmt w:val="lowerLetter"/>
      <w:lvlText w:val="%1)"/>
      <w:lvlJc w:val="left"/>
      <w:pPr>
        <w:tabs>
          <w:tab w:val="left" w:pos="-420"/>
        </w:tabs>
        <w:ind w:left="758" w:hanging="420"/>
      </w:pPr>
      <w:rPr>
        <w:rFonts w:hint="eastAsia" w:cs="Times New Roman"/>
      </w:rPr>
    </w:lvl>
    <w:lvl w:ilvl="1" w:tentative="0">
      <w:start w:val="1"/>
      <w:numFmt w:val="lowerLetter"/>
      <w:lvlText w:val="%2)"/>
      <w:lvlJc w:val="left"/>
      <w:pPr>
        <w:tabs>
          <w:tab w:val="left" w:pos="-420"/>
        </w:tabs>
        <w:ind w:left="-1068" w:hanging="420"/>
      </w:pPr>
    </w:lvl>
    <w:lvl w:ilvl="2" w:tentative="0">
      <w:start w:val="1"/>
      <w:numFmt w:val="lowerRoman"/>
      <w:lvlText w:val="%3."/>
      <w:lvlJc w:val="right"/>
      <w:pPr>
        <w:tabs>
          <w:tab w:val="left" w:pos="-420"/>
        </w:tabs>
        <w:ind w:left="-648" w:hanging="420"/>
      </w:pPr>
    </w:lvl>
    <w:lvl w:ilvl="3" w:tentative="0">
      <w:start w:val="1"/>
      <w:numFmt w:val="decimal"/>
      <w:lvlText w:val="%4."/>
      <w:lvlJc w:val="left"/>
      <w:pPr>
        <w:tabs>
          <w:tab w:val="left" w:pos="-420"/>
        </w:tabs>
        <w:ind w:left="-228" w:hanging="420"/>
      </w:pPr>
    </w:lvl>
    <w:lvl w:ilvl="4" w:tentative="0">
      <w:start w:val="1"/>
      <w:numFmt w:val="lowerLetter"/>
      <w:lvlText w:val="%5)"/>
      <w:lvlJc w:val="left"/>
      <w:pPr>
        <w:tabs>
          <w:tab w:val="left" w:pos="-420"/>
        </w:tabs>
        <w:ind w:left="192" w:hanging="420"/>
      </w:pPr>
    </w:lvl>
    <w:lvl w:ilvl="5" w:tentative="0">
      <w:start w:val="1"/>
      <w:numFmt w:val="lowerRoman"/>
      <w:lvlText w:val="%6."/>
      <w:lvlJc w:val="right"/>
      <w:pPr>
        <w:tabs>
          <w:tab w:val="left" w:pos="-420"/>
        </w:tabs>
        <w:ind w:left="612" w:hanging="420"/>
      </w:pPr>
    </w:lvl>
    <w:lvl w:ilvl="6" w:tentative="0">
      <w:start w:val="1"/>
      <w:numFmt w:val="decimal"/>
      <w:lvlText w:val="%7."/>
      <w:lvlJc w:val="left"/>
      <w:pPr>
        <w:tabs>
          <w:tab w:val="left" w:pos="-420"/>
        </w:tabs>
        <w:ind w:left="1032" w:hanging="420"/>
      </w:pPr>
    </w:lvl>
    <w:lvl w:ilvl="7" w:tentative="0">
      <w:start w:val="1"/>
      <w:numFmt w:val="lowerLetter"/>
      <w:lvlText w:val="%8)"/>
      <w:lvlJc w:val="left"/>
      <w:pPr>
        <w:tabs>
          <w:tab w:val="left" w:pos="-420"/>
        </w:tabs>
        <w:ind w:left="1452" w:hanging="420"/>
      </w:pPr>
    </w:lvl>
    <w:lvl w:ilvl="8" w:tentative="0">
      <w:start w:val="1"/>
      <w:numFmt w:val="lowerRoman"/>
      <w:lvlText w:val="%9."/>
      <w:lvlJc w:val="right"/>
      <w:pPr>
        <w:tabs>
          <w:tab w:val="left" w:pos="-420"/>
        </w:tabs>
        <w:ind w:left="1872" w:hanging="420"/>
      </w:pPr>
    </w:lvl>
  </w:abstractNum>
  <w:abstractNum w:abstractNumId="153">
    <w:nsid w:val="752556C7"/>
    <w:multiLevelType w:val="multilevel"/>
    <w:tmpl w:val="752556C7"/>
    <w:lvl w:ilvl="0" w:tentative="0">
      <w:start w:val="1"/>
      <w:numFmt w:val="lowerLetter"/>
      <w:lvlText w:val="%1)"/>
      <w:lvlJc w:val="left"/>
      <w:pPr>
        <w:tabs>
          <w:tab w:val="left" w:pos="-420"/>
        </w:tabs>
        <w:ind w:left="900" w:hanging="420"/>
      </w:pPr>
      <w:rPr>
        <w:rFonts w:hint="eastAsia" w:cs="Times New Roman"/>
      </w:rPr>
    </w:lvl>
    <w:lvl w:ilvl="1" w:tentative="0">
      <w:start w:val="1"/>
      <w:numFmt w:val="lowerLetter"/>
      <w:lvlText w:val="%2)"/>
      <w:lvlJc w:val="left"/>
      <w:pPr>
        <w:tabs>
          <w:tab w:val="left" w:pos="-420"/>
        </w:tabs>
        <w:ind w:left="-926" w:hanging="420"/>
      </w:pPr>
    </w:lvl>
    <w:lvl w:ilvl="2" w:tentative="0">
      <w:start w:val="1"/>
      <w:numFmt w:val="lowerRoman"/>
      <w:lvlText w:val="%3."/>
      <w:lvlJc w:val="right"/>
      <w:pPr>
        <w:tabs>
          <w:tab w:val="left" w:pos="-420"/>
        </w:tabs>
        <w:ind w:left="-506" w:hanging="420"/>
      </w:pPr>
    </w:lvl>
    <w:lvl w:ilvl="3" w:tentative="0">
      <w:start w:val="1"/>
      <w:numFmt w:val="decimal"/>
      <w:lvlText w:val="%4."/>
      <w:lvlJc w:val="left"/>
      <w:pPr>
        <w:tabs>
          <w:tab w:val="left" w:pos="-420"/>
        </w:tabs>
        <w:ind w:left="-86" w:hanging="420"/>
      </w:pPr>
    </w:lvl>
    <w:lvl w:ilvl="4" w:tentative="0">
      <w:start w:val="1"/>
      <w:numFmt w:val="lowerLetter"/>
      <w:lvlText w:val="%5)"/>
      <w:lvlJc w:val="left"/>
      <w:pPr>
        <w:tabs>
          <w:tab w:val="left" w:pos="-420"/>
        </w:tabs>
        <w:ind w:left="334" w:hanging="420"/>
      </w:pPr>
    </w:lvl>
    <w:lvl w:ilvl="5" w:tentative="0">
      <w:start w:val="1"/>
      <w:numFmt w:val="lowerRoman"/>
      <w:lvlText w:val="%6."/>
      <w:lvlJc w:val="right"/>
      <w:pPr>
        <w:tabs>
          <w:tab w:val="left" w:pos="-420"/>
        </w:tabs>
        <w:ind w:left="754" w:hanging="420"/>
      </w:pPr>
    </w:lvl>
    <w:lvl w:ilvl="6" w:tentative="0">
      <w:start w:val="1"/>
      <w:numFmt w:val="decimal"/>
      <w:lvlText w:val="%7."/>
      <w:lvlJc w:val="left"/>
      <w:pPr>
        <w:tabs>
          <w:tab w:val="left" w:pos="-420"/>
        </w:tabs>
        <w:ind w:left="1174" w:hanging="420"/>
      </w:pPr>
    </w:lvl>
    <w:lvl w:ilvl="7" w:tentative="0">
      <w:start w:val="1"/>
      <w:numFmt w:val="lowerLetter"/>
      <w:lvlText w:val="%8)"/>
      <w:lvlJc w:val="left"/>
      <w:pPr>
        <w:tabs>
          <w:tab w:val="left" w:pos="-420"/>
        </w:tabs>
        <w:ind w:left="1594" w:hanging="420"/>
      </w:pPr>
    </w:lvl>
    <w:lvl w:ilvl="8" w:tentative="0">
      <w:start w:val="1"/>
      <w:numFmt w:val="lowerRoman"/>
      <w:lvlText w:val="%9."/>
      <w:lvlJc w:val="right"/>
      <w:pPr>
        <w:tabs>
          <w:tab w:val="left" w:pos="-420"/>
        </w:tabs>
        <w:ind w:left="2014" w:hanging="420"/>
      </w:pPr>
    </w:lvl>
  </w:abstractNum>
  <w:abstractNum w:abstractNumId="154">
    <w:nsid w:val="75A8087F"/>
    <w:multiLevelType w:val="multilevel"/>
    <w:tmpl w:val="75A8087F"/>
    <w:lvl w:ilvl="0" w:tentative="0">
      <w:start w:val="1"/>
      <w:numFmt w:val="decimal"/>
      <w:lvlText w:val="%1."/>
      <w:lvlJc w:val="left"/>
      <w:pPr>
        <w:ind w:left="425" w:hanging="425"/>
      </w:pPr>
    </w:lvl>
    <w:lvl w:ilvl="1" w:tentative="0">
      <w:start w:val="1"/>
      <w:numFmt w:val="decimal"/>
      <w:lvlText w:val="%2)"/>
      <w:lvlJc w:val="left"/>
      <w:pPr>
        <w:ind w:left="567" w:hanging="567"/>
      </w:pPr>
      <w:rPr>
        <w:rFonts w:hint="default" w:ascii="Times New Roman" w:hAnsi="Times New Roman" w:eastAsia="宋体" w:cs="Times New Roman"/>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155">
    <w:nsid w:val="75B57B4C"/>
    <w:multiLevelType w:val="multilevel"/>
    <w:tmpl w:val="75B57B4C"/>
    <w:lvl w:ilvl="0" w:tentative="0">
      <w:start w:val="1"/>
      <w:numFmt w:val="lowerLetter"/>
      <w:lvlText w:val="%1)"/>
      <w:lvlJc w:val="left"/>
      <w:pPr>
        <w:tabs>
          <w:tab w:val="left" w:pos="-420"/>
        </w:tabs>
        <w:ind w:left="758" w:hanging="420"/>
      </w:pPr>
      <w:rPr>
        <w:rFonts w:hint="eastAsia" w:cs="Times New Roman"/>
      </w:rPr>
    </w:lvl>
    <w:lvl w:ilvl="1" w:tentative="0">
      <w:start w:val="1"/>
      <w:numFmt w:val="lowerLetter"/>
      <w:lvlText w:val="%2)"/>
      <w:lvlJc w:val="left"/>
      <w:pPr>
        <w:tabs>
          <w:tab w:val="left" w:pos="-420"/>
        </w:tabs>
        <w:ind w:left="-1068" w:hanging="420"/>
      </w:pPr>
    </w:lvl>
    <w:lvl w:ilvl="2" w:tentative="0">
      <w:start w:val="1"/>
      <w:numFmt w:val="lowerRoman"/>
      <w:lvlText w:val="%3."/>
      <w:lvlJc w:val="right"/>
      <w:pPr>
        <w:tabs>
          <w:tab w:val="left" w:pos="-420"/>
        </w:tabs>
        <w:ind w:left="-648" w:hanging="420"/>
      </w:pPr>
    </w:lvl>
    <w:lvl w:ilvl="3" w:tentative="0">
      <w:start w:val="1"/>
      <w:numFmt w:val="decimal"/>
      <w:lvlText w:val="%4."/>
      <w:lvlJc w:val="left"/>
      <w:pPr>
        <w:tabs>
          <w:tab w:val="left" w:pos="-420"/>
        </w:tabs>
        <w:ind w:left="-228" w:hanging="420"/>
      </w:pPr>
    </w:lvl>
    <w:lvl w:ilvl="4" w:tentative="0">
      <w:start w:val="1"/>
      <w:numFmt w:val="lowerLetter"/>
      <w:lvlText w:val="%5)"/>
      <w:lvlJc w:val="left"/>
      <w:pPr>
        <w:tabs>
          <w:tab w:val="left" w:pos="-420"/>
        </w:tabs>
        <w:ind w:left="192" w:hanging="420"/>
      </w:pPr>
    </w:lvl>
    <w:lvl w:ilvl="5" w:tentative="0">
      <w:start w:val="1"/>
      <w:numFmt w:val="lowerRoman"/>
      <w:lvlText w:val="%6."/>
      <w:lvlJc w:val="right"/>
      <w:pPr>
        <w:tabs>
          <w:tab w:val="left" w:pos="-420"/>
        </w:tabs>
        <w:ind w:left="612" w:hanging="420"/>
      </w:pPr>
    </w:lvl>
    <w:lvl w:ilvl="6" w:tentative="0">
      <w:start w:val="1"/>
      <w:numFmt w:val="decimal"/>
      <w:lvlText w:val="%7."/>
      <w:lvlJc w:val="left"/>
      <w:pPr>
        <w:tabs>
          <w:tab w:val="left" w:pos="-420"/>
        </w:tabs>
        <w:ind w:left="1032" w:hanging="420"/>
      </w:pPr>
    </w:lvl>
    <w:lvl w:ilvl="7" w:tentative="0">
      <w:start w:val="1"/>
      <w:numFmt w:val="lowerLetter"/>
      <w:lvlText w:val="%8)"/>
      <w:lvlJc w:val="left"/>
      <w:pPr>
        <w:tabs>
          <w:tab w:val="left" w:pos="-420"/>
        </w:tabs>
        <w:ind w:left="1452" w:hanging="420"/>
      </w:pPr>
    </w:lvl>
    <w:lvl w:ilvl="8" w:tentative="0">
      <w:start w:val="1"/>
      <w:numFmt w:val="lowerRoman"/>
      <w:lvlText w:val="%9."/>
      <w:lvlJc w:val="right"/>
      <w:pPr>
        <w:tabs>
          <w:tab w:val="left" w:pos="-420"/>
        </w:tabs>
        <w:ind w:left="1872" w:hanging="420"/>
      </w:pPr>
    </w:lvl>
  </w:abstractNum>
  <w:abstractNum w:abstractNumId="156">
    <w:nsid w:val="76086C13"/>
    <w:multiLevelType w:val="multilevel"/>
    <w:tmpl w:val="76086C13"/>
    <w:lvl w:ilvl="0" w:tentative="0">
      <w:start w:val="1"/>
      <w:numFmt w:val="decimal"/>
      <w:lvlText w:val="%1)"/>
      <w:lvlJc w:val="left"/>
      <w:pPr>
        <w:tabs>
          <w:tab w:val="left" w:pos="-2520"/>
        </w:tabs>
        <w:ind w:left="310" w:hanging="420"/>
      </w:pPr>
    </w:lvl>
    <w:lvl w:ilvl="1" w:tentative="0">
      <w:start w:val="1"/>
      <w:numFmt w:val="lowerLetter"/>
      <w:lvlText w:val="%2)"/>
      <w:lvlJc w:val="left"/>
      <w:pPr>
        <w:tabs>
          <w:tab w:val="left" w:pos="-2520"/>
        </w:tabs>
        <w:ind w:left="730" w:hanging="420"/>
      </w:pPr>
    </w:lvl>
    <w:lvl w:ilvl="2" w:tentative="0">
      <w:start w:val="1"/>
      <w:numFmt w:val="lowerRoman"/>
      <w:lvlText w:val="%3."/>
      <w:lvlJc w:val="right"/>
      <w:pPr>
        <w:tabs>
          <w:tab w:val="left" w:pos="-2520"/>
        </w:tabs>
        <w:ind w:left="1150" w:hanging="420"/>
      </w:pPr>
    </w:lvl>
    <w:lvl w:ilvl="3" w:tentative="0">
      <w:start w:val="1"/>
      <w:numFmt w:val="decimal"/>
      <w:lvlText w:val="%4."/>
      <w:lvlJc w:val="left"/>
      <w:pPr>
        <w:tabs>
          <w:tab w:val="left" w:pos="-2520"/>
        </w:tabs>
        <w:ind w:left="1570" w:hanging="420"/>
      </w:pPr>
    </w:lvl>
    <w:lvl w:ilvl="4" w:tentative="0">
      <w:start w:val="1"/>
      <w:numFmt w:val="lowerLetter"/>
      <w:lvlText w:val="%5)"/>
      <w:lvlJc w:val="left"/>
      <w:pPr>
        <w:tabs>
          <w:tab w:val="left" w:pos="-2520"/>
        </w:tabs>
        <w:ind w:left="1990" w:hanging="420"/>
      </w:pPr>
    </w:lvl>
    <w:lvl w:ilvl="5" w:tentative="0">
      <w:start w:val="1"/>
      <w:numFmt w:val="lowerRoman"/>
      <w:lvlText w:val="%6."/>
      <w:lvlJc w:val="right"/>
      <w:pPr>
        <w:tabs>
          <w:tab w:val="left" w:pos="-2520"/>
        </w:tabs>
        <w:ind w:left="2410" w:hanging="420"/>
      </w:pPr>
    </w:lvl>
    <w:lvl w:ilvl="6" w:tentative="0">
      <w:start w:val="1"/>
      <w:numFmt w:val="decimal"/>
      <w:lvlText w:val="%7."/>
      <w:lvlJc w:val="left"/>
      <w:pPr>
        <w:tabs>
          <w:tab w:val="left" w:pos="-2520"/>
        </w:tabs>
        <w:ind w:left="2830" w:hanging="420"/>
      </w:pPr>
    </w:lvl>
    <w:lvl w:ilvl="7" w:tentative="0">
      <w:start w:val="1"/>
      <w:numFmt w:val="lowerLetter"/>
      <w:lvlText w:val="%8)"/>
      <w:lvlJc w:val="left"/>
      <w:pPr>
        <w:tabs>
          <w:tab w:val="left" w:pos="-2520"/>
        </w:tabs>
        <w:ind w:left="3250" w:hanging="420"/>
      </w:pPr>
    </w:lvl>
    <w:lvl w:ilvl="8" w:tentative="0">
      <w:start w:val="1"/>
      <w:numFmt w:val="lowerRoman"/>
      <w:lvlText w:val="%9."/>
      <w:lvlJc w:val="right"/>
      <w:pPr>
        <w:tabs>
          <w:tab w:val="left" w:pos="-2520"/>
        </w:tabs>
        <w:ind w:left="3670" w:hanging="420"/>
      </w:pPr>
    </w:lvl>
  </w:abstractNum>
  <w:abstractNum w:abstractNumId="157">
    <w:nsid w:val="76A72765"/>
    <w:multiLevelType w:val="multilevel"/>
    <w:tmpl w:val="76A72765"/>
    <w:lvl w:ilvl="0" w:tentative="0">
      <w:start w:val="1"/>
      <w:numFmt w:val="lowerLetter"/>
      <w:lvlText w:val="%1)"/>
      <w:lvlJc w:val="left"/>
      <w:pPr>
        <w:tabs>
          <w:tab w:val="left" w:pos="-420"/>
        </w:tabs>
        <w:ind w:left="900" w:hanging="420"/>
      </w:pPr>
      <w:rPr>
        <w:rFonts w:hint="eastAsia" w:cs="Times New Roman"/>
      </w:rPr>
    </w:lvl>
    <w:lvl w:ilvl="1" w:tentative="0">
      <w:start w:val="1"/>
      <w:numFmt w:val="lowerLetter"/>
      <w:lvlText w:val="%2)"/>
      <w:lvlJc w:val="left"/>
      <w:pPr>
        <w:tabs>
          <w:tab w:val="left" w:pos="-420"/>
        </w:tabs>
        <w:ind w:left="-926" w:hanging="420"/>
      </w:pPr>
    </w:lvl>
    <w:lvl w:ilvl="2" w:tentative="0">
      <w:start w:val="1"/>
      <w:numFmt w:val="lowerRoman"/>
      <w:lvlText w:val="%3."/>
      <w:lvlJc w:val="right"/>
      <w:pPr>
        <w:tabs>
          <w:tab w:val="left" w:pos="-420"/>
        </w:tabs>
        <w:ind w:left="-506" w:hanging="420"/>
      </w:pPr>
    </w:lvl>
    <w:lvl w:ilvl="3" w:tentative="0">
      <w:start w:val="1"/>
      <w:numFmt w:val="decimal"/>
      <w:lvlText w:val="%4."/>
      <w:lvlJc w:val="left"/>
      <w:pPr>
        <w:tabs>
          <w:tab w:val="left" w:pos="-420"/>
        </w:tabs>
        <w:ind w:left="-86" w:hanging="420"/>
      </w:pPr>
    </w:lvl>
    <w:lvl w:ilvl="4" w:tentative="0">
      <w:start w:val="1"/>
      <w:numFmt w:val="lowerLetter"/>
      <w:lvlText w:val="%5)"/>
      <w:lvlJc w:val="left"/>
      <w:pPr>
        <w:tabs>
          <w:tab w:val="left" w:pos="-420"/>
        </w:tabs>
        <w:ind w:left="334" w:hanging="420"/>
      </w:pPr>
    </w:lvl>
    <w:lvl w:ilvl="5" w:tentative="0">
      <w:start w:val="1"/>
      <w:numFmt w:val="lowerRoman"/>
      <w:lvlText w:val="%6."/>
      <w:lvlJc w:val="right"/>
      <w:pPr>
        <w:tabs>
          <w:tab w:val="left" w:pos="-420"/>
        </w:tabs>
        <w:ind w:left="754" w:hanging="420"/>
      </w:pPr>
    </w:lvl>
    <w:lvl w:ilvl="6" w:tentative="0">
      <w:start w:val="1"/>
      <w:numFmt w:val="decimal"/>
      <w:lvlText w:val="%7."/>
      <w:lvlJc w:val="left"/>
      <w:pPr>
        <w:tabs>
          <w:tab w:val="left" w:pos="-420"/>
        </w:tabs>
        <w:ind w:left="1174" w:hanging="420"/>
      </w:pPr>
    </w:lvl>
    <w:lvl w:ilvl="7" w:tentative="0">
      <w:start w:val="1"/>
      <w:numFmt w:val="lowerLetter"/>
      <w:lvlText w:val="%8)"/>
      <w:lvlJc w:val="left"/>
      <w:pPr>
        <w:tabs>
          <w:tab w:val="left" w:pos="-420"/>
        </w:tabs>
        <w:ind w:left="1594" w:hanging="420"/>
      </w:pPr>
    </w:lvl>
    <w:lvl w:ilvl="8" w:tentative="0">
      <w:start w:val="1"/>
      <w:numFmt w:val="lowerRoman"/>
      <w:lvlText w:val="%9."/>
      <w:lvlJc w:val="right"/>
      <w:pPr>
        <w:tabs>
          <w:tab w:val="left" w:pos="-420"/>
        </w:tabs>
        <w:ind w:left="2014" w:hanging="420"/>
      </w:pPr>
    </w:lvl>
  </w:abstractNum>
  <w:abstractNum w:abstractNumId="158">
    <w:nsid w:val="77287F84"/>
    <w:multiLevelType w:val="multilevel"/>
    <w:tmpl w:val="77287F84"/>
    <w:lvl w:ilvl="0" w:tentative="0">
      <w:start w:val="1"/>
      <w:numFmt w:val="lowerLetter"/>
      <w:lvlText w:val="%1)"/>
      <w:lvlJc w:val="left"/>
      <w:pPr>
        <w:tabs>
          <w:tab w:val="left" w:pos="-840"/>
        </w:tabs>
        <w:ind w:left="480" w:hanging="420"/>
      </w:pPr>
      <w:rPr>
        <w:rFonts w:hint="eastAsia" w:cs="Times New Roman"/>
      </w:rPr>
    </w:lvl>
    <w:lvl w:ilvl="1" w:tentative="0">
      <w:start w:val="1"/>
      <w:numFmt w:val="lowerLetter"/>
      <w:lvlText w:val="%2)"/>
      <w:lvlJc w:val="left"/>
      <w:pPr>
        <w:tabs>
          <w:tab w:val="left" w:pos="-840"/>
        </w:tabs>
        <w:ind w:left="-1346" w:hanging="420"/>
      </w:pPr>
    </w:lvl>
    <w:lvl w:ilvl="2" w:tentative="0">
      <w:start w:val="1"/>
      <w:numFmt w:val="lowerRoman"/>
      <w:lvlText w:val="%3."/>
      <w:lvlJc w:val="right"/>
      <w:pPr>
        <w:tabs>
          <w:tab w:val="left" w:pos="-840"/>
        </w:tabs>
        <w:ind w:left="-926" w:hanging="420"/>
      </w:pPr>
    </w:lvl>
    <w:lvl w:ilvl="3" w:tentative="0">
      <w:start w:val="1"/>
      <w:numFmt w:val="decimal"/>
      <w:lvlText w:val="%4."/>
      <w:lvlJc w:val="left"/>
      <w:pPr>
        <w:tabs>
          <w:tab w:val="left" w:pos="-840"/>
        </w:tabs>
        <w:ind w:left="-506" w:hanging="420"/>
      </w:pPr>
    </w:lvl>
    <w:lvl w:ilvl="4" w:tentative="0">
      <w:start w:val="1"/>
      <w:numFmt w:val="lowerLetter"/>
      <w:lvlText w:val="%5)"/>
      <w:lvlJc w:val="left"/>
      <w:pPr>
        <w:tabs>
          <w:tab w:val="left" w:pos="-840"/>
        </w:tabs>
        <w:ind w:left="-86" w:hanging="420"/>
      </w:pPr>
    </w:lvl>
    <w:lvl w:ilvl="5" w:tentative="0">
      <w:start w:val="1"/>
      <w:numFmt w:val="lowerRoman"/>
      <w:lvlText w:val="%6."/>
      <w:lvlJc w:val="right"/>
      <w:pPr>
        <w:tabs>
          <w:tab w:val="left" w:pos="-840"/>
        </w:tabs>
        <w:ind w:left="334" w:hanging="420"/>
      </w:pPr>
    </w:lvl>
    <w:lvl w:ilvl="6" w:tentative="0">
      <w:start w:val="1"/>
      <w:numFmt w:val="decimal"/>
      <w:lvlText w:val="%7."/>
      <w:lvlJc w:val="left"/>
      <w:pPr>
        <w:tabs>
          <w:tab w:val="left" w:pos="-840"/>
        </w:tabs>
        <w:ind w:left="754" w:hanging="420"/>
      </w:pPr>
    </w:lvl>
    <w:lvl w:ilvl="7" w:tentative="0">
      <w:start w:val="1"/>
      <w:numFmt w:val="lowerLetter"/>
      <w:lvlText w:val="%8)"/>
      <w:lvlJc w:val="left"/>
      <w:pPr>
        <w:tabs>
          <w:tab w:val="left" w:pos="-840"/>
        </w:tabs>
        <w:ind w:left="1174" w:hanging="420"/>
      </w:pPr>
    </w:lvl>
    <w:lvl w:ilvl="8" w:tentative="0">
      <w:start w:val="1"/>
      <w:numFmt w:val="lowerRoman"/>
      <w:lvlText w:val="%9."/>
      <w:lvlJc w:val="right"/>
      <w:pPr>
        <w:tabs>
          <w:tab w:val="left" w:pos="-840"/>
        </w:tabs>
        <w:ind w:left="1594" w:hanging="420"/>
      </w:pPr>
    </w:lvl>
  </w:abstractNum>
  <w:abstractNum w:abstractNumId="159">
    <w:nsid w:val="784D5B61"/>
    <w:multiLevelType w:val="multilevel"/>
    <w:tmpl w:val="784D5B61"/>
    <w:lvl w:ilvl="0" w:tentative="0">
      <w:start w:val="1"/>
      <w:numFmt w:val="lowerLetter"/>
      <w:lvlText w:val="%1)"/>
      <w:lvlJc w:val="left"/>
      <w:pPr>
        <w:tabs>
          <w:tab w:val="left" w:pos="-420"/>
        </w:tabs>
        <w:ind w:left="710" w:hanging="420"/>
      </w:pPr>
      <w:rPr>
        <w:rFonts w:hint="eastAsia" w:cs="Times New Roman"/>
      </w:rPr>
    </w:lvl>
    <w:lvl w:ilvl="1" w:tentative="0">
      <w:start w:val="1"/>
      <w:numFmt w:val="lowerLetter"/>
      <w:lvlText w:val="%2)"/>
      <w:lvlJc w:val="left"/>
      <w:pPr>
        <w:tabs>
          <w:tab w:val="left" w:pos="-420"/>
        </w:tabs>
        <w:ind w:left="420" w:hanging="420"/>
      </w:pPr>
    </w:lvl>
    <w:lvl w:ilvl="2" w:tentative="0">
      <w:start w:val="1"/>
      <w:numFmt w:val="lowerRoman"/>
      <w:lvlText w:val="%3."/>
      <w:lvlJc w:val="right"/>
      <w:pPr>
        <w:tabs>
          <w:tab w:val="left" w:pos="-420"/>
        </w:tabs>
        <w:ind w:left="840" w:hanging="420"/>
      </w:pPr>
    </w:lvl>
    <w:lvl w:ilvl="3" w:tentative="0">
      <w:start w:val="1"/>
      <w:numFmt w:val="decimal"/>
      <w:lvlText w:val="%4."/>
      <w:lvlJc w:val="left"/>
      <w:pPr>
        <w:tabs>
          <w:tab w:val="left" w:pos="-420"/>
        </w:tabs>
        <w:ind w:left="1260" w:hanging="420"/>
      </w:pPr>
    </w:lvl>
    <w:lvl w:ilvl="4" w:tentative="0">
      <w:start w:val="1"/>
      <w:numFmt w:val="lowerLetter"/>
      <w:lvlText w:val="%5)"/>
      <w:lvlJc w:val="left"/>
      <w:pPr>
        <w:tabs>
          <w:tab w:val="left" w:pos="-420"/>
        </w:tabs>
        <w:ind w:left="1680" w:hanging="420"/>
      </w:pPr>
    </w:lvl>
    <w:lvl w:ilvl="5" w:tentative="0">
      <w:start w:val="1"/>
      <w:numFmt w:val="lowerRoman"/>
      <w:lvlText w:val="%6."/>
      <w:lvlJc w:val="right"/>
      <w:pPr>
        <w:tabs>
          <w:tab w:val="left" w:pos="-420"/>
        </w:tabs>
        <w:ind w:left="2100" w:hanging="420"/>
      </w:pPr>
    </w:lvl>
    <w:lvl w:ilvl="6" w:tentative="0">
      <w:start w:val="1"/>
      <w:numFmt w:val="decimal"/>
      <w:lvlText w:val="%7."/>
      <w:lvlJc w:val="left"/>
      <w:pPr>
        <w:tabs>
          <w:tab w:val="left" w:pos="-420"/>
        </w:tabs>
        <w:ind w:left="2520" w:hanging="420"/>
      </w:pPr>
    </w:lvl>
    <w:lvl w:ilvl="7" w:tentative="0">
      <w:start w:val="1"/>
      <w:numFmt w:val="lowerLetter"/>
      <w:lvlText w:val="%8)"/>
      <w:lvlJc w:val="left"/>
      <w:pPr>
        <w:tabs>
          <w:tab w:val="left" w:pos="-420"/>
        </w:tabs>
        <w:ind w:left="2940" w:hanging="420"/>
      </w:pPr>
    </w:lvl>
    <w:lvl w:ilvl="8" w:tentative="0">
      <w:start w:val="1"/>
      <w:numFmt w:val="lowerRoman"/>
      <w:lvlText w:val="%9."/>
      <w:lvlJc w:val="right"/>
      <w:pPr>
        <w:tabs>
          <w:tab w:val="left" w:pos="-420"/>
        </w:tabs>
        <w:ind w:left="3360" w:hanging="420"/>
      </w:pPr>
    </w:lvl>
  </w:abstractNum>
  <w:abstractNum w:abstractNumId="160">
    <w:nsid w:val="78BF1AF3"/>
    <w:multiLevelType w:val="multilevel"/>
    <w:tmpl w:val="78BF1AF3"/>
    <w:lvl w:ilvl="0" w:tentative="0">
      <w:start w:val="1"/>
      <w:numFmt w:val="decimal"/>
      <w:lvlText w:val="%1)"/>
      <w:lvlJc w:val="left"/>
      <w:pPr>
        <w:tabs>
          <w:tab w:val="left" w:pos="-420"/>
        </w:tabs>
        <w:ind w:left="0" w:hanging="420"/>
      </w:pPr>
    </w:lvl>
    <w:lvl w:ilvl="1" w:tentative="0">
      <w:start w:val="1"/>
      <w:numFmt w:val="lowerLetter"/>
      <w:lvlText w:val="%2)"/>
      <w:lvlJc w:val="left"/>
      <w:pPr>
        <w:tabs>
          <w:tab w:val="left" w:pos="-420"/>
        </w:tabs>
        <w:ind w:left="420" w:hanging="420"/>
      </w:pPr>
    </w:lvl>
    <w:lvl w:ilvl="2" w:tentative="0">
      <w:start w:val="1"/>
      <w:numFmt w:val="lowerRoman"/>
      <w:lvlText w:val="%3."/>
      <w:lvlJc w:val="right"/>
      <w:pPr>
        <w:tabs>
          <w:tab w:val="left" w:pos="-420"/>
        </w:tabs>
        <w:ind w:left="840" w:hanging="420"/>
      </w:pPr>
    </w:lvl>
    <w:lvl w:ilvl="3" w:tentative="0">
      <w:start w:val="1"/>
      <w:numFmt w:val="decimal"/>
      <w:lvlText w:val="%4."/>
      <w:lvlJc w:val="left"/>
      <w:pPr>
        <w:tabs>
          <w:tab w:val="left" w:pos="-420"/>
        </w:tabs>
        <w:ind w:left="1260" w:hanging="420"/>
      </w:pPr>
    </w:lvl>
    <w:lvl w:ilvl="4" w:tentative="0">
      <w:start w:val="1"/>
      <w:numFmt w:val="lowerLetter"/>
      <w:lvlText w:val="%5)"/>
      <w:lvlJc w:val="left"/>
      <w:pPr>
        <w:tabs>
          <w:tab w:val="left" w:pos="-420"/>
        </w:tabs>
        <w:ind w:left="1680" w:hanging="420"/>
      </w:pPr>
    </w:lvl>
    <w:lvl w:ilvl="5" w:tentative="0">
      <w:start w:val="1"/>
      <w:numFmt w:val="lowerRoman"/>
      <w:lvlText w:val="%6."/>
      <w:lvlJc w:val="right"/>
      <w:pPr>
        <w:tabs>
          <w:tab w:val="left" w:pos="-420"/>
        </w:tabs>
        <w:ind w:left="2100" w:hanging="420"/>
      </w:pPr>
    </w:lvl>
    <w:lvl w:ilvl="6" w:tentative="0">
      <w:start w:val="1"/>
      <w:numFmt w:val="decimal"/>
      <w:lvlText w:val="%7."/>
      <w:lvlJc w:val="left"/>
      <w:pPr>
        <w:tabs>
          <w:tab w:val="left" w:pos="-420"/>
        </w:tabs>
        <w:ind w:left="2520" w:hanging="420"/>
      </w:pPr>
    </w:lvl>
    <w:lvl w:ilvl="7" w:tentative="0">
      <w:start w:val="1"/>
      <w:numFmt w:val="lowerLetter"/>
      <w:lvlText w:val="%8)"/>
      <w:lvlJc w:val="left"/>
      <w:pPr>
        <w:tabs>
          <w:tab w:val="left" w:pos="-420"/>
        </w:tabs>
        <w:ind w:left="2940" w:hanging="420"/>
      </w:pPr>
    </w:lvl>
    <w:lvl w:ilvl="8" w:tentative="0">
      <w:start w:val="1"/>
      <w:numFmt w:val="lowerRoman"/>
      <w:lvlText w:val="%9."/>
      <w:lvlJc w:val="right"/>
      <w:pPr>
        <w:tabs>
          <w:tab w:val="left" w:pos="-420"/>
        </w:tabs>
        <w:ind w:left="3360" w:hanging="420"/>
      </w:pPr>
    </w:lvl>
  </w:abstractNum>
  <w:abstractNum w:abstractNumId="161">
    <w:nsid w:val="7AA313EF"/>
    <w:multiLevelType w:val="multilevel"/>
    <w:tmpl w:val="7AA313EF"/>
    <w:lvl w:ilvl="0" w:tentative="0">
      <w:start w:val="1"/>
      <w:numFmt w:val="decimal"/>
      <w:lvlText w:val="%1)"/>
      <w:lvlJc w:val="left"/>
      <w:pPr>
        <w:tabs>
          <w:tab w:val="left" w:pos="-420"/>
        </w:tabs>
        <w:ind w:left="300" w:hanging="720"/>
      </w:pPr>
      <w:rPr>
        <w:rFonts w:hint="eastAsia"/>
      </w:rPr>
    </w:lvl>
    <w:lvl w:ilvl="1" w:tentative="0">
      <w:start w:val="1"/>
      <w:numFmt w:val="lowerLetter"/>
      <w:lvlText w:val="%2)"/>
      <w:lvlJc w:val="left"/>
      <w:pPr>
        <w:tabs>
          <w:tab w:val="left" w:pos="-420"/>
        </w:tabs>
        <w:ind w:left="420" w:hanging="420"/>
      </w:pPr>
    </w:lvl>
    <w:lvl w:ilvl="2" w:tentative="0">
      <w:start w:val="1"/>
      <w:numFmt w:val="lowerRoman"/>
      <w:lvlText w:val="%3."/>
      <w:lvlJc w:val="right"/>
      <w:pPr>
        <w:tabs>
          <w:tab w:val="left" w:pos="-420"/>
        </w:tabs>
        <w:ind w:left="840" w:hanging="420"/>
      </w:pPr>
    </w:lvl>
    <w:lvl w:ilvl="3" w:tentative="0">
      <w:start w:val="1"/>
      <w:numFmt w:val="decimal"/>
      <w:lvlText w:val="%4."/>
      <w:lvlJc w:val="left"/>
      <w:pPr>
        <w:tabs>
          <w:tab w:val="left" w:pos="-420"/>
        </w:tabs>
        <w:ind w:left="1260" w:hanging="420"/>
      </w:pPr>
    </w:lvl>
    <w:lvl w:ilvl="4" w:tentative="0">
      <w:start w:val="1"/>
      <w:numFmt w:val="lowerLetter"/>
      <w:lvlText w:val="%5)"/>
      <w:lvlJc w:val="left"/>
      <w:pPr>
        <w:tabs>
          <w:tab w:val="left" w:pos="-420"/>
        </w:tabs>
        <w:ind w:left="1680" w:hanging="420"/>
      </w:pPr>
    </w:lvl>
    <w:lvl w:ilvl="5" w:tentative="0">
      <w:start w:val="1"/>
      <w:numFmt w:val="lowerRoman"/>
      <w:lvlText w:val="%6."/>
      <w:lvlJc w:val="right"/>
      <w:pPr>
        <w:tabs>
          <w:tab w:val="left" w:pos="-420"/>
        </w:tabs>
        <w:ind w:left="2100" w:hanging="420"/>
      </w:pPr>
    </w:lvl>
    <w:lvl w:ilvl="6" w:tentative="0">
      <w:start w:val="1"/>
      <w:numFmt w:val="decimal"/>
      <w:lvlText w:val="%7."/>
      <w:lvlJc w:val="left"/>
      <w:pPr>
        <w:tabs>
          <w:tab w:val="left" w:pos="-420"/>
        </w:tabs>
        <w:ind w:left="2520" w:hanging="420"/>
      </w:pPr>
    </w:lvl>
    <w:lvl w:ilvl="7" w:tentative="0">
      <w:start w:val="1"/>
      <w:numFmt w:val="lowerLetter"/>
      <w:lvlText w:val="%8)"/>
      <w:lvlJc w:val="left"/>
      <w:pPr>
        <w:tabs>
          <w:tab w:val="left" w:pos="-420"/>
        </w:tabs>
        <w:ind w:left="2940" w:hanging="420"/>
      </w:pPr>
    </w:lvl>
    <w:lvl w:ilvl="8" w:tentative="0">
      <w:start w:val="1"/>
      <w:numFmt w:val="lowerRoman"/>
      <w:lvlText w:val="%9."/>
      <w:lvlJc w:val="right"/>
      <w:pPr>
        <w:tabs>
          <w:tab w:val="left" w:pos="-420"/>
        </w:tabs>
        <w:ind w:left="3360" w:hanging="420"/>
      </w:pPr>
    </w:lvl>
  </w:abstractNum>
  <w:abstractNum w:abstractNumId="162">
    <w:nsid w:val="7BBD633E"/>
    <w:multiLevelType w:val="multilevel"/>
    <w:tmpl w:val="7BBD633E"/>
    <w:lvl w:ilvl="0" w:tentative="0">
      <w:start w:val="1"/>
      <w:numFmt w:val="decimal"/>
      <w:lvlText w:val="%1."/>
      <w:lvlJc w:val="left"/>
      <w:pPr>
        <w:ind w:left="425" w:hanging="425"/>
      </w:pPr>
    </w:lvl>
    <w:lvl w:ilvl="1" w:tentative="0">
      <w:start w:val="1"/>
      <w:numFmt w:val="decimal"/>
      <w:lvlText w:val="%2)"/>
      <w:lvlJc w:val="left"/>
      <w:pPr>
        <w:ind w:left="567" w:hanging="567"/>
      </w:pPr>
      <w:rPr>
        <w:rFonts w:hint="default" w:ascii="Times New Roman" w:hAnsi="Times New Roman" w:eastAsia="宋体" w:cs="Times New Roman"/>
      </w:r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163">
    <w:nsid w:val="7F540BB3"/>
    <w:multiLevelType w:val="multilevel"/>
    <w:tmpl w:val="7F540BB3"/>
    <w:lvl w:ilvl="0" w:tentative="0">
      <w:start w:val="1"/>
      <w:numFmt w:val="lowerLetter"/>
      <w:lvlText w:val="%1)"/>
      <w:lvlJc w:val="left"/>
      <w:pPr>
        <w:ind w:left="1178" w:hanging="420"/>
      </w:pPr>
      <w:rPr>
        <w:rFonts w:hint="eastAsia" w:cs="Times New Roman"/>
      </w:rPr>
    </w:lvl>
    <w:lvl w:ilvl="1" w:tentative="0">
      <w:start w:val="1"/>
      <w:numFmt w:val="lowerLetter"/>
      <w:lvlText w:val="%2)"/>
      <w:lvlJc w:val="left"/>
      <w:pPr>
        <w:ind w:left="-648" w:hanging="420"/>
      </w:pPr>
      <w:rPr>
        <w:rFonts w:hint="eastAsia"/>
      </w:rPr>
    </w:lvl>
    <w:lvl w:ilvl="2" w:tentative="0">
      <w:start w:val="1"/>
      <w:numFmt w:val="lowerRoman"/>
      <w:lvlText w:val="%3."/>
      <w:lvlJc w:val="right"/>
      <w:pPr>
        <w:ind w:left="-228" w:hanging="420"/>
      </w:pPr>
      <w:rPr>
        <w:rFonts w:hint="eastAsia"/>
      </w:rPr>
    </w:lvl>
    <w:lvl w:ilvl="3" w:tentative="0">
      <w:start w:val="1"/>
      <w:numFmt w:val="decimal"/>
      <w:lvlText w:val="%4."/>
      <w:lvlJc w:val="left"/>
      <w:pPr>
        <w:ind w:left="192" w:hanging="420"/>
      </w:pPr>
      <w:rPr>
        <w:rFonts w:hint="eastAsia"/>
      </w:rPr>
    </w:lvl>
    <w:lvl w:ilvl="4" w:tentative="0">
      <w:start w:val="1"/>
      <w:numFmt w:val="lowerLetter"/>
      <w:lvlText w:val="%5)"/>
      <w:lvlJc w:val="left"/>
      <w:pPr>
        <w:ind w:left="612" w:hanging="420"/>
      </w:pPr>
      <w:rPr>
        <w:rFonts w:hint="eastAsia"/>
      </w:rPr>
    </w:lvl>
    <w:lvl w:ilvl="5" w:tentative="0">
      <w:start w:val="1"/>
      <w:numFmt w:val="lowerRoman"/>
      <w:lvlText w:val="%6."/>
      <w:lvlJc w:val="right"/>
      <w:pPr>
        <w:ind w:left="1032" w:hanging="420"/>
      </w:pPr>
      <w:rPr>
        <w:rFonts w:hint="eastAsia"/>
      </w:rPr>
    </w:lvl>
    <w:lvl w:ilvl="6" w:tentative="0">
      <w:start w:val="1"/>
      <w:numFmt w:val="decimal"/>
      <w:lvlText w:val="%7."/>
      <w:lvlJc w:val="left"/>
      <w:pPr>
        <w:ind w:left="1452" w:hanging="420"/>
      </w:pPr>
      <w:rPr>
        <w:rFonts w:hint="eastAsia"/>
      </w:rPr>
    </w:lvl>
    <w:lvl w:ilvl="7" w:tentative="0">
      <w:start w:val="1"/>
      <w:numFmt w:val="lowerLetter"/>
      <w:lvlText w:val="%8)"/>
      <w:lvlJc w:val="left"/>
      <w:pPr>
        <w:ind w:left="1872" w:hanging="420"/>
      </w:pPr>
      <w:rPr>
        <w:rFonts w:hint="eastAsia"/>
      </w:rPr>
    </w:lvl>
    <w:lvl w:ilvl="8" w:tentative="0">
      <w:start w:val="1"/>
      <w:numFmt w:val="lowerRoman"/>
      <w:lvlText w:val="%9."/>
      <w:lvlJc w:val="right"/>
      <w:pPr>
        <w:ind w:left="2292" w:hanging="420"/>
      </w:pPr>
      <w:rPr>
        <w:rFonts w:hint="eastAsia"/>
      </w:rPr>
    </w:lvl>
  </w:abstractNum>
  <w:num w:numId="1">
    <w:abstractNumId w:val="1"/>
  </w:num>
  <w:num w:numId="2">
    <w:abstractNumId w:val="115"/>
  </w:num>
  <w:num w:numId="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79"/>
  </w:num>
  <w:num w:numId="5">
    <w:abstractNumId w:val="20"/>
  </w:num>
  <w:num w:numId="6">
    <w:abstractNumId w:val="59"/>
  </w:num>
  <w:num w:numId="7">
    <w:abstractNumId w:val="148"/>
  </w:num>
  <w:num w:numId="8">
    <w:abstractNumId w:val="24"/>
  </w:num>
  <w:num w:numId="9">
    <w:abstractNumId w:val="61"/>
  </w:num>
  <w:num w:numId="10">
    <w:abstractNumId w:val="80"/>
  </w:num>
  <w:num w:numId="11">
    <w:abstractNumId w:val="97"/>
  </w:num>
  <w:num w:numId="12">
    <w:abstractNumId w:val="53"/>
  </w:num>
  <w:num w:numId="13">
    <w:abstractNumId w:val="125"/>
  </w:num>
  <w:num w:numId="14">
    <w:abstractNumId w:val="74"/>
  </w:num>
  <w:num w:numId="15">
    <w:abstractNumId w:val="103"/>
  </w:num>
  <w:num w:numId="16">
    <w:abstractNumId w:val="39"/>
  </w:num>
  <w:num w:numId="17">
    <w:abstractNumId w:val="147"/>
  </w:num>
  <w:num w:numId="18">
    <w:abstractNumId w:val="70"/>
  </w:num>
  <w:num w:numId="19">
    <w:abstractNumId w:val="160"/>
  </w:num>
  <w:num w:numId="20">
    <w:abstractNumId w:val="126"/>
  </w:num>
  <w:num w:numId="21">
    <w:abstractNumId w:val="69"/>
  </w:num>
  <w:num w:numId="22">
    <w:abstractNumId w:val="63"/>
  </w:num>
  <w:num w:numId="23">
    <w:abstractNumId w:val="144"/>
  </w:num>
  <w:num w:numId="24">
    <w:abstractNumId w:val="106"/>
  </w:num>
  <w:num w:numId="25">
    <w:abstractNumId w:val="139"/>
  </w:num>
  <w:num w:numId="26">
    <w:abstractNumId w:val="161"/>
  </w:num>
  <w:num w:numId="27">
    <w:abstractNumId w:val="156"/>
  </w:num>
  <w:num w:numId="28">
    <w:abstractNumId w:val="8"/>
  </w:num>
  <w:num w:numId="29">
    <w:abstractNumId w:val="16"/>
  </w:num>
  <w:num w:numId="30">
    <w:abstractNumId w:val="17"/>
  </w:num>
  <w:num w:numId="31">
    <w:abstractNumId w:val="27"/>
  </w:num>
  <w:num w:numId="32">
    <w:abstractNumId w:val="25"/>
  </w:num>
  <w:num w:numId="33">
    <w:abstractNumId w:val="82"/>
  </w:num>
  <w:num w:numId="34">
    <w:abstractNumId w:val="90"/>
  </w:num>
  <w:num w:numId="35">
    <w:abstractNumId w:val="32"/>
  </w:num>
  <w:num w:numId="36">
    <w:abstractNumId w:val="26"/>
  </w:num>
  <w:num w:numId="37">
    <w:abstractNumId w:val="138"/>
  </w:num>
  <w:num w:numId="38">
    <w:abstractNumId w:val="52"/>
  </w:num>
  <w:num w:numId="39">
    <w:abstractNumId w:val="158"/>
  </w:num>
  <w:num w:numId="40">
    <w:abstractNumId w:val="58"/>
  </w:num>
  <w:num w:numId="41">
    <w:abstractNumId w:val="76"/>
  </w:num>
  <w:num w:numId="42">
    <w:abstractNumId w:val="141"/>
  </w:num>
  <w:num w:numId="43">
    <w:abstractNumId w:val="51"/>
  </w:num>
  <w:num w:numId="44">
    <w:abstractNumId w:val="55"/>
  </w:num>
  <w:num w:numId="45">
    <w:abstractNumId w:val="110"/>
  </w:num>
  <w:num w:numId="46">
    <w:abstractNumId w:val="120"/>
  </w:num>
  <w:num w:numId="47">
    <w:abstractNumId w:val="5"/>
  </w:num>
  <w:num w:numId="48">
    <w:abstractNumId w:val="13"/>
  </w:num>
  <w:num w:numId="49">
    <w:abstractNumId w:val="14"/>
  </w:num>
  <w:num w:numId="50">
    <w:abstractNumId w:val="85"/>
  </w:num>
  <w:num w:numId="51">
    <w:abstractNumId w:val="4"/>
  </w:num>
  <w:num w:numId="52">
    <w:abstractNumId w:val="104"/>
  </w:num>
  <w:num w:numId="53">
    <w:abstractNumId w:val="40"/>
  </w:num>
  <w:num w:numId="54">
    <w:abstractNumId w:val="9"/>
  </w:num>
  <w:num w:numId="55">
    <w:abstractNumId w:val="10"/>
  </w:num>
  <w:num w:numId="56">
    <w:abstractNumId w:val="132"/>
  </w:num>
  <w:num w:numId="57">
    <w:abstractNumId w:val="11"/>
  </w:num>
  <w:num w:numId="58">
    <w:abstractNumId w:val="21"/>
  </w:num>
  <w:num w:numId="59">
    <w:abstractNumId w:val="6"/>
  </w:num>
  <w:num w:numId="60">
    <w:abstractNumId w:val="121"/>
  </w:num>
  <w:num w:numId="61">
    <w:abstractNumId w:val="99"/>
  </w:num>
  <w:num w:numId="62">
    <w:abstractNumId w:val="15"/>
  </w:num>
  <w:num w:numId="63">
    <w:abstractNumId w:val="7"/>
  </w:num>
  <w:num w:numId="64">
    <w:abstractNumId w:val="34"/>
  </w:num>
  <w:num w:numId="65">
    <w:abstractNumId w:val="86"/>
  </w:num>
  <w:num w:numId="66">
    <w:abstractNumId w:val="159"/>
  </w:num>
  <w:num w:numId="67">
    <w:abstractNumId w:val="29"/>
  </w:num>
  <w:num w:numId="68">
    <w:abstractNumId w:val="0"/>
  </w:num>
  <w:num w:numId="69">
    <w:abstractNumId w:val="3"/>
  </w:num>
  <w:num w:numId="70">
    <w:abstractNumId w:val="88"/>
  </w:num>
  <w:num w:numId="71">
    <w:abstractNumId w:val="89"/>
  </w:num>
  <w:num w:numId="72">
    <w:abstractNumId w:val="28"/>
  </w:num>
  <w:num w:numId="73">
    <w:abstractNumId w:val="19"/>
  </w:num>
  <w:num w:numId="74">
    <w:abstractNumId w:val="142"/>
  </w:num>
  <w:num w:numId="75">
    <w:abstractNumId w:val="64"/>
  </w:num>
  <w:num w:numId="76">
    <w:abstractNumId w:val="12"/>
  </w:num>
  <w:num w:numId="77">
    <w:abstractNumId w:val="135"/>
  </w:num>
  <w:num w:numId="78">
    <w:abstractNumId w:val="77"/>
  </w:num>
  <w:num w:numId="79">
    <w:abstractNumId w:val="73"/>
  </w:num>
  <w:num w:numId="80">
    <w:abstractNumId w:val="36"/>
  </w:num>
  <w:num w:numId="81">
    <w:abstractNumId w:val="133"/>
  </w:num>
  <w:num w:numId="82">
    <w:abstractNumId w:val="68"/>
  </w:num>
  <w:num w:numId="83">
    <w:abstractNumId w:val="83"/>
  </w:num>
  <w:num w:numId="84">
    <w:abstractNumId w:val="112"/>
  </w:num>
  <w:num w:numId="85">
    <w:abstractNumId w:val="149"/>
  </w:num>
  <w:num w:numId="86">
    <w:abstractNumId w:val="134"/>
  </w:num>
  <w:num w:numId="87">
    <w:abstractNumId w:val="157"/>
  </w:num>
  <w:num w:numId="88">
    <w:abstractNumId w:val="137"/>
  </w:num>
  <w:num w:numId="89">
    <w:abstractNumId w:val="54"/>
  </w:num>
  <w:num w:numId="90">
    <w:abstractNumId w:val="153"/>
  </w:num>
  <w:num w:numId="91">
    <w:abstractNumId w:val="140"/>
  </w:num>
  <w:num w:numId="92">
    <w:abstractNumId w:val="91"/>
  </w:num>
  <w:num w:numId="93">
    <w:abstractNumId w:val="95"/>
  </w:num>
  <w:num w:numId="94">
    <w:abstractNumId w:val="127"/>
  </w:num>
  <w:num w:numId="95">
    <w:abstractNumId w:val="93"/>
  </w:num>
  <w:num w:numId="96">
    <w:abstractNumId w:val="2"/>
  </w:num>
  <w:num w:numId="97">
    <w:abstractNumId w:val="35"/>
  </w:num>
  <w:num w:numId="98">
    <w:abstractNumId w:val="49"/>
  </w:num>
  <w:num w:numId="99">
    <w:abstractNumId w:val="108"/>
  </w:num>
  <w:num w:numId="100">
    <w:abstractNumId w:val="154"/>
  </w:num>
  <w:num w:numId="101">
    <w:abstractNumId w:val="96"/>
  </w:num>
  <w:num w:numId="102">
    <w:abstractNumId w:val="45"/>
  </w:num>
  <w:num w:numId="103">
    <w:abstractNumId w:val="107"/>
  </w:num>
  <w:num w:numId="104">
    <w:abstractNumId w:val="37"/>
  </w:num>
  <w:num w:numId="105">
    <w:abstractNumId w:val="56"/>
  </w:num>
  <w:num w:numId="106">
    <w:abstractNumId w:val="57"/>
  </w:num>
  <w:num w:numId="107">
    <w:abstractNumId w:val="75"/>
  </w:num>
  <w:num w:numId="108">
    <w:abstractNumId w:val="46"/>
  </w:num>
  <w:num w:numId="109">
    <w:abstractNumId w:val="152"/>
  </w:num>
  <w:num w:numId="110">
    <w:abstractNumId w:val="117"/>
  </w:num>
  <w:num w:numId="111">
    <w:abstractNumId w:val="71"/>
  </w:num>
  <w:num w:numId="112">
    <w:abstractNumId w:val="22"/>
  </w:num>
  <w:num w:numId="113">
    <w:abstractNumId w:val="50"/>
  </w:num>
  <w:num w:numId="114">
    <w:abstractNumId w:val="84"/>
  </w:num>
  <w:num w:numId="115">
    <w:abstractNumId w:val="109"/>
  </w:num>
  <w:num w:numId="116">
    <w:abstractNumId w:val="44"/>
  </w:num>
  <w:num w:numId="117">
    <w:abstractNumId w:val="48"/>
  </w:num>
  <w:num w:numId="118">
    <w:abstractNumId w:val="38"/>
  </w:num>
  <w:num w:numId="119">
    <w:abstractNumId w:val="92"/>
  </w:num>
  <w:num w:numId="120">
    <w:abstractNumId w:val="94"/>
  </w:num>
  <w:num w:numId="121">
    <w:abstractNumId w:val="155"/>
  </w:num>
  <w:num w:numId="122">
    <w:abstractNumId w:val="30"/>
  </w:num>
  <w:num w:numId="123">
    <w:abstractNumId w:val="129"/>
  </w:num>
  <w:num w:numId="124">
    <w:abstractNumId w:val="124"/>
  </w:num>
  <w:num w:numId="125">
    <w:abstractNumId w:val="42"/>
  </w:num>
  <w:num w:numId="126">
    <w:abstractNumId w:val="31"/>
  </w:num>
  <w:num w:numId="127">
    <w:abstractNumId w:val="47"/>
  </w:num>
  <w:num w:numId="128">
    <w:abstractNumId w:val="119"/>
  </w:num>
  <w:num w:numId="129">
    <w:abstractNumId w:val="105"/>
  </w:num>
  <w:num w:numId="130">
    <w:abstractNumId w:val="65"/>
  </w:num>
  <w:num w:numId="131">
    <w:abstractNumId w:val="162"/>
  </w:num>
  <w:num w:numId="132">
    <w:abstractNumId w:val="123"/>
  </w:num>
  <w:num w:numId="133">
    <w:abstractNumId w:val="102"/>
  </w:num>
  <w:num w:numId="134">
    <w:abstractNumId w:val="60"/>
  </w:num>
  <w:num w:numId="135">
    <w:abstractNumId w:val="128"/>
  </w:num>
  <w:num w:numId="136">
    <w:abstractNumId w:val="122"/>
  </w:num>
  <w:num w:numId="137">
    <w:abstractNumId w:val="23"/>
  </w:num>
  <w:num w:numId="138">
    <w:abstractNumId w:val="18"/>
  </w:num>
  <w:num w:numId="139">
    <w:abstractNumId w:val="143"/>
  </w:num>
  <w:num w:numId="140">
    <w:abstractNumId w:val="150"/>
  </w:num>
  <w:num w:numId="141">
    <w:abstractNumId w:val="81"/>
  </w:num>
  <w:num w:numId="142">
    <w:abstractNumId w:val="130"/>
  </w:num>
  <w:num w:numId="143">
    <w:abstractNumId w:val="41"/>
  </w:num>
  <w:num w:numId="144">
    <w:abstractNumId w:val="66"/>
  </w:num>
  <w:num w:numId="145">
    <w:abstractNumId w:val="111"/>
  </w:num>
  <w:num w:numId="146">
    <w:abstractNumId w:val="136"/>
  </w:num>
  <w:num w:numId="147">
    <w:abstractNumId w:val="78"/>
  </w:num>
  <w:num w:numId="148">
    <w:abstractNumId w:val="62"/>
  </w:num>
  <w:num w:numId="149">
    <w:abstractNumId w:val="145"/>
  </w:num>
  <w:num w:numId="150">
    <w:abstractNumId w:val="114"/>
  </w:num>
  <w:num w:numId="151">
    <w:abstractNumId w:val="116"/>
  </w:num>
  <w:num w:numId="152">
    <w:abstractNumId w:val="87"/>
  </w:num>
  <w:num w:numId="153">
    <w:abstractNumId w:val="67"/>
  </w:num>
  <w:num w:numId="154">
    <w:abstractNumId w:val="118"/>
  </w:num>
  <w:num w:numId="155">
    <w:abstractNumId w:val="131"/>
  </w:num>
  <w:num w:numId="156">
    <w:abstractNumId w:val="101"/>
  </w:num>
  <w:num w:numId="157">
    <w:abstractNumId w:val="163"/>
  </w:num>
  <w:num w:numId="158">
    <w:abstractNumId w:val="113"/>
  </w:num>
  <w:num w:numId="159">
    <w:abstractNumId w:val="98"/>
  </w:num>
  <w:num w:numId="160">
    <w:abstractNumId w:val="100"/>
  </w:num>
  <w:num w:numId="161">
    <w:abstractNumId w:val="33"/>
  </w:num>
  <w:num w:numId="162">
    <w:abstractNumId w:val="72"/>
  </w:num>
  <w:num w:numId="163">
    <w:abstractNumId w:val="146"/>
  </w:num>
  <w:num w:numId="164">
    <w:abstractNumId w:val="151"/>
  </w:num>
  <w:num w:numId="165">
    <w:abstractNumId w:val="4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bordersDoNotSurroundHeader w:val="0"/>
  <w:bordersDoNotSurroundFooter w:val="0"/>
  <w:documentProtection w:enforcement="0"/>
  <w:defaultTabStop w:val="420"/>
  <w:drawingGridHorizontalSpacing w:val="240"/>
  <w:drawingGridVerticalSpacing w:val="99999990"/>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OTUxYTIzNWRkYmU0YjIzZmYwMWEzNTUxZmEwYmI2MzUifQ=="/>
  </w:docVars>
  <w:rsids>
    <w:rsidRoot w:val="00172A27"/>
    <w:rsid w:val="00962227"/>
    <w:rsid w:val="00C359E4"/>
    <w:rsid w:val="0127439E"/>
    <w:rsid w:val="016078E1"/>
    <w:rsid w:val="02444E5B"/>
    <w:rsid w:val="02AE1145"/>
    <w:rsid w:val="03B92990"/>
    <w:rsid w:val="04221DEB"/>
    <w:rsid w:val="04C100D7"/>
    <w:rsid w:val="059355FD"/>
    <w:rsid w:val="05B52410"/>
    <w:rsid w:val="061076D0"/>
    <w:rsid w:val="06131AA7"/>
    <w:rsid w:val="07844837"/>
    <w:rsid w:val="07D109E4"/>
    <w:rsid w:val="082519B8"/>
    <w:rsid w:val="090062C9"/>
    <w:rsid w:val="09E30B63"/>
    <w:rsid w:val="0A3B6154"/>
    <w:rsid w:val="0B1146B3"/>
    <w:rsid w:val="0CCA7EDF"/>
    <w:rsid w:val="0CEA2F24"/>
    <w:rsid w:val="0CF754A2"/>
    <w:rsid w:val="0E7304C4"/>
    <w:rsid w:val="0E8326A6"/>
    <w:rsid w:val="10392AC9"/>
    <w:rsid w:val="104B14B8"/>
    <w:rsid w:val="10A122E9"/>
    <w:rsid w:val="131B16E4"/>
    <w:rsid w:val="137B2552"/>
    <w:rsid w:val="14E665EE"/>
    <w:rsid w:val="154B22F6"/>
    <w:rsid w:val="15EC2BC6"/>
    <w:rsid w:val="160B6B83"/>
    <w:rsid w:val="1638549E"/>
    <w:rsid w:val="16907088"/>
    <w:rsid w:val="176928E2"/>
    <w:rsid w:val="18B708FC"/>
    <w:rsid w:val="193A32DB"/>
    <w:rsid w:val="198A7AB1"/>
    <w:rsid w:val="1A0A7151"/>
    <w:rsid w:val="1A210F76"/>
    <w:rsid w:val="1A9C7DC6"/>
    <w:rsid w:val="1AB14B93"/>
    <w:rsid w:val="1B0E667B"/>
    <w:rsid w:val="1B66485B"/>
    <w:rsid w:val="1BF07AAD"/>
    <w:rsid w:val="1D0E6F59"/>
    <w:rsid w:val="1DB7139E"/>
    <w:rsid w:val="1F2B1C30"/>
    <w:rsid w:val="1F5D1741"/>
    <w:rsid w:val="1FB36F50"/>
    <w:rsid w:val="2018201F"/>
    <w:rsid w:val="226D4721"/>
    <w:rsid w:val="22A32073"/>
    <w:rsid w:val="24311587"/>
    <w:rsid w:val="245554FB"/>
    <w:rsid w:val="24D6505C"/>
    <w:rsid w:val="250707EA"/>
    <w:rsid w:val="25755DC7"/>
    <w:rsid w:val="25A95A86"/>
    <w:rsid w:val="26834513"/>
    <w:rsid w:val="272C6959"/>
    <w:rsid w:val="2C387683"/>
    <w:rsid w:val="2C4D578C"/>
    <w:rsid w:val="2CAA5E41"/>
    <w:rsid w:val="2E913546"/>
    <w:rsid w:val="2F00175D"/>
    <w:rsid w:val="2F155F25"/>
    <w:rsid w:val="301461DC"/>
    <w:rsid w:val="302A3DD1"/>
    <w:rsid w:val="311315B3"/>
    <w:rsid w:val="316136A3"/>
    <w:rsid w:val="31840810"/>
    <w:rsid w:val="31C15573"/>
    <w:rsid w:val="32601085"/>
    <w:rsid w:val="327E743D"/>
    <w:rsid w:val="32C204F6"/>
    <w:rsid w:val="33732CDF"/>
    <w:rsid w:val="34B1288A"/>
    <w:rsid w:val="367B6FB5"/>
    <w:rsid w:val="3684230E"/>
    <w:rsid w:val="368F480F"/>
    <w:rsid w:val="372B34A0"/>
    <w:rsid w:val="37C21384"/>
    <w:rsid w:val="37DA06E9"/>
    <w:rsid w:val="392221E3"/>
    <w:rsid w:val="39C11B45"/>
    <w:rsid w:val="39E3559D"/>
    <w:rsid w:val="3A4B46FF"/>
    <w:rsid w:val="3A707881"/>
    <w:rsid w:val="3B094A6A"/>
    <w:rsid w:val="3B65709E"/>
    <w:rsid w:val="3CA63A52"/>
    <w:rsid w:val="3D852C68"/>
    <w:rsid w:val="3D8F3346"/>
    <w:rsid w:val="3DB755CD"/>
    <w:rsid w:val="3DF5764D"/>
    <w:rsid w:val="3E5205E8"/>
    <w:rsid w:val="3F605FFD"/>
    <w:rsid w:val="3F6F1681"/>
    <w:rsid w:val="3F9E5AC2"/>
    <w:rsid w:val="3FE91433"/>
    <w:rsid w:val="402C79CD"/>
    <w:rsid w:val="42280141"/>
    <w:rsid w:val="42DF08CC"/>
    <w:rsid w:val="439D67BD"/>
    <w:rsid w:val="44DE768B"/>
    <w:rsid w:val="450F36EA"/>
    <w:rsid w:val="456D0411"/>
    <w:rsid w:val="45EB1D12"/>
    <w:rsid w:val="45F97C34"/>
    <w:rsid w:val="471E64BD"/>
    <w:rsid w:val="49FC7FB5"/>
    <w:rsid w:val="4AB16FF2"/>
    <w:rsid w:val="4B34092B"/>
    <w:rsid w:val="4B62523D"/>
    <w:rsid w:val="4C262DFB"/>
    <w:rsid w:val="4DAF2819"/>
    <w:rsid w:val="4E0D2791"/>
    <w:rsid w:val="4E651D10"/>
    <w:rsid w:val="4E830CA5"/>
    <w:rsid w:val="4E8F431F"/>
    <w:rsid w:val="4EB64BD7"/>
    <w:rsid w:val="4F04178B"/>
    <w:rsid w:val="504850E2"/>
    <w:rsid w:val="50F54FE3"/>
    <w:rsid w:val="51133954"/>
    <w:rsid w:val="51E036D2"/>
    <w:rsid w:val="535D3873"/>
    <w:rsid w:val="54CB3B07"/>
    <w:rsid w:val="553958DD"/>
    <w:rsid w:val="55AD03B6"/>
    <w:rsid w:val="56715B61"/>
    <w:rsid w:val="5684794A"/>
    <w:rsid w:val="568B1FB7"/>
    <w:rsid w:val="57194CE6"/>
    <w:rsid w:val="57AE0B41"/>
    <w:rsid w:val="57B0372D"/>
    <w:rsid w:val="57BD3A86"/>
    <w:rsid w:val="57F46678"/>
    <w:rsid w:val="59260BAB"/>
    <w:rsid w:val="59AB4E23"/>
    <w:rsid w:val="5ABA09E9"/>
    <w:rsid w:val="5BD82630"/>
    <w:rsid w:val="5C13157B"/>
    <w:rsid w:val="5C8742BD"/>
    <w:rsid w:val="5C8F11EE"/>
    <w:rsid w:val="5E6B4F15"/>
    <w:rsid w:val="6027313D"/>
    <w:rsid w:val="629B6165"/>
    <w:rsid w:val="634E67B8"/>
    <w:rsid w:val="64B67287"/>
    <w:rsid w:val="64DE3087"/>
    <w:rsid w:val="65DC0022"/>
    <w:rsid w:val="66EC2735"/>
    <w:rsid w:val="6709250B"/>
    <w:rsid w:val="67D6357A"/>
    <w:rsid w:val="685F41D5"/>
    <w:rsid w:val="68E51A78"/>
    <w:rsid w:val="692A0243"/>
    <w:rsid w:val="695346AF"/>
    <w:rsid w:val="6B533B8A"/>
    <w:rsid w:val="6C103720"/>
    <w:rsid w:val="6C353187"/>
    <w:rsid w:val="6C533BB8"/>
    <w:rsid w:val="6CB95B66"/>
    <w:rsid w:val="6D1C60F5"/>
    <w:rsid w:val="6D7256AA"/>
    <w:rsid w:val="6DF972EC"/>
    <w:rsid w:val="6E166D75"/>
    <w:rsid w:val="6E3D4575"/>
    <w:rsid w:val="6EEF533F"/>
    <w:rsid w:val="6EF16839"/>
    <w:rsid w:val="6F46781D"/>
    <w:rsid w:val="701B05DF"/>
    <w:rsid w:val="71E77BB0"/>
    <w:rsid w:val="728C43CB"/>
    <w:rsid w:val="7324703F"/>
    <w:rsid w:val="738F7621"/>
    <w:rsid w:val="73BA6638"/>
    <w:rsid w:val="752601BF"/>
    <w:rsid w:val="752B5127"/>
    <w:rsid w:val="76A26CFA"/>
    <w:rsid w:val="779F1DFC"/>
    <w:rsid w:val="77D73344"/>
    <w:rsid w:val="78240A8F"/>
    <w:rsid w:val="78283BA0"/>
    <w:rsid w:val="783C54B3"/>
    <w:rsid w:val="786578CA"/>
    <w:rsid w:val="787A7589"/>
    <w:rsid w:val="78832648"/>
    <w:rsid w:val="797B6299"/>
    <w:rsid w:val="79A56EBD"/>
    <w:rsid w:val="79D02741"/>
    <w:rsid w:val="7AF04842"/>
    <w:rsid w:val="7B060512"/>
    <w:rsid w:val="7B4A02D1"/>
    <w:rsid w:val="7C0861C2"/>
    <w:rsid w:val="7D5C7321"/>
    <w:rsid w:val="7DEA1EF4"/>
    <w:rsid w:val="7DF12C86"/>
    <w:rsid w:val="7E420969"/>
    <w:rsid w:val="7F0B2754"/>
    <w:rsid w:val="7F461C0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semiHidden="0" w:name="heading 4"/>
    <w:lsdException w:qFormat="1" w:uiPriority="0" w:semiHidden="0" w:name="heading 5"/>
    <w:lsdException w:qFormat="1" w:uiPriority="0" w:name="heading 6"/>
    <w:lsdException w:qFormat="1" w:uiPriority="0" w:name="heading 7"/>
    <w:lsdException w:qFormat="1" w:uiPriority="0" w:name="heading 8"/>
    <w:lsdException w:qFormat="1" w:uiPriority="0" w:name="heading 9"/>
    <w:lsdException w:qFormat="1"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qFormat="1" w:unhideWhenUsed="0" w:uiPriority="99"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iPriority="0" w:semiHidden="0" w:name="Body Text"/>
    <w:lsdException w:qFormat="1"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qFormat="1" w:uiPriority="0" w:semiHidden="0" w:name="Message Header"/>
    <w:lsdException w:qFormat="1" w:unhideWhenUsed="0" w:uiPriority="11"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qFormat="1" w:unhideWhenUsed="0" w:uiPriority="0" w:semiHidden="0" w:name="Body Text Indent 2"/>
    <w:lsdException w:unhideWhenUsed="0" w:uiPriority="0" w:semiHidden="0" w:name="Body Text Indent 3"/>
    <w:lsdException w:qFormat="1"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napToGrid w:val="0"/>
      <w:spacing w:line="360" w:lineRule="auto"/>
      <w:ind w:firstLine="1040" w:firstLineChars="200"/>
      <w:jc w:val="both"/>
    </w:pPr>
    <w:rPr>
      <w:rFonts w:ascii="宋体" w:hAnsi="宋体" w:eastAsia="宋体" w:cstheme="minorBidi"/>
      <w:kern w:val="2"/>
      <w:sz w:val="24"/>
      <w:szCs w:val="24"/>
      <w:lang w:val="en-US" w:eastAsia="zh-CN" w:bidi="ar-SA"/>
    </w:rPr>
  </w:style>
  <w:style w:type="paragraph" w:styleId="2">
    <w:name w:val="heading 1"/>
    <w:basedOn w:val="1"/>
    <w:next w:val="1"/>
    <w:qFormat/>
    <w:uiPriority w:val="0"/>
    <w:pPr>
      <w:keepNext/>
      <w:keepLines/>
      <w:numPr>
        <w:ilvl w:val="0"/>
        <w:numId w:val="1"/>
      </w:numPr>
      <w:spacing w:beforeLines="0" w:beforeAutospacing="0" w:afterLines="0" w:afterAutospacing="0" w:line="360" w:lineRule="auto"/>
      <w:ind w:left="432" w:hanging="432" w:firstLineChars="0"/>
      <w:jc w:val="center"/>
      <w:outlineLvl w:val="0"/>
    </w:pPr>
    <w:rPr>
      <w:b/>
      <w:kern w:val="44"/>
      <w:sz w:val="28"/>
    </w:rPr>
  </w:style>
  <w:style w:type="paragraph" w:styleId="3">
    <w:name w:val="heading 2"/>
    <w:basedOn w:val="1"/>
    <w:next w:val="1"/>
    <w:link w:val="35"/>
    <w:unhideWhenUsed/>
    <w:qFormat/>
    <w:uiPriority w:val="0"/>
    <w:pPr>
      <w:keepNext/>
      <w:keepLines/>
      <w:numPr>
        <w:ilvl w:val="1"/>
        <w:numId w:val="1"/>
      </w:numPr>
      <w:spacing w:before="100" w:beforeLines="0" w:beforeAutospacing="0" w:afterLines="0" w:afterAutospacing="0" w:line="360" w:lineRule="auto"/>
      <w:ind w:left="624" w:hanging="624" w:firstLineChars="0"/>
      <w:outlineLvl w:val="1"/>
    </w:pPr>
    <w:rPr>
      <w:b/>
    </w:rPr>
  </w:style>
  <w:style w:type="paragraph" w:styleId="4">
    <w:name w:val="heading 3"/>
    <w:basedOn w:val="1"/>
    <w:next w:val="1"/>
    <w:link w:val="29"/>
    <w:unhideWhenUsed/>
    <w:qFormat/>
    <w:uiPriority w:val="0"/>
    <w:pPr>
      <w:keepNext w:val="0"/>
      <w:keepLines/>
      <w:numPr>
        <w:ilvl w:val="2"/>
        <w:numId w:val="1"/>
      </w:numPr>
      <w:spacing w:beforeLines="0" w:beforeAutospacing="0" w:afterLines="0" w:afterAutospacing="0" w:line="360" w:lineRule="auto"/>
      <w:ind w:left="624" w:hanging="624" w:firstLineChars="0"/>
      <w:outlineLvl w:val="2"/>
    </w:pPr>
  </w:style>
  <w:style w:type="paragraph" w:styleId="5">
    <w:name w:val="heading 4"/>
    <w:basedOn w:val="1"/>
    <w:next w:val="1"/>
    <w:unhideWhenUsed/>
    <w:qFormat/>
    <w:uiPriority w:val="0"/>
    <w:pPr>
      <w:keepNext w:val="0"/>
      <w:keepLines/>
      <w:numPr>
        <w:ilvl w:val="3"/>
        <w:numId w:val="1"/>
      </w:numPr>
      <w:spacing w:beforeLines="0" w:beforeAutospacing="0" w:afterLines="0" w:afterAutospacing="0" w:line="360" w:lineRule="auto"/>
      <w:ind w:left="864" w:leftChars="100" w:hanging="624" w:firstLineChars="0"/>
      <w:outlineLvl w:val="3"/>
    </w:pPr>
  </w:style>
  <w:style w:type="paragraph" w:styleId="6">
    <w:name w:val="heading 5"/>
    <w:basedOn w:val="1"/>
    <w:next w:val="1"/>
    <w:unhideWhenUsed/>
    <w:qFormat/>
    <w:uiPriority w:val="0"/>
    <w:pPr>
      <w:keepNext/>
      <w:keepLines/>
      <w:numPr>
        <w:ilvl w:val="4"/>
        <w:numId w:val="1"/>
      </w:numPr>
      <w:spacing w:beforeLines="0" w:beforeAutospacing="0" w:afterLines="0" w:afterAutospacing="0" w:line="360" w:lineRule="auto"/>
      <w:ind w:left="1009" w:firstLine="420" w:firstLineChars="0"/>
      <w:outlineLvl w:val="4"/>
    </w:pPr>
    <w:rPr>
      <w:rFonts w:cs="宋体"/>
    </w:rPr>
  </w:style>
  <w:style w:type="paragraph" w:styleId="7">
    <w:name w:val="heading 6"/>
    <w:basedOn w:val="1"/>
    <w:next w:val="1"/>
    <w:semiHidden/>
    <w:unhideWhenUsed/>
    <w:qFormat/>
    <w:uiPriority w:val="0"/>
    <w:pPr>
      <w:keepNext/>
      <w:keepLines/>
      <w:numPr>
        <w:ilvl w:val="5"/>
        <w:numId w:val="1"/>
      </w:numPr>
      <w:spacing w:before="240" w:beforeLines="0" w:beforeAutospacing="0" w:after="64" w:afterLines="0" w:afterAutospacing="0" w:line="317" w:lineRule="auto"/>
      <w:ind w:left="1151" w:hanging="1151" w:firstLineChars="0"/>
      <w:outlineLvl w:val="5"/>
    </w:pPr>
    <w:rPr>
      <w:rFonts w:ascii="Arial" w:hAnsi="Arial" w:eastAsia="黑体"/>
      <w:b/>
      <w:sz w:val="24"/>
    </w:rPr>
  </w:style>
  <w:style w:type="paragraph" w:styleId="8">
    <w:name w:val="heading 7"/>
    <w:basedOn w:val="1"/>
    <w:next w:val="1"/>
    <w:semiHidden/>
    <w:unhideWhenUsed/>
    <w:qFormat/>
    <w:uiPriority w:val="0"/>
    <w:pPr>
      <w:keepNext/>
      <w:keepLines/>
      <w:numPr>
        <w:ilvl w:val="6"/>
        <w:numId w:val="1"/>
      </w:numPr>
      <w:spacing w:before="240" w:beforeLines="0" w:beforeAutospacing="0" w:after="64" w:afterLines="0" w:afterAutospacing="0" w:line="317" w:lineRule="auto"/>
      <w:ind w:left="1296" w:hanging="1296" w:firstLineChars="0"/>
      <w:outlineLvl w:val="6"/>
    </w:pPr>
    <w:rPr>
      <w:b/>
      <w:sz w:val="24"/>
    </w:rPr>
  </w:style>
  <w:style w:type="paragraph" w:styleId="9">
    <w:name w:val="heading 8"/>
    <w:basedOn w:val="1"/>
    <w:next w:val="1"/>
    <w:semiHidden/>
    <w:unhideWhenUsed/>
    <w:qFormat/>
    <w:uiPriority w:val="0"/>
    <w:pPr>
      <w:keepNext/>
      <w:keepLines/>
      <w:numPr>
        <w:ilvl w:val="7"/>
        <w:numId w:val="1"/>
      </w:numPr>
      <w:spacing w:before="240" w:beforeLines="0" w:beforeAutospacing="0" w:after="64" w:afterLines="0" w:afterAutospacing="0" w:line="317" w:lineRule="auto"/>
      <w:ind w:left="1440" w:hanging="1440" w:firstLineChars="0"/>
      <w:outlineLvl w:val="7"/>
    </w:pPr>
    <w:rPr>
      <w:rFonts w:ascii="Arial" w:hAnsi="Arial" w:eastAsia="黑体"/>
      <w:sz w:val="24"/>
    </w:rPr>
  </w:style>
  <w:style w:type="paragraph" w:styleId="10">
    <w:name w:val="heading 9"/>
    <w:basedOn w:val="1"/>
    <w:next w:val="1"/>
    <w:semiHidden/>
    <w:unhideWhenUsed/>
    <w:qFormat/>
    <w:uiPriority w:val="0"/>
    <w:pPr>
      <w:keepNext/>
      <w:keepLines/>
      <w:numPr>
        <w:ilvl w:val="8"/>
        <w:numId w:val="1"/>
      </w:numPr>
      <w:spacing w:before="240" w:beforeLines="0" w:beforeAutospacing="0" w:after="64" w:afterLines="0" w:afterAutospacing="0" w:line="317" w:lineRule="auto"/>
      <w:ind w:left="1583" w:hanging="1583" w:firstLineChars="0"/>
      <w:outlineLvl w:val="8"/>
    </w:pPr>
    <w:rPr>
      <w:rFonts w:ascii="Arial" w:hAnsi="Arial" w:eastAsia="黑体"/>
      <w:sz w:val="21"/>
    </w:rPr>
  </w:style>
  <w:style w:type="character" w:default="1" w:styleId="23">
    <w:name w:val="Default Paragraph Font"/>
    <w:semiHidden/>
    <w:qFormat/>
    <w:uiPriority w:val="0"/>
  </w:style>
  <w:style w:type="table" w:default="1" w:styleId="21">
    <w:name w:val="Normal Table"/>
    <w:semiHidden/>
    <w:qFormat/>
    <w:uiPriority w:val="0"/>
    <w:tblPr>
      <w:tblCellMar>
        <w:top w:w="0" w:type="dxa"/>
        <w:left w:w="108" w:type="dxa"/>
        <w:bottom w:w="0" w:type="dxa"/>
        <w:right w:w="108" w:type="dxa"/>
      </w:tblCellMar>
    </w:tblPr>
  </w:style>
  <w:style w:type="paragraph" w:styleId="11">
    <w:name w:val="annotation text"/>
    <w:basedOn w:val="1"/>
    <w:qFormat/>
    <w:uiPriority w:val="0"/>
    <w:pPr>
      <w:jc w:val="left"/>
    </w:pPr>
  </w:style>
  <w:style w:type="paragraph" w:styleId="12">
    <w:name w:val="Block Text"/>
    <w:basedOn w:val="1"/>
    <w:link w:val="31"/>
    <w:qFormat/>
    <w:uiPriority w:val="0"/>
    <w:pPr>
      <w:adjustRightInd w:val="0"/>
      <w:spacing w:line="240" w:lineRule="auto"/>
      <w:ind w:left="0" w:right="0" w:firstLine="0" w:firstLineChars="0"/>
      <w:jc w:val="center"/>
      <w:textAlignment w:val="baseline"/>
    </w:pPr>
    <w:rPr>
      <w:rFonts w:ascii="宋体" w:hAnsi="宋体" w:eastAsia="宋体" w:cs="宋体"/>
      <w:kern w:val="0"/>
      <w:sz w:val="21"/>
      <w:szCs w:val="20"/>
    </w:rPr>
  </w:style>
  <w:style w:type="paragraph" w:styleId="13">
    <w:name w:val="Plain Text"/>
    <w:basedOn w:val="1"/>
    <w:next w:val="1"/>
    <w:unhideWhenUsed/>
    <w:qFormat/>
    <w:uiPriority w:val="0"/>
    <w:pPr>
      <w:spacing w:beforeLines="0" w:afterLines="0"/>
    </w:pPr>
    <w:rPr>
      <w:rFonts w:hint="default" w:ascii="宋体" w:hAnsi="Courier New" w:eastAsia="宋体"/>
      <w:sz w:val="21"/>
      <w:szCs w:val="24"/>
    </w:rPr>
  </w:style>
  <w:style w:type="paragraph" w:styleId="14">
    <w:name w:val="footer"/>
    <w:basedOn w:val="1"/>
    <w:qFormat/>
    <w:uiPriority w:val="0"/>
    <w:pPr>
      <w:tabs>
        <w:tab w:val="center" w:pos="4153"/>
        <w:tab w:val="right" w:pos="8306"/>
      </w:tabs>
      <w:snapToGrid w:val="0"/>
      <w:jc w:val="left"/>
    </w:pPr>
    <w:rPr>
      <w:sz w:val="18"/>
    </w:rPr>
  </w:style>
  <w:style w:type="paragraph" w:styleId="15">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16">
    <w:name w:val="toc 1"/>
    <w:basedOn w:val="1"/>
    <w:next w:val="1"/>
    <w:qFormat/>
    <w:uiPriority w:val="0"/>
    <w:pPr>
      <w:spacing w:line="264" w:lineRule="auto"/>
    </w:pPr>
    <w:rPr>
      <w:rFonts w:ascii="宋体" w:hAnsi="宋体" w:eastAsia="宋体"/>
      <w:b/>
    </w:rPr>
  </w:style>
  <w:style w:type="paragraph" w:styleId="17">
    <w:name w:val="Subtitle"/>
    <w:basedOn w:val="1"/>
    <w:next w:val="1"/>
    <w:link w:val="30"/>
    <w:qFormat/>
    <w:uiPriority w:val="11"/>
    <w:pPr>
      <w:spacing w:after="0" w:line="360" w:lineRule="auto"/>
      <w:ind w:firstLine="200" w:firstLineChars="200"/>
    </w:pPr>
    <w:rPr>
      <w:rFonts w:ascii="Times New Roman" w:hAnsi="Times New Roman" w:cstheme="majorBidi"/>
      <w:bCs/>
      <w:kern w:val="28"/>
      <w:sz w:val="24"/>
      <w:szCs w:val="32"/>
    </w:rPr>
  </w:style>
  <w:style w:type="paragraph" w:styleId="18">
    <w:name w:val="toc 2"/>
    <w:basedOn w:val="1"/>
    <w:next w:val="1"/>
    <w:qFormat/>
    <w:uiPriority w:val="0"/>
    <w:pPr>
      <w:spacing w:line="264" w:lineRule="auto"/>
      <w:ind w:left="420" w:leftChars="200"/>
    </w:pPr>
    <w:rPr>
      <w:rFonts w:ascii="宋体" w:hAnsi="宋体" w:eastAsia="宋体"/>
    </w:rPr>
  </w:style>
  <w:style w:type="paragraph" w:styleId="19">
    <w:name w:val="index 1"/>
    <w:basedOn w:val="1"/>
    <w:next w:val="1"/>
    <w:qFormat/>
    <w:uiPriority w:val="0"/>
  </w:style>
  <w:style w:type="paragraph" w:styleId="20">
    <w:name w:val="Title"/>
    <w:basedOn w:val="1"/>
    <w:next w:val="1"/>
    <w:qFormat/>
    <w:uiPriority w:val="0"/>
    <w:pPr>
      <w:spacing w:before="50" w:beforeLines="50" w:after="50" w:afterLines="50" w:line="360" w:lineRule="auto"/>
      <w:outlineLvl w:val="2"/>
    </w:pPr>
    <w:rPr>
      <w:rFonts w:ascii="Times New Roman" w:hAnsi="Times New Roman" w:cstheme="majorBidi"/>
      <w:b/>
      <w:bCs/>
      <w:sz w:val="24"/>
      <w:szCs w:val="32"/>
    </w:rPr>
  </w:style>
  <w:style w:type="table" w:styleId="22">
    <w:name w:val="Table Grid"/>
    <w:basedOn w:val="21"/>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4">
    <w:name w:val="Hyperlink"/>
    <w:basedOn w:val="23"/>
    <w:qFormat/>
    <w:uiPriority w:val="0"/>
    <w:rPr>
      <w:color w:val="0000FF"/>
      <w:u w:val="single"/>
    </w:rPr>
  </w:style>
  <w:style w:type="table" w:customStyle="1" w:styleId="25">
    <w:name w:val="Table Normal"/>
    <w:semiHidden/>
    <w:unhideWhenUsed/>
    <w:qFormat/>
    <w:uiPriority w:val="0"/>
    <w:tblPr>
      <w:tblCellMar>
        <w:top w:w="0" w:type="dxa"/>
        <w:left w:w="0" w:type="dxa"/>
        <w:bottom w:w="0" w:type="dxa"/>
        <w:right w:w="0" w:type="dxa"/>
      </w:tblCellMar>
    </w:tblPr>
  </w:style>
  <w:style w:type="paragraph" w:customStyle="1" w:styleId="26">
    <w:name w:val="图片"/>
    <w:basedOn w:val="1"/>
    <w:qFormat/>
    <w:uiPriority w:val="0"/>
    <w:pPr>
      <w:adjustRightInd w:val="0"/>
      <w:spacing w:line="240" w:lineRule="auto"/>
      <w:ind w:firstLine="0" w:firstLineChars="0"/>
      <w:jc w:val="center"/>
      <w:textAlignment w:val="baseline"/>
    </w:pPr>
    <w:rPr>
      <w:rFonts w:hint="eastAsia" w:ascii="等线" w:hAnsi="等线"/>
      <w:b/>
      <w:kern w:val="0"/>
      <w:sz w:val="21"/>
      <w:szCs w:val="20"/>
    </w:rPr>
  </w:style>
  <w:style w:type="table" w:customStyle="1" w:styleId="27">
    <w:name w:val="网格型3"/>
    <w:basedOn w:val="21"/>
    <w:qFormat/>
    <w:uiPriority w:val="59"/>
    <w:pPr>
      <w:widowControl w:val="0"/>
      <w:jc w:val="both"/>
    </w:pPr>
    <w:rPr>
      <w:rFonts w:ascii="等线" w:hAnsi="等线"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
    <w:name w:val="网格型21"/>
    <w:basedOn w:val="21"/>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29">
    <w:name w:val="标题 3 Char"/>
    <w:link w:val="4"/>
    <w:qFormat/>
    <w:uiPriority w:val="0"/>
    <w:rPr>
      <w:rFonts w:ascii="宋体" w:hAnsi="宋体" w:eastAsia="宋体"/>
    </w:rPr>
  </w:style>
  <w:style w:type="character" w:customStyle="1" w:styleId="30">
    <w:name w:val="副标题 字符"/>
    <w:basedOn w:val="23"/>
    <w:link w:val="17"/>
    <w:qFormat/>
    <w:uiPriority w:val="11"/>
    <w:rPr>
      <w:rFonts w:ascii="Times New Roman" w:hAnsi="Times New Roman" w:cstheme="majorBidi"/>
      <w:bCs/>
      <w:kern w:val="28"/>
      <w:sz w:val="24"/>
      <w:szCs w:val="32"/>
    </w:rPr>
  </w:style>
  <w:style w:type="character" w:customStyle="1" w:styleId="31">
    <w:name w:val="文本块 Char"/>
    <w:link w:val="12"/>
    <w:qFormat/>
    <w:uiPriority w:val="0"/>
    <w:rPr>
      <w:rFonts w:ascii="宋体" w:hAnsi="宋体" w:eastAsia="宋体" w:cs="宋体"/>
      <w:kern w:val="0"/>
      <w:sz w:val="21"/>
      <w:szCs w:val="20"/>
    </w:rPr>
  </w:style>
  <w:style w:type="paragraph" w:styleId="32">
    <w:name w:val="List Paragraph"/>
    <w:basedOn w:val="1"/>
    <w:qFormat/>
    <w:uiPriority w:val="34"/>
    <w:pPr>
      <w:numPr>
        <w:ilvl w:val="0"/>
        <w:numId w:val="2"/>
      </w:numPr>
    </w:pPr>
  </w:style>
  <w:style w:type="character" w:customStyle="1" w:styleId="33">
    <w:name w:val="font11"/>
    <w:basedOn w:val="23"/>
    <w:qFormat/>
    <w:uiPriority w:val="0"/>
    <w:rPr>
      <w:rFonts w:hint="default" w:ascii="Arial" w:hAnsi="Arial" w:cs="Arial"/>
      <w:color w:val="000000"/>
      <w:sz w:val="24"/>
      <w:szCs w:val="24"/>
      <w:u w:val="none"/>
    </w:rPr>
  </w:style>
  <w:style w:type="character" w:customStyle="1" w:styleId="34">
    <w:name w:val="font01"/>
    <w:basedOn w:val="23"/>
    <w:qFormat/>
    <w:uiPriority w:val="0"/>
    <w:rPr>
      <w:rFonts w:hint="eastAsia" w:ascii="宋体" w:hAnsi="宋体" w:eastAsia="宋体" w:cs="宋体"/>
      <w:color w:val="000000"/>
      <w:sz w:val="24"/>
      <w:szCs w:val="24"/>
      <w:u w:val="none"/>
    </w:rPr>
  </w:style>
  <w:style w:type="character" w:customStyle="1" w:styleId="35">
    <w:name w:val="标题 2 Char"/>
    <w:link w:val="3"/>
    <w:qFormat/>
    <w:uiPriority w:val="0"/>
    <w:rPr>
      <w:rFonts w:eastAsia="宋体"/>
      <w:b/>
    </w:rPr>
  </w:style>
  <w:style w:type="paragraph" w:customStyle="1" w:styleId="36">
    <w:name w:val="文一"/>
    <w:basedOn w:val="1"/>
    <w:qFormat/>
    <w:uiPriority w:val="0"/>
    <w:pPr>
      <w:topLinePunct/>
      <w:adjustRightInd w:val="0"/>
      <w:snapToGrid w:val="0"/>
      <w:spacing w:line="360" w:lineRule="auto"/>
      <w:ind w:firstLine="200" w:firstLineChars="200"/>
    </w:pPr>
    <w:rPr>
      <w:snapToGrid w:val="0"/>
      <w:spacing w:val="4"/>
      <w:kern w:val="0"/>
      <w:sz w:val="24"/>
      <w:szCs w:val="24"/>
    </w:rPr>
  </w:style>
</w:styles>
</file>

<file path=word/_rels/document.xml.rels><?xml version="1.0" encoding="UTF-8" standalone="yes"?>
<Relationships xmlns="http://schemas.openxmlformats.org/package/2006/relationships"><Relationship Id="rId99" Type="http://schemas.openxmlformats.org/officeDocument/2006/relationships/image" Target="media/image91.jpeg"/><Relationship Id="rId98" Type="http://schemas.openxmlformats.org/officeDocument/2006/relationships/image" Target="media/image90.jpeg"/><Relationship Id="rId97" Type="http://schemas.openxmlformats.org/officeDocument/2006/relationships/image" Target="media/image89.jpeg"/><Relationship Id="rId96" Type="http://schemas.openxmlformats.org/officeDocument/2006/relationships/image" Target="media/image88.jpeg"/><Relationship Id="rId95" Type="http://schemas.openxmlformats.org/officeDocument/2006/relationships/image" Target="media/image87.jpeg"/><Relationship Id="rId94" Type="http://schemas.openxmlformats.org/officeDocument/2006/relationships/image" Target="media/image86.jpeg"/><Relationship Id="rId93" Type="http://schemas.openxmlformats.org/officeDocument/2006/relationships/image" Target="media/image85.jpeg"/><Relationship Id="rId92" Type="http://schemas.openxmlformats.org/officeDocument/2006/relationships/image" Target="media/image84.jpeg"/><Relationship Id="rId91" Type="http://schemas.openxmlformats.org/officeDocument/2006/relationships/image" Target="media/image83.jpeg"/><Relationship Id="rId90" Type="http://schemas.openxmlformats.org/officeDocument/2006/relationships/image" Target="media/image82.jpeg"/><Relationship Id="rId9" Type="http://schemas.openxmlformats.org/officeDocument/2006/relationships/image" Target="media/image1.png"/><Relationship Id="rId89" Type="http://schemas.openxmlformats.org/officeDocument/2006/relationships/image" Target="media/image81.jpeg"/><Relationship Id="rId88" Type="http://schemas.openxmlformats.org/officeDocument/2006/relationships/image" Target="media/image80.jpeg"/><Relationship Id="rId87" Type="http://schemas.openxmlformats.org/officeDocument/2006/relationships/image" Target="media/image79.jpeg"/><Relationship Id="rId86" Type="http://schemas.openxmlformats.org/officeDocument/2006/relationships/image" Target="media/image78.jpeg"/><Relationship Id="rId85" Type="http://schemas.openxmlformats.org/officeDocument/2006/relationships/image" Target="media/image77.jpeg"/><Relationship Id="rId84" Type="http://schemas.openxmlformats.org/officeDocument/2006/relationships/image" Target="media/image76.jpeg"/><Relationship Id="rId83" Type="http://schemas.openxmlformats.org/officeDocument/2006/relationships/image" Target="media/image75.jpeg"/><Relationship Id="rId82" Type="http://schemas.openxmlformats.org/officeDocument/2006/relationships/image" Target="media/image74.jpeg"/><Relationship Id="rId81" Type="http://schemas.openxmlformats.org/officeDocument/2006/relationships/image" Target="media/image73.jpeg"/><Relationship Id="rId80" Type="http://schemas.openxmlformats.org/officeDocument/2006/relationships/image" Target="media/image72.png"/><Relationship Id="rId8" Type="http://schemas.openxmlformats.org/officeDocument/2006/relationships/theme" Target="theme/theme1.xml"/><Relationship Id="rId79" Type="http://schemas.openxmlformats.org/officeDocument/2006/relationships/image" Target="media/image71.png"/><Relationship Id="rId78" Type="http://schemas.openxmlformats.org/officeDocument/2006/relationships/image" Target="media/image70.png"/><Relationship Id="rId77" Type="http://schemas.openxmlformats.org/officeDocument/2006/relationships/image" Target="media/image69.jpeg"/><Relationship Id="rId76" Type="http://schemas.openxmlformats.org/officeDocument/2006/relationships/image" Target="media/image68.jpeg"/><Relationship Id="rId75" Type="http://schemas.openxmlformats.org/officeDocument/2006/relationships/image" Target="media/image67.jpeg"/><Relationship Id="rId74" Type="http://schemas.openxmlformats.org/officeDocument/2006/relationships/image" Target="media/image66.png"/><Relationship Id="rId73" Type="http://schemas.openxmlformats.org/officeDocument/2006/relationships/image" Target="media/image65.jpeg"/><Relationship Id="rId72" Type="http://schemas.openxmlformats.org/officeDocument/2006/relationships/image" Target="media/image64.jpeg"/><Relationship Id="rId71" Type="http://schemas.openxmlformats.org/officeDocument/2006/relationships/image" Target="media/image63.jpeg"/><Relationship Id="rId70" Type="http://schemas.openxmlformats.org/officeDocument/2006/relationships/image" Target="media/image62.jpeg"/><Relationship Id="rId7" Type="http://schemas.openxmlformats.org/officeDocument/2006/relationships/footer" Target="footer3.xml"/><Relationship Id="rId69" Type="http://schemas.openxmlformats.org/officeDocument/2006/relationships/image" Target="media/image61.png"/><Relationship Id="rId68" Type="http://schemas.openxmlformats.org/officeDocument/2006/relationships/image" Target="media/image60.jpeg"/><Relationship Id="rId67" Type="http://schemas.openxmlformats.org/officeDocument/2006/relationships/image" Target="media/image59.png"/><Relationship Id="rId66" Type="http://schemas.openxmlformats.org/officeDocument/2006/relationships/image" Target="media/image58.png"/><Relationship Id="rId65" Type="http://schemas.openxmlformats.org/officeDocument/2006/relationships/image" Target="media/image57.jpeg"/><Relationship Id="rId64" Type="http://schemas.openxmlformats.org/officeDocument/2006/relationships/image" Target="media/image56.jpeg"/><Relationship Id="rId63" Type="http://schemas.openxmlformats.org/officeDocument/2006/relationships/image" Target="media/image55.jpeg"/><Relationship Id="rId62" Type="http://schemas.openxmlformats.org/officeDocument/2006/relationships/image" Target="media/image54.jpeg"/><Relationship Id="rId61" Type="http://schemas.openxmlformats.org/officeDocument/2006/relationships/image" Target="media/image53.jpeg"/><Relationship Id="rId60" Type="http://schemas.openxmlformats.org/officeDocument/2006/relationships/image" Target="media/image52.jpeg"/><Relationship Id="rId6" Type="http://schemas.openxmlformats.org/officeDocument/2006/relationships/header" Target="header2.xml"/><Relationship Id="rId59" Type="http://schemas.openxmlformats.org/officeDocument/2006/relationships/image" Target="media/image51.jpeg"/><Relationship Id="rId58" Type="http://schemas.openxmlformats.org/officeDocument/2006/relationships/image" Target="media/image50.jpeg"/><Relationship Id="rId57" Type="http://schemas.openxmlformats.org/officeDocument/2006/relationships/image" Target="media/image49.jpeg"/><Relationship Id="rId56" Type="http://schemas.openxmlformats.org/officeDocument/2006/relationships/image" Target="media/image48.jpeg"/><Relationship Id="rId55" Type="http://schemas.openxmlformats.org/officeDocument/2006/relationships/image" Target="media/image47.jpeg"/><Relationship Id="rId54" Type="http://schemas.openxmlformats.org/officeDocument/2006/relationships/image" Target="media/image46.png"/><Relationship Id="rId53" Type="http://schemas.openxmlformats.org/officeDocument/2006/relationships/image" Target="media/image45.png"/><Relationship Id="rId52" Type="http://schemas.openxmlformats.org/officeDocument/2006/relationships/image" Target="media/image44.png"/><Relationship Id="rId51" Type="http://schemas.openxmlformats.org/officeDocument/2006/relationships/image" Target="media/image43.jpeg"/><Relationship Id="rId50" Type="http://schemas.openxmlformats.org/officeDocument/2006/relationships/image" Target="media/image42.jpeg"/><Relationship Id="rId5" Type="http://schemas.openxmlformats.org/officeDocument/2006/relationships/footer" Target="footer2.xml"/><Relationship Id="rId49" Type="http://schemas.openxmlformats.org/officeDocument/2006/relationships/image" Target="media/image41.jpeg"/><Relationship Id="rId48" Type="http://schemas.openxmlformats.org/officeDocument/2006/relationships/image" Target="media/image40.jpeg"/><Relationship Id="rId47" Type="http://schemas.openxmlformats.org/officeDocument/2006/relationships/image" Target="media/image39.jpeg"/><Relationship Id="rId46" Type="http://schemas.openxmlformats.org/officeDocument/2006/relationships/image" Target="media/image38.jpeg"/><Relationship Id="rId45" Type="http://schemas.openxmlformats.org/officeDocument/2006/relationships/image" Target="media/image37.jpeg"/><Relationship Id="rId44" Type="http://schemas.openxmlformats.org/officeDocument/2006/relationships/image" Target="media/image36.png"/><Relationship Id="rId43" Type="http://schemas.openxmlformats.org/officeDocument/2006/relationships/image" Target="media/image35.jpeg"/><Relationship Id="rId42" Type="http://schemas.openxmlformats.org/officeDocument/2006/relationships/image" Target="media/image34.jpeg"/><Relationship Id="rId41" Type="http://schemas.openxmlformats.org/officeDocument/2006/relationships/image" Target="media/image33.jpeg"/><Relationship Id="rId40" Type="http://schemas.openxmlformats.org/officeDocument/2006/relationships/image" Target="media/image32.jpeg"/><Relationship Id="rId4" Type="http://schemas.openxmlformats.org/officeDocument/2006/relationships/header" Target="header1.xml"/><Relationship Id="rId39" Type="http://schemas.openxmlformats.org/officeDocument/2006/relationships/image" Target="media/image31.jpeg"/><Relationship Id="rId38" Type="http://schemas.openxmlformats.org/officeDocument/2006/relationships/image" Target="media/image30.jpeg"/><Relationship Id="rId37" Type="http://schemas.openxmlformats.org/officeDocument/2006/relationships/image" Target="media/image29.jpeg"/><Relationship Id="rId36" Type="http://schemas.openxmlformats.org/officeDocument/2006/relationships/image" Target="media/image28.jpeg"/><Relationship Id="rId35" Type="http://schemas.openxmlformats.org/officeDocument/2006/relationships/image" Target="media/image27.jpeg"/><Relationship Id="rId34" Type="http://schemas.openxmlformats.org/officeDocument/2006/relationships/image" Target="media/image26.jpeg"/><Relationship Id="rId33" Type="http://schemas.openxmlformats.org/officeDocument/2006/relationships/image" Target="media/image25.jpeg"/><Relationship Id="rId32" Type="http://schemas.openxmlformats.org/officeDocument/2006/relationships/image" Target="media/image24.jpeg"/><Relationship Id="rId31" Type="http://schemas.openxmlformats.org/officeDocument/2006/relationships/image" Target="media/image23.jpeg"/><Relationship Id="rId30" Type="http://schemas.openxmlformats.org/officeDocument/2006/relationships/image" Target="media/image22.jpeg"/><Relationship Id="rId3" Type="http://schemas.openxmlformats.org/officeDocument/2006/relationships/footer" Target="footer1.xml"/><Relationship Id="rId29" Type="http://schemas.openxmlformats.org/officeDocument/2006/relationships/image" Target="media/image21.jpeg"/><Relationship Id="rId28" Type="http://schemas.openxmlformats.org/officeDocument/2006/relationships/image" Target="media/image20.jpeg"/><Relationship Id="rId27" Type="http://schemas.openxmlformats.org/officeDocument/2006/relationships/image" Target="media/image19.jpeg"/><Relationship Id="rId26" Type="http://schemas.openxmlformats.org/officeDocument/2006/relationships/image" Target="media/image18.jpeg"/><Relationship Id="rId25" Type="http://schemas.openxmlformats.org/officeDocument/2006/relationships/image" Target="media/image17.jpeg"/><Relationship Id="rId24" Type="http://schemas.openxmlformats.org/officeDocument/2006/relationships/image" Target="media/image16.jpeg"/><Relationship Id="rId23" Type="http://schemas.openxmlformats.org/officeDocument/2006/relationships/image" Target="media/image15.png"/><Relationship Id="rId22" Type="http://schemas.openxmlformats.org/officeDocument/2006/relationships/image" Target="media/image14.png"/><Relationship Id="rId21" Type="http://schemas.openxmlformats.org/officeDocument/2006/relationships/image" Target="media/image13.png"/><Relationship Id="rId20" Type="http://schemas.openxmlformats.org/officeDocument/2006/relationships/image" Target="media/image12.png"/><Relationship Id="rId2" Type="http://schemas.openxmlformats.org/officeDocument/2006/relationships/settings" Target="settings.xml"/><Relationship Id="rId19" Type="http://schemas.openxmlformats.org/officeDocument/2006/relationships/image" Target="media/image11.png"/><Relationship Id="rId18" Type="http://schemas.openxmlformats.org/officeDocument/2006/relationships/image" Target="media/image10.png"/><Relationship Id="rId17" Type="http://schemas.openxmlformats.org/officeDocument/2006/relationships/image" Target="media/image9.png"/><Relationship Id="rId16" Type="http://schemas.openxmlformats.org/officeDocument/2006/relationships/image" Target="media/image8.jpeg"/><Relationship Id="rId15" Type="http://schemas.openxmlformats.org/officeDocument/2006/relationships/image" Target="media/image7.png"/><Relationship Id="rId14" Type="http://schemas.openxmlformats.org/officeDocument/2006/relationships/image" Target="media/image6.png"/><Relationship Id="rId132" Type="http://schemas.openxmlformats.org/officeDocument/2006/relationships/fontTable" Target="fontTable.xml"/><Relationship Id="rId131" Type="http://schemas.openxmlformats.org/officeDocument/2006/relationships/numbering" Target="numbering.xml"/><Relationship Id="rId130" Type="http://schemas.openxmlformats.org/officeDocument/2006/relationships/customXml" Target="../customXml/item1.xml"/><Relationship Id="rId13" Type="http://schemas.openxmlformats.org/officeDocument/2006/relationships/image" Target="media/image5.jpeg"/><Relationship Id="rId129" Type="http://schemas.openxmlformats.org/officeDocument/2006/relationships/image" Target="media/image121.jpeg"/><Relationship Id="rId128" Type="http://schemas.openxmlformats.org/officeDocument/2006/relationships/image" Target="media/image120.png"/><Relationship Id="rId127" Type="http://schemas.openxmlformats.org/officeDocument/2006/relationships/image" Target="media/image119.png"/><Relationship Id="rId126" Type="http://schemas.openxmlformats.org/officeDocument/2006/relationships/image" Target="media/image118.jpeg"/><Relationship Id="rId125" Type="http://schemas.openxmlformats.org/officeDocument/2006/relationships/image" Target="media/image117.png"/><Relationship Id="rId124" Type="http://schemas.openxmlformats.org/officeDocument/2006/relationships/image" Target="media/image116.png"/><Relationship Id="rId123" Type="http://schemas.openxmlformats.org/officeDocument/2006/relationships/image" Target="media/image115.png"/><Relationship Id="rId122" Type="http://schemas.openxmlformats.org/officeDocument/2006/relationships/image" Target="media/image114.jpeg"/><Relationship Id="rId121" Type="http://schemas.openxmlformats.org/officeDocument/2006/relationships/image" Target="media/image113.jpeg"/><Relationship Id="rId120" Type="http://schemas.openxmlformats.org/officeDocument/2006/relationships/image" Target="media/image112.png"/><Relationship Id="rId12" Type="http://schemas.openxmlformats.org/officeDocument/2006/relationships/image" Target="media/image4.jpeg"/><Relationship Id="rId119" Type="http://schemas.openxmlformats.org/officeDocument/2006/relationships/image" Target="media/image111.jpeg"/><Relationship Id="rId118" Type="http://schemas.openxmlformats.org/officeDocument/2006/relationships/image" Target="media/image110.png"/><Relationship Id="rId117" Type="http://schemas.openxmlformats.org/officeDocument/2006/relationships/image" Target="media/image109.png"/><Relationship Id="rId116" Type="http://schemas.openxmlformats.org/officeDocument/2006/relationships/image" Target="media/image108.jpeg"/><Relationship Id="rId115" Type="http://schemas.openxmlformats.org/officeDocument/2006/relationships/image" Target="media/image107.jpeg"/><Relationship Id="rId114" Type="http://schemas.openxmlformats.org/officeDocument/2006/relationships/image" Target="media/image106.jpeg"/><Relationship Id="rId113" Type="http://schemas.openxmlformats.org/officeDocument/2006/relationships/image" Target="media/image105.jpeg"/><Relationship Id="rId112" Type="http://schemas.openxmlformats.org/officeDocument/2006/relationships/image" Target="media/image104.jpeg"/><Relationship Id="rId111" Type="http://schemas.openxmlformats.org/officeDocument/2006/relationships/image" Target="media/image103.jpeg"/><Relationship Id="rId110" Type="http://schemas.openxmlformats.org/officeDocument/2006/relationships/image" Target="media/image102.jpeg"/><Relationship Id="rId11" Type="http://schemas.openxmlformats.org/officeDocument/2006/relationships/image" Target="media/image3.png"/><Relationship Id="rId109" Type="http://schemas.openxmlformats.org/officeDocument/2006/relationships/image" Target="media/image101.jpeg"/><Relationship Id="rId108" Type="http://schemas.openxmlformats.org/officeDocument/2006/relationships/image" Target="media/image100.jpeg"/><Relationship Id="rId107" Type="http://schemas.openxmlformats.org/officeDocument/2006/relationships/image" Target="media/image99.jpeg"/><Relationship Id="rId106" Type="http://schemas.openxmlformats.org/officeDocument/2006/relationships/image" Target="media/image98.png"/><Relationship Id="rId105" Type="http://schemas.openxmlformats.org/officeDocument/2006/relationships/image" Target="media/image97.jpeg"/><Relationship Id="rId104" Type="http://schemas.openxmlformats.org/officeDocument/2006/relationships/image" Target="media/image96.jpeg"/><Relationship Id="rId103" Type="http://schemas.openxmlformats.org/officeDocument/2006/relationships/image" Target="media/image95.jpeg"/><Relationship Id="rId102" Type="http://schemas.openxmlformats.org/officeDocument/2006/relationships/image" Target="media/image94.jpeg"/><Relationship Id="rId101" Type="http://schemas.openxmlformats.org/officeDocument/2006/relationships/image" Target="media/image93.jpeg"/><Relationship Id="rId100" Type="http://schemas.openxmlformats.org/officeDocument/2006/relationships/image" Target="media/image92.jpeg"/><Relationship Id="rId10" Type="http://schemas.openxmlformats.org/officeDocument/2006/relationships/image" Target="media/image2.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209</Pages>
  <Words>17594</Words>
  <Characters>18226</Characters>
  <Lines>0</Lines>
  <Paragraphs>0</Paragraphs>
  <TotalTime>0</TotalTime>
  <ScaleCrop>false</ScaleCrop>
  <LinksUpToDate>false</LinksUpToDate>
  <CharactersWithSpaces>18420</CharactersWithSpaces>
  <Application>WPS Office_11.8.6.9023_F1E327BC-269C-435d-A152-05C5408002CA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2023-10-22T07:26:00Z</dcterms:created>
  <dc:creator>-</dc:creator>
  <cp:lastModifiedBy>张蕊</cp:lastModifiedBy>
  <cp:lastPrinted>2025-06-30T02:37:00Z</cp:lastPrinted>
  <dcterms:modified xsi:type="dcterms:W3CDTF">2025-07-10T06:06:20Z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2052-11.8.6.9023</vt:lpwstr>
  </property>
  <property fmtid="{D5CDD505-2E9C-101B-9397-08002B2CF9AE}" pid="3" name="ICV">
    <vt:lpwstr>A6B1843BBE504C029609507B3FA76E37_13</vt:lpwstr>
  </property>
  <property fmtid="{D5CDD505-2E9C-101B-9397-08002B2CF9AE}" pid="4" name="KSOTemplateDocerSaveRecord">
    <vt:lpwstr>eyJoZGlkIjoiYTJjNTI1NWRkZmQyN2RkMTZmNTgxYmYwNDVjODEzMjAiLCJ1c2VySWQiOiI3MzE0ODk2NTcifQ==</vt:lpwstr>
  </property>
</Properties>
</file>