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3674">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广州发展2025-2026年度光伏逆变器集中采购</w:t>
      </w:r>
    </w:p>
    <w:p w14:paraId="1F30FE6E">
      <w:pPr>
        <w:adjustRightInd w:val="0"/>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6"/>
          <w:szCs w:val="36"/>
          <w:highlight w:val="none"/>
        </w:rPr>
        <w:t>招标公告</w:t>
      </w:r>
    </w:p>
    <w:p w14:paraId="19F062F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lang w:eastAsia="zh-CN"/>
        </w:rPr>
        <w:t>广州发展新能源集团股份有限公司</w:t>
      </w:r>
      <w:r>
        <w:rPr>
          <w:rFonts w:hint="eastAsia" w:ascii="宋体" w:hAnsi="宋体" w:eastAsia="宋体" w:cs="宋体"/>
          <w:color w:val="auto"/>
          <w:sz w:val="24"/>
          <w:szCs w:val="24"/>
          <w:highlight w:val="none"/>
        </w:rPr>
        <w:t>（以下简称“招标人”）</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u w:val="single"/>
          <w:lang w:val="en-US" w:eastAsia="zh-CN"/>
        </w:rPr>
        <w:t>广州市广州工程建设监理有限公司</w:t>
      </w:r>
      <w:r>
        <w:rPr>
          <w:rFonts w:hint="eastAsia" w:ascii="宋体" w:hAnsi="宋体" w:eastAsia="宋体" w:cs="宋体"/>
          <w:color w:val="auto"/>
          <w:sz w:val="24"/>
          <w:szCs w:val="24"/>
          <w:highlight w:val="none"/>
        </w:rPr>
        <w:t>（以下简称“招标代理”）</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就</w:t>
      </w:r>
      <w:r>
        <w:rPr>
          <w:rFonts w:hint="eastAsia" w:ascii="宋体" w:hAnsi="宋体" w:eastAsia="宋体" w:cs="宋体"/>
          <w:color w:val="auto"/>
          <w:sz w:val="24"/>
          <w:highlight w:val="none"/>
          <w:u w:val="single"/>
          <w:lang w:eastAsia="zh-CN"/>
        </w:rPr>
        <w:t>广州发展2025-2026年度光伏逆变器集中采购</w:t>
      </w:r>
      <w:r>
        <w:rPr>
          <w:rFonts w:hint="eastAsia" w:ascii="宋体" w:hAnsi="宋体" w:eastAsia="宋体" w:cs="宋体"/>
          <w:color w:val="auto"/>
          <w:sz w:val="24"/>
          <w:highlight w:val="none"/>
          <w:u w:val="single"/>
        </w:rPr>
        <w:t>（以下简称“本项目”）</w:t>
      </w:r>
      <w:r>
        <w:rPr>
          <w:rFonts w:hint="eastAsia" w:ascii="宋体" w:hAnsi="宋体" w:eastAsia="宋体" w:cs="宋体"/>
          <w:color w:val="auto"/>
          <w:sz w:val="24"/>
          <w:szCs w:val="24"/>
          <w:highlight w:val="none"/>
        </w:rPr>
        <w:t>进行公开招标，欢迎合格</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rPr>
        <w:t>投标。有关招标事项公告如下：</w:t>
      </w:r>
    </w:p>
    <w:p w14:paraId="3C125948">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eastAsia="zh-CN"/>
        </w:rPr>
        <w:t>广州发展2025-2026年度光伏逆变器集中采购</w:t>
      </w:r>
    </w:p>
    <w:p w14:paraId="03515C3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2.本次招标内容：</w:t>
      </w:r>
    </w:p>
    <w:p w14:paraId="1A191C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2.1采购光伏逆变器设备的规格、数量及技术等内容。</w:t>
      </w:r>
    </w:p>
    <w:p w14:paraId="3F14B195">
      <w:pPr>
        <w:tabs>
          <w:tab w:val="left" w:pos="0"/>
          <w:tab w:val="left" w:pos="1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共分为2个标段，各标段详细如下：</w:t>
      </w:r>
    </w:p>
    <w:tbl>
      <w:tblPr>
        <w:tblStyle w:val="7"/>
        <w:tblW w:w="9223" w:type="dxa"/>
        <w:tblInd w:w="0" w:type="dxa"/>
        <w:tblLayout w:type="fixed"/>
        <w:tblCellMar>
          <w:top w:w="0" w:type="dxa"/>
          <w:left w:w="0" w:type="dxa"/>
          <w:bottom w:w="0" w:type="dxa"/>
          <w:right w:w="0" w:type="dxa"/>
        </w:tblCellMar>
      </w:tblPr>
      <w:tblGrid>
        <w:gridCol w:w="1108"/>
        <w:gridCol w:w="1770"/>
        <w:gridCol w:w="1140"/>
        <w:gridCol w:w="3030"/>
        <w:gridCol w:w="2175"/>
      </w:tblGrid>
      <w:tr w14:paraId="0A046C0A">
        <w:tblPrEx>
          <w:tblCellMar>
            <w:top w:w="0" w:type="dxa"/>
            <w:left w:w="0" w:type="dxa"/>
            <w:bottom w:w="0" w:type="dxa"/>
            <w:right w:w="0" w:type="dxa"/>
          </w:tblCellMar>
        </w:tblPrEx>
        <w:trPr>
          <w:trHeight w:val="489" w:hRule="atLeast"/>
        </w:trPr>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5E3D4">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2"/>
                <w:highlight w:val="none"/>
                <w:lang w:bidi="ar"/>
              </w:rPr>
              <w:t>标段</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6555E44">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2"/>
                <w:highlight w:val="none"/>
                <w:lang w:bidi="ar"/>
              </w:rPr>
              <w:t>设备名称</w:t>
            </w: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965E13F">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b/>
                <w:color w:val="auto"/>
                <w:sz w:val="22"/>
                <w:szCs w:val="20"/>
                <w:highlight w:val="none"/>
                <w:lang w:bidi="ar"/>
              </w:rPr>
            </w:pPr>
            <w:r>
              <w:rPr>
                <w:rFonts w:hint="eastAsia" w:ascii="宋体" w:hAnsi="宋体" w:eastAsia="宋体" w:cs="宋体"/>
                <w:b/>
                <w:color w:val="auto"/>
                <w:sz w:val="22"/>
                <w:szCs w:val="22"/>
                <w:highlight w:val="none"/>
                <w:lang w:bidi="ar"/>
              </w:rPr>
              <w:t>预估容量</w:t>
            </w:r>
          </w:p>
          <w:p w14:paraId="1577EA78">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2"/>
                <w:highlight w:val="none"/>
                <w:lang w:bidi="ar"/>
              </w:rPr>
              <w:t>（MW）</w:t>
            </w:r>
          </w:p>
        </w:tc>
        <w:tc>
          <w:tcPr>
            <w:tcW w:w="30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5FD57">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b/>
                <w:color w:val="auto"/>
                <w:sz w:val="22"/>
                <w:szCs w:val="20"/>
                <w:highlight w:val="none"/>
                <w:lang w:bidi="ar"/>
              </w:rPr>
            </w:pPr>
            <w:r>
              <w:rPr>
                <w:rFonts w:hint="eastAsia" w:ascii="宋体" w:hAnsi="宋体" w:eastAsia="宋体" w:cs="宋体"/>
                <w:b/>
                <w:color w:val="auto"/>
                <w:sz w:val="22"/>
                <w:szCs w:val="22"/>
                <w:highlight w:val="none"/>
                <w:lang w:bidi="ar"/>
              </w:rPr>
              <w:t>技术要求</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26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2"/>
                <w:highlight w:val="none"/>
                <w:lang w:bidi="ar"/>
              </w:rPr>
              <w:t>入围家数</w:t>
            </w:r>
          </w:p>
        </w:tc>
      </w:tr>
      <w:tr w14:paraId="06714E61">
        <w:tblPrEx>
          <w:tblCellMar>
            <w:top w:w="0" w:type="dxa"/>
            <w:left w:w="0" w:type="dxa"/>
            <w:bottom w:w="0" w:type="dxa"/>
            <w:right w:w="0" w:type="dxa"/>
          </w:tblCellMar>
        </w:tblPrEx>
        <w:trPr>
          <w:trHeight w:val="90" w:hRule="atLeast"/>
        </w:trPr>
        <w:tc>
          <w:tcPr>
            <w:tcW w:w="110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23210B1">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2"/>
                <w:highlight w:val="none"/>
                <w:lang w:bidi="ar"/>
              </w:rPr>
              <w:t>标段1</w:t>
            </w:r>
          </w:p>
        </w:tc>
        <w:tc>
          <w:tcPr>
            <w:tcW w:w="1770" w:type="dxa"/>
            <w:tcBorders>
              <w:top w:val="single" w:color="000000" w:sz="4" w:space="0"/>
              <w:left w:val="single" w:color="000000" w:sz="4" w:space="0"/>
              <w:bottom w:val="single" w:color="auto" w:sz="4" w:space="0"/>
              <w:right w:val="single" w:color="auto" w:sz="4" w:space="0"/>
            </w:tcBorders>
            <w:noWrap w:val="0"/>
            <w:vAlign w:val="center"/>
          </w:tcPr>
          <w:p w14:paraId="7CF23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2"/>
                <w:szCs w:val="22"/>
                <w:highlight w:val="none"/>
                <w:lang w:bidi="ar"/>
              </w:rPr>
              <w:t>集中式逆变器</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277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200</w:t>
            </w:r>
          </w:p>
        </w:tc>
        <w:tc>
          <w:tcPr>
            <w:tcW w:w="30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D91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kern w:val="0"/>
                <w:sz w:val="22"/>
                <w:szCs w:val="22"/>
                <w:highlight w:val="none"/>
                <w:lang w:val="en-US" w:eastAsia="zh-CN" w:bidi="ar"/>
              </w:rPr>
              <w:t>最大输入电压 1500V,额定输出功率为3125-3300kW</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60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2"/>
                <w:highlight w:val="none"/>
                <w:lang w:val="en-US" w:eastAsia="zh-CN" w:bidi="ar"/>
              </w:rPr>
              <w:t>1</w:t>
            </w:r>
            <w:r>
              <w:rPr>
                <w:rFonts w:hint="eastAsia" w:ascii="宋体" w:hAnsi="宋体" w:eastAsia="宋体" w:cs="宋体"/>
                <w:color w:val="auto"/>
                <w:sz w:val="22"/>
                <w:szCs w:val="22"/>
                <w:highlight w:val="none"/>
                <w:lang w:bidi="ar"/>
              </w:rPr>
              <w:t>家</w:t>
            </w:r>
          </w:p>
        </w:tc>
      </w:tr>
      <w:tr w14:paraId="40FB0DEF">
        <w:tblPrEx>
          <w:tblCellMar>
            <w:top w:w="0" w:type="dxa"/>
            <w:left w:w="0" w:type="dxa"/>
            <w:bottom w:w="0" w:type="dxa"/>
            <w:right w:w="0" w:type="dxa"/>
          </w:tblCellMar>
        </w:tblPrEx>
        <w:trPr>
          <w:trHeight w:val="415" w:hRule="atLeast"/>
        </w:trPr>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43CEF">
            <w:pPr>
              <w:keepNext w:val="0"/>
              <w:keepLines w:val="0"/>
              <w:widowControl/>
              <w:suppressLineNumbers w:val="0"/>
              <w:spacing w:before="0" w:beforeAutospacing="0" w:after="0" w:afterAutospacing="0"/>
              <w:ind w:left="42" w:leftChars="20" w:right="42" w:rightChars="20"/>
              <w:jc w:val="center"/>
              <w:textAlignment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2"/>
                <w:highlight w:val="none"/>
                <w:lang w:bidi="ar"/>
              </w:rPr>
              <w:t>标段2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DFA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2"/>
                <w:szCs w:val="22"/>
                <w:highlight w:val="none"/>
                <w:lang w:bidi="ar"/>
              </w:rPr>
              <w:t>组串式逆变器</w:t>
            </w:r>
          </w:p>
        </w:tc>
        <w:tc>
          <w:tcPr>
            <w:tcW w:w="114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22AB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600</w:t>
            </w:r>
          </w:p>
        </w:tc>
        <w:tc>
          <w:tcPr>
            <w:tcW w:w="30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6E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kern w:val="0"/>
                <w:sz w:val="22"/>
                <w:szCs w:val="22"/>
                <w:highlight w:val="none"/>
                <w:lang w:val="en-US" w:eastAsia="zh-CN" w:bidi="ar"/>
              </w:rPr>
              <w:t>最大输入电压 1500V，额定交流输出功率175-320kW，兼容各类组件</w:t>
            </w:r>
          </w:p>
        </w:tc>
        <w:tc>
          <w:tcPr>
            <w:tcW w:w="2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38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0"/>
                <w:highlight w:val="none"/>
                <w:lang w:bidi="ar"/>
              </w:rPr>
            </w:pPr>
            <w:r>
              <w:rPr>
                <w:rFonts w:hint="eastAsia" w:ascii="宋体" w:hAnsi="宋体" w:eastAsia="宋体" w:cs="宋体"/>
                <w:color w:val="auto"/>
                <w:sz w:val="22"/>
                <w:szCs w:val="22"/>
                <w:highlight w:val="none"/>
                <w:lang w:bidi="ar"/>
              </w:rPr>
              <w:t>2家，按3:2比例</w:t>
            </w:r>
          </w:p>
          <w:p w14:paraId="744E6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2"/>
                <w:highlight w:val="none"/>
                <w:lang w:bidi="ar"/>
              </w:rPr>
              <w:t>分配份额</w:t>
            </w:r>
          </w:p>
        </w:tc>
      </w:tr>
      <w:tr w14:paraId="5055FA82">
        <w:tblPrEx>
          <w:tblCellMar>
            <w:top w:w="0" w:type="dxa"/>
            <w:left w:w="0" w:type="dxa"/>
            <w:bottom w:w="0" w:type="dxa"/>
            <w:right w:w="0" w:type="dxa"/>
          </w:tblCellMar>
        </w:tblPrEx>
        <w:trPr>
          <w:trHeight w:val="1307" w:hRule="atLeast"/>
        </w:trPr>
        <w:tc>
          <w:tcPr>
            <w:tcW w:w="9223" w:type="dxa"/>
            <w:gridSpan w:val="5"/>
            <w:tcBorders>
              <w:top w:val="single" w:color="000000" w:sz="4" w:space="0"/>
              <w:left w:val="single" w:color="000000" w:sz="4" w:space="0"/>
              <w:bottom w:val="single" w:color="000000" w:sz="4" w:space="0"/>
              <w:right w:val="single" w:color="000000" w:sz="4" w:space="0"/>
            </w:tcBorders>
            <w:noWrap w:val="0"/>
            <w:vAlign w:val="top"/>
          </w:tcPr>
          <w:p w14:paraId="63865815">
            <w:pPr>
              <w:keepNext w:val="0"/>
              <w:keepLines w:val="0"/>
              <w:widowControl/>
              <w:suppressLineNumbers w:val="0"/>
              <w:spacing w:before="0" w:beforeAutospacing="0" w:after="0" w:afterAutospacing="0"/>
              <w:ind w:left="42" w:leftChars="20" w:right="0"/>
              <w:textAlignment w:val="center"/>
              <w:rPr>
                <w:rFonts w:hint="eastAsia" w:ascii="宋体" w:hAnsi="宋体" w:eastAsia="宋体" w:cs="宋体"/>
                <w:color w:val="auto"/>
                <w:szCs w:val="20"/>
                <w:highlight w:val="none"/>
              </w:rPr>
            </w:pPr>
            <w:r>
              <w:rPr>
                <w:rFonts w:hint="eastAsia" w:ascii="宋体" w:hAnsi="宋体" w:eastAsia="宋体" w:cs="宋体"/>
                <w:color w:val="auto"/>
                <w:sz w:val="22"/>
                <w:szCs w:val="21"/>
                <w:highlight w:val="none"/>
              </w:rPr>
              <w:t>注：</w:t>
            </w:r>
            <w:r>
              <w:rPr>
                <w:rFonts w:hint="eastAsia" w:ascii="宋体" w:hAnsi="宋体" w:eastAsia="宋体" w:cs="宋体"/>
                <w:color w:val="auto"/>
                <w:kern w:val="2"/>
                <w:sz w:val="22"/>
                <w:szCs w:val="24"/>
                <w:highlight w:val="none"/>
              </w:rPr>
              <w:t>本项目由招标人与中标人签订框架合同，具体单项采购合同由广州发展集团股份有限公司属下负责新能源业务的项目公司（包括但不限于</w:t>
            </w:r>
            <w:r>
              <w:rPr>
                <w:rFonts w:hint="eastAsia" w:ascii="宋体" w:hAnsi="宋体" w:eastAsia="宋体" w:cs="宋体"/>
                <w:color w:val="auto"/>
                <w:kern w:val="2"/>
                <w:sz w:val="22"/>
                <w:szCs w:val="24"/>
                <w:highlight w:val="none"/>
                <w:lang w:eastAsia="zh-CN"/>
              </w:rPr>
              <w:t>广州发展新能源集团股份有限公司</w:t>
            </w:r>
            <w:r>
              <w:rPr>
                <w:rFonts w:hint="eastAsia" w:ascii="宋体" w:hAnsi="宋体" w:eastAsia="宋体" w:cs="宋体"/>
                <w:color w:val="auto"/>
                <w:kern w:val="2"/>
                <w:sz w:val="22"/>
                <w:szCs w:val="24"/>
                <w:highlight w:val="none"/>
              </w:rPr>
              <w:t>和广州发展电力集团有限公司，以及其属下公司等等，以下简称“广州发展新能源项目公司”）与中标人签订。因受国家新能源产业政策和技术进步影响，项目实际需求存在一定的不确定性，对实际采购规格、数量与招标范围的差异不承担责任。具体采购量有可能低于或超过预估容量，最终以实际项目需求为准。</w:t>
            </w:r>
          </w:p>
        </w:tc>
      </w:tr>
    </w:tbl>
    <w:p w14:paraId="07A06D9B">
      <w:pPr>
        <w:adjustRightInd w:val="0"/>
        <w:snapToGrid w:val="0"/>
        <w:spacing w:before="120"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具体内容详见招标文件第五章《合同条款》。</w:t>
      </w:r>
    </w:p>
    <w:p w14:paraId="7C305E44">
      <w:pPr>
        <w:pStyle w:val="6"/>
        <w:spacing w:after="0" w:line="360" w:lineRule="auto"/>
        <w:ind w:left="0" w:leftChars="0" w:firstLine="480"/>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2.2本次招标</w:t>
      </w:r>
      <w:r>
        <w:rPr>
          <w:rFonts w:hint="eastAsia" w:ascii="宋体" w:hAnsi="宋体" w:eastAsia="宋体" w:cs="宋体"/>
          <w:color w:val="auto"/>
          <w:sz w:val="24"/>
          <w:szCs w:val="24"/>
          <w:highlight w:val="none"/>
          <w:lang w:val="en-US" w:eastAsia="zh-CN"/>
        </w:rPr>
        <w:t>标段1确定1名中标人，标段2</w:t>
      </w:r>
      <w:r>
        <w:rPr>
          <w:rFonts w:hint="eastAsia" w:ascii="宋体" w:hAnsi="宋体" w:eastAsia="宋体" w:cs="宋体"/>
          <w:color w:val="auto"/>
          <w:sz w:val="24"/>
          <w:szCs w:val="24"/>
          <w:highlight w:val="none"/>
        </w:rPr>
        <w:t>确定2名中标人。</w:t>
      </w:r>
      <w:r>
        <w:rPr>
          <w:rFonts w:hint="eastAsia" w:ascii="宋体" w:hAnsi="宋体" w:eastAsia="宋体" w:cs="宋体"/>
          <w:b/>
          <w:color w:val="auto"/>
          <w:sz w:val="24"/>
          <w:szCs w:val="24"/>
          <w:highlight w:val="none"/>
        </w:rPr>
        <w:t>投标人可以兼投兼中2个标段，具体定标规则详见第三章《开标、评标及定标办法》。</w:t>
      </w:r>
    </w:p>
    <w:p w14:paraId="69AD357C">
      <w:pPr>
        <w:tabs>
          <w:tab w:val="left" w:pos="0"/>
          <w:tab w:val="left" w:pos="180"/>
        </w:tabs>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投标人不能只对标段内部分容量进行投标，同一标段只能选择一种规格、型号进行报价</w:t>
      </w:r>
      <w:r>
        <w:rPr>
          <w:rFonts w:hint="eastAsia" w:ascii="宋体" w:hAnsi="宋体" w:eastAsia="宋体" w:cs="宋体"/>
          <w:b/>
          <w:color w:val="auto"/>
          <w:sz w:val="24"/>
          <w:szCs w:val="24"/>
          <w:highlight w:val="none"/>
          <w:lang w:bidi="ar"/>
        </w:rPr>
        <w:t>。</w:t>
      </w:r>
    </w:p>
    <w:p w14:paraId="2D04E1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年，自《</w:t>
      </w:r>
      <w:r>
        <w:rPr>
          <w:rFonts w:hint="eastAsia" w:ascii="宋体" w:hAnsi="宋体" w:eastAsia="宋体" w:cs="宋体"/>
          <w:bCs/>
          <w:color w:val="auto"/>
          <w:sz w:val="24"/>
          <w:szCs w:val="24"/>
          <w:highlight w:val="none"/>
          <w:lang w:eastAsia="zh-CN"/>
        </w:rPr>
        <w:t>广州发展2025-2026年度光伏逆变器集中采购</w:t>
      </w:r>
      <w:r>
        <w:rPr>
          <w:rFonts w:hint="eastAsia" w:ascii="宋体" w:hAnsi="宋体" w:eastAsia="宋体" w:cs="宋体"/>
          <w:bCs/>
          <w:color w:val="auto"/>
          <w:sz w:val="24"/>
          <w:szCs w:val="24"/>
          <w:highlight w:val="none"/>
        </w:rPr>
        <w:t>合同</w:t>
      </w:r>
      <w:r>
        <w:rPr>
          <w:rFonts w:hint="eastAsia" w:ascii="宋体" w:hAnsi="宋体" w:eastAsia="宋体" w:cs="宋体"/>
          <w:color w:val="auto"/>
          <w:sz w:val="24"/>
          <w:szCs w:val="24"/>
          <w:highlight w:val="none"/>
        </w:rPr>
        <w:t>》签订之日起</w:t>
      </w:r>
      <w:r>
        <w:rPr>
          <w:rFonts w:hint="eastAsia" w:ascii="宋体" w:hAnsi="宋体" w:eastAsia="宋体" w:cs="宋体"/>
          <w:color w:val="auto"/>
          <w:sz w:val="24"/>
          <w:szCs w:val="24"/>
          <w:highlight w:val="none"/>
          <w:lang w:eastAsia="zh-CN"/>
        </w:rPr>
        <w:t>计</w:t>
      </w:r>
      <w:r>
        <w:rPr>
          <w:rFonts w:hint="eastAsia" w:ascii="宋体" w:hAnsi="宋体" w:eastAsia="宋体" w:cs="宋体"/>
          <w:color w:val="auto"/>
          <w:sz w:val="24"/>
          <w:szCs w:val="24"/>
          <w:highlight w:val="none"/>
        </w:rPr>
        <w:t>，在此日期前买方已向卖方发出发货通知书的除外。具体内容详见招标文件第五章《合同条款》。</w:t>
      </w:r>
    </w:p>
    <w:p w14:paraId="5616274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2.4交货的地点：广州发展新能源项目公司指定的项目现场或其他地点。</w:t>
      </w:r>
    </w:p>
    <w:p w14:paraId="1A5221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3.合格的投标人条件：</w:t>
      </w:r>
    </w:p>
    <w:p w14:paraId="52E8E92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bookmarkStart w:id="0" w:name="OLE_LINK28"/>
      <w:bookmarkStart w:id="1" w:name="OLE_LINK27"/>
      <w:r>
        <w:rPr>
          <w:rFonts w:hint="eastAsia" w:ascii="宋体" w:hAnsi="宋体" w:eastAsia="宋体" w:cs="宋体"/>
          <w:bCs/>
          <w:color w:val="auto"/>
          <w:sz w:val="24"/>
          <w:szCs w:val="24"/>
          <w:highlight w:val="none"/>
        </w:rPr>
        <w:t>投标人必须是在中华人民共和国范围内注册的独立法人或其他组织。企业法人</w:t>
      </w:r>
      <w:r>
        <w:rPr>
          <w:rFonts w:hint="eastAsia" w:ascii="宋体" w:hAnsi="宋体" w:eastAsia="宋体" w:cs="宋体"/>
          <w:bCs/>
          <w:color w:val="auto"/>
          <w:sz w:val="24"/>
          <w:szCs w:val="24"/>
          <w:highlight w:val="none"/>
          <w:lang w:val="en-US" w:eastAsia="zh-CN"/>
        </w:rPr>
        <w:t>应持有工商行政管理部门核发的有效</w:t>
      </w:r>
      <w:r>
        <w:rPr>
          <w:rFonts w:hint="eastAsia" w:ascii="宋体" w:hAnsi="宋体" w:eastAsia="宋体" w:cs="宋体"/>
          <w:bCs/>
          <w:color w:val="auto"/>
          <w:sz w:val="24"/>
          <w:szCs w:val="24"/>
          <w:highlight w:val="none"/>
        </w:rPr>
        <w:t>营业执照</w:t>
      </w:r>
      <w:bookmarkEnd w:id="0"/>
      <w:bookmarkEnd w:id="1"/>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单位负责人为同一人或者存在控股、管理关系的不同单位，不得</w:t>
      </w:r>
      <w:r>
        <w:rPr>
          <w:rFonts w:hint="eastAsia" w:ascii="宋体" w:hAnsi="宋体" w:eastAsia="宋体" w:cs="宋体"/>
          <w:color w:val="auto"/>
          <w:sz w:val="24"/>
          <w:szCs w:val="24"/>
          <w:highlight w:val="none"/>
          <w:lang w:val="en-US" w:eastAsia="zh-CN"/>
        </w:rPr>
        <w:t>再</w:t>
      </w:r>
      <w:r>
        <w:rPr>
          <w:rFonts w:hint="eastAsia" w:ascii="宋体" w:hAnsi="宋体" w:eastAsia="宋体" w:cs="宋体"/>
          <w:color w:val="auto"/>
          <w:sz w:val="24"/>
          <w:szCs w:val="24"/>
          <w:highlight w:val="none"/>
        </w:rPr>
        <w:t>同时参加本招标项目投标，否则相关投标均无效。</w:t>
      </w:r>
    </w:p>
    <w:p w14:paraId="319BDDD9">
      <w:pPr>
        <w:pStyle w:val="6"/>
        <w:spacing w:after="0"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业绩要求</w:t>
      </w:r>
      <w:r>
        <w:rPr>
          <w:rFonts w:hint="eastAsia" w:ascii="宋体" w:hAnsi="宋体" w:eastAsia="宋体" w:cs="宋体"/>
          <w:color w:val="auto"/>
          <w:sz w:val="24"/>
          <w:szCs w:val="24"/>
          <w:highlight w:val="none"/>
          <w:lang w:eastAsia="zh-CN"/>
        </w:rPr>
        <w:t>：</w:t>
      </w:r>
    </w:p>
    <w:p w14:paraId="1CE200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标段1：</w:t>
      </w:r>
      <w:r>
        <w:rPr>
          <w:rFonts w:hint="eastAsia" w:ascii="宋体" w:hAnsi="宋体" w:eastAsia="宋体" w:cs="宋体"/>
          <w:color w:val="auto"/>
          <w:sz w:val="24"/>
          <w:szCs w:val="24"/>
          <w:highlight w:val="none"/>
          <w:lang w:eastAsia="zh-CN"/>
        </w:rPr>
        <w:t>投标人自2022年1月1日起至投标截止时间止承接过单项合同50MW或以上的所投型号集中式逆变器产品国内供货业绩不低于1GW</w:t>
      </w:r>
      <w:r>
        <w:rPr>
          <w:rFonts w:hint="eastAsia" w:ascii="宋体" w:hAnsi="宋体" w:eastAsia="宋体" w:cs="宋体"/>
          <w:color w:val="auto"/>
          <w:sz w:val="24"/>
          <w:szCs w:val="24"/>
          <w:highlight w:val="none"/>
        </w:rPr>
        <w:t>。</w:t>
      </w:r>
    </w:p>
    <w:p w14:paraId="380A8B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标段2：</w:t>
      </w:r>
      <w:r>
        <w:rPr>
          <w:rFonts w:hint="eastAsia" w:ascii="宋体" w:hAnsi="宋体" w:eastAsia="宋体" w:cs="宋体"/>
          <w:color w:val="auto"/>
          <w:sz w:val="24"/>
          <w:szCs w:val="24"/>
          <w:highlight w:val="none"/>
          <w:lang w:eastAsia="zh-CN"/>
        </w:rPr>
        <w:t>投标人自2022年1月1日起至投标截止时间止承接过单项合同20MW或以上的所投型号组串式逆变器产品国内供货业绩不低于1GW</w:t>
      </w:r>
      <w:r>
        <w:rPr>
          <w:rFonts w:hint="eastAsia" w:ascii="宋体" w:hAnsi="宋体" w:eastAsia="宋体" w:cs="宋体"/>
          <w:color w:val="auto"/>
          <w:sz w:val="24"/>
          <w:szCs w:val="24"/>
          <w:highlight w:val="none"/>
        </w:rPr>
        <w:t>。</w:t>
      </w:r>
    </w:p>
    <w:p w14:paraId="1443827B">
      <w:pPr>
        <w:adjustRightInd/>
        <w:snapToGrid/>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［需提供合同关键页扫描件，并加盖公章，关键页包括封面页、签字盖章页和主要内容显示页，</w:t>
      </w:r>
      <w:r>
        <w:rPr>
          <w:rFonts w:hint="eastAsia" w:ascii="宋体" w:hAnsi="宋体" w:eastAsia="宋体" w:cs="宋体"/>
          <w:b/>
          <w:bCs/>
          <w:color w:val="auto"/>
          <w:sz w:val="24"/>
          <w:szCs w:val="24"/>
          <w:highlight w:val="none"/>
          <w:lang w:val="en-US" w:eastAsia="zh-CN"/>
        </w:rPr>
        <w:t>业绩</w:t>
      </w:r>
      <w:r>
        <w:rPr>
          <w:rFonts w:hint="eastAsia" w:ascii="宋体" w:hAnsi="宋体" w:eastAsia="宋体" w:cs="宋体"/>
          <w:b/>
          <w:bCs/>
          <w:color w:val="auto"/>
          <w:sz w:val="24"/>
          <w:szCs w:val="24"/>
          <w:highlight w:val="none"/>
        </w:rPr>
        <w:t>时间以合同签订时间为准］</w:t>
      </w:r>
    </w:p>
    <w:p w14:paraId="5E291B3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必须是投标货物的制造商或制造商授权参加本次投标的唯一授权代理商（经销商）。代理商（经销商）投标时，需提供投标货物制造商对其合法授权的证明文件（格式详见第六章格式11制造商授权函格式）。如投标货物的制造商和代理商（经销商）同时报名的，则只接受制造商的投标。</w:t>
      </w:r>
    </w:p>
    <w:p w14:paraId="5974972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3.4投标人已按</w:t>
      </w:r>
      <w:r>
        <w:rPr>
          <w:rFonts w:hint="eastAsia" w:ascii="宋体" w:hAnsi="宋体" w:eastAsia="宋体" w:cs="宋体"/>
          <w:color w:val="auto"/>
          <w:sz w:val="24"/>
          <w:szCs w:val="24"/>
          <w:highlight w:val="none"/>
          <w:lang w:val="en-US" w:eastAsia="zh-CN"/>
        </w:rPr>
        <w:t>规定的格式和</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提交了</w:t>
      </w:r>
      <w:r>
        <w:rPr>
          <w:rFonts w:hint="eastAsia" w:ascii="宋体" w:hAnsi="宋体" w:eastAsia="宋体" w:cs="宋体"/>
          <w:color w:val="auto"/>
          <w:sz w:val="24"/>
          <w:szCs w:val="24"/>
          <w:highlight w:val="none"/>
        </w:rPr>
        <w:t>投标人声明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格式详见第六章格式3投标人声明格式</w:t>
      </w:r>
      <w:r>
        <w:rPr>
          <w:rFonts w:hint="eastAsia" w:ascii="宋体" w:hAnsi="宋体" w:eastAsia="宋体" w:cs="宋体"/>
          <w:color w:val="auto"/>
          <w:sz w:val="24"/>
          <w:szCs w:val="24"/>
          <w:highlight w:val="none"/>
        </w:rPr>
        <w:t>。</w:t>
      </w:r>
    </w:p>
    <w:p w14:paraId="40899A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3.5本项目不接受联合体投标。</w:t>
      </w:r>
    </w:p>
    <w:p w14:paraId="2FF8F275">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公告发布日期、领取招标文件事宜、递交投标文件时间与开标时间</w:t>
      </w:r>
      <w:r>
        <w:rPr>
          <w:rFonts w:hint="eastAsia" w:ascii="宋体" w:hAnsi="宋体" w:eastAsia="宋体" w:cs="宋体"/>
          <w:color w:val="auto"/>
          <w:sz w:val="24"/>
          <w:szCs w:val="24"/>
          <w:highlight w:val="none"/>
        </w:rPr>
        <w:t>：</w:t>
      </w:r>
    </w:p>
    <w:p w14:paraId="207008DE">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2"/>
          <w:sz w:val="24"/>
          <w:szCs w:val="24"/>
          <w:highlight w:val="none"/>
        </w:rPr>
        <w:t>4.1</w:t>
      </w:r>
      <w:r>
        <w:rPr>
          <w:rFonts w:hint="eastAsia" w:ascii="宋体" w:hAnsi="宋体" w:eastAsia="宋体" w:cs="宋体"/>
          <w:color w:val="auto"/>
          <w:kern w:val="0"/>
          <w:sz w:val="24"/>
          <w:highlight w:val="none"/>
          <w:shd w:val="clear" w:color="auto" w:fill="FFFFFF"/>
          <w:lang w:bidi="ar"/>
        </w:rPr>
        <w:t>发布招标公告开始日期（含本日）为：</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73847AC6">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27A2742D">
      <w:pPr>
        <w:widowControl w:val="0"/>
        <w:spacing w:line="360" w:lineRule="auto"/>
        <w:ind w:firstLine="424" w:firstLineChars="177"/>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599602F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4.2</w:t>
      </w:r>
      <w:r>
        <w:rPr>
          <w:rFonts w:hint="eastAsia" w:ascii="宋体" w:hAnsi="宋体" w:eastAsia="宋体" w:cs="宋体"/>
          <w:color w:val="auto"/>
          <w:sz w:val="24"/>
          <w:highlight w:val="none"/>
        </w:rPr>
        <w:t>投标登记及领取招标文件</w:t>
      </w:r>
      <w:r>
        <w:rPr>
          <w:rFonts w:hint="eastAsia" w:ascii="宋体" w:hAnsi="宋体" w:eastAsia="宋体" w:cs="宋体"/>
          <w:color w:val="auto"/>
          <w:sz w:val="24"/>
          <w:highlight w:val="none"/>
          <w:lang w:val="en-US" w:eastAsia="zh-CN"/>
        </w:rPr>
        <w:t>方式</w:t>
      </w:r>
      <w:r>
        <w:rPr>
          <w:rFonts w:hint="eastAsia" w:ascii="宋体" w:hAnsi="宋体" w:eastAsia="宋体" w:cs="宋体"/>
          <w:color w:val="auto"/>
          <w:sz w:val="24"/>
          <w:highlight w:val="none"/>
        </w:rPr>
        <w:t>：</w:t>
      </w:r>
    </w:p>
    <w:p w14:paraId="3F79885D">
      <w:pPr>
        <w:shd w:val="clear" w:color="auto" w:fill="auto"/>
        <w:snapToGrid/>
        <w:spacing w:line="360" w:lineRule="auto"/>
        <w:ind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lang w:bidi="ar"/>
        </w:rPr>
        <w:t>在</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业务系统完成了线上投标登记的投标人须在</w:t>
      </w:r>
      <w:r>
        <w:rPr>
          <w:rFonts w:hint="eastAsia" w:ascii="宋体" w:hAnsi="宋体" w:eastAsia="宋体" w:cs="宋体"/>
          <w:color w:val="auto"/>
          <w:sz w:val="24"/>
          <w:highlight w:val="none"/>
          <w:shd w:val="clear" w:color="auto" w:fill="FFFFFF"/>
          <w:lang w:eastAsia="zh-CN" w:bidi="ar"/>
        </w:rPr>
        <w:t>2025</w:t>
      </w:r>
      <w:r>
        <w:rPr>
          <w:rFonts w:hint="eastAsia" w:ascii="宋体" w:hAnsi="宋体" w:eastAsia="宋体" w:cs="宋体"/>
          <w:color w:val="auto"/>
          <w:sz w:val="24"/>
          <w:highlight w:val="none"/>
          <w:shd w:val="clear" w:color="auto" w:fill="FFFFFF"/>
          <w:lang w:bidi="ar"/>
        </w:rPr>
        <w:t>年</w:t>
      </w:r>
      <w:r>
        <w:rPr>
          <w:rFonts w:hint="eastAsia" w:ascii="宋体" w:hAnsi="宋体" w:eastAsia="宋体" w:cs="宋体"/>
          <w:color w:val="auto"/>
          <w:sz w:val="24"/>
          <w:highlight w:val="non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月</w:t>
      </w:r>
      <w:r>
        <w:rPr>
          <w:rFonts w:hint="eastAsia" w:ascii="宋体" w:hAnsi="宋体" w:eastAsia="宋体" w:cs="宋体"/>
          <w:color w:val="auto"/>
          <w:sz w:val="24"/>
          <w:highlight w:val="non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日</w:t>
      </w:r>
      <w:r>
        <w:rPr>
          <w:rFonts w:hint="eastAsia" w:ascii="宋体" w:hAnsi="宋体" w:eastAsia="宋体" w:cs="宋体"/>
          <w:color w:val="auto"/>
          <w:sz w:val="24"/>
          <w:highlight w:val="non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时</w:t>
      </w:r>
      <w:r>
        <w:rPr>
          <w:rFonts w:hint="eastAsia" w:ascii="宋体" w:hAnsi="宋体" w:eastAsia="宋体" w:cs="宋体"/>
          <w:color w:val="auto"/>
          <w:sz w:val="24"/>
          <w:highlight w:val="non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分至</w:t>
      </w:r>
      <w:r>
        <w:rPr>
          <w:rFonts w:hint="eastAsia" w:ascii="宋体" w:hAnsi="宋体" w:eastAsia="宋体" w:cs="宋体"/>
          <w:color w:val="auto"/>
          <w:sz w:val="24"/>
          <w:highlight w:val="none"/>
          <w:shd w:val="clear" w:color="auto" w:fill="FFFFFF"/>
          <w:lang w:eastAsia="zh-CN" w:bidi="ar"/>
        </w:rPr>
        <w:t>2025</w:t>
      </w:r>
      <w:r>
        <w:rPr>
          <w:rFonts w:hint="eastAsia" w:ascii="宋体" w:hAnsi="宋体" w:eastAsia="宋体" w:cs="宋体"/>
          <w:color w:val="auto"/>
          <w:sz w:val="24"/>
          <w:highlight w:val="none"/>
          <w:shd w:val="clear" w:color="auto" w:fill="FFFFFF"/>
          <w:lang w:bidi="ar"/>
        </w:rPr>
        <w:t>年</w:t>
      </w:r>
      <w:r>
        <w:rPr>
          <w:rFonts w:hint="eastAsia" w:ascii="宋体" w:hAnsi="宋体" w:eastAsia="宋体" w:cs="宋体"/>
          <w:color w:val="auto"/>
          <w:sz w:val="24"/>
          <w:highlight w:val="non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月</w:t>
      </w:r>
      <w:r>
        <w:rPr>
          <w:rFonts w:hint="eastAsia" w:ascii="宋体" w:hAnsi="宋体" w:eastAsia="宋体" w:cs="宋体"/>
          <w:color w:val="auto"/>
          <w:sz w:val="24"/>
          <w:highlight w:val="non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日</w:t>
      </w:r>
      <w:r>
        <w:rPr>
          <w:rFonts w:hint="eastAsia" w:ascii="宋体" w:hAnsi="宋体" w:eastAsia="宋体" w:cs="宋体"/>
          <w:color w:val="auto"/>
          <w:sz w:val="24"/>
          <w:highlight w:val="none"/>
          <w:shd w:val="clear" w:color="auto" w:fill="FFFFFF"/>
          <w:lang w:val="en-US" w:eastAsia="zh-CN" w:bidi="ar"/>
        </w:rPr>
        <w:t>17</w:t>
      </w:r>
      <w:r>
        <w:rPr>
          <w:rFonts w:hint="eastAsia" w:ascii="宋体" w:hAnsi="宋体" w:eastAsia="宋体" w:cs="宋体"/>
          <w:color w:val="auto"/>
          <w:sz w:val="24"/>
          <w:highlight w:val="none"/>
          <w:shd w:val="clear" w:color="auto" w:fill="FFFFFF"/>
          <w:lang w:bidi="ar"/>
        </w:rPr>
        <w:t>时</w:t>
      </w:r>
      <w:r>
        <w:rPr>
          <w:rFonts w:hint="eastAsia" w:ascii="宋体" w:hAnsi="宋体" w:eastAsia="宋体" w:cs="宋体"/>
          <w:color w:val="auto"/>
          <w:sz w:val="24"/>
          <w:highlight w:val="none"/>
          <w:shd w:val="clear" w:color="auto" w:fill="FFFFFF"/>
          <w:lang w:val="en-US" w:eastAsia="zh-CN" w:bidi="ar"/>
        </w:rPr>
        <w:t>00</w:t>
      </w:r>
      <w:r>
        <w:rPr>
          <w:rFonts w:hint="eastAsia" w:ascii="宋体" w:hAnsi="宋体" w:eastAsia="宋体" w:cs="宋体"/>
          <w:color w:val="auto"/>
          <w:sz w:val="24"/>
          <w:highlight w:val="none"/>
          <w:shd w:val="clear" w:color="auto" w:fill="FFFFFF"/>
          <w:lang w:bidi="ar"/>
        </w:rPr>
        <w:t>分联系招标代理机构（联系人：</w:t>
      </w:r>
      <w:r>
        <w:rPr>
          <w:rFonts w:hint="eastAsia" w:ascii="宋体" w:hAnsi="宋体" w:eastAsia="宋体" w:cs="宋体"/>
          <w:color w:val="auto"/>
          <w:sz w:val="24"/>
          <w:highlight w:val="none"/>
          <w:shd w:val="clear" w:color="auto" w:fill="FFFFFF"/>
          <w:lang w:val="en-US" w:eastAsia="zh-CN" w:bidi="ar"/>
        </w:rPr>
        <w:t>邓</w:t>
      </w:r>
      <w:r>
        <w:rPr>
          <w:rFonts w:hint="eastAsia" w:ascii="宋体" w:hAnsi="宋体" w:eastAsia="宋体" w:cs="宋体"/>
          <w:color w:val="auto"/>
          <w:sz w:val="24"/>
          <w:highlight w:val="none"/>
          <w:shd w:val="clear" w:color="auto" w:fill="FFFFFF"/>
          <w:lang w:eastAsia="zh-CN" w:bidi="ar"/>
        </w:rPr>
        <w:t>工</w:t>
      </w:r>
      <w:r>
        <w:rPr>
          <w:rFonts w:hint="eastAsia" w:ascii="宋体" w:hAnsi="宋体" w:eastAsia="宋体" w:cs="宋体"/>
          <w:color w:val="auto"/>
          <w:sz w:val="24"/>
          <w:highlight w:val="none"/>
          <w:shd w:val="clear" w:color="auto" w:fill="FFFFFF"/>
          <w:lang w:bidi="ar"/>
        </w:rPr>
        <w:t>，电话：</w:t>
      </w:r>
      <w:r>
        <w:rPr>
          <w:rFonts w:hint="eastAsia" w:ascii="宋体" w:hAnsi="宋体" w:eastAsia="宋体" w:cs="宋体"/>
          <w:color w:val="auto"/>
          <w:sz w:val="24"/>
          <w:highlight w:val="none"/>
          <w:shd w:val="clear" w:color="auto" w:fill="FFFFFF"/>
          <w:lang w:eastAsia="zh-CN" w:bidi="ar"/>
        </w:rPr>
        <w:t>020-3</w:t>
      </w:r>
      <w:r>
        <w:rPr>
          <w:rFonts w:hint="eastAsia" w:ascii="宋体" w:hAnsi="宋体" w:eastAsia="宋体" w:cs="宋体"/>
          <w:color w:val="auto"/>
          <w:sz w:val="24"/>
          <w:highlight w:val="none"/>
          <w:shd w:val="clear" w:color="auto" w:fill="FFFFFF"/>
          <w:lang w:val="en-US" w:eastAsia="zh-CN" w:bidi="ar"/>
        </w:rPr>
        <w:t>7608020</w:t>
      </w:r>
      <w:r>
        <w:rPr>
          <w:rFonts w:hint="eastAsia" w:ascii="宋体" w:hAnsi="宋体" w:eastAsia="宋体" w:cs="宋体"/>
          <w:color w:val="auto"/>
          <w:sz w:val="24"/>
          <w:highlight w:val="none"/>
          <w:shd w:val="clear" w:color="auto" w:fill="FFFFFF"/>
          <w:lang w:bidi="ar"/>
        </w:rPr>
        <w:t>）办理招标文件购买，招标文件每套售价500元（支付方式：电汇转账；户名：广州市广州工程建设监理有限公司；开户行</w:t>
      </w:r>
      <w:r>
        <w:rPr>
          <w:rFonts w:hint="eastAsia" w:ascii="宋体" w:hAnsi="宋体" w:eastAsia="宋体" w:cs="宋体"/>
          <w:color w:val="auto"/>
          <w:sz w:val="24"/>
          <w:highlight w:val="none"/>
          <w:shd w:val="clear" w:color="auto" w:fill="FFFFFF"/>
          <w:lang w:eastAsia="zh-CN" w:bidi="ar"/>
        </w:rPr>
        <w:t>：</w:t>
      </w:r>
      <w:r>
        <w:rPr>
          <w:rFonts w:hint="eastAsia" w:ascii="宋体" w:hAnsi="宋体" w:eastAsia="宋体" w:cs="宋体"/>
          <w:color w:val="auto"/>
          <w:sz w:val="24"/>
          <w:highlight w:val="none"/>
          <w:shd w:val="clear" w:color="auto" w:fill="FFFFFF"/>
          <w:lang w:bidi="ar"/>
        </w:rPr>
        <w:t>中国银行广州珠江支行；收款账号：701657752726）</w:t>
      </w:r>
      <w:r>
        <w:rPr>
          <w:rFonts w:hint="eastAsia" w:ascii="宋体" w:hAnsi="宋体" w:eastAsia="宋体" w:cs="宋体"/>
          <w:color w:val="auto"/>
          <w:sz w:val="24"/>
          <w:highlight w:val="none"/>
          <w:shd w:val="clear" w:color="auto" w:fill="FFFFFF"/>
          <w:lang w:eastAsia="zh-CN" w:bidi="ar"/>
        </w:rPr>
        <w:t>，</w:t>
      </w:r>
      <w:r>
        <w:rPr>
          <w:rFonts w:hint="eastAsia" w:ascii="宋体" w:hAnsi="宋体" w:eastAsia="宋体" w:cs="宋体"/>
          <w:color w:val="auto"/>
          <w:sz w:val="24"/>
          <w:highlight w:val="none"/>
          <w:shd w:val="clear" w:color="auto" w:fill="FFFFFF"/>
          <w:lang w:bidi="ar"/>
        </w:rPr>
        <w:t>（售后不退），招标代理机构只开具对应金额电子增值税普通发票，投标登记时间结束后统一发至所留邮箱，请自行下载。</w:t>
      </w:r>
    </w:p>
    <w:p w14:paraId="034F1AED">
      <w:pPr>
        <w:widowControl w:val="0"/>
        <w:spacing w:line="360" w:lineRule="auto"/>
        <w:ind w:firstLine="424" w:firstLineChars="177"/>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highlight w:val="none"/>
          <w:shd w:val="clear" w:color="auto" w:fill="FFFFFF"/>
          <w:lang w:bidi="ar"/>
        </w:rPr>
        <w:t>注：上述费用在获取招标文件后不予退还。</w:t>
      </w:r>
    </w:p>
    <w:p w14:paraId="79350013">
      <w:pPr>
        <w:widowControl w:val="0"/>
        <w:shd w:val="clear" w:color="auto" w:fill="auto"/>
        <w:snapToGrid/>
        <w:spacing w:line="360" w:lineRule="auto"/>
        <w:ind w:firstLine="424" w:firstLineChars="177"/>
        <w:jc w:val="both"/>
        <w:rPr>
          <w:rFonts w:hint="eastAsia" w:ascii="宋体" w:hAnsi="宋体" w:eastAsia="宋体" w:cs="宋体"/>
          <w:color w:val="auto"/>
          <w:sz w:val="24"/>
          <w:highlight w:val="none"/>
          <w:shd w:val="clear" w:color="auto" w:fill="FFFFFF"/>
          <w:lang w:bidi="ar"/>
        </w:rPr>
      </w:pPr>
      <w:r>
        <w:rPr>
          <w:rFonts w:hint="eastAsia" w:ascii="宋体" w:hAnsi="宋体" w:eastAsia="宋体" w:cs="宋体"/>
          <w:color w:val="auto"/>
          <w:sz w:val="24"/>
          <w:szCs w:val="20"/>
          <w:highlight w:val="none"/>
          <w:shd w:val="clear" w:color="auto" w:fill="FFFFFF"/>
          <w:lang w:bidi="ar"/>
        </w:rPr>
        <w:t>4.3</w:t>
      </w:r>
      <w:r>
        <w:rPr>
          <w:rFonts w:hint="eastAsia" w:ascii="宋体" w:hAnsi="宋体" w:eastAsia="宋体" w:cs="宋体"/>
          <w:color w:val="auto"/>
          <w:sz w:val="24"/>
          <w:highlight w:val="none"/>
          <w:shd w:val="clear" w:color="auto" w:fill="FFFFFF"/>
          <w:lang w:bidi="ar"/>
        </w:rPr>
        <w:t>递交投标文件起始时间：2025年</w:t>
      </w:r>
      <w:r>
        <w:rPr>
          <w:rFonts w:hint="eastAsia" w:ascii="宋体" w:hAnsi="宋体" w:eastAsia="宋体" w:cs="宋体"/>
          <w:color w:val="auto"/>
          <w:sz w:val="24"/>
          <w:highlight w:val="none"/>
          <w:u w:val="singl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月</w:t>
      </w:r>
      <w:r>
        <w:rPr>
          <w:rFonts w:hint="eastAsia" w:ascii="宋体" w:hAnsi="宋体" w:eastAsia="宋体" w:cs="宋体"/>
          <w:color w:val="auto"/>
          <w:sz w:val="24"/>
          <w:highlight w:val="none"/>
          <w:u w:val="singl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日</w:t>
      </w:r>
      <w:r>
        <w:rPr>
          <w:rFonts w:hint="eastAsia" w:ascii="宋体" w:hAnsi="宋体" w:eastAsia="宋体" w:cs="宋体"/>
          <w:color w:val="auto"/>
          <w:sz w:val="24"/>
          <w:highlight w:val="none"/>
          <w:u w:val="singl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时</w:t>
      </w:r>
      <w:r>
        <w:rPr>
          <w:rFonts w:hint="eastAsia" w:ascii="宋体" w:hAnsi="宋体" w:eastAsia="宋体" w:cs="宋体"/>
          <w:color w:val="auto"/>
          <w:sz w:val="24"/>
          <w:highlight w:val="none"/>
          <w:u w:val="single"/>
          <w:shd w:val="clear" w:color="auto" w:fill="FFFFFF"/>
          <w:lang w:val="en-US" w:eastAsia="zh-CN" w:bidi="ar"/>
        </w:rPr>
        <w:t xml:space="preserve">  </w:t>
      </w:r>
      <w:r>
        <w:rPr>
          <w:rFonts w:hint="eastAsia" w:ascii="宋体" w:hAnsi="宋体" w:eastAsia="宋体" w:cs="宋体"/>
          <w:color w:val="auto"/>
          <w:sz w:val="24"/>
          <w:highlight w:val="none"/>
          <w:shd w:val="clear" w:color="auto" w:fill="FFFFFF"/>
          <w:lang w:bidi="ar"/>
        </w:rPr>
        <w:t>分；</w:t>
      </w:r>
    </w:p>
    <w:p w14:paraId="69CC8941">
      <w:pPr>
        <w:widowControl w:val="0"/>
        <w:spacing w:line="360" w:lineRule="auto"/>
        <w:ind w:firstLine="2340" w:firstLineChars="975"/>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截止时间：2025年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分。</w:t>
      </w:r>
    </w:p>
    <w:p w14:paraId="691ED34E">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0"/>
          <w:highlight w:val="none"/>
          <w:shd w:val="clear" w:color="auto" w:fill="FFFFFF"/>
          <w:lang w:bidi="ar"/>
        </w:rPr>
        <w:t>4.4</w:t>
      </w:r>
      <w:r>
        <w:rPr>
          <w:rFonts w:hint="eastAsia" w:ascii="宋体" w:hAnsi="宋体" w:eastAsia="宋体" w:cs="宋体"/>
          <w:color w:val="auto"/>
          <w:sz w:val="24"/>
          <w:highlight w:val="none"/>
          <w:shd w:val="clear" w:color="auto" w:fill="FFFFFF"/>
          <w:lang w:bidi="ar"/>
        </w:rPr>
        <w:t>投标人必须在办理投标登记手续前在</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办理信息登记（具体请登陆</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网站→服务指南→办事指引→企业信息登记），否则将无法办理投标登记。</w:t>
      </w:r>
    </w:p>
    <w:p w14:paraId="7875F317">
      <w:pPr>
        <w:spacing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val="en-US" w:eastAsia="zh-CN" w:bidi="ar"/>
        </w:rPr>
        <w:t>4.5</w:t>
      </w:r>
      <w:r>
        <w:rPr>
          <w:rFonts w:hint="eastAsia" w:ascii="宋体" w:hAnsi="宋体" w:eastAsia="宋体" w:cs="宋体"/>
          <w:color w:val="auto"/>
          <w:spacing w:val="4"/>
          <w:kern w:val="0"/>
          <w:sz w:val="24"/>
          <w:highlight w:val="none"/>
          <w:shd w:val="clear" w:color="auto" w:fill="FFFFFF"/>
          <w:lang w:bidi="ar"/>
        </w:rPr>
        <w:t>投标人通过</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u w:val="single"/>
          <w:shd w:val="clear" w:color="auto" w:fill="FFFFFF"/>
          <w:lang w:bidi="ar"/>
        </w:rPr>
        <w:t>交易网站（网址：http://www.gzggzy.cn）。</w:t>
      </w:r>
    </w:p>
    <w:p w14:paraId="61C1E913">
      <w:pPr>
        <w:spacing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zh-CN" w:bidi="ar"/>
        </w:rPr>
        <w:t>4.6</w:t>
      </w:r>
      <w:r>
        <w:rPr>
          <w:rFonts w:hint="eastAsia" w:ascii="宋体" w:hAnsi="宋体" w:eastAsia="宋体" w:cs="宋体"/>
          <w:color w:val="auto"/>
          <w:sz w:val="24"/>
          <w:highlight w:val="none"/>
          <w:shd w:val="clear" w:color="auto" w:fill="FFFFFF"/>
          <w:lang w:bidi="ar"/>
        </w:rPr>
        <w:t>递交电子投标文件备用光盘或U盘时间：</w:t>
      </w:r>
      <w:r>
        <w:rPr>
          <w:rFonts w:hint="eastAsia" w:ascii="宋体" w:hAnsi="宋体" w:eastAsia="宋体" w:cs="宋体"/>
          <w:color w:val="auto"/>
          <w:sz w:val="24"/>
          <w:highlight w:val="none"/>
          <w:shd w:val="clear" w:color="auto" w:fill="FFFFFF"/>
        </w:rPr>
        <w:t>2025年</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月</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日</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时</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分</w:t>
      </w:r>
      <w:r>
        <w:rPr>
          <w:rFonts w:hint="eastAsia" w:ascii="宋体" w:hAnsi="宋体" w:eastAsia="宋体" w:cs="宋体"/>
          <w:color w:val="auto"/>
          <w:sz w:val="24"/>
          <w:highlight w:val="none"/>
          <w:shd w:val="clear" w:color="auto" w:fill="FFFFFF"/>
          <w:lang w:bidi="ar"/>
        </w:rPr>
        <w:t>至</w:t>
      </w:r>
      <w:r>
        <w:rPr>
          <w:rFonts w:hint="eastAsia" w:ascii="宋体" w:hAnsi="宋体" w:eastAsia="宋体" w:cs="宋体"/>
          <w:color w:val="auto"/>
          <w:sz w:val="24"/>
          <w:highlight w:val="none"/>
          <w:shd w:val="clear" w:color="auto" w:fill="FFFFFF"/>
        </w:rPr>
        <w:t>2025年</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月</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日</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时</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分</w:t>
      </w:r>
      <w:r>
        <w:rPr>
          <w:rFonts w:hint="eastAsia" w:ascii="宋体" w:hAnsi="宋体" w:eastAsia="宋体" w:cs="宋体"/>
          <w:color w:val="auto"/>
          <w:sz w:val="24"/>
          <w:highlight w:val="none"/>
          <w:shd w:val="clear" w:color="auto" w:fill="FFFFFF"/>
          <w:lang w:bidi="ar"/>
        </w:rPr>
        <w:t>，递交地点：</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（广州市天河区天润路333号）本项目具体的招投标活动日程安排及场地安排以</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网站中“建设工程”→“项目查询（日程安排、答疑纪要）”公布的为准。电子光盘或U盘需按规定封装。投标人在将数据刻录到光盘或U盘之后，投标前自行检查文件是否可以读取。</w:t>
      </w:r>
    </w:p>
    <w:p w14:paraId="4172ED01">
      <w:pPr>
        <w:spacing w:line="360" w:lineRule="auto"/>
        <w:ind w:firstLine="537" w:firstLineChars="224"/>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lang w:val="en-US" w:eastAsia="zh-CN"/>
        </w:rPr>
        <w:t>4.7</w:t>
      </w:r>
      <w:r>
        <w:rPr>
          <w:rFonts w:hint="eastAsia" w:ascii="宋体" w:hAnsi="宋体" w:eastAsia="宋体" w:cs="宋体"/>
          <w:color w:val="auto"/>
          <w:sz w:val="24"/>
          <w:highlight w:val="none"/>
          <w:shd w:val="clear" w:color="auto" w:fill="FFFFFF"/>
        </w:rPr>
        <w:t>开标开始时间：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w:t>
      </w:r>
      <w:r>
        <w:rPr>
          <w:rFonts w:hint="eastAsia" w:ascii="宋体" w:hAnsi="宋体" w:eastAsia="宋体" w:cs="宋体"/>
          <w:color w:val="auto"/>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kern w:val="0"/>
          <w:sz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3530272C">
      <w:pPr>
        <w:spacing w:line="360" w:lineRule="auto"/>
        <w:ind w:firstLine="511"/>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4.8</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w:t>
      </w:r>
    </w:p>
    <w:p w14:paraId="42209E30">
      <w:pPr>
        <w:widowControl/>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文件截止时间的信息为准。</w:t>
      </w:r>
    </w:p>
    <w:p w14:paraId="2CF295B0">
      <w:pPr>
        <w:spacing w:line="360" w:lineRule="auto"/>
        <w:ind w:firstLine="424" w:firstLineChars="177"/>
        <w:rPr>
          <w:rFonts w:hint="eastAsia" w:ascii="宋体" w:hAnsi="宋体" w:eastAsia="宋体" w:cs="宋体"/>
          <w:sz w:val="20"/>
          <w:szCs w:val="20"/>
          <w:highlight w:val="none"/>
        </w:rPr>
      </w:pPr>
      <w:r>
        <w:rPr>
          <w:rFonts w:hint="eastAsia" w:ascii="宋体" w:hAnsi="宋体" w:eastAsia="宋体" w:cs="宋体"/>
          <w:color w:val="auto"/>
          <w:sz w:val="24"/>
          <w:highlight w:val="none"/>
          <w:shd w:val="clear" w:color="auto" w:fill="FFFFFF"/>
          <w:lang w:val="en-US" w:eastAsia="zh-CN" w:bidi="ar"/>
        </w:rPr>
        <w:t>4.9</w:t>
      </w:r>
      <w:r>
        <w:rPr>
          <w:rFonts w:hint="eastAsia" w:ascii="宋体" w:hAnsi="宋体" w:eastAsia="宋体" w:cs="宋体"/>
          <w:color w:val="auto"/>
          <w:sz w:val="24"/>
          <w:highlight w:val="none"/>
          <w:shd w:val="clear" w:color="auto" w:fill="FFFFFF"/>
          <w:lang w:bidi="ar"/>
        </w:rPr>
        <w:t>逾期送达的投标文件，电子招标投标交易平台将予以拒收。</w:t>
      </w:r>
    </w:p>
    <w:p w14:paraId="5388D9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5.资格审查方式</w:t>
      </w:r>
    </w:p>
    <w:p w14:paraId="273A0E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5.1本次招标采用资格后审，由评标委员会负责资格审查。</w:t>
      </w:r>
    </w:p>
    <w:p w14:paraId="2C0FD412">
      <w:pPr>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6.潜在投标人或利害关系人对本招标公告及招标文件内容有异议的，向招标人或招标代理机构书面提出。</w:t>
      </w:r>
    </w:p>
    <w:p w14:paraId="6FDB214A">
      <w:pPr>
        <w:keepNext w:val="0"/>
        <w:keepLines w:val="0"/>
        <w:pageBreakBefore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2"/>
          <w:highlight w:val="none"/>
          <w:u w:val="single"/>
          <w:lang w:eastAsia="zh-CN" w:bidi="ar"/>
        </w:rPr>
        <w:t>广州发展新能源集团股份有限公司</w:t>
      </w:r>
    </w:p>
    <w:p w14:paraId="54FF6865">
      <w:pPr>
        <w:keepNext w:val="0"/>
        <w:keepLines w:val="0"/>
        <w:pageBreakBefore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受理电话：</w:t>
      </w:r>
      <w:r>
        <w:rPr>
          <w:rFonts w:hint="eastAsia" w:ascii="宋体" w:hAnsi="宋体" w:eastAsia="宋体" w:cs="宋体"/>
          <w:color w:val="auto"/>
          <w:sz w:val="24"/>
          <w:szCs w:val="22"/>
          <w:highlight w:val="none"/>
          <w:u w:val="single"/>
          <w:lang w:bidi="ar"/>
        </w:rPr>
        <w:t>020-</w:t>
      </w:r>
      <w:r>
        <w:rPr>
          <w:rFonts w:hint="eastAsia" w:ascii="宋体" w:hAnsi="宋体" w:eastAsia="宋体" w:cs="宋体"/>
          <w:color w:val="auto"/>
          <w:sz w:val="24"/>
          <w:highlight w:val="none"/>
          <w:u w:val="single"/>
          <w:lang w:bidi="ar"/>
        </w:rPr>
        <w:t>87571846</w:t>
      </w:r>
    </w:p>
    <w:p w14:paraId="312B4743">
      <w:pPr>
        <w:keepNext w:val="0"/>
        <w:keepLines w:val="0"/>
        <w:pageBreakBefore w:val="0"/>
        <w:shd w:val="clear" w:color="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2"/>
          <w:highlight w:val="none"/>
          <w:u w:val="single"/>
          <w:lang w:bidi="ar"/>
        </w:rPr>
        <w:t>广州市天河区临江大道3号发展中心29楼</w:t>
      </w:r>
    </w:p>
    <w:p w14:paraId="5DE4F44E">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bidi="ar"/>
        </w:rPr>
        <w:t>本项目根据国家和省有关计价规范设置最高投标限价。</w:t>
      </w:r>
      <w:r>
        <w:rPr>
          <w:rFonts w:hint="eastAsia" w:ascii="宋体" w:hAnsi="宋体" w:eastAsia="宋体" w:cs="宋体"/>
          <w:color w:val="auto"/>
          <w:sz w:val="24"/>
          <w:szCs w:val="24"/>
          <w:highlight w:val="none"/>
          <w:lang w:val="en-US" w:eastAsia="zh-CN" w:bidi="ar"/>
        </w:rPr>
        <w:t>具体如下：</w:t>
      </w:r>
    </w:p>
    <w:p w14:paraId="03AA7160">
      <w:pPr>
        <w:adjustRightInd w:val="0"/>
        <w:snapToGrid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标段一</w:t>
      </w:r>
      <w:r>
        <w:rPr>
          <w:rFonts w:hint="eastAsia" w:ascii="宋体" w:hAnsi="宋体" w:eastAsia="宋体" w:cs="宋体"/>
          <w:color w:val="auto"/>
          <w:sz w:val="24"/>
          <w:szCs w:val="24"/>
          <w:highlight w:val="none"/>
          <w:lang w:val="en-US" w:eastAsia="zh-CN" w:bidi="ar"/>
        </w:rPr>
        <w:t>集中式逆变器：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最高投标限价</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为</w:t>
      </w:r>
      <w:r>
        <w:rPr>
          <w:rFonts w:hint="eastAsia" w:ascii="宋体" w:hAnsi="宋体" w:eastAsia="宋体" w:cs="宋体"/>
          <w:color w:val="auto"/>
          <w:sz w:val="24"/>
          <w:szCs w:val="24"/>
          <w:highlight w:val="none"/>
          <w:lang w:val="en-US" w:eastAsia="zh-CN" w:bidi="ar"/>
        </w:rPr>
        <w:t>单价</w:t>
      </w:r>
      <w:r>
        <w:rPr>
          <w:rFonts w:hint="eastAsia" w:ascii="宋体" w:hAnsi="宋体" w:cs="宋体"/>
          <w:color w:val="auto"/>
          <w:sz w:val="24"/>
          <w:szCs w:val="24"/>
          <w:highlight w:val="none"/>
          <w:lang w:val="en-US" w:eastAsia="zh-CN" w:bidi="ar"/>
        </w:rPr>
        <w:t>90</w:t>
      </w:r>
      <w:r>
        <w:rPr>
          <w:rFonts w:hint="eastAsia" w:ascii="宋体" w:hAnsi="宋体" w:eastAsia="宋体" w:cs="宋体"/>
          <w:color w:val="auto"/>
          <w:sz w:val="24"/>
          <w:szCs w:val="24"/>
          <w:highlight w:val="none"/>
          <w:lang w:val="en-US" w:eastAsia="zh-CN" w:bidi="ar"/>
        </w:rPr>
        <w:t>元/kW，总价</w:t>
      </w:r>
      <w:r>
        <w:rPr>
          <w:rFonts w:hint="eastAsia" w:ascii="宋体" w:hAnsi="宋体" w:cs="宋体"/>
          <w:color w:val="auto"/>
          <w:sz w:val="24"/>
          <w:szCs w:val="24"/>
          <w:highlight w:val="none"/>
          <w:lang w:val="en-US" w:eastAsia="zh-CN" w:bidi="ar"/>
        </w:rPr>
        <w:t>1800</w:t>
      </w:r>
      <w:r>
        <w:rPr>
          <w:rFonts w:hint="eastAsia" w:ascii="宋体" w:hAnsi="宋体" w:eastAsia="宋体" w:cs="宋体"/>
          <w:color w:val="auto"/>
          <w:sz w:val="24"/>
          <w:szCs w:val="24"/>
          <w:highlight w:val="none"/>
          <w:lang w:val="en-US" w:eastAsia="zh-CN" w:bidi="ar"/>
        </w:rPr>
        <w:t>万元。</w:t>
      </w:r>
    </w:p>
    <w:p w14:paraId="1FB61A6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标段二组串式逆变</w:t>
      </w:r>
      <w:r>
        <w:rPr>
          <w:rFonts w:hint="eastAsia" w:ascii="宋体" w:hAnsi="宋体" w:eastAsia="宋体" w:cs="宋体"/>
          <w:color w:val="auto"/>
          <w:sz w:val="22"/>
          <w:szCs w:val="22"/>
          <w:highlight w:val="none"/>
          <w:lang w:bidi="ar"/>
        </w:rPr>
        <w:t>器</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最高投标限价</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为</w:t>
      </w:r>
      <w:r>
        <w:rPr>
          <w:rFonts w:hint="eastAsia" w:ascii="宋体" w:hAnsi="宋体" w:eastAsia="宋体" w:cs="宋体"/>
          <w:color w:val="auto"/>
          <w:sz w:val="24"/>
          <w:szCs w:val="24"/>
          <w:highlight w:val="none"/>
          <w:lang w:val="en-US" w:eastAsia="zh-CN" w:bidi="ar"/>
        </w:rPr>
        <w:t>单价</w:t>
      </w:r>
      <w:r>
        <w:rPr>
          <w:rFonts w:hint="eastAsia" w:ascii="宋体" w:hAnsi="宋体" w:cs="宋体"/>
          <w:color w:val="auto"/>
          <w:sz w:val="24"/>
          <w:szCs w:val="24"/>
          <w:highlight w:val="none"/>
          <w:lang w:val="en-US" w:eastAsia="zh-CN" w:bidi="ar"/>
        </w:rPr>
        <w:t>120</w:t>
      </w:r>
      <w:r>
        <w:rPr>
          <w:rFonts w:hint="eastAsia" w:ascii="宋体" w:hAnsi="宋体" w:eastAsia="宋体" w:cs="宋体"/>
          <w:color w:val="auto"/>
          <w:sz w:val="24"/>
          <w:szCs w:val="24"/>
          <w:highlight w:val="none"/>
          <w:lang w:val="en-US" w:eastAsia="zh-CN" w:bidi="ar"/>
        </w:rPr>
        <w:t>元/kW，总价</w:t>
      </w:r>
      <w:r>
        <w:rPr>
          <w:rFonts w:hint="eastAsia" w:ascii="宋体" w:hAnsi="宋体" w:cs="宋体"/>
          <w:color w:val="auto"/>
          <w:sz w:val="24"/>
          <w:szCs w:val="24"/>
          <w:highlight w:val="none"/>
          <w:lang w:val="en-US" w:eastAsia="zh-CN" w:bidi="ar"/>
        </w:rPr>
        <w:t>7200</w:t>
      </w:r>
      <w:r>
        <w:rPr>
          <w:rFonts w:hint="eastAsia" w:ascii="宋体" w:hAnsi="宋体" w:eastAsia="宋体" w:cs="宋体"/>
          <w:color w:val="auto"/>
          <w:sz w:val="24"/>
          <w:szCs w:val="24"/>
          <w:highlight w:val="none"/>
          <w:lang w:val="en-US" w:eastAsia="zh-CN" w:bidi="ar"/>
        </w:rPr>
        <w:t>万元</w:t>
      </w:r>
      <w:r>
        <w:rPr>
          <w:rFonts w:hint="eastAsia" w:ascii="宋体" w:hAnsi="宋体" w:eastAsia="宋体" w:cs="宋体"/>
          <w:color w:val="auto"/>
          <w:sz w:val="24"/>
          <w:szCs w:val="24"/>
          <w:highlight w:val="none"/>
          <w:lang w:bidi="ar"/>
        </w:rPr>
        <w:t>。</w:t>
      </w:r>
    </w:p>
    <w:p w14:paraId="39748C11">
      <w:pPr>
        <w:wordWrap w:val="0"/>
        <w:spacing w:before="75" w:after="75"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.本公告在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网（http://www.gzggzy.cn）、中国招标投标公共服务平台（http://www.cebpubservice.com）、广州发展电子采购平台（https://eps.gdg.com.cn）、</w:t>
      </w:r>
      <w:r>
        <w:rPr>
          <w:rFonts w:hint="eastAsia" w:ascii="宋体" w:hAnsi="宋体" w:eastAsia="宋体" w:cs="宋体"/>
          <w:color w:val="auto"/>
          <w:sz w:val="24"/>
          <w:highlight w:val="none"/>
          <w:lang w:val="en-US" w:eastAsia="zh-CN" w:bidi="ar"/>
        </w:rPr>
        <w:t>中招联合招标采购网（http://www.365trade.com.cn/）</w:t>
      </w:r>
      <w:r>
        <w:rPr>
          <w:rFonts w:hint="eastAsia" w:ascii="宋体" w:hAnsi="宋体" w:eastAsia="宋体" w:cs="宋体"/>
          <w:color w:val="auto"/>
          <w:sz w:val="24"/>
          <w:szCs w:val="24"/>
          <w:highlight w:val="none"/>
        </w:rPr>
        <w:t>和广州国企阳光采购信息发布平台（http://ygcg.gzggzy.cn/）上发布。本公告的修改、补充，在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网发布。本公告在各媒体发布的文本如有不同之处，以在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网发布的文本为准。</w:t>
      </w:r>
    </w:p>
    <w:p w14:paraId="759413C3">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.联系方式</w:t>
      </w:r>
    </w:p>
    <w:p w14:paraId="790B61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r>
        <w:rPr>
          <w:rFonts w:hint="eastAsia" w:ascii="宋体" w:hAnsi="宋体" w:eastAsia="宋体" w:cs="宋体"/>
          <w:color w:val="auto"/>
          <w:sz w:val="24"/>
          <w:szCs w:val="24"/>
          <w:highlight w:val="none"/>
          <w:lang w:eastAsia="zh-CN"/>
        </w:rPr>
        <w:t>广州发展新能源集团股份有限公司</w:t>
      </w:r>
      <w:r>
        <w:rPr>
          <w:rFonts w:hint="eastAsia" w:ascii="宋体" w:hAnsi="宋体" w:eastAsia="宋体" w:cs="宋体"/>
          <w:color w:val="auto"/>
          <w:sz w:val="24"/>
          <w:szCs w:val="24"/>
          <w:highlight w:val="none"/>
        </w:rPr>
        <w:t xml:space="preserve"> </w:t>
      </w:r>
    </w:p>
    <w:p w14:paraId="690E9B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联系人：陈工</w:t>
      </w:r>
    </w:p>
    <w:p w14:paraId="1C7113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话：020-</w:t>
      </w:r>
      <w:r>
        <w:rPr>
          <w:rFonts w:hint="eastAsia" w:ascii="宋体" w:hAnsi="宋体" w:eastAsia="宋体" w:cs="宋体"/>
          <w:color w:val="auto"/>
          <w:sz w:val="24"/>
          <w:szCs w:val="24"/>
          <w:highlight w:val="none"/>
          <w:lang w:eastAsia="zh-CN"/>
        </w:rPr>
        <w:t>87571846</w:t>
      </w:r>
    </w:p>
    <w:p w14:paraId="74B45F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联系地址：</w:t>
      </w:r>
      <w:r>
        <w:rPr>
          <w:rFonts w:hint="eastAsia" w:ascii="宋体" w:hAnsi="宋体" w:eastAsia="宋体" w:cs="宋体"/>
          <w:color w:val="auto"/>
          <w:sz w:val="24"/>
          <w:szCs w:val="24"/>
          <w:highlight w:val="none"/>
        </w:rPr>
        <w:t>广州市临江大道发展中心29楼</w:t>
      </w:r>
    </w:p>
    <w:p w14:paraId="1E8CE5FB">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02DEA0F">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招标代理机构名称：</w:t>
      </w:r>
      <w:r>
        <w:rPr>
          <w:rFonts w:hint="eastAsia" w:ascii="宋体" w:hAnsi="宋体" w:eastAsia="宋体" w:cs="宋体"/>
          <w:color w:val="auto"/>
          <w:sz w:val="24"/>
          <w:szCs w:val="24"/>
          <w:highlight w:val="none"/>
          <w:lang w:val="en-US" w:eastAsia="zh-CN"/>
        </w:rPr>
        <w:t>广州市广州工程建设监理有限公司</w:t>
      </w:r>
    </w:p>
    <w:p w14:paraId="0E5231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邓工      </w:t>
      </w:r>
      <w:r>
        <w:rPr>
          <w:rFonts w:hint="eastAsia" w:ascii="宋体" w:hAnsi="宋体" w:eastAsia="宋体" w:cs="宋体"/>
          <w:color w:val="auto"/>
          <w:sz w:val="24"/>
          <w:szCs w:val="24"/>
          <w:highlight w:val="none"/>
          <w:lang w:eastAsia="zh-CN"/>
        </w:rPr>
        <w:t xml:space="preserve"> </w:t>
      </w:r>
    </w:p>
    <w:p w14:paraId="48D734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2"/>
          <w:highlight w:val="none"/>
          <w:u w:val="none"/>
          <w:lang w:val="en-US" w:eastAsia="zh-CN" w:bidi="ar"/>
        </w:rPr>
        <w:t>020-37608020</w:t>
      </w:r>
    </w:p>
    <w:p w14:paraId="17139B8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en-US" w:eastAsia="zh-CN"/>
        </w:rPr>
        <w:t>gzjlzb@126.com</w:t>
      </w:r>
    </w:p>
    <w:p w14:paraId="3C84C5D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联系地址：广州市白云区白云大道南685号阁屏商务大厦8楼808室</w:t>
      </w:r>
    </w:p>
    <w:p w14:paraId="09B1B698">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4A45C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招标监督机构：广州发展集团股份有限公司招标管理部   </w:t>
      </w:r>
    </w:p>
    <w:p w14:paraId="513D54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异议申诉电话：020-37850890</w:t>
      </w:r>
    </w:p>
    <w:p w14:paraId="42CD1B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联系地址：</w:t>
      </w:r>
      <w:r>
        <w:rPr>
          <w:rFonts w:hint="eastAsia" w:ascii="宋体" w:hAnsi="宋体" w:eastAsia="宋体" w:cs="宋体"/>
          <w:color w:val="auto"/>
          <w:sz w:val="24"/>
          <w:szCs w:val="24"/>
          <w:highlight w:val="none"/>
        </w:rPr>
        <w:t>广州市临江大道发展中心32楼</w:t>
      </w:r>
    </w:p>
    <w:p w14:paraId="638BDC34">
      <w:pPr>
        <w:adjustRightInd w:val="0"/>
        <w:snapToGrid w:val="0"/>
        <w:spacing w:line="360" w:lineRule="auto"/>
        <w:ind w:firstLine="360" w:firstLineChars="150"/>
        <w:jc w:val="right"/>
        <w:rPr>
          <w:rFonts w:hint="eastAsia" w:ascii="宋体" w:hAnsi="宋体" w:eastAsia="宋体" w:cs="宋体"/>
          <w:color w:val="auto"/>
          <w:sz w:val="24"/>
          <w:szCs w:val="24"/>
          <w:highlight w:val="none"/>
        </w:rPr>
      </w:pPr>
    </w:p>
    <w:p w14:paraId="0CB86EDE">
      <w:pPr>
        <w:adjustRightInd w:val="0"/>
        <w:snapToGrid w:val="0"/>
        <w:spacing w:line="360" w:lineRule="auto"/>
        <w:ind w:firstLine="360" w:firstLineChars="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r>
        <w:rPr>
          <w:rFonts w:hint="eastAsia" w:ascii="宋体" w:hAnsi="宋体" w:eastAsia="宋体" w:cs="宋体"/>
          <w:color w:val="auto"/>
          <w:sz w:val="24"/>
          <w:szCs w:val="24"/>
          <w:highlight w:val="none"/>
          <w:lang w:eastAsia="zh-CN"/>
        </w:rPr>
        <w:t>广州发展新能源集团股份有限公司</w:t>
      </w:r>
    </w:p>
    <w:p w14:paraId="789ADD3E">
      <w:pPr>
        <w:adjustRightInd w:val="0"/>
        <w:snapToGrid w:val="0"/>
        <w:spacing w:line="360" w:lineRule="auto"/>
        <w:ind w:firstLine="360" w:firstLineChars="15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招标代理机构名称：</w:t>
      </w:r>
      <w:r>
        <w:rPr>
          <w:rFonts w:hint="eastAsia" w:ascii="宋体" w:hAnsi="宋体" w:eastAsia="宋体" w:cs="宋体"/>
          <w:color w:val="auto"/>
          <w:sz w:val="24"/>
          <w:szCs w:val="24"/>
          <w:highlight w:val="none"/>
          <w:lang w:val="en-US" w:eastAsia="zh-CN"/>
        </w:rPr>
        <w:t>广州市广州工程建设监理有限公司</w:t>
      </w:r>
    </w:p>
    <w:p w14:paraId="5C9F0123">
      <w:pPr>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697D6D4">
      <w:bookmarkStart w:id="2" w:name="_GoBack"/>
      <w:bookmarkEnd w:id="2"/>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2E1F"/>
    <w:rsid w:val="0B692C26"/>
    <w:rsid w:val="3E104D62"/>
    <w:rsid w:val="7572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Normal Indent"/>
    <w:basedOn w:val="1"/>
    <w:qFormat/>
    <w:uiPriority w:val="99"/>
    <w:pPr>
      <w:spacing w:line="360" w:lineRule="auto"/>
      <w:ind w:firstLine="420"/>
    </w:pPr>
    <w:rPr>
      <w:rFonts w:ascii="宋体"/>
      <w:sz w:val="20"/>
    </w:rPr>
  </w:style>
  <w:style w:type="paragraph" w:styleId="4">
    <w:name w:val="Body Text Indent"/>
    <w:basedOn w:val="1"/>
    <w:next w:val="5"/>
    <w:qFormat/>
    <w:uiPriority w:val="99"/>
    <w:pPr>
      <w:spacing w:after="120"/>
      <w:ind w:left="420" w:leftChars="200"/>
    </w:pPr>
    <w:rPr>
      <w:rFonts w:ascii="Calibri" w:hAnsi="Calibri" w:cs="黑体"/>
      <w:kern w:val="2"/>
      <w:szCs w:val="22"/>
    </w:rPr>
  </w:style>
  <w:style w:type="paragraph" w:styleId="5">
    <w:name w:val="toc 9"/>
    <w:basedOn w:val="1"/>
    <w:next w:val="1"/>
    <w:qFormat/>
    <w:uiPriority w:val="39"/>
    <w:pPr>
      <w:ind w:left="1680"/>
    </w:pPr>
    <w:rPr>
      <w:sz w:val="18"/>
      <w:szCs w:val="18"/>
    </w:rPr>
  </w:style>
  <w:style w:type="paragraph" w:styleId="6">
    <w:name w:val="Body Text First Indent 2"/>
    <w:basedOn w:val="4"/>
    <w:next w:val="1"/>
    <w:qFormat/>
    <w:uiPriority w:val="0"/>
    <w:pPr>
      <w:spacing w:after="120" w:afterAutospacing="0"/>
      <w:ind w:left="420" w:leftChars="200" w:firstLine="420" w:firstLineChars="200"/>
      <w:jc w:val="left"/>
    </w:pPr>
    <w:rPr>
      <w:rFonts w:hint="default" w:ascii="Calibri" w:hAnsi="Calibri" w:eastAsia="宋体" w:cs="黑体"/>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3015</Words>
  <Characters>3415</Characters>
  <Lines>0</Lines>
  <Paragraphs>0</Paragraphs>
  <TotalTime>0</TotalTime>
  <ScaleCrop>false</ScaleCrop>
  <LinksUpToDate>false</LinksUpToDate>
  <CharactersWithSpaces>3506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2025-07-09T06:58:00Z</dcterms:created>
  <dc:creator>D</dc:creator>
  <cp:lastModifiedBy>D</cp:lastModifiedBy>
  <dcterms:modified xsi:type="dcterms:W3CDTF">2025-07-09T07:51:15Z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52948904F94145FA92F85505FD0419F7_11</vt:lpwstr>
  </property>
  <property fmtid="{D5CDD505-2E9C-101B-9397-08002B2CF9AE}" pid="4" name="KSOTemplateDocerSaveRecord">
    <vt:lpwstr>eyJoZGlkIjoiMzcyZjAzNTAyNWM4MTIzMzEyM2RjZDQzM2U1ZDM5OTkiLCJ1c2VySWQiOiI1ODYzMTI5NTkifQ==</vt:lpwstr>
  </property>
</Properties>
</file>